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A61" w:rsidRDefault="00CF3BB4">
      <w:pPr>
        <w:spacing w:line="276" w:lineRule="auto"/>
        <w:rPr>
          <w:sz w:val="24"/>
          <w:szCs w:val="24"/>
        </w:rPr>
      </w:pPr>
      <w:r>
        <w:rPr>
          <w:sz w:val="24"/>
          <w:szCs w:val="24"/>
        </w:rPr>
        <w:t>Bogotá D.C., 14 de abril de 2026</w:t>
      </w:r>
    </w:p>
    <w:p w:rsidR="00590A61" w:rsidRDefault="00590A61">
      <w:pPr>
        <w:spacing w:after="0" w:line="276" w:lineRule="auto"/>
        <w:rPr>
          <w:sz w:val="24"/>
          <w:szCs w:val="24"/>
        </w:rPr>
      </w:pPr>
    </w:p>
    <w:p w:rsidR="00590A61" w:rsidRDefault="00CF3BB4">
      <w:pPr>
        <w:spacing w:after="0" w:line="276" w:lineRule="auto"/>
        <w:jc w:val="both"/>
        <w:rPr>
          <w:color w:val="000000"/>
          <w:sz w:val="24"/>
          <w:szCs w:val="24"/>
        </w:rPr>
      </w:pPr>
      <w:r>
        <w:rPr>
          <w:color w:val="000000"/>
          <w:sz w:val="24"/>
          <w:szCs w:val="24"/>
        </w:rPr>
        <w:t>Honorable Representante</w:t>
      </w:r>
    </w:p>
    <w:p w:rsidR="00590A61" w:rsidRDefault="00590A61">
      <w:pPr>
        <w:spacing w:after="0" w:line="276" w:lineRule="auto"/>
        <w:jc w:val="both"/>
        <w:rPr>
          <w:sz w:val="24"/>
          <w:szCs w:val="24"/>
        </w:rPr>
      </w:pPr>
    </w:p>
    <w:p w:rsidR="00590A61" w:rsidRDefault="00CF3BB4">
      <w:pPr>
        <w:spacing w:after="0" w:line="276" w:lineRule="auto"/>
        <w:rPr>
          <w:b/>
          <w:bCs/>
          <w:sz w:val="24"/>
          <w:szCs w:val="24"/>
        </w:rPr>
      </w:pPr>
      <w:r>
        <w:rPr>
          <w:b/>
          <w:bCs/>
          <w:sz w:val="24"/>
          <w:szCs w:val="24"/>
        </w:rPr>
        <w:t>GABRIEL BECERRA YAÑEZ</w:t>
      </w:r>
    </w:p>
    <w:p w:rsidR="00590A61" w:rsidRDefault="00CF3BB4">
      <w:pPr>
        <w:spacing w:after="0" w:line="276" w:lineRule="auto"/>
        <w:rPr>
          <w:sz w:val="24"/>
          <w:szCs w:val="24"/>
        </w:rPr>
      </w:pPr>
      <w:r>
        <w:rPr>
          <w:sz w:val="24"/>
          <w:szCs w:val="24"/>
        </w:rPr>
        <w:t xml:space="preserve">Presidente </w:t>
      </w:r>
    </w:p>
    <w:p w:rsidR="00590A61" w:rsidRDefault="00CF3BB4">
      <w:pPr>
        <w:spacing w:after="0" w:line="276" w:lineRule="auto"/>
        <w:rPr>
          <w:sz w:val="24"/>
          <w:szCs w:val="24"/>
        </w:rPr>
      </w:pPr>
      <w:r>
        <w:rPr>
          <w:sz w:val="24"/>
          <w:szCs w:val="24"/>
        </w:rPr>
        <w:t>Comisión Primera Constitucional Permanente</w:t>
      </w:r>
    </w:p>
    <w:p w:rsidR="00590A61" w:rsidRDefault="00CF3BB4">
      <w:pPr>
        <w:spacing w:after="0" w:line="276" w:lineRule="auto"/>
        <w:rPr>
          <w:b/>
          <w:bCs/>
          <w:sz w:val="24"/>
          <w:szCs w:val="24"/>
        </w:rPr>
      </w:pPr>
      <w:r>
        <w:rPr>
          <w:b/>
          <w:bCs/>
          <w:sz w:val="24"/>
          <w:szCs w:val="24"/>
        </w:rPr>
        <w:t>CÁMARA DE REPRESENTANTES</w:t>
      </w:r>
    </w:p>
    <w:p w:rsidR="00590A61" w:rsidRDefault="00590A61">
      <w:pPr>
        <w:spacing w:after="0" w:line="276" w:lineRule="auto"/>
        <w:rPr>
          <w:sz w:val="24"/>
          <w:szCs w:val="24"/>
        </w:rPr>
      </w:pPr>
    </w:p>
    <w:p w:rsidR="00590A61" w:rsidRDefault="00590A61">
      <w:pPr>
        <w:spacing w:after="0" w:line="276" w:lineRule="auto"/>
        <w:rPr>
          <w:sz w:val="24"/>
          <w:szCs w:val="24"/>
        </w:rPr>
      </w:pPr>
    </w:p>
    <w:p w:rsidR="00590A61" w:rsidRDefault="00CF3BB4">
      <w:pPr>
        <w:spacing w:line="276" w:lineRule="auto"/>
        <w:ind w:left="3600"/>
        <w:jc w:val="both"/>
        <w:rPr>
          <w:sz w:val="24"/>
          <w:szCs w:val="24"/>
        </w:rPr>
      </w:pPr>
      <w:r>
        <w:rPr>
          <w:b/>
          <w:bCs/>
          <w:sz w:val="24"/>
          <w:szCs w:val="24"/>
        </w:rPr>
        <w:t xml:space="preserve">REF: </w:t>
      </w:r>
      <w:r>
        <w:rPr>
          <w:sz w:val="24"/>
          <w:szCs w:val="24"/>
        </w:rPr>
        <w:t>Ponencia para primer debate en Cámara de Representantes del Proyecto de Ley No. 431 de 2025 Cámara “Por medio de la cual se crea la compensación económica como reconocimiento al trabajo de cuidado en el hogar mitigando el desequilibrio económico derivado d</w:t>
      </w:r>
      <w:r>
        <w:rPr>
          <w:sz w:val="24"/>
          <w:szCs w:val="24"/>
        </w:rPr>
        <w:t>el divorcio o la disolución de la unión marital de hecho”.</w:t>
      </w:r>
    </w:p>
    <w:p w:rsidR="00590A61" w:rsidRDefault="00590A61">
      <w:pPr>
        <w:spacing w:line="276" w:lineRule="auto"/>
        <w:rPr>
          <w:sz w:val="24"/>
          <w:szCs w:val="24"/>
        </w:rPr>
      </w:pPr>
    </w:p>
    <w:p w:rsidR="00590A61" w:rsidRDefault="00CF3BB4">
      <w:pPr>
        <w:spacing w:line="276" w:lineRule="auto"/>
        <w:ind w:right="-376"/>
        <w:jc w:val="both"/>
        <w:rPr>
          <w:sz w:val="24"/>
          <w:szCs w:val="24"/>
        </w:rPr>
      </w:pPr>
      <w:r>
        <w:rPr>
          <w:sz w:val="24"/>
          <w:szCs w:val="24"/>
        </w:rPr>
        <w:t>Respetado presidente, </w:t>
      </w:r>
    </w:p>
    <w:p w:rsidR="00590A61" w:rsidRDefault="00590A61">
      <w:pPr>
        <w:spacing w:line="276" w:lineRule="auto"/>
        <w:ind w:right="-376"/>
        <w:jc w:val="both"/>
        <w:rPr>
          <w:sz w:val="24"/>
          <w:szCs w:val="24"/>
        </w:rPr>
      </w:pPr>
    </w:p>
    <w:p w:rsidR="00590A61" w:rsidRDefault="00CF3BB4">
      <w:pPr>
        <w:spacing w:line="276" w:lineRule="auto"/>
        <w:ind w:right="-376"/>
        <w:jc w:val="both"/>
        <w:rPr>
          <w:i/>
          <w:iCs/>
          <w:sz w:val="24"/>
          <w:szCs w:val="24"/>
        </w:rPr>
      </w:pPr>
      <w:r>
        <w:rPr>
          <w:color w:val="000000"/>
          <w:sz w:val="24"/>
          <w:szCs w:val="24"/>
        </w:rPr>
        <w:t>En cumplimiento de la designación realizada por la Honorable Mesa Directiva de la Comisión Primera Constitucional Permanente de la Cámara de Representantes, y de conformida</w:t>
      </w:r>
      <w:r>
        <w:rPr>
          <w:color w:val="000000"/>
          <w:sz w:val="24"/>
          <w:szCs w:val="24"/>
        </w:rPr>
        <w:t xml:space="preserve">d con lo establecido en el artículo 156 de la Ley 5ª de 1992 y </w:t>
      </w:r>
      <w:proofErr w:type="spellStart"/>
      <w:r>
        <w:rPr>
          <w:color w:val="000000"/>
          <w:sz w:val="24"/>
          <w:szCs w:val="24"/>
        </w:rPr>
        <w:t>ss</w:t>
      </w:r>
      <w:proofErr w:type="spellEnd"/>
      <w:r>
        <w:rPr>
          <w:color w:val="000000"/>
          <w:sz w:val="24"/>
          <w:szCs w:val="24"/>
        </w:rPr>
        <w:t xml:space="preserve">, me </w:t>
      </w:r>
      <w:r>
        <w:rPr>
          <w:sz w:val="24"/>
          <w:szCs w:val="24"/>
        </w:rPr>
        <w:t>permito</w:t>
      </w:r>
      <w:r>
        <w:rPr>
          <w:color w:val="000000"/>
          <w:sz w:val="24"/>
          <w:szCs w:val="24"/>
        </w:rPr>
        <w:t xml:space="preserve"> rendir Informe de Ponencia para </w:t>
      </w:r>
      <w:r>
        <w:rPr>
          <w:color w:val="000000"/>
          <w:sz w:val="24"/>
          <w:szCs w:val="24"/>
          <w:highlight w:val="white"/>
        </w:rPr>
        <w:t xml:space="preserve">Primer </w:t>
      </w:r>
      <w:r>
        <w:rPr>
          <w:color w:val="000000"/>
          <w:sz w:val="24"/>
          <w:szCs w:val="24"/>
        </w:rPr>
        <w:t xml:space="preserve">Debate del </w:t>
      </w:r>
      <w:r>
        <w:rPr>
          <w:sz w:val="24"/>
          <w:szCs w:val="24"/>
        </w:rPr>
        <w:t xml:space="preserve">Proyecto de Ley No. 431 de 2025 Cámara </w:t>
      </w:r>
      <w:r>
        <w:rPr>
          <w:i/>
          <w:iCs/>
          <w:sz w:val="24"/>
          <w:szCs w:val="24"/>
        </w:rPr>
        <w:t>“Por medio de la cual se crea la compensación económica como reconocimiento al trabajo de</w:t>
      </w:r>
      <w:r>
        <w:rPr>
          <w:i/>
          <w:iCs/>
          <w:sz w:val="24"/>
          <w:szCs w:val="24"/>
        </w:rPr>
        <w:t xml:space="preserve"> cuidado en el hogar mitigando el desequilibrio económico derivado del divorcio o la disolución de la unión marital de hecho”.</w:t>
      </w:r>
    </w:p>
    <w:p w:rsidR="00590A61" w:rsidRDefault="00CF3BB4">
      <w:pPr>
        <w:spacing w:line="276" w:lineRule="auto"/>
        <w:jc w:val="both"/>
        <w:rPr>
          <w:sz w:val="24"/>
          <w:szCs w:val="24"/>
        </w:rPr>
      </w:pPr>
      <w:r>
        <w:rPr>
          <w:sz w:val="24"/>
          <w:szCs w:val="24"/>
        </w:rPr>
        <w:t>Cordialmente,</w:t>
      </w:r>
    </w:p>
    <w:p w:rsidR="00590A61" w:rsidRDefault="00590A61">
      <w:pPr>
        <w:spacing w:line="276" w:lineRule="auto"/>
        <w:ind w:right="-376"/>
        <w:jc w:val="both"/>
        <w:rPr>
          <w:i/>
          <w:iCs/>
          <w:sz w:val="24"/>
          <w:szCs w:val="24"/>
        </w:rPr>
      </w:pPr>
    </w:p>
    <w:p w:rsidR="00590A61" w:rsidRDefault="00590A61">
      <w:pPr>
        <w:spacing w:line="276" w:lineRule="auto"/>
        <w:ind w:right="-376"/>
        <w:jc w:val="both"/>
        <w:rPr>
          <w:i/>
          <w:iCs/>
          <w:sz w:val="24"/>
          <w:szCs w:val="24"/>
        </w:rPr>
      </w:pPr>
    </w:p>
    <w:p w:rsidR="00590A61" w:rsidRDefault="00CF3BB4">
      <w:pPr>
        <w:spacing w:after="0" w:line="276" w:lineRule="auto"/>
        <w:jc w:val="center"/>
        <w:rPr>
          <w:rFonts w:ascii="Times New Roman" w:eastAsia="Times New Roman" w:hAnsi="Times New Roman" w:cs="Times New Roman"/>
          <w:sz w:val="24"/>
          <w:szCs w:val="24"/>
        </w:rPr>
      </w:pPr>
      <w:r>
        <w:rPr>
          <w:b/>
          <w:bCs/>
          <w:color w:val="000000"/>
          <w:sz w:val="24"/>
          <w:szCs w:val="24"/>
        </w:rPr>
        <w:t>JENNIFER PEDRAZA SANDOVAL </w:t>
      </w:r>
    </w:p>
    <w:p w:rsidR="00590A61" w:rsidRDefault="00CF3BB4">
      <w:pPr>
        <w:spacing w:after="0" w:line="276" w:lineRule="auto"/>
        <w:jc w:val="center"/>
        <w:rPr>
          <w:rFonts w:ascii="Times New Roman" w:eastAsia="Times New Roman" w:hAnsi="Times New Roman" w:cs="Times New Roman"/>
          <w:sz w:val="24"/>
          <w:szCs w:val="24"/>
        </w:rPr>
      </w:pPr>
      <w:r>
        <w:rPr>
          <w:color w:val="000000"/>
          <w:sz w:val="24"/>
          <w:szCs w:val="24"/>
        </w:rPr>
        <w:t>Representante a la Cámara</w:t>
      </w:r>
    </w:p>
    <w:p w:rsidR="00590A61" w:rsidRDefault="00CF3BB4">
      <w:pPr>
        <w:spacing w:after="0" w:line="276" w:lineRule="auto"/>
        <w:jc w:val="center"/>
        <w:rPr>
          <w:rFonts w:ascii="Times New Roman" w:eastAsia="Times New Roman" w:hAnsi="Times New Roman" w:cs="Times New Roman"/>
          <w:sz w:val="24"/>
          <w:szCs w:val="24"/>
        </w:rPr>
      </w:pPr>
      <w:r>
        <w:rPr>
          <w:color w:val="000000"/>
          <w:sz w:val="24"/>
          <w:szCs w:val="24"/>
        </w:rPr>
        <w:t>Ponente Única</w:t>
      </w:r>
    </w:p>
    <w:p w:rsidR="00590A61" w:rsidRDefault="00590A61">
      <w:pPr>
        <w:spacing w:line="276" w:lineRule="auto"/>
        <w:jc w:val="both"/>
        <w:rPr>
          <w:sz w:val="24"/>
          <w:szCs w:val="24"/>
        </w:rPr>
      </w:pPr>
    </w:p>
    <w:p w:rsidR="00590A61" w:rsidRDefault="00CF3BB4">
      <w:pPr>
        <w:spacing w:line="276" w:lineRule="auto"/>
        <w:ind w:right="-376"/>
        <w:jc w:val="center"/>
        <w:rPr>
          <w:b/>
          <w:bCs/>
          <w:sz w:val="24"/>
          <w:szCs w:val="24"/>
        </w:rPr>
      </w:pPr>
      <w:r>
        <w:rPr>
          <w:b/>
          <w:bCs/>
          <w:sz w:val="24"/>
          <w:szCs w:val="24"/>
        </w:rPr>
        <w:lastRenderedPageBreak/>
        <w:t>INFORME DE PONENCIA PARA PRIMER DEBATE EN LA COMISIÓN PRIMERA DE LA CÁMARA DE REPRESENTANTES AL PROYECTO DE LEY NO. 431 DE 2025 C</w:t>
      </w:r>
    </w:p>
    <w:p w:rsidR="00590A61" w:rsidRDefault="00CF3BB4">
      <w:pPr>
        <w:spacing w:line="276" w:lineRule="auto"/>
        <w:jc w:val="center"/>
        <w:rPr>
          <w:b/>
          <w:bCs/>
          <w:sz w:val="24"/>
          <w:szCs w:val="24"/>
        </w:rPr>
      </w:pPr>
      <w:r>
        <w:rPr>
          <w:b/>
          <w:bCs/>
          <w:sz w:val="24"/>
          <w:szCs w:val="24"/>
        </w:rPr>
        <w:t>“</w:t>
      </w:r>
      <w:r>
        <w:rPr>
          <w:b/>
          <w:bCs/>
          <w:i/>
          <w:iCs/>
          <w:sz w:val="24"/>
          <w:szCs w:val="24"/>
        </w:rPr>
        <w:t>POR MEDIO DE LA CUAL SE CREA LA COMPENSACIÓN ECONÓMICA COMO RECONOCIMIENTO AL TRABAJO DE CUIDADO EN EL HOGAR MITIGANDO EL DES</w:t>
      </w:r>
      <w:r>
        <w:rPr>
          <w:b/>
          <w:bCs/>
          <w:i/>
          <w:iCs/>
          <w:sz w:val="24"/>
          <w:szCs w:val="24"/>
        </w:rPr>
        <w:t>EQUILIBRIO ECONÓMICO DERIVADO DEL DIVORCIO O LA DISOLUCIÓN DE LA UNIÓN MARITAL DE HECHO</w:t>
      </w:r>
      <w:r>
        <w:rPr>
          <w:b/>
          <w:bCs/>
          <w:sz w:val="24"/>
          <w:szCs w:val="24"/>
        </w:rPr>
        <w:t>”</w:t>
      </w:r>
    </w:p>
    <w:p w:rsidR="00590A61" w:rsidRDefault="00CF3BB4">
      <w:pPr>
        <w:spacing w:line="276" w:lineRule="auto"/>
        <w:ind w:right="-376"/>
        <w:jc w:val="both"/>
        <w:rPr>
          <w:color w:val="000000"/>
          <w:sz w:val="24"/>
          <w:szCs w:val="24"/>
        </w:rPr>
      </w:pPr>
      <w:r>
        <w:rPr>
          <w:sz w:val="24"/>
          <w:szCs w:val="24"/>
        </w:rPr>
        <w:t>En mi calidad de ponente del Proyecto de Ley de la referencia, por designación efectuada por la Mesa Directiva de la Comisión Primera Constitucional Permanente de</w:t>
      </w:r>
      <w:r>
        <w:rPr>
          <w:b/>
          <w:bCs/>
          <w:sz w:val="24"/>
          <w:szCs w:val="24"/>
        </w:rPr>
        <w:t xml:space="preserve"> </w:t>
      </w:r>
      <w:r>
        <w:rPr>
          <w:sz w:val="24"/>
          <w:szCs w:val="24"/>
        </w:rPr>
        <w:t>Cáma</w:t>
      </w:r>
      <w:r>
        <w:rPr>
          <w:sz w:val="24"/>
          <w:szCs w:val="24"/>
        </w:rPr>
        <w:t>ra de Representantes,</w:t>
      </w:r>
      <w:r>
        <w:rPr>
          <w:b/>
          <w:bCs/>
          <w:sz w:val="24"/>
          <w:szCs w:val="24"/>
        </w:rPr>
        <w:t xml:space="preserve"> </w:t>
      </w:r>
      <w:r>
        <w:rPr>
          <w:sz w:val="24"/>
          <w:szCs w:val="24"/>
        </w:rPr>
        <w:t xml:space="preserve">informada mediante el Oficio C.P.C.P. 3-1-696 de 2025, el informe </w:t>
      </w:r>
      <w:r>
        <w:rPr>
          <w:color w:val="000000"/>
          <w:sz w:val="24"/>
          <w:szCs w:val="24"/>
        </w:rPr>
        <w:t xml:space="preserve">de ponencia </w:t>
      </w:r>
      <w:r>
        <w:rPr>
          <w:sz w:val="24"/>
          <w:szCs w:val="24"/>
        </w:rPr>
        <w:t xml:space="preserve">para primer debate en la Cámara de Representantes </w:t>
      </w:r>
      <w:r>
        <w:rPr>
          <w:color w:val="000000"/>
          <w:sz w:val="24"/>
          <w:szCs w:val="24"/>
        </w:rPr>
        <w:t>a continuación está organizado en las siguientes partes:</w:t>
      </w:r>
    </w:p>
    <w:p w:rsidR="00590A61" w:rsidRDefault="00CF3BB4">
      <w:pPr>
        <w:numPr>
          <w:ilvl w:val="0"/>
          <w:numId w:val="1"/>
        </w:numPr>
        <w:pBdr>
          <w:top w:val="nil"/>
          <w:left w:val="nil"/>
          <w:bottom w:val="nil"/>
          <w:right w:val="nil"/>
          <w:between w:val="nil"/>
        </w:pBdr>
        <w:spacing w:after="0" w:line="276" w:lineRule="auto"/>
        <w:rPr>
          <w:b/>
          <w:bCs/>
          <w:color w:val="000000"/>
          <w:sz w:val="24"/>
          <w:szCs w:val="24"/>
        </w:rPr>
      </w:pPr>
      <w:r>
        <w:rPr>
          <w:b/>
          <w:bCs/>
          <w:color w:val="000000"/>
          <w:sz w:val="24"/>
          <w:szCs w:val="24"/>
        </w:rPr>
        <w:t>TRÁMITE DE LA INICIATIVA</w:t>
      </w:r>
    </w:p>
    <w:p w:rsidR="00590A61" w:rsidRDefault="00CF3BB4">
      <w:pPr>
        <w:numPr>
          <w:ilvl w:val="0"/>
          <w:numId w:val="1"/>
        </w:numPr>
        <w:pBdr>
          <w:top w:val="nil"/>
          <w:left w:val="nil"/>
          <w:bottom w:val="nil"/>
          <w:right w:val="nil"/>
          <w:between w:val="nil"/>
        </w:pBdr>
        <w:spacing w:after="0" w:line="276" w:lineRule="auto"/>
        <w:rPr>
          <w:b/>
          <w:bCs/>
          <w:color w:val="000000"/>
          <w:sz w:val="24"/>
          <w:szCs w:val="24"/>
        </w:rPr>
      </w:pPr>
      <w:r>
        <w:rPr>
          <w:b/>
          <w:bCs/>
          <w:color w:val="000000"/>
          <w:sz w:val="24"/>
          <w:szCs w:val="24"/>
        </w:rPr>
        <w:t>OBJETO DEL PROYECTO</w:t>
      </w:r>
    </w:p>
    <w:p w:rsidR="00590A61" w:rsidRDefault="00CF3BB4">
      <w:pPr>
        <w:numPr>
          <w:ilvl w:val="0"/>
          <w:numId w:val="1"/>
        </w:numPr>
        <w:pBdr>
          <w:top w:val="nil"/>
          <w:left w:val="nil"/>
          <w:bottom w:val="nil"/>
          <w:right w:val="nil"/>
          <w:between w:val="nil"/>
        </w:pBdr>
        <w:spacing w:after="0" w:line="276" w:lineRule="auto"/>
        <w:rPr>
          <w:b/>
          <w:bCs/>
          <w:color w:val="000000"/>
          <w:sz w:val="24"/>
          <w:szCs w:val="24"/>
        </w:rPr>
      </w:pPr>
      <w:r>
        <w:rPr>
          <w:b/>
          <w:bCs/>
          <w:color w:val="000000"/>
          <w:sz w:val="24"/>
          <w:szCs w:val="24"/>
        </w:rPr>
        <w:t>EXPOSICIÓN DE MOTIVOS</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w:t>
      </w:r>
      <w:r>
        <w:rPr>
          <w:b/>
          <w:bCs/>
          <w:color w:val="000000"/>
          <w:sz w:val="24"/>
          <w:szCs w:val="24"/>
          <w:highlight w:val="white"/>
        </w:rPr>
        <w:t>1. LA ECONOMÍA DEL CUIDADO: TRABAJO INVISIBLE, VALOR IGNORADO</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w:t>
      </w:r>
      <w:r>
        <w:rPr>
          <w:b/>
          <w:bCs/>
          <w:color w:val="000000"/>
          <w:sz w:val="24"/>
          <w:szCs w:val="24"/>
          <w:highlight w:val="white"/>
        </w:rPr>
        <w:t>2. LA ASIMETRÍA DEL TIEMPO: BRECHAS DE GÉNERO EN EL USO COTIDIANO</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w:t>
      </w:r>
      <w:r>
        <w:rPr>
          <w:b/>
          <w:bCs/>
          <w:color w:val="000000"/>
          <w:sz w:val="24"/>
          <w:szCs w:val="24"/>
          <w:highlight w:val="white"/>
        </w:rPr>
        <w:t>3. EL COSTO DE OPORTUNIDAD: IMPACTO EN LA AUTONOMÍA ECONÓMICA Y LA VULNERABILIDAD FEMENINA</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3.4. CONS</w:t>
      </w:r>
      <w:r>
        <w:rPr>
          <w:b/>
          <w:bCs/>
          <w:color w:val="000000"/>
          <w:sz w:val="24"/>
          <w:szCs w:val="24"/>
        </w:rPr>
        <w:t>TITUCIONALIDAD DEL PROYECTO DE LEY</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3.5. DERECHO COMPARADO</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3.5.1. ESPAÑA</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3.5.2. CHILE</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3.6.</w:t>
      </w:r>
      <w:r w:rsidR="00F20B32">
        <w:rPr>
          <w:b/>
          <w:bCs/>
          <w:color w:val="000000"/>
          <w:sz w:val="24"/>
          <w:szCs w:val="24"/>
        </w:rPr>
        <w:t xml:space="preserve"> </w:t>
      </w:r>
      <w:r>
        <w:rPr>
          <w:b/>
          <w:bCs/>
          <w:color w:val="000000"/>
          <w:sz w:val="24"/>
          <w:szCs w:val="24"/>
        </w:rPr>
        <w:t>IMPACTOS SOCIALES, ECONÓMICOS Y JURÍDICOS DEL PROYECTO</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3.6.1. RECONOCIMIENTO Y VALORACIÓN DEL TRABAJO DE CUIDADO NO REMUNERADO</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3.6.2. CORRECCIÓN DE LA DESIGUALDAD DE GÉNERO ESTRUCTURAL</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3.6.3. PROMOCIÓN DE LA AUTONOMÍA ECONÓMICA</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3.6.4. PROTECCIÓN CONTRA LA VULNERABILIDAD ECONÓMICA POSTERIOR AL DIVORCIO O DISOLUCIÓN DE LA UNIÓN MARITAL DE HECHO</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3.6.5. ACTUALIZACIÓN DEL RÉGIMEN DE FA</w:t>
      </w:r>
      <w:r>
        <w:rPr>
          <w:b/>
          <w:bCs/>
          <w:color w:val="000000"/>
          <w:sz w:val="24"/>
          <w:szCs w:val="24"/>
        </w:rPr>
        <w:t>MILIA A ESTÁNDARES INTERNACIONALES</w:t>
      </w:r>
    </w:p>
    <w:p w:rsidR="00590A61" w:rsidRDefault="00CF3BB4">
      <w:pPr>
        <w:pBdr>
          <w:top w:val="nil"/>
          <w:left w:val="nil"/>
          <w:bottom w:val="nil"/>
          <w:right w:val="nil"/>
          <w:between w:val="nil"/>
        </w:pBdr>
        <w:spacing w:after="0" w:line="276" w:lineRule="auto"/>
        <w:ind w:left="720"/>
        <w:rPr>
          <w:b/>
          <w:bCs/>
          <w:color w:val="000000"/>
          <w:sz w:val="24"/>
          <w:szCs w:val="24"/>
        </w:rPr>
      </w:pPr>
      <w:r>
        <w:rPr>
          <w:b/>
          <w:bCs/>
          <w:color w:val="000000"/>
          <w:sz w:val="24"/>
          <w:szCs w:val="24"/>
        </w:rPr>
        <w:t>3.6.6. FORTALECIMIENTO DE LA COHESIÓN FAMILIAR Y REPARACIÓN INTEGRAL</w:t>
      </w:r>
    </w:p>
    <w:p w:rsidR="00590A61" w:rsidRDefault="00CF3BB4">
      <w:pPr>
        <w:numPr>
          <w:ilvl w:val="0"/>
          <w:numId w:val="1"/>
        </w:numPr>
        <w:pBdr>
          <w:top w:val="nil"/>
          <w:left w:val="nil"/>
          <w:bottom w:val="nil"/>
          <w:right w:val="nil"/>
          <w:between w:val="nil"/>
        </w:pBdr>
        <w:spacing w:after="0" w:line="276" w:lineRule="auto"/>
        <w:rPr>
          <w:b/>
          <w:bCs/>
          <w:color w:val="000000"/>
          <w:sz w:val="24"/>
          <w:szCs w:val="24"/>
        </w:rPr>
      </w:pPr>
      <w:r>
        <w:rPr>
          <w:b/>
          <w:bCs/>
          <w:color w:val="000000"/>
          <w:sz w:val="24"/>
          <w:szCs w:val="24"/>
        </w:rPr>
        <w:t>IMPACTO FISCAL</w:t>
      </w:r>
    </w:p>
    <w:p w:rsidR="00590A61" w:rsidRDefault="00CF3BB4">
      <w:pPr>
        <w:numPr>
          <w:ilvl w:val="0"/>
          <w:numId w:val="1"/>
        </w:numPr>
        <w:pBdr>
          <w:top w:val="nil"/>
          <w:left w:val="nil"/>
          <w:bottom w:val="nil"/>
          <w:right w:val="nil"/>
          <w:between w:val="nil"/>
        </w:pBdr>
        <w:spacing w:after="0" w:line="276" w:lineRule="auto"/>
        <w:rPr>
          <w:b/>
          <w:bCs/>
          <w:color w:val="000000"/>
          <w:sz w:val="24"/>
          <w:szCs w:val="24"/>
        </w:rPr>
      </w:pPr>
      <w:r>
        <w:rPr>
          <w:b/>
          <w:bCs/>
          <w:color w:val="000000"/>
          <w:sz w:val="24"/>
          <w:szCs w:val="24"/>
        </w:rPr>
        <w:t>CONFLICTO DE INTERESES</w:t>
      </w:r>
    </w:p>
    <w:p w:rsidR="00590A61" w:rsidRDefault="00CF3BB4">
      <w:pPr>
        <w:numPr>
          <w:ilvl w:val="0"/>
          <w:numId w:val="1"/>
        </w:numPr>
        <w:pBdr>
          <w:top w:val="nil"/>
          <w:left w:val="nil"/>
          <w:bottom w:val="nil"/>
          <w:right w:val="nil"/>
          <w:between w:val="nil"/>
        </w:pBdr>
        <w:spacing w:after="0" w:line="276" w:lineRule="auto"/>
        <w:rPr>
          <w:b/>
          <w:bCs/>
          <w:color w:val="000000"/>
          <w:sz w:val="24"/>
          <w:szCs w:val="24"/>
        </w:rPr>
      </w:pPr>
      <w:r>
        <w:rPr>
          <w:b/>
          <w:bCs/>
          <w:color w:val="000000"/>
          <w:sz w:val="24"/>
          <w:szCs w:val="24"/>
        </w:rPr>
        <w:t>PROPOSICIÓN</w:t>
      </w:r>
    </w:p>
    <w:p w:rsidR="00590A61" w:rsidRDefault="00CF3BB4">
      <w:pPr>
        <w:numPr>
          <w:ilvl w:val="0"/>
          <w:numId w:val="1"/>
        </w:numPr>
        <w:pBdr>
          <w:top w:val="nil"/>
          <w:left w:val="nil"/>
          <w:bottom w:val="nil"/>
          <w:right w:val="nil"/>
          <w:between w:val="nil"/>
        </w:pBdr>
        <w:spacing w:line="276" w:lineRule="auto"/>
        <w:rPr>
          <w:b/>
          <w:bCs/>
          <w:color w:val="000000"/>
          <w:sz w:val="24"/>
          <w:szCs w:val="24"/>
        </w:rPr>
      </w:pPr>
      <w:r>
        <w:rPr>
          <w:b/>
          <w:bCs/>
          <w:color w:val="000000"/>
          <w:sz w:val="24"/>
          <w:szCs w:val="24"/>
        </w:rPr>
        <w:t>TEXTO PROPUESTO PARA PRIMER DEBATE</w:t>
      </w:r>
    </w:p>
    <w:p w:rsidR="00590A61" w:rsidRDefault="00CF3BB4">
      <w:pPr>
        <w:numPr>
          <w:ilvl w:val="0"/>
          <w:numId w:val="2"/>
        </w:numPr>
        <w:pBdr>
          <w:top w:val="nil"/>
          <w:left w:val="nil"/>
          <w:bottom w:val="nil"/>
          <w:right w:val="nil"/>
          <w:between w:val="nil"/>
        </w:pBdr>
        <w:spacing w:before="240" w:after="240" w:line="276" w:lineRule="auto"/>
        <w:jc w:val="both"/>
        <w:rPr>
          <w:b/>
          <w:bCs/>
          <w:color w:val="000000"/>
          <w:sz w:val="24"/>
          <w:szCs w:val="24"/>
        </w:rPr>
      </w:pPr>
      <w:r>
        <w:rPr>
          <w:b/>
          <w:bCs/>
          <w:color w:val="000000"/>
          <w:sz w:val="24"/>
          <w:szCs w:val="24"/>
        </w:rPr>
        <w:lastRenderedPageBreak/>
        <w:t>TRÁMITE DE LA INICIATIVA</w:t>
      </w:r>
    </w:p>
    <w:p w:rsidR="00590A61" w:rsidRDefault="00CF3BB4">
      <w:pPr>
        <w:spacing w:before="280" w:after="280" w:line="276" w:lineRule="auto"/>
        <w:jc w:val="both"/>
        <w:rPr>
          <w:sz w:val="24"/>
          <w:szCs w:val="24"/>
        </w:rPr>
      </w:pPr>
      <w:r>
        <w:rPr>
          <w:sz w:val="24"/>
          <w:szCs w:val="24"/>
        </w:rPr>
        <w:t>El Proyecto de Ley fue radicado en la Secretaría General de la Cámara de Representantes el 16 de octubre de 2025, asignándole el número de Proyecto de Ley 431 de 2025 y repartiéndose en la Comisión Primera Constitucional publicándose en Gaceta del Congreso</w:t>
      </w:r>
      <w:r>
        <w:rPr>
          <w:sz w:val="24"/>
          <w:szCs w:val="24"/>
        </w:rPr>
        <w:t xml:space="preserve"> número 2012 del 22 de octubre de 2025.</w:t>
      </w:r>
    </w:p>
    <w:p w:rsidR="00590A61" w:rsidRDefault="00CF3BB4">
      <w:pPr>
        <w:spacing w:before="280" w:after="280" w:line="276" w:lineRule="auto"/>
        <w:jc w:val="both"/>
        <w:rPr>
          <w:sz w:val="24"/>
          <w:szCs w:val="24"/>
        </w:rPr>
      </w:pPr>
      <w:r>
        <w:rPr>
          <w:sz w:val="24"/>
          <w:szCs w:val="24"/>
        </w:rPr>
        <w:t xml:space="preserve">La autoría de esta iniciativa legislativa corresponde a la Honorable Senadora </w:t>
      </w:r>
      <w:proofErr w:type="spellStart"/>
      <w:r>
        <w:rPr>
          <w:sz w:val="24"/>
          <w:szCs w:val="24"/>
        </w:rPr>
        <w:t>Jael</w:t>
      </w:r>
      <w:proofErr w:type="spellEnd"/>
      <w:r>
        <w:rPr>
          <w:sz w:val="24"/>
          <w:szCs w:val="24"/>
        </w:rPr>
        <w:t xml:space="preserve"> Quiroga Carrillo. </w:t>
      </w:r>
    </w:p>
    <w:p w:rsidR="00590A61" w:rsidRDefault="00CF3BB4">
      <w:pPr>
        <w:spacing w:before="280" w:after="0" w:line="276" w:lineRule="auto"/>
        <w:jc w:val="both"/>
        <w:rPr>
          <w:sz w:val="24"/>
          <w:szCs w:val="24"/>
        </w:rPr>
      </w:pPr>
      <w:r>
        <w:rPr>
          <w:sz w:val="24"/>
          <w:szCs w:val="24"/>
        </w:rPr>
        <w:t>El 15 de diciembre de 2025 la Mesa Directiva de la Comisión Primera Constitucional Permanente de</w:t>
      </w:r>
      <w:r>
        <w:rPr>
          <w:b/>
          <w:bCs/>
          <w:sz w:val="24"/>
          <w:szCs w:val="24"/>
        </w:rPr>
        <w:t xml:space="preserve"> </w:t>
      </w:r>
      <w:r>
        <w:rPr>
          <w:sz w:val="24"/>
          <w:szCs w:val="24"/>
        </w:rPr>
        <w:t>Cámara de Representantes mediante el Oficio C.P.C.P. 3-1-696 de 2025 designó como ponente única a la Honorable Representante Jennifer Pedraza Sandoval.</w:t>
      </w:r>
    </w:p>
    <w:p w:rsidR="00590A61" w:rsidRDefault="00590A61">
      <w:pPr>
        <w:spacing w:before="280" w:after="0" w:line="276" w:lineRule="auto"/>
        <w:jc w:val="both"/>
        <w:rPr>
          <w:sz w:val="24"/>
          <w:szCs w:val="24"/>
        </w:rPr>
      </w:pPr>
    </w:p>
    <w:p w:rsidR="00590A61" w:rsidRDefault="00CF3BB4">
      <w:pPr>
        <w:numPr>
          <w:ilvl w:val="0"/>
          <w:numId w:val="2"/>
        </w:numPr>
        <w:pBdr>
          <w:top w:val="nil"/>
          <w:left w:val="nil"/>
          <w:bottom w:val="nil"/>
          <w:right w:val="nil"/>
          <w:between w:val="nil"/>
        </w:pBdr>
        <w:spacing w:line="276" w:lineRule="auto"/>
        <w:jc w:val="both"/>
        <w:rPr>
          <w:b/>
          <w:bCs/>
          <w:color w:val="000000"/>
          <w:sz w:val="24"/>
          <w:szCs w:val="24"/>
        </w:rPr>
      </w:pPr>
      <w:r>
        <w:rPr>
          <w:b/>
          <w:bCs/>
          <w:color w:val="000000"/>
          <w:sz w:val="24"/>
          <w:szCs w:val="24"/>
        </w:rPr>
        <w:t>OBJETO Y CONTENIDO DEL PROYECTO DE LEY</w:t>
      </w:r>
    </w:p>
    <w:p w:rsidR="00590A61" w:rsidRDefault="00590A61">
      <w:pPr>
        <w:pBdr>
          <w:top w:val="nil"/>
          <w:left w:val="nil"/>
          <w:bottom w:val="nil"/>
          <w:right w:val="nil"/>
          <w:between w:val="nil"/>
        </w:pBdr>
        <w:spacing w:after="0" w:line="276" w:lineRule="auto"/>
        <w:rPr>
          <w:color w:val="000000"/>
          <w:sz w:val="24"/>
          <w:szCs w:val="24"/>
        </w:rPr>
      </w:pPr>
    </w:p>
    <w:p w:rsidR="00590A61" w:rsidRDefault="00CF3BB4">
      <w:pPr>
        <w:spacing w:line="276" w:lineRule="auto"/>
        <w:jc w:val="both"/>
        <w:rPr>
          <w:sz w:val="24"/>
          <w:szCs w:val="24"/>
        </w:rPr>
      </w:pPr>
      <w:r>
        <w:rPr>
          <w:sz w:val="24"/>
          <w:szCs w:val="24"/>
        </w:rPr>
        <w:t xml:space="preserve">El objeto de este Proyecto de Ley es incorporar en el ordenamiento jurídico colombiano la figura de la compensación económica para el cónyuge o compañero permanente que, tras el divorcio o la disolución de la unión marital de hecho, sufra un desequilibrio </w:t>
      </w:r>
      <w:r>
        <w:rPr>
          <w:sz w:val="24"/>
          <w:szCs w:val="24"/>
        </w:rPr>
        <w:t>económico en relación con la otra parte. Esta medida busca mitigar dicho desequilibrio y reconocer las labores de cuidado como trabajo no remunerado asumido por uno de los miembros de la pareja, tales como las labores domésticas y la crianza de los hijos e</w:t>
      </w:r>
      <w:r>
        <w:rPr>
          <w:sz w:val="24"/>
          <w:szCs w:val="24"/>
        </w:rPr>
        <w:t xml:space="preserve"> hijas, que históricamente han impedido a muchas personas, mayoritariamente mujeres, desarrollar una actividad remunerada o hacerlo en menor medida, afectando sus oportunidades económicas y su acceso a una pensión.</w:t>
      </w:r>
    </w:p>
    <w:p w:rsidR="00590A61" w:rsidRDefault="00CF3BB4">
      <w:pPr>
        <w:spacing w:line="276" w:lineRule="auto"/>
        <w:jc w:val="both"/>
        <w:rPr>
          <w:sz w:val="24"/>
          <w:szCs w:val="24"/>
        </w:rPr>
      </w:pPr>
      <w:r>
        <w:rPr>
          <w:sz w:val="24"/>
          <w:szCs w:val="24"/>
        </w:rPr>
        <w:t>El proyecto de ley, de conformidad con el</w:t>
      </w:r>
      <w:r>
        <w:rPr>
          <w:sz w:val="24"/>
          <w:szCs w:val="24"/>
        </w:rPr>
        <w:t xml:space="preserve"> texto propuesto para primer debate en la Comisión Primera de la Cámara de Representantes, consta de seis (6) artículos, incluido el de vigencia, así:</w:t>
      </w:r>
    </w:p>
    <w:p w:rsidR="00590A61" w:rsidRDefault="00CF3BB4">
      <w:pPr>
        <w:numPr>
          <w:ilvl w:val="0"/>
          <w:numId w:val="3"/>
        </w:numPr>
        <w:pBdr>
          <w:top w:val="nil"/>
          <w:left w:val="nil"/>
          <w:bottom w:val="nil"/>
          <w:right w:val="nil"/>
          <w:between w:val="nil"/>
        </w:pBdr>
        <w:spacing w:after="0" w:line="276" w:lineRule="auto"/>
        <w:ind w:right="-362"/>
        <w:jc w:val="both"/>
        <w:rPr>
          <w:color w:val="000000"/>
          <w:sz w:val="24"/>
          <w:szCs w:val="24"/>
        </w:rPr>
      </w:pPr>
      <w:r>
        <w:rPr>
          <w:color w:val="000000"/>
          <w:sz w:val="24"/>
          <w:szCs w:val="24"/>
        </w:rPr>
        <w:t>Artículo 1°. Establece el objeto de la Ley.</w:t>
      </w:r>
    </w:p>
    <w:p w:rsidR="00590A61" w:rsidRDefault="00CF3BB4">
      <w:pPr>
        <w:numPr>
          <w:ilvl w:val="0"/>
          <w:numId w:val="4"/>
        </w:numPr>
        <w:pBdr>
          <w:top w:val="nil"/>
          <w:left w:val="nil"/>
          <w:bottom w:val="nil"/>
          <w:right w:val="nil"/>
          <w:between w:val="nil"/>
        </w:pBdr>
        <w:spacing w:after="0" w:line="276" w:lineRule="auto"/>
        <w:ind w:right="-362"/>
        <w:jc w:val="both"/>
        <w:rPr>
          <w:color w:val="000000"/>
          <w:sz w:val="24"/>
          <w:szCs w:val="24"/>
        </w:rPr>
      </w:pPr>
      <w:r>
        <w:rPr>
          <w:color w:val="000000"/>
          <w:sz w:val="24"/>
          <w:szCs w:val="24"/>
        </w:rPr>
        <w:t>Artículo 2°. Compensación económica.</w:t>
      </w:r>
    </w:p>
    <w:p w:rsidR="00590A61" w:rsidRDefault="00CF3BB4">
      <w:pPr>
        <w:numPr>
          <w:ilvl w:val="0"/>
          <w:numId w:val="4"/>
        </w:numPr>
        <w:pBdr>
          <w:top w:val="nil"/>
          <w:left w:val="nil"/>
          <w:bottom w:val="nil"/>
          <w:right w:val="nil"/>
          <w:between w:val="nil"/>
        </w:pBdr>
        <w:spacing w:after="0" w:line="276" w:lineRule="auto"/>
        <w:ind w:right="-362"/>
        <w:jc w:val="both"/>
        <w:rPr>
          <w:color w:val="000000"/>
          <w:sz w:val="24"/>
          <w:szCs w:val="24"/>
        </w:rPr>
      </w:pPr>
      <w:r>
        <w:rPr>
          <w:color w:val="000000"/>
          <w:sz w:val="24"/>
          <w:szCs w:val="24"/>
        </w:rPr>
        <w:t>Artículo 3°. Formas de p</w:t>
      </w:r>
      <w:r>
        <w:rPr>
          <w:color w:val="000000"/>
          <w:sz w:val="24"/>
          <w:szCs w:val="24"/>
        </w:rPr>
        <w:t>ago de la compensación económica.</w:t>
      </w:r>
    </w:p>
    <w:p w:rsidR="00590A61" w:rsidRDefault="00CF3BB4">
      <w:pPr>
        <w:numPr>
          <w:ilvl w:val="0"/>
          <w:numId w:val="4"/>
        </w:numPr>
        <w:pBdr>
          <w:top w:val="nil"/>
          <w:left w:val="nil"/>
          <w:bottom w:val="nil"/>
          <w:right w:val="nil"/>
          <w:between w:val="nil"/>
        </w:pBdr>
        <w:spacing w:after="0" w:line="276" w:lineRule="auto"/>
        <w:ind w:right="-362"/>
        <w:jc w:val="both"/>
        <w:rPr>
          <w:color w:val="000000"/>
          <w:sz w:val="24"/>
          <w:szCs w:val="24"/>
        </w:rPr>
      </w:pPr>
      <w:r>
        <w:rPr>
          <w:color w:val="000000"/>
          <w:sz w:val="24"/>
          <w:szCs w:val="24"/>
        </w:rPr>
        <w:t>Artículo 4°. Tasación y temporalidad.</w:t>
      </w:r>
    </w:p>
    <w:p w:rsidR="00590A61" w:rsidRDefault="00CF3BB4">
      <w:pPr>
        <w:numPr>
          <w:ilvl w:val="0"/>
          <w:numId w:val="4"/>
        </w:numPr>
        <w:pBdr>
          <w:top w:val="nil"/>
          <w:left w:val="nil"/>
          <w:bottom w:val="nil"/>
          <w:right w:val="nil"/>
          <w:between w:val="nil"/>
        </w:pBdr>
        <w:spacing w:after="0" w:line="276" w:lineRule="auto"/>
        <w:ind w:right="-362"/>
        <w:jc w:val="both"/>
        <w:rPr>
          <w:color w:val="000000"/>
          <w:sz w:val="24"/>
          <w:szCs w:val="24"/>
        </w:rPr>
      </w:pPr>
      <w:r>
        <w:rPr>
          <w:color w:val="000000"/>
          <w:sz w:val="24"/>
          <w:szCs w:val="24"/>
        </w:rPr>
        <w:t>Artículo 5°. Reconocimiento</w:t>
      </w:r>
    </w:p>
    <w:p w:rsidR="00590A61" w:rsidRDefault="00CF3BB4">
      <w:pPr>
        <w:numPr>
          <w:ilvl w:val="0"/>
          <w:numId w:val="4"/>
        </w:numPr>
        <w:pBdr>
          <w:top w:val="nil"/>
          <w:left w:val="nil"/>
          <w:bottom w:val="nil"/>
          <w:right w:val="nil"/>
          <w:between w:val="nil"/>
        </w:pBdr>
        <w:spacing w:after="0" w:line="276" w:lineRule="auto"/>
        <w:ind w:right="-362"/>
        <w:jc w:val="both"/>
        <w:rPr>
          <w:color w:val="000000"/>
          <w:sz w:val="24"/>
          <w:szCs w:val="24"/>
        </w:rPr>
      </w:pPr>
      <w:r>
        <w:rPr>
          <w:color w:val="000000"/>
          <w:sz w:val="24"/>
          <w:szCs w:val="24"/>
        </w:rPr>
        <w:t>Artículo 6°. Vigencia.</w:t>
      </w:r>
    </w:p>
    <w:p w:rsidR="00590A61" w:rsidRDefault="00590A61">
      <w:pPr>
        <w:pBdr>
          <w:top w:val="nil"/>
          <w:left w:val="nil"/>
          <w:bottom w:val="nil"/>
          <w:right w:val="nil"/>
          <w:between w:val="nil"/>
        </w:pBdr>
        <w:spacing w:after="0" w:line="276" w:lineRule="auto"/>
        <w:ind w:left="720" w:right="-362"/>
        <w:jc w:val="both"/>
        <w:rPr>
          <w:sz w:val="24"/>
          <w:szCs w:val="24"/>
        </w:rPr>
      </w:pPr>
    </w:p>
    <w:p w:rsidR="00590A61" w:rsidRDefault="00590A61">
      <w:pPr>
        <w:pBdr>
          <w:top w:val="nil"/>
          <w:left w:val="nil"/>
          <w:bottom w:val="nil"/>
          <w:right w:val="nil"/>
          <w:between w:val="nil"/>
        </w:pBdr>
        <w:spacing w:after="0" w:line="276" w:lineRule="auto"/>
        <w:ind w:left="720" w:right="-362"/>
        <w:jc w:val="both"/>
        <w:rPr>
          <w:sz w:val="24"/>
          <w:szCs w:val="24"/>
        </w:rPr>
      </w:pPr>
    </w:p>
    <w:p w:rsidR="00590A61" w:rsidRDefault="00CF3BB4">
      <w:pPr>
        <w:numPr>
          <w:ilvl w:val="0"/>
          <w:numId w:val="2"/>
        </w:numPr>
        <w:pBdr>
          <w:top w:val="nil"/>
          <w:left w:val="nil"/>
          <w:bottom w:val="nil"/>
          <w:right w:val="nil"/>
          <w:between w:val="nil"/>
        </w:pBdr>
        <w:spacing w:line="276" w:lineRule="auto"/>
        <w:ind w:right="-362"/>
        <w:jc w:val="both"/>
        <w:rPr>
          <w:color w:val="000000"/>
          <w:sz w:val="24"/>
          <w:szCs w:val="24"/>
        </w:rPr>
      </w:pPr>
      <w:r>
        <w:rPr>
          <w:b/>
          <w:bCs/>
          <w:color w:val="000000"/>
          <w:sz w:val="24"/>
          <w:szCs w:val="24"/>
        </w:rPr>
        <w:lastRenderedPageBreak/>
        <w:t>EXPOSICIÓN DE MOTIVOS</w:t>
      </w:r>
    </w:p>
    <w:p w:rsidR="00590A61" w:rsidRDefault="00CF3BB4">
      <w:pPr>
        <w:spacing w:before="280" w:after="280" w:line="276" w:lineRule="auto"/>
        <w:jc w:val="both"/>
        <w:rPr>
          <w:sz w:val="24"/>
          <w:szCs w:val="24"/>
        </w:rPr>
      </w:pPr>
      <w:r>
        <w:rPr>
          <w:sz w:val="24"/>
          <w:szCs w:val="24"/>
        </w:rPr>
        <w:t>El matrimonio y las uniones maritales de hecho, en muchos casos, se estructuran a partir de una división tradicional del trabajo: mientras uno de los cónyuges o compañeros permanentes asume el rol de proveedor económico, el otro se encarga de las labores d</w:t>
      </w:r>
      <w:r>
        <w:rPr>
          <w:sz w:val="24"/>
          <w:szCs w:val="24"/>
        </w:rPr>
        <w:t xml:space="preserve">e cuidado de los hijos e hijas y del hogar. Esta dinámica reproduce roles y estereotipos de género aún presentes en la sociedad colombiana, conforme a los cuales las mujeres asumen mayoritariamente el trabajo doméstico y de cuidado no remunerado, mientras </w:t>
      </w:r>
      <w:r>
        <w:rPr>
          <w:sz w:val="24"/>
          <w:szCs w:val="24"/>
        </w:rPr>
        <w:t xml:space="preserve">los hombres desempeñan el papel de proveedores económicos. Dicha distribución tiene profundas consecuencias para la estabilidad económica de quienes asumen las labores de cuidado, principalmente las mujeres, al momento de la terminación de la relación, al </w:t>
      </w:r>
      <w:r>
        <w:rPr>
          <w:sz w:val="24"/>
          <w:szCs w:val="24"/>
        </w:rPr>
        <w:t>afectar sus ingresos, su inserción laboral y sus posibilidades de acceso a una pensión.</w:t>
      </w:r>
    </w:p>
    <w:p w:rsidR="00590A61" w:rsidRDefault="00CF3BB4">
      <w:pPr>
        <w:spacing w:before="280" w:after="280" w:line="276" w:lineRule="auto"/>
        <w:jc w:val="both"/>
        <w:rPr>
          <w:sz w:val="24"/>
          <w:szCs w:val="24"/>
          <w:highlight w:val="white"/>
        </w:rPr>
      </w:pPr>
      <w:r>
        <w:rPr>
          <w:sz w:val="24"/>
          <w:szCs w:val="24"/>
          <w:highlight w:val="white"/>
        </w:rPr>
        <w:t>Estudios del DANE (2022) muestran que las mujeres dedican en promedio 3 veces más tiempo al trabajo doméstico no remunerado que los hombres. Además, las mujeres divorci</w:t>
      </w:r>
      <w:r>
        <w:rPr>
          <w:sz w:val="24"/>
          <w:szCs w:val="24"/>
          <w:highlight w:val="white"/>
        </w:rPr>
        <w:t>adas con hijos tienen menores tasas de empleo formal y mayores niveles de pobreza que sus contrapartes masculinas.</w:t>
      </w:r>
    </w:p>
    <w:p w:rsidR="00590A61" w:rsidRDefault="00CF3BB4">
      <w:pPr>
        <w:spacing w:before="280" w:after="280" w:line="276" w:lineRule="auto"/>
        <w:jc w:val="both"/>
        <w:rPr>
          <w:sz w:val="24"/>
          <w:szCs w:val="24"/>
          <w:highlight w:val="white"/>
        </w:rPr>
      </w:pPr>
      <w:r>
        <w:rPr>
          <w:sz w:val="24"/>
          <w:szCs w:val="24"/>
          <w:highlight w:val="white"/>
        </w:rPr>
        <w:t>A pesar de ello, el ordenamiento jurídico colombiano no ofrece una protección específica que garantice el reconocimiento y mitigación de este</w:t>
      </w:r>
      <w:r>
        <w:rPr>
          <w:sz w:val="24"/>
          <w:szCs w:val="24"/>
          <w:highlight w:val="white"/>
        </w:rPr>
        <w:t xml:space="preserve"> desequilibrio económico. El resultado es una desprotección sistemática que reproduce la desigualdad de género en el ámbito económico. Existe una brecha normativa y práctica que ha dejado a muchas mujeres en situación de vulnerabilidad económica tras la di</w:t>
      </w:r>
      <w:r>
        <w:rPr>
          <w:sz w:val="24"/>
          <w:szCs w:val="24"/>
          <w:highlight w:val="white"/>
        </w:rPr>
        <w:t>solución del vínculo matrimonial y uniones maritales de hecho, especialmente aquellas que durante la relación asumieron de manera preponderante el rol de cuidado no remunerado del hogar y de los hijos.</w:t>
      </w:r>
    </w:p>
    <w:p w:rsidR="00590A61" w:rsidRDefault="00CF3BB4">
      <w:pPr>
        <w:spacing w:before="180" w:after="180" w:line="276" w:lineRule="auto"/>
        <w:jc w:val="both"/>
        <w:rPr>
          <w:sz w:val="24"/>
          <w:szCs w:val="24"/>
          <w:highlight w:val="white"/>
        </w:rPr>
      </w:pPr>
      <w:bookmarkStart w:id="0" w:name="_heading=h.3wck99vnu7e9" w:colFirst="0" w:colLast="0"/>
      <w:bookmarkEnd w:id="0"/>
      <w:r>
        <w:rPr>
          <w:sz w:val="24"/>
          <w:szCs w:val="24"/>
        </w:rPr>
        <w:t>El presente proyecto de ley busca incorporar de manera</w:t>
      </w:r>
      <w:r>
        <w:rPr>
          <w:sz w:val="24"/>
          <w:szCs w:val="24"/>
        </w:rPr>
        <w:t xml:space="preserve"> explícita en el ordenamiento jurídico colombiano una disposición que contemple y garantice el acceso a una compensación económica para quienes aportan con labores de cuidado en el hogar y han sacrificado su desarrollo laboral y/o profesional. Con ello, se</w:t>
      </w:r>
      <w:r>
        <w:rPr>
          <w:sz w:val="24"/>
          <w:szCs w:val="24"/>
        </w:rPr>
        <w:t xml:space="preserve"> pretende establecer una garantía que mitigue el desequilibrio económico que puede acarrear para estas personas el divorcio o la disolución de la unión marital de hecho, reconociendo, a través de dicha compensación, su aporte en la economía del cuidado</w:t>
      </w:r>
      <w:r>
        <w:rPr>
          <w:sz w:val="24"/>
          <w:szCs w:val="24"/>
          <w:highlight w:val="white"/>
        </w:rPr>
        <w:t>.</w:t>
      </w:r>
    </w:p>
    <w:p w:rsidR="00590A61" w:rsidRDefault="00590A61">
      <w:pPr>
        <w:spacing w:before="180" w:after="180" w:line="276" w:lineRule="auto"/>
        <w:jc w:val="both"/>
        <w:rPr>
          <w:sz w:val="24"/>
          <w:szCs w:val="24"/>
          <w:highlight w:val="white"/>
        </w:rPr>
      </w:pPr>
    </w:p>
    <w:p w:rsidR="00F20B32" w:rsidRDefault="00F20B32">
      <w:pPr>
        <w:spacing w:before="180" w:after="180" w:line="276" w:lineRule="auto"/>
        <w:jc w:val="both"/>
        <w:rPr>
          <w:sz w:val="24"/>
          <w:szCs w:val="24"/>
          <w:highlight w:val="white"/>
        </w:rPr>
      </w:pPr>
    </w:p>
    <w:p w:rsidR="00F20B32" w:rsidRDefault="00F20B32">
      <w:pPr>
        <w:spacing w:before="180" w:after="180" w:line="276" w:lineRule="auto"/>
        <w:jc w:val="both"/>
        <w:rPr>
          <w:sz w:val="24"/>
          <w:szCs w:val="24"/>
          <w:highlight w:val="white"/>
        </w:rPr>
      </w:pPr>
    </w:p>
    <w:p w:rsidR="00F20B32" w:rsidRDefault="00F20B32">
      <w:pPr>
        <w:spacing w:before="180" w:after="180" w:line="276" w:lineRule="auto"/>
        <w:jc w:val="both"/>
        <w:rPr>
          <w:sz w:val="24"/>
          <w:szCs w:val="24"/>
          <w:highlight w:val="white"/>
        </w:rPr>
      </w:pPr>
    </w:p>
    <w:p w:rsidR="00590A61" w:rsidRDefault="00CF3BB4">
      <w:pPr>
        <w:numPr>
          <w:ilvl w:val="1"/>
          <w:numId w:val="5"/>
        </w:numPr>
        <w:pBdr>
          <w:top w:val="nil"/>
          <w:left w:val="nil"/>
          <w:bottom w:val="nil"/>
          <w:right w:val="nil"/>
          <w:between w:val="nil"/>
        </w:pBdr>
        <w:spacing w:after="0" w:line="276" w:lineRule="auto"/>
        <w:rPr>
          <w:b/>
          <w:bCs/>
          <w:color w:val="000000"/>
          <w:sz w:val="24"/>
          <w:szCs w:val="24"/>
        </w:rPr>
      </w:pPr>
      <w:r>
        <w:rPr>
          <w:b/>
          <w:bCs/>
          <w:color w:val="000000"/>
          <w:sz w:val="24"/>
          <w:szCs w:val="24"/>
          <w:highlight w:val="white"/>
        </w:rPr>
        <w:lastRenderedPageBreak/>
        <w:t>LA ECONOMÍA DEL CUIDADO: TRABAJO INVISIBLE, VALOR IGNORADO</w:t>
      </w:r>
    </w:p>
    <w:p w:rsidR="00590A61" w:rsidRDefault="00CF3BB4">
      <w:pPr>
        <w:spacing w:before="240" w:after="240" w:line="276" w:lineRule="auto"/>
        <w:jc w:val="both"/>
        <w:rPr>
          <w:sz w:val="24"/>
          <w:szCs w:val="24"/>
          <w:highlight w:val="white"/>
        </w:rPr>
      </w:pPr>
      <w:r>
        <w:rPr>
          <w:sz w:val="24"/>
          <w:szCs w:val="24"/>
          <w:highlight w:val="white"/>
        </w:rPr>
        <w:t>La crítica feminista a la economía convencional ha evidenciado cómo esta ignora sistemáticamente la "economía extendida", es decir, el vasto universo de actividades no mercantiles que son fundamentales para el sostenimiento de la vida y el bienestar social</w:t>
      </w:r>
      <w:r>
        <w:rPr>
          <w:sz w:val="24"/>
          <w:szCs w:val="24"/>
          <w:highlight w:val="white"/>
          <w:vertAlign w:val="superscript"/>
        </w:rPr>
        <w:footnoteReference w:id="1"/>
      </w:r>
      <w:r>
        <w:rPr>
          <w:sz w:val="24"/>
          <w:szCs w:val="24"/>
          <w:highlight w:val="white"/>
        </w:rPr>
        <w:t xml:space="preserve">. Esta omisión ha </w:t>
      </w:r>
      <w:proofErr w:type="spellStart"/>
      <w:r>
        <w:rPr>
          <w:sz w:val="24"/>
          <w:szCs w:val="24"/>
          <w:highlight w:val="white"/>
        </w:rPr>
        <w:t>invisibilizado</w:t>
      </w:r>
      <w:proofErr w:type="spellEnd"/>
      <w:r>
        <w:rPr>
          <w:sz w:val="24"/>
          <w:szCs w:val="24"/>
          <w:highlight w:val="white"/>
        </w:rPr>
        <w:t xml:space="preserve"> un pilar del sistema económico: la economía del cuidado. Su análisis es estratégico para comprender las raíces de la desigualdad de género, ya que revela una carga desproporcionada de trabajo esencial, no reconocido ni val</w:t>
      </w:r>
      <w:r>
        <w:rPr>
          <w:sz w:val="24"/>
          <w:szCs w:val="24"/>
          <w:highlight w:val="white"/>
        </w:rPr>
        <w:t>orado, que recae sistemáticamente sobre las mujeres.</w:t>
      </w:r>
    </w:p>
    <w:p w:rsidR="00590A61" w:rsidRDefault="00CF3BB4">
      <w:pPr>
        <w:spacing w:before="240" w:after="240" w:line="276" w:lineRule="auto"/>
        <w:jc w:val="both"/>
        <w:rPr>
          <w:sz w:val="24"/>
          <w:szCs w:val="24"/>
          <w:highlight w:val="white"/>
        </w:rPr>
      </w:pPr>
      <w:r>
        <w:rPr>
          <w:sz w:val="24"/>
          <w:szCs w:val="24"/>
          <w:highlight w:val="white"/>
        </w:rPr>
        <w:t>Este marco crítico impulsó una evolución conceptual, transitando desde la noción restrictiva de "trabajo doméstico" hacia el concepto más amplio de "trabajo de cuidado". Este último reconoce que dichas l</w:t>
      </w:r>
      <w:r>
        <w:rPr>
          <w:sz w:val="24"/>
          <w:szCs w:val="24"/>
          <w:highlight w:val="white"/>
        </w:rPr>
        <w:t>abores no solo satisfacen necesidades materiales, sino que abarcan dimensiones emocionales y relacionales cruciales para la cohesión social y la reproducción de la fuerza de trabajo</w:t>
      </w:r>
      <w:r>
        <w:rPr>
          <w:sz w:val="24"/>
          <w:szCs w:val="24"/>
          <w:highlight w:val="white"/>
          <w:vertAlign w:val="superscript"/>
        </w:rPr>
        <w:footnoteReference w:id="2"/>
      </w:r>
      <w:r>
        <w:rPr>
          <w:sz w:val="24"/>
          <w:szCs w:val="24"/>
          <w:highlight w:val="white"/>
        </w:rPr>
        <w:t xml:space="preserve">. La XIX Conferencia Internacional de Estadísticos del Trabajo (CIET) que </w:t>
      </w:r>
      <w:r>
        <w:rPr>
          <w:sz w:val="24"/>
          <w:szCs w:val="24"/>
          <w:highlight w:val="white"/>
        </w:rPr>
        <w:t xml:space="preserve">se realizó en 2013 refrendó este marco al adoptar una definición de "trabajo" que abarca </w:t>
      </w:r>
      <w:r>
        <w:rPr>
          <w:i/>
          <w:iCs/>
          <w:sz w:val="24"/>
          <w:szCs w:val="24"/>
          <w:highlight w:val="white"/>
        </w:rPr>
        <w:t>"el conjunto de actividades humanas, remuneradas o no, que producen bienes o servicios en una economía"</w:t>
      </w:r>
      <w:r>
        <w:rPr>
          <w:sz w:val="24"/>
          <w:szCs w:val="24"/>
          <w:highlight w:val="white"/>
        </w:rPr>
        <w:t>, incluyendo explícitamente las actividades de cuidado no remune</w:t>
      </w:r>
      <w:r>
        <w:rPr>
          <w:sz w:val="24"/>
          <w:szCs w:val="24"/>
          <w:highlight w:val="white"/>
        </w:rPr>
        <w:t>radas</w:t>
      </w:r>
      <w:r>
        <w:rPr>
          <w:sz w:val="24"/>
          <w:szCs w:val="24"/>
          <w:highlight w:val="white"/>
          <w:vertAlign w:val="superscript"/>
        </w:rPr>
        <w:footnoteReference w:id="3"/>
      </w:r>
      <w:r>
        <w:rPr>
          <w:sz w:val="24"/>
          <w:szCs w:val="24"/>
          <w:highlight w:val="white"/>
        </w:rPr>
        <w:t>.</w:t>
      </w:r>
    </w:p>
    <w:p w:rsidR="00590A61" w:rsidRDefault="00CF3BB4">
      <w:pPr>
        <w:spacing w:before="240" w:after="240" w:line="276" w:lineRule="auto"/>
        <w:jc w:val="both"/>
        <w:rPr>
          <w:sz w:val="24"/>
          <w:szCs w:val="24"/>
          <w:highlight w:val="white"/>
        </w:rPr>
      </w:pPr>
      <w:r>
        <w:rPr>
          <w:sz w:val="24"/>
          <w:szCs w:val="24"/>
          <w:highlight w:val="white"/>
        </w:rPr>
        <w:t>El valor de esta economía oculta es extraordinariamente significativo. Según la Cuenta Satélite de Economía del Cuidado del DANE, la valoración del trabajo de cuidado no remunerado (TDCNR) alcanzó el 20,5% del Producto Interno Bruto (PIB) de Colomb</w:t>
      </w:r>
      <w:r>
        <w:rPr>
          <w:sz w:val="24"/>
          <w:szCs w:val="24"/>
          <w:highlight w:val="white"/>
        </w:rPr>
        <w:t>ia en 2012</w:t>
      </w:r>
      <w:r>
        <w:rPr>
          <w:sz w:val="24"/>
          <w:szCs w:val="24"/>
          <w:highlight w:val="white"/>
          <w:vertAlign w:val="superscript"/>
        </w:rPr>
        <w:footnoteReference w:id="4"/>
      </w:r>
      <w:r>
        <w:rPr>
          <w:sz w:val="24"/>
          <w:szCs w:val="24"/>
          <w:highlight w:val="white"/>
        </w:rPr>
        <w:t>. Esta cifra supera la contribución de sectores como la industria manufacturera, que representó el 11,9% del PIB en el mismo año. Así mismo, en el 2021, en reporte más reciente del DANE, reportó que el TDCNR de las mujeres en valor económico cor</w:t>
      </w:r>
      <w:r>
        <w:rPr>
          <w:sz w:val="24"/>
          <w:szCs w:val="24"/>
          <w:highlight w:val="white"/>
        </w:rPr>
        <w:t>responde a 75,9% y el de los hombres 24,1%, lo que representó el 21,7% de la producción total nacional de la economía</w:t>
      </w:r>
      <w:r>
        <w:rPr>
          <w:sz w:val="24"/>
          <w:szCs w:val="24"/>
          <w:highlight w:val="white"/>
          <w:vertAlign w:val="superscript"/>
        </w:rPr>
        <w:footnoteReference w:id="5"/>
      </w:r>
      <w:r>
        <w:rPr>
          <w:sz w:val="24"/>
          <w:szCs w:val="24"/>
          <w:highlight w:val="white"/>
        </w:rPr>
        <w:t>.</w:t>
      </w:r>
    </w:p>
    <w:p w:rsidR="00590A61" w:rsidRDefault="00CF3BB4">
      <w:pPr>
        <w:spacing w:before="240" w:after="240" w:line="276" w:lineRule="auto"/>
        <w:jc w:val="both"/>
        <w:rPr>
          <w:sz w:val="24"/>
          <w:szCs w:val="24"/>
          <w:highlight w:val="white"/>
        </w:rPr>
      </w:pPr>
      <w:r>
        <w:rPr>
          <w:sz w:val="24"/>
          <w:szCs w:val="24"/>
          <w:highlight w:val="white"/>
        </w:rPr>
        <w:t>Esta economía sumergida, sostenida mayoritariamente por mujeres, externaliza los costos de la reproducción social y la regeneración de l</w:t>
      </w:r>
      <w:r>
        <w:rPr>
          <w:sz w:val="24"/>
          <w:szCs w:val="24"/>
          <w:highlight w:val="white"/>
        </w:rPr>
        <w:t xml:space="preserve">a fuerza de trabajo, permitiendo que el </w:t>
      </w:r>
      <w:r>
        <w:rPr>
          <w:sz w:val="24"/>
          <w:szCs w:val="24"/>
          <w:highlight w:val="white"/>
        </w:rPr>
        <w:lastRenderedPageBreak/>
        <w:t>sistema de mercado opere sin internalizar sus costos reales de sostenimiento. En reconocimiento de esta realidad, la Ley 1413 de 2010 reguló la inclusión del TDCNR en el Sistema de Cuentas Nacionales (SCN) para medir</w:t>
      </w:r>
      <w:r>
        <w:rPr>
          <w:sz w:val="24"/>
          <w:szCs w:val="24"/>
          <w:highlight w:val="white"/>
        </w:rPr>
        <w:t xml:space="preserve"> su contribución al desarrollo y guiar la formulación de políticas públicas</w:t>
      </w:r>
      <w:r>
        <w:rPr>
          <w:sz w:val="24"/>
          <w:szCs w:val="24"/>
          <w:highlight w:val="white"/>
          <w:vertAlign w:val="superscript"/>
        </w:rPr>
        <w:footnoteReference w:id="6"/>
      </w:r>
      <w:r>
        <w:rPr>
          <w:sz w:val="24"/>
          <w:szCs w:val="24"/>
          <w:highlight w:val="white"/>
        </w:rPr>
        <w:t>.</w:t>
      </w:r>
    </w:p>
    <w:p w:rsidR="00590A61" w:rsidRPr="00F20B32" w:rsidRDefault="00CF3BB4" w:rsidP="00F20B32">
      <w:pPr>
        <w:spacing w:before="240" w:after="240" w:line="276" w:lineRule="auto"/>
        <w:jc w:val="both"/>
        <w:rPr>
          <w:sz w:val="24"/>
          <w:szCs w:val="24"/>
          <w:highlight w:val="white"/>
        </w:rPr>
      </w:pPr>
      <w:r>
        <w:rPr>
          <w:sz w:val="24"/>
          <w:szCs w:val="24"/>
          <w:highlight w:val="white"/>
        </w:rPr>
        <w:t>La asignación desproporcionada de estas tareas a las mujeres es una construcción social arraigada en la división sexual del trabajo, un paradigma que asocia culturalmente a las m</w:t>
      </w:r>
      <w:r>
        <w:rPr>
          <w:sz w:val="24"/>
          <w:szCs w:val="24"/>
          <w:highlight w:val="white"/>
        </w:rPr>
        <w:t>ujeres con el espacio doméstico y a los hombres con la esfera pública. Esta "feminización" del cuidado se traduce en una carga no reconocida que limita las oportunidades de las mujeres en otras esferas. La invisibilidad económica y la feminización social d</w:t>
      </w:r>
      <w:r>
        <w:rPr>
          <w:sz w:val="24"/>
          <w:szCs w:val="24"/>
          <w:highlight w:val="white"/>
        </w:rPr>
        <w:t>el trabajo de cuidado no son conceptos teóricos; crean las condiciones para una distribución marcadamente desigual del recurso más fundamental: el tiempo.</w:t>
      </w:r>
    </w:p>
    <w:p w:rsidR="00590A61" w:rsidRDefault="00CF3BB4">
      <w:pPr>
        <w:pStyle w:val="Ttulo3"/>
        <w:keepNext w:val="0"/>
        <w:keepLines w:val="0"/>
        <w:numPr>
          <w:ilvl w:val="1"/>
          <w:numId w:val="5"/>
        </w:numPr>
        <w:spacing w:before="280" w:line="276" w:lineRule="auto"/>
        <w:jc w:val="both"/>
        <w:rPr>
          <w:b/>
          <w:bCs/>
          <w:color w:val="000000"/>
          <w:sz w:val="24"/>
          <w:szCs w:val="24"/>
          <w:highlight w:val="white"/>
        </w:rPr>
      </w:pPr>
      <w:bookmarkStart w:id="1" w:name="_heading=h.eo9rmpdlvd2" w:colFirst="0" w:colLast="0"/>
      <w:bookmarkEnd w:id="1"/>
      <w:r>
        <w:rPr>
          <w:b/>
          <w:bCs/>
          <w:color w:val="000000"/>
          <w:sz w:val="24"/>
          <w:szCs w:val="24"/>
          <w:highlight w:val="white"/>
        </w:rPr>
        <w:t>A</w:t>
      </w:r>
      <w:r>
        <w:rPr>
          <w:b/>
          <w:bCs/>
          <w:color w:val="000000"/>
          <w:sz w:val="24"/>
          <w:szCs w:val="24"/>
          <w:highlight w:val="white"/>
        </w:rPr>
        <w:t>SIMETRÍA DEL TIEMPO: BRECHAS DE GÉNERO EN EL USO COTIDIANO</w:t>
      </w:r>
    </w:p>
    <w:p w:rsidR="00590A61" w:rsidRDefault="00CF3BB4">
      <w:pPr>
        <w:spacing w:before="240" w:after="240" w:line="276" w:lineRule="auto"/>
        <w:jc w:val="both"/>
        <w:rPr>
          <w:sz w:val="24"/>
          <w:szCs w:val="24"/>
          <w:highlight w:val="white"/>
        </w:rPr>
      </w:pPr>
      <w:r>
        <w:rPr>
          <w:sz w:val="24"/>
          <w:szCs w:val="24"/>
          <w:highlight w:val="white"/>
        </w:rPr>
        <w:t>El análisis del uso del tiempo es una mé</w:t>
      </w:r>
      <w:r>
        <w:rPr>
          <w:sz w:val="24"/>
          <w:szCs w:val="24"/>
          <w:highlight w:val="white"/>
        </w:rPr>
        <w:t>trica objetiva y poderosa para cuantificar la desigualdad de género. Permite ir más allá de los indicadores del mercado laboral y observar la carga total de trabajo que asumen hombres y mujeres. En Colombia, los datos de la Encuesta Nacional de Usos del Ti</w:t>
      </w:r>
      <w:r>
        <w:rPr>
          <w:sz w:val="24"/>
          <w:szCs w:val="24"/>
          <w:highlight w:val="white"/>
        </w:rPr>
        <w:t>empo (ENUT) revelan una distribución marcadamente asimétrica de las responsabilidades, demostrando que la jornada laboral de las mujeres es significativamente más extensa, aunque en gran parte no remunerada.</w:t>
      </w:r>
    </w:p>
    <w:p w:rsidR="00590A61" w:rsidRDefault="00CF3BB4">
      <w:pPr>
        <w:spacing w:before="240" w:after="240" w:line="276" w:lineRule="auto"/>
        <w:jc w:val="both"/>
        <w:rPr>
          <w:sz w:val="24"/>
          <w:szCs w:val="24"/>
          <w:highlight w:val="white"/>
        </w:rPr>
      </w:pPr>
      <w:r>
        <w:rPr>
          <w:sz w:val="24"/>
          <w:szCs w:val="24"/>
          <w:highlight w:val="white"/>
        </w:rPr>
        <w:t xml:space="preserve">La ENUT de 2021 expone una división clara en la </w:t>
      </w:r>
      <w:r>
        <w:rPr>
          <w:sz w:val="24"/>
          <w:szCs w:val="24"/>
          <w:highlight w:val="white"/>
        </w:rPr>
        <w:t>forma en que hombres y mujeres distribuyen su tiempo de trabajo a lo largo de un día promedio. La siguiente tabla</w:t>
      </w:r>
      <w:r>
        <w:rPr>
          <w:sz w:val="24"/>
          <w:szCs w:val="24"/>
          <w:highlight w:val="white"/>
          <w:vertAlign w:val="superscript"/>
        </w:rPr>
        <w:footnoteReference w:id="7"/>
      </w:r>
      <w:r>
        <w:rPr>
          <w:sz w:val="24"/>
          <w:szCs w:val="24"/>
          <w:highlight w:val="white"/>
        </w:rPr>
        <w:t xml:space="preserve"> resume las diferencias fundamentales:</w:t>
      </w:r>
    </w:p>
    <w:tbl>
      <w:tblPr>
        <w:tblStyle w:val="a"/>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2977"/>
      </w:tblGrid>
      <w:tr w:rsidR="00590A61">
        <w:trPr>
          <w:trHeight w:val="1035"/>
          <w:jc w:val="center"/>
        </w:trPr>
        <w:tc>
          <w:tcPr>
            <w:tcW w:w="2263" w:type="dxa"/>
          </w:tcPr>
          <w:p w:rsidR="00590A61" w:rsidRDefault="00CF3BB4">
            <w:pPr>
              <w:pBdr>
                <w:top w:val="nil"/>
                <w:left w:val="nil"/>
                <w:bottom w:val="nil"/>
                <w:right w:val="nil"/>
                <w:between w:val="nil"/>
              </w:pBdr>
              <w:spacing w:line="276" w:lineRule="auto"/>
              <w:jc w:val="center"/>
              <w:rPr>
                <w:b/>
                <w:bCs/>
                <w:color w:val="000000"/>
                <w:sz w:val="24"/>
                <w:szCs w:val="24"/>
                <w:highlight w:val="white"/>
              </w:rPr>
            </w:pPr>
            <w:r>
              <w:rPr>
                <w:b/>
                <w:bCs/>
                <w:color w:val="000000"/>
                <w:sz w:val="24"/>
                <w:szCs w:val="24"/>
                <w:highlight w:val="white"/>
              </w:rPr>
              <w:t>Actividad</w:t>
            </w:r>
          </w:p>
        </w:tc>
        <w:tc>
          <w:tcPr>
            <w:tcW w:w="2268" w:type="dxa"/>
          </w:tcPr>
          <w:p w:rsidR="00590A61" w:rsidRDefault="00CF3BB4">
            <w:pPr>
              <w:pBdr>
                <w:top w:val="nil"/>
                <w:left w:val="nil"/>
                <w:bottom w:val="nil"/>
                <w:right w:val="nil"/>
                <w:between w:val="nil"/>
              </w:pBdr>
              <w:spacing w:line="276" w:lineRule="auto"/>
              <w:jc w:val="center"/>
              <w:rPr>
                <w:b/>
                <w:bCs/>
                <w:color w:val="000000"/>
                <w:sz w:val="24"/>
                <w:szCs w:val="24"/>
                <w:highlight w:val="white"/>
              </w:rPr>
            </w:pPr>
            <w:r>
              <w:rPr>
                <w:b/>
                <w:bCs/>
                <w:color w:val="000000"/>
                <w:sz w:val="24"/>
                <w:szCs w:val="24"/>
                <w:highlight w:val="white"/>
              </w:rPr>
              <w:t>Tiempo Promedio Mujeres al Día</w:t>
            </w:r>
          </w:p>
          <w:p w:rsidR="00590A61" w:rsidRDefault="00590A61">
            <w:pPr>
              <w:pBdr>
                <w:top w:val="nil"/>
                <w:left w:val="nil"/>
                <w:bottom w:val="nil"/>
                <w:right w:val="nil"/>
                <w:between w:val="nil"/>
              </w:pBdr>
              <w:spacing w:line="276" w:lineRule="auto"/>
              <w:jc w:val="center"/>
              <w:rPr>
                <w:b/>
                <w:bCs/>
                <w:color w:val="000000"/>
                <w:sz w:val="24"/>
                <w:szCs w:val="24"/>
                <w:highlight w:val="white"/>
              </w:rPr>
            </w:pPr>
          </w:p>
          <w:p w:rsidR="00590A61" w:rsidRDefault="00CF3BB4">
            <w:pPr>
              <w:pBdr>
                <w:top w:val="nil"/>
                <w:left w:val="nil"/>
                <w:bottom w:val="nil"/>
                <w:right w:val="nil"/>
                <w:between w:val="nil"/>
              </w:pBdr>
              <w:spacing w:line="276" w:lineRule="auto"/>
              <w:jc w:val="center"/>
              <w:rPr>
                <w:b/>
                <w:bCs/>
                <w:color w:val="000000"/>
                <w:sz w:val="24"/>
                <w:szCs w:val="24"/>
                <w:highlight w:val="white"/>
              </w:rPr>
            </w:pPr>
            <w:r>
              <w:rPr>
                <w:b/>
                <w:bCs/>
                <w:color w:val="000000"/>
                <w:sz w:val="24"/>
                <w:szCs w:val="24"/>
                <w:highlight w:val="white"/>
              </w:rPr>
              <w:t>(Horas: Minutos)</w:t>
            </w:r>
          </w:p>
        </w:tc>
        <w:tc>
          <w:tcPr>
            <w:tcW w:w="2977" w:type="dxa"/>
          </w:tcPr>
          <w:p w:rsidR="00590A61" w:rsidRDefault="00CF3BB4">
            <w:pPr>
              <w:pBdr>
                <w:top w:val="nil"/>
                <w:left w:val="nil"/>
                <w:bottom w:val="nil"/>
                <w:right w:val="nil"/>
                <w:between w:val="nil"/>
              </w:pBdr>
              <w:spacing w:line="276" w:lineRule="auto"/>
              <w:jc w:val="center"/>
              <w:rPr>
                <w:b/>
                <w:bCs/>
                <w:color w:val="000000"/>
                <w:sz w:val="24"/>
                <w:szCs w:val="24"/>
                <w:highlight w:val="white"/>
              </w:rPr>
            </w:pPr>
            <w:r>
              <w:rPr>
                <w:b/>
                <w:bCs/>
                <w:color w:val="000000"/>
                <w:sz w:val="24"/>
                <w:szCs w:val="24"/>
                <w:highlight w:val="white"/>
              </w:rPr>
              <w:t>Tiempo Promedio Hombres al Día</w:t>
            </w:r>
          </w:p>
          <w:p w:rsidR="00590A61" w:rsidRDefault="00590A61">
            <w:pPr>
              <w:pBdr>
                <w:top w:val="nil"/>
                <w:left w:val="nil"/>
                <w:bottom w:val="nil"/>
                <w:right w:val="nil"/>
                <w:between w:val="nil"/>
              </w:pBdr>
              <w:spacing w:line="276" w:lineRule="auto"/>
              <w:jc w:val="center"/>
              <w:rPr>
                <w:b/>
                <w:bCs/>
                <w:color w:val="000000"/>
                <w:sz w:val="24"/>
                <w:szCs w:val="24"/>
                <w:highlight w:val="white"/>
              </w:rPr>
            </w:pPr>
          </w:p>
          <w:p w:rsidR="00590A61" w:rsidRDefault="00CF3BB4">
            <w:pPr>
              <w:pBdr>
                <w:top w:val="nil"/>
                <w:left w:val="nil"/>
                <w:bottom w:val="nil"/>
                <w:right w:val="nil"/>
                <w:between w:val="nil"/>
              </w:pBdr>
              <w:spacing w:line="276" w:lineRule="auto"/>
              <w:jc w:val="center"/>
              <w:rPr>
                <w:b/>
                <w:bCs/>
                <w:color w:val="000000"/>
                <w:sz w:val="24"/>
                <w:szCs w:val="24"/>
                <w:highlight w:val="white"/>
              </w:rPr>
            </w:pPr>
            <w:r>
              <w:rPr>
                <w:b/>
                <w:bCs/>
                <w:color w:val="000000"/>
                <w:sz w:val="24"/>
                <w:szCs w:val="24"/>
                <w:highlight w:val="white"/>
              </w:rPr>
              <w:t>(Horas: Minutos)</w:t>
            </w:r>
          </w:p>
        </w:tc>
      </w:tr>
      <w:tr w:rsidR="00590A61">
        <w:trPr>
          <w:jc w:val="center"/>
        </w:trPr>
        <w:tc>
          <w:tcPr>
            <w:tcW w:w="2263" w:type="dxa"/>
          </w:tcPr>
          <w:p w:rsidR="00590A61" w:rsidRDefault="00CF3BB4">
            <w:pPr>
              <w:spacing w:before="240" w:after="240" w:line="276" w:lineRule="auto"/>
              <w:jc w:val="center"/>
              <w:rPr>
                <w:b/>
                <w:bCs/>
                <w:sz w:val="24"/>
                <w:szCs w:val="24"/>
                <w:highlight w:val="white"/>
              </w:rPr>
            </w:pPr>
            <w:r>
              <w:rPr>
                <w:b/>
                <w:bCs/>
                <w:sz w:val="24"/>
                <w:szCs w:val="24"/>
                <w:highlight w:val="white"/>
              </w:rPr>
              <w:t xml:space="preserve">Trabajo remunerado </w:t>
            </w:r>
          </w:p>
          <w:p w:rsidR="00590A61" w:rsidRDefault="00CF3BB4">
            <w:pPr>
              <w:spacing w:before="240" w:after="240" w:line="276" w:lineRule="auto"/>
              <w:jc w:val="center"/>
              <w:rPr>
                <w:b/>
                <w:bCs/>
                <w:sz w:val="24"/>
                <w:szCs w:val="24"/>
                <w:highlight w:val="white"/>
              </w:rPr>
            </w:pPr>
            <w:r>
              <w:rPr>
                <w:b/>
                <w:bCs/>
                <w:sz w:val="24"/>
                <w:szCs w:val="24"/>
                <w:highlight w:val="white"/>
              </w:rPr>
              <w:t>(comprendido en el SCN</w:t>
            </w:r>
          </w:p>
        </w:tc>
        <w:tc>
          <w:tcPr>
            <w:tcW w:w="2268" w:type="dxa"/>
          </w:tcPr>
          <w:p w:rsidR="00590A61" w:rsidRDefault="00590A61">
            <w:pPr>
              <w:spacing w:before="240" w:after="240" w:line="276" w:lineRule="auto"/>
              <w:jc w:val="center"/>
              <w:rPr>
                <w:sz w:val="24"/>
                <w:szCs w:val="24"/>
                <w:highlight w:val="white"/>
              </w:rPr>
            </w:pPr>
          </w:p>
          <w:p w:rsidR="00590A61" w:rsidRDefault="00CF3BB4">
            <w:pPr>
              <w:spacing w:before="240" w:after="240" w:line="276" w:lineRule="auto"/>
              <w:jc w:val="center"/>
              <w:rPr>
                <w:sz w:val="24"/>
                <w:szCs w:val="24"/>
                <w:highlight w:val="white"/>
              </w:rPr>
            </w:pPr>
            <w:r>
              <w:rPr>
                <w:sz w:val="24"/>
                <w:szCs w:val="24"/>
                <w:highlight w:val="white"/>
              </w:rPr>
              <w:t>7:37</w:t>
            </w:r>
          </w:p>
        </w:tc>
        <w:tc>
          <w:tcPr>
            <w:tcW w:w="2977" w:type="dxa"/>
          </w:tcPr>
          <w:p w:rsidR="00590A61" w:rsidRDefault="00590A61">
            <w:pPr>
              <w:spacing w:before="240" w:after="240" w:line="276" w:lineRule="auto"/>
              <w:jc w:val="center"/>
              <w:rPr>
                <w:sz w:val="24"/>
                <w:szCs w:val="24"/>
                <w:highlight w:val="white"/>
              </w:rPr>
            </w:pPr>
          </w:p>
          <w:p w:rsidR="00590A61" w:rsidRDefault="00CF3BB4">
            <w:pPr>
              <w:spacing w:before="240" w:after="240" w:line="276" w:lineRule="auto"/>
              <w:jc w:val="center"/>
              <w:rPr>
                <w:sz w:val="24"/>
                <w:szCs w:val="24"/>
                <w:highlight w:val="white"/>
              </w:rPr>
            </w:pPr>
            <w:r>
              <w:rPr>
                <w:sz w:val="24"/>
                <w:szCs w:val="24"/>
                <w:highlight w:val="white"/>
              </w:rPr>
              <w:t>8:57</w:t>
            </w:r>
          </w:p>
        </w:tc>
      </w:tr>
      <w:tr w:rsidR="00590A61">
        <w:trPr>
          <w:jc w:val="center"/>
        </w:trPr>
        <w:tc>
          <w:tcPr>
            <w:tcW w:w="2263" w:type="dxa"/>
          </w:tcPr>
          <w:p w:rsidR="00590A61" w:rsidRDefault="00CF3BB4">
            <w:pPr>
              <w:spacing w:before="240" w:after="240" w:line="276" w:lineRule="auto"/>
              <w:jc w:val="center"/>
              <w:rPr>
                <w:b/>
                <w:bCs/>
                <w:sz w:val="24"/>
                <w:szCs w:val="24"/>
                <w:highlight w:val="white"/>
              </w:rPr>
            </w:pPr>
            <w:r>
              <w:rPr>
                <w:b/>
                <w:bCs/>
                <w:sz w:val="24"/>
                <w:szCs w:val="24"/>
                <w:highlight w:val="white"/>
              </w:rPr>
              <w:lastRenderedPageBreak/>
              <w:t xml:space="preserve">Trabajo no remunerado </w:t>
            </w:r>
          </w:p>
          <w:p w:rsidR="00590A61" w:rsidRDefault="00CF3BB4">
            <w:pPr>
              <w:spacing w:before="240" w:after="240" w:line="276" w:lineRule="auto"/>
              <w:jc w:val="center"/>
              <w:rPr>
                <w:b/>
                <w:bCs/>
                <w:sz w:val="24"/>
                <w:szCs w:val="24"/>
                <w:highlight w:val="white"/>
              </w:rPr>
            </w:pPr>
            <w:r>
              <w:rPr>
                <w:b/>
                <w:bCs/>
                <w:sz w:val="24"/>
                <w:szCs w:val="24"/>
                <w:highlight w:val="white"/>
              </w:rPr>
              <w:t>(NO comprendido en el SCN)</w:t>
            </w:r>
          </w:p>
        </w:tc>
        <w:tc>
          <w:tcPr>
            <w:tcW w:w="2268" w:type="dxa"/>
          </w:tcPr>
          <w:p w:rsidR="00590A61" w:rsidRDefault="00590A61">
            <w:pPr>
              <w:spacing w:before="240" w:after="240" w:line="276" w:lineRule="auto"/>
              <w:jc w:val="center"/>
              <w:rPr>
                <w:sz w:val="24"/>
                <w:szCs w:val="24"/>
                <w:highlight w:val="white"/>
              </w:rPr>
            </w:pPr>
          </w:p>
          <w:p w:rsidR="00590A61" w:rsidRDefault="00CF3BB4">
            <w:pPr>
              <w:spacing w:before="240" w:after="240" w:line="276" w:lineRule="auto"/>
              <w:jc w:val="center"/>
              <w:rPr>
                <w:sz w:val="24"/>
                <w:szCs w:val="24"/>
                <w:highlight w:val="white"/>
              </w:rPr>
            </w:pPr>
            <w:r>
              <w:rPr>
                <w:sz w:val="24"/>
                <w:szCs w:val="24"/>
                <w:highlight w:val="white"/>
              </w:rPr>
              <w:t>7:44</w:t>
            </w:r>
          </w:p>
        </w:tc>
        <w:tc>
          <w:tcPr>
            <w:tcW w:w="2977" w:type="dxa"/>
          </w:tcPr>
          <w:p w:rsidR="00590A61" w:rsidRDefault="00590A61">
            <w:pPr>
              <w:spacing w:before="240" w:after="240" w:line="276" w:lineRule="auto"/>
              <w:jc w:val="center"/>
              <w:rPr>
                <w:sz w:val="24"/>
                <w:szCs w:val="24"/>
                <w:highlight w:val="white"/>
              </w:rPr>
            </w:pPr>
          </w:p>
          <w:p w:rsidR="00590A61" w:rsidRDefault="00CF3BB4">
            <w:pPr>
              <w:spacing w:before="240" w:after="240" w:line="276" w:lineRule="auto"/>
              <w:jc w:val="center"/>
              <w:rPr>
                <w:sz w:val="24"/>
                <w:szCs w:val="24"/>
                <w:highlight w:val="white"/>
              </w:rPr>
            </w:pPr>
            <w:r>
              <w:rPr>
                <w:sz w:val="24"/>
                <w:szCs w:val="24"/>
                <w:highlight w:val="white"/>
              </w:rPr>
              <w:t>3:06</w:t>
            </w:r>
          </w:p>
        </w:tc>
      </w:tr>
    </w:tbl>
    <w:p w:rsidR="00590A61" w:rsidRDefault="00CF3BB4">
      <w:pPr>
        <w:spacing w:before="240" w:after="240" w:line="276" w:lineRule="auto"/>
        <w:jc w:val="both"/>
        <w:rPr>
          <w:sz w:val="24"/>
          <w:szCs w:val="24"/>
          <w:highlight w:val="white"/>
        </w:rPr>
      </w:pPr>
      <w:r>
        <w:rPr>
          <w:sz w:val="24"/>
          <w:szCs w:val="24"/>
          <w:highlight w:val="white"/>
        </w:rPr>
        <w:t>El análisis de estos datos es contundente: las mujeres dedican, en promedio, más del doble de tiempo que los hombres al trabajo no remunerado y, frente al tiempo de trabajo remunerado el tiempo que disponen tanto hombres como mujeres tienen una carga simil</w:t>
      </w:r>
      <w:r>
        <w:rPr>
          <w:sz w:val="24"/>
          <w:szCs w:val="24"/>
          <w:highlight w:val="white"/>
        </w:rPr>
        <w:t>ar. Esta disparidad confirma que mientras los hombres se especializan en la producción para el mercado, las mujeres asumen la mayor parte de la producción para el hogar, un trabajo igualmente demandante pero sin reconocimiento económico</w:t>
      </w:r>
      <w:r>
        <w:rPr>
          <w:sz w:val="24"/>
          <w:szCs w:val="24"/>
          <w:highlight w:val="white"/>
          <w:vertAlign w:val="superscript"/>
        </w:rPr>
        <w:footnoteReference w:id="8"/>
      </w:r>
      <w:r>
        <w:rPr>
          <w:sz w:val="24"/>
          <w:szCs w:val="24"/>
          <w:highlight w:val="white"/>
        </w:rPr>
        <w:t>.</w:t>
      </w:r>
    </w:p>
    <w:p w:rsidR="00590A61" w:rsidRDefault="00CF3BB4">
      <w:pPr>
        <w:spacing w:before="240" w:after="240" w:line="276" w:lineRule="auto"/>
        <w:jc w:val="both"/>
        <w:rPr>
          <w:sz w:val="24"/>
          <w:szCs w:val="24"/>
          <w:highlight w:val="white"/>
        </w:rPr>
      </w:pPr>
      <w:r>
        <w:rPr>
          <w:sz w:val="24"/>
          <w:szCs w:val="24"/>
          <w:highlight w:val="white"/>
        </w:rPr>
        <w:t>Esta sobrecarga d</w:t>
      </w:r>
      <w:r>
        <w:rPr>
          <w:sz w:val="24"/>
          <w:szCs w:val="24"/>
          <w:highlight w:val="white"/>
        </w:rPr>
        <w:t xml:space="preserve">e trabajo, conocida como la "doble jornada", se evidencia claramente incluso entre la población empleada. Los datos del DANE muestran que el 90% de las mujeres con un empleo remunerado también realizan trabajo doméstico y de cuidado, en contraste con solo </w:t>
      </w:r>
      <w:r>
        <w:rPr>
          <w:sz w:val="24"/>
          <w:szCs w:val="24"/>
          <w:highlight w:val="white"/>
        </w:rPr>
        <w:t xml:space="preserve">el 61% de los hombres empleados. La asimetría persiste entre la población desempleada: el 96% de las mujeres sin empleo realiza trabajo no remunerado, en comparación con el 76% de los hombres en la misma situación, lo que sugiere que las responsabilidades </w:t>
      </w:r>
      <w:r>
        <w:rPr>
          <w:sz w:val="24"/>
          <w:szCs w:val="24"/>
          <w:highlight w:val="white"/>
        </w:rPr>
        <w:t>de cuidado actúan como una barrera directa para la búsqueda de empleo</w:t>
      </w:r>
      <w:r>
        <w:rPr>
          <w:sz w:val="24"/>
          <w:szCs w:val="24"/>
          <w:highlight w:val="white"/>
          <w:vertAlign w:val="superscript"/>
        </w:rPr>
        <w:footnoteReference w:id="9"/>
      </w:r>
      <w:r>
        <w:rPr>
          <w:sz w:val="24"/>
          <w:szCs w:val="24"/>
          <w:highlight w:val="white"/>
        </w:rPr>
        <w:t>. Estas cifras no representan sólo una carga, sino la evidencia de que las estadísticas laborales tradicionales son ciegas al género, lo que exige una re-conceptualización de la fuerza d</w:t>
      </w:r>
      <w:r>
        <w:rPr>
          <w:sz w:val="24"/>
          <w:szCs w:val="24"/>
          <w:highlight w:val="white"/>
        </w:rPr>
        <w:t>e trabajo que integre el ámbito remunerado y no remunerado para revelar la totalidad de la contribución económica de las mujeres.</w:t>
      </w:r>
    </w:p>
    <w:p w:rsidR="00590A61" w:rsidRDefault="00CF3BB4">
      <w:pPr>
        <w:spacing w:before="240" w:after="240" w:line="276" w:lineRule="auto"/>
        <w:jc w:val="both"/>
        <w:rPr>
          <w:sz w:val="24"/>
          <w:szCs w:val="24"/>
          <w:highlight w:val="white"/>
        </w:rPr>
      </w:pPr>
      <w:r>
        <w:rPr>
          <w:sz w:val="24"/>
          <w:szCs w:val="24"/>
          <w:highlight w:val="white"/>
        </w:rPr>
        <w:t xml:space="preserve">Las brechas de género en el uso del tiempo se intensifican en los contextos rurales. Allí, la participación de las mujeres en </w:t>
      </w:r>
      <w:r>
        <w:rPr>
          <w:sz w:val="24"/>
          <w:szCs w:val="24"/>
          <w:highlight w:val="white"/>
        </w:rPr>
        <w:t>labores de cuidado alcanza el 93% (frente al 60% de los hombres), y dedican en promedio 5 horas y 6 minutos más que los hombres a estas tareas cada día. Esta brecha ampliada refleja una mayor dependencia del trabajo no remunerado de las mujeres para el sos</w:t>
      </w:r>
      <w:r>
        <w:rPr>
          <w:sz w:val="24"/>
          <w:szCs w:val="24"/>
          <w:highlight w:val="white"/>
        </w:rPr>
        <w:t>tenimiento de los hogares rurales.</w:t>
      </w:r>
    </w:p>
    <w:p w:rsidR="00590A61" w:rsidRDefault="00CF3BB4">
      <w:pPr>
        <w:spacing w:before="240" w:after="240" w:line="276" w:lineRule="auto"/>
        <w:jc w:val="both"/>
        <w:rPr>
          <w:sz w:val="24"/>
          <w:szCs w:val="24"/>
          <w:highlight w:val="white"/>
        </w:rPr>
      </w:pPr>
      <w:r>
        <w:rPr>
          <w:sz w:val="24"/>
          <w:szCs w:val="24"/>
          <w:highlight w:val="white"/>
        </w:rPr>
        <w:t>La disparidad en la asignación del tiempo no es una simple estadística; representa un costo de oportunidad directo y significativo para las mujeres, con barreras tangibles para su autonomía económica y su bienestar genera</w:t>
      </w:r>
      <w:r>
        <w:rPr>
          <w:sz w:val="24"/>
          <w:szCs w:val="24"/>
          <w:highlight w:val="white"/>
        </w:rPr>
        <w:t>l.</w:t>
      </w:r>
    </w:p>
    <w:p w:rsidR="00590A61" w:rsidRDefault="00CF3BB4">
      <w:pPr>
        <w:pStyle w:val="Ttulo3"/>
        <w:keepNext w:val="0"/>
        <w:keepLines w:val="0"/>
        <w:numPr>
          <w:ilvl w:val="1"/>
          <w:numId w:val="5"/>
        </w:numPr>
        <w:spacing w:before="280" w:line="276" w:lineRule="auto"/>
        <w:jc w:val="both"/>
        <w:rPr>
          <w:b/>
          <w:bCs/>
          <w:color w:val="000000"/>
          <w:sz w:val="24"/>
          <w:szCs w:val="24"/>
          <w:highlight w:val="white"/>
        </w:rPr>
      </w:pPr>
      <w:bookmarkStart w:id="2" w:name="_heading=h.o8mlqqvnx6tc" w:colFirst="0" w:colLast="0"/>
      <w:bookmarkEnd w:id="2"/>
      <w:r>
        <w:rPr>
          <w:b/>
          <w:bCs/>
          <w:color w:val="000000"/>
          <w:sz w:val="24"/>
          <w:szCs w:val="24"/>
          <w:highlight w:val="white"/>
        </w:rPr>
        <w:lastRenderedPageBreak/>
        <w:t>EL COSTO DE OPORTUNIDAD: IMPACTO EN LA AUTONOMÍA ECONÓMICA Y LA VULNERABILIDAD FEMENINA</w:t>
      </w:r>
    </w:p>
    <w:p w:rsidR="00590A61" w:rsidRDefault="00CF3BB4">
      <w:pPr>
        <w:spacing w:before="240" w:after="240" w:line="276" w:lineRule="auto"/>
        <w:jc w:val="both"/>
        <w:rPr>
          <w:sz w:val="24"/>
          <w:szCs w:val="24"/>
          <w:highlight w:val="white"/>
        </w:rPr>
      </w:pPr>
      <w:r>
        <w:rPr>
          <w:sz w:val="24"/>
          <w:szCs w:val="24"/>
          <w:highlight w:val="white"/>
        </w:rPr>
        <w:t>La asimetría documentada —donde las mujeres dedican en promedio 7 horas y 44 minutos diarios al trabajo no remunerado frente a solo 3 horas de los hombres— no es una</w:t>
      </w:r>
      <w:r>
        <w:rPr>
          <w:sz w:val="24"/>
          <w:szCs w:val="24"/>
          <w:highlight w:val="white"/>
        </w:rPr>
        <w:t xml:space="preserve"> mera estadística; representa un masivo costo de oportunidad que inhibe estructuralmente su autonomía económica. Cada hora dedicada al cuidado no remunerado es una hora que no puede invertirse en formación, desarrollo profesional, participación cívica u oc</w:t>
      </w:r>
      <w:r>
        <w:rPr>
          <w:sz w:val="24"/>
          <w:szCs w:val="24"/>
          <w:highlight w:val="white"/>
        </w:rPr>
        <w:t>io.</w:t>
      </w:r>
    </w:p>
    <w:p w:rsidR="00590A61" w:rsidRDefault="00CF3BB4">
      <w:pPr>
        <w:spacing w:before="240" w:after="240" w:line="276" w:lineRule="auto"/>
        <w:jc w:val="both"/>
        <w:rPr>
          <w:sz w:val="24"/>
          <w:szCs w:val="24"/>
          <w:highlight w:val="white"/>
        </w:rPr>
      </w:pPr>
      <w:r>
        <w:rPr>
          <w:sz w:val="24"/>
          <w:szCs w:val="24"/>
          <w:highlight w:val="white"/>
        </w:rPr>
        <w:t>Esta "doble jornada" opera como una barrera estructural para la inserción, permanencia y promoción de las mujeres en el mercado laboral. Para poder conciliar la vida laboral con las responsabilidades familiares, muchas mujeres se ven obligadas a buscar</w:t>
      </w:r>
      <w:r>
        <w:rPr>
          <w:sz w:val="24"/>
          <w:szCs w:val="24"/>
          <w:highlight w:val="white"/>
        </w:rPr>
        <w:t xml:space="preserve"> trabajos más flexibles. Frecuentemente, esta búsqueda las conduce a empleos precarios, informales, por cuenta propia o mal remunerados que, si bien ofrecen flexibilidad, sacrifican la estabilidad, la protección social y las posibilidades de ascenso profes</w:t>
      </w:r>
      <w:r>
        <w:rPr>
          <w:sz w:val="24"/>
          <w:szCs w:val="24"/>
          <w:highlight w:val="white"/>
        </w:rPr>
        <w:t>ional</w:t>
      </w:r>
      <w:r>
        <w:rPr>
          <w:sz w:val="24"/>
          <w:szCs w:val="24"/>
          <w:highlight w:val="white"/>
          <w:vertAlign w:val="superscript"/>
        </w:rPr>
        <w:footnoteReference w:id="10"/>
      </w:r>
      <w:r>
        <w:rPr>
          <w:sz w:val="24"/>
          <w:szCs w:val="24"/>
          <w:highlight w:val="white"/>
        </w:rPr>
        <w:t>.</w:t>
      </w:r>
    </w:p>
    <w:p w:rsidR="00590A61" w:rsidRDefault="00CF3BB4">
      <w:pPr>
        <w:spacing w:before="240" w:after="240" w:line="276" w:lineRule="auto"/>
        <w:jc w:val="both"/>
        <w:rPr>
          <w:sz w:val="24"/>
          <w:szCs w:val="24"/>
          <w:highlight w:val="white"/>
        </w:rPr>
      </w:pPr>
      <w:r>
        <w:rPr>
          <w:sz w:val="24"/>
          <w:szCs w:val="24"/>
          <w:highlight w:val="white"/>
        </w:rPr>
        <w:t>La consecuente falta de generación de ingresos propios sitúa a las mujeres en una posición de dependencia, limitando su capacidad para tomar decisiones libres e informadas sobre sus vidas</w:t>
      </w:r>
      <w:r>
        <w:rPr>
          <w:sz w:val="24"/>
          <w:szCs w:val="24"/>
          <w:highlight w:val="white"/>
          <w:vertAlign w:val="superscript"/>
        </w:rPr>
        <w:footnoteReference w:id="11"/>
      </w:r>
      <w:r>
        <w:rPr>
          <w:sz w:val="24"/>
          <w:szCs w:val="24"/>
          <w:highlight w:val="white"/>
        </w:rPr>
        <w:t>. Dicha dependencia reduce su poder de negociación dentro de</w:t>
      </w:r>
      <w:r>
        <w:rPr>
          <w:sz w:val="24"/>
          <w:szCs w:val="24"/>
          <w:highlight w:val="white"/>
        </w:rPr>
        <w:t>l hogar y su capacidad para salir de relaciones de violencia o desigualdad.</w:t>
      </w:r>
    </w:p>
    <w:p w:rsidR="00590A61" w:rsidRDefault="00CF3BB4">
      <w:pPr>
        <w:spacing w:after="240" w:line="276" w:lineRule="auto"/>
        <w:jc w:val="both"/>
        <w:rPr>
          <w:sz w:val="24"/>
          <w:szCs w:val="24"/>
          <w:highlight w:val="white"/>
        </w:rPr>
      </w:pPr>
      <w:r>
        <w:rPr>
          <w:sz w:val="24"/>
          <w:szCs w:val="24"/>
          <w:highlight w:val="white"/>
        </w:rPr>
        <w:t>A pesar del aumento de la participación laboral femenina, persisten profundas brechas. Las mujeres enfrentan mayores tasas de desempleo y subempleo, una brecha salarial significativa</w:t>
      </w:r>
      <w:r>
        <w:rPr>
          <w:sz w:val="24"/>
          <w:szCs w:val="24"/>
          <w:highlight w:val="white"/>
          <w:vertAlign w:val="superscript"/>
        </w:rPr>
        <w:footnoteReference w:id="12"/>
      </w:r>
      <w:r>
        <w:rPr>
          <w:sz w:val="24"/>
          <w:szCs w:val="24"/>
          <w:highlight w:val="white"/>
        </w:rPr>
        <w:t>, y una mayor concentración en el empleo informal y por cuenta propia. La</w:t>
      </w:r>
      <w:r>
        <w:rPr>
          <w:sz w:val="24"/>
          <w:szCs w:val="24"/>
          <w:highlight w:val="white"/>
        </w:rPr>
        <w:t xml:space="preserve"> segregación ocupacional, tanto horizontal (concentración en sectores de servicios y cuidado) como vertical (menor acceso a puestos de liderazgo), es una constante.</w:t>
      </w:r>
    </w:p>
    <w:p w:rsidR="00590A61" w:rsidRDefault="00CF3BB4">
      <w:pPr>
        <w:spacing w:after="240" w:line="276" w:lineRule="auto"/>
        <w:jc w:val="both"/>
        <w:rPr>
          <w:sz w:val="24"/>
          <w:szCs w:val="24"/>
          <w:highlight w:val="white"/>
        </w:rPr>
      </w:pPr>
      <w:r>
        <w:rPr>
          <w:sz w:val="24"/>
          <w:szCs w:val="24"/>
          <w:highlight w:val="white"/>
        </w:rPr>
        <w:t>La desigualdad no se limita a los ingresos, sino que se extiende a la acumulación de activo</w:t>
      </w:r>
      <w:r>
        <w:rPr>
          <w:sz w:val="24"/>
          <w:szCs w:val="24"/>
          <w:highlight w:val="white"/>
        </w:rPr>
        <w:t xml:space="preserve">s. En Colombia para 2017, las mujeres representaron solo el 36% del grupo de personas con mayor riqueza, y su patrimonio promedio es un 15% inferior al de los hombres. </w:t>
      </w:r>
    </w:p>
    <w:p w:rsidR="00590A61" w:rsidRDefault="00CF3BB4">
      <w:pPr>
        <w:spacing w:before="240" w:after="240" w:line="276" w:lineRule="auto"/>
        <w:jc w:val="both"/>
        <w:rPr>
          <w:sz w:val="24"/>
          <w:szCs w:val="24"/>
          <w:highlight w:val="white"/>
        </w:rPr>
      </w:pPr>
      <w:r>
        <w:rPr>
          <w:sz w:val="24"/>
          <w:szCs w:val="24"/>
          <w:highlight w:val="white"/>
        </w:rPr>
        <w:t>La especialización en el trabajo de cuidado no remunerado conduce a una depreciación de</w:t>
      </w:r>
      <w:r>
        <w:rPr>
          <w:sz w:val="24"/>
          <w:szCs w:val="24"/>
          <w:highlight w:val="white"/>
        </w:rPr>
        <w:t xml:space="preserve">l capital humano relevante para el mercado y a una incapacidad para acumular activos financieros y físicos propios. Esto genera una situación de extrema vulnerabilidad </w:t>
      </w:r>
      <w:r>
        <w:rPr>
          <w:sz w:val="24"/>
          <w:szCs w:val="24"/>
          <w:highlight w:val="white"/>
        </w:rPr>
        <w:lastRenderedPageBreak/>
        <w:t>económica en caso de separación, divorcio o viudez. La persona que asumió el rol de cuid</w:t>
      </w:r>
      <w:r>
        <w:rPr>
          <w:sz w:val="24"/>
          <w:szCs w:val="24"/>
          <w:highlight w:val="white"/>
        </w:rPr>
        <w:t xml:space="preserve">adora, típicamente la mujer, se encuentra desprotegida: sin ingresos, sin experiencia laboral reciente y con un capital humano devaluado. </w:t>
      </w:r>
    </w:p>
    <w:p w:rsidR="00590A61" w:rsidRDefault="00CF3BB4">
      <w:pPr>
        <w:spacing w:before="240" w:after="240" w:line="276" w:lineRule="auto"/>
        <w:jc w:val="both"/>
        <w:rPr>
          <w:b/>
          <w:bCs/>
          <w:sz w:val="24"/>
          <w:szCs w:val="24"/>
          <w:highlight w:val="white"/>
        </w:rPr>
      </w:pPr>
      <w:r>
        <w:rPr>
          <w:sz w:val="24"/>
          <w:szCs w:val="24"/>
          <w:highlight w:val="white"/>
        </w:rPr>
        <w:t>La evidencia analizada demuestra que la distribución desigual del trabajo de cuidado es un mecanismo central que prod</w:t>
      </w:r>
      <w:r>
        <w:rPr>
          <w:sz w:val="24"/>
          <w:szCs w:val="24"/>
          <w:highlight w:val="white"/>
        </w:rPr>
        <w:t>uce y reproduce la desigualdad de género en Colombia. Por lo tanto, cualquier agenda de desarrollo que aspire a la equidad de género debe abordar de manera central la economía del cuidado. Esto exige un marco de políticas articuladas en torno a un triple i</w:t>
      </w:r>
      <w:r>
        <w:rPr>
          <w:sz w:val="24"/>
          <w:szCs w:val="24"/>
          <w:highlight w:val="white"/>
        </w:rPr>
        <w:t>mperativo: el reconocimiento del valor del cuidado a través de su medición sistemática; la reducción de la carga de trabajo no remunerado mediante la inversión en infraestructura social y servicios públicos; y la redistribución equitativa de estas tareas e</w:t>
      </w:r>
      <w:r>
        <w:rPr>
          <w:sz w:val="24"/>
          <w:szCs w:val="24"/>
          <w:highlight w:val="white"/>
        </w:rPr>
        <w:t>ntre hombres y mujeres, así como entre las familias, el Estado y el mercado.</w:t>
      </w:r>
    </w:p>
    <w:p w:rsidR="00590A61" w:rsidRDefault="00590A61">
      <w:pPr>
        <w:spacing w:before="180" w:after="180" w:line="276" w:lineRule="auto"/>
        <w:jc w:val="both"/>
        <w:rPr>
          <w:b/>
          <w:bCs/>
          <w:sz w:val="24"/>
          <w:szCs w:val="24"/>
        </w:rPr>
      </w:pPr>
    </w:p>
    <w:p w:rsidR="00590A61" w:rsidRDefault="00CF3BB4">
      <w:pPr>
        <w:numPr>
          <w:ilvl w:val="1"/>
          <w:numId w:val="5"/>
        </w:numPr>
        <w:pBdr>
          <w:top w:val="nil"/>
          <w:left w:val="nil"/>
          <w:bottom w:val="nil"/>
          <w:right w:val="nil"/>
          <w:between w:val="nil"/>
        </w:pBdr>
        <w:spacing w:before="180" w:after="180" w:line="276" w:lineRule="auto"/>
        <w:jc w:val="both"/>
        <w:rPr>
          <w:color w:val="000000"/>
          <w:sz w:val="24"/>
          <w:szCs w:val="24"/>
          <w:highlight w:val="white"/>
        </w:rPr>
      </w:pPr>
      <w:r>
        <w:rPr>
          <w:b/>
          <w:bCs/>
          <w:color w:val="000000"/>
          <w:sz w:val="24"/>
          <w:szCs w:val="24"/>
        </w:rPr>
        <w:t>CONSTITUCIONALIDAD DEL PROYECTO DE LEY</w:t>
      </w:r>
    </w:p>
    <w:p w:rsidR="00590A61" w:rsidRDefault="00CF3BB4">
      <w:pPr>
        <w:spacing w:before="280" w:after="280" w:line="276" w:lineRule="auto"/>
        <w:jc w:val="both"/>
        <w:rPr>
          <w:sz w:val="24"/>
          <w:szCs w:val="24"/>
        </w:rPr>
      </w:pPr>
      <w:r>
        <w:rPr>
          <w:sz w:val="24"/>
          <w:szCs w:val="24"/>
        </w:rPr>
        <w:t>El proyecto encuentra sólido fundamento en la Constitución de 1991, en su artículo 13 consagra el derecho a la igualdad y la prohibición de discriminación.</w:t>
      </w:r>
    </w:p>
    <w:p w:rsidR="00590A61" w:rsidRDefault="00CF3BB4">
      <w:pPr>
        <w:spacing w:before="280" w:after="280" w:line="276" w:lineRule="auto"/>
        <w:jc w:val="both"/>
        <w:rPr>
          <w:sz w:val="24"/>
          <w:szCs w:val="24"/>
        </w:rPr>
      </w:pPr>
      <w:r>
        <w:rPr>
          <w:sz w:val="24"/>
          <w:szCs w:val="24"/>
        </w:rPr>
        <w:t xml:space="preserve">En su artículo 42 define a la familia como núcleo fundamental de la sociedad y protege los derechos </w:t>
      </w:r>
      <w:r>
        <w:rPr>
          <w:sz w:val="24"/>
          <w:szCs w:val="24"/>
        </w:rPr>
        <w:t xml:space="preserve">de sus integrantes señalando que </w:t>
      </w:r>
      <w:r>
        <w:rPr>
          <w:i/>
          <w:iCs/>
          <w:sz w:val="24"/>
          <w:szCs w:val="24"/>
        </w:rPr>
        <w:t>"las relaciones familiares se basan en la igualdad de derechos y deberes de la pareja".</w:t>
      </w:r>
      <w:r>
        <w:rPr>
          <w:sz w:val="24"/>
          <w:szCs w:val="24"/>
        </w:rPr>
        <w:t xml:space="preserve"> Al proponer una compensación por el desequilibrio económico que sufre quien se dedicó al hogar, el proyecto busca materializar esta igu</w:t>
      </w:r>
      <w:r>
        <w:rPr>
          <w:sz w:val="24"/>
          <w:szCs w:val="24"/>
        </w:rPr>
        <w:t>aldad, reconociendo que la dedicación al cuidado es un deber y un aporte fundamental que no puede traducirse en una desventaja patrimonial al disolverse el vínculo.</w:t>
      </w:r>
    </w:p>
    <w:p w:rsidR="00590A61" w:rsidRDefault="00CF3BB4">
      <w:pPr>
        <w:spacing w:before="280" w:after="280" w:line="276" w:lineRule="auto"/>
        <w:jc w:val="both"/>
        <w:rPr>
          <w:b/>
          <w:bCs/>
          <w:sz w:val="24"/>
          <w:szCs w:val="24"/>
        </w:rPr>
      </w:pPr>
      <w:r>
        <w:rPr>
          <w:sz w:val="24"/>
          <w:szCs w:val="24"/>
        </w:rPr>
        <w:t>Así mismo, el artículo 43 de la Constitución prohíbe explícitamente</w:t>
      </w:r>
      <w:r>
        <w:rPr>
          <w:i/>
          <w:iCs/>
          <w:sz w:val="24"/>
          <w:szCs w:val="24"/>
        </w:rPr>
        <w:t xml:space="preserve"> "cualquier clase de dis</w:t>
      </w:r>
      <w:r>
        <w:rPr>
          <w:i/>
          <w:iCs/>
          <w:sz w:val="24"/>
          <w:szCs w:val="24"/>
        </w:rPr>
        <w:t>criminación"</w:t>
      </w:r>
      <w:r>
        <w:rPr>
          <w:sz w:val="24"/>
          <w:szCs w:val="24"/>
        </w:rPr>
        <w:t xml:space="preserve"> contra la mujer, especialmente cuando se encuentre en estado de debilidad manifiesta.</w:t>
      </w:r>
    </w:p>
    <w:p w:rsidR="00590A61" w:rsidRDefault="00CF3BB4">
      <w:pPr>
        <w:spacing w:after="180" w:line="276" w:lineRule="auto"/>
        <w:jc w:val="both"/>
        <w:rPr>
          <w:sz w:val="24"/>
          <w:szCs w:val="24"/>
        </w:rPr>
      </w:pPr>
      <w:r>
        <w:rPr>
          <w:sz w:val="24"/>
          <w:szCs w:val="24"/>
        </w:rPr>
        <w:t>La obligación en cabeza del Estado colombiano de promover, respetar, garantizar y proteger la igualdad de las mujeres se encuentra reforzada por el bloque de</w:t>
      </w:r>
      <w:r>
        <w:rPr>
          <w:sz w:val="24"/>
          <w:szCs w:val="24"/>
        </w:rPr>
        <w:t xml:space="preserve"> constitucionalidad (artículo 93 de la Constitución Política). En efecto, esta se encuentra consagrada en múltiples instrumentos internacionales de Derechos Humanos que ha ratificado Colombia:</w:t>
      </w:r>
    </w:p>
    <w:p w:rsidR="00590A61" w:rsidRDefault="00CF3BB4">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La Declaración Universal de los Derechos Humanos (1948), que reconoce todos los seres humanos nacen libres e iguales en dignidad y derechos (artículo 1), y señala la protección contra toda forma de discriminación.</w:t>
      </w:r>
    </w:p>
    <w:p w:rsidR="00590A61" w:rsidRDefault="00590A61">
      <w:pPr>
        <w:pBdr>
          <w:top w:val="nil"/>
          <w:left w:val="nil"/>
          <w:bottom w:val="nil"/>
          <w:right w:val="nil"/>
          <w:between w:val="nil"/>
        </w:pBdr>
        <w:spacing w:after="0" w:line="276" w:lineRule="auto"/>
        <w:ind w:left="720"/>
        <w:jc w:val="both"/>
        <w:rPr>
          <w:color w:val="000000"/>
          <w:sz w:val="24"/>
          <w:szCs w:val="24"/>
        </w:rPr>
      </w:pPr>
    </w:p>
    <w:p w:rsidR="00590A61" w:rsidRDefault="00CF3BB4">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El Pacto Internacional de Derechos Económ</w:t>
      </w:r>
      <w:r>
        <w:rPr>
          <w:color w:val="000000"/>
          <w:sz w:val="24"/>
          <w:szCs w:val="24"/>
        </w:rPr>
        <w:t>icos, Sociales y Culturales (1966), que en los artículos 2° y 3° que fija la regla del goce y el ejercicio de los derechos sin discriminación por sexo.</w:t>
      </w:r>
    </w:p>
    <w:p w:rsidR="00590A61" w:rsidRDefault="00590A61">
      <w:pPr>
        <w:spacing w:after="0" w:line="276" w:lineRule="auto"/>
        <w:ind w:left="720"/>
        <w:jc w:val="both"/>
        <w:rPr>
          <w:sz w:val="24"/>
          <w:szCs w:val="24"/>
        </w:rPr>
      </w:pPr>
    </w:p>
    <w:p w:rsidR="00590A61" w:rsidRDefault="00CF3BB4">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La Convención sobre la Eliminación de todas las formas de Discriminación contra la Mujer (1979) -</w:t>
      </w:r>
      <w:proofErr w:type="spellStart"/>
      <w:r>
        <w:rPr>
          <w:color w:val="000000"/>
          <w:sz w:val="24"/>
          <w:szCs w:val="24"/>
        </w:rPr>
        <w:t>Cedaw</w:t>
      </w:r>
      <w:proofErr w:type="spellEnd"/>
      <w:r>
        <w:rPr>
          <w:color w:val="000000"/>
          <w:sz w:val="24"/>
          <w:szCs w:val="24"/>
        </w:rPr>
        <w:t xml:space="preserve"> </w:t>
      </w:r>
      <w:r>
        <w:rPr>
          <w:color w:val="000000"/>
          <w:sz w:val="24"/>
          <w:szCs w:val="24"/>
        </w:rPr>
        <w:t>(por sus siglas en inglés), cuyo artículo 2° literales b) y c) consagra la obligación de los Estados partes de adoptar medidas adecuadas que prohíban toda discriminación contra la mujer y de establecer la protección jurídica de la mujer sobre una base de i</w:t>
      </w:r>
      <w:r>
        <w:rPr>
          <w:color w:val="000000"/>
          <w:sz w:val="24"/>
          <w:szCs w:val="24"/>
        </w:rPr>
        <w:t>gualdad con el hombre.</w:t>
      </w:r>
    </w:p>
    <w:p w:rsidR="00590A61" w:rsidRDefault="00590A61">
      <w:pPr>
        <w:pBdr>
          <w:top w:val="nil"/>
          <w:left w:val="nil"/>
          <w:bottom w:val="nil"/>
          <w:right w:val="nil"/>
          <w:between w:val="nil"/>
        </w:pBdr>
        <w:spacing w:after="0" w:line="276" w:lineRule="auto"/>
        <w:ind w:left="720"/>
        <w:rPr>
          <w:color w:val="000000"/>
          <w:sz w:val="24"/>
          <w:szCs w:val="24"/>
        </w:rPr>
      </w:pPr>
    </w:p>
    <w:p w:rsidR="00590A61" w:rsidRDefault="00CF3BB4">
      <w:pPr>
        <w:pBdr>
          <w:top w:val="nil"/>
          <w:left w:val="nil"/>
          <w:bottom w:val="nil"/>
          <w:right w:val="nil"/>
          <w:between w:val="nil"/>
        </w:pBdr>
        <w:spacing w:after="0" w:line="276" w:lineRule="auto"/>
        <w:ind w:left="720"/>
        <w:jc w:val="both"/>
        <w:rPr>
          <w:color w:val="000000"/>
          <w:sz w:val="24"/>
          <w:szCs w:val="24"/>
        </w:rPr>
      </w:pPr>
      <w:r>
        <w:rPr>
          <w:color w:val="000000"/>
          <w:sz w:val="24"/>
          <w:szCs w:val="24"/>
        </w:rPr>
        <w:t>El artículo 16 de la Convención es particularmente relevante, ya que exige a los Estados Parte adoptar medidas para eliminar la discriminación contra la mujer "en todos los asuntos relacionados con el matrimonio y las relaciones fam</w:t>
      </w:r>
      <w:r>
        <w:rPr>
          <w:color w:val="000000"/>
          <w:sz w:val="24"/>
          <w:szCs w:val="24"/>
        </w:rPr>
        <w:t>iliares".</w:t>
      </w:r>
    </w:p>
    <w:p w:rsidR="00590A61" w:rsidRDefault="00590A61">
      <w:pPr>
        <w:pBdr>
          <w:top w:val="nil"/>
          <w:left w:val="nil"/>
          <w:bottom w:val="nil"/>
          <w:right w:val="nil"/>
          <w:between w:val="nil"/>
        </w:pBdr>
        <w:spacing w:after="0" w:line="276" w:lineRule="auto"/>
        <w:ind w:left="720"/>
        <w:jc w:val="both"/>
        <w:rPr>
          <w:color w:val="000000"/>
          <w:sz w:val="24"/>
          <w:szCs w:val="24"/>
        </w:rPr>
      </w:pPr>
    </w:p>
    <w:p w:rsidR="00590A61" w:rsidRDefault="00CF3BB4">
      <w:pPr>
        <w:pBdr>
          <w:top w:val="nil"/>
          <w:left w:val="nil"/>
          <w:bottom w:val="nil"/>
          <w:right w:val="nil"/>
          <w:between w:val="nil"/>
        </w:pBdr>
        <w:spacing w:after="0" w:line="276" w:lineRule="auto"/>
        <w:ind w:left="720"/>
        <w:jc w:val="both"/>
        <w:rPr>
          <w:color w:val="000000"/>
          <w:sz w:val="24"/>
          <w:szCs w:val="24"/>
        </w:rPr>
      </w:pPr>
      <w:r>
        <w:rPr>
          <w:color w:val="000000"/>
          <w:sz w:val="24"/>
          <w:szCs w:val="24"/>
        </w:rPr>
        <w:t>De manera específica, el literal c) de dicho artículo establece el deber de asegurar, en condiciones de igualdad entre hombres y mujeres, "los mismos derechos y responsabilidades durante el matrimonio y con ocasión de su disolución".</w:t>
      </w:r>
    </w:p>
    <w:p w:rsidR="00590A61" w:rsidRDefault="00590A61">
      <w:pPr>
        <w:pBdr>
          <w:top w:val="nil"/>
          <w:left w:val="nil"/>
          <w:bottom w:val="nil"/>
          <w:right w:val="nil"/>
          <w:between w:val="nil"/>
        </w:pBdr>
        <w:spacing w:after="0" w:line="276" w:lineRule="auto"/>
        <w:ind w:left="720"/>
        <w:jc w:val="both"/>
        <w:rPr>
          <w:color w:val="000000"/>
          <w:sz w:val="24"/>
          <w:szCs w:val="24"/>
        </w:rPr>
      </w:pPr>
    </w:p>
    <w:p w:rsidR="00590A61" w:rsidRDefault="00CF3BB4">
      <w:pPr>
        <w:pBdr>
          <w:top w:val="nil"/>
          <w:left w:val="nil"/>
          <w:bottom w:val="nil"/>
          <w:right w:val="nil"/>
          <w:between w:val="nil"/>
        </w:pBdr>
        <w:spacing w:after="0" w:line="276" w:lineRule="auto"/>
        <w:ind w:left="720"/>
        <w:jc w:val="both"/>
        <w:rPr>
          <w:color w:val="000000"/>
          <w:sz w:val="24"/>
          <w:szCs w:val="24"/>
        </w:rPr>
      </w:pPr>
      <w:r>
        <w:rPr>
          <w:color w:val="000000"/>
          <w:sz w:val="24"/>
          <w:szCs w:val="24"/>
        </w:rPr>
        <w:t>Asimismo, el literal h) garantiza los mismos derechos para ambos cónyuges en materia de propiedad, gestión, administración, goce y disposición de los bienes.</w:t>
      </w:r>
    </w:p>
    <w:p w:rsidR="00590A61" w:rsidRDefault="00590A61">
      <w:pPr>
        <w:pBdr>
          <w:top w:val="nil"/>
          <w:left w:val="nil"/>
          <w:bottom w:val="nil"/>
          <w:right w:val="nil"/>
          <w:between w:val="nil"/>
        </w:pBdr>
        <w:spacing w:after="0" w:line="276" w:lineRule="auto"/>
        <w:ind w:left="720"/>
        <w:jc w:val="both"/>
        <w:rPr>
          <w:color w:val="000000"/>
          <w:sz w:val="24"/>
          <w:szCs w:val="24"/>
        </w:rPr>
      </w:pPr>
    </w:p>
    <w:p w:rsidR="00590A61" w:rsidRDefault="00CF3BB4">
      <w:pPr>
        <w:pBdr>
          <w:top w:val="nil"/>
          <w:left w:val="nil"/>
          <w:bottom w:val="nil"/>
          <w:right w:val="nil"/>
          <w:between w:val="nil"/>
        </w:pBdr>
        <w:spacing w:after="0" w:line="276" w:lineRule="auto"/>
        <w:ind w:left="720"/>
        <w:jc w:val="both"/>
        <w:rPr>
          <w:color w:val="000000"/>
          <w:sz w:val="24"/>
          <w:szCs w:val="24"/>
        </w:rPr>
      </w:pPr>
      <w:r>
        <w:rPr>
          <w:color w:val="000000"/>
          <w:sz w:val="24"/>
          <w:szCs w:val="24"/>
        </w:rPr>
        <w:t>En su Recomendación General No. 29 (2013), el Comité para la Eliminación de la Discriminación con</w:t>
      </w:r>
      <w:r>
        <w:rPr>
          <w:color w:val="000000"/>
          <w:sz w:val="24"/>
          <w:szCs w:val="24"/>
        </w:rPr>
        <w:t>tra la Mujer (CEDAW) insta a los Estados a garantizar que, en caso de disolución del matrimonio, las mujeres puedan reclamar beneficios económicos proporcionales a su contribución al hogar.</w:t>
      </w:r>
    </w:p>
    <w:p w:rsidR="00590A61" w:rsidRDefault="00590A61">
      <w:pPr>
        <w:pBdr>
          <w:top w:val="nil"/>
          <w:left w:val="nil"/>
          <w:bottom w:val="nil"/>
          <w:right w:val="nil"/>
          <w:between w:val="nil"/>
        </w:pBdr>
        <w:spacing w:after="0" w:line="276" w:lineRule="auto"/>
        <w:ind w:left="720"/>
        <w:jc w:val="both"/>
        <w:rPr>
          <w:color w:val="000000"/>
          <w:sz w:val="24"/>
          <w:szCs w:val="24"/>
        </w:rPr>
      </w:pPr>
    </w:p>
    <w:p w:rsidR="00590A61" w:rsidRDefault="00CF3BB4">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Por su parte, la Declaración sobre la Eliminación de la Violencia</w:t>
      </w:r>
      <w:r>
        <w:rPr>
          <w:color w:val="000000"/>
          <w:sz w:val="24"/>
          <w:szCs w:val="24"/>
        </w:rPr>
        <w:t xml:space="preserve"> contra la Mujer (1993), en sus artículos 1° y 2°, define la violencia contra la mujer, y en el artículo 3° consagra que esta debe gozar de condiciones de igualdad en diversos ámbitos, incluido el económico.</w:t>
      </w:r>
    </w:p>
    <w:p w:rsidR="00590A61" w:rsidRDefault="00590A61">
      <w:pPr>
        <w:spacing w:after="0" w:line="276" w:lineRule="auto"/>
        <w:jc w:val="both"/>
        <w:rPr>
          <w:sz w:val="24"/>
          <w:szCs w:val="24"/>
        </w:rPr>
      </w:pPr>
    </w:p>
    <w:p w:rsidR="00590A61" w:rsidRDefault="00CF3BB4">
      <w:pPr>
        <w:spacing w:after="0" w:line="276" w:lineRule="auto"/>
        <w:jc w:val="both"/>
        <w:rPr>
          <w:sz w:val="24"/>
          <w:szCs w:val="24"/>
        </w:rPr>
      </w:pPr>
      <w:r>
        <w:rPr>
          <w:sz w:val="24"/>
          <w:szCs w:val="24"/>
        </w:rPr>
        <w:t>La Corte Constitucional, la Corte Suprema de Ju</w:t>
      </w:r>
      <w:r>
        <w:rPr>
          <w:sz w:val="24"/>
          <w:szCs w:val="24"/>
        </w:rPr>
        <w:t>sticia y el Consejo de Estado han desarrollado una línea jurisprudencial que sustenta la necesidad del presente proyecto de ley.</w:t>
      </w:r>
    </w:p>
    <w:p w:rsidR="00F20B32" w:rsidRDefault="00F20B32">
      <w:pPr>
        <w:spacing w:after="0" w:line="276" w:lineRule="auto"/>
        <w:jc w:val="both"/>
        <w:rPr>
          <w:sz w:val="24"/>
          <w:szCs w:val="24"/>
        </w:rPr>
      </w:pPr>
    </w:p>
    <w:p w:rsidR="00590A61" w:rsidRDefault="00CF3BB4">
      <w:pPr>
        <w:spacing w:after="0" w:line="276" w:lineRule="auto"/>
        <w:jc w:val="both"/>
        <w:rPr>
          <w:sz w:val="24"/>
          <w:szCs w:val="24"/>
        </w:rPr>
      </w:pPr>
      <w:r>
        <w:rPr>
          <w:sz w:val="24"/>
          <w:szCs w:val="24"/>
        </w:rPr>
        <w:t>En relación con el reconocimiento del valor del trabajo doméstico, la jurisprudencia ha sido enfática en señalar que su infrava</w:t>
      </w:r>
      <w:r>
        <w:rPr>
          <w:sz w:val="24"/>
          <w:szCs w:val="24"/>
        </w:rPr>
        <w:t xml:space="preserve">loración perpetúa la discriminación histórica contra la </w:t>
      </w:r>
      <w:r>
        <w:rPr>
          <w:sz w:val="24"/>
          <w:szCs w:val="24"/>
        </w:rPr>
        <w:lastRenderedPageBreak/>
        <w:t>mujer, como se evidencia en las sentencias C-507 de 2023 y T-462 de 2021. Asimismo, se ha superado la idea de que este trabajo no genera valor, reconociendo que constituye un presupuesto fundamental p</w:t>
      </w:r>
      <w:r>
        <w:rPr>
          <w:sz w:val="24"/>
          <w:szCs w:val="24"/>
        </w:rPr>
        <w:t>ara que el otro cónyuge o compañero permanente pueda acceder al mercado laboral y a derechos como la pensión.</w:t>
      </w:r>
    </w:p>
    <w:p w:rsidR="00590A61" w:rsidRDefault="00590A61">
      <w:pPr>
        <w:spacing w:after="0" w:line="276" w:lineRule="auto"/>
        <w:jc w:val="both"/>
        <w:rPr>
          <w:sz w:val="24"/>
          <w:szCs w:val="24"/>
        </w:rPr>
      </w:pPr>
    </w:p>
    <w:p w:rsidR="00590A61" w:rsidRDefault="00CF3BB4">
      <w:pPr>
        <w:spacing w:after="0" w:line="276" w:lineRule="auto"/>
        <w:jc w:val="both"/>
        <w:rPr>
          <w:sz w:val="24"/>
          <w:szCs w:val="24"/>
        </w:rPr>
      </w:pPr>
      <w:r>
        <w:rPr>
          <w:sz w:val="24"/>
          <w:szCs w:val="24"/>
        </w:rPr>
        <w:t>En lo referente a la necesidad de un enfoque de género, las altas cortes han ordenado aplicar esta perspectiva para cuestionar los estereotipos s</w:t>
      </w:r>
      <w:r>
        <w:rPr>
          <w:sz w:val="24"/>
          <w:szCs w:val="24"/>
        </w:rPr>
        <w:t xml:space="preserve">egún los cuales las labores de cuidado no constituyen un aporte a la sociedad conyugal (SU-349 de 2022). La </w:t>
      </w:r>
      <w:proofErr w:type="spellStart"/>
      <w:r>
        <w:rPr>
          <w:sz w:val="24"/>
          <w:szCs w:val="24"/>
        </w:rPr>
        <w:t>invisibilización</w:t>
      </w:r>
      <w:proofErr w:type="spellEnd"/>
      <w:r>
        <w:rPr>
          <w:sz w:val="24"/>
          <w:szCs w:val="24"/>
        </w:rPr>
        <w:t xml:space="preserve"> de estas labores se considera una forma de "violencia institucional" (SU-349 de 2022), ya que relega a la mujer al ámbito privado y</w:t>
      </w:r>
      <w:r>
        <w:rPr>
          <w:sz w:val="24"/>
          <w:szCs w:val="24"/>
        </w:rPr>
        <w:t xml:space="preserve"> limita su desarrollo profesional y económico</w:t>
      </w:r>
      <w:r>
        <w:rPr>
          <w:sz w:val="24"/>
          <w:szCs w:val="24"/>
          <w:vertAlign w:val="superscript"/>
        </w:rPr>
        <w:footnoteReference w:id="13"/>
      </w:r>
      <w:r>
        <w:rPr>
          <w:sz w:val="24"/>
          <w:szCs w:val="24"/>
        </w:rPr>
        <w:t>.</w:t>
      </w:r>
    </w:p>
    <w:p w:rsidR="00590A61" w:rsidRDefault="00590A61">
      <w:pPr>
        <w:spacing w:after="0" w:line="276" w:lineRule="auto"/>
        <w:jc w:val="both"/>
        <w:rPr>
          <w:sz w:val="24"/>
          <w:szCs w:val="24"/>
        </w:rPr>
      </w:pPr>
    </w:p>
    <w:p w:rsidR="00590A61" w:rsidRDefault="00CF3BB4">
      <w:pPr>
        <w:spacing w:after="0" w:line="276" w:lineRule="auto"/>
        <w:jc w:val="both"/>
        <w:rPr>
          <w:sz w:val="24"/>
          <w:szCs w:val="24"/>
        </w:rPr>
      </w:pPr>
      <w:r>
        <w:rPr>
          <w:sz w:val="24"/>
          <w:szCs w:val="24"/>
        </w:rPr>
        <w:t>En cuanto al impacto en la autonomía económica, se ha reconocido que la sobrecarga en las labores de cuidado constituye uno de los principales obstáculos para que las mujeres accedan al mercado laboral, coti</w:t>
      </w:r>
      <w:r>
        <w:rPr>
          <w:sz w:val="24"/>
          <w:szCs w:val="24"/>
        </w:rPr>
        <w:t>cen al sistema de seguridad social y logren su autonomía, incentivando su permanencia en la economía informal, como se señaló en la Sentencia T-447 de 2023</w:t>
      </w:r>
      <w:r>
        <w:rPr>
          <w:sz w:val="24"/>
          <w:szCs w:val="24"/>
          <w:vertAlign w:val="superscript"/>
        </w:rPr>
        <w:footnoteReference w:id="14"/>
      </w:r>
      <w:r>
        <w:rPr>
          <w:sz w:val="24"/>
          <w:szCs w:val="24"/>
        </w:rPr>
        <w:t>. El proyecto de ley enfrenta directamente esta consecuencia.</w:t>
      </w:r>
    </w:p>
    <w:p w:rsidR="00590A61" w:rsidRDefault="00590A61">
      <w:pPr>
        <w:spacing w:after="0" w:line="276" w:lineRule="auto"/>
        <w:jc w:val="both"/>
        <w:rPr>
          <w:sz w:val="24"/>
          <w:szCs w:val="24"/>
        </w:rPr>
      </w:pPr>
    </w:p>
    <w:p w:rsidR="00590A61" w:rsidRDefault="00CF3BB4">
      <w:pPr>
        <w:spacing w:after="0" w:line="276" w:lineRule="auto"/>
        <w:jc w:val="both"/>
        <w:rPr>
          <w:sz w:val="24"/>
          <w:szCs w:val="24"/>
        </w:rPr>
      </w:pPr>
      <w:r>
        <w:rPr>
          <w:sz w:val="24"/>
          <w:szCs w:val="24"/>
        </w:rPr>
        <w:t>En línea con lo anterior, la Corte Constitucional ha establecido que es imperativa la protección al derecho de las mujeres a la igualdad. En la jurisprudencia de la Corte se indica lo siguiente:</w:t>
      </w:r>
      <w:r>
        <w:rPr>
          <w:i/>
          <w:iCs/>
          <w:sz w:val="24"/>
          <w:szCs w:val="24"/>
        </w:rPr>
        <w:t xml:space="preserve"> “el derecho a la igualdad y la regla de prohibición de trato </w:t>
      </w:r>
      <w:r>
        <w:rPr>
          <w:i/>
          <w:iCs/>
          <w:sz w:val="24"/>
          <w:szCs w:val="24"/>
        </w:rPr>
        <w:t>discriminado a las mujeres son obligatorios a la luz del Derecho Internacional de los Derechos Humanos, que se trata de derecho vigente, y que, dentro de esta perspectiva, las autoridades públicas y los particulares están jurídicamente obligados desde el D</w:t>
      </w:r>
      <w:r>
        <w:rPr>
          <w:i/>
          <w:iCs/>
          <w:sz w:val="24"/>
          <w:szCs w:val="24"/>
        </w:rPr>
        <w:t>erecho Internacional, a no incurrir en diferencias de trato discriminatorio a las mujeres”</w:t>
      </w:r>
      <w:r>
        <w:rPr>
          <w:sz w:val="24"/>
          <w:szCs w:val="24"/>
          <w:vertAlign w:val="superscript"/>
        </w:rPr>
        <w:footnoteReference w:id="15"/>
      </w:r>
      <w:r>
        <w:rPr>
          <w:sz w:val="24"/>
          <w:szCs w:val="24"/>
        </w:rPr>
        <w:t xml:space="preserve">. </w:t>
      </w:r>
    </w:p>
    <w:p w:rsidR="00590A61" w:rsidRDefault="00CF3BB4">
      <w:pPr>
        <w:spacing w:before="180" w:after="180" w:line="276" w:lineRule="auto"/>
        <w:jc w:val="both"/>
        <w:rPr>
          <w:sz w:val="24"/>
          <w:szCs w:val="24"/>
        </w:rPr>
      </w:pPr>
      <w:r>
        <w:rPr>
          <w:sz w:val="24"/>
          <w:szCs w:val="24"/>
        </w:rPr>
        <w:lastRenderedPageBreak/>
        <w:t>La jurisprudencia constitucional ha sido uniforme en identificar el triple carácter que tiene la igualdad en el ordenamiento colombiano como valor, principio y de</w:t>
      </w:r>
      <w:r>
        <w:rPr>
          <w:sz w:val="24"/>
          <w:szCs w:val="24"/>
        </w:rPr>
        <w:t>recho fundamental. En particular, es importante distinguir los efectos de cada una de estas 3 categorías:</w:t>
      </w:r>
    </w:p>
    <w:p w:rsidR="00590A61" w:rsidRDefault="00590A61" w:rsidP="00F20B32">
      <w:pPr>
        <w:pStyle w:val="Sinespaciado"/>
      </w:pPr>
    </w:p>
    <w:p w:rsidR="00590A61" w:rsidRDefault="00CF3BB4">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Como valor constituye un fin del Estado y un enunciado de eficacia imperativa. </w:t>
      </w:r>
    </w:p>
    <w:p w:rsidR="00590A61" w:rsidRDefault="00590A61">
      <w:pPr>
        <w:pBdr>
          <w:top w:val="nil"/>
          <w:left w:val="nil"/>
          <w:bottom w:val="nil"/>
          <w:right w:val="nil"/>
          <w:between w:val="nil"/>
        </w:pBdr>
        <w:spacing w:after="0" w:line="276" w:lineRule="auto"/>
        <w:ind w:left="720"/>
        <w:jc w:val="both"/>
        <w:rPr>
          <w:color w:val="000000"/>
          <w:sz w:val="24"/>
          <w:szCs w:val="24"/>
        </w:rPr>
      </w:pPr>
    </w:p>
    <w:p w:rsidR="00590A61" w:rsidRDefault="00CF3BB4">
      <w:pPr>
        <w:numPr>
          <w:ilvl w:val="0"/>
          <w:numId w:val="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Como principio adquiere la condición de norma de Derecho Constitucional y de Derecho Internacional de los Derechos Humanos, lo que supone un mandato de optimización que ordena que se tomen acciones, en la mayor medida posible, de acuerdo a las condiciones </w:t>
      </w:r>
      <w:r>
        <w:rPr>
          <w:color w:val="000000"/>
          <w:sz w:val="24"/>
          <w:szCs w:val="24"/>
        </w:rPr>
        <w:t xml:space="preserve">fácticas y jurídicas. </w:t>
      </w:r>
    </w:p>
    <w:p w:rsidR="00590A61" w:rsidRDefault="00590A61">
      <w:pPr>
        <w:pBdr>
          <w:top w:val="nil"/>
          <w:left w:val="nil"/>
          <w:bottom w:val="nil"/>
          <w:right w:val="nil"/>
          <w:between w:val="nil"/>
        </w:pBdr>
        <w:spacing w:after="0" w:line="276" w:lineRule="auto"/>
        <w:ind w:left="720"/>
        <w:jc w:val="both"/>
        <w:rPr>
          <w:color w:val="000000"/>
          <w:sz w:val="24"/>
          <w:szCs w:val="24"/>
        </w:rPr>
      </w:pPr>
    </w:p>
    <w:p w:rsidR="00590A61" w:rsidRDefault="00CF3BB4">
      <w:pPr>
        <w:numPr>
          <w:ilvl w:val="0"/>
          <w:numId w:val="4"/>
        </w:numPr>
        <w:pBdr>
          <w:top w:val="nil"/>
          <w:left w:val="nil"/>
          <w:bottom w:val="nil"/>
          <w:right w:val="nil"/>
          <w:between w:val="nil"/>
        </w:pBdr>
        <w:spacing w:after="180" w:line="276" w:lineRule="auto"/>
        <w:jc w:val="both"/>
        <w:rPr>
          <w:color w:val="000000"/>
          <w:sz w:val="24"/>
          <w:szCs w:val="24"/>
        </w:rPr>
      </w:pPr>
      <w:r>
        <w:rPr>
          <w:color w:val="000000"/>
          <w:sz w:val="24"/>
          <w:szCs w:val="24"/>
        </w:rPr>
        <w:t>Como derecho fundamental tiene aplicación directa y cláusula de garantía reforzada.</w:t>
      </w:r>
    </w:p>
    <w:p w:rsidR="00590A61" w:rsidRDefault="00CF3BB4">
      <w:pPr>
        <w:spacing w:before="180" w:after="180" w:line="276" w:lineRule="auto"/>
        <w:jc w:val="both"/>
        <w:rPr>
          <w:sz w:val="24"/>
          <w:szCs w:val="24"/>
        </w:rPr>
      </w:pPr>
      <w:r>
        <w:rPr>
          <w:sz w:val="24"/>
          <w:szCs w:val="24"/>
        </w:rPr>
        <w:t>Además, se ha implementado en un doble sentido: (i) como derecho subjetivo personal que representa límites para el legislador y una obligación constitucionalmente impuesta a las ramas y órganos del poder público; y (ii) mediante protecciones específicas qu</w:t>
      </w:r>
      <w:r>
        <w:rPr>
          <w:sz w:val="24"/>
          <w:szCs w:val="24"/>
        </w:rPr>
        <w:t xml:space="preserve">e la articulan en sentido material, manifestadas en las sentencias de tutela y sus diversas líneas jurisprudenciales. </w:t>
      </w:r>
    </w:p>
    <w:p w:rsidR="00590A61" w:rsidRDefault="00CF3BB4">
      <w:pPr>
        <w:spacing w:before="180" w:after="180" w:line="276" w:lineRule="auto"/>
        <w:jc w:val="both"/>
        <w:rPr>
          <w:sz w:val="24"/>
          <w:szCs w:val="24"/>
        </w:rPr>
      </w:pPr>
      <w:r>
        <w:rPr>
          <w:sz w:val="24"/>
          <w:szCs w:val="24"/>
        </w:rPr>
        <w:t xml:space="preserve">Asimismo, la Corte Constitucional ha identificado distintos mandatos contenidos en los enunciados constitucionales sobre la igualdad que </w:t>
      </w:r>
      <w:r>
        <w:rPr>
          <w:sz w:val="24"/>
          <w:szCs w:val="24"/>
        </w:rPr>
        <w:t>a su vez constituyen una expresión de su vínculo con la dignidad humana. A saber, la igualdad formal que implica el presupuesto de igualdad ante la ley e igualdad de protección y trato en la aplicación de la ley, así como el principio de no discriminación.</w:t>
      </w:r>
      <w:r>
        <w:rPr>
          <w:sz w:val="24"/>
          <w:szCs w:val="24"/>
        </w:rPr>
        <w:t xml:space="preserve"> De otra parte, se encuentra la igualdad material que requiere la implementación de medidas de discriminación afirmativa para transformar la sociedad y equilibrar las cuotas de poder social en favor de personas y grupos vulnerables o en situación de debili</w:t>
      </w:r>
      <w:r>
        <w:rPr>
          <w:sz w:val="24"/>
          <w:szCs w:val="24"/>
        </w:rPr>
        <w:t>dad manifiesta.</w:t>
      </w:r>
    </w:p>
    <w:p w:rsidR="00590A61" w:rsidRDefault="00CF3BB4">
      <w:pPr>
        <w:spacing w:before="180" w:after="180" w:line="276" w:lineRule="auto"/>
        <w:jc w:val="both"/>
        <w:rPr>
          <w:sz w:val="24"/>
          <w:szCs w:val="24"/>
        </w:rPr>
      </w:pPr>
      <w:r>
        <w:rPr>
          <w:sz w:val="24"/>
          <w:szCs w:val="24"/>
        </w:rPr>
        <w:t xml:space="preserve">La Corte Constitucional de Colombia ha desarrollado una línea jurisprudencial que reconoce la necesidad de proteger los derechos de las mujeres en situación de vulnerabilidad tras el divorcio. En sentencias como la SU-389 de 2005, C-184 de </w:t>
      </w:r>
      <w:r>
        <w:rPr>
          <w:sz w:val="24"/>
          <w:szCs w:val="24"/>
        </w:rPr>
        <w:t>2003, T-925 de 2004, T-516 de 2023, y la T-250 de 2024, el alto tribunal ha señalado que la desigualdad económica producto de roles tradicionales de género debe ser compensada jurídicamente; el trabajo doméstico y de cuidado tiene un valor económico y soci</w:t>
      </w:r>
      <w:r>
        <w:rPr>
          <w:sz w:val="24"/>
          <w:szCs w:val="24"/>
        </w:rPr>
        <w:t>al que debe ser reconocido y que las mujeres divorciadas, especialmente de edad avanzada o con hijos a cargo, deben recibir protección reforzada.</w:t>
      </w:r>
    </w:p>
    <w:p w:rsidR="00590A61" w:rsidRDefault="00CF3BB4">
      <w:pPr>
        <w:spacing w:before="180" w:after="180" w:line="276" w:lineRule="auto"/>
        <w:jc w:val="both"/>
        <w:rPr>
          <w:sz w:val="24"/>
          <w:szCs w:val="24"/>
          <w:highlight w:val="white"/>
        </w:rPr>
      </w:pPr>
      <w:r>
        <w:rPr>
          <w:sz w:val="24"/>
          <w:szCs w:val="24"/>
          <w:highlight w:val="white"/>
        </w:rPr>
        <w:t>Finalmente, es menester traer a colación con mayor amplitud el pronunciamiento realizado por la Corte Constitu</w:t>
      </w:r>
      <w:r>
        <w:rPr>
          <w:sz w:val="24"/>
          <w:szCs w:val="24"/>
          <w:highlight w:val="white"/>
        </w:rPr>
        <w:t xml:space="preserve">cional en sentencia T-462 de 2021, en donde analizó dos casos de </w:t>
      </w:r>
      <w:r>
        <w:rPr>
          <w:sz w:val="24"/>
          <w:szCs w:val="24"/>
          <w:highlight w:val="white"/>
        </w:rPr>
        <w:lastRenderedPageBreak/>
        <w:t xml:space="preserve">mujeres mayores dependientes de pago de alimentos de sus exparejas, el núcleo de la sentencia es el reconocimiento de la desigualdad estructural que afecta a las mujeres debido a la división </w:t>
      </w:r>
      <w:r>
        <w:rPr>
          <w:sz w:val="24"/>
          <w:szCs w:val="24"/>
          <w:highlight w:val="white"/>
        </w:rPr>
        <w:t>de roles en el matrimonio. La Corte argumentó que la administración de justicia debe aplicar un enfoque de género para visibilizar y reparar la violencia estructural contra la mujer.</w:t>
      </w:r>
    </w:p>
    <w:p w:rsidR="00590A61" w:rsidRDefault="00CF3BB4">
      <w:pPr>
        <w:spacing w:before="180" w:after="180" w:line="276" w:lineRule="auto"/>
        <w:jc w:val="both"/>
        <w:rPr>
          <w:sz w:val="24"/>
          <w:szCs w:val="24"/>
          <w:highlight w:val="white"/>
        </w:rPr>
      </w:pPr>
      <w:r>
        <w:rPr>
          <w:sz w:val="24"/>
          <w:szCs w:val="24"/>
          <w:highlight w:val="white"/>
        </w:rPr>
        <w:t>La Sentencia T-462 de 2021 redefine el propósito de la obligación aliment</w:t>
      </w:r>
      <w:r>
        <w:rPr>
          <w:sz w:val="24"/>
          <w:szCs w:val="24"/>
          <w:highlight w:val="white"/>
        </w:rPr>
        <w:t xml:space="preserve">aria entre </w:t>
      </w:r>
      <w:proofErr w:type="spellStart"/>
      <w:r>
        <w:rPr>
          <w:sz w:val="24"/>
          <w:szCs w:val="24"/>
          <w:highlight w:val="white"/>
        </w:rPr>
        <w:t>excónyuges</w:t>
      </w:r>
      <w:proofErr w:type="spellEnd"/>
      <w:r>
        <w:rPr>
          <w:sz w:val="24"/>
          <w:szCs w:val="24"/>
          <w:highlight w:val="white"/>
        </w:rPr>
        <w:t>. No se trata solo de un deber de solidaridad, sino de un mecanismo para corregir la desigualdad. En este sentido, la Corte en sentencia T-085 de 2024, citando la T-462 de 2021 señaló:</w:t>
      </w:r>
    </w:p>
    <w:p w:rsidR="00590A61" w:rsidRDefault="00CF3BB4">
      <w:pPr>
        <w:spacing w:before="180" w:after="180" w:line="276" w:lineRule="auto"/>
        <w:ind w:left="142" w:right="191"/>
        <w:jc w:val="both"/>
        <w:rPr>
          <w:i/>
          <w:iCs/>
          <w:sz w:val="24"/>
          <w:szCs w:val="24"/>
          <w:highlight w:val="white"/>
        </w:rPr>
      </w:pPr>
      <w:r>
        <w:rPr>
          <w:i/>
          <w:iCs/>
          <w:sz w:val="24"/>
          <w:szCs w:val="24"/>
          <w:highlight w:val="white"/>
        </w:rPr>
        <w:t>"Partiendo de esa distribución asimétrica de las l</w:t>
      </w:r>
      <w:r>
        <w:rPr>
          <w:i/>
          <w:iCs/>
          <w:sz w:val="24"/>
          <w:szCs w:val="24"/>
          <w:highlight w:val="white"/>
        </w:rPr>
        <w:t>abores del cuidado, la Corte ha entendido los alimentos como una forma de ‘paliar la discriminación y de disminuir la tensión que existe ante la ausencia de remuneración del trabajo de cuidado".</w:t>
      </w:r>
    </w:p>
    <w:p w:rsidR="00590A61" w:rsidRDefault="00CF3BB4">
      <w:pPr>
        <w:spacing w:before="180" w:after="180" w:line="276" w:lineRule="auto"/>
        <w:jc w:val="both"/>
        <w:rPr>
          <w:sz w:val="24"/>
          <w:szCs w:val="24"/>
        </w:rPr>
      </w:pPr>
      <w:r>
        <w:rPr>
          <w:sz w:val="24"/>
          <w:szCs w:val="24"/>
          <w:highlight w:val="white"/>
        </w:rPr>
        <w:t>Asimismo, se reconoce que el divorcio constituye una "reconfi</w:t>
      </w:r>
      <w:r>
        <w:rPr>
          <w:sz w:val="24"/>
          <w:szCs w:val="24"/>
          <w:highlight w:val="white"/>
        </w:rPr>
        <w:t>guración de la</w:t>
      </w:r>
      <w:r>
        <w:rPr>
          <w:sz w:val="24"/>
          <w:szCs w:val="24"/>
        </w:rPr>
        <w:t>s relaciones familiares y no su extinción", por lo que la cuota alimentaria puede ser entendida como una "prolongación de los deberes de ayuda y socorro", especialmente para la mujer que, tras la ruptura, mantiene su rol de cuidadora con poca</w:t>
      </w:r>
      <w:r>
        <w:rPr>
          <w:sz w:val="24"/>
          <w:szCs w:val="24"/>
        </w:rPr>
        <w:t>s opciones para sostenerse económicamente.</w:t>
      </w:r>
    </w:p>
    <w:p w:rsidR="00590A61" w:rsidRDefault="00CF3BB4">
      <w:pPr>
        <w:spacing w:before="180" w:after="180" w:line="276" w:lineRule="auto"/>
        <w:jc w:val="both"/>
        <w:rPr>
          <w:sz w:val="24"/>
          <w:szCs w:val="24"/>
        </w:rPr>
      </w:pPr>
      <w:r>
        <w:rPr>
          <w:sz w:val="24"/>
          <w:szCs w:val="24"/>
        </w:rPr>
        <w:t>Finalmente, la Corte en la parte resolutiva de la sentencia T-462 de 2021, indicó:</w:t>
      </w:r>
    </w:p>
    <w:p w:rsidR="00590A61" w:rsidRDefault="00CF3BB4">
      <w:pPr>
        <w:spacing w:before="180" w:after="180" w:line="276" w:lineRule="auto"/>
        <w:ind w:left="142" w:right="191"/>
        <w:jc w:val="both"/>
        <w:rPr>
          <w:i/>
          <w:iCs/>
          <w:sz w:val="24"/>
          <w:szCs w:val="24"/>
          <w:highlight w:val="white"/>
        </w:rPr>
      </w:pPr>
      <w:r>
        <w:rPr>
          <w:i/>
          <w:iCs/>
          <w:sz w:val="24"/>
          <w:szCs w:val="24"/>
        </w:rPr>
        <w:t>“QUINTO.- ENVIAR a las Comisiones Constitucionales Permanentes Segunda y Séptima de la Cámara de Representantes y del Senado de la</w:t>
      </w:r>
      <w:r>
        <w:rPr>
          <w:i/>
          <w:iCs/>
          <w:sz w:val="24"/>
          <w:szCs w:val="24"/>
        </w:rPr>
        <w:t xml:space="preserve"> República la presente providencia para que, en virtud del margen de configuración legislativa y los estándares constitucionales sobre los derechos de las mujeres analizados, adopten las medidas correspondientes en relación con el déficit de protección que</w:t>
      </w:r>
      <w:r>
        <w:rPr>
          <w:i/>
          <w:iCs/>
          <w:sz w:val="24"/>
          <w:szCs w:val="24"/>
        </w:rPr>
        <w:t xml:space="preserve"> tienen las mujeres en los escenarios de divorcio, ante la cuota alimentaria, de conformidad con las consideraciones realizadas en la presente providencia.”</w:t>
      </w:r>
    </w:p>
    <w:p w:rsidR="00590A61" w:rsidRDefault="00590A61" w:rsidP="00F20B32">
      <w:pPr>
        <w:pStyle w:val="Sinespaciado"/>
        <w:rPr>
          <w:highlight w:val="white"/>
        </w:rPr>
      </w:pPr>
    </w:p>
    <w:p w:rsidR="00590A61" w:rsidRDefault="00CF3BB4">
      <w:pPr>
        <w:numPr>
          <w:ilvl w:val="1"/>
          <w:numId w:val="5"/>
        </w:numPr>
        <w:pBdr>
          <w:top w:val="nil"/>
          <w:left w:val="nil"/>
          <w:bottom w:val="nil"/>
          <w:right w:val="nil"/>
          <w:between w:val="nil"/>
        </w:pBdr>
        <w:spacing w:after="0" w:line="276" w:lineRule="auto"/>
        <w:rPr>
          <w:b/>
          <w:bCs/>
          <w:color w:val="000000"/>
          <w:sz w:val="24"/>
          <w:szCs w:val="24"/>
        </w:rPr>
      </w:pPr>
      <w:r>
        <w:rPr>
          <w:b/>
          <w:bCs/>
          <w:color w:val="000000"/>
          <w:sz w:val="24"/>
          <w:szCs w:val="24"/>
        </w:rPr>
        <w:t xml:space="preserve"> DERECHO COMPARADO</w:t>
      </w:r>
    </w:p>
    <w:p w:rsidR="00590A61" w:rsidRDefault="00CF3BB4">
      <w:pPr>
        <w:spacing w:before="180" w:after="180" w:line="276" w:lineRule="auto"/>
        <w:ind w:right="49"/>
        <w:jc w:val="both"/>
        <w:rPr>
          <w:sz w:val="24"/>
          <w:szCs w:val="24"/>
        </w:rPr>
      </w:pPr>
      <w:r>
        <w:rPr>
          <w:sz w:val="24"/>
          <w:szCs w:val="24"/>
        </w:rPr>
        <w:t xml:space="preserve">Se ha reconocido que la tendencia en un número significativo de países ha sido introducir regímenes de compensación que no se basan en la culpa, sino en el desmedro económico que la disolución del vínculo puede causar. Entre los ejemplos se encuentran las </w:t>
      </w:r>
      <w:r>
        <w:rPr>
          <w:sz w:val="24"/>
          <w:szCs w:val="24"/>
        </w:rPr>
        <w:t>reformas en España y Chile, que han incorporado mecanismos para mitigar los desequilibrios económicos generados por el divorcio, considerando factores como la dedicación a la familia y la pérdida de oportunidades laborales.</w:t>
      </w:r>
    </w:p>
    <w:p w:rsidR="00590A61" w:rsidRDefault="00590A61">
      <w:pPr>
        <w:spacing w:before="180" w:after="180" w:line="276" w:lineRule="auto"/>
        <w:ind w:right="49"/>
        <w:jc w:val="both"/>
        <w:rPr>
          <w:b/>
          <w:bCs/>
          <w:sz w:val="24"/>
          <w:szCs w:val="24"/>
        </w:rPr>
      </w:pPr>
    </w:p>
    <w:p w:rsidR="00590A61" w:rsidRDefault="00CF3BB4">
      <w:pPr>
        <w:numPr>
          <w:ilvl w:val="2"/>
          <w:numId w:val="5"/>
        </w:numPr>
        <w:pBdr>
          <w:top w:val="nil"/>
          <w:left w:val="nil"/>
          <w:bottom w:val="nil"/>
          <w:right w:val="nil"/>
          <w:between w:val="nil"/>
        </w:pBdr>
        <w:spacing w:before="180" w:after="180" w:line="276" w:lineRule="auto"/>
        <w:ind w:right="49"/>
        <w:jc w:val="both"/>
        <w:rPr>
          <w:b/>
          <w:bCs/>
          <w:color w:val="000000"/>
          <w:sz w:val="24"/>
          <w:szCs w:val="24"/>
          <w:highlight w:val="white"/>
        </w:rPr>
      </w:pPr>
      <w:r>
        <w:rPr>
          <w:b/>
          <w:bCs/>
          <w:color w:val="000000"/>
          <w:sz w:val="24"/>
          <w:szCs w:val="24"/>
          <w:highlight w:val="white"/>
        </w:rPr>
        <w:lastRenderedPageBreak/>
        <w:t>ESPAÑA</w:t>
      </w:r>
    </w:p>
    <w:p w:rsidR="00590A61" w:rsidRDefault="00CF3BB4">
      <w:pPr>
        <w:pBdr>
          <w:top w:val="nil"/>
          <w:left w:val="nil"/>
          <w:bottom w:val="nil"/>
          <w:right w:val="nil"/>
          <w:between w:val="nil"/>
        </w:pBdr>
        <w:spacing w:before="280" w:after="280" w:line="276" w:lineRule="auto"/>
        <w:jc w:val="both"/>
        <w:rPr>
          <w:color w:val="000000"/>
          <w:sz w:val="24"/>
          <w:szCs w:val="24"/>
        </w:rPr>
      </w:pPr>
      <w:r>
        <w:rPr>
          <w:color w:val="000000"/>
          <w:sz w:val="24"/>
          <w:szCs w:val="24"/>
        </w:rPr>
        <w:t>La pensión compensatoria está regulada en el artículo 97 del Código Civil español, reformado por la Ley 15/2005. El objetivo de esta figura es mitigar los desequilibrios económicos que la separación o el divorcio generan para uno de los cónyuges. Su finali</w:t>
      </w:r>
      <w:r>
        <w:rPr>
          <w:color w:val="000000"/>
          <w:sz w:val="24"/>
          <w:szCs w:val="24"/>
        </w:rPr>
        <w:t>dad es “compensar el desequilibrio económico que puede producir la separación o el divorcio”.</w:t>
      </w:r>
    </w:p>
    <w:p w:rsidR="00590A61" w:rsidRDefault="00CF3BB4">
      <w:pPr>
        <w:pBdr>
          <w:top w:val="nil"/>
          <w:left w:val="nil"/>
          <w:bottom w:val="nil"/>
          <w:right w:val="nil"/>
          <w:between w:val="nil"/>
        </w:pBdr>
        <w:spacing w:before="280" w:after="280" w:line="276" w:lineRule="auto"/>
        <w:jc w:val="both"/>
        <w:rPr>
          <w:color w:val="000000"/>
          <w:sz w:val="24"/>
          <w:szCs w:val="24"/>
        </w:rPr>
      </w:pPr>
      <w:r>
        <w:rPr>
          <w:color w:val="000000"/>
          <w:sz w:val="24"/>
          <w:szCs w:val="24"/>
        </w:rPr>
        <w:t>El derecho a esta compensación surge cuando la separación o el divorcio produce en uno de los cónyuges un “desequilibrio económico en relación con la posición del</w:t>
      </w:r>
      <w:r>
        <w:rPr>
          <w:color w:val="000000"/>
          <w:sz w:val="24"/>
          <w:szCs w:val="24"/>
        </w:rPr>
        <w:t xml:space="preserve"> otro, que implique un empeoramiento en su situación anterior en el matrimonio”.</w:t>
      </w:r>
    </w:p>
    <w:p w:rsidR="00590A61" w:rsidRDefault="00CF3BB4" w:rsidP="00F20B32">
      <w:pPr>
        <w:pBdr>
          <w:top w:val="nil"/>
          <w:left w:val="nil"/>
          <w:bottom w:val="nil"/>
          <w:right w:val="nil"/>
          <w:between w:val="nil"/>
        </w:pBdr>
        <w:spacing w:before="280" w:after="280" w:line="276" w:lineRule="auto"/>
        <w:jc w:val="both"/>
        <w:rPr>
          <w:color w:val="000000"/>
          <w:sz w:val="24"/>
          <w:szCs w:val="24"/>
        </w:rPr>
      </w:pPr>
      <w:r>
        <w:rPr>
          <w:color w:val="000000"/>
          <w:sz w:val="24"/>
          <w:szCs w:val="24"/>
        </w:rPr>
        <w:t>La compensación económica puede adoptar diferentes modalidades, según se acuerde o se determine judicialmente: temporal, indefinida o como prestación única. La determinación d</w:t>
      </w:r>
      <w:r>
        <w:rPr>
          <w:color w:val="000000"/>
          <w:sz w:val="24"/>
          <w:szCs w:val="24"/>
        </w:rPr>
        <w:t xml:space="preserve">e la forma y del importe se establece prioritariamente en el “convenio regulador” que presentan los cónyuges de mutuo acuerdo ante el juez. A falta de acuerdo, es el juez quien, en la </w:t>
      </w:r>
      <w:r>
        <w:rPr>
          <w:color w:val="000000"/>
          <w:sz w:val="24"/>
          <w:szCs w:val="24"/>
        </w:rPr>
        <w:t>sentencia de divorcio, fija su cuantía y características.</w:t>
      </w:r>
    </w:p>
    <w:p w:rsidR="00F20B32" w:rsidRPr="00F20B32" w:rsidRDefault="00F20B32" w:rsidP="00F20B32">
      <w:pPr>
        <w:pStyle w:val="Sinespaciado"/>
      </w:pPr>
    </w:p>
    <w:p w:rsidR="00590A61" w:rsidRDefault="00CF3BB4">
      <w:pPr>
        <w:numPr>
          <w:ilvl w:val="2"/>
          <w:numId w:val="5"/>
        </w:numPr>
        <w:pBdr>
          <w:top w:val="nil"/>
          <w:left w:val="nil"/>
          <w:bottom w:val="nil"/>
          <w:right w:val="nil"/>
          <w:between w:val="nil"/>
        </w:pBdr>
        <w:spacing w:before="180" w:after="180" w:line="276" w:lineRule="auto"/>
        <w:ind w:right="346"/>
        <w:jc w:val="both"/>
        <w:rPr>
          <w:b/>
          <w:bCs/>
          <w:color w:val="000000"/>
          <w:sz w:val="24"/>
          <w:szCs w:val="24"/>
          <w:highlight w:val="white"/>
        </w:rPr>
      </w:pPr>
      <w:r>
        <w:rPr>
          <w:b/>
          <w:bCs/>
          <w:color w:val="000000"/>
          <w:sz w:val="24"/>
          <w:szCs w:val="24"/>
          <w:highlight w:val="white"/>
        </w:rPr>
        <w:t>C</w:t>
      </w:r>
      <w:r>
        <w:rPr>
          <w:b/>
          <w:bCs/>
          <w:color w:val="000000"/>
          <w:sz w:val="24"/>
          <w:szCs w:val="24"/>
          <w:highlight w:val="white"/>
        </w:rPr>
        <w:t>HILE</w:t>
      </w:r>
    </w:p>
    <w:p w:rsidR="00590A61" w:rsidRDefault="00CF3BB4">
      <w:pPr>
        <w:spacing w:before="180" w:after="180" w:line="276" w:lineRule="auto"/>
        <w:ind w:right="49"/>
        <w:jc w:val="both"/>
        <w:rPr>
          <w:sz w:val="24"/>
          <w:szCs w:val="24"/>
        </w:rPr>
      </w:pPr>
      <w:r>
        <w:rPr>
          <w:sz w:val="24"/>
          <w:szCs w:val="24"/>
        </w:rPr>
        <w:t>La compensación económica en Chile fue introducida con la legalización del divorcio en 2004, a través de la Ley 19.947. Su propósito no se basa exclusivamente en la culpa de uno de los cónyuges, sino en corregir el “desmedro económico” que la disolución de</w:t>
      </w:r>
      <w:r>
        <w:rPr>
          <w:sz w:val="24"/>
          <w:szCs w:val="24"/>
        </w:rPr>
        <w:t>l matrimonio causa a uno de ellos.</w:t>
      </w:r>
    </w:p>
    <w:p w:rsidR="00590A61" w:rsidRDefault="00CF3BB4">
      <w:pPr>
        <w:spacing w:before="180" w:after="180" w:line="276" w:lineRule="auto"/>
        <w:ind w:right="49"/>
        <w:jc w:val="both"/>
        <w:rPr>
          <w:sz w:val="24"/>
          <w:szCs w:val="24"/>
        </w:rPr>
      </w:pPr>
      <w:r>
        <w:rPr>
          <w:sz w:val="24"/>
          <w:szCs w:val="24"/>
        </w:rPr>
        <w:t>La finalidad es compensar al cónyuge que, por dedicarse al cuidado de los hijos o a las labores del hogar, sacrificó su desarrollo profesional y económico. El derecho a la compensación económica está consagrado en el artí</w:t>
      </w:r>
      <w:r>
        <w:rPr>
          <w:sz w:val="24"/>
          <w:szCs w:val="24"/>
        </w:rPr>
        <w:t>culo 61 de la Ley 19.947 de 2004:</w:t>
      </w:r>
    </w:p>
    <w:p w:rsidR="00590A61" w:rsidRDefault="00CF3BB4">
      <w:pPr>
        <w:spacing w:before="180" w:after="180" w:line="276" w:lineRule="auto"/>
        <w:ind w:left="142" w:right="191"/>
        <w:jc w:val="both"/>
        <w:rPr>
          <w:sz w:val="24"/>
          <w:szCs w:val="24"/>
        </w:rPr>
      </w:pPr>
      <w:r>
        <w:rPr>
          <w:sz w:val="24"/>
          <w:szCs w:val="24"/>
        </w:rPr>
        <w:t>“Si, como consecuencia de haberse dedicado al cuidado de los hijos o a las labores propias del hogar común, uno de los cónyuges no pudo desarrollar una actividad remunerada o lucrativa durante el matrimonio, o lo hizo en m</w:t>
      </w:r>
      <w:r>
        <w:rPr>
          <w:sz w:val="24"/>
          <w:szCs w:val="24"/>
        </w:rPr>
        <w:t>enor medida de lo que podía y quería, tendrá derecho a que, cuando se produzca el divorcio o se declare la nulidad del matrimonio, se le compense el menoscabo económico sufrido por esta causa”</w:t>
      </w:r>
      <w:r>
        <w:rPr>
          <w:sz w:val="24"/>
          <w:szCs w:val="24"/>
          <w:vertAlign w:val="superscript"/>
        </w:rPr>
        <w:footnoteReference w:id="16"/>
      </w:r>
      <w:r>
        <w:rPr>
          <w:sz w:val="24"/>
          <w:szCs w:val="24"/>
        </w:rPr>
        <w:t>.</w:t>
      </w:r>
    </w:p>
    <w:p w:rsidR="00590A61" w:rsidRDefault="00CF3BB4">
      <w:pPr>
        <w:spacing w:before="180" w:after="180" w:line="276" w:lineRule="auto"/>
        <w:ind w:right="49"/>
        <w:jc w:val="both"/>
        <w:rPr>
          <w:sz w:val="24"/>
          <w:szCs w:val="24"/>
        </w:rPr>
      </w:pPr>
      <w:r>
        <w:rPr>
          <w:sz w:val="24"/>
          <w:szCs w:val="24"/>
        </w:rPr>
        <w:t xml:space="preserve">Esta norma establece como requisitos para el otorgamiento de </w:t>
      </w:r>
      <w:r>
        <w:rPr>
          <w:sz w:val="24"/>
          <w:szCs w:val="24"/>
        </w:rPr>
        <w:t xml:space="preserve">la compensación: la dedicación al cuidado de los hijos o a las labores del hogar común; no haber podido desarrollar una actividad remunerada o haberlo hecho en menor medida de lo que se podía </w:t>
      </w:r>
      <w:r>
        <w:rPr>
          <w:sz w:val="24"/>
          <w:szCs w:val="24"/>
        </w:rPr>
        <w:lastRenderedPageBreak/>
        <w:t>y quería; haber sufrido un menoscabo económico como consecuencia</w:t>
      </w:r>
      <w:r>
        <w:rPr>
          <w:sz w:val="24"/>
          <w:szCs w:val="24"/>
        </w:rPr>
        <w:t xml:space="preserve"> de lo anterior; y que el derecho se active al momento del divorcio o de la declaración de nulidad del matrimonio.</w:t>
      </w:r>
    </w:p>
    <w:p w:rsidR="00590A61" w:rsidRDefault="00CF3BB4">
      <w:pPr>
        <w:spacing w:before="180" w:after="180" w:line="276" w:lineRule="auto"/>
        <w:ind w:right="49"/>
        <w:jc w:val="both"/>
        <w:rPr>
          <w:sz w:val="24"/>
          <w:szCs w:val="24"/>
          <w:highlight w:val="white"/>
        </w:rPr>
      </w:pPr>
      <w:r>
        <w:rPr>
          <w:sz w:val="24"/>
          <w:szCs w:val="24"/>
        </w:rPr>
        <w:t xml:space="preserve">Estas referencias internacionales constituyen un criterio auxiliar que evidencia la necesidad y pertinencia de adoptar una medida similar en </w:t>
      </w:r>
      <w:r>
        <w:rPr>
          <w:sz w:val="24"/>
          <w:szCs w:val="24"/>
        </w:rPr>
        <w:t>Colombia, pues, a pesar de contar con normas generales, se carece de una regulación específica y eficaz sobre la materia, como se expuso a lo largo de la presente exposición de motivos.</w:t>
      </w:r>
    </w:p>
    <w:p w:rsidR="00590A61" w:rsidRDefault="00590A61" w:rsidP="00F20B32">
      <w:pPr>
        <w:pStyle w:val="Sinespaciado"/>
        <w:rPr>
          <w:highlight w:val="white"/>
        </w:rPr>
      </w:pPr>
    </w:p>
    <w:p w:rsidR="00590A61" w:rsidRDefault="00CF3BB4">
      <w:pPr>
        <w:numPr>
          <w:ilvl w:val="1"/>
          <w:numId w:val="5"/>
        </w:numPr>
        <w:pBdr>
          <w:top w:val="nil"/>
          <w:left w:val="nil"/>
          <w:bottom w:val="nil"/>
          <w:right w:val="nil"/>
          <w:between w:val="nil"/>
        </w:pBdr>
        <w:spacing w:before="180" w:after="180" w:line="276" w:lineRule="auto"/>
        <w:jc w:val="both"/>
        <w:rPr>
          <w:color w:val="000000"/>
          <w:sz w:val="24"/>
          <w:szCs w:val="24"/>
        </w:rPr>
      </w:pPr>
      <w:r>
        <w:rPr>
          <w:b/>
          <w:bCs/>
          <w:color w:val="000000"/>
          <w:sz w:val="24"/>
          <w:szCs w:val="24"/>
        </w:rPr>
        <w:t>IMPACTOS SOCIALES, ECONÓMICOS Y JURÍDICOS DEL PROYECTO</w:t>
      </w:r>
    </w:p>
    <w:p w:rsidR="00590A61" w:rsidRDefault="00590A61" w:rsidP="00F20B32">
      <w:pPr>
        <w:pStyle w:val="Sinespaciado"/>
      </w:pPr>
    </w:p>
    <w:p w:rsidR="00590A61" w:rsidRDefault="00CF3BB4">
      <w:pPr>
        <w:spacing w:before="180" w:after="180" w:line="276" w:lineRule="auto"/>
        <w:jc w:val="both"/>
        <w:rPr>
          <w:b/>
          <w:bCs/>
          <w:sz w:val="24"/>
          <w:szCs w:val="24"/>
        </w:rPr>
      </w:pPr>
      <w:r>
        <w:rPr>
          <w:b/>
          <w:bCs/>
          <w:sz w:val="24"/>
          <w:szCs w:val="24"/>
        </w:rPr>
        <w:t>3.6.1. RECONOCIMIENTO Y VALORACIÓN DEL TRABAJO DE CUIDADO NO REMUNERADO</w:t>
      </w:r>
    </w:p>
    <w:p w:rsidR="00590A61" w:rsidRDefault="00CF3BB4">
      <w:pPr>
        <w:spacing w:before="180" w:after="180" w:line="276" w:lineRule="auto"/>
        <w:jc w:val="both"/>
        <w:rPr>
          <w:sz w:val="24"/>
          <w:szCs w:val="24"/>
        </w:rPr>
      </w:pPr>
      <w:r>
        <w:rPr>
          <w:sz w:val="24"/>
          <w:szCs w:val="24"/>
        </w:rPr>
        <w:t>El principal impacto del proyecto es el reconocimiento explícito y la valoración económica del trabajo de cuidado no remunerado. Este trabajo, que incluye actividades como la preparaci</w:t>
      </w:r>
      <w:r>
        <w:rPr>
          <w:sz w:val="24"/>
          <w:szCs w:val="24"/>
        </w:rPr>
        <w:t>ón de alimentos, la limpieza, el mantenimiento de la vivienda y el cuidado de niños, personas mayores y enfermas, constituye un aporte de fundamental importancia económica y social. La iniciativa permite visibilizar esta contribución, que históricamente ha</w:t>
      </w:r>
      <w:r>
        <w:rPr>
          <w:sz w:val="24"/>
          <w:szCs w:val="24"/>
        </w:rPr>
        <w:t xml:space="preserve"> operado como un subsidio invisible al sistema económico</w:t>
      </w:r>
      <w:r>
        <w:rPr>
          <w:sz w:val="24"/>
          <w:szCs w:val="24"/>
          <w:vertAlign w:val="superscript"/>
        </w:rPr>
        <w:footnoteReference w:id="17"/>
      </w:r>
      <w:r>
        <w:rPr>
          <w:sz w:val="24"/>
          <w:szCs w:val="24"/>
        </w:rPr>
        <w:t>, y alinea la legislación colombiana con los estándares internacionales que promueven la medición y el reconocimiento del valor de estas labores</w:t>
      </w:r>
      <w:r>
        <w:rPr>
          <w:sz w:val="24"/>
          <w:szCs w:val="24"/>
          <w:vertAlign w:val="superscript"/>
        </w:rPr>
        <w:footnoteReference w:id="18"/>
      </w:r>
      <w:r>
        <w:rPr>
          <w:sz w:val="24"/>
          <w:szCs w:val="24"/>
        </w:rPr>
        <w:t>.</w:t>
      </w:r>
    </w:p>
    <w:p w:rsidR="00590A61" w:rsidRDefault="00590A61" w:rsidP="00F20B32">
      <w:pPr>
        <w:pStyle w:val="Sinespaciado"/>
      </w:pPr>
    </w:p>
    <w:p w:rsidR="00590A61" w:rsidRDefault="00CF3BB4">
      <w:pPr>
        <w:spacing w:before="180" w:after="180" w:line="276" w:lineRule="auto"/>
        <w:jc w:val="both"/>
        <w:rPr>
          <w:b/>
          <w:bCs/>
          <w:sz w:val="24"/>
          <w:szCs w:val="24"/>
        </w:rPr>
      </w:pPr>
      <w:r>
        <w:rPr>
          <w:b/>
          <w:bCs/>
          <w:sz w:val="24"/>
          <w:szCs w:val="24"/>
        </w:rPr>
        <w:t>3.6.2. CORRECCIÓN DE LA DESIGUALDAD DE GÉNERO ESTRU</w:t>
      </w:r>
      <w:r>
        <w:rPr>
          <w:b/>
          <w:bCs/>
          <w:sz w:val="24"/>
          <w:szCs w:val="24"/>
        </w:rPr>
        <w:t>CTURAL</w:t>
      </w:r>
    </w:p>
    <w:p w:rsidR="00F20B32" w:rsidRDefault="00CF3BB4" w:rsidP="00F20B32">
      <w:pPr>
        <w:spacing w:before="180" w:after="180" w:line="276" w:lineRule="auto"/>
        <w:jc w:val="both"/>
        <w:rPr>
          <w:sz w:val="24"/>
          <w:szCs w:val="24"/>
        </w:rPr>
      </w:pPr>
      <w:r>
        <w:rPr>
          <w:sz w:val="24"/>
          <w:szCs w:val="24"/>
        </w:rPr>
        <w:t>El proyecto contribuirá a mitigar la desigualdad estructural que afecta mayoritariamente a las mujeres. La evidencia estadística demuestra que las mujeres realizan la mayor parte del trabajo de cuidado no remunerado, dedicando más del doble de tiemp</w:t>
      </w:r>
      <w:r>
        <w:rPr>
          <w:sz w:val="24"/>
          <w:szCs w:val="24"/>
        </w:rPr>
        <w:t>o que los hombres a estas tareas. Esta distribución inequitativa, basada en estereotipos de género, limita su participación en el mercado laboral, amplía la brecha salarial y restringe su acceso a posiciones de liderazgo. La compensación económica propuest</w:t>
      </w:r>
      <w:r>
        <w:rPr>
          <w:sz w:val="24"/>
          <w:szCs w:val="24"/>
        </w:rPr>
        <w:t>a permite equilibrar las asimetrías generadas en el ámbito familiar, las cuales suelen agravarse al momento del divorcio o de la disolución de la unión marital de hecho.</w:t>
      </w:r>
    </w:p>
    <w:p w:rsidR="00F20B32" w:rsidRDefault="00F20B32" w:rsidP="00F20B32">
      <w:pPr>
        <w:spacing w:before="180" w:after="180" w:line="276" w:lineRule="auto"/>
        <w:jc w:val="both"/>
        <w:rPr>
          <w:sz w:val="24"/>
          <w:szCs w:val="24"/>
        </w:rPr>
      </w:pPr>
    </w:p>
    <w:p w:rsidR="00F20B32" w:rsidRPr="00F20B32" w:rsidRDefault="00F20B32" w:rsidP="00F20B32">
      <w:pPr>
        <w:spacing w:before="180" w:after="180" w:line="276" w:lineRule="auto"/>
        <w:jc w:val="both"/>
        <w:rPr>
          <w:sz w:val="24"/>
          <w:szCs w:val="24"/>
        </w:rPr>
      </w:pPr>
    </w:p>
    <w:p w:rsidR="00590A61" w:rsidRDefault="00CF3BB4">
      <w:pPr>
        <w:spacing w:before="180" w:after="180" w:line="276" w:lineRule="auto"/>
        <w:jc w:val="both"/>
        <w:rPr>
          <w:b/>
          <w:bCs/>
          <w:sz w:val="24"/>
          <w:szCs w:val="24"/>
        </w:rPr>
      </w:pPr>
      <w:r>
        <w:rPr>
          <w:b/>
          <w:bCs/>
          <w:sz w:val="24"/>
          <w:szCs w:val="24"/>
        </w:rPr>
        <w:lastRenderedPageBreak/>
        <w:t>3.6.3. PROMOCIÓN DE LA AUTONOMÍA ECONÓMICA</w:t>
      </w:r>
    </w:p>
    <w:p w:rsidR="00590A61" w:rsidRDefault="00CF3BB4">
      <w:pPr>
        <w:spacing w:before="180" w:after="180" w:line="276" w:lineRule="auto"/>
        <w:jc w:val="both"/>
        <w:rPr>
          <w:sz w:val="24"/>
          <w:szCs w:val="24"/>
        </w:rPr>
      </w:pPr>
      <w:r>
        <w:rPr>
          <w:sz w:val="24"/>
          <w:szCs w:val="24"/>
        </w:rPr>
        <w:t>La compensación económica fortalece la aut</w:t>
      </w:r>
      <w:r>
        <w:rPr>
          <w:sz w:val="24"/>
          <w:szCs w:val="24"/>
        </w:rPr>
        <w:t>onomía de la persona que, debido a su dedicación al hogar y al cuidado, queda en situación de dependencia económica tras la ruptura del vínculo. La interrupción de estudios o de la actividad laboral para asumir responsabilidades de cuidado representa un co</w:t>
      </w:r>
      <w:r>
        <w:rPr>
          <w:sz w:val="24"/>
          <w:szCs w:val="24"/>
        </w:rPr>
        <w:t>sto de oportunidad que dificulta la generación de ingresos propios. Al reconocer económicamente esta labor, el proyecto facilita el acceso a recursos financieros y patrimoniales, contribuyendo al empoderamiento económico y a la independencia material de qu</w:t>
      </w:r>
      <w:r>
        <w:rPr>
          <w:sz w:val="24"/>
          <w:szCs w:val="24"/>
        </w:rPr>
        <w:t>ienes han asumido estas funciones.</w:t>
      </w:r>
    </w:p>
    <w:p w:rsidR="00590A61" w:rsidRDefault="00590A61" w:rsidP="00F20B32">
      <w:pPr>
        <w:pStyle w:val="Sinespaciado"/>
      </w:pPr>
    </w:p>
    <w:p w:rsidR="00590A61" w:rsidRDefault="00CF3BB4">
      <w:pPr>
        <w:spacing w:before="180" w:after="180" w:line="276" w:lineRule="auto"/>
        <w:jc w:val="both"/>
        <w:rPr>
          <w:b/>
          <w:bCs/>
          <w:sz w:val="24"/>
          <w:szCs w:val="24"/>
        </w:rPr>
      </w:pPr>
      <w:r>
        <w:rPr>
          <w:b/>
          <w:bCs/>
          <w:sz w:val="24"/>
          <w:szCs w:val="24"/>
        </w:rPr>
        <w:t>3.6.4. PROTECCIÓN CONTRA LA VULNERABILIDAD ECONÓMICA POSTERIOR AL DIVORCIO O DISOLUCIÓN DE LA UNIÓN MARITAL DE HECHO</w:t>
      </w:r>
    </w:p>
    <w:p w:rsidR="00590A61" w:rsidRDefault="00CF3BB4">
      <w:pPr>
        <w:spacing w:before="180" w:after="180" w:line="276" w:lineRule="auto"/>
        <w:jc w:val="both"/>
        <w:rPr>
          <w:sz w:val="24"/>
          <w:szCs w:val="24"/>
        </w:rPr>
      </w:pPr>
      <w:r>
        <w:rPr>
          <w:sz w:val="24"/>
          <w:szCs w:val="24"/>
        </w:rPr>
        <w:t>La iniciativa busca proteger al cónyuge o compañero permanente que, tras la disolución del vínculo, que</w:t>
      </w:r>
      <w:r>
        <w:rPr>
          <w:sz w:val="24"/>
          <w:szCs w:val="24"/>
        </w:rPr>
        <w:t>da en una situación de vulnerabilidad económica, en muchos casos sin ingresos suficientes para su subsistencia. La compensación económica se configura como una medida de protección social que permite superar la desigualdad socioeconómica que se intensifica</w:t>
      </w:r>
      <w:r>
        <w:rPr>
          <w:sz w:val="24"/>
          <w:szCs w:val="24"/>
        </w:rPr>
        <w:t xml:space="preserve"> con la ruptura, salvaguardando la estabilidad patrimonial de la familia reconfigurada. Asimismo, contribuye a prevenir situaciones de dependencia económica que pueden ocultar o perpetuar formas de violencia.</w:t>
      </w:r>
    </w:p>
    <w:p w:rsidR="00590A61" w:rsidRPr="00F20B32" w:rsidRDefault="00590A61" w:rsidP="00F20B32">
      <w:pPr>
        <w:pStyle w:val="Sinespaciado"/>
      </w:pPr>
    </w:p>
    <w:p w:rsidR="00590A61" w:rsidRDefault="00CF3BB4">
      <w:pPr>
        <w:spacing w:before="180" w:after="180" w:line="276" w:lineRule="auto"/>
        <w:jc w:val="both"/>
        <w:rPr>
          <w:b/>
          <w:bCs/>
          <w:sz w:val="24"/>
          <w:szCs w:val="24"/>
        </w:rPr>
      </w:pPr>
      <w:r>
        <w:rPr>
          <w:b/>
          <w:bCs/>
          <w:sz w:val="24"/>
          <w:szCs w:val="24"/>
        </w:rPr>
        <w:t xml:space="preserve">3.6.5. ACTUALIZACIÓN DEL RÉGIMEN DE FAMILIA A </w:t>
      </w:r>
      <w:r>
        <w:rPr>
          <w:b/>
          <w:bCs/>
          <w:sz w:val="24"/>
          <w:szCs w:val="24"/>
        </w:rPr>
        <w:t>ESTÁNDARES INTERNACIONALES</w:t>
      </w:r>
    </w:p>
    <w:p w:rsidR="00590A61" w:rsidRDefault="00CF3BB4">
      <w:pPr>
        <w:spacing w:before="180" w:after="180" w:line="276" w:lineRule="auto"/>
        <w:jc w:val="both"/>
        <w:rPr>
          <w:sz w:val="24"/>
          <w:szCs w:val="24"/>
        </w:rPr>
      </w:pPr>
      <w:r>
        <w:rPr>
          <w:sz w:val="24"/>
          <w:szCs w:val="24"/>
        </w:rPr>
        <w:t>El proyecto moderniza el ordenamiento jurídico colombiano mediante la introducción de una compensación basada en el desequilibrio económico derivado de la distribución de roles en la vida familiar, y no en la culpabilidad. Con ello, se armoniza la normativ</w:t>
      </w:r>
      <w:r>
        <w:rPr>
          <w:sz w:val="24"/>
          <w:szCs w:val="24"/>
        </w:rPr>
        <w:t>a nacional con estándares internacionales que promueven la corresponsabilidad en las labores de cuidado y la protección integral de los derechos humanos, particularmente en el ámbito de las relaciones familiares.</w:t>
      </w:r>
    </w:p>
    <w:p w:rsidR="00F20B32" w:rsidRDefault="00F20B32" w:rsidP="00F20B32">
      <w:pPr>
        <w:pStyle w:val="Sinespaciado"/>
      </w:pPr>
    </w:p>
    <w:p w:rsidR="00590A61" w:rsidRDefault="00CF3BB4">
      <w:pPr>
        <w:spacing w:before="180" w:after="180" w:line="276" w:lineRule="auto"/>
        <w:jc w:val="both"/>
        <w:rPr>
          <w:b/>
          <w:bCs/>
          <w:sz w:val="24"/>
          <w:szCs w:val="24"/>
        </w:rPr>
      </w:pPr>
      <w:r>
        <w:rPr>
          <w:b/>
          <w:bCs/>
          <w:sz w:val="24"/>
          <w:szCs w:val="24"/>
        </w:rPr>
        <w:t>3.6.6. FORTALECIMIENTO DE LA COHESIÓN FAM</w:t>
      </w:r>
      <w:r>
        <w:rPr>
          <w:b/>
          <w:bCs/>
          <w:sz w:val="24"/>
          <w:szCs w:val="24"/>
        </w:rPr>
        <w:t>ILIAR Y REPARACIÓN INTEGRAL</w:t>
      </w:r>
    </w:p>
    <w:p w:rsidR="00590A61" w:rsidRDefault="00CF3BB4">
      <w:pPr>
        <w:spacing w:before="180" w:after="180" w:line="276" w:lineRule="auto"/>
        <w:jc w:val="both"/>
        <w:rPr>
          <w:sz w:val="24"/>
          <w:szCs w:val="24"/>
        </w:rPr>
      </w:pPr>
      <w:r w:rsidRPr="00F20B32">
        <w:rPr>
          <w:sz w:val="23"/>
          <w:szCs w:val="23"/>
        </w:rPr>
        <w:t>Al garantizar el restablecimiento de la situación patrimonial del cónyuge o compañero permanente en condición de mayor debilidad económica, la medida contribuye a la protección de la cohesión y estabilidad familiar, incluso desp</w:t>
      </w:r>
      <w:r w:rsidRPr="00F20B32">
        <w:rPr>
          <w:sz w:val="23"/>
          <w:szCs w:val="23"/>
        </w:rPr>
        <w:t>ués de su disolución. La compensación económica puede entenderse como un mecanismo de reparación integral que reconoce el aporte realizado desde el hogar al sostenimiento y desarrollo de la familia y de la sociedad en su conjunto.</w:t>
      </w:r>
    </w:p>
    <w:p w:rsidR="00590A61" w:rsidRDefault="00CF3BB4">
      <w:pPr>
        <w:numPr>
          <w:ilvl w:val="0"/>
          <w:numId w:val="5"/>
        </w:numPr>
        <w:pBdr>
          <w:top w:val="nil"/>
          <w:left w:val="nil"/>
          <w:bottom w:val="nil"/>
          <w:right w:val="nil"/>
          <w:between w:val="nil"/>
        </w:pBdr>
        <w:spacing w:after="0" w:line="276" w:lineRule="auto"/>
        <w:jc w:val="both"/>
        <w:rPr>
          <w:color w:val="000000"/>
          <w:sz w:val="24"/>
          <w:szCs w:val="24"/>
        </w:rPr>
      </w:pPr>
      <w:r>
        <w:rPr>
          <w:b/>
          <w:bCs/>
          <w:color w:val="000000"/>
          <w:sz w:val="24"/>
          <w:szCs w:val="24"/>
        </w:rPr>
        <w:lastRenderedPageBreak/>
        <w:t>IMPACTO FISCAL</w:t>
      </w:r>
    </w:p>
    <w:p w:rsidR="00590A61" w:rsidRDefault="00590A61">
      <w:pPr>
        <w:spacing w:after="0" w:line="276" w:lineRule="auto"/>
        <w:rPr>
          <w:rFonts w:ascii="Times New Roman" w:eastAsia="Times New Roman" w:hAnsi="Times New Roman" w:cs="Times New Roman"/>
          <w:sz w:val="24"/>
          <w:szCs w:val="24"/>
        </w:rPr>
      </w:pPr>
    </w:p>
    <w:p w:rsidR="00590A61" w:rsidRDefault="00CF3BB4">
      <w:pPr>
        <w:spacing w:line="276" w:lineRule="auto"/>
        <w:jc w:val="both"/>
        <w:rPr>
          <w:color w:val="000000"/>
          <w:sz w:val="24"/>
          <w:szCs w:val="24"/>
        </w:rPr>
      </w:pPr>
      <w:r>
        <w:rPr>
          <w:color w:val="000000"/>
          <w:sz w:val="24"/>
          <w:szCs w:val="24"/>
        </w:rPr>
        <w:t>El artículo 7° de la Ley 819 de 2003, “por la cual se dictan normas orgánicas en materia de presupuesto, responsabilidad y transparencia fiscal y se dictan otras disposiciones”, establece que en la exposición de motivos y en las ponencias d</w:t>
      </w:r>
      <w:r>
        <w:rPr>
          <w:color w:val="000000"/>
          <w:sz w:val="24"/>
          <w:szCs w:val="24"/>
        </w:rPr>
        <w:t>e los proyectos de ley debe hacerse explícito el costo fiscal que se genere por el gasto ordenado o por el otorgamiento de beneficios tributarios. Dicho costo debe ser compatible con el Marco Fiscal de Mediano Plazo y, además, debe señalarse la fuente de f</w:t>
      </w:r>
      <w:r>
        <w:rPr>
          <w:color w:val="000000"/>
          <w:sz w:val="24"/>
          <w:szCs w:val="24"/>
        </w:rPr>
        <w:t>inanciación correspondiente.</w:t>
      </w:r>
    </w:p>
    <w:p w:rsidR="00590A61" w:rsidRDefault="00CF3BB4">
      <w:pPr>
        <w:spacing w:line="276" w:lineRule="auto"/>
        <w:jc w:val="both"/>
        <w:rPr>
          <w:color w:val="000000"/>
          <w:sz w:val="24"/>
          <w:szCs w:val="24"/>
        </w:rPr>
      </w:pPr>
      <w:r>
        <w:rPr>
          <w:color w:val="000000"/>
          <w:sz w:val="24"/>
          <w:szCs w:val="24"/>
        </w:rPr>
        <w:t>No obstante, la Corte Constitucional, mediante la Sentencia C-411 de 2009, precisó que el análisis del impacto fiscal de las iniciativas legislativas no constituye un requisito sine qua non para su trámite, ni puede erigirse co</w:t>
      </w:r>
      <w:r>
        <w:rPr>
          <w:color w:val="000000"/>
          <w:sz w:val="24"/>
          <w:szCs w:val="24"/>
        </w:rPr>
        <w:t>mo una barrera para el ejercicio de la función legislativa del Congreso de la República. En esa providencia, el alto tribunal indicó que la exigencia prevista en el artículo 7° de la Ley 819 de 2003 no crea un poder de veto legislativo en cabeza del Minist</w:t>
      </w:r>
      <w:r>
        <w:rPr>
          <w:color w:val="000000"/>
          <w:sz w:val="24"/>
          <w:szCs w:val="24"/>
        </w:rPr>
        <w:t>erio de Hacienda y Crédito Público, y que la responsabilidad de evaluar el impacto fiscal no recae exclusivamente en el legislador. Por el contrario, señaló que el cumplimiento de dicha disposición corresponde al Congreso, pero principalmente al Ministerio</w:t>
      </w:r>
      <w:r>
        <w:rPr>
          <w:color w:val="000000"/>
          <w:sz w:val="24"/>
          <w:szCs w:val="24"/>
        </w:rPr>
        <w:t xml:space="preserve"> de Hacienda y Crédito Público, en tanto es la entidad que cuenta con los datos, los equipos técnicos y la experticia necesaria en materia económica.</w:t>
      </w:r>
    </w:p>
    <w:p w:rsidR="00590A61" w:rsidRDefault="00CF3BB4">
      <w:pPr>
        <w:spacing w:line="276" w:lineRule="auto"/>
        <w:jc w:val="both"/>
        <w:rPr>
          <w:color w:val="000000"/>
          <w:sz w:val="24"/>
          <w:szCs w:val="24"/>
        </w:rPr>
      </w:pPr>
      <w:r>
        <w:rPr>
          <w:color w:val="000000"/>
          <w:sz w:val="24"/>
          <w:szCs w:val="24"/>
        </w:rPr>
        <w:t>En este sentido, durante el trámite legislativo, el Ministerio de Hacienda y Crédito Público podrá ilustra</w:t>
      </w:r>
      <w:r>
        <w:rPr>
          <w:color w:val="000000"/>
          <w:sz w:val="24"/>
          <w:szCs w:val="24"/>
        </w:rPr>
        <w:t>r al Congreso sobre las eventuales consecuencias económicas derivadas de la iniciativa, conforme al principio de racionalidad legislativa y a la distribución de competencias en materia de análisis fiscal.</w:t>
      </w:r>
    </w:p>
    <w:p w:rsidR="00590A61" w:rsidRDefault="00CF3BB4">
      <w:pPr>
        <w:spacing w:line="276" w:lineRule="auto"/>
        <w:jc w:val="both"/>
        <w:rPr>
          <w:color w:val="000000"/>
          <w:sz w:val="24"/>
          <w:szCs w:val="24"/>
        </w:rPr>
      </w:pPr>
      <w:r>
        <w:rPr>
          <w:color w:val="000000"/>
          <w:sz w:val="24"/>
          <w:szCs w:val="24"/>
        </w:rPr>
        <w:t>Ahora bien, el presente proyecto de ley no ordena a</w:t>
      </w:r>
      <w:r>
        <w:rPr>
          <w:color w:val="000000"/>
          <w:sz w:val="24"/>
          <w:szCs w:val="24"/>
        </w:rPr>
        <w:t>propiaciones presupuestales directas, ni crea nuevas entidades, programas o cargas a cargo del Presupuesto General de la Nación. La compensación económica prevista en la iniciativa se configura como una obligación entre particulares que surge en el marco d</w:t>
      </w:r>
      <w:r>
        <w:rPr>
          <w:color w:val="000000"/>
          <w:sz w:val="24"/>
          <w:szCs w:val="24"/>
        </w:rPr>
        <w:t>e las relaciones familiares y que será determinada caso por caso por la autoridad judicial competente, por lo cual no implica erogaciones con cargo al erario público. En consecuencia, no se generan impactos fiscales directos ni se requiere la definición de</w:t>
      </w:r>
      <w:r>
        <w:rPr>
          <w:color w:val="000000"/>
          <w:sz w:val="24"/>
          <w:szCs w:val="24"/>
        </w:rPr>
        <w:t xml:space="preserve"> fuentes adicionales de financiación.</w:t>
      </w:r>
    </w:p>
    <w:p w:rsidR="00590A61" w:rsidRDefault="00CF3BB4">
      <w:pPr>
        <w:spacing w:line="276" w:lineRule="auto"/>
        <w:jc w:val="both"/>
        <w:rPr>
          <w:color w:val="000000"/>
          <w:sz w:val="24"/>
          <w:szCs w:val="24"/>
        </w:rPr>
      </w:pPr>
      <w:r>
        <w:rPr>
          <w:color w:val="000000"/>
          <w:sz w:val="24"/>
          <w:szCs w:val="24"/>
        </w:rPr>
        <w:t>Sin perjuicio de lo anterior, y en aras de garantizar la plena observancia de las disposiciones contenidas en la Ley 819 de 2003, se solicitará al Ministerio de Hacienda y Crédito Público el concepto correspondiente du</w:t>
      </w:r>
      <w:r>
        <w:rPr>
          <w:color w:val="000000"/>
          <w:sz w:val="24"/>
          <w:szCs w:val="24"/>
        </w:rPr>
        <w:t>rante el trámite legislativo, con el fin de contar con el análisis técnico que permita evaluar de manera integral las eventuales implicaciones económicas de la iniciativa.</w:t>
      </w:r>
    </w:p>
    <w:p w:rsidR="00590A61" w:rsidRDefault="00590A61">
      <w:pPr>
        <w:spacing w:line="276" w:lineRule="auto"/>
        <w:jc w:val="both"/>
        <w:rPr>
          <w:color w:val="000000"/>
          <w:sz w:val="24"/>
          <w:szCs w:val="24"/>
        </w:rPr>
      </w:pPr>
    </w:p>
    <w:p w:rsidR="00590A61" w:rsidRDefault="00CF3BB4">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bCs/>
          <w:color w:val="000000"/>
          <w:sz w:val="24"/>
          <w:szCs w:val="24"/>
        </w:rPr>
        <w:lastRenderedPageBreak/>
        <w:t>CONFLICTO DE INTERESES</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 w:hanging="2"/>
        <w:jc w:val="both"/>
        <w:rPr>
          <w:rFonts w:ascii="Times New Roman" w:eastAsia="Times New Roman" w:hAnsi="Times New Roman" w:cs="Times New Roman"/>
          <w:sz w:val="24"/>
          <w:szCs w:val="24"/>
        </w:rPr>
      </w:pPr>
      <w:r>
        <w:rPr>
          <w:color w:val="000000"/>
          <w:sz w:val="24"/>
          <w:szCs w:val="24"/>
        </w:rPr>
        <w:t>Con base en el artículo 3º de la Ley 2003 de 2019, según el cual el autor del proyecto y los ponentes presentan en el cuerpo de la exposición de motivos un acápite que describe las circunstancias o eventos que podrían generar un conflicto de interés para l</w:t>
      </w:r>
      <w:r>
        <w:rPr>
          <w:color w:val="000000"/>
          <w:sz w:val="24"/>
          <w:szCs w:val="24"/>
        </w:rPr>
        <w:t>a discusión y votación del proyecto, de acuerdo con el artículo 286. Estos serán criterios guías para que los otros congresistas tomen una decisión en torno a si se encuentran en una causal de impedimento, no obstante, otras causales que el Congresista pue</w:t>
      </w:r>
      <w:r>
        <w:rPr>
          <w:color w:val="000000"/>
          <w:sz w:val="24"/>
          <w:szCs w:val="24"/>
        </w:rPr>
        <w:t>da encontrar.</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 w:hanging="2"/>
        <w:jc w:val="both"/>
        <w:rPr>
          <w:rFonts w:ascii="Times New Roman" w:eastAsia="Times New Roman" w:hAnsi="Times New Roman" w:cs="Times New Roman"/>
          <w:sz w:val="24"/>
          <w:szCs w:val="24"/>
        </w:rPr>
      </w:pPr>
      <w:r>
        <w:rPr>
          <w:color w:val="000000"/>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Pr>
          <w:color w:val="000000"/>
          <w:sz w:val="24"/>
          <w:szCs w:val="24"/>
        </w:rPr>
        <w:t>congresional</w:t>
      </w:r>
      <w:proofErr w:type="spellEnd"/>
      <w:r>
        <w:rPr>
          <w:color w:val="000000"/>
          <w:sz w:val="24"/>
          <w:szCs w:val="24"/>
        </w:rPr>
        <w:t>, entre el</w:t>
      </w:r>
      <w:r>
        <w:rPr>
          <w:color w:val="000000"/>
          <w:sz w:val="24"/>
          <w:szCs w:val="24"/>
        </w:rPr>
        <w:t>las la legislativa.</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 w:hanging="2"/>
        <w:jc w:val="both"/>
        <w:rPr>
          <w:rFonts w:ascii="Times New Roman" w:eastAsia="Times New Roman" w:hAnsi="Times New Roman" w:cs="Times New Roman"/>
          <w:sz w:val="24"/>
          <w:szCs w:val="24"/>
        </w:rPr>
      </w:pPr>
      <w:r>
        <w:rPr>
          <w:color w:val="000000"/>
          <w:sz w:val="24"/>
          <w:szCs w:val="24"/>
        </w:rPr>
        <w:t>“Artículo 1º. El artículo 286 de la Ley 5 de 1992 quedará así: (…)</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a) Beneficio particular:</w:t>
      </w:r>
      <w:r>
        <w:rPr>
          <w:color w:val="000000"/>
          <w:sz w:val="24"/>
          <w:szCs w:val="24"/>
        </w:rPr>
        <w:t xml:space="preserve"> aquel que otorga un privilegio o genera ganancias o crea indemnizaciones económicas o elimina obligaciones a favor del congresista de las que </w:t>
      </w:r>
      <w:r>
        <w:rPr>
          <w:color w:val="000000"/>
          <w:sz w:val="24"/>
          <w:szCs w:val="24"/>
        </w:rPr>
        <w:t>no gozan el resto de los ciudadanos. Modifique normas que afecten investigaciones penales, disciplinarias, fiscales o administrativas a las que se encuentre formalmente vinculado.</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b) Beneficio actual:</w:t>
      </w:r>
      <w:r>
        <w:rPr>
          <w:color w:val="000000"/>
          <w:sz w:val="24"/>
          <w:szCs w:val="24"/>
        </w:rPr>
        <w:t xml:space="preserve"> aquel que efectivamente se configura en las circunstan</w:t>
      </w:r>
      <w:r>
        <w:rPr>
          <w:color w:val="000000"/>
          <w:sz w:val="24"/>
          <w:szCs w:val="24"/>
        </w:rPr>
        <w:t>cias presentes y existentes al momento en el que el congresista participa de la decisión.</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c) Beneficio directo:</w:t>
      </w:r>
      <w:r>
        <w:rPr>
          <w:color w:val="000000"/>
          <w:sz w:val="24"/>
          <w:szCs w:val="24"/>
        </w:rPr>
        <w:t xml:space="preserve"> aquel que se produzca de forma específica respecto del congresista, de su cónyuge, compañero o compañera permanente, o parientes dentro del seg</w:t>
      </w:r>
      <w:r>
        <w:rPr>
          <w:color w:val="000000"/>
          <w:sz w:val="24"/>
          <w:szCs w:val="24"/>
        </w:rPr>
        <w:t>undo grado de consanguinidad, segundo de afinidad o primero civil.</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 w:hanging="2"/>
        <w:jc w:val="both"/>
        <w:rPr>
          <w:rFonts w:ascii="Times New Roman" w:eastAsia="Times New Roman" w:hAnsi="Times New Roman" w:cs="Times New Roman"/>
          <w:sz w:val="24"/>
          <w:szCs w:val="24"/>
        </w:rPr>
      </w:pPr>
      <w:r>
        <w:rPr>
          <w:color w:val="000000"/>
          <w:sz w:val="24"/>
          <w:szCs w:val="24"/>
        </w:rPr>
        <w:t>Para todos los efectos se entiende que no hay conflicto de interés en las siguientes circunstancias:</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a.</w:t>
      </w:r>
      <w:r>
        <w:rPr>
          <w:color w:val="000000"/>
          <w:sz w:val="24"/>
          <w:szCs w:val="24"/>
        </w:rPr>
        <w:t xml:space="preserve"> Cuando el congresista participe, discuta, vote un proyecto de ley o de acto legisla</w:t>
      </w:r>
      <w:r>
        <w:rPr>
          <w:color w:val="000000"/>
          <w:sz w:val="24"/>
          <w:szCs w:val="24"/>
        </w:rPr>
        <w:t>tivo que otorgue beneficios o cargos de carácter general, es decir cuando el interés del congresista coincide o se fusione con los intereses de los electores.</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b.</w:t>
      </w:r>
      <w:r>
        <w:rPr>
          <w:color w:val="000000"/>
          <w:sz w:val="24"/>
          <w:szCs w:val="24"/>
        </w:rPr>
        <w:t xml:space="preserve"> Cuando el beneficio podría o no configurarse para el congresista en el futuro.</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c.</w:t>
      </w:r>
      <w:r>
        <w:rPr>
          <w:color w:val="000000"/>
          <w:sz w:val="24"/>
          <w:szCs w:val="24"/>
        </w:rPr>
        <w:t xml:space="preserve"> Cuando el </w:t>
      </w:r>
      <w:r>
        <w:rPr>
          <w:color w:val="000000"/>
          <w:sz w:val="24"/>
          <w:szCs w:val="24"/>
        </w:rPr>
        <w:t xml:space="preserve">congresista participe, discuta o vote artículos de proyectos de ley o acto legislativo de carácter particular, que establezcan sanciones o disminuyan beneficios, en el cual, el congresista tiene un interés particular, actual y directo. El voto negativo no </w:t>
      </w:r>
      <w:r>
        <w:rPr>
          <w:color w:val="000000"/>
          <w:sz w:val="24"/>
          <w:szCs w:val="24"/>
        </w:rPr>
        <w:t>constituirá conflicto de interés cuando mantiene la normatividad vigente.</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d.</w:t>
      </w:r>
      <w:r>
        <w:rPr>
          <w:color w:val="000000"/>
          <w:sz w:val="24"/>
          <w:szCs w:val="24"/>
        </w:rPr>
        <w:t xml:space="preserve"> Cuando el congresista participe, discuta o vote artículos de proyectos de ley o acto legislativo de carácter particular, que regula un sector económico en el cual el </w:t>
      </w:r>
      <w:r>
        <w:rPr>
          <w:color w:val="000000"/>
          <w:sz w:val="24"/>
          <w:szCs w:val="24"/>
        </w:rPr>
        <w:lastRenderedPageBreak/>
        <w:t xml:space="preserve">congresista </w:t>
      </w:r>
      <w:r>
        <w:rPr>
          <w:color w:val="000000"/>
          <w:sz w:val="24"/>
          <w:szCs w:val="24"/>
        </w:rPr>
        <w:t>tiene un interés particular, actual y directo, siempre y cuando no genere beneficio particular, directo y actual.</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e.</w:t>
      </w:r>
      <w:r>
        <w:rPr>
          <w:color w:val="000000"/>
          <w:sz w:val="24"/>
          <w:szCs w:val="24"/>
        </w:rPr>
        <w:t xml:space="preserve"> Cuando el congresista participe, discuta o vote artículos de proyectos de ley o acto legislativo que tratan sobre los sectores económicos </w:t>
      </w:r>
      <w:r>
        <w:rPr>
          <w:color w:val="000000"/>
          <w:sz w:val="24"/>
          <w:szCs w:val="24"/>
        </w:rPr>
        <w:t>de quienes fueron financiadores de su campaña siempre y cuando no genere beneficio particular, directo y actual para el congresista. El congresista deberá hacer saber por escrito que el artículo o proyecto beneficia a financiadores de su campaña. Dicha man</w:t>
      </w:r>
      <w:r>
        <w:rPr>
          <w:color w:val="000000"/>
          <w:sz w:val="24"/>
          <w:szCs w:val="24"/>
        </w:rPr>
        <w:t>ifestación no requerirá discusión ni votación.</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after="0" w:line="240" w:lineRule="auto"/>
        <w:ind w:left="283" w:right="288" w:hanging="1"/>
        <w:jc w:val="both"/>
        <w:rPr>
          <w:rFonts w:ascii="Times New Roman" w:eastAsia="Times New Roman" w:hAnsi="Times New Roman" w:cs="Times New Roman"/>
          <w:sz w:val="24"/>
          <w:szCs w:val="24"/>
        </w:rPr>
      </w:pPr>
      <w:r>
        <w:rPr>
          <w:b/>
          <w:bCs/>
          <w:color w:val="000000"/>
          <w:sz w:val="24"/>
          <w:szCs w:val="24"/>
        </w:rPr>
        <w:t>f.</w:t>
      </w:r>
      <w:r>
        <w:rPr>
          <w:color w:val="000000"/>
          <w:sz w:val="24"/>
          <w:szCs w:val="24"/>
        </w:rPr>
        <w:t xml:space="preserve"> Cuando el congresista participa en la elección de otros servidores públicos mediante el voto secreto. Se exceptúan los casos en que se presenten inhabilidades referidas al parentesco con los candidatos (..</w:t>
      </w:r>
      <w:r>
        <w:rPr>
          <w:color w:val="000000"/>
          <w:sz w:val="24"/>
          <w:szCs w:val="24"/>
        </w:rPr>
        <w:t>.)”.</w:t>
      </w:r>
    </w:p>
    <w:p w:rsidR="00590A61" w:rsidRDefault="00590A61">
      <w:pPr>
        <w:spacing w:after="0" w:line="240" w:lineRule="auto"/>
        <w:rPr>
          <w:rFonts w:ascii="Times New Roman" w:eastAsia="Times New Roman" w:hAnsi="Times New Roman" w:cs="Times New Roman"/>
          <w:sz w:val="24"/>
          <w:szCs w:val="24"/>
        </w:rPr>
      </w:pPr>
    </w:p>
    <w:p w:rsidR="00590A61" w:rsidRDefault="00CF3BB4">
      <w:pPr>
        <w:spacing w:before="180" w:after="180" w:line="276" w:lineRule="auto"/>
        <w:jc w:val="both"/>
        <w:rPr>
          <w:sz w:val="24"/>
          <w:szCs w:val="24"/>
        </w:rPr>
      </w:pPr>
      <w:r>
        <w:rPr>
          <w:sz w:val="24"/>
          <w:szCs w:val="24"/>
        </w:rPr>
        <w:t>En virtud de lo anterior, este proyecto de ley no reúne las condiciones anteriormente citadas de los literales a, b y c, de las circunstancias en las cuales es existente un conflicto de interés, toda vez que es una iniciativa de interés general que puede c</w:t>
      </w:r>
      <w:r>
        <w:rPr>
          <w:sz w:val="24"/>
          <w:szCs w:val="24"/>
        </w:rPr>
        <w:t xml:space="preserve">oincidir y fusionarse con los intereses del electorado. </w:t>
      </w:r>
    </w:p>
    <w:p w:rsidR="00590A61" w:rsidRDefault="00CF3BB4">
      <w:pPr>
        <w:spacing w:before="180" w:after="180" w:line="276" w:lineRule="auto"/>
        <w:jc w:val="both"/>
        <w:rPr>
          <w:sz w:val="24"/>
          <w:szCs w:val="24"/>
        </w:rPr>
      </w:pPr>
      <w:r>
        <w:rPr>
          <w:sz w:val="24"/>
          <w:szCs w:val="24"/>
        </w:rPr>
        <w:t>No obstante, corresponderá a cada congresista evaluar el contenido del presente Proyecto de Ley y de otros elementos que puedan derivarse o entenderse como generadores de conflicto de interés.  </w:t>
      </w: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590A61">
      <w:pPr>
        <w:spacing w:before="180" w:after="180" w:line="276" w:lineRule="auto"/>
        <w:jc w:val="both"/>
        <w:rPr>
          <w:sz w:val="24"/>
          <w:szCs w:val="24"/>
        </w:rPr>
      </w:pPr>
    </w:p>
    <w:p w:rsidR="00590A61" w:rsidRDefault="00CF3BB4">
      <w:pPr>
        <w:numPr>
          <w:ilvl w:val="0"/>
          <w:numId w:val="5"/>
        </w:numPr>
        <w:pBdr>
          <w:top w:val="nil"/>
          <w:left w:val="nil"/>
          <w:bottom w:val="nil"/>
          <w:right w:val="nil"/>
          <w:between w:val="nil"/>
        </w:pBdr>
        <w:spacing w:line="276" w:lineRule="auto"/>
        <w:jc w:val="both"/>
        <w:rPr>
          <w:color w:val="000000"/>
          <w:sz w:val="24"/>
          <w:szCs w:val="24"/>
        </w:rPr>
      </w:pPr>
      <w:r>
        <w:rPr>
          <w:b/>
          <w:bCs/>
          <w:color w:val="000000"/>
          <w:sz w:val="24"/>
          <w:szCs w:val="24"/>
        </w:rPr>
        <w:lastRenderedPageBreak/>
        <w:t>PROPOSICIÓN</w:t>
      </w:r>
    </w:p>
    <w:p w:rsidR="00590A61" w:rsidRDefault="00CF3BB4">
      <w:pPr>
        <w:spacing w:after="0" w:line="276" w:lineRule="auto"/>
        <w:ind w:right="-100"/>
        <w:jc w:val="both"/>
        <w:rPr>
          <w:sz w:val="24"/>
          <w:szCs w:val="24"/>
        </w:rPr>
      </w:pPr>
      <w:r>
        <w:rPr>
          <w:sz w:val="24"/>
          <w:szCs w:val="24"/>
        </w:rPr>
        <w:t xml:space="preserve"> </w:t>
      </w:r>
    </w:p>
    <w:p w:rsidR="00590A61" w:rsidRDefault="00CF3BB4">
      <w:pPr>
        <w:spacing w:line="276" w:lineRule="auto"/>
        <w:jc w:val="both"/>
        <w:rPr>
          <w:sz w:val="24"/>
          <w:szCs w:val="24"/>
        </w:rPr>
      </w:pPr>
      <w:r>
        <w:rPr>
          <w:sz w:val="24"/>
          <w:szCs w:val="24"/>
        </w:rPr>
        <w:t xml:space="preserve">Con fundamento en las anteriores consideraciones, rendimos PONENCIA POSITIVA y, en consecuencia, solicitamos a la Honorable Comisión Primera Constitucional Permanente de la Cámara de Representantes aprobar en primer debate el </w:t>
      </w:r>
      <w:r w:rsidRPr="00F20B32">
        <w:rPr>
          <w:bCs/>
          <w:sz w:val="24"/>
          <w:szCs w:val="24"/>
        </w:rPr>
        <w:t>Proyecto</w:t>
      </w:r>
      <w:r w:rsidRPr="00F20B32">
        <w:rPr>
          <w:bCs/>
          <w:sz w:val="24"/>
          <w:szCs w:val="24"/>
        </w:rPr>
        <w:t xml:space="preserve"> de Ley</w:t>
      </w:r>
      <w:r w:rsidR="00F20B32">
        <w:rPr>
          <w:bCs/>
          <w:sz w:val="24"/>
          <w:szCs w:val="24"/>
        </w:rPr>
        <w:t xml:space="preserve"> No.</w:t>
      </w:r>
      <w:r w:rsidRPr="00F20B32">
        <w:rPr>
          <w:bCs/>
          <w:sz w:val="24"/>
          <w:szCs w:val="24"/>
        </w:rPr>
        <w:t xml:space="preserve"> 431 de 2025</w:t>
      </w:r>
      <w:r>
        <w:rPr>
          <w:sz w:val="24"/>
          <w:szCs w:val="24"/>
        </w:rPr>
        <w:t xml:space="preserve"> </w:t>
      </w:r>
      <w:r w:rsidR="009E3224">
        <w:rPr>
          <w:sz w:val="24"/>
          <w:szCs w:val="24"/>
        </w:rPr>
        <w:t xml:space="preserve">CÁMARA </w:t>
      </w:r>
      <w:r>
        <w:rPr>
          <w:sz w:val="24"/>
          <w:szCs w:val="24"/>
        </w:rPr>
        <w:t>“</w:t>
      </w:r>
      <w:r>
        <w:rPr>
          <w:i/>
          <w:iCs/>
          <w:sz w:val="24"/>
          <w:szCs w:val="24"/>
        </w:rPr>
        <w:t>Por medio de la cual se crea la compensación económica como reconocimiento al trabajo de cuidado en el hogar mitigando el desequilibrio económico derivado del divorcio o la disolución de la unión marital de hecho</w:t>
      </w:r>
      <w:r>
        <w:rPr>
          <w:sz w:val="24"/>
          <w:szCs w:val="24"/>
        </w:rPr>
        <w:t>”, conforme al texto propuesto.</w:t>
      </w:r>
    </w:p>
    <w:p w:rsidR="00590A61" w:rsidRDefault="00590A61">
      <w:pPr>
        <w:spacing w:line="276" w:lineRule="auto"/>
        <w:jc w:val="both"/>
        <w:rPr>
          <w:sz w:val="24"/>
          <w:szCs w:val="24"/>
        </w:rPr>
      </w:pPr>
      <w:bookmarkStart w:id="3" w:name="_GoBack"/>
      <w:bookmarkEnd w:id="3"/>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CF3BB4">
      <w:pPr>
        <w:spacing w:after="0" w:line="276" w:lineRule="auto"/>
        <w:jc w:val="center"/>
        <w:rPr>
          <w:rFonts w:ascii="Times New Roman" w:eastAsia="Times New Roman" w:hAnsi="Times New Roman" w:cs="Times New Roman"/>
          <w:sz w:val="24"/>
          <w:szCs w:val="24"/>
        </w:rPr>
      </w:pPr>
      <w:r>
        <w:rPr>
          <w:b/>
          <w:bCs/>
          <w:color w:val="000000"/>
          <w:sz w:val="24"/>
          <w:szCs w:val="24"/>
        </w:rPr>
        <w:t>JENNIFER PEDRAZA SANDOVAL </w:t>
      </w:r>
    </w:p>
    <w:p w:rsidR="00590A61" w:rsidRDefault="00CF3BB4">
      <w:pPr>
        <w:spacing w:after="0" w:line="276" w:lineRule="auto"/>
        <w:jc w:val="center"/>
        <w:rPr>
          <w:rFonts w:ascii="Times New Roman" w:eastAsia="Times New Roman" w:hAnsi="Times New Roman" w:cs="Times New Roman"/>
          <w:sz w:val="24"/>
          <w:szCs w:val="24"/>
        </w:rPr>
      </w:pPr>
      <w:r>
        <w:rPr>
          <w:color w:val="000000"/>
          <w:sz w:val="24"/>
          <w:szCs w:val="24"/>
        </w:rPr>
        <w:t>Representante a la Cámara</w:t>
      </w:r>
    </w:p>
    <w:p w:rsidR="00590A61" w:rsidRDefault="00CF3BB4">
      <w:pPr>
        <w:spacing w:after="0" w:line="276" w:lineRule="auto"/>
        <w:jc w:val="center"/>
        <w:rPr>
          <w:rFonts w:ascii="Times New Roman" w:eastAsia="Times New Roman" w:hAnsi="Times New Roman" w:cs="Times New Roman"/>
          <w:sz w:val="24"/>
          <w:szCs w:val="24"/>
        </w:rPr>
      </w:pPr>
      <w:r>
        <w:rPr>
          <w:color w:val="000000"/>
          <w:sz w:val="24"/>
          <w:szCs w:val="24"/>
        </w:rPr>
        <w:t>Ponente Única</w:t>
      </w: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CF3BB4">
      <w:pPr>
        <w:pStyle w:val="Ttulo1"/>
        <w:keepNext w:val="0"/>
        <w:keepLines w:val="0"/>
        <w:spacing w:before="0" w:after="0" w:line="276" w:lineRule="auto"/>
        <w:ind w:right="-100"/>
        <w:jc w:val="center"/>
        <w:rPr>
          <w:b/>
          <w:bCs/>
          <w:color w:val="000000"/>
          <w:sz w:val="24"/>
          <w:szCs w:val="24"/>
        </w:rPr>
      </w:pPr>
      <w:bookmarkStart w:id="4" w:name="_heading=h.omh76uorhjl" w:colFirst="0" w:colLast="0"/>
      <w:bookmarkEnd w:id="4"/>
      <w:r>
        <w:rPr>
          <w:b/>
          <w:bCs/>
          <w:color w:val="000000"/>
          <w:sz w:val="24"/>
          <w:szCs w:val="24"/>
        </w:rPr>
        <w:lastRenderedPageBreak/>
        <w:t>TEXTO PROPUESTO PARA PRIMER DEBATE EN LA COMISIÓN PRIMERA DE LA CÁMARA DE REPRESENTANTES</w:t>
      </w:r>
    </w:p>
    <w:p w:rsidR="00590A61" w:rsidRDefault="00590A61">
      <w:pPr>
        <w:spacing w:line="276" w:lineRule="auto"/>
        <w:jc w:val="both"/>
        <w:rPr>
          <w:sz w:val="24"/>
          <w:szCs w:val="24"/>
        </w:rPr>
      </w:pPr>
    </w:p>
    <w:p w:rsidR="00590A61" w:rsidRDefault="00CF3BB4">
      <w:pPr>
        <w:spacing w:line="276" w:lineRule="auto"/>
        <w:jc w:val="center"/>
        <w:rPr>
          <w:sz w:val="24"/>
          <w:szCs w:val="24"/>
        </w:rPr>
      </w:pPr>
      <w:r>
        <w:rPr>
          <w:b/>
          <w:bCs/>
          <w:sz w:val="24"/>
          <w:szCs w:val="24"/>
        </w:rPr>
        <w:t>PROYECTO DE LEY N° 431 de 2025</w:t>
      </w:r>
      <w:r w:rsidR="009E3224">
        <w:rPr>
          <w:b/>
          <w:bCs/>
          <w:sz w:val="24"/>
          <w:szCs w:val="24"/>
        </w:rPr>
        <w:t xml:space="preserve"> CÁMARA </w:t>
      </w:r>
    </w:p>
    <w:p w:rsidR="00590A61" w:rsidRDefault="00CF3BB4">
      <w:pPr>
        <w:spacing w:line="276" w:lineRule="auto"/>
        <w:jc w:val="center"/>
        <w:rPr>
          <w:b/>
          <w:bCs/>
          <w:i/>
          <w:iCs/>
          <w:sz w:val="24"/>
          <w:szCs w:val="24"/>
        </w:rPr>
      </w:pPr>
      <w:bookmarkStart w:id="5" w:name="_heading=h.kh5uxm2mppg5" w:colFirst="0" w:colLast="0"/>
      <w:bookmarkEnd w:id="5"/>
      <w:r>
        <w:rPr>
          <w:b/>
          <w:bCs/>
          <w:sz w:val="24"/>
          <w:szCs w:val="24"/>
        </w:rPr>
        <w:t>“Por medio de la cual se crea la compensación económica como reconocimiento al trabajo de cuidado en el hogar mitigando el desequilibrio económico derivado del divorcio o la disolución de la unión marital de hecho”.</w:t>
      </w:r>
    </w:p>
    <w:p w:rsidR="00590A61" w:rsidRDefault="00CF3BB4">
      <w:pPr>
        <w:spacing w:line="276" w:lineRule="auto"/>
        <w:jc w:val="center"/>
        <w:rPr>
          <w:sz w:val="24"/>
          <w:szCs w:val="24"/>
        </w:rPr>
      </w:pPr>
      <w:r>
        <w:rPr>
          <w:b/>
          <w:bCs/>
          <w:sz w:val="24"/>
          <w:szCs w:val="24"/>
        </w:rPr>
        <w:t>El Congreso de Colombia</w:t>
      </w:r>
    </w:p>
    <w:p w:rsidR="00590A61" w:rsidRDefault="00CF3BB4">
      <w:pPr>
        <w:spacing w:line="276" w:lineRule="auto"/>
        <w:jc w:val="center"/>
        <w:rPr>
          <w:sz w:val="24"/>
          <w:szCs w:val="24"/>
        </w:rPr>
      </w:pPr>
      <w:r>
        <w:rPr>
          <w:b/>
          <w:bCs/>
          <w:sz w:val="24"/>
          <w:szCs w:val="24"/>
        </w:rPr>
        <w:t>DECRETA</w:t>
      </w:r>
    </w:p>
    <w:p w:rsidR="00590A61" w:rsidRDefault="00CF3BB4">
      <w:pPr>
        <w:spacing w:line="276" w:lineRule="auto"/>
        <w:jc w:val="both"/>
        <w:rPr>
          <w:b/>
          <w:bCs/>
          <w:sz w:val="24"/>
          <w:szCs w:val="24"/>
        </w:rPr>
      </w:pPr>
      <w:r>
        <w:rPr>
          <w:b/>
          <w:bCs/>
          <w:sz w:val="24"/>
          <w:szCs w:val="24"/>
        </w:rPr>
        <w:t>ARTÍCULO 1. Objeto.</w:t>
      </w:r>
      <w:r>
        <w:rPr>
          <w:sz w:val="24"/>
          <w:szCs w:val="24"/>
        </w:rPr>
        <w:t xml:space="preserve"> Incorporar en el ordenamiento jurídico colombiano una previsión que garantice el acceso a compensación económica a las personas que experimenten una situación de desequilibrio económico con ocasión del divorcio o la disolución de la uni</w:t>
      </w:r>
      <w:r>
        <w:rPr>
          <w:sz w:val="24"/>
          <w:szCs w:val="24"/>
        </w:rPr>
        <w:t>ón marital de hecho, buscando reconocer su aporte a las labores del cuidado en el hogar y la familia.</w:t>
      </w:r>
    </w:p>
    <w:p w:rsidR="00590A61" w:rsidRDefault="00CF3BB4">
      <w:pPr>
        <w:spacing w:line="276" w:lineRule="auto"/>
        <w:jc w:val="both"/>
        <w:rPr>
          <w:sz w:val="24"/>
          <w:szCs w:val="24"/>
        </w:rPr>
      </w:pPr>
      <w:r>
        <w:rPr>
          <w:b/>
          <w:bCs/>
          <w:sz w:val="24"/>
          <w:szCs w:val="24"/>
        </w:rPr>
        <w:t>ARTÍCULO 2:</w:t>
      </w:r>
      <w:r>
        <w:rPr>
          <w:sz w:val="24"/>
          <w:szCs w:val="24"/>
        </w:rPr>
        <w:t xml:space="preserve"> </w:t>
      </w:r>
      <w:r>
        <w:rPr>
          <w:b/>
          <w:bCs/>
          <w:sz w:val="24"/>
          <w:szCs w:val="24"/>
        </w:rPr>
        <w:t xml:space="preserve">Compensación económica. </w:t>
      </w:r>
      <w:r>
        <w:rPr>
          <w:sz w:val="24"/>
          <w:szCs w:val="24"/>
        </w:rPr>
        <w:t>El cónyuge o el compañero permanente al que el divorcio o la disolución de la unión marital de hecho le produzca un de</w:t>
      </w:r>
      <w:r>
        <w:rPr>
          <w:sz w:val="24"/>
          <w:szCs w:val="24"/>
        </w:rPr>
        <w:t>sequilibrio económico en relación con la posición del otro, tendrá derecho a una compensación que podrá consistir en un pago temporal o por tiempo indefinido, o en una prestación única según se determine en el proceso judicial o por acuerdo de las partes.</w:t>
      </w:r>
    </w:p>
    <w:p w:rsidR="00590A61" w:rsidRDefault="00CF3BB4">
      <w:pPr>
        <w:spacing w:line="276" w:lineRule="auto"/>
        <w:jc w:val="both"/>
        <w:rPr>
          <w:sz w:val="24"/>
          <w:szCs w:val="24"/>
        </w:rPr>
      </w:pPr>
      <w:r>
        <w:rPr>
          <w:sz w:val="24"/>
          <w:szCs w:val="24"/>
        </w:rPr>
        <w:t>A falta de acuerdo de voluntades de las partes para la definición de la pensión compensatoria el juez tendrá en cuenta:</w:t>
      </w:r>
    </w:p>
    <w:p w:rsidR="00590A61" w:rsidRDefault="00CF3BB4">
      <w:pPr>
        <w:numPr>
          <w:ilvl w:val="0"/>
          <w:numId w:val="7"/>
        </w:numPr>
        <w:spacing w:after="0" w:line="276" w:lineRule="auto"/>
        <w:jc w:val="both"/>
        <w:rPr>
          <w:sz w:val="24"/>
          <w:szCs w:val="24"/>
        </w:rPr>
      </w:pPr>
      <w:r>
        <w:rPr>
          <w:sz w:val="24"/>
          <w:szCs w:val="24"/>
        </w:rPr>
        <w:t>ingresos de las partes</w:t>
      </w:r>
    </w:p>
    <w:p w:rsidR="00590A61" w:rsidRDefault="00CF3BB4">
      <w:pPr>
        <w:numPr>
          <w:ilvl w:val="0"/>
          <w:numId w:val="7"/>
        </w:numPr>
        <w:spacing w:after="0" w:line="276" w:lineRule="auto"/>
        <w:jc w:val="both"/>
        <w:rPr>
          <w:sz w:val="24"/>
          <w:szCs w:val="24"/>
        </w:rPr>
      </w:pPr>
      <w:r>
        <w:rPr>
          <w:sz w:val="24"/>
          <w:szCs w:val="24"/>
        </w:rPr>
        <w:t>Edad y estado de salud de las partes</w:t>
      </w:r>
    </w:p>
    <w:p w:rsidR="00590A61" w:rsidRDefault="00CF3BB4">
      <w:pPr>
        <w:numPr>
          <w:ilvl w:val="0"/>
          <w:numId w:val="7"/>
        </w:numPr>
        <w:spacing w:after="0" w:line="276" w:lineRule="auto"/>
        <w:jc w:val="both"/>
        <w:rPr>
          <w:sz w:val="24"/>
          <w:szCs w:val="24"/>
        </w:rPr>
      </w:pPr>
      <w:r>
        <w:rPr>
          <w:sz w:val="24"/>
          <w:szCs w:val="24"/>
        </w:rPr>
        <w:t>La cualificación profesional y las probabilidades de acceso a un empleo.</w:t>
      </w:r>
    </w:p>
    <w:p w:rsidR="00590A61" w:rsidRDefault="00CF3BB4">
      <w:pPr>
        <w:numPr>
          <w:ilvl w:val="0"/>
          <w:numId w:val="7"/>
        </w:numPr>
        <w:spacing w:after="0" w:line="276" w:lineRule="auto"/>
        <w:jc w:val="both"/>
        <w:rPr>
          <w:sz w:val="24"/>
          <w:szCs w:val="24"/>
        </w:rPr>
      </w:pPr>
      <w:r>
        <w:rPr>
          <w:sz w:val="24"/>
          <w:szCs w:val="24"/>
        </w:rPr>
        <w:t>Dur</w:t>
      </w:r>
      <w:r>
        <w:rPr>
          <w:sz w:val="24"/>
          <w:szCs w:val="24"/>
        </w:rPr>
        <w:t>ación del matrimonio o la unión marital de hecho</w:t>
      </w:r>
    </w:p>
    <w:p w:rsidR="00590A61" w:rsidRDefault="00CF3BB4">
      <w:pPr>
        <w:numPr>
          <w:ilvl w:val="0"/>
          <w:numId w:val="7"/>
        </w:numPr>
        <w:spacing w:after="0" w:line="276" w:lineRule="auto"/>
        <w:jc w:val="both"/>
        <w:rPr>
          <w:sz w:val="24"/>
          <w:szCs w:val="24"/>
        </w:rPr>
      </w:pPr>
      <w:r>
        <w:rPr>
          <w:sz w:val="24"/>
          <w:szCs w:val="24"/>
        </w:rPr>
        <w:t>Aporte en el marco del matrimonio o la unión marital de hecho a las labores del cuidado en el hogar.</w:t>
      </w:r>
    </w:p>
    <w:p w:rsidR="00590A61" w:rsidRDefault="00CF3BB4">
      <w:pPr>
        <w:numPr>
          <w:ilvl w:val="0"/>
          <w:numId w:val="7"/>
        </w:numPr>
        <w:spacing w:after="0" w:line="276" w:lineRule="auto"/>
        <w:jc w:val="both"/>
        <w:rPr>
          <w:sz w:val="24"/>
          <w:szCs w:val="24"/>
        </w:rPr>
      </w:pPr>
      <w:r>
        <w:rPr>
          <w:sz w:val="24"/>
          <w:szCs w:val="24"/>
        </w:rPr>
        <w:t>La dedicación pasada y futura a labores de cuidado de hijos frutos de la unión.</w:t>
      </w:r>
    </w:p>
    <w:p w:rsidR="00590A61" w:rsidRDefault="00CF3BB4">
      <w:pPr>
        <w:numPr>
          <w:ilvl w:val="0"/>
          <w:numId w:val="7"/>
        </w:numPr>
        <w:spacing w:after="0" w:line="276" w:lineRule="auto"/>
        <w:jc w:val="both"/>
        <w:rPr>
          <w:sz w:val="24"/>
          <w:szCs w:val="24"/>
        </w:rPr>
      </w:pPr>
      <w:r>
        <w:rPr>
          <w:sz w:val="24"/>
          <w:szCs w:val="24"/>
        </w:rPr>
        <w:t>El impacto de la dedicació</w:t>
      </w:r>
      <w:r>
        <w:rPr>
          <w:sz w:val="24"/>
          <w:szCs w:val="24"/>
        </w:rPr>
        <w:t>n a labores del cuidado en el desarrollo profesional, laboral y las afectaciones presentes y futuras para acceder a derecho pensional.</w:t>
      </w:r>
    </w:p>
    <w:p w:rsidR="00590A61" w:rsidRDefault="00CF3BB4">
      <w:pPr>
        <w:numPr>
          <w:ilvl w:val="0"/>
          <w:numId w:val="7"/>
        </w:numPr>
        <w:spacing w:after="0" w:line="276" w:lineRule="auto"/>
        <w:jc w:val="both"/>
        <w:rPr>
          <w:sz w:val="24"/>
          <w:szCs w:val="24"/>
        </w:rPr>
      </w:pPr>
      <w:r>
        <w:rPr>
          <w:sz w:val="24"/>
          <w:szCs w:val="24"/>
        </w:rPr>
        <w:t>La colaboración con su trabajo en las actividades profesionales, laborales, mercantiles, entre otras del otro cónyuge o c</w:t>
      </w:r>
      <w:r>
        <w:rPr>
          <w:sz w:val="24"/>
          <w:szCs w:val="24"/>
        </w:rPr>
        <w:t>ompañero permanente.</w:t>
      </w:r>
    </w:p>
    <w:p w:rsidR="00590A61" w:rsidRDefault="00CF3BB4">
      <w:pPr>
        <w:numPr>
          <w:ilvl w:val="0"/>
          <w:numId w:val="7"/>
        </w:numPr>
        <w:spacing w:line="276" w:lineRule="auto"/>
        <w:jc w:val="both"/>
        <w:rPr>
          <w:sz w:val="24"/>
          <w:szCs w:val="24"/>
        </w:rPr>
      </w:pPr>
      <w:r>
        <w:rPr>
          <w:sz w:val="24"/>
          <w:szCs w:val="24"/>
        </w:rPr>
        <w:t>Cualquier circunstancia adicional que resulte relevante</w:t>
      </w:r>
    </w:p>
    <w:p w:rsidR="00590A61" w:rsidRDefault="00CF3BB4">
      <w:pPr>
        <w:spacing w:line="276" w:lineRule="auto"/>
        <w:jc w:val="both"/>
        <w:rPr>
          <w:sz w:val="24"/>
          <w:szCs w:val="24"/>
        </w:rPr>
      </w:pPr>
      <w:r>
        <w:rPr>
          <w:b/>
          <w:bCs/>
          <w:sz w:val="24"/>
          <w:szCs w:val="24"/>
        </w:rPr>
        <w:lastRenderedPageBreak/>
        <w:t>Parágrafo 1</w:t>
      </w:r>
      <w:r>
        <w:rPr>
          <w:sz w:val="24"/>
          <w:szCs w:val="24"/>
        </w:rPr>
        <w:t>: La decisión judicial o acuerdo de las partes deberá fijar las bases para actualizar la pensión anualmente y las garantías para su efectividad</w:t>
      </w:r>
    </w:p>
    <w:p w:rsidR="00590A61" w:rsidRDefault="00CF3BB4">
      <w:pPr>
        <w:spacing w:line="276" w:lineRule="auto"/>
        <w:jc w:val="both"/>
        <w:rPr>
          <w:sz w:val="24"/>
          <w:szCs w:val="24"/>
        </w:rPr>
      </w:pPr>
      <w:r>
        <w:rPr>
          <w:b/>
          <w:bCs/>
          <w:sz w:val="24"/>
          <w:szCs w:val="24"/>
        </w:rPr>
        <w:t xml:space="preserve">Parágrafo 2: </w:t>
      </w:r>
      <w:r>
        <w:rPr>
          <w:sz w:val="24"/>
          <w:szCs w:val="24"/>
        </w:rPr>
        <w:t>La fijación</w:t>
      </w:r>
      <w:r>
        <w:rPr>
          <w:sz w:val="24"/>
          <w:szCs w:val="24"/>
        </w:rPr>
        <w:t xml:space="preserve"> de compensación económica que se pacte de común acuerdo deberá constar en acuerdo de conciliación o en el marco del proceso notarial de liquidación de la sociedad conyugal o patrimonial, el cual prestará mérito ejecutivo.</w:t>
      </w:r>
    </w:p>
    <w:p w:rsidR="00590A61" w:rsidRDefault="00CF3BB4">
      <w:pPr>
        <w:spacing w:line="276" w:lineRule="auto"/>
        <w:jc w:val="both"/>
        <w:rPr>
          <w:sz w:val="24"/>
          <w:szCs w:val="24"/>
        </w:rPr>
      </w:pPr>
      <w:r>
        <w:rPr>
          <w:b/>
          <w:bCs/>
          <w:sz w:val="24"/>
          <w:szCs w:val="24"/>
        </w:rPr>
        <w:t>ARTÍCULO 3. Formas de pago de la compensación económica</w:t>
      </w:r>
      <w:r>
        <w:rPr>
          <w:sz w:val="24"/>
          <w:szCs w:val="24"/>
        </w:rPr>
        <w:t>. Las partes de mutuo acuerdo o el juez podrán acudir a las siguientes modalidades para la fijación del pago de la compensación económica:</w:t>
      </w:r>
    </w:p>
    <w:p w:rsidR="00590A61" w:rsidRDefault="00CF3BB4">
      <w:pPr>
        <w:numPr>
          <w:ilvl w:val="0"/>
          <w:numId w:val="6"/>
        </w:numPr>
        <w:spacing w:after="0" w:line="276" w:lineRule="auto"/>
        <w:jc w:val="both"/>
        <w:rPr>
          <w:sz w:val="24"/>
          <w:szCs w:val="24"/>
        </w:rPr>
      </w:pPr>
      <w:r>
        <w:rPr>
          <w:sz w:val="24"/>
          <w:szCs w:val="24"/>
        </w:rPr>
        <w:t>Pago en dinero, el cual podrá ser entregado en una o varias cu</w:t>
      </w:r>
      <w:r>
        <w:rPr>
          <w:sz w:val="24"/>
          <w:szCs w:val="24"/>
        </w:rPr>
        <w:t>otas reajustables.</w:t>
      </w:r>
    </w:p>
    <w:p w:rsidR="00590A61" w:rsidRDefault="00CF3BB4">
      <w:pPr>
        <w:numPr>
          <w:ilvl w:val="0"/>
          <w:numId w:val="6"/>
        </w:numPr>
        <w:spacing w:after="0" w:line="276" w:lineRule="auto"/>
        <w:jc w:val="both"/>
        <w:rPr>
          <w:sz w:val="24"/>
          <w:szCs w:val="24"/>
        </w:rPr>
      </w:pPr>
      <w:r>
        <w:rPr>
          <w:sz w:val="24"/>
          <w:szCs w:val="24"/>
        </w:rPr>
        <w:t>Pago con bienes muebles e inmuebles.</w:t>
      </w:r>
    </w:p>
    <w:p w:rsidR="00590A61" w:rsidRDefault="00CF3BB4">
      <w:pPr>
        <w:numPr>
          <w:ilvl w:val="0"/>
          <w:numId w:val="6"/>
        </w:numPr>
        <w:spacing w:line="276" w:lineRule="auto"/>
        <w:jc w:val="both"/>
        <w:rPr>
          <w:sz w:val="24"/>
          <w:szCs w:val="24"/>
        </w:rPr>
      </w:pPr>
      <w:r>
        <w:rPr>
          <w:sz w:val="24"/>
          <w:szCs w:val="24"/>
        </w:rPr>
        <w:t>Constitución de derechos de usufructo, uso o habitación, respecto de bienes que sean de propiedad del cónyuge o compañero permanente deudor.</w:t>
      </w:r>
    </w:p>
    <w:p w:rsidR="00590A61" w:rsidRDefault="00CF3BB4">
      <w:pPr>
        <w:spacing w:line="276" w:lineRule="auto"/>
        <w:jc w:val="both"/>
        <w:rPr>
          <w:i/>
          <w:iCs/>
          <w:sz w:val="24"/>
          <w:szCs w:val="24"/>
        </w:rPr>
      </w:pPr>
      <w:r>
        <w:rPr>
          <w:b/>
          <w:bCs/>
          <w:sz w:val="24"/>
          <w:szCs w:val="24"/>
        </w:rPr>
        <w:t>ARTÍCULO 4:</w:t>
      </w:r>
      <w:r>
        <w:rPr>
          <w:sz w:val="24"/>
          <w:szCs w:val="24"/>
        </w:rPr>
        <w:t xml:space="preserve"> </w:t>
      </w:r>
      <w:r>
        <w:rPr>
          <w:b/>
          <w:bCs/>
          <w:sz w:val="24"/>
          <w:szCs w:val="24"/>
        </w:rPr>
        <w:t>Tasación y temporalidad</w:t>
      </w:r>
      <w:r>
        <w:rPr>
          <w:sz w:val="24"/>
          <w:szCs w:val="24"/>
        </w:rPr>
        <w:t>. La tasación y temporal</w:t>
      </w:r>
      <w:r>
        <w:rPr>
          <w:sz w:val="24"/>
          <w:szCs w:val="24"/>
        </w:rPr>
        <w:t>idad de la pensión compensatoria deberán tomar siempre en consideración las facultades del deudor y sus circunstancias económicas y patrimoniales.</w:t>
      </w:r>
    </w:p>
    <w:p w:rsidR="00590A61" w:rsidRDefault="00CF3BB4">
      <w:pPr>
        <w:spacing w:line="276" w:lineRule="auto"/>
        <w:jc w:val="both"/>
        <w:rPr>
          <w:sz w:val="24"/>
          <w:szCs w:val="24"/>
        </w:rPr>
      </w:pPr>
      <w:r>
        <w:rPr>
          <w:b/>
          <w:bCs/>
          <w:sz w:val="24"/>
          <w:szCs w:val="24"/>
        </w:rPr>
        <w:t xml:space="preserve">ARTÍCULO 5: Reconocimiento </w:t>
      </w:r>
      <w:r>
        <w:rPr>
          <w:sz w:val="24"/>
          <w:szCs w:val="24"/>
        </w:rPr>
        <w:t>El reconocimiento de compensación económica no excluye el reconocimiento de derech</w:t>
      </w:r>
      <w:r>
        <w:rPr>
          <w:sz w:val="24"/>
          <w:szCs w:val="24"/>
        </w:rPr>
        <w:t>o de alimentos conforme lo regulado en el Título XXI del Libro Primero del Código Civil.</w:t>
      </w:r>
    </w:p>
    <w:p w:rsidR="00590A61" w:rsidRDefault="00CF3BB4">
      <w:pPr>
        <w:spacing w:line="276" w:lineRule="auto"/>
        <w:jc w:val="both"/>
        <w:rPr>
          <w:sz w:val="24"/>
          <w:szCs w:val="24"/>
        </w:rPr>
      </w:pPr>
      <w:r>
        <w:rPr>
          <w:b/>
          <w:bCs/>
          <w:sz w:val="24"/>
          <w:szCs w:val="24"/>
        </w:rPr>
        <w:t>ARTÍCULO 6:</w:t>
      </w:r>
      <w:r>
        <w:rPr>
          <w:sz w:val="24"/>
          <w:szCs w:val="24"/>
        </w:rPr>
        <w:t xml:space="preserve"> </w:t>
      </w:r>
      <w:r>
        <w:rPr>
          <w:b/>
          <w:bCs/>
          <w:sz w:val="24"/>
          <w:szCs w:val="24"/>
        </w:rPr>
        <w:t xml:space="preserve">Vigencia. </w:t>
      </w:r>
      <w:r>
        <w:rPr>
          <w:sz w:val="24"/>
          <w:szCs w:val="24"/>
        </w:rPr>
        <w:t>La presente Ley rige a partir de su promulgación y deroga aquellas normas que se contrapongan a lo que aquí dispuesto</w:t>
      </w:r>
    </w:p>
    <w:p w:rsidR="00590A61" w:rsidRDefault="00590A61">
      <w:pPr>
        <w:spacing w:line="276" w:lineRule="auto"/>
        <w:jc w:val="both"/>
        <w:rPr>
          <w:sz w:val="24"/>
          <w:szCs w:val="24"/>
        </w:rPr>
      </w:pPr>
    </w:p>
    <w:p w:rsidR="00590A61" w:rsidRDefault="00CF3BB4">
      <w:pPr>
        <w:spacing w:line="276" w:lineRule="auto"/>
        <w:jc w:val="both"/>
        <w:rPr>
          <w:sz w:val="24"/>
          <w:szCs w:val="24"/>
        </w:rPr>
      </w:pPr>
      <w:r>
        <w:rPr>
          <w:sz w:val="24"/>
          <w:szCs w:val="24"/>
        </w:rPr>
        <w:t>Cordialmente,</w:t>
      </w: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590A61">
      <w:pPr>
        <w:spacing w:line="276" w:lineRule="auto"/>
        <w:jc w:val="both"/>
        <w:rPr>
          <w:sz w:val="24"/>
          <w:szCs w:val="24"/>
        </w:rPr>
      </w:pPr>
    </w:p>
    <w:p w:rsidR="00590A61" w:rsidRDefault="00CF3BB4">
      <w:pPr>
        <w:spacing w:after="0" w:line="276" w:lineRule="auto"/>
        <w:jc w:val="center"/>
        <w:rPr>
          <w:rFonts w:ascii="Times New Roman" w:eastAsia="Times New Roman" w:hAnsi="Times New Roman" w:cs="Times New Roman"/>
          <w:sz w:val="24"/>
          <w:szCs w:val="24"/>
        </w:rPr>
      </w:pPr>
      <w:r>
        <w:rPr>
          <w:b/>
          <w:bCs/>
          <w:color w:val="000000"/>
          <w:sz w:val="24"/>
          <w:szCs w:val="24"/>
        </w:rPr>
        <w:t>JENNIFER PEDRAZA SANDOVAL </w:t>
      </w:r>
    </w:p>
    <w:p w:rsidR="00590A61" w:rsidRDefault="00CF3BB4">
      <w:pPr>
        <w:spacing w:after="0" w:line="276" w:lineRule="auto"/>
        <w:jc w:val="center"/>
        <w:rPr>
          <w:rFonts w:ascii="Times New Roman" w:eastAsia="Times New Roman" w:hAnsi="Times New Roman" w:cs="Times New Roman"/>
          <w:sz w:val="24"/>
          <w:szCs w:val="24"/>
        </w:rPr>
      </w:pPr>
      <w:r>
        <w:rPr>
          <w:color w:val="000000"/>
          <w:sz w:val="24"/>
          <w:szCs w:val="24"/>
        </w:rPr>
        <w:t>Representante a la Cámara</w:t>
      </w:r>
    </w:p>
    <w:p w:rsidR="00590A61" w:rsidRDefault="00CF3BB4">
      <w:pPr>
        <w:spacing w:after="0" w:line="276" w:lineRule="auto"/>
        <w:jc w:val="center"/>
        <w:rPr>
          <w:rFonts w:ascii="Times New Roman" w:eastAsia="Times New Roman" w:hAnsi="Times New Roman" w:cs="Times New Roman"/>
          <w:sz w:val="24"/>
          <w:szCs w:val="24"/>
        </w:rPr>
      </w:pPr>
      <w:r>
        <w:rPr>
          <w:color w:val="000000"/>
          <w:sz w:val="24"/>
          <w:szCs w:val="24"/>
        </w:rPr>
        <w:t>Ponente Única</w:t>
      </w:r>
    </w:p>
    <w:p w:rsidR="00590A61" w:rsidRDefault="00590A61">
      <w:pPr>
        <w:spacing w:after="0" w:line="276" w:lineRule="auto"/>
        <w:jc w:val="center"/>
        <w:rPr>
          <w:sz w:val="24"/>
          <w:szCs w:val="24"/>
        </w:rPr>
      </w:pPr>
    </w:p>
    <w:p w:rsidR="00590A61" w:rsidRDefault="00590A61">
      <w:pPr>
        <w:spacing w:line="276" w:lineRule="auto"/>
        <w:jc w:val="both"/>
        <w:rPr>
          <w:sz w:val="24"/>
          <w:szCs w:val="24"/>
        </w:rPr>
      </w:pPr>
    </w:p>
    <w:p w:rsidR="00590A61" w:rsidRDefault="00590A61">
      <w:pPr>
        <w:spacing w:line="276" w:lineRule="auto"/>
        <w:rPr>
          <w:sz w:val="24"/>
          <w:szCs w:val="24"/>
        </w:rPr>
      </w:pPr>
    </w:p>
    <w:sectPr w:rsidR="00590A6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BB4" w:rsidRDefault="00CF3BB4">
      <w:pPr>
        <w:spacing w:after="0" w:line="240" w:lineRule="auto"/>
      </w:pPr>
      <w:r>
        <w:separator/>
      </w:r>
    </w:p>
  </w:endnote>
  <w:endnote w:type="continuationSeparator" w:id="0">
    <w:p w:rsidR="00CF3BB4" w:rsidRDefault="00CF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389439-5E41-4713-ADF7-37314FDF232B}"/>
    <w:embedBold r:id="rId2" w:fontKey="{1FDD4D54-BD23-45DF-ACAC-89569A86865D}"/>
    <w:embedItalic r:id="rId3" w:fontKey="{CC94EFD0-F2E7-4E8C-97CE-ABFB898C81DB}"/>
    <w:embedBoldItalic r:id="rId4" w:fontKey="{831D5485-BD97-4712-B9EB-50F43D990C4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C482B87B-66BF-4B44-AC77-3412239C65DE}"/>
  </w:font>
  <w:font w:name="Segoe UI">
    <w:panose1 w:val="020B0502040204020203"/>
    <w:charset w:val="00"/>
    <w:family w:val="swiss"/>
    <w:pitch w:val="variable"/>
    <w:sig w:usb0="E4002EFF" w:usb1="C000E47F" w:usb2="00000009" w:usb3="00000000" w:csb0="000001FF" w:csb1="00000000"/>
    <w:embedRegular r:id="rId6" w:fontKey="{6DF405BE-0CFF-43BE-BD25-39D567F8F26D}"/>
  </w:font>
  <w:font w:name="Cambria">
    <w:panose1 w:val="02040503050406030204"/>
    <w:charset w:val="00"/>
    <w:family w:val="roman"/>
    <w:pitch w:val="variable"/>
    <w:sig w:usb0="E00006FF" w:usb1="420024FF" w:usb2="02000000" w:usb3="00000000" w:csb0="0000019F" w:csb1="00000000"/>
    <w:embedRegular r:id="rId7" w:fontKey="{A4B0E93F-B442-40EB-9D40-00546977B2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BB4" w:rsidRDefault="00CF3BB4">
      <w:pPr>
        <w:spacing w:after="0" w:line="240" w:lineRule="auto"/>
      </w:pPr>
      <w:r>
        <w:separator/>
      </w:r>
    </w:p>
  </w:footnote>
  <w:footnote w:type="continuationSeparator" w:id="0">
    <w:p w:rsidR="00CF3BB4" w:rsidRDefault="00CF3BB4">
      <w:pPr>
        <w:spacing w:after="0" w:line="240" w:lineRule="auto"/>
      </w:pPr>
      <w:r>
        <w:continuationSeparator/>
      </w:r>
    </w:p>
  </w:footnote>
  <w:footnote w:id="1">
    <w:p w:rsidR="00590A61" w:rsidRDefault="00CF3BB4">
      <w:pPr>
        <w:spacing w:after="0" w:line="240" w:lineRule="auto"/>
        <w:jc w:val="both"/>
        <w:rPr>
          <w:sz w:val="20"/>
          <w:szCs w:val="20"/>
        </w:rPr>
      </w:pPr>
      <w:r>
        <w:rPr>
          <w:vertAlign w:val="superscript"/>
        </w:rPr>
        <w:footnoteRef/>
      </w:r>
      <w:r>
        <w:rPr>
          <w:sz w:val="20"/>
          <w:szCs w:val="20"/>
        </w:rPr>
        <w:t xml:space="preserve"> ONU Mujeres (2012). </w:t>
      </w:r>
      <w:r>
        <w:rPr>
          <w:i/>
          <w:iCs/>
          <w:sz w:val="20"/>
          <w:szCs w:val="20"/>
        </w:rPr>
        <w:t>La economía feminista desde América Latina: Una hoja de ruta sobre los debates actuales en la región</w:t>
      </w:r>
      <w:r>
        <w:rPr>
          <w:sz w:val="20"/>
          <w:szCs w:val="20"/>
        </w:rPr>
        <w:t>.</w:t>
      </w:r>
    </w:p>
  </w:footnote>
  <w:footnote w:id="2">
    <w:p w:rsidR="00590A61" w:rsidRDefault="00CF3BB4">
      <w:pPr>
        <w:spacing w:after="0" w:line="240" w:lineRule="auto"/>
        <w:jc w:val="both"/>
        <w:rPr>
          <w:sz w:val="20"/>
          <w:szCs w:val="20"/>
        </w:rPr>
      </w:pPr>
      <w:r>
        <w:rPr>
          <w:vertAlign w:val="superscript"/>
        </w:rPr>
        <w:footnoteRef/>
      </w:r>
      <w:r>
        <w:rPr>
          <w:sz w:val="20"/>
          <w:szCs w:val="20"/>
        </w:rPr>
        <w:t xml:space="preserve"> Escuela Nacional Sindical (2015). </w:t>
      </w:r>
      <w:r>
        <w:rPr>
          <w:i/>
          <w:iCs/>
          <w:sz w:val="20"/>
          <w:szCs w:val="20"/>
        </w:rPr>
        <w:t>De cuidados y descuidos: l</w:t>
      </w:r>
      <w:r>
        <w:rPr>
          <w:i/>
          <w:iCs/>
          <w:sz w:val="20"/>
          <w:szCs w:val="20"/>
        </w:rPr>
        <w:t>a economía del cuidado en Colombia y perspectivas de política pública</w:t>
      </w:r>
      <w:r>
        <w:rPr>
          <w:sz w:val="20"/>
          <w:szCs w:val="20"/>
        </w:rPr>
        <w:t>.</w:t>
      </w:r>
    </w:p>
  </w:footnote>
  <w:footnote w:id="3">
    <w:p w:rsidR="00590A61" w:rsidRDefault="00CF3BB4">
      <w:pPr>
        <w:spacing w:after="0" w:line="240" w:lineRule="auto"/>
        <w:jc w:val="both"/>
        <w:rPr>
          <w:sz w:val="20"/>
          <w:szCs w:val="20"/>
        </w:rPr>
      </w:pPr>
      <w:r>
        <w:rPr>
          <w:vertAlign w:val="superscript"/>
        </w:rPr>
        <w:footnoteRef/>
      </w:r>
      <w:r>
        <w:rPr>
          <w:sz w:val="20"/>
          <w:szCs w:val="20"/>
        </w:rPr>
        <w:t xml:space="preserve"> Departamento Administrativo Nacional de Estadística - DANE (2018). </w:t>
      </w:r>
      <w:r>
        <w:rPr>
          <w:i/>
          <w:iCs/>
          <w:sz w:val="20"/>
          <w:szCs w:val="20"/>
        </w:rPr>
        <w:t>INVESTIGAS: Estudios innovadores sobre economía, género e indicadores</w:t>
      </w:r>
      <w:r>
        <w:rPr>
          <w:sz w:val="20"/>
          <w:szCs w:val="20"/>
        </w:rPr>
        <w:t>.</w:t>
      </w:r>
    </w:p>
  </w:footnote>
  <w:footnote w:id="4">
    <w:p w:rsidR="00590A61" w:rsidRDefault="00CF3BB4">
      <w:pPr>
        <w:spacing w:after="0" w:line="240" w:lineRule="auto"/>
        <w:rPr>
          <w:sz w:val="20"/>
          <w:szCs w:val="20"/>
        </w:rPr>
      </w:pPr>
      <w:r>
        <w:rPr>
          <w:vertAlign w:val="superscript"/>
        </w:rPr>
        <w:footnoteRef/>
      </w:r>
      <w:r>
        <w:rPr>
          <w:sz w:val="20"/>
          <w:szCs w:val="20"/>
        </w:rPr>
        <w:t xml:space="preserve"> </w:t>
      </w:r>
      <w:proofErr w:type="spellStart"/>
      <w:r>
        <w:rPr>
          <w:sz w:val="20"/>
          <w:szCs w:val="20"/>
        </w:rPr>
        <w:t>Ibidem</w:t>
      </w:r>
      <w:proofErr w:type="spellEnd"/>
    </w:p>
  </w:footnote>
  <w:footnote w:id="5">
    <w:p w:rsidR="00590A61" w:rsidRDefault="00CF3BB4">
      <w:pPr>
        <w:spacing w:after="0" w:line="240" w:lineRule="auto"/>
        <w:jc w:val="both"/>
        <w:rPr>
          <w:sz w:val="20"/>
          <w:szCs w:val="20"/>
        </w:rPr>
      </w:pPr>
      <w:r>
        <w:rPr>
          <w:vertAlign w:val="superscript"/>
        </w:rPr>
        <w:footnoteRef/>
      </w:r>
      <w:r>
        <w:rPr>
          <w:sz w:val="20"/>
          <w:szCs w:val="20"/>
        </w:rPr>
        <w:t xml:space="preserve"> DANE (2023).  Cuenta de producción</w:t>
      </w:r>
      <w:r>
        <w:rPr>
          <w:sz w:val="20"/>
          <w:szCs w:val="20"/>
        </w:rPr>
        <w:t xml:space="preserve"> y generación del ingreso del Trabajo Doméstico y de Cuidado no remunerado (TDCNR) 2021 provisional. Disponible en: </w:t>
      </w:r>
      <w:hyperlink r:id="rId1">
        <w:r>
          <w:rPr>
            <w:color w:val="1155CC"/>
            <w:sz w:val="20"/>
            <w:szCs w:val="20"/>
            <w:u w:val="single"/>
          </w:rPr>
          <w:t>https://www.dane.gov.co/files/operaciones/CSEC/bol-CSEC</w:t>
        </w:r>
        <w:r>
          <w:rPr>
            <w:color w:val="1155CC"/>
            <w:sz w:val="20"/>
            <w:szCs w:val="20"/>
            <w:u w:val="single"/>
          </w:rPr>
          <w:t>-2021p.pdf</w:t>
        </w:r>
      </w:hyperlink>
      <w:r>
        <w:rPr>
          <w:sz w:val="20"/>
          <w:szCs w:val="20"/>
        </w:rPr>
        <w:t xml:space="preserve"> </w:t>
      </w:r>
    </w:p>
  </w:footnote>
  <w:footnote w:id="6">
    <w:p w:rsidR="00590A61" w:rsidRDefault="00CF3BB4">
      <w:pPr>
        <w:spacing w:after="0" w:line="240" w:lineRule="auto"/>
        <w:jc w:val="both"/>
        <w:rPr>
          <w:sz w:val="20"/>
          <w:szCs w:val="20"/>
        </w:rPr>
      </w:pPr>
      <w:r>
        <w:rPr>
          <w:vertAlign w:val="superscript"/>
        </w:rPr>
        <w:footnoteRef/>
      </w:r>
      <w:r>
        <w:rPr>
          <w:sz w:val="20"/>
          <w:szCs w:val="20"/>
        </w:rPr>
        <w:t xml:space="preserve"> Departamento Administrativo Nacional de Estadística - DANE (2018). </w:t>
      </w:r>
      <w:r>
        <w:rPr>
          <w:i/>
          <w:iCs/>
          <w:sz w:val="20"/>
          <w:szCs w:val="20"/>
        </w:rPr>
        <w:t>INVESTIGAS: Estudios innovadores sobre economía, género e indicadores</w:t>
      </w:r>
      <w:r>
        <w:rPr>
          <w:sz w:val="20"/>
          <w:szCs w:val="20"/>
        </w:rPr>
        <w:t>.</w:t>
      </w:r>
    </w:p>
  </w:footnote>
  <w:footnote w:id="7">
    <w:p w:rsidR="00590A61" w:rsidRDefault="00CF3BB4">
      <w:pPr>
        <w:spacing w:after="0" w:line="240" w:lineRule="auto"/>
        <w:rPr>
          <w:sz w:val="20"/>
          <w:szCs w:val="20"/>
        </w:rPr>
      </w:pPr>
      <w:r>
        <w:rPr>
          <w:vertAlign w:val="superscript"/>
        </w:rPr>
        <w:footnoteRef/>
      </w:r>
      <w:r>
        <w:rPr>
          <w:sz w:val="20"/>
          <w:szCs w:val="20"/>
        </w:rPr>
        <w:t xml:space="preserve">  DANE, Encuesta Nacional de Uso del Tiempo - ENUT, 2020-2021</w:t>
      </w:r>
    </w:p>
  </w:footnote>
  <w:footnote w:id="8">
    <w:p w:rsidR="00590A61" w:rsidRDefault="00CF3BB4">
      <w:pPr>
        <w:spacing w:after="0" w:line="276" w:lineRule="auto"/>
        <w:jc w:val="both"/>
        <w:rPr>
          <w:sz w:val="20"/>
          <w:szCs w:val="20"/>
        </w:rPr>
      </w:pPr>
      <w:r>
        <w:rPr>
          <w:vertAlign w:val="superscript"/>
        </w:rPr>
        <w:footnoteRef/>
      </w:r>
      <w:r>
        <w:rPr>
          <w:sz w:val="20"/>
          <w:szCs w:val="20"/>
        </w:rPr>
        <w:t xml:space="preserve"> Escuela Nacional Sindical (2015). </w:t>
      </w:r>
      <w:r>
        <w:rPr>
          <w:i/>
          <w:iCs/>
          <w:sz w:val="20"/>
          <w:szCs w:val="20"/>
        </w:rPr>
        <w:t>De cuidados y descuidos: la economía del cuidado en Colombia y perspectivas de política pública</w:t>
      </w:r>
      <w:r>
        <w:rPr>
          <w:sz w:val="20"/>
          <w:szCs w:val="20"/>
        </w:rPr>
        <w:t>.</w:t>
      </w:r>
    </w:p>
  </w:footnote>
  <w:footnote w:id="9">
    <w:p w:rsidR="00590A61" w:rsidRDefault="00CF3BB4">
      <w:pPr>
        <w:spacing w:after="0" w:line="276" w:lineRule="auto"/>
        <w:rPr>
          <w:i/>
          <w:iCs/>
          <w:sz w:val="20"/>
          <w:szCs w:val="20"/>
        </w:rPr>
      </w:pPr>
      <w:r>
        <w:rPr>
          <w:vertAlign w:val="superscript"/>
        </w:rPr>
        <w:footnoteRef/>
      </w:r>
      <w:r>
        <w:rPr>
          <w:sz w:val="20"/>
          <w:szCs w:val="20"/>
        </w:rPr>
        <w:t xml:space="preserve">  DANE (2021). </w:t>
      </w:r>
      <w:r>
        <w:rPr>
          <w:i/>
          <w:iCs/>
          <w:sz w:val="20"/>
          <w:szCs w:val="20"/>
        </w:rPr>
        <w:t>Encuesta Nacional de Uso del Tiempo - ENUT, 2020-2021</w:t>
      </w:r>
    </w:p>
  </w:footnote>
  <w:footnote w:id="10">
    <w:p w:rsidR="00590A61" w:rsidRDefault="00CF3BB4">
      <w:pPr>
        <w:spacing w:after="0" w:line="276" w:lineRule="auto"/>
        <w:rPr>
          <w:sz w:val="20"/>
          <w:szCs w:val="20"/>
        </w:rPr>
      </w:pPr>
      <w:r>
        <w:rPr>
          <w:vertAlign w:val="superscript"/>
        </w:rPr>
        <w:footnoteRef/>
      </w:r>
      <w:r>
        <w:rPr>
          <w:sz w:val="20"/>
          <w:szCs w:val="20"/>
        </w:rPr>
        <w:t xml:space="preserve"> </w:t>
      </w:r>
      <w:proofErr w:type="spellStart"/>
      <w:r>
        <w:rPr>
          <w:sz w:val="20"/>
          <w:szCs w:val="20"/>
        </w:rPr>
        <w:t>Ibidem</w:t>
      </w:r>
      <w:proofErr w:type="spellEnd"/>
      <w:r>
        <w:rPr>
          <w:sz w:val="20"/>
          <w:szCs w:val="20"/>
        </w:rPr>
        <w:t>.</w:t>
      </w:r>
    </w:p>
  </w:footnote>
  <w:footnote w:id="11">
    <w:p w:rsidR="00590A61" w:rsidRDefault="00CF3BB4">
      <w:pPr>
        <w:spacing w:after="0" w:line="276" w:lineRule="auto"/>
        <w:jc w:val="both"/>
        <w:rPr>
          <w:sz w:val="20"/>
          <w:szCs w:val="20"/>
        </w:rPr>
      </w:pPr>
      <w:r>
        <w:rPr>
          <w:vertAlign w:val="superscript"/>
        </w:rPr>
        <w:footnoteRef/>
      </w:r>
      <w:r>
        <w:rPr>
          <w:sz w:val="20"/>
          <w:szCs w:val="20"/>
        </w:rPr>
        <w:t xml:space="preserve"> Departamento Administrativo Nacional de Estadística - DANE (2018). </w:t>
      </w:r>
      <w:r>
        <w:rPr>
          <w:i/>
          <w:iCs/>
          <w:sz w:val="20"/>
          <w:szCs w:val="20"/>
        </w:rPr>
        <w:t>INVESTIGAS</w:t>
      </w:r>
      <w:r>
        <w:rPr>
          <w:i/>
          <w:iCs/>
          <w:sz w:val="20"/>
          <w:szCs w:val="20"/>
        </w:rPr>
        <w:t>: Estudios innovadores sobre economía, género e indicadores</w:t>
      </w:r>
      <w:r>
        <w:rPr>
          <w:sz w:val="20"/>
          <w:szCs w:val="20"/>
        </w:rPr>
        <w:t>.</w:t>
      </w:r>
    </w:p>
  </w:footnote>
  <w:footnote w:id="12">
    <w:p w:rsidR="00590A61" w:rsidRDefault="00CF3BB4">
      <w:pPr>
        <w:spacing w:after="0" w:line="276" w:lineRule="auto"/>
        <w:jc w:val="both"/>
        <w:rPr>
          <w:sz w:val="20"/>
          <w:szCs w:val="20"/>
        </w:rPr>
      </w:pPr>
      <w:r>
        <w:rPr>
          <w:vertAlign w:val="superscript"/>
        </w:rPr>
        <w:footnoteRef/>
      </w:r>
      <w:r>
        <w:rPr>
          <w:sz w:val="20"/>
          <w:szCs w:val="20"/>
        </w:rPr>
        <w:t>Departamento Administrativo Nacional de Estadística - DANE (2025</w:t>
      </w:r>
      <w:proofErr w:type="gramStart"/>
      <w:r>
        <w:rPr>
          <w:sz w:val="20"/>
          <w:szCs w:val="20"/>
        </w:rPr>
        <w:t>).Boletín</w:t>
      </w:r>
      <w:proofErr w:type="gramEnd"/>
      <w:r>
        <w:rPr>
          <w:sz w:val="20"/>
          <w:szCs w:val="20"/>
        </w:rPr>
        <w:t xml:space="preserve"> técnico del 10 de septiembre de 2025 sobre mercado laboral </w:t>
      </w:r>
      <w:proofErr w:type="spellStart"/>
      <w:r>
        <w:rPr>
          <w:sz w:val="20"/>
          <w:szCs w:val="20"/>
        </w:rPr>
        <w:t>segun</w:t>
      </w:r>
      <w:proofErr w:type="spellEnd"/>
      <w:r>
        <w:rPr>
          <w:sz w:val="20"/>
          <w:szCs w:val="20"/>
        </w:rPr>
        <w:t xml:space="preserve"> sexo. Disponible en: </w:t>
      </w:r>
      <w:hyperlink r:id="rId2">
        <w:r>
          <w:rPr>
            <w:color w:val="1155CC"/>
            <w:sz w:val="20"/>
            <w:szCs w:val="20"/>
            <w:u w:val="single"/>
          </w:rPr>
          <w:t>https://www.dane.gov.co/files/operaciones/GEIH/bol-GEIHMLS-may-jul2025.pdf</w:t>
        </w:r>
      </w:hyperlink>
      <w:r>
        <w:rPr>
          <w:sz w:val="20"/>
          <w:szCs w:val="20"/>
        </w:rPr>
        <w:t xml:space="preserve"> </w:t>
      </w:r>
    </w:p>
  </w:footnote>
  <w:footnote w:id="13">
    <w:p w:rsidR="00590A61" w:rsidRDefault="00CF3BB4">
      <w:pPr>
        <w:spacing w:after="0" w:line="276" w:lineRule="auto"/>
        <w:jc w:val="both"/>
        <w:rPr>
          <w:i/>
          <w:iCs/>
          <w:sz w:val="20"/>
          <w:szCs w:val="20"/>
        </w:rPr>
      </w:pPr>
      <w:r>
        <w:rPr>
          <w:vertAlign w:val="superscript"/>
        </w:rPr>
        <w:footnoteRef/>
      </w:r>
      <w:r>
        <w:rPr>
          <w:sz w:val="20"/>
          <w:szCs w:val="20"/>
        </w:rPr>
        <w:t xml:space="preserve"> Sentencia C-032 de 2021: </w:t>
      </w:r>
      <w:r>
        <w:rPr>
          <w:i/>
          <w:iCs/>
          <w:sz w:val="20"/>
          <w:szCs w:val="20"/>
        </w:rPr>
        <w:t>“Por su parte, el derecho internacional de los derechos humanos bajo el reconocimiento de que la discriminación hacia la mujer aún permea a las sociedades, y la distinción entre hombres y mujeres a través de una definición de roles estereotipados y las est</w:t>
      </w:r>
      <w:r>
        <w:rPr>
          <w:i/>
          <w:iCs/>
          <w:sz w:val="20"/>
          <w:szCs w:val="20"/>
        </w:rPr>
        <w:t>imaciones de la valía del ser humano fundadas en el género, para atribuir un mayor valor a los hombres, son concepciones no superadas, prevé una serie de instrumentos y define múltiples obligaciones para los Estados dirigidas a lograr que la igualdad entre</w:t>
      </w:r>
      <w:r>
        <w:rPr>
          <w:i/>
          <w:iCs/>
          <w:sz w:val="20"/>
          <w:szCs w:val="20"/>
        </w:rPr>
        <w:t xml:space="preserve"> hombres y mujeres sea efectiva. Los instrumentos han hecho énfasis en la erradicación de la violencia y la discriminación en contra de la mujer, las cuales adoptan diversas formas.</w:t>
      </w:r>
    </w:p>
    <w:p w:rsidR="00590A61" w:rsidRDefault="00CF3BB4">
      <w:pPr>
        <w:pBdr>
          <w:top w:val="nil"/>
          <w:left w:val="nil"/>
          <w:bottom w:val="nil"/>
          <w:right w:val="nil"/>
          <w:between w:val="nil"/>
        </w:pBdr>
        <w:spacing w:after="0" w:line="276" w:lineRule="auto"/>
        <w:jc w:val="both"/>
        <w:rPr>
          <w:color w:val="000000"/>
          <w:sz w:val="20"/>
          <w:szCs w:val="20"/>
        </w:rPr>
      </w:pPr>
      <w:r>
        <w:rPr>
          <w:i/>
          <w:iCs/>
          <w:color w:val="000000"/>
          <w:sz w:val="20"/>
          <w:szCs w:val="20"/>
        </w:rPr>
        <w:t>En lo que respecta a los roles en la familia y las actividades de cuidado,</w:t>
      </w:r>
      <w:r>
        <w:rPr>
          <w:i/>
          <w:iCs/>
          <w:color w:val="000000"/>
          <w:sz w:val="20"/>
          <w:szCs w:val="20"/>
        </w:rPr>
        <w:t xml:space="preserve"> la Convención sobre la Eliminación de Todas las Formas de Violencia contra la Mujer (CEDAW) parte de precisar que el papel de la mujer en la procreación no debe ser causa de discriminación y que este no altera la responsabilidad conjunta del padre y la ma</w:t>
      </w:r>
      <w:r>
        <w:rPr>
          <w:i/>
          <w:iCs/>
          <w:color w:val="000000"/>
          <w:sz w:val="20"/>
          <w:szCs w:val="20"/>
        </w:rPr>
        <w:t>dre en la familia y en la educación de los hijos”</w:t>
      </w:r>
    </w:p>
  </w:footnote>
  <w:footnote w:id="14">
    <w:p w:rsidR="00590A61" w:rsidRDefault="00CF3BB4">
      <w:pPr>
        <w:pBdr>
          <w:top w:val="nil"/>
          <w:left w:val="nil"/>
          <w:bottom w:val="nil"/>
          <w:right w:val="nil"/>
          <w:between w:val="nil"/>
        </w:pBdr>
        <w:spacing w:after="0" w:line="276" w:lineRule="auto"/>
        <w:jc w:val="both"/>
        <w:rPr>
          <w:color w:val="000000"/>
          <w:sz w:val="20"/>
          <w:szCs w:val="20"/>
        </w:rPr>
      </w:pPr>
      <w:r>
        <w:rPr>
          <w:vertAlign w:val="superscript"/>
        </w:rPr>
        <w:footnoteRef/>
      </w:r>
      <w:r>
        <w:rPr>
          <w:color w:val="000000"/>
          <w:sz w:val="20"/>
          <w:szCs w:val="20"/>
        </w:rPr>
        <w:t xml:space="preserve"> </w:t>
      </w:r>
      <w:r>
        <w:rPr>
          <w:i/>
          <w:iCs/>
          <w:color w:val="000000"/>
          <w:sz w:val="20"/>
          <w:szCs w:val="20"/>
        </w:rPr>
        <w:t>“</w:t>
      </w:r>
      <w:r>
        <w:rPr>
          <w:i/>
          <w:iCs/>
          <w:color w:val="000000"/>
          <w:sz w:val="20"/>
          <w:szCs w:val="20"/>
          <w:highlight w:val="white"/>
        </w:rPr>
        <w:t xml:space="preserve">En suma, y de conformidad con lo referido, la carga inequitativa de trabajo de cuidado no remunerado que asumen las mujeres acentúa la brecha de género en el ingreso y participación laboral y, en general, limita el ejercicio de sus derechos en igualdad de </w:t>
      </w:r>
      <w:r>
        <w:rPr>
          <w:i/>
          <w:iCs/>
          <w:color w:val="000000"/>
          <w:sz w:val="20"/>
          <w:szCs w:val="20"/>
          <w:highlight w:val="white"/>
        </w:rPr>
        <w:t>condiciones frente a los hombres.”</w:t>
      </w:r>
    </w:p>
  </w:footnote>
  <w:footnote w:id="15">
    <w:p w:rsidR="00590A61" w:rsidRDefault="00CF3BB4">
      <w:pPr>
        <w:spacing w:after="0" w:line="276" w:lineRule="auto"/>
        <w:jc w:val="both"/>
        <w:rPr>
          <w:rFonts w:ascii="Arial" w:eastAsia="Arial" w:hAnsi="Arial" w:cs="Arial"/>
          <w:sz w:val="20"/>
          <w:szCs w:val="20"/>
        </w:rPr>
      </w:pPr>
      <w:r>
        <w:rPr>
          <w:vertAlign w:val="superscript"/>
        </w:rPr>
        <w:footnoteRef/>
      </w:r>
      <w:r>
        <w:rPr>
          <w:sz w:val="20"/>
          <w:szCs w:val="20"/>
        </w:rPr>
        <w:t xml:space="preserve"> Corte Constitucional. Sentencia C-203/19. Magistrada Ponente: Cristina Pardo.</w:t>
      </w:r>
    </w:p>
  </w:footnote>
  <w:footnote w:id="16">
    <w:p w:rsidR="00590A61" w:rsidRDefault="00CF3B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Artículo 61 Ley 19.947 de 2004. </w:t>
      </w:r>
      <w:hyperlink r:id="rId3">
        <w:r>
          <w:rPr>
            <w:color w:val="0000FF"/>
            <w:sz w:val="20"/>
            <w:szCs w:val="20"/>
            <w:u w:val="single"/>
          </w:rPr>
          <w:t>https://oig.cepal.org/si</w:t>
        </w:r>
        <w:r>
          <w:rPr>
            <w:color w:val="0000FF"/>
            <w:sz w:val="20"/>
            <w:szCs w:val="20"/>
            <w:u w:val="single"/>
          </w:rPr>
          <w:t>tes/default/files/2004_ley19947_chl.pdf</w:t>
        </w:r>
      </w:hyperlink>
      <w:r>
        <w:rPr>
          <w:color w:val="000000"/>
          <w:sz w:val="20"/>
          <w:szCs w:val="20"/>
        </w:rPr>
        <w:t xml:space="preserve"> </w:t>
      </w:r>
    </w:p>
  </w:footnote>
  <w:footnote w:id="17">
    <w:p w:rsidR="00590A61" w:rsidRDefault="00CF3B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CEPAL (2010). Consenso de Brasilia.  Conferencia Regional sobre la mujer de América Latina y el Caribe</w:t>
      </w:r>
    </w:p>
  </w:footnote>
  <w:footnote w:id="18">
    <w:p w:rsidR="00590A61" w:rsidRDefault="00CF3B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CEPAL (2007). Consenso de Quito. X Conferencia Regional sobre la mujer de América Latina y el Caribe.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20C9"/>
    <w:multiLevelType w:val="multilevel"/>
    <w:tmpl w:val="F1142E6C"/>
    <w:lvl w:ilvl="0">
      <w:start w:val="1"/>
      <w:numFmt w:val="lowerLetter"/>
      <w:lvlText w:val="%1."/>
      <w:lvlJc w:val="left"/>
      <w:pPr>
        <w:ind w:left="720" w:hanging="360"/>
      </w:pPr>
      <w:rPr>
        <w:rFonts w:ascii="Arial" w:eastAsia="Arial" w:hAnsi="Arial" w:cs="Arial"/>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5152CBD"/>
    <w:multiLevelType w:val="multilevel"/>
    <w:tmpl w:val="EEE0BC1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234C8D"/>
    <w:multiLevelType w:val="multilevel"/>
    <w:tmpl w:val="FF120A1A"/>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D55000"/>
    <w:multiLevelType w:val="multilevel"/>
    <w:tmpl w:val="A83CBAC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7C3207"/>
    <w:multiLevelType w:val="multilevel"/>
    <w:tmpl w:val="EE5E2CF4"/>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8322251"/>
    <w:multiLevelType w:val="multilevel"/>
    <w:tmpl w:val="4A04EA04"/>
    <w:lvl w:ilvl="0">
      <w:start w:val="3"/>
      <w:numFmt w:val="decimal"/>
      <w:lvlText w:val="%1."/>
      <w:lvlJc w:val="left"/>
      <w:pPr>
        <w:ind w:left="360" w:hanging="360"/>
      </w:pPr>
      <w:rPr>
        <w:rFonts w:ascii="Calibri" w:eastAsia="Calibri" w:hAnsi="Calibri" w:cs="Calibri"/>
        <w:b/>
        <w:bCs/>
      </w:rPr>
    </w:lvl>
    <w:lvl w:ilvl="1">
      <w:start w:val="1"/>
      <w:numFmt w:val="decimal"/>
      <w:lvlText w:val="%1.%2."/>
      <w:lvlJc w:val="left"/>
      <w:pPr>
        <w:ind w:left="7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69680EB0"/>
    <w:multiLevelType w:val="multilevel"/>
    <w:tmpl w:val="5654668A"/>
    <w:lvl w:ilvl="0">
      <w:start w:val="1"/>
      <w:numFmt w:val="decimal"/>
      <w:lvlText w:val="%1."/>
      <w:lvlJc w:val="left"/>
      <w:pPr>
        <w:ind w:left="720" w:hanging="360"/>
      </w:pPr>
      <w:rPr>
        <w:b/>
        <w:bCs/>
      </w:rPr>
    </w:lvl>
    <w:lvl w:ilvl="1">
      <w:start w:val="3"/>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num w:numId="1">
    <w:abstractNumId w:val="4"/>
  </w:num>
  <w:num w:numId="2">
    <w:abstractNumId w:val="6"/>
  </w:num>
  <w:num w:numId="3">
    <w:abstractNumId w:val="3"/>
  </w:num>
  <w:num w:numId="4">
    <w:abstractNumId w:val="1"/>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A61"/>
    <w:rsid w:val="002C2C64"/>
    <w:rsid w:val="00590A61"/>
    <w:rsid w:val="009E3224"/>
    <w:rsid w:val="00CF3BB4"/>
    <w:rsid w:val="00F20B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7BC6A"/>
  <w15:docId w15:val="{83E24C9D-6F58-4752-8181-7C220E27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paragraph" w:styleId="Subttulo">
    <w:name w:val="Subtitle"/>
    <w:basedOn w:val="Normal"/>
    <w:next w:val="Normal"/>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F20B32"/>
    <w:pPr>
      <w:spacing w:after="0" w:line="240" w:lineRule="auto"/>
    </w:pPr>
  </w:style>
  <w:style w:type="paragraph" w:styleId="Textodeglobo">
    <w:name w:val="Balloon Text"/>
    <w:basedOn w:val="Normal"/>
    <w:link w:val="TextodegloboCar"/>
    <w:uiPriority w:val="99"/>
    <w:semiHidden/>
    <w:unhideWhenUsed/>
    <w:rsid w:val="00F20B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0B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oig.cepal.org/sites/default/files/2004_ley19947_chl.pdf" TargetMode="External"/><Relationship Id="rId2" Type="http://schemas.openxmlformats.org/officeDocument/2006/relationships/hyperlink" Target="https://www.dane.gov.co/files/operaciones/GEIH/bol-GEIHMLS-may-jul2025.pdf" TargetMode="External"/><Relationship Id="rId1" Type="http://schemas.openxmlformats.org/officeDocument/2006/relationships/hyperlink" Target="https://www.dane.gov.co/files/operaciones/CSEC/bol-CSEC-2021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3CAtkMIg6wMad8mQZc3Q2q2UQ==">CgMxLjAyDmguM3djazk5dm51N2U5Mg1oLmVvOXJtcGRsdmQyMg5oLm84bWxxcXZueDZ0YzINaC5vbWg3NnVvcmhqbDIOaC5raDV1eG0ybXBwZzU4AHIhMWhMSEZ1ZkNUc19jRFZja2ktV1pQQTltT3E1bkZ1ZllZ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6773</Words>
  <Characters>37256</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Arturo Cortes Valencia</dc:creator>
  <cp:lastModifiedBy>Diego Arturo Cortes Valencia</cp:lastModifiedBy>
  <cp:revision>2</cp:revision>
  <cp:lastPrinted>2026-04-14T21:00:00Z</cp:lastPrinted>
  <dcterms:created xsi:type="dcterms:W3CDTF">2026-04-14T23:05:00Z</dcterms:created>
  <dcterms:modified xsi:type="dcterms:W3CDTF">2026-04-14T23:05:00Z</dcterms:modified>
</cp:coreProperties>
</file>