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6396" w14:textId="78403526" w:rsidR="00715DFE" w:rsidRDefault="00715DFE" w:rsidP="00501283">
      <w:pPr>
        <w:jc w:val="both"/>
        <w:rPr>
          <w:rFonts w:ascii="Century Gothic" w:hAnsi="Century Gothic" w:cstheme="minorHAnsi"/>
          <w:b/>
          <w:sz w:val="22"/>
          <w:szCs w:val="22"/>
        </w:rPr>
      </w:pPr>
    </w:p>
    <w:p w14:paraId="5243F3D5" w14:textId="77777777" w:rsidR="00715DFE" w:rsidRPr="004B53B2" w:rsidRDefault="00715DFE" w:rsidP="00501283">
      <w:pPr>
        <w:jc w:val="both"/>
        <w:rPr>
          <w:rFonts w:ascii="Century Gothic" w:hAnsi="Century Gothic" w:cstheme="minorHAnsi"/>
          <w:b/>
        </w:rPr>
      </w:pPr>
    </w:p>
    <w:p w14:paraId="082E9B77" w14:textId="5C541068" w:rsidR="000D4E04" w:rsidRPr="000D4E04" w:rsidRDefault="000D4E04" w:rsidP="000D4E04">
      <w:pPr>
        <w:jc w:val="both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</w:rPr>
        <w:t>T</w:t>
      </w:r>
      <w:r w:rsidRPr="004B53B2">
        <w:rPr>
          <w:rFonts w:ascii="Century Gothic" w:hAnsi="Century Gothic" w:cstheme="minorHAnsi"/>
          <w:b/>
        </w:rPr>
        <w:t xml:space="preserve">exto aprobado en la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omisión </w:t>
      </w:r>
      <w:r>
        <w:rPr>
          <w:rFonts w:ascii="Century Gothic" w:hAnsi="Century Gothic" w:cstheme="minorHAnsi"/>
          <w:b/>
        </w:rPr>
        <w:t>P</w:t>
      </w:r>
      <w:r w:rsidRPr="004B53B2">
        <w:rPr>
          <w:rFonts w:ascii="Century Gothic" w:hAnsi="Century Gothic" w:cstheme="minorHAnsi"/>
          <w:b/>
        </w:rPr>
        <w:t xml:space="preserve">rimera de la </w:t>
      </w:r>
      <w:r>
        <w:rPr>
          <w:rFonts w:ascii="Century Gothic" w:hAnsi="Century Gothic" w:cstheme="minorHAnsi"/>
          <w:b/>
        </w:rPr>
        <w:t>H</w:t>
      </w:r>
      <w:r w:rsidRPr="004B53B2">
        <w:rPr>
          <w:rFonts w:ascii="Century Gothic" w:hAnsi="Century Gothic" w:cstheme="minorHAnsi"/>
          <w:b/>
        </w:rPr>
        <w:t xml:space="preserve">onorable </w:t>
      </w:r>
      <w:r>
        <w:rPr>
          <w:rFonts w:ascii="Century Gothic" w:hAnsi="Century Gothic" w:cstheme="minorHAnsi"/>
          <w:b/>
        </w:rPr>
        <w:t>C</w:t>
      </w:r>
      <w:r w:rsidRPr="004B53B2">
        <w:rPr>
          <w:rFonts w:ascii="Century Gothic" w:hAnsi="Century Gothic" w:cstheme="minorHAnsi"/>
          <w:b/>
        </w:rPr>
        <w:t xml:space="preserve">ámara de </w:t>
      </w:r>
      <w:r>
        <w:rPr>
          <w:rFonts w:ascii="Century Gothic" w:hAnsi="Century Gothic" w:cstheme="minorHAnsi"/>
          <w:b/>
        </w:rPr>
        <w:t>R</w:t>
      </w:r>
      <w:r w:rsidRPr="004B53B2">
        <w:rPr>
          <w:rFonts w:ascii="Century Gothic" w:hAnsi="Century Gothic" w:cstheme="minorHAnsi"/>
          <w:b/>
        </w:rPr>
        <w:t xml:space="preserve">epresentantes en primer debate del </w:t>
      </w:r>
      <w:r>
        <w:rPr>
          <w:rFonts w:ascii="Century Gothic" w:hAnsi="Century Gothic" w:cstheme="minorHAnsi"/>
          <w:b/>
        </w:rPr>
        <w:t>P</w:t>
      </w:r>
      <w:proofErr w:type="spellStart"/>
      <w:r w:rsidRPr="004B53B2">
        <w:rPr>
          <w:rFonts w:ascii="Century Gothic" w:hAnsi="Century Gothic" w:cstheme="minorHAnsi"/>
          <w:b/>
          <w:lang w:val="es-CO"/>
        </w:rPr>
        <w:t>royecto</w:t>
      </w:r>
      <w:proofErr w:type="spellEnd"/>
      <w:r w:rsidRPr="004B53B2">
        <w:rPr>
          <w:rFonts w:ascii="Century Gothic" w:hAnsi="Century Gothic" w:cstheme="minorHAnsi"/>
          <w:b/>
          <w:lang w:val="es-CO"/>
        </w:rPr>
        <w:t xml:space="preserve"> de </w:t>
      </w:r>
      <w:r>
        <w:rPr>
          <w:rFonts w:ascii="Century Gothic" w:hAnsi="Century Gothic" w:cstheme="minorHAnsi"/>
          <w:b/>
          <w:lang w:val="es-CO"/>
        </w:rPr>
        <w:t>L</w:t>
      </w:r>
      <w:r w:rsidRPr="004B53B2">
        <w:rPr>
          <w:rFonts w:ascii="Century Gothic" w:hAnsi="Century Gothic" w:cstheme="minorHAnsi"/>
          <w:b/>
          <w:lang w:val="es-CO"/>
        </w:rPr>
        <w:t xml:space="preserve">ey </w:t>
      </w:r>
      <w:r>
        <w:rPr>
          <w:rFonts w:ascii="Century Gothic" w:hAnsi="Century Gothic" w:cstheme="minorHAnsi"/>
          <w:b/>
          <w:lang w:val="es-CO"/>
        </w:rPr>
        <w:t>N</w:t>
      </w:r>
      <w:r w:rsidRPr="004B53B2">
        <w:rPr>
          <w:rFonts w:ascii="Century Gothic" w:hAnsi="Century Gothic" w:cstheme="minorHAnsi"/>
          <w:b/>
          <w:lang w:val="es-CO"/>
        </w:rPr>
        <w:t xml:space="preserve">o. </w:t>
      </w:r>
      <w:r>
        <w:rPr>
          <w:rFonts w:ascii="Century Gothic" w:hAnsi="Century Gothic" w:cstheme="minorHAnsi"/>
          <w:b/>
          <w:lang w:val="es-CO"/>
        </w:rPr>
        <w:t>353</w:t>
      </w:r>
      <w:r w:rsidRPr="004B53B2">
        <w:rPr>
          <w:rFonts w:ascii="Century Gothic" w:hAnsi="Century Gothic" w:cstheme="minorHAnsi"/>
          <w:b/>
          <w:lang w:val="es-CO"/>
        </w:rPr>
        <w:t xml:space="preserve"> de 2025 </w:t>
      </w:r>
      <w:r>
        <w:rPr>
          <w:rFonts w:ascii="Century Gothic" w:hAnsi="Century Gothic" w:cstheme="minorHAnsi"/>
          <w:b/>
          <w:lang w:val="es-CO"/>
        </w:rPr>
        <w:t>C</w:t>
      </w:r>
      <w:r w:rsidRPr="004B53B2">
        <w:rPr>
          <w:rFonts w:ascii="Century Gothic" w:hAnsi="Century Gothic" w:cstheme="minorHAnsi"/>
          <w:b/>
          <w:lang w:val="es-CO"/>
        </w:rPr>
        <w:t>ámara</w:t>
      </w:r>
      <w:r>
        <w:rPr>
          <w:rFonts w:ascii="Century Gothic" w:hAnsi="Century Gothic" w:cstheme="minorHAnsi"/>
          <w:b/>
          <w:lang w:val="es-CO"/>
        </w:rPr>
        <w:t xml:space="preserve"> </w:t>
      </w:r>
      <w:r w:rsidRPr="000D4E04">
        <w:rPr>
          <w:rFonts w:ascii="Century Gothic" w:hAnsi="Century Gothic" w:cstheme="minorHAnsi"/>
          <w:b/>
          <w:bCs/>
        </w:rPr>
        <w:t>“</w:t>
      </w:r>
      <w:r w:rsidRPr="000D4E04">
        <w:rPr>
          <w:rFonts w:ascii="Century Gothic" w:hAnsi="Century Gothic" w:cstheme="minorHAnsi"/>
          <w:b/>
          <w:bCs/>
        </w:rPr>
        <w:t>POR LA CUAL SE ESTABLECEN DISPOSICIONES DE REPARACIÓN SIMBÓLICA A LAS VÍCTIMAS DE LA MASACRE DE LAS BANANERAS Y OTRAS FORMAS DE VIOLENCIA ANTISINDICAL Y CONTRA LOS TRABAJADORES DE COLOMBIA”</w:t>
      </w:r>
    </w:p>
    <w:p w14:paraId="68A8E722" w14:textId="7F0ED6CE" w:rsidR="004B53B2" w:rsidRPr="00A449DE" w:rsidRDefault="004B53B2" w:rsidP="004B53B2">
      <w:pPr>
        <w:jc w:val="both"/>
        <w:rPr>
          <w:rFonts w:ascii="Century Gothic" w:hAnsi="Century Gothic" w:cstheme="minorHAnsi"/>
          <w:b/>
        </w:rPr>
      </w:pPr>
    </w:p>
    <w:p w14:paraId="68388BE3" w14:textId="6CDD0DC3" w:rsidR="005816B6" w:rsidRDefault="005816B6" w:rsidP="005816B6">
      <w:pPr>
        <w:jc w:val="both"/>
        <w:rPr>
          <w:rFonts w:ascii="Century Gothic" w:hAnsi="Century Gothic" w:cstheme="minorHAnsi"/>
          <w:b/>
          <w:lang w:val="es"/>
        </w:rPr>
      </w:pPr>
    </w:p>
    <w:p w14:paraId="2D211FFC" w14:textId="77777777" w:rsidR="00715DFE" w:rsidRPr="004B53B2" w:rsidRDefault="00715DFE" w:rsidP="00D94A64">
      <w:pPr>
        <w:rPr>
          <w:rFonts w:ascii="Century Gothic" w:hAnsi="Century Gothic"/>
          <w:b/>
          <w:lang w:val="es-CO"/>
        </w:rPr>
      </w:pPr>
    </w:p>
    <w:p w14:paraId="6C7B873D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El Congreso de Colombia</w:t>
      </w:r>
    </w:p>
    <w:p w14:paraId="5A002FD0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</w:p>
    <w:p w14:paraId="543713C1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</w:p>
    <w:p w14:paraId="5FFDC11B" w14:textId="77777777" w:rsidR="00D94A64" w:rsidRPr="004B53B2" w:rsidRDefault="00D94A64" w:rsidP="00D94A64">
      <w:pPr>
        <w:jc w:val="center"/>
        <w:rPr>
          <w:rFonts w:ascii="Century Gothic" w:hAnsi="Century Gothic"/>
          <w:b/>
          <w:lang w:val="es-CO"/>
        </w:rPr>
      </w:pPr>
      <w:r w:rsidRPr="004B53B2">
        <w:rPr>
          <w:rFonts w:ascii="Century Gothic" w:hAnsi="Century Gothic"/>
          <w:b/>
          <w:lang w:val="es-CO"/>
        </w:rPr>
        <w:t>DECRETA:</w:t>
      </w:r>
    </w:p>
    <w:p w14:paraId="41F1E444" w14:textId="655F8703" w:rsidR="009B4F32" w:rsidRPr="004B53B2" w:rsidRDefault="00F110D8" w:rsidP="004B53B2">
      <w:pPr>
        <w:tabs>
          <w:tab w:val="left" w:pos="1832"/>
        </w:tabs>
        <w:rPr>
          <w:rFonts w:ascii="Century Gothic" w:hAnsi="Century Gothic"/>
          <w:bCs/>
          <w:lang w:val="es-CO"/>
        </w:rPr>
      </w:pPr>
      <w:r w:rsidRPr="004B53B2">
        <w:rPr>
          <w:rFonts w:ascii="Century Gothic" w:hAnsi="Century Gothic"/>
          <w:b/>
          <w:lang w:val="es-CO"/>
        </w:rPr>
        <w:tab/>
      </w:r>
    </w:p>
    <w:p w14:paraId="1C0231ED" w14:textId="77777777" w:rsidR="00FE3C25" w:rsidRPr="00107D39" w:rsidRDefault="00FE3C25" w:rsidP="00FE3C25">
      <w:pPr>
        <w:spacing w:before="100" w:beforeAutospacing="1" w:after="100" w:afterAutospacing="1"/>
        <w:jc w:val="both"/>
        <w:rPr>
          <w:rFonts w:ascii="Century Gothic" w:hAnsi="Century Gothic" w:cs="Arial"/>
        </w:rPr>
      </w:pPr>
      <w:r w:rsidRPr="00107D39">
        <w:rPr>
          <w:rFonts w:ascii="Century Gothic" w:hAnsi="Century Gothic" w:cs="Arial"/>
          <w:b/>
          <w:bCs/>
        </w:rPr>
        <w:t>Artículo 1. Objeto.</w:t>
      </w:r>
      <w:r w:rsidRPr="00107D39">
        <w:rPr>
          <w:rFonts w:ascii="Century Gothic" w:hAnsi="Century Gothic" w:cs="Arial"/>
        </w:rPr>
        <w:t xml:space="preserve"> </w:t>
      </w:r>
      <w:r w:rsidRPr="00107D39">
        <w:rPr>
          <w:rStyle w:val="citation-32"/>
          <w:rFonts w:ascii="Century Gothic" w:hAnsi="Century Gothic" w:cs="Arial"/>
        </w:rPr>
        <w:t xml:space="preserve">La presente ley tiene por objeto </w:t>
      </w:r>
      <w:r w:rsidRPr="00107D39">
        <w:rPr>
          <w:rFonts w:ascii="Century Gothic" w:hAnsi="Century Gothic" w:cs="Arial"/>
        </w:rPr>
        <w:t>establecer disposiciones de reparación simbólica a las víctimas de la masacre de las bananeras</w:t>
      </w:r>
      <w:r w:rsidRPr="00107D39">
        <w:rPr>
          <w:rStyle w:val="citation-32"/>
          <w:rFonts w:ascii="Century Gothic" w:hAnsi="Century Gothic" w:cs="Arial"/>
        </w:rPr>
        <w:t xml:space="preserve"> ocurrida el 6 de diciembre de 1928</w:t>
      </w:r>
      <w:r w:rsidRPr="00107D39">
        <w:rPr>
          <w:rFonts w:ascii="Century Gothic" w:hAnsi="Century Gothic" w:cs="Arial"/>
        </w:rPr>
        <w:t xml:space="preserve"> y otras formas de violencia antisindical y contra los trabajadores de Colombia.</w:t>
      </w:r>
    </w:p>
    <w:p w14:paraId="1B4201CE" w14:textId="77777777" w:rsidR="00FE3C25" w:rsidRPr="00107D39" w:rsidRDefault="00FE3C25" w:rsidP="00FE3C25">
      <w:pPr>
        <w:spacing w:before="100" w:beforeAutospacing="1" w:after="100" w:afterAutospacing="1"/>
        <w:jc w:val="both"/>
        <w:rPr>
          <w:rStyle w:val="citation-28"/>
          <w:rFonts w:ascii="Century Gothic" w:hAnsi="Century Gothic"/>
        </w:rPr>
      </w:pPr>
      <w:r w:rsidRPr="00107D39">
        <w:rPr>
          <w:rStyle w:val="citation-28"/>
          <w:rFonts w:ascii="Century Gothic" w:hAnsi="Century Gothic" w:cs="Arial"/>
          <w:b/>
          <w:bCs/>
        </w:rPr>
        <w:t>Artículo 2. Día Conmemorativo de las Víctimas de la Masacre de las Bananeras.</w:t>
      </w:r>
      <w:r w:rsidRPr="00107D39">
        <w:rPr>
          <w:rStyle w:val="citation-28"/>
          <w:rFonts w:ascii="Century Gothic" w:hAnsi="Century Gothic" w:cs="Arial"/>
        </w:rPr>
        <w:t xml:space="preserve"> Declárese el 6 de diciembre "Día Conmemorativo de las Víctimas de la Masacre de las Bananeras" como un homenaje público a las víctimas y sus familiares, que lucharon por la formalización laboral, las garantías de condiciones dignas para las y los trabajadores y su derecho a la organización sindical, la negociación colectiva, la huelga y la protesta social, como derechos fundamentales.</w:t>
      </w:r>
    </w:p>
    <w:p w14:paraId="4E4BF1DC" w14:textId="77777777" w:rsidR="00FE3C25" w:rsidRPr="00107D39" w:rsidRDefault="00FE3C25" w:rsidP="00FE3C25">
      <w:pPr>
        <w:spacing w:before="100" w:beforeAutospacing="1" w:after="100" w:afterAutospacing="1"/>
        <w:jc w:val="both"/>
        <w:rPr>
          <w:rStyle w:val="citation-28"/>
          <w:rFonts w:ascii="Century Gothic" w:hAnsi="Century Gothic" w:cs="Arial"/>
        </w:rPr>
      </w:pPr>
      <w:r w:rsidRPr="00107D39">
        <w:rPr>
          <w:rStyle w:val="citation-28"/>
          <w:rFonts w:ascii="Century Gothic" w:hAnsi="Century Gothic" w:cs="Arial"/>
          <w:b/>
          <w:bCs/>
        </w:rPr>
        <w:t xml:space="preserve">Artículo 3. Crease la orden al mérito sindical y al liderazgo sindical “Héroes de las bananeras”. </w:t>
      </w:r>
      <w:r w:rsidRPr="00107D39">
        <w:rPr>
          <w:rStyle w:val="citation-28"/>
          <w:rFonts w:ascii="Century Gothic" w:hAnsi="Century Gothic" w:cs="Arial"/>
        </w:rPr>
        <w:t xml:space="preserve">Se crea la orden al mérito sindical a cargo del Ministerio del Trabajo para reconocer anualmente a la organización sindical destacada en la defensa de los intereses de los trabajadores y de la democracia; y, al mérito al o la dirigente sindical que haya dedicado su vida a la defensa de los intereses y derechos de los y las trabajadoras. El Ministerio de Trabajo dispondrá de un periodo de seis meses a partir de la vigencia de la presente ley, para reglamentar lo concerniente a los criterios de escogencia, el procedimiento para la nominación y, la selección del sindicato y el líder o lideresa a ser reconocidos. </w:t>
      </w:r>
    </w:p>
    <w:p w14:paraId="528A5D56" w14:textId="77777777" w:rsidR="00FE3C25" w:rsidRPr="00107D39" w:rsidRDefault="00FE3C25" w:rsidP="00FE3C25">
      <w:pPr>
        <w:spacing w:before="100" w:beforeAutospacing="1" w:after="100" w:afterAutospacing="1"/>
        <w:jc w:val="both"/>
        <w:rPr>
          <w:rStyle w:val="citation-28"/>
          <w:rFonts w:ascii="Century Gothic" w:hAnsi="Century Gothic" w:cs="Arial"/>
        </w:rPr>
      </w:pPr>
      <w:r w:rsidRPr="00107D39">
        <w:rPr>
          <w:rStyle w:val="citation-28"/>
          <w:rFonts w:ascii="Century Gothic" w:hAnsi="Century Gothic" w:cs="Arial"/>
          <w:b/>
          <w:bCs/>
        </w:rPr>
        <w:lastRenderedPageBreak/>
        <w:t xml:space="preserve">Parágrafo 1. </w:t>
      </w:r>
      <w:r w:rsidRPr="00107D39">
        <w:rPr>
          <w:rStyle w:val="citation-28"/>
          <w:rFonts w:ascii="Century Gothic" w:hAnsi="Century Gothic" w:cs="Arial"/>
        </w:rPr>
        <w:t xml:space="preserve">El reconocimiento se realizará cada seis de diciembre con ocasión de la conmemoración oficial del hecho luctuoso. Dicho homenaje consistirá en la entrega de una placa y un pergamino. </w:t>
      </w:r>
    </w:p>
    <w:p w14:paraId="212B92F9" w14:textId="77777777" w:rsidR="00FE3C25" w:rsidRPr="00107D39" w:rsidRDefault="00FE3C25" w:rsidP="00FE3C25">
      <w:pPr>
        <w:spacing w:before="100" w:beforeAutospacing="1" w:after="100" w:afterAutospacing="1"/>
        <w:jc w:val="both"/>
        <w:rPr>
          <w:rFonts w:ascii="Century Gothic" w:eastAsia="Times New Roman" w:hAnsi="Century Gothic"/>
          <w:lang w:eastAsia="es-MX"/>
        </w:rPr>
      </w:pPr>
      <w:r w:rsidRPr="00107D39">
        <w:rPr>
          <w:rStyle w:val="citation-28"/>
          <w:rFonts w:ascii="Century Gothic" w:hAnsi="Century Gothic" w:cs="Arial"/>
          <w:b/>
          <w:bCs/>
        </w:rPr>
        <w:t xml:space="preserve">Parágrafo 2. </w:t>
      </w:r>
      <w:r w:rsidRPr="00107D39">
        <w:rPr>
          <w:rStyle w:val="citation-28"/>
          <w:rFonts w:ascii="Century Gothic" w:hAnsi="Century Gothic" w:cs="Arial"/>
        </w:rPr>
        <w:t>El comité responsable por la selección del dirigente estará conformado por 5 personas: el Ministro (a) de Trabajo, el (la) Viceministro de relaciones laborales del Ministerio de Trabajo, el Director (a) de derechos Fundamentales del Ministerio de Trabajo y 2 delegados de las confederaciones de trabajadores mayoritarias.</w:t>
      </w:r>
    </w:p>
    <w:p w14:paraId="1FB20F0F" w14:textId="77777777" w:rsidR="00FE3C25" w:rsidRPr="00107D39" w:rsidRDefault="00FE3C25" w:rsidP="00FE3C25">
      <w:pPr>
        <w:jc w:val="both"/>
        <w:rPr>
          <w:rFonts w:ascii="Century Gothic" w:eastAsiaTheme="majorEastAsia" w:hAnsi="Century Gothic" w:cs="Arial"/>
          <w:b/>
          <w:bCs/>
          <w:sz w:val="22"/>
          <w:szCs w:val="22"/>
          <w:u w:val="single"/>
          <w:lang w:eastAsia="es-ES"/>
        </w:rPr>
      </w:pPr>
      <w:r w:rsidRPr="00107D39">
        <w:rPr>
          <w:rStyle w:val="citation-26"/>
          <w:rFonts w:ascii="Century Gothic" w:eastAsiaTheme="majorEastAsia" w:hAnsi="Century Gothic" w:cs="Arial"/>
          <w:b/>
          <w:bCs/>
        </w:rPr>
        <w:t>Artículo 4. Estrategias para la conservación y divulgación cultural de la memoria.</w:t>
      </w:r>
      <w:r w:rsidRPr="00107D39">
        <w:rPr>
          <w:rStyle w:val="citation-26"/>
          <w:rFonts w:ascii="Century Gothic" w:eastAsiaTheme="majorEastAsia" w:hAnsi="Century Gothic" w:cs="Arial"/>
        </w:rPr>
        <w:t xml:space="preserve"> El Ministerio de las Culturas, las Artes y los Saberes, en coordinación con el Ministerio del Trabajo, la Biblioteca Nacional, el Archivo General de la Nación y el Centro Nacional de Memoria Histórica, diseñará e implementará, de conformidad con el marco fiscal de Mediano plazo, una estrategia para la recopilación, conservación y divulgación cultural de todas las fuentes historiográficas sobre la Masacre de las Bananeras.</w:t>
      </w:r>
    </w:p>
    <w:p w14:paraId="0CF8798F" w14:textId="77777777" w:rsidR="00FE3C25" w:rsidRPr="00107D39" w:rsidRDefault="00FE3C25" w:rsidP="00FE3C25">
      <w:pPr>
        <w:pStyle w:val="NormalWeb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107D39">
        <w:rPr>
          <w:rStyle w:val="citation-25"/>
          <w:rFonts w:ascii="Century Gothic" w:eastAsiaTheme="majorEastAsia" w:hAnsi="Century Gothic" w:cs="Arial"/>
          <w:b/>
          <w:bCs/>
          <w:sz w:val="24"/>
          <w:szCs w:val="24"/>
        </w:rPr>
        <w:t>Parágrafo 1.</w:t>
      </w:r>
      <w:r w:rsidRPr="00107D39">
        <w:rPr>
          <w:rStyle w:val="citation-25"/>
          <w:rFonts w:ascii="Century Gothic" w:eastAsiaTheme="majorEastAsia" w:hAnsi="Century Gothic" w:cs="Arial"/>
          <w:sz w:val="24"/>
          <w:szCs w:val="24"/>
        </w:rPr>
        <w:t xml:space="preserve"> Una vez recopilada y digitalizada, esta información deberá ser dispuesta en plataformas de acceso público </w:t>
      </w:r>
      <w:r w:rsidRPr="00107D39">
        <w:rPr>
          <w:rStyle w:val="citation-25"/>
          <w:rFonts w:ascii="Century Gothic" w:eastAsiaTheme="majorEastAsia" w:hAnsi="Century Gothic" w:cs="Arial"/>
          <w:strike/>
          <w:sz w:val="24"/>
          <w:szCs w:val="24"/>
        </w:rPr>
        <w:t>y</w:t>
      </w:r>
      <w:r w:rsidRPr="00107D39">
        <w:rPr>
          <w:rStyle w:val="citation-25"/>
          <w:rFonts w:ascii="Century Gothic" w:eastAsiaTheme="majorEastAsia" w:hAnsi="Century Gothic" w:cs="Arial"/>
          <w:sz w:val="24"/>
          <w:szCs w:val="24"/>
        </w:rPr>
        <w:t xml:space="preserve"> en la Biblioteca Virtual del Ministerio de las Culturas, las Artes y los Saberes, en las plataformas del ministerio de Educación Nacional para su consulta pública, promoviendo su uso por parte de la comunidad educativa y cultural del país. </w:t>
      </w:r>
    </w:p>
    <w:p w14:paraId="335C24E3" w14:textId="77777777" w:rsidR="00FE3C25" w:rsidRPr="00107D39" w:rsidRDefault="00FE3C25" w:rsidP="00FE3C25">
      <w:pPr>
        <w:pStyle w:val="NormalWeb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107D39">
        <w:rPr>
          <w:rFonts w:ascii="Century Gothic" w:hAnsi="Century Gothic" w:cs="Arial"/>
          <w:b/>
          <w:bCs/>
          <w:sz w:val="24"/>
          <w:szCs w:val="24"/>
        </w:rPr>
        <w:t>Parágrafo 2.</w:t>
      </w:r>
      <w:r w:rsidRPr="00107D39">
        <w:rPr>
          <w:rFonts w:ascii="Century Gothic" w:hAnsi="Century Gothic" w:cs="Arial"/>
          <w:sz w:val="24"/>
          <w:szCs w:val="24"/>
        </w:rPr>
        <w:t xml:space="preserve"> En virtud de la ley 1732 de 2014, se pondrá en disposición el material pedagógico para que las instituciones educativas del país puedan incorporar el estudio de este suceso.</w:t>
      </w:r>
    </w:p>
    <w:p w14:paraId="70FFEC4F" w14:textId="77777777" w:rsidR="00FE3C25" w:rsidRPr="00107D39" w:rsidRDefault="00FE3C25" w:rsidP="00FE3C25">
      <w:pPr>
        <w:pStyle w:val="NormalWeb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107D39">
        <w:rPr>
          <w:rFonts w:ascii="Century Gothic" w:hAnsi="Century Gothic" w:cs="Arial"/>
          <w:b/>
          <w:bCs/>
          <w:sz w:val="24"/>
          <w:szCs w:val="24"/>
        </w:rPr>
        <w:t>Artículo 5. Contenidos para el sistema de medios públicos.</w:t>
      </w:r>
      <w:r w:rsidRPr="00107D39">
        <w:rPr>
          <w:rFonts w:ascii="Century Gothic" w:hAnsi="Century Gothic" w:cs="Arial"/>
          <w:sz w:val="24"/>
          <w:szCs w:val="24"/>
        </w:rPr>
        <w:t xml:space="preserve"> El Ministerio del Trabajo, en asocio con el Ministerio de las Tecnologías de la Información y las Comunicaciones  y Radio Televisión Nacional de Colombia -</w:t>
      </w:r>
      <w:proofErr w:type="spellStart"/>
      <w:r w:rsidRPr="00107D39">
        <w:rPr>
          <w:rFonts w:ascii="Century Gothic" w:hAnsi="Century Gothic" w:cs="Arial"/>
          <w:sz w:val="24"/>
          <w:szCs w:val="24"/>
        </w:rPr>
        <w:t>RTVC</w:t>
      </w:r>
      <w:proofErr w:type="spellEnd"/>
      <w:r w:rsidRPr="00107D39">
        <w:rPr>
          <w:rFonts w:ascii="Century Gothic" w:hAnsi="Century Gothic" w:cs="Arial"/>
          <w:sz w:val="24"/>
          <w:szCs w:val="24"/>
        </w:rPr>
        <w:t>-, promoverá anualmente la producción y emisión de contenidos audiovisuales y digitales como documentales, series, podcasts, entre otros, en el Sistema de Medios Públicos que fomenten la cultura del trabajo decente, la formalización y el diálogo social, el respeto por la memoria de las víctimas del movimiento sindical, en el marco de la conmemoración de las víctimas de la masacre de las Bananeras ocurrida el  6 de diciembre de 1928.</w:t>
      </w:r>
    </w:p>
    <w:p w14:paraId="2519765B" w14:textId="3F439DF7" w:rsidR="00FE3C25" w:rsidRPr="00107D39" w:rsidRDefault="00FE3C25" w:rsidP="00FE3C25">
      <w:pPr>
        <w:jc w:val="both"/>
        <w:rPr>
          <w:rFonts w:ascii="Century Gothic" w:hAnsi="Century Gothic" w:cs="Arial"/>
        </w:rPr>
      </w:pPr>
      <w:r w:rsidRPr="00107D39">
        <w:rPr>
          <w:rFonts w:ascii="Century Gothic" w:hAnsi="Century Gothic" w:cs="Arial"/>
          <w:b/>
          <w:bCs/>
        </w:rPr>
        <w:t>Artículo 6</w:t>
      </w:r>
      <w:r w:rsidRPr="00107D39">
        <w:rPr>
          <w:rFonts w:ascii="Century Gothic" w:hAnsi="Century Gothic" w:cs="Arial"/>
        </w:rPr>
        <w:t xml:space="preserve">. </w:t>
      </w:r>
      <w:r w:rsidRPr="00107D39">
        <w:rPr>
          <w:rFonts w:ascii="Century Gothic" w:hAnsi="Century Gothic" w:cs="Arial"/>
          <w:b/>
          <w:bCs/>
        </w:rPr>
        <w:t>Medida de reparación y dignificación territorial</w:t>
      </w:r>
      <w:r w:rsidRPr="00107D39">
        <w:rPr>
          <w:rFonts w:ascii="Century Gothic" w:hAnsi="Century Gothic" w:cs="Arial"/>
        </w:rPr>
        <w:t xml:space="preserve">. La Gobernación del Magdalena y la Alcaldía de Ciénaga, en uso de su autonomía, podrán </w:t>
      </w:r>
      <w:r w:rsidRPr="00107D39">
        <w:rPr>
          <w:rFonts w:ascii="Century Gothic" w:hAnsi="Century Gothic" w:cs="Arial"/>
        </w:rPr>
        <w:lastRenderedPageBreak/>
        <w:t>diseñar e implementar una estrategia para la resignificación del Parque Centenario en el municipio de Ciénaga, Magdalena, en coordinación con el Ministerio de las Culturas, las Artes y los Saberes. Esta estrategia deberá incluir las obras civiles necesarias y la creación de un espacio de memoria en homenaje a las víctimas de la Masacre de las Bananeras.</w:t>
      </w:r>
    </w:p>
    <w:p w14:paraId="200FD065" w14:textId="77777777" w:rsidR="00A23B98" w:rsidRPr="00107D39" w:rsidRDefault="00A23B98" w:rsidP="00FE3C25">
      <w:pPr>
        <w:jc w:val="both"/>
        <w:rPr>
          <w:rFonts w:ascii="Century Gothic" w:eastAsia="Cambria" w:hAnsi="Century Gothic" w:cs="Cambria"/>
          <w:highlight w:val="white"/>
        </w:rPr>
      </w:pPr>
    </w:p>
    <w:p w14:paraId="5CDE4B03" w14:textId="52872C17" w:rsidR="00FE3C25" w:rsidRPr="00107D39" w:rsidRDefault="00FE3C25" w:rsidP="00FE3C25">
      <w:pPr>
        <w:pStyle w:val="s12"/>
        <w:spacing w:before="75" w:beforeAutospacing="0" w:after="75" w:afterAutospacing="0" w:line="276" w:lineRule="auto"/>
        <w:jc w:val="both"/>
        <w:rPr>
          <w:rFonts w:ascii="Century Gothic" w:hAnsi="Century Gothic" w:cs="Arial"/>
        </w:rPr>
      </w:pPr>
      <w:r w:rsidRPr="00107D39">
        <w:rPr>
          <w:rFonts w:ascii="Century Gothic" w:hAnsi="Century Gothic" w:cs="Arial"/>
          <w:b/>
          <w:bCs/>
        </w:rPr>
        <w:t>Artículo</w:t>
      </w:r>
      <w:r w:rsidRPr="00107D39">
        <w:rPr>
          <w:rFonts w:ascii="Century Gothic" w:hAnsi="Century Gothic" w:cs="Arial"/>
        </w:rPr>
        <w:t> </w:t>
      </w:r>
      <w:r w:rsidRPr="00107D39">
        <w:rPr>
          <w:rFonts w:ascii="Century Gothic" w:hAnsi="Century Gothic" w:cs="Arial"/>
          <w:b/>
          <w:bCs/>
        </w:rPr>
        <w:t>7</w:t>
      </w:r>
      <w:r w:rsidRPr="00107D39">
        <w:rPr>
          <w:rFonts w:ascii="Century Gothic" w:hAnsi="Century Gothic" w:cs="Arial"/>
        </w:rPr>
        <w:t xml:space="preserve">. </w:t>
      </w:r>
      <w:r w:rsidRPr="00107D39">
        <w:rPr>
          <w:rFonts w:ascii="Century Gothic" w:hAnsi="Century Gothic" w:cs="Arial"/>
          <w:b/>
          <w:bCs/>
        </w:rPr>
        <w:t>Actos de reconciliación nacional en el centenario</w:t>
      </w:r>
      <w:r w:rsidRPr="00107D39">
        <w:rPr>
          <w:rFonts w:ascii="Century Gothic" w:hAnsi="Century Gothic" w:cs="Arial"/>
        </w:rPr>
        <w:t>. Para la conmemoración de los 100 años de la Masacre, el Gobierno Nacional</w:t>
      </w:r>
      <w:r w:rsidR="002B0646">
        <w:rPr>
          <w:rFonts w:ascii="Century Gothic" w:hAnsi="Century Gothic" w:cs="Arial"/>
        </w:rPr>
        <w:t xml:space="preserve"> podrá</w:t>
      </w:r>
      <w:r w:rsidRPr="00107D39">
        <w:rPr>
          <w:rFonts w:ascii="Century Gothic" w:hAnsi="Century Gothic" w:cs="Arial"/>
        </w:rPr>
        <w:t xml:space="preserve">, en cabeza del Ministerio del Trabajo y en coordinación con el Ministerio del Interior, organizar una agenda nacional de diálogo y reconciliación centrada en el reconocimiento del movimiento sindical en la historia nacional y en su contribución a la construcción de una sociedad democrática, pacífica, reconciliada y próspera.  </w:t>
      </w:r>
    </w:p>
    <w:p w14:paraId="56F096A4" w14:textId="6B6150DF" w:rsidR="00FE3C25" w:rsidRPr="00107D39" w:rsidRDefault="00FE3C25" w:rsidP="00FE3C25">
      <w:pPr>
        <w:pStyle w:val="NormalWeb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107D39">
        <w:rPr>
          <w:rStyle w:val="citation-21"/>
          <w:rFonts w:ascii="Century Gothic" w:eastAsiaTheme="majorEastAsia" w:hAnsi="Century Gothic" w:cs="Arial"/>
          <w:b/>
          <w:bCs/>
          <w:sz w:val="24"/>
          <w:szCs w:val="24"/>
        </w:rPr>
        <w:t>Artículo 8. Autorización Presupuestal.</w:t>
      </w:r>
      <w:r w:rsidRPr="00107D39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 Autorícese al Gobierno nacional</w:t>
      </w:r>
      <w:r w:rsidR="00EC38E3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 para </w:t>
      </w:r>
      <w:r w:rsidRPr="00107D39">
        <w:rPr>
          <w:rStyle w:val="citation-21"/>
          <w:rFonts w:ascii="Century Gothic" w:eastAsiaTheme="majorEastAsia" w:hAnsi="Century Gothic" w:cs="Arial"/>
          <w:sz w:val="24"/>
          <w:szCs w:val="24"/>
        </w:rPr>
        <w:t>incorporar dentro del Presupuesto General de la Nación</w:t>
      </w:r>
      <w:r w:rsidRPr="00107D39">
        <w:rPr>
          <w:rFonts w:ascii="Century Gothic" w:eastAsiaTheme="majorEastAsia" w:hAnsi="Century Gothic" w:cs="Arial"/>
          <w:sz w:val="24"/>
          <w:szCs w:val="24"/>
        </w:rPr>
        <w:t xml:space="preserve">, las </w:t>
      </w:r>
      <w:r w:rsidR="00EC38E3">
        <w:rPr>
          <w:rFonts w:ascii="Century Gothic" w:eastAsiaTheme="majorEastAsia" w:hAnsi="Century Gothic" w:cs="Arial"/>
          <w:sz w:val="24"/>
          <w:szCs w:val="24"/>
        </w:rPr>
        <w:t xml:space="preserve">apropiaciones </w:t>
      </w:r>
      <w:r w:rsidRPr="00107D39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necesarias para </w:t>
      </w:r>
      <w:r w:rsidR="00EC38E3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el </w:t>
      </w:r>
      <w:r w:rsidRPr="00107D39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cumplimiento </w:t>
      </w:r>
      <w:r w:rsidR="00EC38E3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de </w:t>
      </w:r>
      <w:r w:rsidRPr="00107D39">
        <w:rPr>
          <w:rStyle w:val="citation-21"/>
          <w:rFonts w:ascii="Century Gothic" w:eastAsiaTheme="majorEastAsia" w:hAnsi="Century Gothic" w:cs="Arial"/>
          <w:sz w:val="24"/>
          <w:szCs w:val="24"/>
        </w:rPr>
        <w:t>las disposiciones establecidas en la presente ley</w:t>
      </w:r>
      <w:r w:rsidR="00340FA9">
        <w:rPr>
          <w:rStyle w:val="citation-21"/>
          <w:rFonts w:ascii="Century Gothic" w:eastAsiaTheme="majorEastAsia" w:hAnsi="Century Gothic" w:cs="Arial"/>
          <w:sz w:val="24"/>
          <w:szCs w:val="24"/>
        </w:rPr>
        <w:t>, de conformidad con el Marco Fiscal de Mediano Plazo y las disposiciones de sostenibilidad fiscal</w:t>
      </w:r>
      <w:r w:rsidRPr="00107D39">
        <w:rPr>
          <w:rStyle w:val="citation-21"/>
          <w:rFonts w:ascii="Century Gothic" w:eastAsiaTheme="majorEastAsia" w:hAnsi="Century Gothic" w:cs="Arial"/>
          <w:sz w:val="24"/>
          <w:szCs w:val="24"/>
        </w:rPr>
        <w:t xml:space="preserve">. </w:t>
      </w:r>
    </w:p>
    <w:p w14:paraId="66D008A3" w14:textId="77777777" w:rsidR="00FE3C25" w:rsidRPr="00107D39" w:rsidRDefault="00FE3C25" w:rsidP="00FE3C25">
      <w:pPr>
        <w:pStyle w:val="NormalWeb"/>
        <w:spacing w:line="276" w:lineRule="auto"/>
        <w:jc w:val="both"/>
        <w:rPr>
          <w:rStyle w:val="citation-20"/>
          <w:rFonts w:ascii="Century Gothic" w:eastAsiaTheme="majorEastAsia" w:hAnsi="Century Gothic"/>
        </w:rPr>
      </w:pPr>
      <w:r w:rsidRPr="00107D39">
        <w:rPr>
          <w:rStyle w:val="citation-20"/>
          <w:rFonts w:ascii="Century Gothic" w:eastAsiaTheme="majorEastAsia" w:hAnsi="Century Gothic" w:cs="Arial"/>
          <w:b/>
          <w:bCs/>
          <w:sz w:val="24"/>
          <w:szCs w:val="24"/>
        </w:rPr>
        <w:t>Artículo 9. Vigencia.</w:t>
      </w:r>
      <w:r w:rsidRPr="00107D39">
        <w:rPr>
          <w:rStyle w:val="citation-20"/>
          <w:rFonts w:ascii="Century Gothic" w:eastAsiaTheme="majorEastAsia" w:hAnsi="Century Gothic" w:cs="Arial"/>
          <w:sz w:val="24"/>
          <w:szCs w:val="24"/>
        </w:rPr>
        <w:t xml:space="preserve"> Esta ley rige a partir de la fecha de su publicación.</w:t>
      </w:r>
    </w:p>
    <w:p w14:paraId="3A6AE410" w14:textId="0C5DD45C" w:rsidR="00571893" w:rsidRPr="0072146B" w:rsidRDefault="00571893" w:rsidP="00571893">
      <w:pPr>
        <w:tabs>
          <w:tab w:val="left" w:pos="4820"/>
        </w:tabs>
        <w:jc w:val="both"/>
        <w:rPr>
          <w:rFonts w:ascii="Century Gothic" w:eastAsia="Century Gothic" w:hAnsi="Century Gothic" w:cs="Century Gothic"/>
          <w:highlight w:val="white"/>
        </w:rPr>
      </w:pPr>
      <w:r w:rsidRPr="0072146B">
        <w:rPr>
          <w:rFonts w:ascii="Century Gothic" w:eastAsia="Century Gothic" w:hAnsi="Century Gothic" w:cs="Century Gothic"/>
          <w:highlight w:val="white"/>
        </w:rPr>
        <w:t xml:space="preserve">En los anteriores términos fue aprobado con modificaciones en primer debate el presente Proyecto de </w:t>
      </w:r>
      <w:r w:rsidR="00F61925" w:rsidRPr="0072146B">
        <w:rPr>
          <w:rFonts w:ascii="Century Gothic" w:eastAsia="Century Gothic" w:hAnsi="Century Gothic" w:cs="Century Gothic"/>
          <w:highlight w:val="white"/>
        </w:rPr>
        <w:t>Ley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8D4B66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A23B98">
        <w:rPr>
          <w:rFonts w:ascii="Century Gothic" w:eastAsia="Century Gothic" w:hAnsi="Century Gothic" w:cs="Century Gothic"/>
          <w:highlight w:val="white"/>
        </w:rPr>
        <w:t>29</w:t>
      </w:r>
      <w:r w:rsidR="004E2C14"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4E2C14">
        <w:rPr>
          <w:rFonts w:ascii="Century Gothic" w:eastAsia="Century Gothic" w:hAnsi="Century Gothic" w:cs="Century Gothic"/>
          <w:highlight w:val="white"/>
        </w:rPr>
        <w:t>de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="0065130D">
        <w:rPr>
          <w:rFonts w:ascii="Century Gothic" w:eastAsia="Century Gothic" w:hAnsi="Century Gothic" w:cs="Century Gothic"/>
          <w:highlight w:val="white"/>
        </w:rPr>
        <w:t>sesi</w:t>
      </w:r>
      <w:r w:rsidR="008D4B66">
        <w:rPr>
          <w:rFonts w:ascii="Century Gothic" w:eastAsia="Century Gothic" w:hAnsi="Century Gothic" w:cs="Century Gothic"/>
          <w:highlight w:val="white"/>
        </w:rPr>
        <w:t xml:space="preserve">ón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del </w:t>
      </w:r>
      <w:r w:rsidR="00A23B98">
        <w:rPr>
          <w:rFonts w:ascii="Century Gothic" w:eastAsia="Century Gothic" w:hAnsi="Century Gothic" w:cs="Century Gothic"/>
          <w:highlight w:val="white"/>
        </w:rPr>
        <w:t xml:space="preserve">18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23B98">
        <w:rPr>
          <w:rFonts w:ascii="Century Gothic" w:eastAsia="Century Gothic" w:hAnsi="Century Gothic" w:cs="Century Gothic"/>
          <w:highlight w:val="white"/>
        </w:rPr>
        <w:t xml:space="preserve">marzo </w:t>
      </w:r>
      <w:r w:rsidRPr="0072146B">
        <w:rPr>
          <w:rFonts w:ascii="Century Gothic" w:eastAsia="Century Gothic" w:hAnsi="Century Gothic" w:cs="Century Gothic"/>
          <w:highlight w:val="white"/>
        </w:rPr>
        <w:t>de 202</w:t>
      </w:r>
      <w:r w:rsidR="00A23B98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; así mismo fue anunciado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>día</w:t>
      </w:r>
      <w:r w:rsidR="002558BF">
        <w:rPr>
          <w:rFonts w:ascii="Century Gothic" w:eastAsia="Century Gothic" w:hAnsi="Century Gothic" w:cs="Century Gothic"/>
          <w:highlight w:val="white"/>
        </w:rPr>
        <w:t xml:space="preserve"> </w:t>
      </w:r>
      <w:r w:rsidR="00A23B98">
        <w:rPr>
          <w:rFonts w:ascii="Century Gothic" w:eastAsia="Century Gothic" w:hAnsi="Century Gothic" w:cs="Century Gothic"/>
          <w:highlight w:val="white"/>
        </w:rPr>
        <w:t>17</w:t>
      </w:r>
      <w:r w:rsidR="00364777" w:rsidRPr="0072146B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de </w:t>
      </w:r>
      <w:r w:rsidR="00A23B98">
        <w:rPr>
          <w:rFonts w:ascii="Century Gothic" w:eastAsia="Century Gothic" w:hAnsi="Century Gothic" w:cs="Century Gothic"/>
          <w:highlight w:val="white"/>
        </w:rPr>
        <w:t xml:space="preserve">marzo </w:t>
      </w:r>
      <w:r w:rsidRPr="0072146B">
        <w:rPr>
          <w:rFonts w:ascii="Century Gothic" w:eastAsia="Century Gothic" w:hAnsi="Century Gothic" w:cs="Century Gothic"/>
          <w:highlight w:val="white"/>
        </w:rPr>
        <w:t>de 202</w:t>
      </w:r>
      <w:r w:rsidR="00A23B98">
        <w:rPr>
          <w:rFonts w:ascii="Century Gothic" w:eastAsia="Century Gothic" w:hAnsi="Century Gothic" w:cs="Century Gothic"/>
          <w:highlight w:val="white"/>
        </w:rPr>
        <w:t>6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, según consta en </w:t>
      </w:r>
      <w:r w:rsidR="002558BF">
        <w:rPr>
          <w:rFonts w:ascii="Century Gothic" w:eastAsia="Century Gothic" w:hAnsi="Century Gothic" w:cs="Century Gothic"/>
          <w:highlight w:val="white"/>
        </w:rPr>
        <w:t xml:space="preserve">el </w:t>
      </w:r>
      <w:r w:rsidRPr="0072146B">
        <w:rPr>
          <w:rFonts w:ascii="Century Gothic" w:eastAsia="Century Gothic" w:hAnsi="Century Gothic" w:cs="Century Gothic"/>
          <w:highlight w:val="white"/>
        </w:rPr>
        <w:t xml:space="preserve">acta </w:t>
      </w:r>
      <w:r w:rsidR="00A23B98">
        <w:rPr>
          <w:rFonts w:ascii="Century Gothic" w:eastAsia="Century Gothic" w:hAnsi="Century Gothic" w:cs="Century Gothic"/>
          <w:highlight w:val="white"/>
        </w:rPr>
        <w:t>28</w:t>
      </w:r>
      <w:r w:rsidR="0065130D">
        <w:rPr>
          <w:rFonts w:ascii="Century Gothic" w:eastAsia="Century Gothic" w:hAnsi="Century Gothic" w:cs="Century Gothic"/>
          <w:highlight w:val="white"/>
        </w:rPr>
        <w:t xml:space="preserve"> </w:t>
      </w:r>
      <w:r w:rsidRPr="0072146B">
        <w:rPr>
          <w:rFonts w:ascii="Century Gothic" w:eastAsia="Century Gothic" w:hAnsi="Century Gothic" w:cs="Century Gothic"/>
          <w:highlight w:val="white"/>
        </w:rPr>
        <w:t>de sesi</w:t>
      </w:r>
      <w:r w:rsidR="009E31EC" w:rsidRPr="0072146B">
        <w:rPr>
          <w:rFonts w:ascii="Century Gothic" w:eastAsia="Century Gothic" w:hAnsi="Century Gothic" w:cs="Century Gothic"/>
          <w:highlight w:val="white"/>
        </w:rPr>
        <w:t>ó</w:t>
      </w:r>
      <w:r w:rsidR="00364777" w:rsidRPr="0072146B">
        <w:rPr>
          <w:rFonts w:ascii="Century Gothic" w:eastAsia="Century Gothic" w:hAnsi="Century Gothic" w:cs="Century Gothic"/>
          <w:highlight w:val="white"/>
        </w:rPr>
        <w:t xml:space="preserve">n </w:t>
      </w:r>
      <w:r w:rsidRPr="0072146B">
        <w:rPr>
          <w:rFonts w:ascii="Century Gothic" w:eastAsia="Century Gothic" w:hAnsi="Century Gothic" w:cs="Century Gothic"/>
          <w:highlight w:val="white"/>
        </w:rPr>
        <w:t>de esa misma fecha.</w:t>
      </w:r>
    </w:p>
    <w:p w14:paraId="31BC196C" w14:textId="7D525318" w:rsidR="00571893" w:rsidRDefault="0057189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797CF936" w14:textId="7186BA6A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58AA5923" w14:textId="77777777" w:rsidR="00063387" w:rsidRDefault="00063387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7F067F1F" w14:textId="371B0DB2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23E93DB5" w14:textId="77777777" w:rsidR="000621C3" w:rsidRDefault="000621C3" w:rsidP="00571893">
      <w:pPr>
        <w:tabs>
          <w:tab w:val="left" w:pos="5245"/>
        </w:tabs>
        <w:rPr>
          <w:rFonts w:ascii="Century Gothic" w:eastAsia="Century Gothic" w:hAnsi="Century Gothic" w:cs="Century Gothic"/>
          <w:highlight w:val="white"/>
        </w:rPr>
      </w:pPr>
    </w:p>
    <w:p w14:paraId="5FB4E83E" w14:textId="77777777" w:rsidR="00F5617D" w:rsidRDefault="00F5617D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</w:rPr>
      </w:pPr>
    </w:p>
    <w:p w14:paraId="3D0F6153" w14:textId="109FEBED" w:rsidR="00253588" w:rsidRPr="006C0F5E" w:rsidRDefault="006C0F5E" w:rsidP="00F5617D">
      <w:pPr>
        <w:tabs>
          <w:tab w:val="left" w:pos="4678"/>
          <w:tab w:val="left" w:pos="5103"/>
        </w:tabs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</w:rPr>
        <w:t xml:space="preserve">   </w:t>
      </w:r>
      <w:r w:rsidR="00362615">
        <w:rPr>
          <w:rFonts w:ascii="Century Gothic" w:eastAsia="Century Gothic" w:hAnsi="Century Gothic" w:cs="Century Gothic"/>
          <w:b/>
        </w:rPr>
        <w:t xml:space="preserve">    </w:t>
      </w:r>
      <w:r>
        <w:rPr>
          <w:rFonts w:ascii="Century Gothic" w:eastAsia="Century Gothic" w:hAnsi="Century Gothic" w:cs="Century Gothic"/>
          <w:b/>
        </w:rPr>
        <w:t xml:space="preserve"> </w:t>
      </w:r>
      <w:r w:rsidR="006362F3" w:rsidRPr="006C0F5E">
        <w:rPr>
          <w:rFonts w:ascii="Century Gothic" w:eastAsia="Century Gothic" w:hAnsi="Century Gothic" w:cs="Century Gothic"/>
          <w:b/>
          <w:bCs/>
        </w:rPr>
        <w:t>GABRIEL BECERRA YÁÑEZ</w:t>
      </w:r>
      <w:r w:rsidR="000618B0" w:rsidRPr="000618B0">
        <w:rPr>
          <w:rFonts w:ascii="Century Gothic" w:eastAsia="Century Gothic" w:hAnsi="Century Gothic" w:cs="Century Gothic"/>
          <w:b/>
          <w:sz w:val="22"/>
          <w:szCs w:val="22"/>
        </w:rPr>
        <w:tab/>
      </w:r>
      <w:r w:rsidR="00F5617D">
        <w:rPr>
          <w:rFonts w:ascii="Century Gothic" w:eastAsia="Century Gothic" w:hAnsi="Century Gothic" w:cs="Century Gothic"/>
          <w:b/>
          <w:sz w:val="22"/>
          <w:szCs w:val="22"/>
        </w:rPr>
        <w:t xml:space="preserve">       </w:t>
      </w:r>
      <w:r w:rsidR="006362F3">
        <w:rPr>
          <w:rFonts w:ascii="Century Gothic" w:eastAsia="Century Gothic" w:hAnsi="Century Gothic" w:cs="Century Gothic"/>
          <w:b/>
          <w:bCs/>
        </w:rPr>
        <w:t>ORLANDO CASTILLO ADVINCULA</w:t>
      </w:r>
    </w:p>
    <w:p w14:paraId="7EF69EE5" w14:textId="40882DE9" w:rsidR="00F2735D" w:rsidRDefault="000618B0" w:rsidP="00571893">
      <w:pPr>
        <w:tabs>
          <w:tab w:val="left" w:pos="4820"/>
          <w:tab w:val="left" w:pos="5103"/>
        </w:tabs>
        <w:rPr>
          <w:rFonts w:ascii="Century Gothic" w:eastAsia="Century Gothic" w:hAnsi="Century Gothic" w:cs="Century Gothic"/>
          <w:highlight w:val="white"/>
        </w:rPr>
      </w:pPr>
      <w:r>
        <w:rPr>
          <w:rFonts w:ascii="Century Gothic" w:eastAsia="Century Gothic" w:hAnsi="Century Gothic" w:cs="Century Gothic"/>
          <w:highlight w:val="white"/>
        </w:rPr>
        <w:t xml:space="preserve">    </w:t>
      </w:r>
      <w:r w:rsidR="00F5617D">
        <w:rPr>
          <w:rFonts w:ascii="Century Gothic" w:eastAsia="Century Gothic" w:hAnsi="Century Gothic" w:cs="Century Gothic"/>
          <w:highlight w:val="white"/>
        </w:rPr>
        <w:t xml:space="preserve">   </w:t>
      </w:r>
      <w:r>
        <w:rPr>
          <w:rFonts w:ascii="Century Gothic" w:eastAsia="Century Gothic" w:hAnsi="Century Gothic" w:cs="Century Gothic"/>
          <w:highlight w:val="white"/>
        </w:rPr>
        <w:t xml:space="preserve"> </w:t>
      </w:r>
      <w:r w:rsidR="006362F3">
        <w:rPr>
          <w:rFonts w:ascii="Century Gothic" w:eastAsia="Century Gothic" w:hAnsi="Century Gothic" w:cs="Century Gothic"/>
          <w:highlight w:val="white"/>
        </w:rPr>
        <w:t xml:space="preserve">  </w:t>
      </w:r>
      <w:r w:rsidR="00571893" w:rsidRPr="0072146B">
        <w:rPr>
          <w:rFonts w:ascii="Century Gothic" w:eastAsia="Century Gothic" w:hAnsi="Century Gothic" w:cs="Century Gothic"/>
          <w:highlight w:val="white"/>
        </w:rPr>
        <w:t>Ponente</w:t>
      </w:r>
      <w:r w:rsidR="00362615">
        <w:rPr>
          <w:rFonts w:ascii="Century Gothic" w:eastAsia="Century Gothic" w:hAnsi="Century Gothic" w:cs="Century Gothic"/>
          <w:highlight w:val="white"/>
        </w:rPr>
        <w:t xml:space="preserve"> Coordinador</w:t>
      </w:r>
      <w:r w:rsidR="00571893" w:rsidRPr="0072146B">
        <w:rPr>
          <w:rFonts w:ascii="Century Gothic" w:eastAsia="Century Gothic" w:hAnsi="Century Gothic" w:cs="Century Gothic"/>
          <w:highlight w:val="white"/>
        </w:rPr>
        <w:tab/>
      </w:r>
      <w:r w:rsidR="007D5B49" w:rsidRPr="0072146B">
        <w:rPr>
          <w:rFonts w:ascii="Century Gothic" w:eastAsia="Century Gothic" w:hAnsi="Century Gothic" w:cs="Century Gothic"/>
          <w:highlight w:val="white"/>
        </w:rPr>
        <w:t xml:space="preserve">         </w:t>
      </w:r>
      <w:r w:rsidR="00F5617D">
        <w:rPr>
          <w:rFonts w:ascii="Century Gothic" w:eastAsia="Century Gothic" w:hAnsi="Century Gothic" w:cs="Century Gothic"/>
          <w:highlight w:val="white"/>
        </w:rPr>
        <w:t xml:space="preserve">         </w:t>
      </w:r>
      <w:r w:rsidR="006362F3">
        <w:rPr>
          <w:rFonts w:ascii="Century Gothic" w:eastAsia="Century Gothic" w:hAnsi="Century Gothic" w:cs="Century Gothic"/>
          <w:highlight w:val="white"/>
        </w:rPr>
        <w:t xml:space="preserve">   Vicepresidente</w:t>
      </w:r>
      <w:r w:rsidR="00F2735D" w:rsidRPr="0072146B">
        <w:rPr>
          <w:rFonts w:ascii="Century Gothic" w:eastAsia="Century Gothic" w:hAnsi="Century Gothic" w:cs="Century Gothic"/>
          <w:highlight w:val="white"/>
        </w:rPr>
        <w:t xml:space="preserve"> </w:t>
      </w:r>
    </w:p>
    <w:p w14:paraId="1081A6DF" w14:textId="7D395A84" w:rsidR="00AB5EFB" w:rsidRDefault="00AB5EFB" w:rsidP="00571893">
      <w:pPr>
        <w:tabs>
          <w:tab w:val="left" w:pos="4820"/>
          <w:tab w:val="left" w:pos="5103"/>
        </w:tabs>
        <w:rPr>
          <w:rFonts w:ascii="Century Gothic" w:eastAsia="Century Gothic" w:hAnsi="Century Gothic" w:cs="Century Gothic"/>
          <w:highlight w:val="white"/>
        </w:rPr>
      </w:pPr>
    </w:p>
    <w:p w14:paraId="1F2ADE74" w14:textId="0AB5DC67" w:rsidR="00F5617D" w:rsidRDefault="00F5617D" w:rsidP="00571893">
      <w:pPr>
        <w:tabs>
          <w:tab w:val="left" w:pos="4820"/>
          <w:tab w:val="left" w:pos="5103"/>
        </w:tabs>
        <w:rPr>
          <w:rFonts w:ascii="Century Gothic" w:eastAsia="Century Gothic" w:hAnsi="Century Gothic" w:cs="Century Gothic"/>
          <w:highlight w:val="white"/>
        </w:rPr>
      </w:pPr>
    </w:p>
    <w:p w14:paraId="7DD50DFE" w14:textId="77777777" w:rsidR="00063387" w:rsidRDefault="00063387" w:rsidP="00571893">
      <w:pPr>
        <w:tabs>
          <w:tab w:val="left" w:pos="4820"/>
          <w:tab w:val="left" w:pos="5103"/>
        </w:tabs>
        <w:rPr>
          <w:rFonts w:ascii="Century Gothic" w:eastAsia="Century Gothic" w:hAnsi="Century Gothic" w:cs="Century Gothic"/>
          <w:highlight w:val="white"/>
        </w:rPr>
      </w:pPr>
    </w:p>
    <w:p w14:paraId="5EF27AF5" w14:textId="77777777" w:rsidR="00F5617D" w:rsidRDefault="00F5617D" w:rsidP="00571893">
      <w:pPr>
        <w:tabs>
          <w:tab w:val="left" w:pos="4820"/>
          <w:tab w:val="left" w:pos="5103"/>
        </w:tabs>
        <w:rPr>
          <w:rFonts w:ascii="Century Gothic" w:eastAsia="Century Gothic" w:hAnsi="Century Gothic" w:cs="Century Gothic"/>
          <w:highlight w:val="white"/>
        </w:rPr>
      </w:pPr>
    </w:p>
    <w:p w14:paraId="5AEC2C89" w14:textId="0704DB06" w:rsidR="00F2735D" w:rsidRPr="000618B0" w:rsidRDefault="00F2735D" w:rsidP="00F5617D">
      <w:pPr>
        <w:tabs>
          <w:tab w:val="left" w:pos="4678"/>
          <w:tab w:val="left" w:pos="5103"/>
        </w:tabs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 w:rsidRPr="000618B0">
        <w:rPr>
          <w:rFonts w:ascii="Century Gothic" w:eastAsia="Century Gothic" w:hAnsi="Century Gothic" w:cs="Century Gothic"/>
          <w:b/>
          <w:sz w:val="20"/>
          <w:szCs w:val="20"/>
        </w:rPr>
        <w:t>AMPARO Y</w:t>
      </w:r>
      <w:r w:rsidR="00AB5EFB" w:rsidRPr="000618B0">
        <w:rPr>
          <w:rFonts w:ascii="Century Gothic" w:eastAsia="Century Gothic" w:hAnsi="Century Gothic" w:cs="Century Gothic"/>
          <w:b/>
          <w:sz w:val="20"/>
          <w:szCs w:val="20"/>
        </w:rPr>
        <w:t>ANETH</w:t>
      </w:r>
      <w:r w:rsidRPr="000618B0">
        <w:rPr>
          <w:rFonts w:ascii="Century Gothic" w:eastAsia="Century Gothic" w:hAnsi="Century Gothic" w:cs="Century Gothic"/>
          <w:b/>
          <w:sz w:val="20"/>
          <w:szCs w:val="20"/>
        </w:rPr>
        <w:t xml:space="preserve"> CALDERÓN PERDOMO</w:t>
      </w:r>
    </w:p>
    <w:p w14:paraId="5B8E044E" w14:textId="07B821B6" w:rsidR="00F148A6" w:rsidRPr="0072146B" w:rsidRDefault="00F2735D" w:rsidP="00F5617D">
      <w:pPr>
        <w:tabs>
          <w:tab w:val="left" w:pos="4820"/>
          <w:tab w:val="left" w:pos="5103"/>
        </w:tabs>
        <w:jc w:val="center"/>
        <w:rPr>
          <w:rFonts w:ascii="Century Gothic" w:eastAsia="Arial" w:hAnsi="Century Gothic"/>
        </w:rPr>
      </w:pPr>
      <w:r w:rsidRPr="0072146B">
        <w:rPr>
          <w:rFonts w:ascii="Century Gothic" w:eastAsia="Century Gothic" w:hAnsi="Century Gothic" w:cs="Century Gothic"/>
          <w:highlight w:val="white"/>
        </w:rPr>
        <w:t>Secretaria</w:t>
      </w:r>
    </w:p>
    <w:sectPr w:rsidR="00F148A6" w:rsidRPr="0072146B" w:rsidSect="006362F3">
      <w:headerReference w:type="default" r:id="rId9"/>
      <w:pgSz w:w="12240" w:h="15840"/>
      <w:pgMar w:top="1417" w:right="146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7E9" w14:textId="77777777" w:rsidR="0034586B" w:rsidRDefault="0034586B">
      <w:r>
        <w:separator/>
      </w:r>
    </w:p>
  </w:endnote>
  <w:endnote w:type="continuationSeparator" w:id="0">
    <w:p w14:paraId="51397387" w14:textId="77777777" w:rsidR="0034586B" w:rsidRDefault="0034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16CA" w14:textId="77777777" w:rsidR="0034586B" w:rsidRDefault="0034586B">
      <w:r>
        <w:separator/>
      </w:r>
    </w:p>
  </w:footnote>
  <w:footnote w:type="continuationSeparator" w:id="0">
    <w:p w14:paraId="4D5E5864" w14:textId="77777777" w:rsidR="0034586B" w:rsidRDefault="0034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5C89" w14:textId="63CCE216" w:rsidR="00826207" w:rsidRDefault="0034586B" w:rsidP="000E5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sz w:val="22"/>
        <w:szCs w:val="22"/>
      </w:rPr>
    </w:pPr>
    <w:sdt>
      <w:sdtPr>
        <w:rPr>
          <w:rFonts w:ascii="Arial" w:eastAsia="Arial" w:hAnsi="Arial" w:cs="Arial"/>
          <w:sz w:val="22"/>
          <w:szCs w:val="22"/>
        </w:rPr>
        <w:id w:val="-1944902322"/>
        <w:docPartObj>
          <w:docPartGallery w:val="Page Numbers (Margins)"/>
          <w:docPartUnique/>
        </w:docPartObj>
      </w:sdtPr>
      <w:sdtEndPr/>
      <w:sdtContent>
        <w:r w:rsidR="00793BED" w:rsidRPr="00793BED">
          <w:rPr>
            <w:rFonts w:ascii="Arial" w:eastAsia="Arial" w:hAnsi="Arial" w:cs="Arial"/>
            <w:noProof/>
            <w:sz w:val="22"/>
            <w:szCs w:val="22"/>
            <w:lang w:val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A036E3" wp14:editId="2A28076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67E68" w14:textId="08951640" w:rsidR="00793BED" w:rsidRDefault="00793BE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44F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A036E3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LtMeaYIAgAA5w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00667E68" w14:textId="08951640" w:rsidR="00793BED" w:rsidRDefault="00793BE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44F0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EB7">
      <w:rPr>
        <w:rFonts w:ascii="Times New Roman"/>
        <w:noProof/>
        <w:sz w:val="20"/>
        <w:lang w:val="es-CO"/>
      </w:rPr>
      <w:drawing>
        <wp:inline distT="0" distB="0" distL="0" distR="0" wp14:anchorId="3E0918C9" wp14:editId="7E08B9EC">
          <wp:extent cx="1779270" cy="523875"/>
          <wp:effectExtent l="0" t="0" r="0" b="9525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3302F" w14:textId="77777777" w:rsidR="00826207" w:rsidRDefault="008262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B6"/>
    <w:multiLevelType w:val="multilevel"/>
    <w:tmpl w:val="8272C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B019C"/>
    <w:multiLevelType w:val="multilevel"/>
    <w:tmpl w:val="E8B291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A366DA"/>
    <w:multiLevelType w:val="multilevel"/>
    <w:tmpl w:val="E966B5C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1E42F7F"/>
    <w:multiLevelType w:val="hybridMultilevel"/>
    <w:tmpl w:val="FF2848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A4EE1"/>
    <w:multiLevelType w:val="multilevel"/>
    <w:tmpl w:val="AA8C5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66E6757"/>
    <w:multiLevelType w:val="multilevel"/>
    <w:tmpl w:val="980EB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ABB547A"/>
    <w:multiLevelType w:val="multilevel"/>
    <w:tmpl w:val="1450C7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0F7477E4"/>
    <w:multiLevelType w:val="multilevel"/>
    <w:tmpl w:val="1278E35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04131BA"/>
    <w:multiLevelType w:val="multilevel"/>
    <w:tmpl w:val="CB923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11603D"/>
    <w:multiLevelType w:val="multilevel"/>
    <w:tmpl w:val="9144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64C23E3"/>
    <w:multiLevelType w:val="multilevel"/>
    <w:tmpl w:val="FD86C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912C9A"/>
    <w:multiLevelType w:val="multilevel"/>
    <w:tmpl w:val="7A161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2" w15:restartNumberingAfterBreak="0">
    <w:nsid w:val="1EDC172A"/>
    <w:multiLevelType w:val="multilevel"/>
    <w:tmpl w:val="99364D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65BF7"/>
    <w:multiLevelType w:val="hybridMultilevel"/>
    <w:tmpl w:val="7048052E"/>
    <w:lvl w:ilvl="0" w:tplc="05EC738E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16438"/>
    <w:multiLevelType w:val="multilevel"/>
    <w:tmpl w:val="FF8E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33537D"/>
    <w:multiLevelType w:val="hybridMultilevel"/>
    <w:tmpl w:val="4E385312"/>
    <w:lvl w:ilvl="0" w:tplc="BB762BCA">
      <w:start w:val="4"/>
      <w:numFmt w:val="decimal"/>
      <w:lvlText w:val="%1."/>
      <w:lvlJc w:val="left"/>
      <w:pPr>
        <w:ind w:left="92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640" w:hanging="360"/>
      </w:pPr>
    </w:lvl>
    <w:lvl w:ilvl="2" w:tplc="080A001B" w:tentative="1">
      <w:start w:val="1"/>
      <w:numFmt w:val="lowerRoman"/>
      <w:lvlText w:val="%3."/>
      <w:lvlJc w:val="right"/>
      <w:pPr>
        <w:ind w:left="2360" w:hanging="180"/>
      </w:pPr>
    </w:lvl>
    <w:lvl w:ilvl="3" w:tplc="080A000F" w:tentative="1">
      <w:start w:val="1"/>
      <w:numFmt w:val="decimal"/>
      <w:lvlText w:val="%4."/>
      <w:lvlJc w:val="left"/>
      <w:pPr>
        <w:ind w:left="3080" w:hanging="360"/>
      </w:pPr>
    </w:lvl>
    <w:lvl w:ilvl="4" w:tplc="080A0019" w:tentative="1">
      <w:start w:val="1"/>
      <w:numFmt w:val="lowerLetter"/>
      <w:lvlText w:val="%5."/>
      <w:lvlJc w:val="left"/>
      <w:pPr>
        <w:ind w:left="3800" w:hanging="360"/>
      </w:pPr>
    </w:lvl>
    <w:lvl w:ilvl="5" w:tplc="080A001B" w:tentative="1">
      <w:start w:val="1"/>
      <w:numFmt w:val="lowerRoman"/>
      <w:lvlText w:val="%6."/>
      <w:lvlJc w:val="right"/>
      <w:pPr>
        <w:ind w:left="4520" w:hanging="180"/>
      </w:pPr>
    </w:lvl>
    <w:lvl w:ilvl="6" w:tplc="080A000F" w:tentative="1">
      <w:start w:val="1"/>
      <w:numFmt w:val="decimal"/>
      <w:lvlText w:val="%7."/>
      <w:lvlJc w:val="left"/>
      <w:pPr>
        <w:ind w:left="5240" w:hanging="360"/>
      </w:pPr>
    </w:lvl>
    <w:lvl w:ilvl="7" w:tplc="080A0019" w:tentative="1">
      <w:start w:val="1"/>
      <w:numFmt w:val="lowerLetter"/>
      <w:lvlText w:val="%8."/>
      <w:lvlJc w:val="left"/>
      <w:pPr>
        <w:ind w:left="5960" w:hanging="360"/>
      </w:pPr>
    </w:lvl>
    <w:lvl w:ilvl="8" w:tplc="08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25863E98"/>
    <w:multiLevelType w:val="multilevel"/>
    <w:tmpl w:val="1EE82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9056127"/>
    <w:multiLevelType w:val="multilevel"/>
    <w:tmpl w:val="D7183F2A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u w:val="none"/>
      </w:rPr>
    </w:lvl>
  </w:abstractNum>
  <w:abstractNum w:abstractNumId="18" w15:restartNumberingAfterBreak="0">
    <w:nsid w:val="2A426ED0"/>
    <w:multiLevelType w:val="multilevel"/>
    <w:tmpl w:val="D5DAA3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47813"/>
    <w:multiLevelType w:val="multilevel"/>
    <w:tmpl w:val="9B22D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0040BDE"/>
    <w:multiLevelType w:val="hybridMultilevel"/>
    <w:tmpl w:val="4B465298"/>
    <w:lvl w:ilvl="0" w:tplc="D2D031E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A633C"/>
    <w:multiLevelType w:val="multilevel"/>
    <w:tmpl w:val="9CA02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4A7E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C30575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2E5A96"/>
    <w:multiLevelType w:val="multilevel"/>
    <w:tmpl w:val="F858E03E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B90DE9"/>
    <w:multiLevelType w:val="multilevel"/>
    <w:tmpl w:val="8AE4E24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4A5F6C93"/>
    <w:multiLevelType w:val="multilevel"/>
    <w:tmpl w:val="0B9CAE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B721581"/>
    <w:multiLevelType w:val="multilevel"/>
    <w:tmpl w:val="56CAD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B6548E"/>
    <w:multiLevelType w:val="hybridMultilevel"/>
    <w:tmpl w:val="2D14A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CD3CEC"/>
    <w:multiLevelType w:val="hybridMultilevel"/>
    <w:tmpl w:val="8E7CBBE2"/>
    <w:lvl w:ilvl="0" w:tplc="3DC62E4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FF35059"/>
    <w:multiLevelType w:val="multilevel"/>
    <w:tmpl w:val="3A24E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7186DA3"/>
    <w:multiLevelType w:val="multilevel"/>
    <w:tmpl w:val="ADA8A69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8C25438"/>
    <w:multiLevelType w:val="hybridMultilevel"/>
    <w:tmpl w:val="C1AC655E"/>
    <w:lvl w:ilvl="0" w:tplc="C998577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94039C0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F46B0"/>
    <w:multiLevelType w:val="hybridMultilevel"/>
    <w:tmpl w:val="06507A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820C3"/>
    <w:multiLevelType w:val="hybridMultilevel"/>
    <w:tmpl w:val="E9F05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17120"/>
    <w:multiLevelType w:val="multilevel"/>
    <w:tmpl w:val="45FA1DB4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7" w15:restartNumberingAfterBreak="0">
    <w:nsid w:val="65A36943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46B10"/>
    <w:multiLevelType w:val="multilevel"/>
    <w:tmpl w:val="334A1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9" w15:restartNumberingAfterBreak="0">
    <w:nsid w:val="75DD6579"/>
    <w:multiLevelType w:val="hybridMultilevel"/>
    <w:tmpl w:val="4B4E77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E44E71"/>
    <w:multiLevelType w:val="hybridMultilevel"/>
    <w:tmpl w:val="286E5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99754E"/>
    <w:multiLevelType w:val="multilevel"/>
    <w:tmpl w:val="E5569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4D063A"/>
    <w:multiLevelType w:val="multilevel"/>
    <w:tmpl w:val="0A6E7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3" w15:restartNumberingAfterBreak="0">
    <w:nsid w:val="7BA715CE"/>
    <w:multiLevelType w:val="multilevel"/>
    <w:tmpl w:val="57560C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F20637"/>
    <w:multiLevelType w:val="multilevel"/>
    <w:tmpl w:val="42C04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E9738B7"/>
    <w:multiLevelType w:val="multilevel"/>
    <w:tmpl w:val="0512BC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43"/>
  </w:num>
  <w:num w:numId="5">
    <w:abstractNumId w:val="44"/>
  </w:num>
  <w:num w:numId="6">
    <w:abstractNumId w:val="16"/>
  </w:num>
  <w:num w:numId="7">
    <w:abstractNumId w:val="9"/>
  </w:num>
  <w:num w:numId="8">
    <w:abstractNumId w:val="8"/>
  </w:num>
  <w:num w:numId="9">
    <w:abstractNumId w:val="41"/>
  </w:num>
  <w:num w:numId="10">
    <w:abstractNumId w:val="10"/>
  </w:num>
  <w:num w:numId="11">
    <w:abstractNumId w:val="18"/>
  </w:num>
  <w:num w:numId="12">
    <w:abstractNumId w:val="0"/>
  </w:num>
  <w:num w:numId="13">
    <w:abstractNumId w:val="37"/>
  </w:num>
  <w:num w:numId="14">
    <w:abstractNumId w:val="23"/>
  </w:num>
  <w:num w:numId="15">
    <w:abstractNumId w:val="12"/>
  </w:num>
  <w:num w:numId="16">
    <w:abstractNumId w:val="20"/>
  </w:num>
  <w:num w:numId="17">
    <w:abstractNumId w:val="22"/>
  </w:num>
  <w:num w:numId="18">
    <w:abstractNumId w:val="33"/>
  </w:num>
  <w:num w:numId="19">
    <w:abstractNumId w:val="24"/>
  </w:num>
  <w:num w:numId="20">
    <w:abstractNumId w:val="13"/>
  </w:num>
  <w:num w:numId="21">
    <w:abstractNumId w:val="15"/>
  </w:num>
  <w:num w:numId="22">
    <w:abstractNumId w:val="45"/>
  </w:num>
  <w:num w:numId="23">
    <w:abstractNumId w:val="34"/>
  </w:num>
  <w:num w:numId="24">
    <w:abstractNumId w:val="35"/>
  </w:num>
  <w:num w:numId="25">
    <w:abstractNumId w:val="32"/>
  </w:num>
  <w:num w:numId="26">
    <w:abstractNumId w:val="28"/>
  </w:num>
  <w:num w:numId="27">
    <w:abstractNumId w:val="3"/>
  </w:num>
  <w:num w:numId="28">
    <w:abstractNumId w:val="39"/>
  </w:num>
  <w:num w:numId="29">
    <w:abstractNumId w:val="40"/>
  </w:num>
  <w:num w:numId="30">
    <w:abstractNumId w:val="2"/>
  </w:num>
  <w:num w:numId="31">
    <w:abstractNumId w:val="25"/>
  </w:num>
  <w:num w:numId="32">
    <w:abstractNumId w:val="1"/>
  </w:num>
  <w:num w:numId="33">
    <w:abstractNumId w:val="14"/>
  </w:num>
  <w:num w:numId="34">
    <w:abstractNumId w:val="7"/>
  </w:num>
  <w:num w:numId="35">
    <w:abstractNumId w:val="6"/>
  </w:num>
  <w:num w:numId="36">
    <w:abstractNumId w:val="42"/>
  </w:num>
  <w:num w:numId="37">
    <w:abstractNumId w:val="17"/>
  </w:num>
  <w:num w:numId="38">
    <w:abstractNumId w:val="30"/>
  </w:num>
  <w:num w:numId="39">
    <w:abstractNumId w:val="31"/>
  </w:num>
  <w:num w:numId="40">
    <w:abstractNumId w:val="11"/>
  </w:num>
  <w:num w:numId="41">
    <w:abstractNumId w:val="4"/>
  </w:num>
  <w:num w:numId="42">
    <w:abstractNumId w:val="26"/>
  </w:num>
  <w:num w:numId="43">
    <w:abstractNumId w:val="27"/>
  </w:num>
  <w:num w:numId="44">
    <w:abstractNumId w:val="38"/>
  </w:num>
  <w:num w:numId="45">
    <w:abstractNumId w:val="3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36"/>
    <w:rsid w:val="00013A3E"/>
    <w:rsid w:val="000140DC"/>
    <w:rsid w:val="000141DF"/>
    <w:rsid w:val="00017763"/>
    <w:rsid w:val="00017CC1"/>
    <w:rsid w:val="00026208"/>
    <w:rsid w:val="00040C85"/>
    <w:rsid w:val="000573B3"/>
    <w:rsid w:val="000618B0"/>
    <w:rsid w:val="000621C3"/>
    <w:rsid w:val="00063387"/>
    <w:rsid w:val="0006354C"/>
    <w:rsid w:val="00065C49"/>
    <w:rsid w:val="000666FE"/>
    <w:rsid w:val="00071D5F"/>
    <w:rsid w:val="00073CFF"/>
    <w:rsid w:val="00082BD8"/>
    <w:rsid w:val="00087CAB"/>
    <w:rsid w:val="000A359D"/>
    <w:rsid w:val="000A6A69"/>
    <w:rsid w:val="000A7681"/>
    <w:rsid w:val="000C1BF5"/>
    <w:rsid w:val="000D4E04"/>
    <w:rsid w:val="000E202E"/>
    <w:rsid w:val="000E5C20"/>
    <w:rsid w:val="000E5D47"/>
    <w:rsid w:val="000F3DE3"/>
    <w:rsid w:val="000F5EC3"/>
    <w:rsid w:val="000F6840"/>
    <w:rsid w:val="001016B1"/>
    <w:rsid w:val="00102B3E"/>
    <w:rsid w:val="00107D39"/>
    <w:rsid w:val="00110211"/>
    <w:rsid w:val="00110C9D"/>
    <w:rsid w:val="001127B9"/>
    <w:rsid w:val="00113274"/>
    <w:rsid w:val="001141BA"/>
    <w:rsid w:val="0011473B"/>
    <w:rsid w:val="00116A52"/>
    <w:rsid w:val="0011754D"/>
    <w:rsid w:val="00123D15"/>
    <w:rsid w:val="00124A97"/>
    <w:rsid w:val="00132542"/>
    <w:rsid w:val="00151EE9"/>
    <w:rsid w:val="0016008E"/>
    <w:rsid w:val="001604E5"/>
    <w:rsid w:val="00166495"/>
    <w:rsid w:val="0017270B"/>
    <w:rsid w:val="00176580"/>
    <w:rsid w:val="00187D8A"/>
    <w:rsid w:val="00196D53"/>
    <w:rsid w:val="001A15B4"/>
    <w:rsid w:val="001A4B86"/>
    <w:rsid w:val="001A4C07"/>
    <w:rsid w:val="001A72F0"/>
    <w:rsid w:val="001B08CC"/>
    <w:rsid w:val="001B5A03"/>
    <w:rsid w:val="001C1F8B"/>
    <w:rsid w:val="001C4407"/>
    <w:rsid w:val="001C7889"/>
    <w:rsid w:val="001E1FC7"/>
    <w:rsid w:val="001E4B50"/>
    <w:rsid w:val="001E78F3"/>
    <w:rsid w:val="001E79CF"/>
    <w:rsid w:val="00205EB7"/>
    <w:rsid w:val="002063A2"/>
    <w:rsid w:val="002128BD"/>
    <w:rsid w:val="00216DB3"/>
    <w:rsid w:val="00221D4B"/>
    <w:rsid w:val="00234ADB"/>
    <w:rsid w:val="00234B93"/>
    <w:rsid w:val="0023551F"/>
    <w:rsid w:val="0023598C"/>
    <w:rsid w:val="002364F1"/>
    <w:rsid w:val="002447F4"/>
    <w:rsid w:val="002461B6"/>
    <w:rsid w:val="00253588"/>
    <w:rsid w:val="00253A30"/>
    <w:rsid w:val="002558BF"/>
    <w:rsid w:val="00263B1B"/>
    <w:rsid w:val="002642EF"/>
    <w:rsid w:val="00267A43"/>
    <w:rsid w:val="0027078C"/>
    <w:rsid w:val="00271D61"/>
    <w:rsid w:val="0029392F"/>
    <w:rsid w:val="002A1B5D"/>
    <w:rsid w:val="002A4648"/>
    <w:rsid w:val="002A7F9A"/>
    <w:rsid w:val="002B0646"/>
    <w:rsid w:val="002B2CF9"/>
    <w:rsid w:val="002B49CB"/>
    <w:rsid w:val="002C2A3B"/>
    <w:rsid w:val="002D7F2A"/>
    <w:rsid w:val="002E677D"/>
    <w:rsid w:val="002F6EA8"/>
    <w:rsid w:val="00303175"/>
    <w:rsid w:val="0030727B"/>
    <w:rsid w:val="003079C7"/>
    <w:rsid w:val="003108DB"/>
    <w:rsid w:val="00313FB6"/>
    <w:rsid w:val="003153A4"/>
    <w:rsid w:val="00315D05"/>
    <w:rsid w:val="00316519"/>
    <w:rsid w:val="00320491"/>
    <w:rsid w:val="003213D4"/>
    <w:rsid w:val="003327F7"/>
    <w:rsid w:val="003362C4"/>
    <w:rsid w:val="0033684C"/>
    <w:rsid w:val="00340FA9"/>
    <w:rsid w:val="00342315"/>
    <w:rsid w:val="00342792"/>
    <w:rsid w:val="0034586B"/>
    <w:rsid w:val="0035166C"/>
    <w:rsid w:val="00360331"/>
    <w:rsid w:val="00361ECE"/>
    <w:rsid w:val="00362615"/>
    <w:rsid w:val="0036297F"/>
    <w:rsid w:val="00362CF9"/>
    <w:rsid w:val="00364777"/>
    <w:rsid w:val="003660A6"/>
    <w:rsid w:val="0037682A"/>
    <w:rsid w:val="00380F33"/>
    <w:rsid w:val="0038114C"/>
    <w:rsid w:val="003811A3"/>
    <w:rsid w:val="003824DD"/>
    <w:rsid w:val="00383A79"/>
    <w:rsid w:val="00393631"/>
    <w:rsid w:val="003A3B6D"/>
    <w:rsid w:val="003A7339"/>
    <w:rsid w:val="003B0436"/>
    <w:rsid w:val="003B59DE"/>
    <w:rsid w:val="003B7192"/>
    <w:rsid w:val="003C2350"/>
    <w:rsid w:val="003C7C14"/>
    <w:rsid w:val="003E239F"/>
    <w:rsid w:val="003E23B5"/>
    <w:rsid w:val="003E2FEC"/>
    <w:rsid w:val="003E58C0"/>
    <w:rsid w:val="003E6399"/>
    <w:rsid w:val="003F28F2"/>
    <w:rsid w:val="0040052A"/>
    <w:rsid w:val="004042CA"/>
    <w:rsid w:val="00406869"/>
    <w:rsid w:val="00410F76"/>
    <w:rsid w:val="00414A7D"/>
    <w:rsid w:val="00431FA0"/>
    <w:rsid w:val="00433838"/>
    <w:rsid w:val="00436A9A"/>
    <w:rsid w:val="0045118C"/>
    <w:rsid w:val="0045229C"/>
    <w:rsid w:val="00452417"/>
    <w:rsid w:val="00453F01"/>
    <w:rsid w:val="0045727C"/>
    <w:rsid w:val="00463410"/>
    <w:rsid w:val="00466451"/>
    <w:rsid w:val="00472E25"/>
    <w:rsid w:val="00474CF7"/>
    <w:rsid w:val="0047528D"/>
    <w:rsid w:val="00476807"/>
    <w:rsid w:val="00491321"/>
    <w:rsid w:val="00496469"/>
    <w:rsid w:val="00497312"/>
    <w:rsid w:val="004B0E7B"/>
    <w:rsid w:val="004B1D1F"/>
    <w:rsid w:val="004B3640"/>
    <w:rsid w:val="004B402A"/>
    <w:rsid w:val="004B53B2"/>
    <w:rsid w:val="004B7554"/>
    <w:rsid w:val="004C0EFE"/>
    <w:rsid w:val="004C6ED2"/>
    <w:rsid w:val="004E0361"/>
    <w:rsid w:val="004E2C14"/>
    <w:rsid w:val="005008CB"/>
    <w:rsid w:val="00501283"/>
    <w:rsid w:val="00501E0D"/>
    <w:rsid w:val="00502089"/>
    <w:rsid w:val="0050270C"/>
    <w:rsid w:val="005129FE"/>
    <w:rsid w:val="00512CC7"/>
    <w:rsid w:val="005264BC"/>
    <w:rsid w:val="0052751D"/>
    <w:rsid w:val="00533C29"/>
    <w:rsid w:val="00535F7F"/>
    <w:rsid w:val="00543E04"/>
    <w:rsid w:val="005560CC"/>
    <w:rsid w:val="00564DF5"/>
    <w:rsid w:val="00565343"/>
    <w:rsid w:val="00566C72"/>
    <w:rsid w:val="00571893"/>
    <w:rsid w:val="005816B6"/>
    <w:rsid w:val="00593A7C"/>
    <w:rsid w:val="005B45BF"/>
    <w:rsid w:val="005B58D1"/>
    <w:rsid w:val="005B689E"/>
    <w:rsid w:val="005D05DD"/>
    <w:rsid w:val="005D3F88"/>
    <w:rsid w:val="005D7455"/>
    <w:rsid w:val="005E14C3"/>
    <w:rsid w:val="005E23F2"/>
    <w:rsid w:val="005E2626"/>
    <w:rsid w:val="005E3072"/>
    <w:rsid w:val="005F013B"/>
    <w:rsid w:val="005F2148"/>
    <w:rsid w:val="005F26D1"/>
    <w:rsid w:val="0060052F"/>
    <w:rsid w:val="006075F1"/>
    <w:rsid w:val="00610096"/>
    <w:rsid w:val="00617C22"/>
    <w:rsid w:val="00622272"/>
    <w:rsid w:val="00625071"/>
    <w:rsid w:val="00633659"/>
    <w:rsid w:val="006362F3"/>
    <w:rsid w:val="00637120"/>
    <w:rsid w:val="0065130D"/>
    <w:rsid w:val="00661B25"/>
    <w:rsid w:val="00666715"/>
    <w:rsid w:val="00666C0E"/>
    <w:rsid w:val="006676CE"/>
    <w:rsid w:val="00676CFA"/>
    <w:rsid w:val="00677897"/>
    <w:rsid w:val="0068353C"/>
    <w:rsid w:val="00686EAB"/>
    <w:rsid w:val="00687E3B"/>
    <w:rsid w:val="006A0FC6"/>
    <w:rsid w:val="006A7702"/>
    <w:rsid w:val="006C0F5E"/>
    <w:rsid w:val="006D59D8"/>
    <w:rsid w:val="006E5A28"/>
    <w:rsid w:val="006F0B6B"/>
    <w:rsid w:val="006F2998"/>
    <w:rsid w:val="006F3BE4"/>
    <w:rsid w:val="006F7EED"/>
    <w:rsid w:val="007003B6"/>
    <w:rsid w:val="00700B87"/>
    <w:rsid w:val="0070648D"/>
    <w:rsid w:val="00714E05"/>
    <w:rsid w:val="00715150"/>
    <w:rsid w:val="00715DFE"/>
    <w:rsid w:val="007201BA"/>
    <w:rsid w:val="0072146B"/>
    <w:rsid w:val="00725E26"/>
    <w:rsid w:val="00733696"/>
    <w:rsid w:val="0073452B"/>
    <w:rsid w:val="007445E3"/>
    <w:rsid w:val="00745728"/>
    <w:rsid w:val="00745971"/>
    <w:rsid w:val="0074691B"/>
    <w:rsid w:val="007540A4"/>
    <w:rsid w:val="00757149"/>
    <w:rsid w:val="00757E2E"/>
    <w:rsid w:val="00760A29"/>
    <w:rsid w:val="00763ED6"/>
    <w:rsid w:val="00766E49"/>
    <w:rsid w:val="00772D73"/>
    <w:rsid w:val="00792352"/>
    <w:rsid w:val="00793BED"/>
    <w:rsid w:val="00793F62"/>
    <w:rsid w:val="007943C1"/>
    <w:rsid w:val="0079774D"/>
    <w:rsid w:val="007A0186"/>
    <w:rsid w:val="007D04B8"/>
    <w:rsid w:val="007D4F75"/>
    <w:rsid w:val="007D5B49"/>
    <w:rsid w:val="007D6F2E"/>
    <w:rsid w:val="007E648C"/>
    <w:rsid w:val="007F7B7B"/>
    <w:rsid w:val="00804AA2"/>
    <w:rsid w:val="008135BB"/>
    <w:rsid w:val="0081395C"/>
    <w:rsid w:val="00816DBA"/>
    <w:rsid w:val="00820436"/>
    <w:rsid w:val="0082280E"/>
    <w:rsid w:val="00823045"/>
    <w:rsid w:val="00826207"/>
    <w:rsid w:val="00826C33"/>
    <w:rsid w:val="00830BF6"/>
    <w:rsid w:val="008456AE"/>
    <w:rsid w:val="0086193F"/>
    <w:rsid w:val="00867E31"/>
    <w:rsid w:val="008718EE"/>
    <w:rsid w:val="00875CE3"/>
    <w:rsid w:val="00895195"/>
    <w:rsid w:val="00896FF6"/>
    <w:rsid w:val="008974E9"/>
    <w:rsid w:val="008A24D7"/>
    <w:rsid w:val="008A281A"/>
    <w:rsid w:val="008A2BED"/>
    <w:rsid w:val="008A5102"/>
    <w:rsid w:val="008C1509"/>
    <w:rsid w:val="008C5568"/>
    <w:rsid w:val="008C5A89"/>
    <w:rsid w:val="008D4B66"/>
    <w:rsid w:val="008F0678"/>
    <w:rsid w:val="009016D5"/>
    <w:rsid w:val="009126CE"/>
    <w:rsid w:val="00916E7E"/>
    <w:rsid w:val="00931CC9"/>
    <w:rsid w:val="00941AEF"/>
    <w:rsid w:val="009432B8"/>
    <w:rsid w:val="00943DE6"/>
    <w:rsid w:val="009509FD"/>
    <w:rsid w:val="009531D7"/>
    <w:rsid w:val="009613FA"/>
    <w:rsid w:val="00961479"/>
    <w:rsid w:val="00961C54"/>
    <w:rsid w:val="00963523"/>
    <w:rsid w:val="00964197"/>
    <w:rsid w:val="00964772"/>
    <w:rsid w:val="009707D6"/>
    <w:rsid w:val="00980956"/>
    <w:rsid w:val="00981BD3"/>
    <w:rsid w:val="00983C76"/>
    <w:rsid w:val="00985F3A"/>
    <w:rsid w:val="0099105D"/>
    <w:rsid w:val="0099417F"/>
    <w:rsid w:val="00994954"/>
    <w:rsid w:val="00995B83"/>
    <w:rsid w:val="009A0FEC"/>
    <w:rsid w:val="009A1CB0"/>
    <w:rsid w:val="009A5C3A"/>
    <w:rsid w:val="009B4F32"/>
    <w:rsid w:val="009C34A5"/>
    <w:rsid w:val="009D10D8"/>
    <w:rsid w:val="009D631C"/>
    <w:rsid w:val="009E0B8A"/>
    <w:rsid w:val="009E31EC"/>
    <w:rsid w:val="009E3762"/>
    <w:rsid w:val="009E3B2A"/>
    <w:rsid w:val="00A00DDA"/>
    <w:rsid w:val="00A015E5"/>
    <w:rsid w:val="00A100D7"/>
    <w:rsid w:val="00A13B07"/>
    <w:rsid w:val="00A14894"/>
    <w:rsid w:val="00A15A1E"/>
    <w:rsid w:val="00A237E1"/>
    <w:rsid w:val="00A23B98"/>
    <w:rsid w:val="00A40BF9"/>
    <w:rsid w:val="00A415BC"/>
    <w:rsid w:val="00A449DE"/>
    <w:rsid w:val="00A500EB"/>
    <w:rsid w:val="00A523EC"/>
    <w:rsid w:val="00A53DA7"/>
    <w:rsid w:val="00A6221C"/>
    <w:rsid w:val="00A62B48"/>
    <w:rsid w:val="00A63C58"/>
    <w:rsid w:val="00A71249"/>
    <w:rsid w:val="00A73855"/>
    <w:rsid w:val="00A73E85"/>
    <w:rsid w:val="00A74F31"/>
    <w:rsid w:val="00A92635"/>
    <w:rsid w:val="00A92A4A"/>
    <w:rsid w:val="00AA2554"/>
    <w:rsid w:val="00AA4A70"/>
    <w:rsid w:val="00AA5936"/>
    <w:rsid w:val="00AB5EFB"/>
    <w:rsid w:val="00AC7BE5"/>
    <w:rsid w:val="00AD0562"/>
    <w:rsid w:val="00AF5A9E"/>
    <w:rsid w:val="00B10015"/>
    <w:rsid w:val="00B1494B"/>
    <w:rsid w:val="00B23B0C"/>
    <w:rsid w:val="00B310C6"/>
    <w:rsid w:val="00B34BB5"/>
    <w:rsid w:val="00B37A2A"/>
    <w:rsid w:val="00B42912"/>
    <w:rsid w:val="00B4794D"/>
    <w:rsid w:val="00B665AB"/>
    <w:rsid w:val="00B76598"/>
    <w:rsid w:val="00B81800"/>
    <w:rsid w:val="00B850F2"/>
    <w:rsid w:val="00B87AE3"/>
    <w:rsid w:val="00BA131E"/>
    <w:rsid w:val="00BB311C"/>
    <w:rsid w:val="00BB6578"/>
    <w:rsid w:val="00BC1435"/>
    <w:rsid w:val="00BC6B38"/>
    <w:rsid w:val="00BE4D04"/>
    <w:rsid w:val="00BE567C"/>
    <w:rsid w:val="00C0349D"/>
    <w:rsid w:val="00C0397B"/>
    <w:rsid w:val="00C156B5"/>
    <w:rsid w:val="00C15703"/>
    <w:rsid w:val="00C203B7"/>
    <w:rsid w:val="00C2048C"/>
    <w:rsid w:val="00C220A4"/>
    <w:rsid w:val="00C258FD"/>
    <w:rsid w:val="00C26CEC"/>
    <w:rsid w:val="00C27FDC"/>
    <w:rsid w:val="00C30A4F"/>
    <w:rsid w:val="00C36E4B"/>
    <w:rsid w:val="00C40784"/>
    <w:rsid w:val="00C41120"/>
    <w:rsid w:val="00C413F6"/>
    <w:rsid w:val="00C42D0C"/>
    <w:rsid w:val="00C47637"/>
    <w:rsid w:val="00C5211E"/>
    <w:rsid w:val="00C736B2"/>
    <w:rsid w:val="00CA1858"/>
    <w:rsid w:val="00CA2402"/>
    <w:rsid w:val="00CA3EBD"/>
    <w:rsid w:val="00CA44F0"/>
    <w:rsid w:val="00CB3412"/>
    <w:rsid w:val="00CB5F60"/>
    <w:rsid w:val="00CC2BDC"/>
    <w:rsid w:val="00CC5438"/>
    <w:rsid w:val="00CE481A"/>
    <w:rsid w:val="00CE63C2"/>
    <w:rsid w:val="00CE6450"/>
    <w:rsid w:val="00CF173F"/>
    <w:rsid w:val="00CF3093"/>
    <w:rsid w:val="00CF3A06"/>
    <w:rsid w:val="00CF5AA2"/>
    <w:rsid w:val="00D06865"/>
    <w:rsid w:val="00D205B6"/>
    <w:rsid w:val="00D22046"/>
    <w:rsid w:val="00D2288B"/>
    <w:rsid w:val="00D320FC"/>
    <w:rsid w:val="00D342F4"/>
    <w:rsid w:val="00D34898"/>
    <w:rsid w:val="00D36CF4"/>
    <w:rsid w:val="00D414B8"/>
    <w:rsid w:val="00D447EF"/>
    <w:rsid w:val="00D47E61"/>
    <w:rsid w:val="00D70D53"/>
    <w:rsid w:val="00D71053"/>
    <w:rsid w:val="00D71A43"/>
    <w:rsid w:val="00D758A4"/>
    <w:rsid w:val="00D9035A"/>
    <w:rsid w:val="00D94A64"/>
    <w:rsid w:val="00DA342B"/>
    <w:rsid w:val="00DB505D"/>
    <w:rsid w:val="00DB737A"/>
    <w:rsid w:val="00DB7640"/>
    <w:rsid w:val="00DD0A0B"/>
    <w:rsid w:val="00DE348A"/>
    <w:rsid w:val="00DF2A25"/>
    <w:rsid w:val="00DF53B9"/>
    <w:rsid w:val="00DF7057"/>
    <w:rsid w:val="00DF7D25"/>
    <w:rsid w:val="00E00DFB"/>
    <w:rsid w:val="00E07531"/>
    <w:rsid w:val="00E07B6A"/>
    <w:rsid w:val="00E128CA"/>
    <w:rsid w:val="00E14688"/>
    <w:rsid w:val="00E17804"/>
    <w:rsid w:val="00E30F4B"/>
    <w:rsid w:val="00E35AB1"/>
    <w:rsid w:val="00E3696D"/>
    <w:rsid w:val="00E37D74"/>
    <w:rsid w:val="00E450DB"/>
    <w:rsid w:val="00E51559"/>
    <w:rsid w:val="00E7068C"/>
    <w:rsid w:val="00E81363"/>
    <w:rsid w:val="00E85490"/>
    <w:rsid w:val="00EA13EF"/>
    <w:rsid w:val="00EA22E7"/>
    <w:rsid w:val="00EA5401"/>
    <w:rsid w:val="00EB0955"/>
    <w:rsid w:val="00EB5C0B"/>
    <w:rsid w:val="00EC38E3"/>
    <w:rsid w:val="00EC3C6A"/>
    <w:rsid w:val="00EE1F43"/>
    <w:rsid w:val="00EE21CC"/>
    <w:rsid w:val="00EE2FC2"/>
    <w:rsid w:val="00EF442E"/>
    <w:rsid w:val="00EF7B2E"/>
    <w:rsid w:val="00F03DFE"/>
    <w:rsid w:val="00F03FD3"/>
    <w:rsid w:val="00F110D8"/>
    <w:rsid w:val="00F148A6"/>
    <w:rsid w:val="00F2735D"/>
    <w:rsid w:val="00F40799"/>
    <w:rsid w:val="00F43DBC"/>
    <w:rsid w:val="00F4693E"/>
    <w:rsid w:val="00F52084"/>
    <w:rsid w:val="00F5617D"/>
    <w:rsid w:val="00F60386"/>
    <w:rsid w:val="00F61925"/>
    <w:rsid w:val="00F65461"/>
    <w:rsid w:val="00F66763"/>
    <w:rsid w:val="00F7206D"/>
    <w:rsid w:val="00F7308A"/>
    <w:rsid w:val="00F73DE0"/>
    <w:rsid w:val="00F87472"/>
    <w:rsid w:val="00F961BF"/>
    <w:rsid w:val="00FA0CF5"/>
    <w:rsid w:val="00FA3EBE"/>
    <w:rsid w:val="00FA792F"/>
    <w:rsid w:val="00FB362B"/>
    <w:rsid w:val="00FB36D6"/>
    <w:rsid w:val="00FC0BCB"/>
    <w:rsid w:val="00FC5571"/>
    <w:rsid w:val="00FC5713"/>
    <w:rsid w:val="00FC7D55"/>
    <w:rsid w:val="00FD6FB3"/>
    <w:rsid w:val="00FE3C25"/>
    <w:rsid w:val="00FE46CC"/>
    <w:rsid w:val="00FF01C6"/>
    <w:rsid w:val="00FF0DC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1FC5"/>
  <w15:docId w15:val="{B3C38331-6461-4BC7-88BE-F95BC4C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aliases w:val="titulo 3,Ha,Resume Title,Bullet List,FooterText,numbered,List Paragraph1,Paragraphe de liste1,lp1,HOJA,Bolita,Párrafo de lista4,BOLADEF,Párrafo de lista3,Párrafo de lista21,BOLA,Nivel 1 OS,Lista vistosa - Énfasis 11,b1,Foot,List,列出段落"/>
    <w:basedOn w:val="Normal"/>
    <w:link w:val="PrrafodelistaCar"/>
    <w:uiPriority w:val="1"/>
    <w:qFormat/>
    <w:rsid w:val="001536E1"/>
    <w:pPr>
      <w:ind w:left="720"/>
      <w:contextualSpacing/>
    </w:pPr>
  </w:style>
  <w:style w:type="paragraph" w:styleId="Sinespaciado">
    <w:name w:val="No Spacing"/>
    <w:uiPriority w:val="1"/>
    <w:qFormat/>
    <w:rsid w:val="00903765"/>
  </w:style>
  <w:style w:type="paragraph" w:customStyle="1" w:styleId="Default">
    <w:name w:val="Default"/>
    <w:rsid w:val="00071E0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O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C85"/>
  </w:style>
  <w:style w:type="paragraph" w:styleId="Piedepgina">
    <w:name w:val="footer"/>
    <w:basedOn w:val="Normal"/>
    <w:link w:val="PiedepginaCar"/>
    <w:uiPriority w:val="99"/>
    <w:unhideWhenUsed/>
    <w:rsid w:val="00040C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C85"/>
  </w:style>
  <w:style w:type="paragraph" w:styleId="Textodeglobo">
    <w:name w:val="Balloon Text"/>
    <w:basedOn w:val="Normal"/>
    <w:link w:val="TextodegloboCar"/>
    <w:uiPriority w:val="99"/>
    <w:semiHidden/>
    <w:unhideWhenUsed/>
    <w:rsid w:val="00EE21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1C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,Ha Car,Resume Title Car,Bullet List Car,FooterText Car,numbered Car,List Paragraph1 Car,Paragraphe de liste1 Car,lp1 Car,HOJA Car,Bolita Car,Párrafo de lista4 Car,BOLADEF Car,Párrafo de lista3 Car,Párrafo de lista21 Car"/>
    <w:link w:val="Prrafodelista"/>
    <w:uiPriority w:val="1"/>
    <w:qFormat/>
    <w:locked/>
    <w:rsid w:val="00436A9A"/>
  </w:style>
  <w:style w:type="table" w:styleId="Tablaconcuadrcula">
    <w:name w:val="Table Grid"/>
    <w:basedOn w:val="Tablanormal"/>
    <w:uiPriority w:val="39"/>
    <w:rsid w:val="00C156B5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3153A4"/>
  </w:style>
  <w:style w:type="character" w:customStyle="1" w:styleId="normaltextrun">
    <w:name w:val="normaltextrun"/>
    <w:basedOn w:val="Fuentedeprrafopredeter"/>
    <w:rsid w:val="00983C76"/>
  </w:style>
  <w:style w:type="character" w:customStyle="1" w:styleId="eop">
    <w:name w:val="eop"/>
    <w:basedOn w:val="Fuentedeprrafopredeter"/>
    <w:rsid w:val="00983C76"/>
  </w:style>
  <w:style w:type="paragraph" w:styleId="NormalWeb">
    <w:name w:val="Normal (Web)"/>
    <w:basedOn w:val="Normal"/>
    <w:uiPriority w:val="99"/>
    <w:semiHidden/>
    <w:unhideWhenUsed/>
    <w:rsid w:val="00FE3C25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  <w:lang w:val="es-ES_tradnl" w:eastAsia="es-ES"/>
    </w:rPr>
  </w:style>
  <w:style w:type="paragraph" w:customStyle="1" w:styleId="s12">
    <w:name w:val="s12"/>
    <w:basedOn w:val="Normal"/>
    <w:uiPriority w:val="99"/>
    <w:rsid w:val="00FE3C2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citation-28">
    <w:name w:val="citation-28"/>
    <w:basedOn w:val="Fuentedeprrafopredeter"/>
    <w:rsid w:val="00FE3C25"/>
  </w:style>
  <w:style w:type="character" w:customStyle="1" w:styleId="citation-26">
    <w:name w:val="citation-26"/>
    <w:basedOn w:val="Fuentedeprrafopredeter"/>
    <w:rsid w:val="00FE3C25"/>
  </w:style>
  <w:style w:type="character" w:customStyle="1" w:styleId="citation-21">
    <w:name w:val="citation-21"/>
    <w:basedOn w:val="Fuentedeprrafopredeter"/>
    <w:rsid w:val="00FE3C25"/>
  </w:style>
  <w:style w:type="character" w:customStyle="1" w:styleId="citation-20">
    <w:name w:val="citation-20"/>
    <w:basedOn w:val="Fuentedeprrafopredeter"/>
    <w:rsid w:val="00FE3C25"/>
  </w:style>
  <w:style w:type="character" w:customStyle="1" w:styleId="citation-32">
    <w:name w:val="citation-32"/>
    <w:basedOn w:val="Fuentedeprrafopredeter"/>
    <w:rsid w:val="00FE3C25"/>
  </w:style>
  <w:style w:type="character" w:customStyle="1" w:styleId="citation-25">
    <w:name w:val="citation-25"/>
    <w:basedOn w:val="Fuentedeprrafopredeter"/>
    <w:rsid w:val="00FE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R6eB9HsuCtnEdfH/FVXZK4TXQ==">CgMxLjA4AHIhMWdNbjRQNnRhS1NmNXdpWVN3cjJXYklhSkNoNHlETkNN</go:docsCustomData>
</go:gDocsCustomXmlDataStorage>
</file>

<file path=customXml/itemProps1.xml><?xml version="1.0" encoding="utf-8"?>
<ds:datastoreItem xmlns:ds="http://schemas.openxmlformats.org/officeDocument/2006/customXml" ds:itemID="{7F7798B5-CC5C-438D-A61B-567BA0EFD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Figueroa</dc:creator>
  <cp:lastModifiedBy>Javier Eduardo Figueroa Pulido</cp:lastModifiedBy>
  <cp:revision>25</cp:revision>
  <cp:lastPrinted>2025-11-19T19:38:00Z</cp:lastPrinted>
  <dcterms:created xsi:type="dcterms:W3CDTF">2026-03-20T12:27:00Z</dcterms:created>
  <dcterms:modified xsi:type="dcterms:W3CDTF">2026-03-20T12:41:00Z</dcterms:modified>
</cp:coreProperties>
</file>