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09BFE" w14:textId="77777777" w:rsidR="00732112" w:rsidRDefault="00D16BD0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PROYECTO DE LEY No. ___ DE 2025 “LEY PATRICIA TEHERÁN”</w:t>
      </w:r>
    </w:p>
    <w:p w14:paraId="0E9D38D1" w14:textId="77777777" w:rsidR="00732112" w:rsidRDefault="00732112">
      <w:pPr>
        <w:jc w:val="center"/>
        <w:rPr>
          <w:rFonts w:ascii="Bookman Old Style" w:eastAsia="Bookman Old Style" w:hAnsi="Bookman Old Style" w:cs="Bookman Old Style"/>
          <w:b/>
          <w:bCs/>
        </w:rPr>
      </w:pPr>
    </w:p>
    <w:p w14:paraId="40995FB9" w14:textId="77777777" w:rsidR="00732112" w:rsidRDefault="00D16BD0">
      <w:pPr>
        <w:jc w:val="center"/>
        <w:rPr>
          <w:rFonts w:ascii="Bookman Old Style" w:eastAsia="Bookman Old Style" w:hAnsi="Bookman Old Style" w:cs="Bookman Old Style"/>
          <w:b/>
          <w:bCs/>
        </w:rPr>
      </w:pPr>
      <w:bookmarkStart w:id="0" w:name="_heading=h.psx2cr5qd5uc" w:colFirst="0" w:colLast="0"/>
      <w:bookmarkEnd w:id="0"/>
      <w:r>
        <w:rPr>
          <w:rFonts w:ascii="Bookman Old Style" w:eastAsia="Bookman Old Style" w:hAnsi="Bookman Old Style" w:cs="Bookman Old Style"/>
          <w:b/>
          <w:bCs/>
        </w:rPr>
        <w:t>“Por medio de la cual se establecen medidas para promover la participación y el reconocimiento de las mujeres artistas del vallenato en eventos culturales, folclóricos y artísticos financiados con recursos públicos y se dictan otras disposiciones para la s</w:t>
      </w:r>
      <w:r>
        <w:rPr>
          <w:rFonts w:ascii="Bookman Old Style" w:eastAsia="Bookman Old Style" w:hAnsi="Bookman Old Style" w:cs="Bookman Old Style"/>
          <w:b/>
          <w:bCs/>
        </w:rPr>
        <w:t>alvaguardia del patrimonio cultural inmaterial y la equidad de género”</w:t>
      </w:r>
    </w:p>
    <w:p w14:paraId="56FA2614" w14:textId="77777777" w:rsidR="00732112" w:rsidRDefault="00732112">
      <w:pPr>
        <w:jc w:val="center"/>
        <w:rPr>
          <w:rFonts w:ascii="Bookman Old Style" w:eastAsia="Bookman Old Style" w:hAnsi="Bookman Old Style" w:cs="Bookman Old Style"/>
          <w:b/>
          <w:bCs/>
        </w:rPr>
      </w:pPr>
    </w:p>
    <w:p w14:paraId="5593C05B" w14:textId="77777777" w:rsidR="00732112" w:rsidRDefault="00D16BD0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EXPOSICIÓN DE MOTIVOS</w:t>
      </w:r>
    </w:p>
    <w:p w14:paraId="20473CE6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7F81539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1. Introducción</w:t>
      </w:r>
    </w:p>
    <w:p w14:paraId="33532B76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18B71C18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El presente proyecto de ley tiene como finalidad garantizar, promover y fortalecer la participación activa y equitativa de las mujeres artistas </w:t>
      </w:r>
      <w:r>
        <w:rPr>
          <w:rFonts w:ascii="Bookman Old Style" w:eastAsia="Bookman Old Style" w:hAnsi="Bookman Old Style" w:cs="Bookman Old Style"/>
        </w:rPr>
        <w:t>del vallenato en los eventos culturales, folclóricos y artísticos, dentro del territorio nacional, financiados con recursos públicos, contribuyendo así, al fortalecimiento de los procesos del Plan Especial de Salvaguardia de la Música Vallenata Tradicional</w:t>
      </w:r>
      <w:r>
        <w:rPr>
          <w:rFonts w:ascii="Bookman Old Style" w:eastAsia="Bookman Old Style" w:hAnsi="Bookman Old Style" w:cs="Bookman Old Style"/>
        </w:rPr>
        <w:t xml:space="preserve"> en lo relacionado con la </w:t>
      </w:r>
      <w:proofErr w:type="spellStart"/>
      <w:r>
        <w:rPr>
          <w:rFonts w:ascii="Bookman Old Style" w:eastAsia="Bookman Old Style" w:hAnsi="Bookman Old Style" w:cs="Bookman Old Style"/>
        </w:rPr>
        <w:t>visibilización</w:t>
      </w:r>
      <w:proofErr w:type="spellEnd"/>
      <w:r>
        <w:rPr>
          <w:rFonts w:ascii="Bookman Old Style" w:eastAsia="Bookman Old Style" w:hAnsi="Bookman Old Style" w:cs="Bookman Old Style"/>
        </w:rPr>
        <w:t xml:space="preserve"> y participación de las mujeres. Esta participación se fundamenta en el reconocimiento de las mujeres no solo como artistas, sino como creadoras, portadoras y salvaguardas vivas del vallenato, patrimonio cultural inm</w:t>
      </w:r>
      <w:r>
        <w:rPr>
          <w:rFonts w:ascii="Bookman Old Style" w:eastAsia="Bookman Old Style" w:hAnsi="Bookman Old Style" w:cs="Bookman Old Style"/>
        </w:rPr>
        <w:t>aterial de la Nación.</w:t>
      </w:r>
    </w:p>
    <w:p w14:paraId="43BD9079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5A5C3DEF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Han surgido mujeres de diversos territorios de Colombia que hoy se destacan como salvaguardas de este legado, aportando nuevas miradas, sonoridades y prácticas culturales que enriquecen la tradición y fortalecen la transmisión interg</w:t>
      </w:r>
      <w:r>
        <w:rPr>
          <w:rFonts w:ascii="Bookman Old Style" w:eastAsia="Bookman Old Style" w:hAnsi="Bookman Old Style" w:cs="Bookman Old Style"/>
        </w:rPr>
        <w:t>eneracional del folclor que hoy es reconocido como Patrimonio Cultural Inmaterial de la Humanidad.</w:t>
      </w:r>
    </w:p>
    <w:p w14:paraId="1FC0DAB5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44932646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Esta iniciativa responde a los mandatos constitucionales de igualdad real y efectiva (art. 13) y de promoción de la cultura (arts. 70 y 71), y se enmarca en</w:t>
      </w:r>
      <w:r>
        <w:rPr>
          <w:rFonts w:ascii="Bookman Old Style" w:eastAsia="Bookman Old Style" w:hAnsi="Bookman Old Style" w:cs="Bookman Old Style"/>
        </w:rPr>
        <w:t xml:space="preserve"> los compromisos internacionales adquiridos por el Estado colombiano ante la UNESCO, la Convención sobre la Eliminación de Todas las Formas de Discriminación contra la Mujer (CEDAW) y la Convención de 2003 para la Salvaguardia del Patrimonio Cultural Inmat</w:t>
      </w:r>
      <w:r>
        <w:rPr>
          <w:rFonts w:ascii="Bookman Old Style" w:eastAsia="Bookman Old Style" w:hAnsi="Bookman Old Style" w:cs="Bookman Old Style"/>
        </w:rPr>
        <w:t>erial.</w:t>
      </w:r>
    </w:p>
    <w:p w14:paraId="5C302112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3D71A0FB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El proyecto lleva el nombre de Patricia Teherán Romero en homenaje a la voz femenina más representativa en la historia del vallenato, símbolo de lucha, resiliencia y talento. Su legado no solo marcó un hito artístico, sino que abrió las puertas a u</w:t>
      </w:r>
      <w:r>
        <w:rPr>
          <w:rFonts w:ascii="Bookman Old Style" w:eastAsia="Bookman Old Style" w:hAnsi="Bookman Old Style" w:cs="Bookman Old Style"/>
        </w:rPr>
        <w:t>na transformación cultural profunda en un género históricamente dominado por hombres.</w:t>
      </w:r>
    </w:p>
    <w:p w14:paraId="4B39972C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7B695297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Asimismo, el texto recoge aportes y reflexiones de colectivos y redes de mujeres artistas, entre ellas principalmente la Red Nacional de Mujeres Artistas del </w:t>
      </w:r>
      <w:r>
        <w:rPr>
          <w:rFonts w:ascii="Bookman Old Style" w:eastAsia="Bookman Old Style" w:hAnsi="Bookman Old Style" w:cs="Bookman Old Style"/>
        </w:rPr>
        <w:lastRenderedPageBreak/>
        <w:t>Vallenato –</w:t>
      </w:r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ValleMPaz</w:t>
      </w:r>
      <w:proofErr w:type="spellEnd"/>
      <w:r>
        <w:rPr>
          <w:rFonts w:ascii="Bookman Old Style" w:eastAsia="Bookman Old Style" w:hAnsi="Bookman Old Style" w:cs="Bookman Old Style"/>
        </w:rPr>
        <w:t>, la cual es pionera en la defensa y promoción de los derechos culturales y artísticos de las mujeres artistas del vallenato, impulsando su reconocimiento y participación en igualdad dentro de este folclor, en coherencia con los estándares intern</w:t>
      </w:r>
      <w:r>
        <w:rPr>
          <w:rFonts w:ascii="Bookman Old Style" w:eastAsia="Bookman Old Style" w:hAnsi="Bookman Old Style" w:cs="Bookman Old Style"/>
        </w:rPr>
        <w:t>acionales de la UNESCO y las Naciones Unidas sobre el disfrute de los derechos culturales de las mujeres en condiciones de igualdad.</w:t>
      </w:r>
    </w:p>
    <w:p w14:paraId="1292625F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14D47F33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2. Fundamentación de la Necesidad de la Iniciativa</w:t>
      </w:r>
    </w:p>
    <w:p w14:paraId="37209335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2.1. Brecha estructural de género en el ámbito cultural vallenato</w:t>
      </w:r>
    </w:p>
    <w:p w14:paraId="77BC1D43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6BB7859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Pese</w:t>
      </w:r>
      <w:r>
        <w:rPr>
          <w:rFonts w:ascii="Bookman Old Style" w:eastAsia="Bookman Old Style" w:hAnsi="Bookman Old Style" w:cs="Bookman Old Style"/>
        </w:rPr>
        <w:t xml:space="preserve"> a que el vallenato fue declarado por la UNESCO (2015) como Patrimonio Cultural Inmaterial de la Humanidad, las mujeres continúan enfrentando una exclusión estructural en los espacios de creación, interpretación, dirección y evaluación dentro de los festiv</w:t>
      </w:r>
      <w:r>
        <w:rPr>
          <w:rFonts w:ascii="Bookman Old Style" w:eastAsia="Bookman Old Style" w:hAnsi="Bookman Old Style" w:cs="Bookman Old Style"/>
        </w:rPr>
        <w:t>ales culturales.</w:t>
      </w:r>
    </w:p>
    <w:p w14:paraId="61049C1D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8E5DDB4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Datos del Ministerio de Cultura y observatorios culturales regionales indican que menos del 20% de los participantes en festivales vallenatos son mujeres y que solo el 10% de los jurados o directores artísticos son de género femenino.</w:t>
      </w:r>
    </w:p>
    <w:p w14:paraId="7576FBB5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70A34D3B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Es</w:t>
      </w:r>
      <w:r>
        <w:rPr>
          <w:rFonts w:ascii="Bookman Old Style" w:eastAsia="Bookman Old Style" w:hAnsi="Bookman Old Style" w:cs="Bookman Old Style"/>
        </w:rPr>
        <w:t>ta desigualdad se refleja también en la distribución de oportunidades: pocas mujeres logran acceder a los escenarios principales o recibir estímulos culturales, y la mayoría se mantiene en espacios de formación o acompañamiento, sin reconocimiento instituc</w:t>
      </w:r>
      <w:r>
        <w:rPr>
          <w:rFonts w:ascii="Bookman Old Style" w:eastAsia="Bookman Old Style" w:hAnsi="Bookman Old Style" w:cs="Bookman Old Style"/>
        </w:rPr>
        <w:t>ional.</w:t>
      </w:r>
    </w:p>
    <w:p w14:paraId="43D6C1A6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20CFE8D4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El Informe de la UNESCO sobre Música y Mujeres (2022) advierte que la falta de visibilidad femenina en las tradiciones musicales locales no solo constituye una forma de discriminación, sino también una pérdida de diversidad cultural, pues excluye p</w:t>
      </w:r>
      <w:r>
        <w:rPr>
          <w:rFonts w:ascii="Bookman Old Style" w:eastAsia="Bookman Old Style" w:hAnsi="Bookman Old Style" w:cs="Bookman Old Style"/>
        </w:rPr>
        <w:t>erspectivas, estilos y saberes que enriquecen el patrimonio común.</w:t>
      </w:r>
    </w:p>
    <w:p w14:paraId="6323D997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715F681E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2.2. Patrimonio cultural y enfoque de género</w:t>
      </w:r>
    </w:p>
    <w:p w14:paraId="742A472C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14F961FE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El Plan Especial de Salvaguardia del Vallenato Tradicional establece que la sostenibilidad de este patrimonio depende de la participación activa de las comunidades portadoras y del fortalecimiento de la transmisión intergeneracional. En este sentido, las m</w:t>
      </w:r>
      <w:r>
        <w:rPr>
          <w:rFonts w:ascii="Bookman Old Style" w:eastAsia="Bookman Old Style" w:hAnsi="Bookman Old Style" w:cs="Bookman Old Style"/>
        </w:rPr>
        <w:t>ujeres cumplen un papel insustituible como transmisoras del conocimiento oral, guardianas de la memoria musical y creadoras de nuevas expresiones contemporáneas.</w:t>
      </w:r>
    </w:p>
    <w:p w14:paraId="3E30FC41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784A1F2E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Sin embargo, su papel ha sido invisibilizado en la historia oficial del vallenato, que tradic</w:t>
      </w:r>
      <w:r>
        <w:rPr>
          <w:rFonts w:ascii="Bookman Old Style" w:eastAsia="Bookman Old Style" w:hAnsi="Bookman Old Style" w:cs="Bookman Old Style"/>
        </w:rPr>
        <w:t xml:space="preserve">ionalmente ha priorizado la figura masculina del juglar, del compositor o del intérprete. Esta exclusión histórica exige la adopción de medidas de acción afirmativa, orientadas a garantizar el acceso equitativo a la </w:t>
      </w:r>
      <w:r>
        <w:rPr>
          <w:rFonts w:ascii="Bookman Old Style" w:eastAsia="Bookman Old Style" w:hAnsi="Bookman Old Style" w:cs="Bookman Old Style"/>
        </w:rPr>
        <w:lastRenderedPageBreak/>
        <w:t>vida cultural y la protección de las exp</w:t>
      </w:r>
      <w:r>
        <w:rPr>
          <w:rFonts w:ascii="Bookman Old Style" w:eastAsia="Bookman Old Style" w:hAnsi="Bookman Old Style" w:cs="Bookman Old Style"/>
        </w:rPr>
        <w:t>resiones femeninas dentro de este género.</w:t>
      </w:r>
    </w:p>
    <w:p w14:paraId="4E9B122F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2E157343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Por tanto, la presente iniciativa no crea un privilegio, sino que corrige una desigualdad histórica, en armonía con el principio de equidad sustantiva de género y las recomendaciones de la Corte Constitucional (Se</w:t>
      </w:r>
      <w:r>
        <w:rPr>
          <w:rFonts w:ascii="Bookman Old Style" w:eastAsia="Bookman Old Style" w:hAnsi="Bookman Old Style" w:cs="Bookman Old Style"/>
        </w:rPr>
        <w:t>ntencias C-371/00, C-103/15, C-671/15), que avalan la implementación de medidas diferenciales para promover la igualdad real.</w:t>
      </w:r>
    </w:p>
    <w:p w14:paraId="07F3912F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26156243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2.3. Enfoque territorial y comunitario</w:t>
      </w:r>
    </w:p>
    <w:p w14:paraId="1D6761EF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2224CD24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El vallenato constituye una expresión viva del Caribe colombiano, enraizada en la identid</w:t>
      </w:r>
      <w:r>
        <w:rPr>
          <w:rFonts w:ascii="Bookman Old Style" w:eastAsia="Bookman Old Style" w:hAnsi="Bookman Old Style" w:cs="Bookman Old Style"/>
        </w:rPr>
        <w:t>ad cultural de departamentos como Cesar, La Guajira, Magdalena y Bolívar. En estas regiones, las mujeres desempeñan múltiples roles como compositoras, intérpretes, docentes, productoras, organizadoras de eventos y gestoras culturales, pero enfrentan limita</w:t>
      </w:r>
      <w:r>
        <w:rPr>
          <w:rFonts w:ascii="Bookman Old Style" w:eastAsia="Bookman Old Style" w:hAnsi="Bookman Old Style" w:cs="Bookman Old Style"/>
        </w:rPr>
        <w:t>ciones derivadas de la falta de apoyo estatal, financiación y reconocimiento institucional.</w:t>
      </w:r>
    </w:p>
    <w:p w14:paraId="78DEA435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104E860F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Esta ley busca cerrar esas brechas territoriales y de género, promoviendo que los festivales, ferias y eventos folclóricos incluyan de manera progresiva criterios </w:t>
      </w:r>
      <w:r>
        <w:rPr>
          <w:rFonts w:ascii="Bookman Old Style" w:eastAsia="Bookman Old Style" w:hAnsi="Bookman Old Style" w:cs="Bookman Old Style"/>
        </w:rPr>
        <w:t xml:space="preserve">de equidad e inclusión, así como incentivos dirigidos a las organizaciones locales que promuevan la participación de mujeres artistas del vallenato y de aquellas vinculadas al clúster cultural del vallenato. </w:t>
      </w:r>
    </w:p>
    <w:p w14:paraId="2F79AA38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983E5BB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4112A67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2.4. Pertinencia social y cultural</w:t>
      </w:r>
    </w:p>
    <w:p w14:paraId="21946160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54685CF1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El recono</w:t>
      </w:r>
      <w:r>
        <w:rPr>
          <w:rFonts w:ascii="Bookman Old Style" w:eastAsia="Bookman Old Style" w:hAnsi="Bookman Old Style" w:cs="Bookman Old Style"/>
        </w:rPr>
        <w:t>cimiento de las mujeres en el vallenato no es solo un acto de justicia, sino una estrategia de fortalecimiento cultural, social y económico. Diversos estudios sobre la economía cultural indican que la inclusión de mujeres en los circuitos artísticos genera</w:t>
      </w:r>
      <w:r>
        <w:rPr>
          <w:rFonts w:ascii="Bookman Old Style" w:eastAsia="Bookman Old Style" w:hAnsi="Bookman Old Style" w:cs="Bookman Old Style"/>
        </w:rPr>
        <w:t xml:space="preserve"> mayor diversidad creativa, cohesión social y crecimiento económico local, al ampliar los públicos y promover nuevos liderazgos.</w:t>
      </w:r>
    </w:p>
    <w:p w14:paraId="42C264D0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36A2628B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Además, la implementación de medidas que garanticen la participación femenina en el folclor vallenato contribuye al cumplimien</w:t>
      </w:r>
      <w:r>
        <w:rPr>
          <w:rFonts w:ascii="Bookman Old Style" w:eastAsia="Bookman Old Style" w:hAnsi="Bookman Old Style" w:cs="Bookman Old Style"/>
        </w:rPr>
        <w:t>to de los Objetivos de Desarrollo Sostenible (ODS 5 y 11), relacionados con la igualdad de género y la protección del patrimonio cultural, en coherencia con la Agenda 2030 de Naciones Unidas.</w:t>
      </w:r>
    </w:p>
    <w:p w14:paraId="0EAB4651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5BB54068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3. Justificación y Alcances</w:t>
      </w:r>
    </w:p>
    <w:p w14:paraId="5374AB59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3DDE5FCE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lastRenderedPageBreak/>
        <w:t>El Proyecto de Ley “Patricia Teher</w:t>
      </w:r>
      <w:r>
        <w:rPr>
          <w:rFonts w:ascii="Bookman Old Style" w:eastAsia="Bookman Old Style" w:hAnsi="Bookman Old Style" w:cs="Bookman Old Style"/>
        </w:rPr>
        <w:t>án” busca revertir las desigualdades históricas mediante acciones concretas que promuevan la participación y el reconocimiento de las mujeres en el ámbito del vallenato, tales como:</w:t>
      </w:r>
    </w:p>
    <w:p w14:paraId="170E3FF3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18B80627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Una participación mínima del 30% de mujeres en tarimas, jurados y comi</w:t>
      </w:r>
      <w:r>
        <w:rPr>
          <w:rFonts w:ascii="Bookman Old Style" w:eastAsia="Bookman Old Style" w:hAnsi="Bookman Old Style" w:cs="Bookman Old Style"/>
        </w:rPr>
        <w:t>tés organizadores de festivales.</w:t>
      </w:r>
    </w:p>
    <w:p w14:paraId="66D0B479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La creación de becas, estímulos y reconocimientos especiales para intérpretes, compositoras, instrumentistas y gestoras culturales, del género vallenato.</w:t>
      </w:r>
    </w:p>
    <w:p w14:paraId="6FA86989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La reparación simbólica de las mujeres que han contribuido al f</w:t>
      </w:r>
      <w:r>
        <w:rPr>
          <w:rFonts w:ascii="Bookman Old Style" w:eastAsia="Bookman Old Style" w:hAnsi="Bookman Old Style" w:cs="Bookman Old Style"/>
        </w:rPr>
        <w:t>olclor vallenato y cuyo legado ha sido omitido en la historia oficial.</w:t>
      </w:r>
    </w:p>
    <w:p w14:paraId="2AE595F8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La promoción de la investigación y formación con enfoque de género en el sector cultural.</w:t>
      </w:r>
    </w:p>
    <w:p w14:paraId="44B725D5" w14:textId="77777777" w:rsidR="00732112" w:rsidRDefault="00D16BD0">
      <w:pPr>
        <w:jc w:val="both"/>
        <w:rPr>
          <w:rFonts w:ascii="Bookman Old Style" w:eastAsia="Bookman Old Style" w:hAnsi="Bookman Old Style" w:cs="Bookman Old Style"/>
          <w:color w:val="FF0000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 xml:space="preserve">La interacción con las distintas redes y asociaciones de mujeres artistas del vallenato legalmente reconocidas, para el enriquecimiento de los procesos de seguimiento y evaluación del Plan Especial de Salvaguardia (PES) de la Música Vallenata Tradicional, </w:t>
      </w:r>
      <w:r>
        <w:rPr>
          <w:rFonts w:ascii="Bookman Old Style" w:eastAsia="Bookman Old Style" w:hAnsi="Bookman Old Style" w:cs="Bookman Old Style"/>
        </w:rPr>
        <w:t>con el fin de garantizar su reconocimiento, inclusión y participación.</w:t>
      </w:r>
    </w:p>
    <w:p w14:paraId="413334F2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482F636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Con estas medidas, la ley no solo busca promover la equidad, sino fortalecer el tejido cultural y social de las regiones vallenatas y de todo el territorio colombiano, reconociendo el </w:t>
      </w:r>
      <w:r>
        <w:rPr>
          <w:rFonts w:ascii="Bookman Old Style" w:eastAsia="Bookman Old Style" w:hAnsi="Bookman Old Style" w:cs="Bookman Old Style"/>
        </w:rPr>
        <w:t>aporte invaluable de las mujeres a la identidad musical y cultural de Colombia.</w:t>
      </w:r>
    </w:p>
    <w:p w14:paraId="0F2C6EB4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369FB73F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El Proyecto de Ley “Patricia Teherán” se ajusta plenamente a la Constitución, la Ley de Cultura y los tratados internacionales sobre igualdad y patrimonio cultural. Representa una medida de justicia histórica y acción afirmativa progresiva que permitirá fo</w:t>
      </w:r>
      <w:r>
        <w:rPr>
          <w:rFonts w:ascii="Bookman Old Style" w:eastAsia="Bookman Old Style" w:hAnsi="Bookman Old Style" w:cs="Bookman Old Style"/>
        </w:rPr>
        <w:t>rtalecer la equidad de género en el sector cultural.</w:t>
      </w:r>
    </w:p>
    <w:p w14:paraId="2845CD25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18DBD571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Su aprobación simbolizará un paso decisivo hacia una Colombia que reconoce, protege y visibiliza el talento de las mujeres que mantienen viva la esencia del vallenato, honrando la memoria de Patricia Te</w:t>
      </w:r>
      <w:r>
        <w:rPr>
          <w:rFonts w:ascii="Bookman Old Style" w:eastAsia="Bookman Old Style" w:hAnsi="Bookman Old Style" w:cs="Bookman Old Style"/>
        </w:rPr>
        <w:t>herán y el trabajo de tantas mujeres que, desde sus comunidades y redes culturales, han sostenido con dignidad la voz femenina del Caribe colombiano y que hoy, en toda Colombia, continúan fortaleciendo y expandiendo esa herencia musical con su talento y co</w:t>
      </w:r>
      <w:r>
        <w:rPr>
          <w:rFonts w:ascii="Bookman Old Style" w:eastAsia="Bookman Old Style" w:hAnsi="Bookman Old Style" w:cs="Bookman Old Style"/>
        </w:rPr>
        <w:t>mpromiso.</w:t>
      </w:r>
    </w:p>
    <w:p w14:paraId="44981117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18D46C4F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4.  Impacto Fiscal</w:t>
      </w:r>
    </w:p>
    <w:p w14:paraId="284BDB15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12079F1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El proyecto tiene un enfoque que persigue garantizar la participación y reconocimiento de las mujeres artistas del vallenato en las ferias, festivales y cualquier evento cultural de este género en Colombia financiado con recu</w:t>
      </w:r>
      <w:r>
        <w:rPr>
          <w:rFonts w:ascii="Bookman Old Style" w:eastAsia="Bookman Old Style" w:hAnsi="Bookman Old Style" w:cs="Bookman Old Style"/>
        </w:rPr>
        <w:t>rsos públicos. Sus medidas se concentran en:</w:t>
      </w:r>
    </w:p>
    <w:p w14:paraId="55F2C6B3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5DBDAB0D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La inclusión de un mínimo del 30% de participación femenina en tarimas, jurados y comités organizadores.</w:t>
      </w:r>
    </w:p>
    <w:p w14:paraId="5057F7D9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La creación de estímulos, becas y reconocimientos dirigidos a mujeres artistas del vallenato.</w:t>
      </w:r>
    </w:p>
    <w:p w14:paraId="59CC2FC6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La</w:t>
      </w:r>
      <w:r>
        <w:rPr>
          <w:rFonts w:ascii="Bookman Old Style" w:eastAsia="Bookman Old Style" w:hAnsi="Bookman Old Style" w:cs="Bookman Old Style"/>
        </w:rPr>
        <w:t xml:space="preserve"> promoción de investigación, formación y </w:t>
      </w:r>
      <w:proofErr w:type="spellStart"/>
      <w:r>
        <w:rPr>
          <w:rFonts w:ascii="Bookman Old Style" w:eastAsia="Bookman Old Style" w:hAnsi="Bookman Old Style" w:cs="Bookman Old Style"/>
        </w:rPr>
        <w:t>visibilización</w:t>
      </w:r>
      <w:proofErr w:type="spellEnd"/>
      <w:r>
        <w:rPr>
          <w:rFonts w:ascii="Bookman Old Style" w:eastAsia="Bookman Old Style" w:hAnsi="Bookman Old Style" w:cs="Bookman Old Style"/>
        </w:rPr>
        <w:t xml:space="preserve"> del rol femenino en el vallenato.</w:t>
      </w:r>
    </w:p>
    <w:p w14:paraId="0951A702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La participación de redes y asociaciones de mujeres en procesos de seguimiento y evaluación.</w:t>
      </w:r>
    </w:p>
    <w:p w14:paraId="1C80B6AB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10EC87C7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Ninguna disposición implica la creación de una nueva entidad ni el es</w:t>
      </w:r>
      <w:r>
        <w:rPr>
          <w:rFonts w:ascii="Bookman Old Style" w:eastAsia="Bookman Old Style" w:hAnsi="Bookman Old Style" w:cs="Bookman Old Style"/>
        </w:rPr>
        <w:t>tablecimiento de tributos o transferencias adicionales, lo cual limita el impacto fiscal directo. No obstante, las medidas sí generan obligaciones presupuestales en materia de estímulos culturales, formación e investigación, que deben financiarse con recur</w:t>
      </w:r>
      <w:r>
        <w:rPr>
          <w:rFonts w:ascii="Bookman Old Style" w:eastAsia="Bookman Old Style" w:hAnsi="Bookman Old Style" w:cs="Bookman Old Style"/>
        </w:rPr>
        <w:t>sos existentes del sector cultural.</w:t>
      </w:r>
    </w:p>
    <w:p w14:paraId="5D21A5F9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EE922A3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4.1 Impacto fiscal directo</w:t>
      </w:r>
    </w:p>
    <w:p w14:paraId="00E2B79D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4.1.1. Fuentes de gasto público potencial</w:t>
      </w:r>
    </w:p>
    <w:p w14:paraId="14AAA0D5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70E8D7F4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Para que el proyecto cumpla con su finalidad, es necesario se cumplan las siguientes acciones:</w:t>
      </w:r>
    </w:p>
    <w:p w14:paraId="2FB1A969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4DBCE375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Estímulos y becas: financiación a través del Progr</w:t>
      </w:r>
      <w:r>
        <w:rPr>
          <w:rFonts w:ascii="Bookman Old Style" w:eastAsia="Bookman Old Style" w:hAnsi="Bookman Old Style" w:cs="Bookman Old Style"/>
        </w:rPr>
        <w:t>ama Nacional de Estímulos y del Fondo Nacional de Cultura (FONCULTURA).</w:t>
      </w:r>
    </w:p>
    <w:p w14:paraId="626ECFD3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Reparación simbólica y reconocimiento: bajo costo, asociado a producción de material audiovisual, exposiciones o actos públicos.</w:t>
      </w:r>
    </w:p>
    <w:p w14:paraId="5027C710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 xml:space="preserve">Formación e investigación con enfoque de género: </w:t>
      </w:r>
      <w:r>
        <w:rPr>
          <w:rFonts w:ascii="Bookman Old Style" w:eastAsia="Bookman Old Style" w:hAnsi="Bookman Old Style" w:cs="Bookman Old Style"/>
        </w:rPr>
        <w:t>podría implementarse mediante convenios interinstitucionales con universidades, sin requerir nuevas apropiaciones.</w:t>
      </w:r>
    </w:p>
    <w:p w14:paraId="210CA2DB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Seguimiento y evaluación: ejecutable a través de la Dirección de Poblaciones del Ministerio de Cultura, con recursos del presupuesto de in</w:t>
      </w:r>
      <w:r>
        <w:rPr>
          <w:rFonts w:ascii="Bookman Old Style" w:eastAsia="Bookman Old Style" w:hAnsi="Bookman Old Style" w:cs="Bookman Old Style"/>
        </w:rPr>
        <w:t>versión vigente.</w:t>
      </w:r>
    </w:p>
    <w:p w14:paraId="7CD07090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37B4FAD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4.1.2. Estimación preliminar de costos de acciones a realizar:</w:t>
      </w:r>
    </w:p>
    <w:p w14:paraId="0CAC9A5C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tbl>
      <w:tblPr>
        <w:tblStyle w:val="a"/>
        <w:tblW w:w="93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8"/>
        <w:gridCol w:w="3581"/>
        <w:gridCol w:w="2864"/>
      </w:tblGrid>
      <w:tr w:rsidR="00732112" w14:paraId="762FD039" w14:textId="77777777">
        <w:trPr>
          <w:trHeight w:val="628"/>
        </w:trPr>
        <w:tc>
          <w:tcPr>
            <w:tcW w:w="2868" w:type="dxa"/>
          </w:tcPr>
          <w:p w14:paraId="54AA6E39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CONCEPTO</w:t>
            </w:r>
          </w:p>
        </w:tc>
        <w:tc>
          <w:tcPr>
            <w:tcW w:w="3581" w:type="dxa"/>
          </w:tcPr>
          <w:p w14:paraId="29536064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FUENTE PRESUPUESTAL</w:t>
            </w:r>
          </w:p>
        </w:tc>
        <w:tc>
          <w:tcPr>
            <w:tcW w:w="2864" w:type="dxa"/>
          </w:tcPr>
          <w:p w14:paraId="7EA5B471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COSTO ESTIMADO</w:t>
            </w:r>
          </w:p>
          <w:p w14:paraId="36084445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(MILLONES COP)</w:t>
            </w:r>
          </w:p>
        </w:tc>
      </w:tr>
      <w:tr w:rsidR="00732112" w14:paraId="6AAC2A0A" w14:textId="77777777">
        <w:trPr>
          <w:trHeight w:val="218"/>
        </w:trPr>
        <w:tc>
          <w:tcPr>
            <w:tcW w:w="2868" w:type="dxa"/>
          </w:tcPr>
          <w:p w14:paraId="23540DA6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Estímulos y becas con enfoque de género</w:t>
            </w:r>
          </w:p>
        </w:tc>
        <w:tc>
          <w:tcPr>
            <w:tcW w:w="3581" w:type="dxa"/>
          </w:tcPr>
          <w:p w14:paraId="6A9C655B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Programa Nacional de Estímulos</w:t>
            </w:r>
          </w:p>
        </w:tc>
        <w:tc>
          <w:tcPr>
            <w:tcW w:w="2864" w:type="dxa"/>
          </w:tcPr>
          <w:p w14:paraId="0CE93BEA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500 – 800</w:t>
            </w:r>
          </w:p>
        </w:tc>
      </w:tr>
      <w:tr w:rsidR="00732112" w14:paraId="6C89C096" w14:textId="77777777">
        <w:trPr>
          <w:trHeight w:val="218"/>
        </w:trPr>
        <w:tc>
          <w:tcPr>
            <w:tcW w:w="2868" w:type="dxa"/>
          </w:tcPr>
          <w:p w14:paraId="69D5BE03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Programas de formación e investigación</w:t>
            </w:r>
          </w:p>
        </w:tc>
        <w:tc>
          <w:tcPr>
            <w:tcW w:w="3581" w:type="dxa"/>
          </w:tcPr>
          <w:p w14:paraId="47E76702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Convenios con entidades académicas</w:t>
            </w:r>
          </w:p>
        </w:tc>
        <w:tc>
          <w:tcPr>
            <w:tcW w:w="2864" w:type="dxa"/>
          </w:tcPr>
          <w:p w14:paraId="1367A37A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200 – 300</w:t>
            </w:r>
          </w:p>
          <w:p w14:paraId="09F73A71" w14:textId="77777777" w:rsidR="00732112" w:rsidRDefault="00732112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732112" w14:paraId="3A33BE15" w14:textId="77777777">
        <w:trPr>
          <w:trHeight w:val="218"/>
        </w:trPr>
        <w:tc>
          <w:tcPr>
            <w:tcW w:w="2868" w:type="dxa"/>
          </w:tcPr>
          <w:p w14:paraId="7BAE3BE4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lastRenderedPageBreak/>
              <w:t xml:space="preserve">Acciones de </w:t>
            </w:r>
            <w:proofErr w:type="spellStart"/>
            <w:r>
              <w:rPr>
                <w:rFonts w:ascii="Bookman Old Style" w:eastAsia="Bookman Old Style" w:hAnsi="Bookman Old Style" w:cs="Bookman Old Style"/>
              </w:rPr>
              <w:t>visibilización</w:t>
            </w:r>
            <w:proofErr w:type="spellEnd"/>
            <w:r>
              <w:rPr>
                <w:rFonts w:ascii="Bookman Old Style" w:eastAsia="Bookman Old Style" w:hAnsi="Bookman Old Style" w:cs="Bookman Old Style"/>
              </w:rPr>
              <w:t xml:space="preserve"> y reparación simbólica</w:t>
            </w:r>
          </w:p>
        </w:tc>
        <w:tc>
          <w:tcPr>
            <w:tcW w:w="3581" w:type="dxa"/>
          </w:tcPr>
          <w:p w14:paraId="663C8E57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Comunicaciones patrimonio inmaterial</w:t>
            </w:r>
          </w:p>
        </w:tc>
        <w:tc>
          <w:tcPr>
            <w:tcW w:w="2864" w:type="dxa"/>
          </w:tcPr>
          <w:p w14:paraId="3C2D8AD4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100 – 200</w:t>
            </w:r>
          </w:p>
        </w:tc>
      </w:tr>
      <w:tr w:rsidR="00732112" w14:paraId="79FB8814" w14:textId="77777777">
        <w:trPr>
          <w:trHeight w:val="218"/>
        </w:trPr>
        <w:tc>
          <w:tcPr>
            <w:tcW w:w="2868" w:type="dxa"/>
          </w:tcPr>
          <w:p w14:paraId="6E100803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Seguimiento y evaluación</w:t>
            </w:r>
          </w:p>
        </w:tc>
        <w:tc>
          <w:tcPr>
            <w:tcW w:w="3581" w:type="dxa"/>
          </w:tcPr>
          <w:p w14:paraId="781059DE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Dirección de Poblaciones</w:t>
            </w:r>
          </w:p>
        </w:tc>
        <w:tc>
          <w:tcPr>
            <w:tcW w:w="2864" w:type="dxa"/>
          </w:tcPr>
          <w:p w14:paraId="26548061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100</w:t>
            </w:r>
          </w:p>
          <w:p w14:paraId="12CDBDEA" w14:textId="77777777" w:rsidR="00732112" w:rsidRDefault="00732112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732112" w14:paraId="3EEA78CB" w14:textId="77777777">
        <w:trPr>
          <w:trHeight w:val="218"/>
        </w:trPr>
        <w:tc>
          <w:tcPr>
            <w:tcW w:w="2868" w:type="dxa"/>
          </w:tcPr>
          <w:p w14:paraId="41A071CF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Total, estimado </w:t>
            </w:r>
            <w:r>
              <w:rPr>
                <w:rFonts w:ascii="Bookman Old Style" w:eastAsia="Bookman Old Style" w:hAnsi="Bookman Old Style" w:cs="Bookman Old Style"/>
              </w:rPr>
              <w:t>anual</w:t>
            </w:r>
          </w:p>
        </w:tc>
        <w:tc>
          <w:tcPr>
            <w:tcW w:w="3581" w:type="dxa"/>
          </w:tcPr>
          <w:p w14:paraId="433AE67E" w14:textId="77777777" w:rsidR="00732112" w:rsidRDefault="00732112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864" w:type="dxa"/>
          </w:tcPr>
          <w:p w14:paraId="45A956E0" w14:textId="77777777" w:rsidR="00732112" w:rsidRDefault="00D16BD0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900 – 1.400 millones COP</w:t>
            </w:r>
          </w:p>
          <w:p w14:paraId="0C76A6D2" w14:textId="77777777" w:rsidR="00732112" w:rsidRDefault="00732112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4428C78E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B7C7B2F" w14:textId="77777777" w:rsidR="00732112" w:rsidRDefault="00732112">
      <w:pPr>
        <w:rPr>
          <w:rFonts w:ascii="Bookman Old Style" w:eastAsia="Bookman Old Style" w:hAnsi="Bookman Old Style" w:cs="Bookman Old Style"/>
          <w:b/>
          <w:bCs/>
          <w:highlight w:val="lightGray"/>
        </w:rPr>
      </w:pPr>
    </w:p>
    <w:p w14:paraId="218EA9CB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Este rango representa menos del 0,01% del presupuesto anual del Ministerio de Cultura, por lo que el impacto fiscal es marginal y sostenible dentro del marco actual.</w:t>
      </w:r>
    </w:p>
    <w:p w14:paraId="7914A3FD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27E4198C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4.2. Impacto fiscal indirecto y beneficios económicos</w:t>
      </w:r>
    </w:p>
    <w:p w14:paraId="74B4D46A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5845EE6D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 xml:space="preserve">Efecto multiplicador cultural: </w:t>
      </w:r>
      <w:r>
        <w:rPr>
          <w:rFonts w:ascii="Bookman Old Style" w:eastAsia="Bookman Old Style" w:hAnsi="Bookman Old Style" w:cs="Bookman Old Style"/>
        </w:rPr>
        <w:t>mayor participación femenina en festivales y circuitos musicales dinamiza el empleo cultural y el turismo regional.</w:t>
      </w:r>
    </w:p>
    <w:p w14:paraId="0DD8B89F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Incremento de ingresos locales: la inclusión de artistas mujeres amplía públicos y mercados, lo que puede traducirse en mayor recaudo ind</w:t>
      </w:r>
      <w:r>
        <w:rPr>
          <w:rFonts w:ascii="Bookman Old Style" w:eastAsia="Bookman Old Style" w:hAnsi="Bookman Old Style" w:cs="Bookman Old Style"/>
        </w:rPr>
        <w:t>irecto por IVA e impuesto al consumo en eventos.</w:t>
      </w:r>
    </w:p>
    <w:p w14:paraId="4E2F6A40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Fortalecimiento institucional: la visibilidad de redes de mujeres y colectivos culturales reduce litigios por discriminación, lo que evita costos judiciales al Estado.</w:t>
      </w:r>
    </w:p>
    <w:p w14:paraId="0C0C05D3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44482AB2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4.3 Compatibilidad con el marco jur</w:t>
      </w:r>
      <w:r>
        <w:rPr>
          <w:rFonts w:ascii="Bookman Old Style" w:eastAsia="Bookman Old Style" w:hAnsi="Bookman Old Style" w:cs="Bookman Old Style"/>
          <w:b/>
          <w:bCs/>
        </w:rPr>
        <w:t>ídico y sentencias vigentes</w:t>
      </w:r>
    </w:p>
    <w:p w14:paraId="1F9ACD9A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Aun presentando esas erogaciones, el proyecto se ajusta a los precedentes constitucionales que autorizan acciones afirmativas de carácter temporal para corregir desigualdades estructurales y a la jurisprudencia actual que permit</w:t>
      </w:r>
      <w:r>
        <w:rPr>
          <w:rFonts w:ascii="Bookman Old Style" w:eastAsia="Bookman Old Style" w:hAnsi="Bookman Old Style" w:cs="Bookman Old Style"/>
        </w:rPr>
        <w:t>e este impacto fiscal, entre ellas tenemos las siguientes:</w:t>
      </w:r>
    </w:p>
    <w:p w14:paraId="10CE45BF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Sentencia C-371 de 2000: avala medidas de trato preferente a grupos discriminados, siempre que sean razonables y proporcionales.</w:t>
      </w:r>
    </w:p>
    <w:p w14:paraId="545657B9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Sentencia C-103 de 2015: reconoce la legitimidad de acciones a</w:t>
      </w:r>
      <w:r>
        <w:rPr>
          <w:rFonts w:ascii="Bookman Old Style" w:eastAsia="Bookman Old Style" w:hAnsi="Bookman Old Style" w:cs="Bookman Old Style"/>
        </w:rPr>
        <w:t>firmativas en materia de género en sectores con subrepresentación femenina.</w:t>
      </w:r>
    </w:p>
    <w:p w14:paraId="0F703BE9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•</w:t>
      </w:r>
      <w:r>
        <w:rPr>
          <w:rFonts w:ascii="Bookman Old Style" w:eastAsia="Bookman Old Style" w:hAnsi="Bookman Old Style" w:cs="Bookman Old Style"/>
        </w:rPr>
        <w:tab/>
        <w:t>Sentencia C-671 de 2015: ordena la adopción de políticas culturales con enfoque diferencial para mujeres como mecanismo de equidad real.</w:t>
      </w:r>
    </w:p>
    <w:p w14:paraId="5FB71C1B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EBE1612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2D617759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F2C5DC3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3415BFCE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416C23FE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CAD9F29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5. Conflicto de intereses y criter</w:t>
      </w:r>
      <w:r>
        <w:rPr>
          <w:rFonts w:ascii="Bookman Old Style" w:eastAsia="Bookman Old Style" w:hAnsi="Bookman Old Style" w:cs="Bookman Old Style"/>
          <w:b/>
          <w:bCs/>
        </w:rPr>
        <w:t>ios guía sobre impedimentos</w:t>
      </w:r>
    </w:p>
    <w:p w14:paraId="5BBFEA91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6C96B47C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De conformidad con lo dispuesto en el artículo 3 de la Ley 2003 de 2019, que modificó la Ley 5 de 1992 (Reglamento del Congreso), el conflicto de intereses se configura únicamente cuando la participación del congresista en la d</w:t>
      </w:r>
      <w:r>
        <w:rPr>
          <w:rFonts w:ascii="Bookman Old Style" w:eastAsia="Bookman Old Style" w:hAnsi="Bookman Old Style" w:cs="Bookman Old Style"/>
        </w:rPr>
        <w:t>iscusión o votación de un proyecto pueda derivar en un beneficio particular, actual y directo a su favor.</w:t>
      </w:r>
    </w:p>
    <w:p w14:paraId="6C96E3E4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73B1A2ED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El Proyecto de Ley “Patricia Teherán” no se enmarca dentro de tal supuesto, en tanto sus disposiciones no generan beneficios individuales ni crean ve</w:t>
      </w:r>
      <w:r>
        <w:rPr>
          <w:rFonts w:ascii="Bookman Old Style" w:eastAsia="Bookman Old Style" w:hAnsi="Bookman Old Style" w:cs="Bookman Old Style"/>
        </w:rPr>
        <w:t>ntajas económicas, contractuales o de otra índole a favor de un congresista o de un grupo particular, sino que establecen medidas de carácter general orientadas a promover la equidad de género y la salvaguardia del patrimonio cultural inmaterial del país.</w:t>
      </w:r>
    </w:p>
    <w:p w14:paraId="00C45D1B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83483CB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En consecuencia, el proyecto corresponde a una de las situaciones expresamente excluidas de impedimento, según el literal a) del artículo 286 de la Ley 5 de 1992, que señala:</w:t>
      </w:r>
    </w:p>
    <w:p w14:paraId="61B0B1F3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52A7AD40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“No constituye impedimento cuando el congresista participe, discuta o vote un proyecto de ley o de acto legislativo que otorgue beneficios o cargos de carácter general, es decir, cuando el interés del congresista coincida o se fusione con los intereses de </w:t>
      </w:r>
      <w:r>
        <w:rPr>
          <w:rFonts w:ascii="Bookman Old Style" w:eastAsia="Bookman Old Style" w:hAnsi="Bookman Old Style" w:cs="Bookman Old Style"/>
        </w:rPr>
        <w:t>los electores”.</w:t>
      </w:r>
    </w:p>
    <w:p w14:paraId="05AE5D0D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D346550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Dado que la Ley “Patricia Teherán” persigue fines de interés público, cultural y social, y sus efectos benefician a la colectividad —particularmente a las mujeres artistas del género vallenato y a las comunidades portadoras del patrimonio </w:t>
      </w:r>
      <w:r>
        <w:rPr>
          <w:rFonts w:ascii="Bookman Old Style" w:eastAsia="Bookman Old Style" w:hAnsi="Bookman Old Style" w:cs="Bookman Old Style"/>
        </w:rPr>
        <w:t>cultural—, no se configura conflicto de interés alguno que impida la participación de los congresistas en su debate y votación.</w:t>
      </w:r>
    </w:p>
    <w:p w14:paraId="2E1F5A46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3D6E95A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Así mismo, el proyecto no implica asignación de recursos individualizados, designación de cargos ni adjudicación de contratos a</w:t>
      </w:r>
      <w:r>
        <w:rPr>
          <w:rFonts w:ascii="Bookman Old Style" w:eastAsia="Bookman Old Style" w:hAnsi="Bookman Old Style" w:cs="Bookman Old Style"/>
        </w:rPr>
        <w:t xml:space="preserve"> personas determinadas, por lo cual no genera beneficio personal, directo o actual que vulnere el principio de imparcialidad legislativa.</w:t>
      </w:r>
    </w:p>
    <w:p w14:paraId="66C2E4D4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5DD18FA0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En virtud de lo anterior, y de conformidad con las normas vigentes y la jurisprudencia del Consejo de Estado y la Cor</w:t>
      </w:r>
      <w:r>
        <w:rPr>
          <w:rFonts w:ascii="Bookman Old Style" w:eastAsia="Bookman Old Style" w:hAnsi="Bookman Old Style" w:cs="Bookman Old Style"/>
        </w:rPr>
        <w:t>te Constitucional sobre el alcance del conflicto de intereses, se concluye que los congresistas podrán participar en la discusión y votación del Proyecto de Ley “Patricia Teherán” sin que exista causal de impedimento.</w:t>
      </w:r>
    </w:p>
    <w:p w14:paraId="4B7FDB92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3173FD7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De los Honorables Congresistas</w:t>
      </w:r>
    </w:p>
    <w:p w14:paraId="2DF8DFBE" w14:textId="1B02D7F0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5722CF2E" w14:textId="6D72EC01" w:rsidR="00A101A5" w:rsidRDefault="00A101A5">
      <w:pPr>
        <w:jc w:val="both"/>
        <w:rPr>
          <w:rFonts w:ascii="Bookman Old Style" w:eastAsia="Bookman Old Style" w:hAnsi="Bookman Old Style" w:cs="Bookman Old Style"/>
        </w:rPr>
      </w:pPr>
    </w:p>
    <w:p w14:paraId="6CD4C976" w14:textId="77777777" w:rsidR="00A101A5" w:rsidRDefault="00A101A5">
      <w:pPr>
        <w:jc w:val="both"/>
        <w:rPr>
          <w:rFonts w:ascii="Bookman Old Style" w:eastAsia="Bookman Old Style" w:hAnsi="Bookman Old Style" w:cs="Bookman Old Style"/>
        </w:rPr>
      </w:pPr>
    </w:p>
    <w:tbl>
      <w:tblPr>
        <w:tblStyle w:val="Tablaconcuadrcula"/>
        <w:tblW w:w="10065" w:type="dxa"/>
        <w:tblInd w:w="-431" w:type="dxa"/>
        <w:tblLook w:val="04A0" w:firstRow="1" w:lastRow="0" w:firstColumn="1" w:lastColumn="0" w:noHBand="0" w:noVBand="1"/>
      </w:tblPr>
      <w:tblGrid>
        <w:gridCol w:w="4659"/>
        <w:gridCol w:w="5406"/>
      </w:tblGrid>
      <w:tr w:rsidR="00451B55" w14:paraId="486E32FA" w14:textId="77777777" w:rsidTr="0002563D">
        <w:tc>
          <w:tcPr>
            <w:tcW w:w="5033" w:type="dxa"/>
          </w:tcPr>
          <w:p w14:paraId="1603A860" w14:textId="026B35B5" w:rsid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  <w:p w14:paraId="255F2B04" w14:textId="58D53611" w:rsid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6307B6B" wp14:editId="5E985160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81280</wp:posOffset>
                  </wp:positionV>
                  <wp:extent cx="3241675" cy="485775"/>
                  <wp:effectExtent l="0" t="0" r="0" b="952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01FE83" w14:textId="70E9EA7A" w:rsid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  <w:p w14:paraId="1A8DBB10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47EFD4F1" w14:textId="77777777" w:rsidR="00C056ED" w:rsidRDefault="00C056ED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7A5ABABA" w14:textId="77777777" w:rsidR="00C056ED" w:rsidRDefault="00C056ED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4A4E15A0" w14:textId="56C90F3F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JORGE ALBERTO CECHIARO FIGUEROA</w:t>
            </w:r>
          </w:p>
          <w:p w14:paraId="30A07989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17635184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Departamento de la Guajira</w:t>
            </w:r>
          </w:p>
          <w:p w14:paraId="583AF923" w14:textId="77777777" w:rsid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5032" w:type="dxa"/>
          </w:tcPr>
          <w:p w14:paraId="697498CA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114300" distB="114300" distL="114300" distR="114300" wp14:anchorId="5A177DF5" wp14:editId="524808C1">
                  <wp:extent cx="1667827" cy="1047750"/>
                  <wp:effectExtent l="0" t="0" r="0" b="0"/>
                  <wp:docPr id="4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27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167EDC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ANIBAL GUSTAVO HOYOS FRANCO</w:t>
            </w:r>
          </w:p>
          <w:p w14:paraId="2F0D92F8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36CBEDCA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Departamento de Risaralda</w:t>
            </w:r>
          </w:p>
        </w:tc>
      </w:tr>
      <w:tr w:rsidR="00451B55" w14:paraId="54C4615D" w14:textId="77777777" w:rsidTr="0002563D">
        <w:tc>
          <w:tcPr>
            <w:tcW w:w="5033" w:type="dxa"/>
          </w:tcPr>
          <w:p w14:paraId="46A67D6E" w14:textId="77777777" w:rsidR="00451B55" w:rsidRDefault="00451B55" w:rsidP="0002563D">
            <w:pPr>
              <w:spacing w:before="240" w:after="240" w:line="14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26D247" w14:textId="77777777" w:rsidR="00451B55" w:rsidRDefault="00451B55" w:rsidP="00C056ED">
            <w:pPr>
              <w:spacing w:before="240" w:after="240" w:line="14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114300" distB="114300" distL="114300" distR="114300" wp14:anchorId="3084AB68" wp14:editId="6CB07FB5">
                  <wp:extent cx="2333625" cy="1162050"/>
                  <wp:effectExtent l="0" t="0" r="0" b="0"/>
                  <wp:docPr id="4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5DEE84" w14:textId="77777777" w:rsidR="00451B55" w:rsidRPr="0071117F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 w:rsidRPr="0071117F">
              <w:rPr>
                <w:rFonts w:ascii="Bookman Old Style" w:eastAsia="Bookman Old Style" w:hAnsi="Bookman Old Style" w:cs="Bookman Old Style"/>
                <w:b/>
                <w:bCs/>
              </w:rPr>
              <w:t>WILDER IBERSON ESCOBAR ORTIZ</w:t>
            </w:r>
          </w:p>
          <w:p w14:paraId="4694408E" w14:textId="77777777" w:rsidR="00451B55" w:rsidRPr="0071117F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 w:rsidRPr="0071117F"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407D5224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 w:rsidRPr="0071117F">
              <w:rPr>
                <w:rFonts w:ascii="Bookman Old Style" w:eastAsia="Bookman Old Style" w:hAnsi="Bookman Old Style" w:cs="Bookman Old Style"/>
              </w:rPr>
              <w:t>Departamento de Caldas</w:t>
            </w:r>
          </w:p>
        </w:tc>
        <w:tc>
          <w:tcPr>
            <w:tcW w:w="5032" w:type="dxa"/>
          </w:tcPr>
          <w:p w14:paraId="22C4FEA7" w14:textId="77777777" w:rsidR="00451B55" w:rsidRP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0" distB="0" distL="0" distR="0" wp14:anchorId="4A20352B" wp14:editId="50A49A8C">
                  <wp:extent cx="2819400" cy="1285875"/>
                  <wp:effectExtent l="0" t="0" r="0" b="952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38E114" w14:textId="77777777" w:rsidR="00C056ED" w:rsidRDefault="00C056ED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7A6A22C2" w14:textId="074F09D5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 w:rsidRPr="0071117F">
              <w:rPr>
                <w:rFonts w:ascii="Bookman Old Style" w:eastAsia="Bookman Old Style" w:hAnsi="Bookman Old Style" w:cs="Bookman Old Style"/>
                <w:b/>
                <w:bCs/>
              </w:rPr>
              <w:t>DORINA HERNÁNDEZ PALOMINO</w:t>
            </w:r>
            <w:r>
              <w:rPr>
                <w:rFonts w:ascii="Bookman Old Style" w:eastAsia="Bookman Old Style" w:hAnsi="Bookman Old Style" w:cs="Bookman Old Style"/>
              </w:rPr>
              <w:br/>
              <w:t>Representante a la Cámara por Bolívar - Pacto Histórico -PDA</w:t>
            </w:r>
          </w:p>
        </w:tc>
      </w:tr>
      <w:tr w:rsidR="00451B55" w14:paraId="4BB0D63B" w14:textId="77777777" w:rsidTr="0002563D">
        <w:tc>
          <w:tcPr>
            <w:tcW w:w="5033" w:type="dxa"/>
          </w:tcPr>
          <w:p w14:paraId="0CD8146A" w14:textId="77777777" w:rsidR="00451B55" w:rsidRDefault="00451B55" w:rsidP="0002563D">
            <w:pPr>
              <w:widowControl w:val="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114300" distB="114300" distL="114300" distR="114300" wp14:anchorId="55C9C43A" wp14:editId="3879B6F8">
                  <wp:extent cx="2067878" cy="1708247"/>
                  <wp:effectExtent l="0" t="0" r="0" b="0"/>
                  <wp:docPr id="4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78" cy="1708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93E200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LUIS DAVID SUÁREZ CHADID</w:t>
            </w:r>
          </w:p>
          <w:p w14:paraId="3C51FC62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304C0209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Departamento de Sucre</w:t>
            </w:r>
          </w:p>
          <w:p w14:paraId="6EF6E337" w14:textId="77777777" w:rsid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5032" w:type="dxa"/>
          </w:tcPr>
          <w:p w14:paraId="1077ADEB" w14:textId="77777777" w:rsid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  <w:p w14:paraId="5A57CA70" w14:textId="77777777" w:rsid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  <w:p w14:paraId="74FE221F" w14:textId="77777777" w:rsidR="00451B55" w:rsidRDefault="00451B55" w:rsidP="0002563D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114300" distB="114300" distL="114300" distR="114300" wp14:anchorId="306D1007" wp14:editId="630C9E67">
                  <wp:extent cx="2426335" cy="1355725"/>
                  <wp:effectExtent l="0" t="0" r="0" b="0"/>
                  <wp:docPr id="4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600" cy="1355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6FEDA1" w14:textId="77777777" w:rsidR="00451B55" w:rsidRDefault="00451B55" w:rsidP="0002563D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JOSE ELIECER SALAZAR LOPEZ</w:t>
            </w:r>
          </w:p>
          <w:p w14:paraId="64FC28C1" w14:textId="77777777" w:rsidR="00451B55" w:rsidRDefault="00451B55" w:rsidP="0002563D">
            <w:pPr>
              <w:widowControl w:val="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38B46A33" w14:textId="77777777" w:rsidR="00451B55" w:rsidRDefault="00451B55" w:rsidP="0002563D">
            <w:pPr>
              <w:widowControl w:val="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Departamento del Cesar</w:t>
            </w:r>
          </w:p>
          <w:p w14:paraId="7C5B0A8E" w14:textId="77777777" w:rsidR="00451B55" w:rsidRDefault="00451B5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A101A5" w14:paraId="3B4670E3" w14:textId="77777777" w:rsidTr="00A101A5">
        <w:trPr>
          <w:trHeight w:val="3335"/>
        </w:trPr>
        <w:tc>
          <w:tcPr>
            <w:tcW w:w="5033" w:type="dxa"/>
          </w:tcPr>
          <w:p w14:paraId="3E31D9E5" w14:textId="7072FCFD" w:rsidR="00A101A5" w:rsidRDefault="00A101A5" w:rsidP="00A101A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Bookman Old Style" w:eastAsia="Bookman Old Style" w:hAnsi="Bookman Old Style" w:cs="Bookman Old Style"/>
                <w:noProof/>
              </w:rPr>
              <w:lastRenderedPageBreak/>
              <w:drawing>
                <wp:inline distT="0" distB="0" distL="0" distR="0" wp14:anchorId="4F8BB880" wp14:editId="61D2D645">
                  <wp:extent cx="2286000" cy="95250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10667" w14:textId="77777777" w:rsidR="00A101A5" w:rsidRPr="005D47A9" w:rsidRDefault="00A101A5" w:rsidP="00A101A5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bCs/>
                <w:color w:val="000000"/>
              </w:rPr>
            </w:pPr>
            <w:r w:rsidRPr="005D47A9">
              <w:rPr>
                <w:rFonts w:ascii="Bookman Old Style" w:hAnsi="Bookman Old Style"/>
                <w:b/>
                <w:bCs/>
                <w:color w:val="000000"/>
              </w:rPr>
              <w:t>HERNANDO GUIDA PONCE</w:t>
            </w:r>
          </w:p>
          <w:p w14:paraId="05DF5997" w14:textId="77777777" w:rsidR="00A101A5" w:rsidRPr="005D47A9" w:rsidRDefault="00A101A5" w:rsidP="00A101A5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</w:rPr>
            </w:pPr>
            <w:r w:rsidRPr="005D47A9">
              <w:rPr>
                <w:rFonts w:ascii="Bookman Old Style" w:hAnsi="Bookman Old Style"/>
                <w:color w:val="000000"/>
              </w:rPr>
              <w:t>Representante a la Cámara</w:t>
            </w:r>
          </w:p>
          <w:p w14:paraId="647CA3DC" w14:textId="77777777" w:rsidR="00A101A5" w:rsidRPr="005D47A9" w:rsidRDefault="00A101A5" w:rsidP="00A101A5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</w:rPr>
            </w:pPr>
            <w:r w:rsidRPr="005D47A9">
              <w:rPr>
                <w:rFonts w:ascii="Bookman Old Style" w:hAnsi="Bookman Old Style"/>
                <w:color w:val="000000"/>
              </w:rPr>
              <w:t>Departamento del Magdalena</w:t>
            </w:r>
          </w:p>
          <w:p w14:paraId="378031CE" w14:textId="77777777" w:rsidR="00A101A5" w:rsidRDefault="00A101A5" w:rsidP="0002563D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</w:p>
        </w:tc>
        <w:tc>
          <w:tcPr>
            <w:tcW w:w="5032" w:type="dxa"/>
          </w:tcPr>
          <w:p w14:paraId="4C037258" w14:textId="372B7ED8" w:rsidR="00A101A5" w:rsidRDefault="00A101A5" w:rsidP="0002563D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0" distB="0" distL="0" distR="0" wp14:anchorId="77FAE5DB" wp14:editId="571AB8AC">
                  <wp:extent cx="3286125" cy="1790700"/>
                  <wp:effectExtent l="0" t="0" r="952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7A9" w14:paraId="63CD16EA" w14:textId="77777777" w:rsidTr="00A101A5">
        <w:trPr>
          <w:trHeight w:val="3335"/>
        </w:trPr>
        <w:tc>
          <w:tcPr>
            <w:tcW w:w="5033" w:type="dxa"/>
          </w:tcPr>
          <w:p w14:paraId="5BE9A40C" w14:textId="20D11156" w:rsidR="005D47A9" w:rsidRDefault="00377256" w:rsidP="0037725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0" distB="0" distL="0" distR="0" wp14:anchorId="32737176" wp14:editId="40E21EFD">
                  <wp:extent cx="2209800" cy="1800225"/>
                  <wp:effectExtent l="0" t="0" r="0" b="952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DEA83" w14:textId="77777777" w:rsidR="005D47A9" w:rsidRDefault="005D47A9" w:rsidP="005D47A9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Bookman Old Style" w:hAnsi="Bookman Old Style"/>
                <w:b/>
                <w:bCs/>
                <w:color w:val="000000"/>
              </w:rPr>
              <w:t>GERSEL LUIS PÉREZ ALTAMIRANDA</w:t>
            </w:r>
          </w:p>
          <w:p w14:paraId="278A647B" w14:textId="77777777" w:rsidR="005D47A9" w:rsidRPr="005D47A9" w:rsidRDefault="005D47A9" w:rsidP="005D47A9">
            <w:pPr>
              <w:pStyle w:val="NormalWeb"/>
              <w:spacing w:before="0" w:beforeAutospacing="0" w:after="0" w:afterAutospacing="0"/>
              <w:jc w:val="center"/>
            </w:pPr>
            <w:r w:rsidRPr="005D47A9">
              <w:rPr>
                <w:rFonts w:ascii="Bookman Old Style" w:hAnsi="Bookman Old Style"/>
                <w:color w:val="000000"/>
              </w:rPr>
              <w:t>Representante a la Cámara </w:t>
            </w:r>
          </w:p>
          <w:p w14:paraId="033D81B4" w14:textId="77777777" w:rsidR="005D47A9" w:rsidRPr="005D47A9" w:rsidRDefault="005D47A9" w:rsidP="005D47A9">
            <w:pPr>
              <w:pStyle w:val="NormalWeb"/>
              <w:spacing w:before="0" w:beforeAutospacing="0" w:after="0" w:afterAutospacing="0"/>
              <w:jc w:val="center"/>
            </w:pPr>
            <w:r w:rsidRPr="005D47A9">
              <w:rPr>
                <w:rFonts w:ascii="Bookman Old Style" w:hAnsi="Bookman Old Style"/>
                <w:color w:val="000000"/>
              </w:rPr>
              <w:t xml:space="preserve">Departamento del Atlántico </w:t>
            </w:r>
          </w:p>
          <w:p w14:paraId="2CE7C8F3" w14:textId="301CCCCD" w:rsidR="005D47A9" w:rsidRDefault="005D47A9" w:rsidP="00A101A5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</w:p>
        </w:tc>
        <w:tc>
          <w:tcPr>
            <w:tcW w:w="5032" w:type="dxa"/>
          </w:tcPr>
          <w:p w14:paraId="5314E61F" w14:textId="77777777" w:rsidR="005D47A9" w:rsidRDefault="005D47A9" w:rsidP="0002563D">
            <w:pPr>
              <w:jc w:val="both"/>
              <w:rPr>
                <w:rFonts w:ascii="Bookman Old Style" w:eastAsia="Bookman Old Style" w:hAnsi="Bookman Old Style" w:cs="Bookman Old Style"/>
                <w:noProof/>
              </w:rPr>
            </w:pPr>
          </w:p>
        </w:tc>
      </w:tr>
    </w:tbl>
    <w:p w14:paraId="3FAC3E30" w14:textId="0B92B3AD" w:rsidR="00732112" w:rsidRDefault="00732112">
      <w:pPr>
        <w:widowControl w:val="0"/>
        <w:spacing w:before="2"/>
        <w:jc w:val="both"/>
        <w:rPr>
          <w:rFonts w:ascii="Bookman Old Style" w:eastAsia="Bookman Old Style" w:hAnsi="Bookman Old Style" w:cs="Bookman Old Style"/>
        </w:rPr>
      </w:pPr>
    </w:p>
    <w:p w14:paraId="7457887F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5D1C52F7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22A7BE0D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sz w:val="27"/>
          <w:szCs w:val="27"/>
        </w:rPr>
        <w:t xml:space="preserve"> </w:t>
      </w:r>
    </w:p>
    <w:p w14:paraId="0F5C3D98" w14:textId="25821CAC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2B7DA298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DD37597" w14:textId="3DCBB763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4B4724E2" w14:textId="035EDCBB" w:rsidR="00377256" w:rsidRDefault="00377256">
      <w:pPr>
        <w:jc w:val="both"/>
        <w:rPr>
          <w:rFonts w:ascii="Bookman Old Style" w:eastAsia="Bookman Old Style" w:hAnsi="Bookman Old Style" w:cs="Bookman Old Style"/>
        </w:rPr>
      </w:pPr>
    </w:p>
    <w:p w14:paraId="69469140" w14:textId="533F419B" w:rsidR="00377256" w:rsidRDefault="00377256">
      <w:pPr>
        <w:jc w:val="both"/>
        <w:rPr>
          <w:rFonts w:ascii="Bookman Old Style" w:eastAsia="Bookman Old Style" w:hAnsi="Bookman Old Style" w:cs="Bookman Old Style"/>
        </w:rPr>
      </w:pPr>
    </w:p>
    <w:p w14:paraId="3CC4ACBA" w14:textId="6023381B" w:rsidR="00377256" w:rsidRDefault="00377256">
      <w:pPr>
        <w:jc w:val="both"/>
        <w:rPr>
          <w:rFonts w:ascii="Bookman Old Style" w:eastAsia="Bookman Old Style" w:hAnsi="Bookman Old Style" w:cs="Bookman Old Style"/>
        </w:rPr>
      </w:pPr>
    </w:p>
    <w:p w14:paraId="422C4A29" w14:textId="3825E561" w:rsidR="00377256" w:rsidRDefault="00377256">
      <w:pPr>
        <w:jc w:val="both"/>
        <w:rPr>
          <w:rFonts w:ascii="Bookman Old Style" w:eastAsia="Bookman Old Style" w:hAnsi="Bookman Old Style" w:cs="Bookman Old Style"/>
        </w:rPr>
      </w:pPr>
    </w:p>
    <w:p w14:paraId="20DD95F4" w14:textId="6FCE71B4" w:rsidR="00377256" w:rsidRDefault="00377256">
      <w:pPr>
        <w:jc w:val="both"/>
        <w:rPr>
          <w:rFonts w:ascii="Bookman Old Style" w:eastAsia="Bookman Old Style" w:hAnsi="Bookman Old Style" w:cs="Bookman Old Style"/>
        </w:rPr>
      </w:pPr>
    </w:p>
    <w:p w14:paraId="5DECEBD8" w14:textId="77777777" w:rsidR="00377256" w:rsidRDefault="00377256">
      <w:pPr>
        <w:jc w:val="both"/>
        <w:rPr>
          <w:rFonts w:ascii="Bookman Old Style" w:eastAsia="Bookman Old Style" w:hAnsi="Bookman Old Style" w:cs="Bookman Old Style"/>
        </w:rPr>
      </w:pPr>
    </w:p>
    <w:p w14:paraId="0452E991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7BD70CA1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040C7C18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E016514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468FB197" w14:textId="77777777" w:rsidR="00732112" w:rsidRDefault="00D16BD0">
      <w:pPr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>PROYECTO DE LEY No. _____ DE 2025</w:t>
      </w:r>
    </w:p>
    <w:p w14:paraId="119CDB7B" w14:textId="77777777" w:rsidR="00732112" w:rsidRDefault="00D16BD0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“LEY PATRICIA TEHERÁN”</w:t>
      </w:r>
    </w:p>
    <w:p w14:paraId="499CA732" w14:textId="77777777" w:rsidR="00732112" w:rsidRDefault="00732112">
      <w:pPr>
        <w:rPr>
          <w:rFonts w:ascii="Bookman Old Style" w:eastAsia="Bookman Old Style" w:hAnsi="Bookman Old Style" w:cs="Bookman Old Style"/>
        </w:rPr>
      </w:pPr>
    </w:p>
    <w:p w14:paraId="19C6F4C5" w14:textId="77777777" w:rsidR="00732112" w:rsidRDefault="00D16BD0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“Por medio de la cual se establecen medidas para promover la participación y el reconocimiento de las mujeres artistas del vallenato en eventos culturales, folclóricos y artísticos financiados con recursos públicos y se dictan otras disposiciones para la s</w:t>
      </w:r>
      <w:r>
        <w:rPr>
          <w:rFonts w:ascii="Bookman Old Style" w:eastAsia="Bookman Old Style" w:hAnsi="Bookman Old Style" w:cs="Bookman Old Style"/>
          <w:b/>
          <w:bCs/>
        </w:rPr>
        <w:t>alvaguardia del patrimonio cultural inmaterial y la equidad de género”</w:t>
      </w:r>
    </w:p>
    <w:p w14:paraId="00A8E79C" w14:textId="77777777" w:rsidR="00732112" w:rsidRDefault="00732112">
      <w:pPr>
        <w:jc w:val="center"/>
        <w:rPr>
          <w:rFonts w:ascii="Bookman Old Style" w:eastAsia="Bookman Old Style" w:hAnsi="Bookman Old Style" w:cs="Bookman Old Style"/>
        </w:rPr>
      </w:pPr>
    </w:p>
    <w:p w14:paraId="6ACA0E6E" w14:textId="77777777" w:rsidR="00732112" w:rsidRDefault="00732112">
      <w:pPr>
        <w:rPr>
          <w:rFonts w:ascii="Bookman Old Style" w:eastAsia="Bookman Old Style" w:hAnsi="Bookman Old Style" w:cs="Bookman Old Style"/>
        </w:rPr>
      </w:pPr>
    </w:p>
    <w:p w14:paraId="64988C18" w14:textId="77777777" w:rsidR="00732112" w:rsidRDefault="00D16BD0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TÍTULO I. OBJETO, FINALIDAD Y PRINCIPIOS</w:t>
      </w:r>
    </w:p>
    <w:p w14:paraId="4B435CF2" w14:textId="77777777" w:rsidR="00732112" w:rsidRDefault="00732112">
      <w:pPr>
        <w:jc w:val="center"/>
        <w:rPr>
          <w:rFonts w:ascii="Bookman Old Style" w:eastAsia="Bookman Old Style" w:hAnsi="Bookman Old Style" w:cs="Bookman Old Style"/>
          <w:b/>
          <w:bCs/>
        </w:rPr>
      </w:pPr>
    </w:p>
    <w:p w14:paraId="72517CCA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1°. Objeto. </w:t>
      </w:r>
      <w:r>
        <w:rPr>
          <w:rFonts w:ascii="Bookman Old Style" w:eastAsia="Bookman Old Style" w:hAnsi="Bookman Old Style" w:cs="Bookman Old Style"/>
        </w:rPr>
        <w:t xml:space="preserve">La presente ley tiene por objeto promover la participación, </w:t>
      </w:r>
      <w:proofErr w:type="spellStart"/>
      <w:r>
        <w:rPr>
          <w:rFonts w:ascii="Bookman Old Style" w:eastAsia="Bookman Old Style" w:hAnsi="Bookman Old Style" w:cs="Bookman Old Style"/>
        </w:rPr>
        <w:t>visibilización</w:t>
      </w:r>
      <w:proofErr w:type="spellEnd"/>
      <w:r>
        <w:rPr>
          <w:rFonts w:ascii="Bookman Old Style" w:eastAsia="Bookman Old Style" w:hAnsi="Bookman Old Style" w:cs="Bookman Old Style"/>
        </w:rPr>
        <w:t xml:space="preserve"> y fortalecimiento de las mujeres artistas del</w:t>
      </w:r>
      <w:r>
        <w:rPr>
          <w:rFonts w:ascii="Bookman Old Style" w:eastAsia="Bookman Old Style" w:hAnsi="Bookman Old Style" w:cs="Bookman Old Style"/>
        </w:rPr>
        <w:t xml:space="preserve"> género vallenato, en los ámbitos de interpretación, composición, producción, gestión cultural y demás expresiones relacionadas con este patrimonio cultural, garantizando su inclusión en condiciones de equidad y respeto a la diversidad.</w:t>
      </w:r>
    </w:p>
    <w:p w14:paraId="3B2D3929" w14:textId="77777777" w:rsidR="00732112" w:rsidRDefault="00732112">
      <w:pPr>
        <w:rPr>
          <w:rFonts w:ascii="Bookman Old Style" w:eastAsia="Bookman Old Style" w:hAnsi="Bookman Old Style" w:cs="Bookman Old Style"/>
        </w:rPr>
      </w:pPr>
    </w:p>
    <w:p w14:paraId="50F6A366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>Artículo 2°. Final</w:t>
      </w:r>
      <w:r>
        <w:rPr>
          <w:rFonts w:ascii="Bookman Old Style" w:eastAsia="Bookman Old Style" w:hAnsi="Bookman Old Style" w:cs="Bookman Old Style"/>
          <w:b/>
          <w:bCs/>
        </w:rPr>
        <w:t xml:space="preserve">idad. </w:t>
      </w:r>
      <w:r>
        <w:rPr>
          <w:rFonts w:ascii="Bookman Old Style" w:eastAsia="Bookman Old Style" w:hAnsi="Bookman Old Style" w:cs="Bookman Old Style"/>
        </w:rPr>
        <w:t>La ley busca:</w:t>
      </w:r>
    </w:p>
    <w:p w14:paraId="20E7612A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7874B51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a) Contribuir al cumplimiento de los compromisos de Colombia en materia de igualdad de género y protección del patrimonio cultural inmaterial.</w:t>
      </w:r>
    </w:p>
    <w:p w14:paraId="4C615212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b) Impulsar medidas de acción afirmativa que promuevan la presencia femenina en eventos culturales, folclóricos y</w:t>
      </w:r>
      <w:r>
        <w:rPr>
          <w:rFonts w:ascii="Bookman Old Style" w:eastAsia="Bookman Old Style" w:hAnsi="Bookman Old Style" w:cs="Bookman Old Style"/>
        </w:rPr>
        <w:t xml:space="preserve"> artísticos financiados con recursos públicos</w:t>
      </w:r>
      <w:r>
        <w:rPr>
          <w:rFonts w:ascii="Bookman Old Style" w:eastAsia="Bookman Old Style" w:hAnsi="Bookman Old Style" w:cs="Bookman Old Style"/>
          <w:b/>
          <w:bCs/>
        </w:rPr>
        <w:t xml:space="preserve"> </w:t>
      </w:r>
      <w:r>
        <w:rPr>
          <w:rFonts w:ascii="Bookman Old Style" w:eastAsia="Bookman Old Style" w:hAnsi="Bookman Old Style" w:cs="Bookman Old Style"/>
        </w:rPr>
        <w:t>y procesos de formación del vallenato, dentro del territorio nacional.</w:t>
      </w:r>
    </w:p>
    <w:p w14:paraId="4C9648BE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c) Garantizar el enfoque diferencial y territorial en el desarrollo cultural.</w:t>
      </w:r>
    </w:p>
    <w:p w14:paraId="3C717073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6F3B3EE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3°. Principios. </w:t>
      </w:r>
      <w:r>
        <w:rPr>
          <w:rFonts w:ascii="Bookman Old Style" w:eastAsia="Bookman Old Style" w:hAnsi="Bookman Old Style" w:cs="Bookman Old Style"/>
        </w:rPr>
        <w:t>Las medidas se regirán por los prin</w:t>
      </w:r>
      <w:r>
        <w:rPr>
          <w:rFonts w:ascii="Bookman Old Style" w:eastAsia="Bookman Old Style" w:hAnsi="Bookman Old Style" w:cs="Bookman Old Style"/>
        </w:rPr>
        <w:t>cipios de equidad, progresividad, participación comunitaria, autonomía cultural, sostenibilidad, enfoque diferencial y respeto por la diversidad étnica y de género.</w:t>
      </w:r>
    </w:p>
    <w:p w14:paraId="2E4AAE98" w14:textId="77777777" w:rsidR="00732112" w:rsidRDefault="00732112">
      <w:pPr>
        <w:rPr>
          <w:rFonts w:ascii="Bookman Old Style" w:eastAsia="Bookman Old Style" w:hAnsi="Bookman Old Style" w:cs="Bookman Old Style"/>
        </w:rPr>
      </w:pPr>
    </w:p>
    <w:p w14:paraId="0218BDBC" w14:textId="77777777" w:rsidR="00732112" w:rsidRDefault="00D16BD0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TÍTULO II. PROMOCIÓN DE LA PARTICIPACIÓN FEMENINA</w:t>
      </w:r>
    </w:p>
    <w:p w14:paraId="0A3397D6" w14:textId="77777777" w:rsidR="00732112" w:rsidRDefault="00732112">
      <w:pPr>
        <w:rPr>
          <w:rFonts w:ascii="Bookman Old Style" w:eastAsia="Bookman Old Style" w:hAnsi="Bookman Old Style" w:cs="Bookman Old Style"/>
        </w:rPr>
      </w:pPr>
    </w:p>
    <w:p w14:paraId="7854AB9B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4°. Participación mínima. </w:t>
      </w:r>
      <w:r>
        <w:rPr>
          <w:rFonts w:ascii="Bookman Old Style" w:eastAsia="Bookman Old Style" w:hAnsi="Bookman Old Style" w:cs="Bookman Old Style"/>
        </w:rPr>
        <w:t xml:space="preserve">Los </w:t>
      </w:r>
      <w:r>
        <w:rPr>
          <w:rFonts w:ascii="Bookman Old Style" w:eastAsia="Bookman Old Style" w:hAnsi="Bookman Old Style" w:cs="Bookman Old Style"/>
        </w:rPr>
        <w:t>eventos culturales, artísticos y/o folclóricos vallenatos que reciban apoyo financiero o institucional del Gobierno Nacional o entidades territoriales, deberán garantizar, un mínimo del treinta por ciento (30%) de participación de mujeres en tarimas, jurad</w:t>
      </w:r>
      <w:r>
        <w:rPr>
          <w:rFonts w:ascii="Bookman Old Style" w:eastAsia="Bookman Old Style" w:hAnsi="Bookman Old Style" w:cs="Bookman Old Style"/>
        </w:rPr>
        <w:t xml:space="preserve">os, comités y actividades formativas. </w:t>
      </w:r>
    </w:p>
    <w:p w14:paraId="6348595A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6998AC95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El Ministerio de las Culturas, las Artes y los Saberes incorporará esta obligación en los términos de referencia de sus convocatorias, procesos de financiación y </w:t>
      </w:r>
      <w:r>
        <w:rPr>
          <w:rFonts w:ascii="Bookman Old Style" w:eastAsia="Bookman Old Style" w:hAnsi="Bookman Old Style" w:cs="Bookman Old Style"/>
        </w:rPr>
        <w:lastRenderedPageBreak/>
        <w:t>demás mecanismos bajo su competencia, asegurando la ve</w:t>
      </w:r>
      <w:r>
        <w:rPr>
          <w:rFonts w:ascii="Bookman Old Style" w:eastAsia="Bookman Old Style" w:hAnsi="Bookman Old Style" w:cs="Bookman Old Style"/>
        </w:rPr>
        <w:t>rificación del cumplimiento de este porcentaje.</w:t>
      </w:r>
    </w:p>
    <w:p w14:paraId="2121B6A2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25682AE9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5°. Estrategias de fortalecimiento. </w:t>
      </w:r>
      <w:r>
        <w:rPr>
          <w:rFonts w:ascii="Bookman Old Style" w:eastAsia="Bookman Old Style" w:hAnsi="Bookman Old Style" w:cs="Bookman Old Style"/>
        </w:rPr>
        <w:t xml:space="preserve">El Ministerio de las Culturas, las Artes y los Saberes, en coordinación con el Ministerio de Igualdad y Equidad, implementará el Programa Nacional de Mujeres del </w:t>
      </w:r>
      <w:r>
        <w:rPr>
          <w:rFonts w:ascii="Bookman Old Style" w:eastAsia="Bookman Old Style" w:hAnsi="Bookman Old Style" w:cs="Bookman Old Style"/>
        </w:rPr>
        <w:t>Vallenato “Patricia Teherán”, que incluirá:</w:t>
      </w:r>
    </w:p>
    <w:p w14:paraId="2843001E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2D683FB6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a) Convocatorias y becas exclusivas para mujeres intérpretes, compositoras y productoras del género vallenato.</w:t>
      </w:r>
    </w:p>
    <w:p w14:paraId="13610788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b) Espacios de formación en gestión, emprendimiento y liderazgo cultural.</w:t>
      </w:r>
    </w:p>
    <w:p w14:paraId="0C6A9ACA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c) Campañas pedagógicas sobre equidad de género en la música tradicional.</w:t>
      </w:r>
    </w:p>
    <w:p w14:paraId="70C0FB91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d) Apoyo a escuelas y semilleros femeninos de vallenato en zonas urbanas, rurales y étnicas.</w:t>
      </w:r>
    </w:p>
    <w:p w14:paraId="367FCEC1" w14:textId="77777777" w:rsidR="00732112" w:rsidRDefault="00732112">
      <w:pPr>
        <w:jc w:val="center"/>
        <w:rPr>
          <w:rFonts w:ascii="Bookman Old Style" w:eastAsia="Bookman Old Style" w:hAnsi="Bookman Old Style" w:cs="Bookman Old Style"/>
        </w:rPr>
      </w:pPr>
    </w:p>
    <w:p w14:paraId="602B9D4D" w14:textId="77777777" w:rsidR="00732112" w:rsidRDefault="00D16BD0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TÍTULO III. INCENTIVOS Y FINANCIACIÓN</w:t>
      </w:r>
    </w:p>
    <w:p w14:paraId="043E6EFD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6A34957B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Artículo 6°. Incentivos culturales</w:t>
      </w:r>
      <w:r>
        <w:rPr>
          <w:rFonts w:ascii="Bookman Old Style" w:eastAsia="Bookman Old Style" w:hAnsi="Bookman Old Style" w:cs="Bookman Old Style"/>
        </w:rPr>
        <w:t>. Los eventos a</w:t>
      </w:r>
      <w:r>
        <w:rPr>
          <w:rFonts w:ascii="Bookman Old Style" w:eastAsia="Bookman Old Style" w:hAnsi="Bookman Old Style" w:cs="Bookman Old Style"/>
        </w:rPr>
        <w:t xml:space="preserve"> los que se refiere esta ley que acrediten una participación femenina igual o superior al cuarenta por ciento (40%) podrán acceder prioritariamente a recursos del Programa Nacional de Concertación Cultural y otros fondos públicos, para lo cual el Gobierno </w:t>
      </w:r>
      <w:r>
        <w:rPr>
          <w:rFonts w:ascii="Bookman Old Style" w:eastAsia="Bookman Old Style" w:hAnsi="Bookman Old Style" w:cs="Bookman Old Style"/>
        </w:rPr>
        <w:t xml:space="preserve">Nacional, en un término de tres meses a partir de la entrada en vigencia de esta ley deberá reglamentarlo. </w:t>
      </w:r>
    </w:p>
    <w:p w14:paraId="7E578B03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7F7CF18A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7°. Fuentes de financiación. </w:t>
      </w:r>
      <w:r>
        <w:rPr>
          <w:rFonts w:ascii="Bookman Old Style" w:eastAsia="Bookman Old Style" w:hAnsi="Bookman Old Style" w:cs="Bookman Old Style"/>
        </w:rPr>
        <w:t>Las acciones previstas se financiarán con recursos de los presupuestos de las entidades territoriales, del Pr</w:t>
      </w:r>
      <w:r>
        <w:rPr>
          <w:rFonts w:ascii="Bookman Old Style" w:eastAsia="Bookman Old Style" w:hAnsi="Bookman Old Style" w:cs="Bookman Old Style"/>
        </w:rPr>
        <w:t xml:space="preserve">esupuesto General de la Nación asignados al sector cultura, cooperación internacional, y aportes de entidades territoriales y privadas. </w:t>
      </w:r>
    </w:p>
    <w:p w14:paraId="774B3A48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1C07E5CD" w14:textId="77777777" w:rsidR="00732112" w:rsidRDefault="00D16BD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TÍTULO IV. SEGUIMIENTO Y ENFOQUE DIFERENCIAL</w:t>
      </w:r>
    </w:p>
    <w:p w14:paraId="7607B6DF" w14:textId="77777777" w:rsidR="00732112" w:rsidRDefault="0073211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20FF7B34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8°. Seguimiento y control ciudadano. </w:t>
      </w:r>
      <w:r>
        <w:rPr>
          <w:rFonts w:ascii="Bookman Old Style" w:eastAsia="Bookman Old Style" w:hAnsi="Bookman Old Style" w:cs="Bookman Old Style"/>
        </w:rPr>
        <w:t>Las entidades territoriale</w:t>
      </w:r>
      <w:r>
        <w:rPr>
          <w:rFonts w:ascii="Bookman Old Style" w:eastAsia="Bookman Old Style" w:hAnsi="Bookman Old Style" w:cs="Bookman Old Style"/>
        </w:rPr>
        <w:t xml:space="preserve">s a través de sus oficinas de cultura, El Ministerio de las Culturas, las Artes y los Saberes elaborarán anualmente un informe público sobre la participación de mujeres en el vallenato, para lo cual tendrán que hacer mesas técnicas con la participación de </w:t>
      </w:r>
      <w:r>
        <w:rPr>
          <w:rFonts w:ascii="Bookman Old Style" w:eastAsia="Bookman Old Style" w:hAnsi="Bookman Old Style" w:cs="Bookman Old Style"/>
        </w:rPr>
        <w:t xml:space="preserve">organizaciones o redes de mujeres artistas, legalmente constituidas. </w:t>
      </w:r>
    </w:p>
    <w:p w14:paraId="04264CD7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4C5E8A81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9°. Enfoque diferencial. </w:t>
      </w:r>
      <w:r>
        <w:rPr>
          <w:rFonts w:ascii="Bookman Old Style" w:eastAsia="Bookman Old Style" w:hAnsi="Bookman Old Style" w:cs="Bookman Old Style"/>
        </w:rPr>
        <w:t>La implementación de esta ley garantizará los derechos de las mujeres artistas el vallenato sin distingo alguno, por tal motivo, tendrá en cuenta la inclusión de mujeres rurales, afrodescendientes, indígenas, LBTIQ+, con discapacidad, jóvenes y adultas may</w:t>
      </w:r>
      <w:r>
        <w:rPr>
          <w:rFonts w:ascii="Bookman Old Style" w:eastAsia="Bookman Old Style" w:hAnsi="Bookman Old Style" w:cs="Bookman Old Style"/>
        </w:rPr>
        <w:t>ores, garantizando el respeto por la diversidad cultural y territorial.</w:t>
      </w:r>
    </w:p>
    <w:p w14:paraId="61F44BC1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740B2398" w14:textId="77777777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10°. Reglamentación. </w:t>
      </w:r>
      <w:r>
        <w:rPr>
          <w:rFonts w:ascii="Bookman Old Style" w:eastAsia="Bookman Old Style" w:hAnsi="Bookman Old Style" w:cs="Bookman Old Style"/>
        </w:rPr>
        <w:t xml:space="preserve">El Gobierno Nacional reglamentará lo necesario para la aplicación efectiva de la presente ley dentro de los seis (6) meses siguientes a su promulgación. </w:t>
      </w:r>
    </w:p>
    <w:p w14:paraId="6A61816A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39AEC1CF" w14:textId="26E8D1D4" w:rsidR="00732112" w:rsidRDefault="00D16BD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Artículo 11°. Vigencia. </w:t>
      </w:r>
      <w:r>
        <w:rPr>
          <w:rFonts w:ascii="Bookman Old Style" w:eastAsia="Bookman Old Style" w:hAnsi="Bookman Old Style" w:cs="Bookman Old Style"/>
        </w:rPr>
        <w:t>La presente ley rige a partir de su promulgación y deroga las disposiciones que le sean contrarias.</w:t>
      </w:r>
    </w:p>
    <w:p w14:paraId="2E0906FE" w14:textId="77777777" w:rsidR="00377256" w:rsidRDefault="00377256">
      <w:pPr>
        <w:jc w:val="both"/>
        <w:rPr>
          <w:rFonts w:ascii="Bookman Old Style" w:eastAsia="Bookman Old Style" w:hAnsi="Bookman Old Style" w:cs="Bookman Old Style"/>
        </w:rPr>
      </w:pPr>
    </w:p>
    <w:p w14:paraId="044FA85B" w14:textId="0489D5B3" w:rsidR="0071117F" w:rsidRDefault="0071117F">
      <w:pPr>
        <w:jc w:val="both"/>
        <w:rPr>
          <w:rFonts w:ascii="Bookman Old Style" w:eastAsia="Bookman Old Style" w:hAnsi="Bookman Old Style" w:cs="Bookman Old Style"/>
        </w:rPr>
      </w:pPr>
    </w:p>
    <w:tbl>
      <w:tblPr>
        <w:tblStyle w:val="Tablaconcuadrcula"/>
        <w:tblW w:w="10065" w:type="dxa"/>
        <w:tblInd w:w="-431" w:type="dxa"/>
        <w:tblLook w:val="04A0" w:firstRow="1" w:lastRow="0" w:firstColumn="1" w:lastColumn="0" w:noHBand="0" w:noVBand="1"/>
      </w:tblPr>
      <w:tblGrid>
        <w:gridCol w:w="4659"/>
        <w:gridCol w:w="5406"/>
      </w:tblGrid>
      <w:tr w:rsidR="0071117F" w14:paraId="36E4F729" w14:textId="77777777" w:rsidTr="00A101A5">
        <w:tc>
          <w:tcPr>
            <w:tcW w:w="4962" w:type="dxa"/>
          </w:tcPr>
          <w:p w14:paraId="2DDB7C9A" w14:textId="36D7F1C5" w:rsidR="0071117F" w:rsidRDefault="00A101A5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1" locked="0" layoutInCell="1" hidden="0" allowOverlap="1" wp14:anchorId="59E58AAC" wp14:editId="69C0F03D">
                  <wp:simplePos x="0" y="0"/>
                  <wp:positionH relativeFrom="margin">
                    <wp:posOffset>-179070</wp:posOffset>
                  </wp:positionH>
                  <wp:positionV relativeFrom="paragraph">
                    <wp:posOffset>24765</wp:posOffset>
                  </wp:positionV>
                  <wp:extent cx="3153728" cy="666750"/>
                  <wp:effectExtent l="0" t="0" r="8890" b="0"/>
                  <wp:wrapNone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728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A1E7E85" w14:textId="583328C3" w:rsidR="0071117F" w:rsidRDefault="0071117F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  <w:p w14:paraId="1E28FD99" w14:textId="77777777" w:rsidR="0071117F" w:rsidRDefault="0071117F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  <w:p w14:paraId="1A2A2ABD" w14:textId="77777777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7F64184C" w14:textId="185F46C1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JORGE ALBERTO CECHIARO FIGUEROA</w:t>
            </w:r>
          </w:p>
          <w:p w14:paraId="3E0522DB" w14:textId="77777777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7659A20C" w14:textId="66170027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Departamento de la Guajira</w:t>
            </w:r>
          </w:p>
          <w:p w14:paraId="40187E84" w14:textId="259593F3" w:rsidR="0071117F" w:rsidRDefault="0071117F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5103" w:type="dxa"/>
          </w:tcPr>
          <w:p w14:paraId="27B72EDB" w14:textId="77777777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114300" distB="114300" distL="114300" distR="114300" wp14:anchorId="2FDF4F83" wp14:editId="24FA23B7">
                  <wp:extent cx="1667827" cy="1047750"/>
                  <wp:effectExtent l="0" t="0" r="0" b="0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27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4B1868" w14:textId="65E1EFBE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ANIBAL</w:t>
            </w:r>
            <w:r>
              <w:rPr>
                <w:rFonts w:ascii="Bookman Old Style" w:eastAsia="Bookman Old Style" w:hAnsi="Bookman Old Style" w:cs="Bookman Old Style"/>
                <w:b/>
                <w:bCs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bCs/>
              </w:rPr>
              <w:t>GUSTAVO HOYOS FRANCO</w:t>
            </w:r>
          </w:p>
          <w:p w14:paraId="4EF40813" w14:textId="77777777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06BA5F41" w14:textId="02E6A6E2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Departamento de Risaralda</w:t>
            </w:r>
          </w:p>
        </w:tc>
      </w:tr>
      <w:tr w:rsidR="0071117F" w14:paraId="1185D05E" w14:textId="77777777" w:rsidTr="00A101A5">
        <w:tc>
          <w:tcPr>
            <w:tcW w:w="4962" w:type="dxa"/>
          </w:tcPr>
          <w:p w14:paraId="7E5EEC3B" w14:textId="77777777" w:rsidR="00451B55" w:rsidRDefault="00451B55" w:rsidP="00451B55">
            <w:pPr>
              <w:spacing w:before="240" w:after="240" w:line="14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079B70" w14:textId="7711BBCF" w:rsidR="0071117F" w:rsidRDefault="0071117F" w:rsidP="00451B55">
            <w:pPr>
              <w:spacing w:before="240" w:after="240" w:line="14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114300" distB="114300" distL="114300" distR="114300" wp14:anchorId="1A103FED" wp14:editId="7C711B8B">
                  <wp:extent cx="2333625" cy="1162050"/>
                  <wp:effectExtent l="0" t="0" r="0" b="0"/>
                  <wp:docPr id="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E30F6D" w14:textId="77777777" w:rsidR="0071117F" w:rsidRP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 w:rsidRPr="0071117F">
              <w:rPr>
                <w:rFonts w:ascii="Bookman Old Style" w:eastAsia="Bookman Old Style" w:hAnsi="Bookman Old Style" w:cs="Bookman Old Style"/>
                <w:b/>
                <w:bCs/>
              </w:rPr>
              <w:t>WILDER IBERSON ESCOBAR ORTIZ</w:t>
            </w:r>
          </w:p>
          <w:p w14:paraId="4DD38643" w14:textId="77777777" w:rsidR="0071117F" w:rsidRP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 w:rsidRPr="0071117F"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08EAC2BB" w14:textId="46D2A4FC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 w:rsidRPr="0071117F">
              <w:rPr>
                <w:rFonts w:ascii="Bookman Old Style" w:eastAsia="Bookman Old Style" w:hAnsi="Bookman Old Style" w:cs="Bookman Old Style"/>
              </w:rPr>
              <w:t>Departamento de Caldas</w:t>
            </w:r>
          </w:p>
        </w:tc>
        <w:tc>
          <w:tcPr>
            <w:tcW w:w="5103" w:type="dxa"/>
          </w:tcPr>
          <w:p w14:paraId="7479BDB1" w14:textId="1E99384E" w:rsidR="0071117F" w:rsidRPr="00451B55" w:rsidRDefault="0071117F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0" distB="0" distL="0" distR="0" wp14:anchorId="5B6FB98C" wp14:editId="682E0BF2">
                  <wp:extent cx="2819400" cy="1285875"/>
                  <wp:effectExtent l="0" t="0" r="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D2373" w14:textId="7D6F381E" w:rsidR="0071117F" w:rsidRDefault="0071117F" w:rsidP="0071117F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 w:rsidRPr="0071117F">
              <w:rPr>
                <w:rFonts w:ascii="Bookman Old Style" w:eastAsia="Bookman Old Style" w:hAnsi="Bookman Old Style" w:cs="Bookman Old Style"/>
                <w:b/>
                <w:bCs/>
              </w:rPr>
              <w:t>DORINA HERNÁNDEZ PALOMINO</w:t>
            </w:r>
            <w:r>
              <w:rPr>
                <w:rFonts w:ascii="Bookman Old Style" w:eastAsia="Bookman Old Style" w:hAnsi="Bookman Old Style" w:cs="Bookman Old Style"/>
              </w:rPr>
              <w:br/>
              <w:t>Representante a la Cámara por Bolívar - Pacto Histórico -PDA</w:t>
            </w:r>
          </w:p>
        </w:tc>
      </w:tr>
      <w:tr w:rsidR="0071117F" w14:paraId="68C754D2" w14:textId="77777777" w:rsidTr="00A101A5">
        <w:tc>
          <w:tcPr>
            <w:tcW w:w="4962" w:type="dxa"/>
          </w:tcPr>
          <w:p w14:paraId="024A55E9" w14:textId="77777777" w:rsidR="00451B55" w:rsidRDefault="00451B55" w:rsidP="00451B55">
            <w:pPr>
              <w:widowControl w:val="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114300" distB="114300" distL="114300" distR="114300" wp14:anchorId="21EA0D92" wp14:editId="2B175383">
                  <wp:extent cx="2067878" cy="1708247"/>
                  <wp:effectExtent l="0" t="0" r="0" b="0"/>
                  <wp:docPr id="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78" cy="1708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CE7B72" w14:textId="77777777" w:rsidR="00451B55" w:rsidRDefault="00451B55" w:rsidP="00451B55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LUIS DAVID SUÁREZ CHADID</w:t>
            </w:r>
          </w:p>
          <w:p w14:paraId="2462C046" w14:textId="77777777" w:rsidR="00451B55" w:rsidRDefault="00451B55" w:rsidP="00451B55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7B771192" w14:textId="77777777" w:rsidR="00451B55" w:rsidRDefault="00451B55" w:rsidP="00451B55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Departamento de Sucre</w:t>
            </w:r>
          </w:p>
          <w:p w14:paraId="5597549A" w14:textId="77777777" w:rsidR="0071117F" w:rsidRDefault="0071117F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5103" w:type="dxa"/>
          </w:tcPr>
          <w:p w14:paraId="0AF29EDE" w14:textId="2B5E17F7" w:rsidR="00451B55" w:rsidRDefault="00451B55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  <w:p w14:paraId="53CA2277" w14:textId="77777777" w:rsidR="00377256" w:rsidRDefault="00377256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  <w:p w14:paraId="40F2F2AA" w14:textId="35DB1A61" w:rsidR="00451B55" w:rsidRDefault="00451B55" w:rsidP="00451B55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114300" distB="114300" distL="114300" distR="114300" wp14:anchorId="318FB8FB" wp14:editId="6B24DAB6">
                  <wp:extent cx="2426335" cy="1355725"/>
                  <wp:effectExtent l="0" t="0" r="0" b="0"/>
                  <wp:docPr id="3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600" cy="1355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0DA4DA" w14:textId="77777777" w:rsidR="00451B55" w:rsidRDefault="00451B55" w:rsidP="00451B55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JOSE ELIECER SALAZAR LOPEZ</w:t>
            </w:r>
          </w:p>
          <w:p w14:paraId="737A1656" w14:textId="77777777" w:rsidR="00451B55" w:rsidRDefault="00451B55" w:rsidP="00451B55">
            <w:pPr>
              <w:widowControl w:val="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Representante a la Cámara</w:t>
            </w:r>
          </w:p>
          <w:p w14:paraId="2DB7C499" w14:textId="77777777" w:rsidR="00451B55" w:rsidRDefault="00451B55" w:rsidP="00451B55">
            <w:pPr>
              <w:widowControl w:val="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Departamento del Cesar</w:t>
            </w:r>
          </w:p>
          <w:p w14:paraId="29958977" w14:textId="37793BAB" w:rsidR="00451B55" w:rsidRDefault="00451B55">
            <w:pPr>
              <w:jc w:val="both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A101A5" w14:paraId="4B55D949" w14:textId="77777777" w:rsidTr="00377256">
        <w:trPr>
          <w:trHeight w:val="3609"/>
        </w:trPr>
        <w:tc>
          <w:tcPr>
            <w:tcW w:w="4962" w:type="dxa"/>
          </w:tcPr>
          <w:p w14:paraId="6A15158E" w14:textId="77777777" w:rsidR="00A101A5" w:rsidRDefault="00A101A5" w:rsidP="00451B55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</w:p>
          <w:p w14:paraId="5CE434CC" w14:textId="77777777" w:rsidR="00A101A5" w:rsidRDefault="00A101A5" w:rsidP="00A101A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0" distB="0" distL="0" distR="0" wp14:anchorId="33DCE9D1" wp14:editId="3D02CEBE">
                  <wp:extent cx="2286000" cy="952500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A4C6D" w14:textId="77777777" w:rsidR="00A101A5" w:rsidRPr="005D47A9" w:rsidRDefault="00A101A5" w:rsidP="005D47A9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b/>
                <w:bCs/>
                <w:noProof/>
              </w:rPr>
            </w:pPr>
            <w:r w:rsidRPr="005D47A9">
              <w:rPr>
                <w:rFonts w:ascii="Bookman Old Style" w:eastAsia="Bookman Old Style" w:hAnsi="Bookman Old Style" w:cs="Bookman Old Style"/>
                <w:b/>
                <w:bCs/>
                <w:noProof/>
              </w:rPr>
              <w:t>HERNANDO GUIDA PONCE</w:t>
            </w:r>
          </w:p>
          <w:p w14:paraId="20E2D508" w14:textId="77777777" w:rsidR="00A101A5" w:rsidRPr="005D47A9" w:rsidRDefault="00A101A5" w:rsidP="005D47A9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  <w:r w:rsidRPr="005D47A9">
              <w:rPr>
                <w:rFonts w:ascii="Bookman Old Style" w:eastAsia="Bookman Old Style" w:hAnsi="Bookman Old Style" w:cs="Bookman Old Style"/>
                <w:noProof/>
              </w:rPr>
              <w:t>Representante a la Cámara</w:t>
            </w:r>
          </w:p>
          <w:p w14:paraId="391348CE" w14:textId="77777777" w:rsidR="00A101A5" w:rsidRPr="005D47A9" w:rsidRDefault="00A101A5" w:rsidP="005D47A9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  <w:r w:rsidRPr="005D47A9">
              <w:rPr>
                <w:rFonts w:ascii="Bookman Old Style" w:eastAsia="Bookman Old Style" w:hAnsi="Bookman Old Style" w:cs="Bookman Old Style"/>
                <w:noProof/>
              </w:rPr>
              <w:t>Departamento del Magdalena</w:t>
            </w:r>
          </w:p>
          <w:p w14:paraId="2C2908B3" w14:textId="37DAA1A1" w:rsidR="00A101A5" w:rsidRDefault="00A101A5" w:rsidP="00A101A5">
            <w:pPr>
              <w:widowControl w:val="0"/>
              <w:rPr>
                <w:rFonts w:ascii="Bookman Old Style" w:eastAsia="Bookman Old Style" w:hAnsi="Bookman Old Style" w:cs="Bookman Old Style"/>
                <w:noProof/>
              </w:rPr>
            </w:pPr>
          </w:p>
        </w:tc>
        <w:tc>
          <w:tcPr>
            <w:tcW w:w="5103" w:type="dxa"/>
          </w:tcPr>
          <w:p w14:paraId="3D3F9577" w14:textId="67FD679C" w:rsidR="00A101A5" w:rsidRDefault="00A101A5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0" distB="0" distL="0" distR="0" wp14:anchorId="6CFCC9E0" wp14:editId="38D9784F">
                  <wp:extent cx="3286125" cy="1790700"/>
                  <wp:effectExtent l="0" t="0" r="9525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7A9" w14:paraId="3083A3AD" w14:textId="77777777" w:rsidTr="00A101A5">
        <w:tc>
          <w:tcPr>
            <w:tcW w:w="4962" w:type="dxa"/>
          </w:tcPr>
          <w:p w14:paraId="3638E253" w14:textId="5F4E966A" w:rsidR="005D47A9" w:rsidRDefault="00377256" w:rsidP="00377256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0" distB="0" distL="0" distR="0" wp14:anchorId="0004ECF0" wp14:editId="58025EA5">
                  <wp:extent cx="2209800" cy="1895475"/>
                  <wp:effectExtent l="0" t="0" r="0" b="952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F5D66" w14:textId="77777777" w:rsidR="005D47A9" w:rsidRDefault="005D47A9" w:rsidP="005D47A9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Bookman Old Style" w:hAnsi="Bookman Old Style"/>
                <w:b/>
                <w:bCs/>
                <w:color w:val="000000"/>
              </w:rPr>
              <w:t>GERSEL LUIS PÉREZ ALTAMIRANDA</w:t>
            </w:r>
          </w:p>
          <w:p w14:paraId="62BEE453" w14:textId="77777777" w:rsidR="005D47A9" w:rsidRPr="005D47A9" w:rsidRDefault="005D47A9" w:rsidP="005D47A9">
            <w:pPr>
              <w:pStyle w:val="NormalWeb"/>
              <w:spacing w:before="0" w:beforeAutospacing="0" w:after="0" w:afterAutospacing="0"/>
              <w:jc w:val="center"/>
            </w:pPr>
            <w:r w:rsidRPr="005D47A9">
              <w:rPr>
                <w:rFonts w:ascii="Bookman Old Style" w:hAnsi="Bookman Old Style"/>
                <w:color w:val="000000"/>
              </w:rPr>
              <w:t>Representante a la Cámara </w:t>
            </w:r>
          </w:p>
          <w:p w14:paraId="504A2EED" w14:textId="77777777" w:rsidR="005D47A9" w:rsidRPr="005D47A9" w:rsidRDefault="005D47A9" w:rsidP="005D47A9">
            <w:pPr>
              <w:pStyle w:val="NormalWeb"/>
              <w:spacing w:before="0" w:beforeAutospacing="0" w:after="0" w:afterAutospacing="0"/>
              <w:jc w:val="center"/>
            </w:pPr>
            <w:r w:rsidRPr="005D47A9">
              <w:rPr>
                <w:rFonts w:ascii="Bookman Old Style" w:hAnsi="Bookman Old Style"/>
                <w:color w:val="000000"/>
              </w:rPr>
              <w:t xml:space="preserve">Departamento del Atlántico </w:t>
            </w:r>
          </w:p>
          <w:p w14:paraId="527C8DF2" w14:textId="6CB9FD57" w:rsidR="005D47A9" w:rsidRDefault="005D47A9" w:rsidP="00451B55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</w:p>
        </w:tc>
        <w:tc>
          <w:tcPr>
            <w:tcW w:w="5103" w:type="dxa"/>
          </w:tcPr>
          <w:p w14:paraId="719C8633" w14:textId="758A8F4F" w:rsidR="00377256" w:rsidRDefault="00377256" w:rsidP="0037725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</w:p>
          <w:p w14:paraId="0F5E5230" w14:textId="77777777" w:rsidR="005D47A9" w:rsidRDefault="005D47A9" w:rsidP="0037725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eastAsia="Bookman Old Style" w:hAnsi="Bookman Old Style" w:cs="Bookman Old Style"/>
                <w:noProof/>
              </w:rPr>
            </w:pPr>
          </w:p>
        </w:tc>
      </w:tr>
    </w:tbl>
    <w:p w14:paraId="642C54E8" w14:textId="13C24198" w:rsidR="0071117F" w:rsidRDefault="0071117F">
      <w:pPr>
        <w:jc w:val="both"/>
        <w:rPr>
          <w:rFonts w:ascii="Bookman Old Style" w:eastAsia="Bookman Old Style" w:hAnsi="Bookman Old Style" w:cs="Bookman Old Style"/>
        </w:rPr>
      </w:pPr>
    </w:p>
    <w:p w14:paraId="1E5B1A9E" w14:textId="2818F44B" w:rsidR="0071117F" w:rsidRDefault="0071117F">
      <w:pPr>
        <w:jc w:val="both"/>
        <w:rPr>
          <w:rFonts w:ascii="Bookman Old Style" w:eastAsia="Bookman Old Style" w:hAnsi="Bookman Old Style" w:cs="Bookman Old Style"/>
        </w:rPr>
      </w:pPr>
    </w:p>
    <w:p w14:paraId="6060B35E" w14:textId="78CDF9FB" w:rsidR="0071117F" w:rsidRDefault="0071117F">
      <w:pPr>
        <w:jc w:val="both"/>
        <w:rPr>
          <w:rFonts w:ascii="Bookman Old Style" w:eastAsia="Bookman Old Style" w:hAnsi="Bookman Old Style" w:cs="Bookman Old Style"/>
        </w:rPr>
      </w:pPr>
    </w:p>
    <w:p w14:paraId="10FC146A" w14:textId="31A7CE4C" w:rsidR="0071117F" w:rsidRDefault="0071117F">
      <w:pPr>
        <w:jc w:val="both"/>
        <w:rPr>
          <w:rFonts w:ascii="Bookman Old Style" w:eastAsia="Bookman Old Style" w:hAnsi="Bookman Old Style" w:cs="Bookman Old Style"/>
        </w:rPr>
      </w:pPr>
    </w:p>
    <w:p w14:paraId="0DA1FE66" w14:textId="1AA938CB" w:rsidR="0071117F" w:rsidRDefault="0071117F">
      <w:pPr>
        <w:jc w:val="both"/>
        <w:rPr>
          <w:rFonts w:ascii="Bookman Old Style" w:eastAsia="Bookman Old Style" w:hAnsi="Bookman Old Style" w:cs="Bookman Old Style"/>
        </w:rPr>
      </w:pPr>
    </w:p>
    <w:p w14:paraId="68F47DE3" w14:textId="068E6BDF" w:rsidR="0071117F" w:rsidRDefault="0071117F">
      <w:pPr>
        <w:jc w:val="both"/>
        <w:rPr>
          <w:rFonts w:ascii="Bookman Old Style" w:eastAsia="Bookman Old Style" w:hAnsi="Bookman Old Style" w:cs="Bookman Old Style"/>
        </w:rPr>
      </w:pPr>
    </w:p>
    <w:p w14:paraId="20CD0DE6" w14:textId="77777777" w:rsidR="0071117F" w:rsidRDefault="0071117F">
      <w:pPr>
        <w:jc w:val="both"/>
        <w:rPr>
          <w:rFonts w:ascii="Bookman Old Style" w:eastAsia="Bookman Old Style" w:hAnsi="Bookman Old Style" w:cs="Bookman Old Style"/>
        </w:rPr>
      </w:pPr>
    </w:p>
    <w:p w14:paraId="004DF72C" w14:textId="77777777" w:rsidR="00732112" w:rsidRDefault="00732112">
      <w:pPr>
        <w:jc w:val="both"/>
        <w:rPr>
          <w:rFonts w:ascii="Bookman Old Style" w:eastAsia="Bookman Old Style" w:hAnsi="Bookman Old Style" w:cs="Bookman Old Style"/>
        </w:rPr>
      </w:pPr>
    </w:p>
    <w:p w14:paraId="4A1005B6" w14:textId="3EAC9D90" w:rsidR="00732112" w:rsidRDefault="007321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Bookman Old Style" w:eastAsia="Bookman Old Style" w:hAnsi="Bookman Old Style" w:cs="Bookman Old Style"/>
        </w:rPr>
      </w:pPr>
    </w:p>
    <w:p w14:paraId="3EE1ADA3" w14:textId="2216B3DA" w:rsidR="00732112" w:rsidRDefault="007321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Bookman Old Style" w:eastAsia="Bookman Old Style" w:hAnsi="Bookman Old Style" w:cs="Bookman Old Style"/>
        </w:rPr>
      </w:pPr>
    </w:p>
    <w:p w14:paraId="5BFE849D" w14:textId="4E3273BE" w:rsidR="0071117F" w:rsidRDefault="007111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Bookman Old Style" w:eastAsia="Bookman Old Style" w:hAnsi="Bookman Old Style" w:cs="Bookman Old Style"/>
        </w:rPr>
      </w:pPr>
    </w:p>
    <w:p w14:paraId="008F31C5" w14:textId="7FE757DF" w:rsidR="0071117F" w:rsidRDefault="007111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Bookman Old Style" w:eastAsia="Bookman Old Style" w:hAnsi="Bookman Old Style" w:cs="Bookman Old Style"/>
        </w:rPr>
      </w:pPr>
    </w:p>
    <w:sectPr w:rsidR="0071117F">
      <w:headerReference w:type="default" r:id="rId18"/>
      <w:footerReference w:type="default" r:id="rId19"/>
      <w:pgSz w:w="12240" w:h="15840"/>
      <w:pgMar w:top="1671" w:right="1325" w:bottom="1417" w:left="1701" w:header="708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0A7B3" w14:textId="77777777" w:rsidR="00D16BD0" w:rsidRDefault="00D16BD0">
      <w:r>
        <w:separator/>
      </w:r>
    </w:p>
  </w:endnote>
  <w:endnote w:type="continuationSeparator" w:id="0">
    <w:p w14:paraId="6D81032A" w14:textId="77777777" w:rsidR="00D16BD0" w:rsidRDefault="00D1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A55A79A-DE8A-488A-8B17-6B4AF82835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6A59FA-00BB-4939-B904-D2628D4A3AEC}"/>
    <w:embedBold r:id="rId3" w:fontKey="{27C5F803-60F3-46C6-87E4-84394551C9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0383E2A-A073-4523-9D36-88340F12DB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A8DEB64-0079-488E-8C30-834B792D984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A12C9137-8D00-4A29-A945-EC38755410A1}"/>
    <w:embedBold r:id="rId7" w:fontKey="{1351E889-07D6-415C-8254-A31446198F2E}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8" w:fontKey="{C97DD20B-EE16-4942-A5EA-44C6727A10E1}"/>
    <w:embedBold r:id="rId9" w:fontKey="{4139E5A9-F659-4581-87F3-55778001DF02}"/>
  </w:font>
  <w:font w:name="Aldhabi">
    <w:charset w:val="B2"/>
    <w:family w:val="auto"/>
    <w:pitch w:val="variable"/>
    <w:sig w:usb0="80002007" w:usb1="80000000" w:usb2="00000008" w:usb3="00000000" w:csb0="00000041" w:csb1="00000000"/>
    <w:embedRegular r:id="rId10" w:fontKey="{4E223D9A-150D-4816-B2EF-52612B2663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7241F" w14:textId="77777777" w:rsidR="00732112" w:rsidRDefault="00D16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masis MT Pro" w:eastAsia="Amasis MT Pro" w:hAnsi="Amasis MT Pro" w:cs="Amasis MT Pro"/>
        <w:b/>
        <w:bCs/>
        <w:color w:val="000000"/>
        <w:sz w:val="20"/>
        <w:szCs w:val="20"/>
      </w:rPr>
    </w:pPr>
    <w:r>
      <w:rPr>
        <w:rFonts w:ascii="Amasis MT Pro" w:eastAsia="Amasis MT Pro" w:hAnsi="Amasis MT Pro" w:cs="Amasis MT Pro"/>
        <w:b/>
        <w:bCs/>
        <w:color w:val="000000"/>
        <w:sz w:val="20"/>
        <w:szCs w:val="20"/>
      </w:rPr>
      <w:t>Capitolio tercer piso oficina 305 (cámara)</w:t>
    </w:r>
  </w:p>
  <w:p w14:paraId="7AD15DAC" w14:textId="77777777" w:rsidR="00732112" w:rsidRDefault="00D16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masis MT Pro" w:eastAsia="Amasis MT Pro" w:hAnsi="Amasis MT Pro" w:cs="Amasis MT Pro"/>
        <w:b/>
        <w:bCs/>
        <w:color w:val="000000"/>
        <w:sz w:val="20"/>
        <w:szCs w:val="20"/>
      </w:rPr>
    </w:pPr>
    <w:r>
      <w:rPr>
        <w:rFonts w:ascii="Amasis MT Pro" w:eastAsia="Amasis MT Pro" w:hAnsi="Amasis MT Pro" w:cs="Amasis MT Pro"/>
        <w:b/>
        <w:bCs/>
        <w:color w:val="000000"/>
        <w:sz w:val="20"/>
        <w:szCs w:val="20"/>
      </w:rPr>
      <w:t>Correo Electrónico: Jorge.cerchiaro@camara.gov.co</w:t>
    </w:r>
  </w:p>
  <w:p w14:paraId="4D039A53" w14:textId="77777777" w:rsidR="00732112" w:rsidRDefault="00732112">
    <w:pPr>
      <w:jc w:val="center"/>
      <w:rPr>
        <w:i/>
        <w:iCs/>
      </w:rPr>
    </w:pPr>
  </w:p>
  <w:p w14:paraId="1E445253" w14:textId="77777777" w:rsidR="00732112" w:rsidRDefault="00D16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A43E95A" wp14:editId="6A5BD1F2">
              <wp:simplePos x="0" y="0"/>
              <wp:positionH relativeFrom="column">
                <wp:posOffset>5017135</wp:posOffset>
              </wp:positionH>
              <wp:positionV relativeFrom="paragraph">
                <wp:posOffset>8936990</wp:posOffset>
              </wp:positionV>
              <wp:extent cx="1931670" cy="746760"/>
              <wp:effectExtent l="0" t="0" r="0" b="0"/>
              <wp:wrapNone/>
              <wp:docPr id="25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1670" cy="746760"/>
                        <a:chOff x="4380150" y="3406600"/>
                        <a:chExt cx="1931700" cy="7468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4380165" y="3406620"/>
                          <a:ext cx="1931670" cy="746760"/>
                          <a:chOff x="7901" y="14074"/>
                          <a:chExt cx="3042" cy="1176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7901" y="14074"/>
                            <a:ext cx="3025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F54CBD" w14:textId="77777777" w:rsidR="00732112" w:rsidRDefault="0073211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Shape 12" descr="L:\MV manual interno MINVIENDA\selloCERTIFICACION\SELLO NTCGP1000\SELLO GESTIÓN DE LA CALIDAD NTCGP1000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901" y="14084"/>
                            <a:ext cx="950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upo 3"/>
                        <wpg:cNvGrpSpPr/>
                        <wpg:grpSpPr>
                          <a:xfrm>
                            <a:off x="8964" y="14074"/>
                            <a:ext cx="956" cy="1176"/>
                            <a:chOff x="8964" y="14074"/>
                            <a:chExt cx="956" cy="1176"/>
                          </a:xfrm>
                        </wpg:grpSpPr>
                        <pic:pic xmlns:pic="http://schemas.openxmlformats.org/drawingml/2006/picture">
                          <pic:nvPicPr>
                            <pic:cNvPr id="14" name="Shape 14" descr="L:\MV manual interno MINVIENDA\selloCERTIFICACION\SELLO NTCGP1000\SGS-SELLO ISO NTGP 1000.jpg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l="12511" t="11392" r="8948" b="34821"/>
                            <a:stretch/>
                          </pic:blipFill>
                          <pic:spPr>
                            <a:xfrm>
                              <a:off x="8964" y="14074"/>
                              <a:ext cx="955" cy="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Rectángulo 4"/>
                          <wps:cNvSpPr/>
                          <wps:spPr>
                            <a:xfrm>
                              <a:off x="9017" y="14968"/>
                              <a:ext cx="903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A761C3" w14:textId="77777777" w:rsidR="00732112" w:rsidRDefault="00D16BD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CO13/5220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g:grpSp>
                        <wpg:cNvPr id="5" name="Grupo 5"/>
                        <wpg:cNvGrpSpPr/>
                        <wpg:grpSpPr>
                          <a:xfrm>
                            <a:off x="9991" y="14084"/>
                            <a:ext cx="952" cy="1166"/>
                            <a:chOff x="9991" y="14084"/>
                            <a:chExt cx="952" cy="1166"/>
                          </a:xfrm>
                        </wpg:grpSpPr>
                        <pic:pic xmlns:pic="http://schemas.openxmlformats.org/drawingml/2006/picture">
                          <pic:nvPicPr>
                            <pic:cNvPr id="17" name="Shape 17" descr="L:\MV manual interno MINVIENDA\selloCERTIFICACION\ISO_9001\For Office use\SGS_ISO 9001_TCL_HR.jpg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991" y="14084"/>
                              <a:ext cx="952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Rectángulo 6"/>
                          <wps:cNvSpPr/>
                          <wps:spPr>
                            <a:xfrm>
                              <a:off x="10005" y="14968"/>
                              <a:ext cx="903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9F3252" w14:textId="77777777" w:rsidR="00732112" w:rsidRDefault="00D16BD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CO13/5249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5017135</wp:posOffset>
              </wp:positionH>
              <wp:positionV relativeFrom="paragraph">
                <wp:posOffset>8936990</wp:posOffset>
              </wp:positionV>
              <wp:extent cx="1931670" cy="746760"/>
              <wp:effectExtent b="0" l="0" r="0" t="0"/>
              <wp:wrapNone/>
              <wp:docPr id="2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1670" cy="7467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F923037" wp14:editId="06509F20">
              <wp:simplePos x="0" y="0"/>
              <wp:positionH relativeFrom="column">
                <wp:posOffset>2921635</wp:posOffset>
              </wp:positionH>
              <wp:positionV relativeFrom="paragraph">
                <wp:posOffset>4655185</wp:posOffset>
              </wp:positionV>
              <wp:extent cx="1931670" cy="746760"/>
              <wp:effectExtent l="0" t="0" r="0" b="0"/>
              <wp:wrapNone/>
              <wp:docPr id="24" name="Gru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1670" cy="746760"/>
                        <a:chOff x="4380150" y="3406600"/>
                        <a:chExt cx="1931700" cy="74680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4380165" y="3406620"/>
                          <a:ext cx="1931670" cy="746760"/>
                          <a:chOff x="7901" y="14074"/>
                          <a:chExt cx="3042" cy="1176"/>
                        </a:xfrm>
                      </wpg:grpSpPr>
                      <wps:wsp>
                        <wps:cNvPr id="8" name="Rectángulo 8"/>
                        <wps:cNvSpPr/>
                        <wps:spPr>
                          <a:xfrm>
                            <a:off x="7901" y="14074"/>
                            <a:ext cx="3025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8032B7" w14:textId="77777777" w:rsidR="00732112" w:rsidRDefault="0073211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4" descr="L:\MV manual interno MINVIENDA\selloCERTIFICACION\SELLO NTCGP1000\SELLO GESTIÓN DE LA CALIDAD NTCGP1000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901" y="14084"/>
                            <a:ext cx="950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" name="Grupo 10"/>
                        <wpg:cNvGrpSpPr/>
                        <wpg:grpSpPr>
                          <a:xfrm>
                            <a:off x="8964" y="14074"/>
                            <a:ext cx="956" cy="1176"/>
                            <a:chOff x="8964" y="14074"/>
                            <a:chExt cx="956" cy="1176"/>
                          </a:xfrm>
                        </wpg:grpSpPr>
                        <pic:pic xmlns:pic="http://schemas.openxmlformats.org/drawingml/2006/picture">
                          <pic:nvPicPr>
                            <pic:cNvPr id="11" name="Shape 6" descr="L:\MV manual interno MINVIENDA\selloCERTIFICACION\SELLO NTCGP1000\SGS-SELLO ISO NTGP 1000.jpg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l="12511" t="11392" r="8948" b="34821"/>
                            <a:stretch/>
                          </pic:blipFill>
                          <pic:spPr>
                            <a:xfrm>
                              <a:off x="8964" y="14074"/>
                              <a:ext cx="955" cy="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Rectángulo 13"/>
                          <wps:cNvSpPr/>
                          <wps:spPr>
                            <a:xfrm>
                              <a:off x="9017" y="14968"/>
                              <a:ext cx="903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A0BE38" w14:textId="77777777" w:rsidR="00732112" w:rsidRDefault="00D16BD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CO13/5220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g:grpSp>
                        <wpg:cNvPr id="15" name="Grupo 15"/>
                        <wpg:cNvGrpSpPr/>
                        <wpg:grpSpPr>
                          <a:xfrm>
                            <a:off x="9991" y="14084"/>
                            <a:ext cx="952" cy="1166"/>
                            <a:chOff x="9991" y="14084"/>
                            <a:chExt cx="952" cy="1166"/>
                          </a:xfrm>
                        </wpg:grpSpPr>
                        <pic:pic xmlns:pic="http://schemas.openxmlformats.org/drawingml/2006/picture">
                          <pic:nvPicPr>
                            <pic:cNvPr id="16" name="Shape 9" descr="L:\MV manual interno MINVIENDA\selloCERTIFICACION\ISO_9001\For Office use\SGS_ISO 9001_TCL_HR.jpg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991" y="14084"/>
                              <a:ext cx="952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Rectángulo 18"/>
                          <wps:cNvSpPr/>
                          <wps:spPr>
                            <a:xfrm>
                              <a:off x="10005" y="14968"/>
                              <a:ext cx="903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724828" w14:textId="77777777" w:rsidR="00732112" w:rsidRDefault="00D16BD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CO13/5249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2921635</wp:posOffset>
              </wp:positionH>
              <wp:positionV relativeFrom="paragraph">
                <wp:posOffset>4655185</wp:posOffset>
              </wp:positionV>
              <wp:extent cx="1931670" cy="746760"/>
              <wp:effectExtent b="0" l="0" r="0" t="0"/>
              <wp:wrapNone/>
              <wp:docPr id="24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1670" cy="7467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6BC07" w14:textId="77777777" w:rsidR="00D16BD0" w:rsidRDefault="00D16BD0">
      <w:r>
        <w:separator/>
      </w:r>
    </w:p>
  </w:footnote>
  <w:footnote w:type="continuationSeparator" w:id="0">
    <w:p w14:paraId="38BD9695" w14:textId="77777777" w:rsidR="00D16BD0" w:rsidRDefault="00D16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F231" w14:textId="77777777" w:rsidR="00732112" w:rsidRDefault="00D16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masis MT Pro" w:eastAsia="Amasis MT Pro" w:hAnsi="Amasis MT Pro" w:cs="Amasis MT Pro"/>
        <w:b/>
        <w:bCs/>
        <w:color w:val="000000"/>
      </w:rPr>
    </w:pPr>
    <w:r>
      <w:rPr>
        <w:rFonts w:ascii="Bookman Old Style" w:eastAsia="Bookman Old Style" w:hAnsi="Bookman Old Style" w:cs="Bookman Old Style"/>
        <w:color w:val="000000"/>
        <w:sz w:val="28"/>
        <w:szCs w:val="28"/>
      </w:rPr>
      <w:tab/>
    </w:r>
    <w:r>
      <w:rPr>
        <w:rFonts w:ascii="Aldhabi" w:eastAsia="Aldhabi" w:hAnsi="Aldhabi" w:cs="Aldhabi"/>
        <w:color w:val="000000"/>
        <w:sz w:val="28"/>
        <w:szCs w:val="28"/>
      </w:rPr>
      <w:tab/>
    </w:r>
    <w:r>
      <w:rPr>
        <w:rFonts w:ascii="Amasis MT Pro" w:eastAsia="Amasis MT Pro" w:hAnsi="Amasis MT Pro" w:cs="Amasis MT Pro"/>
        <w:b/>
        <w:bCs/>
        <w:color w:val="000000"/>
      </w:rPr>
      <w:t>Jorge Alberto Cerchiaro Figueroa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D9033FC" wp14:editId="50272F06">
          <wp:simplePos x="0" y="0"/>
          <wp:positionH relativeFrom="column">
            <wp:posOffset>-1009649</wp:posOffset>
          </wp:positionH>
          <wp:positionV relativeFrom="paragraph">
            <wp:posOffset>-619759</wp:posOffset>
          </wp:positionV>
          <wp:extent cx="2469600" cy="1445201"/>
          <wp:effectExtent l="0" t="0" r="0" b="0"/>
          <wp:wrapNone/>
          <wp:docPr id="2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9600" cy="1445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DB2AED" w14:textId="77777777" w:rsidR="00732112" w:rsidRDefault="00D16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masis MT Pro" w:eastAsia="Amasis MT Pro" w:hAnsi="Amasis MT Pro" w:cs="Amasis MT Pro"/>
        <w:b/>
        <w:bCs/>
        <w:color w:val="000000"/>
      </w:rPr>
    </w:pPr>
    <w:r>
      <w:rPr>
        <w:rFonts w:ascii="Amasis MT Pro" w:eastAsia="Amasis MT Pro" w:hAnsi="Amasis MT Pro" w:cs="Amasis MT Pro"/>
        <w:color w:val="000000"/>
      </w:rPr>
      <w:tab/>
      <w:t xml:space="preserve">   </w:t>
    </w:r>
    <w:r>
      <w:rPr>
        <w:rFonts w:ascii="Amasis MT Pro" w:eastAsia="Amasis MT Pro" w:hAnsi="Amasis MT Pro" w:cs="Amasis MT Pro"/>
        <w:color w:val="000000"/>
      </w:rPr>
      <w:tab/>
    </w:r>
    <w:r>
      <w:rPr>
        <w:rFonts w:ascii="Amasis MT Pro" w:eastAsia="Amasis MT Pro" w:hAnsi="Amasis MT Pro" w:cs="Amasis MT Pro"/>
        <w:b/>
        <w:bCs/>
        <w:color w:val="000000"/>
      </w:rPr>
      <w:t xml:space="preserve">Representante por el </w:t>
    </w:r>
  </w:p>
  <w:p w14:paraId="250A99F2" w14:textId="77777777" w:rsidR="00732112" w:rsidRDefault="00D16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4419" w:hanging="4419"/>
      <w:jc w:val="right"/>
      <w:rPr>
        <w:rFonts w:ascii="Amasis MT Pro" w:eastAsia="Amasis MT Pro" w:hAnsi="Amasis MT Pro" w:cs="Amasis MT Pro"/>
        <w:b/>
        <w:bCs/>
        <w:color w:val="000000"/>
      </w:rPr>
    </w:pPr>
    <w:r>
      <w:rPr>
        <w:rFonts w:ascii="Amasis MT Pro" w:eastAsia="Amasis MT Pro" w:hAnsi="Amasis MT Pro" w:cs="Amasis MT Pro"/>
        <w:color w:val="000000"/>
      </w:rPr>
      <w:tab/>
      <w:t xml:space="preserve">                                                                        </w:t>
    </w:r>
    <w:r>
      <w:rPr>
        <w:rFonts w:ascii="Amasis MT Pro" w:eastAsia="Amasis MT Pro" w:hAnsi="Amasis MT Pro" w:cs="Amasis MT Pro"/>
        <w:b/>
        <w:bCs/>
        <w:color w:val="000000"/>
      </w:rPr>
      <w:t>Departamento de La Guajira</w:t>
    </w:r>
  </w:p>
  <w:p w14:paraId="22C09635" w14:textId="77777777" w:rsidR="00732112" w:rsidRDefault="00D16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masis MT Pro" w:eastAsia="Amasis MT Pro" w:hAnsi="Amasis MT Pro" w:cs="Amasis MT Pro"/>
        <w:color w:val="000000"/>
        <w:sz w:val="20"/>
        <w:szCs w:val="20"/>
      </w:rPr>
    </w:pPr>
    <w:r>
      <w:rPr>
        <w:rFonts w:ascii="Calibri" w:eastAsia="Calibri" w:hAnsi="Calibri" w:cs="Calibri"/>
        <w:color w:val="9E7500"/>
      </w:rPr>
      <w:t xml:space="preserve">         </w:t>
    </w:r>
    <w:r>
      <w:rPr>
        <w:rFonts w:ascii="Calibri" w:eastAsia="Calibri" w:hAnsi="Calibri" w:cs="Calibri"/>
        <w:color w:val="000000"/>
      </w:rPr>
      <w:t xml:space="preserve"> _________________________________________________</w:t>
    </w:r>
    <w:r>
      <w:rPr>
        <w:rFonts w:ascii="Amasis MT Pro" w:eastAsia="Amasis MT Pro" w:hAnsi="Amasis MT Pro" w:cs="Amasis MT Pro"/>
        <w:color w:val="000000"/>
        <w:sz w:val="20"/>
        <w:szCs w:val="20"/>
      </w:rPr>
      <w:t xml:space="preserve"> </w:t>
    </w:r>
  </w:p>
  <w:p w14:paraId="514F390F" w14:textId="77777777" w:rsidR="00732112" w:rsidRDefault="007321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9E75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112"/>
    <w:rsid w:val="00025A11"/>
    <w:rsid w:val="00377256"/>
    <w:rsid w:val="00451B55"/>
    <w:rsid w:val="004C3B88"/>
    <w:rsid w:val="005D47A9"/>
    <w:rsid w:val="0071117F"/>
    <w:rsid w:val="00732112"/>
    <w:rsid w:val="00A101A5"/>
    <w:rsid w:val="00C056ED"/>
    <w:rsid w:val="00D1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84A99"/>
  <w15:docId w15:val="{BCC60F6A-B818-4323-A982-DB45CDB9A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B5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nhideWhenUsed/>
    <w:rsid w:val="008036E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8036E3"/>
  </w:style>
  <w:style w:type="paragraph" w:styleId="Piedepgina">
    <w:name w:val="footer"/>
    <w:basedOn w:val="Normal"/>
    <w:link w:val="PiedepginaCar"/>
    <w:uiPriority w:val="99"/>
    <w:unhideWhenUsed/>
    <w:rsid w:val="008036E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36E3"/>
  </w:style>
  <w:style w:type="paragraph" w:customStyle="1" w:styleId="epgrafe">
    <w:name w:val="epgrafe"/>
    <w:basedOn w:val="Normal"/>
    <w:rsid w:val="008036E3"/>
    <w:pPr>
      <w:spacing w:before="100" w:beforeAutospacing="1" w:after="100" w:afterAutospacing="1"/>
    </w:pPr>
    <w:rPr>
      <w:rFonts w:eastAsia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3F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FE9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39"/>
    <w:rsid w:val="00F6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64CC7"/>
    <w:rPr>
      <w:color w:val="0000FF" w:themeColor="hyperlink"/>
      <w:u w:val="single"/>
    </w:rPr>
  </w:style>
  <w:style w:type="paragraph" w:styleId="Prrafodelista">
    <w:name w:val="List Paragraph"/>
    <w:basedOn w:val="Normal"/>
    <w:uiPriority w:val="1"/>
    <w:qFormat/>
    <w:rsid w:val="00F64CC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27E2"/>
    <w:pPr>
      <w:spacing w:before="100" w:beforeAutospacing="1" w:after="100" w:afterAutospacing="1"/>
    </w:pPr>
    <w:rPr>
      <w:lang w:val="es-VE" w:eastAsia="es-V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527E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527E2"/>
    <w:rPr>
      <w:sz w:val="20"/>
      <w:szCs w:val="20"/>
    </w:rPr>
  </w:style>
  <w:style w:type="paragraph" w:styleId="Sinespaciado">
    <w:name w:val="No Spacing"/>
    <w:uiPriority w:val="1"/>
    <w:qFormat/>
    <w:rsid w:val="00D527E2"/>
    <w:rPr>
      <w:lang w:val="es-ES" w:eastAsia="es-ES"/>
    </w:rPr>
  </w:style>
  <w:style w:type="paragraph" w:customStyle="1" w:styleId="Default">
    <w:name w:val="Default"/>
    <w:uiPriority w:val="99"/>
    <w:rsid w:val="00D527E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margenizq1punto0">
    <w:name w:val="margen_izq_1punto0"/>
    <w:basedOn w:val="Normal"/>
    <w:uiPriority w:val="99"/>
    <w:rsid w:val="00D527E2"/>
    <w:pPr>
      <w:spacing w:before="100" w:beforeAutospacing="1" w:after="100" w:afterAutospacing="1"/>
    </w:pPr>
  </w:style>
  <w:style w:type="character" w:styleId="Refdenotaalpie">
    <w:name w:val="footnote reference"/>
    <w:basedOn w:val="Fuentedeprrafopredeter"/>
    <w:uiPriority w:val="99"/>
    <w:semiHidden/>
    <w:unhideWhenUsed/>
    <w:rsid w:val="00D527E2"/>
    <w:rPr>
      <w:vertAlign w:val="superscript"/>
    </w:rPr>
  </w:style>
  <w:style w:type="character" w:customStyle="1" w:styleId="letra14pt">
    <w:name w:val="letra14pt"/>
    <w:basedOn w:val="Fuentedeprrafopredeter"/>
    <w:rsid w:val="00D527E2"/>
  </w:style>
  <w:style w:type="character" w:customStyle="1" w:styleId="Ttulo3Car">
    <w:name w:val="Título 3 Car"/>
    <w:basedOn w:val="Fuentedeprrafopredeter"/>
    <w:uiPriority w:val="9"/>
    <w:rsid w:val="0078200F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go">
    <w:name w:val="go"/>
    <w:basedOn w:val="Fuentedeprrafopredeter"/>
    <w:rsid w:val="0078200F"/>
  </w:style>
  <w:style w:type="character" w:customStyle="1" w:styleId="Ttulo2Car">
    <w:name w:val="Título 2 Car"/>
    <w:basedOn w:val="Fuentedeprrafopredeter"/>
    <w:uiPriority w:val="9"/>
    <w:semiHidden/>
    <w:rsid w:val="00AD50D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paragraph" w:customStyle="1" w:styleId="unico">
    <w:name w:val="unico"/>
    <w:basedOn w:val="Normal"/>
    <w:rsid w:val="003C4D72"/>
    <w:pPr>
      <w:spacing w:before="100" w:beforeAutospacing="1" w:after="100" w:afterAutospacing="1"/>
    </w:pPr>
  </w:style>
  <w:style w:type="character" w:customStyle="1" w:styleId="il">
    <w:name w:val="il"/>
    <w:basedOn w:val="Fuentedeprrafopredeter"/>
    <w:rsid w:val="00C83D7E"/>
  </w:style>
  <w:style w:type="character" w:styleId="Textoennegrita">
    <w:name w:val="Strong"/>
    <w:basedOn w:val="Fuentedeprrafopredeter"/>
    <w:uiPriority w:val="22"/>
    <w:qFormat/>
    <w:rsid w:val="001E716C"/>
    <w:rPr>
      <w:b/>
      <w:bCs/>
    </w:rPr>
  </w:style>
  <w:style w:type="character" w:styleId="nfasissutil">
    <w:name w:val="Subtle Emphasis"/>
    <w:basedOn w:val="Fuentedeprrafopredeter"/>
    <w:uiPriority w:val="19"/>
    <w:qFormat/>
    <w:rsid w:val="0077488A"/>
    <w:rPr>
      <w:i/>
      <w:iCs/>
      <w:color w:val="404040" w:themeColor="text1" w:themeTint="BF"/>
    </w:rPr>
  </w:style>
  <w:style w:type="character" w:customStyle="1" w:styleId="Ttulo1Car">
    <w:name w:val="Título 1 Car"/>
    <w:basedOn w:val="Fuentedeprrafopredeter"/>
    <w:uiPriority w:val="9"/>
    <w:rsid w:val="00D3319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D33194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3194"/>
    <w:rPr>
      <w:rFonts w:ascii="Arial MT" w:eastAsia="Arial MT" w:hAnsi="Arial MT" w:cs="Arial MT"/>
      <w:lang w:val="es-ES"/>
    </w:rPr>
  </w:style>
  <w:style w:type="character" w:styleId="nfasis">
    <w:name w:val="Emphasis"/>
    <w:basedOn w:val="Fuentedeprrafopredeter"/>
    <w:uiPriority w:val="20"/>
    <w:qFormat/>
    <w:rsid w:val="00026753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0.png"/><Relationship Id="rId2" Type="http://schemas.openxmlformats.org/officeDocument/2006/relationships/image" Target="media/image14.jpg"/><Relationship Id="rId1" Type="http://schemas.openxmlformats.org/officeDocument/2006/relationships/image" Target="media/image13.jpg"/><Relationship Id="rId4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7BHZbpEoWaHN2CPNPQKqS8dhrg==">CgMxLjAaHwoBMBIaChgICVIUChJ0YWJsZS40bWE5eHU1a3c2dGUaHwoBMRIaChgICVIUChJ0YWJsZS43d2g4NWthZWZqZXIyDmgucHN4MmNyNXFkNXVjOAByITFjOENkRlBrV0F1RnQ2QURQczUxTlhfVXhTUXVFczg4Tg==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3223</Words>
  <Characters>17728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 Tatiana Blanco Riveros</dc:creator>
  <cp:lastModifiedBy>Anyi Tatiana Blanco Riveros UTL</cp:lastModifiedBy>
  <cp:revision>2</cp:revision>
  <dcterms:created xsi:type="dcterms:W3CDTF">2025-11-25T19:53:00Z</dcterms:created>
  <dcterms:modified xsi:type="dcterms:W3CDTF">2025-11-25T19:53:00Z</dcterms:modified>
</cp:coreProperties>
</file>