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C3A" w:rsidRDefault="00A00C3A" w:rsidP="007E699E">
      <w:pPr>
        <w:spacing w:line="240" w:lineRule="auto"/>
        <w:ind w:right="-518"/>
        <w:jc w:val="center"/>
        <w:rPr>
          <w:rFonts w:ascii="Arial Narrow" w:hAnsi="Arial Narrow"/>
          <w:b/>
          <w:i/>
          <w:sz w:val="24"/>
          <w:szCs w:val="24"/>
        </w:rPr>
      </w:pPr>
    </w:p>
    <w:p w:rsidR="009336C7" w:rsidRPr="00D87C3F" w:rsidRDefault="009336C7" w:rsidP="007E699E">
      <w:pPr>
        <w:spacing w:line="240" w:lineRule="auto"/>
        <w:ind w:right="-518"/>
        <w:jc w:val="center"/>
        <w:rPr>
          <w:rFonts w:ascii="Arial Narrow" w:hAnsi="Arial Narrow"/>
          <w:b/>
          <w:i/>
          <w:sz w:val="24"/>
          <w:szCs w:val="24"/>
        </w:rPr>
      </w:pPr>
      <w:r w:rsidRPr="00D87C3F">
        <w:rPr>
          <w:rFonts w:ascii="Arial Narrow" w:hAnsi="Arial Narrow"/>
          <w:b/>
          <w:i/>
          <w:sz w:val="24"/>
          <w:szCs w:val="24"/>
        </w:rPr>
        <w:t>PROYECTO DE LEY</w:t>
      </w:r>
      <w:r w:rsidR="00350EE2" w:rsidRPr="00D87C3F">
        <w:rPr>
          <w:rFonts w:ascii="Arial Narrow" w:hAnsi="Arial Narrow"/>
          <w:b/>
          <w:i/>
          <w:sz w:val="24"/>
          <w:szCs w:val="24"/>
        </w:rPr>
        <w:t xml:space="preserve"> ORGÁNICA</w:t>
      </w:r>
      <w:r w:rsidRPr="00D87C3F">
        <w:rPr>
          <w:rFonts w:ascii="Arial Narrow" w:hAnsi="Arial Narrow"/>
          <w:b/>
          <w:i/>
          <w:sz w:val="24"/>
          <w:szCs w:val="24"/>
        </w:rPr>
        <w:t xml:space="preserve"> NO</w:t>
      </w:r>
      <w:proofErr w:type="gramStart"/>
      <w:r w:rsidRPr="00D87C3F">
        <w:rPr>
          <w:rFonts w:ascii="Arial Narrow" w:hAnsi="Arial Narrow"/>
          <w:b/>
          <w:i/>
          <w:sz w:val="24"/>
          <w:szCs w:val="24"/>
        </w:rPr>
        <w:t xml:space="preserve">. </w:t>
      </w:r>
      <w:r w:rsidRPr="00D87C3F">
        <w:rPr>
          <w:rFonts w:ascii="Arial Narrow" w:hAnsi="Arial Narrow"/>
          <w:b/>
          <w:i/>
          <w:sz w:val="24"/>
          <w:szCs w:val="24"/>
          <w:u w:val="single"/>
        </w:rPr>
        <w:t xml:space="preserve">      </w:t>
      </w:r>
      <w:proofErr w:type="gramEnd"/>
      <w:r w:rsidRPr="00D87C3F">
        <w:rPr>
          <w:rFonts w:ascii="Arial Narrow" w:hAnsi="Arial Narrow"/>
          <w:b/>
          <w:i/>
          <w:sz w:val="24"/>
          <w:szCs w:val="24"/>
        </w:rPr>
        <w:t>DE 201</w:t>
      </w:r>
      <w:r w:rsidR="0034527B" w:rsidRPr="00D87C3F">
        <w:rPr>
          <w:rFonts w:ascii="Arial Narrow" w:hAnsi="Arial Narrow"/>
          <w:b/>
          <w:i/>
          <w:sz w:val="24"/>
          <w:szCs w:val="24"/>
        </w:rPr>
        <w:t>7</w:t>
      </w:r>
      <w:r w:rsidRPr="00D87C3F">
        <w:rPr>
          <w:rFonts w:ascii="Arial Narrow" w:hAnsi="Arial Narrow"/>
          <w:b/>
          <w:i/>
          <w:sz w:val="24"/>
          <w:szCs w:val="24"/>
        </w:rPr>
        <w:t xml:space="preserve"> CÁMARA “POR</w:t>
      </w:r>
      <w:r w:rsidR="00DC4823" w:rsidRPr="00D87C3F">
        <w:rPr>
          <w:rFonts w:ascii="Arial Narrow" w:hAnsi="Arial Narrow"/>
          <w:b/>
          <w:i/>
          <w:sz w:val="24"/>
          <w:szCs w:val="24"/>
        </w:rPr>
        <w:t xml:space="preserve"> MEDIO </w:t>
      </w:r>
      <w:r w:rsidR="000374A5">
        <w:rPr>
          <w:rFonts w:ascii="Arial Narrow" w:hAnsi="Arial Narrow"/>
          <w:b/>
          <w:i/>
          <w:sz w:val="24"/>
          <w:szCs w:val="24"/>
        </w:rPr>
        <w:t>DEL CUAL SE</w:t>
      </w:r>
      <w:r w:rsidR="004E0B5D" w:rsidRPr="00D87C3F">
        <w:rPr>
          <w:rFonts w:ascii="Arial Narrow" w:hAnsi="Arial Narrow"/>
          <w:b/>
          <w:i/>
          <w:sz w:val="24"/>
          <w:szCs w:val="24"/>
        </w:rPr>
        <w:t xml:space="preserve"> </w:t>
      </w:r>
      <w:r w:rsidRPr="00D87C3F">
        <w:rPr>
          <w:rFonts w:ascii="Arial Narrow" w:hAnsi="Arial Narrow"/>
          <w:b/>
          <w:i/>
          <w:sz w:val="24"/>
          <w:szCs w:val="24"/>
        </w:rPr>
        <w:t>MODIFICA LA LEY 819 DE 2003</w:t>
      </w:r>
      <w:r w:rsidR="00086F82">
        <w:rPr>
          <w:rFonts w:ascii="Arial Narrow" w:hAnsi="Arial Narrow"/>
          <w:b/>
          <w:i/>
          <w:sz w:val="24"/>
          <w:szCs w:val="24"/>
        </w:rPr>
        <w:t xml:space="preserve"> </w:t>
      </w:r>
      <w:r w:rsidR="00086F82" w:rsidRPr="00086F82">
        <w:rPr>
          <w:rStyle w:val="Textoennegrita"/>
          <w:rFonts w:ascii="Arial Narrow" w:hAnsi="Arial Narrow" w:cs="Arial"/>
          <w:i/>
          <w:color w:val="000000"/>
          <w:sz w:val="24"/>
          <w:szCs w:val="24"/>
          <w:shd w:val="clear" w:color="auto" w:fill="FFFFFF"/>
        </w:rPr>
        <w:t>POR LA CUAL SE DICTAN NORMAS ORGÁNICAS EN MATERIA DE PRESUPUESTO, RESPONSABILIDAD Y TRANSPARENCIA FISCAL Y SE DICTAN OTRAS DISPOSICIONES.</w:t>
      </w:r>
      <w:r w:rsidR="00086F82" w:rsidRPr="00086F82">
        <w:rPr>
          <w:rFonts w:ascii="Arial Narrow" w:hAnsi="Arial Narrow"/>
          <w:b/>
          <w:i/>
          <w:sz w:val="24"/>
          <w:szCs w:val="24"/>
        </w:rPr>
        <w:t>”.</w:t>
      </w:r>
    </w:p>
    <w:p w:rsidR="009336C7" w:rsidRPr="00D87C3F" w:rsidRDefault="009336C7" w:rsidP="007E699E">
      <w:pPr>
        <w:spacing w:line="240" w:lineRule="auto"/>
        <w:ind w:right="-518"/>
        <w:jc w:val="both"/>
        <w:rPr>
          <w:rFonts w:ascii="Arial Narrow" w:hAnsi="Arial Narrow"/>
          <w:b/>
          <w:i/>
          <w:sz w:val="24"/>
          <w:szCs w:val="24"/>
        </w:rPr>
      </w:pPr>
    </w:p>
    <w:p w:rsidR="006E4563" w:rsidRPr="00D87C3F" w:rsidRDefault="006E4563" w:rsidP="007E699E">
      <w:pPr>
        <w:shd w:val="clear" w:color="auto" w:fill="FFFFFF"/>
        <w:spacing w:after="0" w:line="240" w:lineRule="auto"/>
        <w:ind w:right="-518"/>
        <w:jc w:val="center"/>
        <w:textAlignment w:val="baseline"/>
        <w:rPr>
          <w:rFonts w:ascii="Arial Narrow" w:eastAsia="Times New Roman" w:hAnsi="Arial Narrow" w:cs="Times New Roman"/>
          <w:b/>
          <w:bCs/>
          <w:sz w:val="24"/>
          <w:szCs w:val="24"/>
          <w:bdr w:val="none" w:sz="0" w:space="0" w:color="auto" w:frame="1"/>
          <w:lang w:eastAsia="es-CO"/>
        </w:rPr>
      </w:pPr>
      <w:r w:rsidRPr="00D87C3F">
        <w:rPr>
          <w:rFonts w:ascii="Arial Narrow" w:eastAsia="Times New Roman" w:hAnsi="Arial Narrow" w:cs="Times New Roman"/>
          <w:b/>
          <w:bCs/>
          <w:sz w:val="24"/>
          <w:szCs w:val="24"/>
          <w:bdr w:val="none" w:sz="0" w:space="0" w:color="auto" w:frame="1"/>
          <w:lang w:eastAsia="es-CO"/>
        </w:rPr>
        <w:t>EXPOSICIÓN DE MOTIVOS.</w:t>
      </w:r>
    </w:p>
    <w:p w:rsidR="006E4563" w:rsidRPr="00D87C3F" w:rsidRDefault="006E4563" w:rsidP="007E699E">
      <w:pPr>
        <w:shd w:val="clear" w:color="auto" w:fill="FFFFFF"/>
        <w:spacing w:after="0" w:line="240" w:lineRule="auto"/>
        <w:ind w:right="-518"/>
        <w:jc w:val="both"/>
        <w:textAlignment w:val="baseline"/>
        <w:rPr>
          <w:rFonts w:ascii="Arial Narrow" w:eastAsia="Times New Roman" w:hAnsi="Arial Narrow" w:cs="Times New Roman"/>
          <w:b/>
          <w:bCs/>
          <w:sz w:val="24"/>
          <w:szCs w:val="24"/>
          <w:bdr w:val="none" w:sz="0" w:space="0" w:color="auto" w:frame="1"/>
          <w:lang w:eastAsia="es-CO"/>
        </w:rPr>
      </w:pPr>
    </w:p>
    <w:p w:rsidR="002B0E23" w:rsidRPr="00D87C3F" w:rsidRDefault="002B0E23" w:rsidP="007E699E">
      <w:pPr>
        <w:pStyle w:val="Prrafodelista"/>
        <w:numPr>
          <w:ilvl w:val="0"/>
          <w:numId w:val="2"/>
        </w:numPr>
        <w:shd w:val="clear" w:color="auto" w:fill="FFFFFF"/>
        <w:spacing w:after="0" w:line="240" w:lineRule="auto"/>
        <w:ind w:right="-518"/>
        <w:jc w:val="both"/>
        <w:textAlignment w:val="baseline"/>
        <w:rPr>
          <w:rFonts w:ascii="Arial Narrow" w:eastAsia="Times New Roman" w:hAnsi="Arial Narrow" w:cs="Times New Roman"/>
          <w:b/>
          <w:bCs/>
          <w:sz w:val="24"/>
          <w:szCs w:val="24"/>
          <w:bdr w:val="none" w:sz="0" w:space="0" w:color="auto" w:frame="1"/>
          <w:lang w:eastAsia="es-CO"/>
        </w:rPr>
      </w:pPr>
      <w:r w:rsidRPr="00D87C3F">
        <w:rPr>
          <w:rFonts w:ascii="Arial Narrow" w:eastAsia="Times New Roman" w:hAnsi="Arial Narrow" w:cs="Times New Roman"/>
          <w:b/>
          <w:bCs/>
          <w:sz w:val="24"/>
          <w:szCs w:val="24"/>
          <w:bdr w:val="none" w:sz="0" w:space="0" w:color="auto" w:frame="1"/>
          <w:lang w:eastAsia="es-CO"/>
        </w:rPr>
        <w:t>PRESENTACIÓN.</w:t>
      </w:r>
    </w:p>
    <w:p w:rsidR="002B0E23" w:rsidRPr="00D87C3F" w:rsidRDefault="002B0E23" w:rsidP="007E699E">
      <w:pPr>
        <w:pStyle w:val="Prrafodelista"/>
        <w:shd w:val="clear" w:color="auto" w:fill="FFFFFF"/>
        <w:spacing w:after="0" w:line="240" w:lineRule="auto"/>
        <w:ind w:right="-518"/>
        <w:jc w:val="both"/>
        <w:textAlignment w:val="baseline"/>
        <w:rPr>
          <w:rFonts w:ascii="Arial Narrow" w:eastAsia="Times New Roman" w:hAnsi="Arial Narrow" w:cs="Times New Roman"/>
          <w:b/>
          <w:bCs/>
          <w:sz w:val="24"/>
          <w:szCs w:val="24"/>
          <w:bdr w:val="none" w:sz="0" w:space="0" w:color="auto" w:frame="1"/>
          <w:lang w:eastAsia="es-CO"/>
        </w:rPr>
      </w:pPr>
    </w:p>
    <w:p w:rsidR="004E0B5D" w:rsidRPr="00D87C3F" w:rsidRDefault="00CF3A70" w:rsidP="007E699E">
      <w:pPr>
        <w:spacing w:line="240" w:lineRule="auto"/>
        <w:ind w:right="-518"/>
        <w:jc w:val="both"/>
        <w:rPr>
          <w:rFonts w:ascii="Arial Narrow" w:hAnsi="Arial Narrow"/>
          <w:sz w:val="24"/>
          <w:szCs w:val="24"/>
        </w:rPr>
      </w:pPr>
      <w:r w:rsidRPr="00D87C3F">
        <w:rPr>
          <w:rFonts w:ascii="Arial Narrow" w:hAnsi="Arial Narrow"/>
          <w:sz w:val="24"/>
          <w:szCs w:val="24"/>
        </w:rPr>
        <w:t xml:space="preserve">El proceso </w:t>
      </w:r>
      <w:r w:rsidR="004E0B5D" w:rsidRPr="00D87C3F">
        <w:rPr>
          <w:rFonts w:ascii="Arial Narrow" w:hAnsi="Arial Narrow"/>
          <w:sz w:val="24"/>
          <w:szCs w:val="24"/>
        </w:rPr>
        <w:t xml:space="preserve">presupuestario colombiano se ve afectado, al menos, por tres grandes circunstancias, a saber, las llamadas inflexibilidades del gasto, derivadas de un conjunto de disposiciones legales </w:t>
      </w:r>
      <w:r w:rsidR="00E27AB6" w:rsidRPr="00D87C3F">
        <w:rPr>
          <w:rFonts w:ascii="Arial Narrow" w:hAnsi="Arial Narrow"/>
          <w:sz w:val="24"/>
          <w:szCs w:val="24"/>
        </w:rPr>
        <w:t>y jurisprudenciales</w:t>
      </w:r>
      <w:r w:rsidR="00452A23" w:rsidRPr="00D87C3F">
        <w:rPr>
          <w:rFonts w:ascii="Arial Narrow" w:hAnsi="Arial Narrow"/>
          <w:sz w:val="24"/>
          <w:szCs w:val="24"/>
        </w:rPr>
        <w:t xml:space="preserve">, </w:t>
      </w:r>
      <w:r w:rsidR="004E0B5D" w:rsidRPr="00D87C3F">
        <w:rPr>
          <w:rFonts w:ascii="Arial Narrow" w:hAnsi="Arial Narrow"/>
          <w:sz w:val="24"/>
          <w:szCs w:val="24"/>
        </w:rPr>
        <w:t>que obligan de modo reiterado a asignar recursos para cubrir ciertas de</w:t>
      </w:r>
      <w:r w:rsidRPr="00D87C3F">
        <w:rPr>
          <w:rFonts w:ascii="Arial Narrow" w:hAnsi="Arial Narrow"/>
          <w:sz w:val="24"/>
          <w:szCs w:val="24"/>
        </w:rPr>
        <w:t>mandas sociales;</w:t>
      </w:r>
      <w:r w:rsidR="004E0B5D" w:rsidRPr="00D87C3F">
        <w:rPr>
          <w:rFonts w:ascii="Arial Narrow" w:hAnsi="Arial Narrow"/>
          <w:sz w:val="24"/>
          <w:szCs w:val="24"/>
        </w:rPr>
        <w:t xml:space="preserve"> las obligaciones surgidas del pago de deuda externa en forma de amortizaciones y servicio de la deuda,</w:t>
      </w:r>
      <w:r w:rsidR="00E57C87" w:rsidRPr="00D87C3F">
        <w:rPr>
          <w:rFonts w:ascii="Arial Narrow" w:hAnsi="Arial Narrow"/>
          <w:sz w:val="24"/>
          <w:szCs w:val="24"/>
        </w:rPr>
        <w:t xml:space="preserve"> y</w:t>
      </w:r>
      <w:r w:rsidR="004E0B5D" w:rsidRPr="00D87C3F">
        <w:rPr>
          <w:rFonts w:ascii="Arial Narrow" w:hAnsi="Arial Narrow"/>
          <w:sz w:val="24"/>
          <w:szCs w:val="24"/>
        </w:rPr>
        <w:t xml:space="preserve"> finalmente, de la existencia de un conjunto de programas sociales que tienen una fuerza inercial en materia de gasto, especialmente aquellas referidas a los prog</w:t>
      </w:r>
      <w:r w:rsidR="00452A23" w:rsidRPr="00D87C3F">
        <w:rPr>
          <w:rFonts w:ascii="Arial Narrow" w:hAnsi="Arial Narrow"/>
          <w:sz w:val="24"/>
          <w:szCs w:val="24"/>
        </w:rPr>
        <w:t>ramas de lucha contra la pobreza</w:t>
      </w:r>
      <w:r w:rsidR="004E0B5D" w:rsidRPr="00D87C3F">
        <w:rPr>
          <w:rFonts w:ascii="Arial Narrow" w:hAnsi="Arial Narrow"/>
          <w:sz w:val="24"/>
          <w:szCs w:val="24"/>
        </w:rPr>
        <w:t xml:space="preserve">. De suyo ello significa, en los hechos, que cuando el proyecto de presupuesto llega al Congreso la acción legislativa se ve menoscabada. Así las cosas, el congreso tiene un espacio de maniobra excepcionalmente reducido al momento de tomar decisiones en materia presupuestal </w:t>
      </w:r>
      <w:r w:rsidR="00452A23" w:rsidRPr="00D87C3F">
        <w:rPr>
          <w:rFonts w:ascii="Arial Narrow" w:hAnsi="Arial Narrow"/>
          <w:sz w:val="24"/>
          <w:szCs w:val="24"/>
        </w:rPr>
        <w:t xml:space="preserve">ya que más del 70% del mismo </w:t>
      </w:r>
      <w:r w:rsidR="004E0B5D" w:rsidRPr="00D87C3F">
        <w:rPr>
          <w:rFonts w:ascii="Arial Narrow" w:hAnsi="Arial Narrow"/>
          <w:sz w:val="24"/>
          <w:szCs w:val="24"/>
        </w:rPr>
        <w:t>está comprometido.</w:t>
      </w:r>
    </w:p>
    <w:p w:rsidR="004E0B5D" w:rsidRPr="00D87C3F" w:rsidRDefault="004E0B5D" w:rsidP="007E699E">
      <w:pPr>
        <w:shd w:val="clear" w:color="auto" w:fill="FFFFFF"/>
        <w:spacing w:after="0" w:line="240" w:lineRule="auto"/>
        <w:ind w:right="-518"/>
        <w:jc w:val="both"/>
        <w:textAlignment w:val="baseline"/>
        <w:rPr>
          <w:rFonts w:ascii="Arial Narrow" w:hAnsi="Arial Narrow"/>
          <w:sz w:val="24"/>
          <w:szCs w:val="24"/>
        </w:rPr>
      </w:pPr>
      <w:r w:rsidRPr="00D87C3F">
        <w:rPr>
          <w:rFonts w:ascii="Arial Narrow" w:hAnsi="Arial Narrow"/>
          <w:sz w:val="24"/>
          <w:szCs w:val="24"/>
        </w:rPr>
        <w:t>A estas circunstancias, que en la</w:t>
      </w:r>
      <w:r w:rsidR="000A02EE" w:rsidRPr="00D87C3F">
        <w:rPr>
          <w:rFonts w:ascii="Arial Narrow" w:hAnsi="Arial Narrow"/>
          <w:sz w:val="24"/>
          <w:szCs w:val="24"/>
        </w:rPr>
        <w:t xml:space="preserve"> práctica limitan la autonomía el poder del Congreso</w:t>
      </w:r>
      <w:r w:rsidRPr="00D87C3F">
        <w:rPr>
          <w:rFonts w:ascii="Arial Narrow" w:hAnsi="Arial Narrow"/>
          <w:sz w:val="24"/>
          <w:szCs w:val="24"/>
        </w:rPr>
        <w:t xml:space="preserve"> para legislar en materia de presupuesto, se agregan</w:t>
      </w:r>
      <w:r w:rsidR="00452A23" w:rsidRPr="00D87C3F">
        <w:rPr>
          <w:rFonts w:ascii="Arial Narrow" w:hAnsi="Arial Narrow"/>
          <w:sz w:val="24"/>
          <w:szCs w:val="24"/>
        </w:rPr>
        <w:t xml:space="preserve"> ahora las llamadas vigencias futuras</w:t>
      </w:r>
      <w:r w:rsidRPr="00D87C3F">
        <w:rPr>
          <w:rFonts w:ascii="Arial Narrow" w:hAnsi="Arial Narrow"/>
          <w:sz w:val="24"/>
          <w:szCs w:val="24"/>
        </w:rPr>
        <w:t xml:space="preserve">. En efecto, ellas constituyen obligaciones respecto de las cuales el Congreso no tiene capacidad alguna de incidencia. El gobierno nacional ha venido haciendo un uso intensivo de esta figura para asegurar el financiamiento de obras de importancia como las </w:t>
      </w:r>
      <w:proofErr w:type="spellStart"/>
      <w:r w:rsidRPr="00D87C3F">
        <w:rPr>
          <w:rFonts w:ascii="Arial Narrow" w:hAnsi="Arial Narrow"/>
          <w:sz w:val="24"/>
          <w:szCs w:val="24"/>
        </w:rPr>
        <w:t>4G</w:t>
      </w:r>
      <w:proofErr w:type="spellEnd"/>
      <w:r w:rsidRPr="00D87C3F">
        <w:rPr>
          <w:rFonts w:ascii="Arial Narrow" w:hAnsi="Arial Narrow"/>
          <w:sz w:val="24"/>
          <w:szCs w:val="24"/>
        </w:rPr>
        <w:t xml:space="preserve">, que sin duda son de enorme </w:t>
      </w:r>
      <w:r w:rsidR="00CF3A70" w:rsidRPr="00D87C3F">
        <w:rPr>
          <w:rFonts w:ascii="Arial Narrow" w:hAnsi="Arial Narrow"/>
          <w:sz w:val="24"/>
          <w:szCs w:val="24"/>
        </w:rPr>
        <w:t xml:space="preserve">trascendencia </w:t>
      </w:r>
      <w:r w:rsidRPr="00D87C3F">
        <w:rPr>
          <w:rFonts w:ascii="Arial Narrow" w:hAnsi="Arial Narrow"/>
          <w:sz w:val="24"/>
          <w:szCs w:val="24"/>
        </w:rPr>
        <w:t>para el crecimiento económico y la competitividad futura del país. El panorama que hoy presenta</w:t>
      </w:r>
      <w:r w:rsidR="00452A23" w:rsidRPr="00D87C3F">
        <w:rPr>
          <w:rFonts w:ascii="Arial Narrow" w:hAnsi="Arial Narrow"/>
          <w:sz w:val="24"/>
          <w:szCs w:val="24"/>
        </w:rPr>
        <w:t>n</w:t>
      </w:r>
      <w:r w:rsidR="002B0E23" w:rsidRPr="00D87C3F">
        <w:rPr>
          <w:rFonts w:ascii="Arial Narrow" w:hAnsi="Arial Narrow"/>
          <w:sz w:val="24"/>
          <w:szCs w:val="24"/>
        </w:rPr>
        <w:t xml:space="preserve"> las vigencias futuras según lo expresado en </w:t>
      </w:r>
      <w:r w:rsidRPr="00D87C3F">
        <w:rPr>
          <w:rFonts w:ascii="Arial Narrow" w:hAnsi="Arial Narrow"/>
          <w:sz w:val="24"/>
          <w:szCs w:val="24"/>
        </w:rPr>
        <w:t xml:space="preserve">el </w:t>
      </w:r>
      <w:proofErr w:type="spellStart"/>
      <w:r w:rsidRPr="00D87C3F">
        <w:rPr>
          <w:rFonts w:ascii="Arial Narrow" w:hAnsi="Arial Narrow"/>
          <w:sz w:val="24"/>
          <w:szCs w:val="24"/>
        </w:rPr>
        <w:t>MFMP</w:t>
      </w:r>
      <w:proofErr w:type="spellEnd"/>
      <w:r w:rsidRPr="00D87C3F">
        <w:rPr>
          <w:rStyle w:val="Refdenotaalpie"/>
          <w:rFonts w:ascii="Arial Narrow" w:hAnsi="Arial Narrow"/>
          <w:sz w:val="24"/>
          <w:szCs w:val="24"/>
        </w:rPr>
        <w:footnoteReference w:id="1"/>
      </w:r>
      <w:r w:rsidRPr="00D87C3F">
        <w:rPr>
          <w:rFonts w:ascii="Arial Narrow" w:hAnsi="Arial Narrow"/>
          <w:sz w:val="24"/>
          <w:szCs w:val="24"/>
        </w:rPr>
        <w:t xml:space="preserve">, </w:t>
      </w:r>
      <w:r w:rsidR="002B0E23" w:rsidRPr="00D87C3F">
        <w:rPr>
          <w:rFonts w:ascii="Arial Narrow" w:hAnsi="Arial Narrow"/>
          <w:sz w:val="24"/>
          <w:szCs w:val="24"/>
        </w:rPr>
        <w:t>serian “</w:t>
      </w:r>
      <w:r w:rsidRPr="00D87C3F">
        <w:rPr>
          <w:rFonts w:ascii="Arial Narrow" w:hAnsi="Arial Narrow"/>
          <w:sz w:val="24"/>
          <w:szCs w:val="24"/>
        </w:rPr>
        <w:t>para el periodo 2016-2040 89,7 billones de pesos, a precios de hoy, con un incremento cercano a 27 billones frente a lo que se tenía autorizado en el 2014. Como proporción del presupuesto anual, estas han crecido de niveles de 1,9 por ciento del PIB en el 2000, a</w:t>
      </w:r>
      <w:r w:rsidR="00452A23" w:rsidRPr="00D87C3F">
        <w:rPr>
          <w:rFonts w:ascii="Arial Narrow" w:hAnsi="Arial Narrow"/>
          <w:sz w:val="24"/>
          <w:szCs w:val="24"/>
        </w:rPr>
        <w:t xml:space="preserve"> [oscilar</w:t>
      </w:r>
      <w:r w:rsidRPr="00D87C3F">
        <w:rPr>
          <w:rFonts w:ascii="Arial Narrow" w:hAnsi="Arial Narrow"/>
          <w:sz w:val="24"/>
          <w:szCs w:val="24"/>
        </w:rPr>
        <w:t xml:space="preserve"> entre</w:t>
      </w:r>
      <w:r w:rsidR="00452A23" w:rsidRPr="00D87C3F">
        <w:rPr>
          <w:rFonts w:ascii="Arial Narrow" w:hAnsi="Arial Narrow"/>
          <w:sz w:val="24"/>
          <w:szCs w:val="24"/>
        </w:rPr>
        <w:t>]</w:t>
      </w:r>
      <w:r w:rsidRPr="00D87C3F">
        <w:rPr>
          <w:rFonts w:ascii="Arial Narrow" w:hAnsi="Arial Narrow"/>
          <w:sz w:val="24"/>
          <w:szCs w:val="24"/>
        </w:rPr>
        <w:t xml:space="preserve"> </w:t>
      </w:r>
      <w:r w:rsidR="00452A23" w:rsidRPr="00D87C3F">
        <w:rPr>
          <w:rFonts w:ascii="Arial Narrow" w:hAnsi="Arial Narrow"/>
          <w:sz w:val="24"/>
          <w:szCs w:val="24"/>
        </w:rPr>
        <w:t xml:space="preserve">el </w:t>
      </w:r>
      <w:r w:rsidRPr="00D87C3F">
        <w:rPr>
          <w:rFonts w:ascii="Arial Narrow" w:hAnsi="Arial Narrow"/>
          <w:sz w:val="24"/>
          <w:szCs w:val="24"/>
        </w:rPr>
        <w:t>8 y 9 por ciento desde el 2008. En 2016, el monto aprobado alcanzará 1,5 por ciento del PIB.”</w:t>
      </w:r>
      <w:r w:rsidRPr="00D87C3F">
        <w:rPr>
          <w:rStyle w:val="Refdenotaalpie"/>
          <w:rFonts w:ascii="Arial Narrow" w:hAnsi="Arial Narrow"/>
          <w:sz w:val="24"/>
          <w:szCs w:val="24"/>
        </w:rPr>
        <w:footnoteReference w:id="2"/>
      </w:r>
      <w:r w:rsidR="002B0E23" w:rsidRPr="00D87C3F">
        <w:rPr>
          <w:rFonts w:ascii="Arial Narrow" w:hAnsi="Arial Narrow"/>
          <w:sz w:val="24"/>
          <w:szCs w:val="24"/>
        </w:rPr>
        <w:t xml:space="preserve"> </w:t>
      </w:r>
      <w:proofErr w:type="gramStart"/>
      <w:r w:rsidR="002B0E23" w:rsidRPr="00D87C3F">
        <w:rPr>
          <w:rFonts w:ascii="Arial Narrow" w:hAnsi="Arial Narrow"/>
          <w:sz w:val="24"/>
          <w:szCs w:val="24"/>
        </w:rPr>
        <w:t>Todo  ello</w:t>
      </w:r>
      <w:proofErr w:type="gramEnd"/>
      <w:r w:rsidR="002B0E23" w:rsidRPr="00D87C3F">
        <w:rPr>
          <w:rFonts w:ascii="Arial Narrow" w:hAnsi="Arial Narrow"/>
          <w:sz w:val="24"/>
          <w:szCs w:val="24"/>
        </w:rPr>
        <w:t xml:space="preserve"> afectara en forma sensible  las decisiones futuras que en materia presupuestal asuma el congreso de la república. En los hechos es otra restricción fuerte respecto de la autonomía del congreso en materia de presupuesto.</w:t>
      </w:r>
    </w:p>
    <w:p w:rsidR="004E0B5D" w:rsidRPr="00D87C3F" w:rsidRDefault="004E0B5D" w:rsidP="007E699E">
      <w:pPr>
        <w:shd w:val="clear" w:color="auto" w:fill="FFFFFF"/>
        <w:spacing w:after="0" w:line="240" w:lineRule="auto"/>
        <w:ind w:right="-518"/>
        <w:jc w:val="both"/>
        <w:textAlignment w:val="baseline"/>
        <w:rPr>
          <w:rFonts w:ascii="Arial Narrow" w:eastAsia="Times New Roman" w:hAnsi="Arial Narrow" w:cs="Times New Roman"/>
          <w:b/>
          <w:bCs/>
          <w:sz w:val="24"/>
          <w:szCs w:val="24"/>
          <w:bdr w:val="none" w:sz="0" w:space="0" w:color="auto" w:frame="1"/>
          <w:lang w:eastAsia="es-CO"/>
        </w:rPr>
      </w:pPr>
    </w:p>
    <w:p w:rsidR="004E0B5D" w:rsidRPr="00D87C3F" w:rsidRDefault="004E0B5D" w:rsidP="007E699E">
      <w:pPr>
        <w:spacing w:line="240" w:lineRule="auto"/>
        <w:ind w:right="-518"/>
        <w:jc w:val="both"/>
        <w:rPr>
          <w:rFonts w:ascii="Arial Narrow" w:hAnsi="Arial Narrow"/>
          <w:sz w:val="24"/>
          <w:szCs w:val="24"/>
        </w:rPr>
      </w:pPr>
      <w:r w:rsidRPr="00D87C3F">
        <w:rPr>
          <w:rFonts w:ascii="Arial Narrow" w:hAnsi="Arial Narrow"/>
          <w:sz w:val="24"/>
          <w:szCs w:val="24"/>
        </w:rPr>
        <w:t>Un examen al uso de la figura de las llamadas vigencias futuras</w:t>
      </w:r>
      <w:r w:rsidR="002B0E23" w:rsidRPr="00D87C3F">
        <w:rPr>
          <w:rFonts w:ascii="Arial Narrow" w:hAnsi="Arial Narrow"/>
          <w:sz w:val="24"/>
          <w:szCs w:val="24"/>
        </w:rPr>
        <w:t xml:space="preserve"> nos permite identificar varios problemas</w:t>
      </w:r>
      <w:r w:rsidRPr="00D87C3F">
        <w:rPr>
          <w:rFonts w:ascii="Arial Narrow" w:hAnsi="Arial Narrow"/>
          <w:sz w:val="24"/>
          <w:szCs w:val="24"/>
        </w:rPr>
        <w:t>:</w:t>
      </w:r>
    </w:p>
    <w:p w:rsidR="00606414" w:rsidRPr="00D87C3F" w:rsidRDefault="004E0B5D" w:rsidP="007E699E">
      <w:pPr>
        <w:spacing w:line="240" w:lineRule="auto"/>
        <w:ind w:right="-518"/>
        <w:jc w:val="both"/>
        <w:rPr>
          <w:rFonts w:ascii="Arial Narrow" w:hAnsi="Arial Narrow"/>
          <w:sz w:val="24"/>
          <w:szCs w:val="24"/>
        </w:rPr>
      </w:pPr>
      <w:r w:rsidRPr="00D87C3F">
        <w:rPr>
          <w:rFonts w:ascii="Arial Narrow" w:hAnsi="Arial Narrow"/>
          <w:sz w:val="24"/>
          <w:szCs w:val="24"/>
        </w:rPr>
        <w:t>a)- Las vigencias futuras son un mecanismo indirecto en materia presupuestal. Al momento en que el gobierno decide hacer uso de la figura, de manera directa legisla en materia presupuestaria.</w:t>
      </w:r>
      <w:r w:rsidR="00E27AB6" w:rsidRPr="00D87C3F">
        <w:rPr>
          <w:rFonts w:ascii="Arial Narrow" w:hAnsi="Arial Narrow"/>
          <w:sz w:val="24"/>
          <w:szCs w:val="24"/>
        </w:rPr>
        <w:t xml:space="preserve"> El Congreso de la República a este respecto no tiene ninguna incidencia.</w:t>
      </w:r>
    </w:p>
    <w:p w:rsidR="00A00C3A" w:rsidRDefault="00A00C3A" w:rsidP="007E699E">
      <w:pPr>
        <w:spacing w:line="240" w:lineRule="auto"/>
        <w:ind w:right="-518"/>
        <w:jc w:val="both"/>
        <w:rPr>
          <w:rFonts w:ascii="Arial Narrow" w:hAnsi="Arial Narrow"/>
          <w:sz w:val="24"/>
          <w:szCs w:val="24"/>
        </w:rPr>
      </w:pPr>
    </w:p>
    <w:p w:rsidR="00A00C3A" w:rsidRDefault="00A00C3A" w:rsidP="007E699E">
      <w:pPr>
        <w:spacing w:line="240" w:lineRule="auto"/>
        <w:ind w:right="-518"/>
        <w:jc w:val="both"/>
        <w:rPr>
          <w:rFonts w:ascii="Arial Narrow" w:hAnsi="Arial Narrow"/>
          <w:sz w:val="24"/>
          <w:szCs w:val="24"/>
        </w:rPr>
      </w:pPr>
    </w:p>
    <w:p w:rsidR="002B0E23" w:rsidRPr="00D87C3F" w:rsidRDefault="004E0B5D" w:rsidP="007E699E">
      <w:pPr>
        <w:spacing w:line="240" w:lineRule="auto"/>
        <w:ind w:right="-518"/>
        <w:jc w:val="both"/>
        <w:rPr>
          <w:rFonts w:ascii="Arial Narrow" w:hAnsi="Arial Narrow"/>
          <w:sz w:val="24"/>
          <w:szCs w:val="24"/>
        </w:rPr>
      </w:pPr>
      <w:r w:rsidRPr="00D87C3F">
        <w:rPr>
          <w:rFonts w:ascii="Arial Narrow" w:hAnsi="Arial Narrow"/>
          <w:sz w:val="24"/>
          <w:szCs w:val="24"/>
        </w:rPr>
        <w:t xml:space="preserve">B) A diferencia de lo que acontece con los entes territoriales, donde si existe una intervención del legislativo clara y unas definiciones taxativas que condicionan el uso de la figura, a nivel del gobierno central ellas no existen. </w:t>
      </w:r>
    </w:p>
    <w:p w:rsidR="002B0E23" w:rsidRPr="00D87C3F" w:rsidRDefault="002B0E23" w:rsidP="007E699E">
      <w:pPr>
        <w:shd w:val="clear" w:color="auto" w:fill="FFFFFF"/>
        <w:spacing w:after="0" w:line="240" w:lineRule="auto"/>
        <w:ind w:right="-518"/>
        <w:jc w:val="both"/>
        <w:textAlignment w:val="baseline"/>
        <w:rPr>
          <w:rFonts w:ascii="Arial Narrow" w:hAnsi="Arial Narrow"/>
          <w:sz w:val="24"/>
          <w:szCs w:val="24"/>
        </w:rPr>
      </w:pPr>
    </w:p>
    <w:p w:rsidR="00436456" w:rsidRPr="00D87C3F" w:rsidRDefault="00436456" w:rsidP="007E699E">
      <w:pPr>
        <w:pStyle w:val="Prrafodelista"/>
        <w:numPr>
          <w:ilvl w:val="0"/>
          <w:numId w:val="2"/>
        </w:numPr>
        <w:shd w:val="clear" w:color="auto" w:fill="FFFFFF"/>
        <w:spacing w:after="0" w:line="240" w:lineRule="auto"/>
        <w:ind w:right="-518"/>
        <w:jc w:val="both"/>
        <w:textAlignment w:val="baseline"/>
        <w:rPr>
          <w:rFonts w:ascii="Arial Narrow" w:hAnsi="Arial Narrow" w:cs="Arial"/>
          <w:b/>
          <w:sz w:val="24"/>
          <w:szCs w:val="24"/>
        </w:rPr>
      </w:pPr>
      <w:r w:rsidRPr="00D87C3F">
        <w:rPr>
          <w:rFonts w:ascii="Arial Narrow" w:hAnsi="Arial Narrow" w:cs="Arial"/>
          <w:b/>
          <w:sz w:val="24"/>
          <w:szCs w:val="24"/>
        </w:rPr>
        <w:t>PRINCIPIOS NORMATIVOS</w:t>
      </w:r>
      <w:r w:rsidR="002B0E23" w:rsidRPr="00D87C3F">
        <w:rPr>
          <w:rFonts w:ascii="Arial Narrow" w:hAnsi="Arial Narrow" w:cs="Arial"/>
          <w:b/>
          <w:sz w:val="24"/>
          <w:szCs w:val="24"/>
        </w:rPr>
        <w:t xml:space="preserve"> QUE RIGEN LA FIGURA</w:t>
      </w:r>
      <w:r w:rsidRPr="00D87C3F">
        <w:rPr>
          <w:rFonts w:ascii="Arial Narrow" w:hAnsi="Arial Narrow" w:cs="Arial"/>
          <w:b/>
          <w:sz w:val="24"/>
          <w:szCs w:val="24"/>
        </w:rPr>
        <w:t>.</w:t>
      </w:r>
    </w:p>
    <w:p w:rsidR="00606414" w:rsidRPr="00D87C3F" w:rsidRDefault="00606414" w:rsidP="007E699E">
      <w:pPr>
        <w:pStyle w:val="Prrafodelista"/>
        <w:shd w:val="clear" w:color="auto" w:fill="FFFFFF"/>
        <w:spacing w:after="0" w:line="240" w:lineRule="auto"/>
        <w:ind w:left="644" w:right="-518"/>
        <w:jc w:val="both"/>
        <w:textAlignment w:val="baseline"/>
        <w:rPr>
          <w:rFonts w:ascii="Arial Narrow" w:hAnsi="Arial Narrow" w:cs="Arial"/>
          <w:b/>
          <w:sz w:val="24"/>
          <w:szCs w:val="24"/>
        </w:rPr>
      </w:pPr>
    </w:p>
    <w:p w:rsidR="002C048B" w:rsidRPr="00D87C3F" w:rsidRDefault="002C048B" w:rsidP="007E699E">
      <w:pPr>
        <w:spacing w:line="240" w:lineRule="auto"/>
        <w:ind w:right="-518"/>
        <w:jc w:val="both"/>
        <w:rPr>
          <w:rFonts w:ascii="Arial Narrow" w:hAnsi="Arial Narrow" w:cs="Arial"/>
          <w:sz w:val="24"/>
          <w:szCs w:val="24"/>
        </w:rPr>
      </w:pPr>
      <w:r w:rsidRPr="00D87C3F">
        <w:rPr>
          <w:rFonts w:ascii="Arial Narrow" w:hAnsi="Arial Narrow" w:cs="Arial"/>
          <w:sz w:val="24"/>
          <w:szCs w:val="24"/>
        </w:rPr>
        <w:t xml:space="preserve">Para entender la figura de vigencias </w:t>
      </w:r>
      <w:r w:rsidRPr="00D87C3F">
        <w:rPr>
          <w:rFonts w:ascii="Arial Narrow" w:hAnsi="Arial Narrow" w:cs="Arial"/>
          <w:color w:val="000000" w:themeColor="text1"/>
          <w:sz w:val="24"/>
          <w:szCs w:val="24"/>
        </w:rPr>
        <w:t xml:space="preserve">futuras </w:t>
      </w:r>
      <w:r w:rsidR="00416B8D" w:rsidRPr="00D87C3F">
        <w:rPr>
          <w:rFonts w:ascii="Arial Narrow" w:hAnsi="Arial Narrow" w:cs="Arial"/>
          <w:color w:val="000000" w:themeColor="text1"/>
          <w:sz w:val="24"/>
          <w:szCs w:val="24"/>
        </w:rPr>
        <w:t>se hace</w:t>
      </w:r>
      <w:r w:rsidR="00972AB3" w:rsidRPr="00D87C3F">
        <w:rPr>
          <w:rFonts w:ascii="Arial Narrow" w:hAnsi="Arial Narrow" w:cs="Arial"/>
          <w:color w:val="000000" w:themeColor="text1"/>
          <w:sz w:val="24"/>
          <w:szCs w:val="24"/>
        </w:rPr>
        <w:t xml:space="preserve"> necesario</w:t>
      </w:r>
      <w:r w:rsidR="00A5045C" w:rsidRPr="00D87C3F">
        <w:rPr>
          <w:rFonts w:ascii="Arial Narrow" w:hAnsi="Arial Narrow" w:cs="Arial"/>
          <w:color w:val="000000" w:themeColor="text1"/>
          <w:sz w:val="24"/>
          <w:szCs w:val="24"/>
        </w:rPr>
        <w:t xml:space="preserve"> </w:t>
      </w:r>
      <w:r w:rsidRPr="00D87C3F">
        <w:rPr>
          <w:rFonts w:ascii="Arial Narrow" w:hAnsi="Arial Narrow" w:cs="Arial"/>
          <w:sz w:val="24"/>
          <w:szCs w:val="24"/>
        </w:rPr>
        <w:t>partir del principio de anualidad</w:t>
      </w:r>
      <w:r w:rsidR="00A5045C" w:rsidRPr="00D87C3F">
        <w:rPr>
          <w:rFonts w:ascii="Arial Narrow" w:hAnsi="Arial Narrow" w:cs="Arial"/>
          <w:sz w:val="24"/>
          <w:szCs w:val="24"/>
        </w:rPr>
        <w:t>,</w:t>
      </w:r>
      <w:r w:rsidRPr="00D87C3F">
        <w:rPr>
          <w:rFonts w:ascii="Arial Narrow" w:hAnsi="Arial Narrow" w:cs="Arial"/>
          <w:sz w:val="24"/>
          <w:szCs w:val="24"/>
        </w:rPr>
        <w:t xml:space="preserve"> según el cual: </w:t>
      </w:r>
      <w:r w:rsidRPr="00D87C3F">
        <w:rPr>
          <w:rFonts w:ascii="Arial Narrow" w:hAnsi="Arial Narrow" w:cs="Arial"/>
          <w:b/>
          <w:bCs/>
          <w:sz w:val="24"/>
          <w:szCs w:val="24"/>
        </w:rPr>
        <w:t>“</w:t>
      </w:r>
      <w:r w:rsidRPr="00D87C3F">
        <w:rPr>
          <w:rFonts w:ascii="Arial Narrow" w:hAnsi="Arial Narrow" w:cs="Arial"/>
          <w:i/>
          <w:sz w:val="24"/>
          <w:szCs w:val="24"/>
        </w:rPr>
        <w:t>El año fiscal comienza el 1 de ene</w:t>
      </w:r>
      <w:r w:rsidR="00436456" w:rsidRPr="00D87C3F">
        <w:rPr>
          <w:rFonts w:ascii="Arial Narrow" w:hAnsi="Arial Narrow" w:cs="Arial"/>
          <w:i/>
          <w:sz w:val="24"/>
          <w:szCs w:val="24"/>
        </w:rPr>
        <w:t xml:space="preserve">ro y termina el 31 de diciembre </w:t>
      </w:r>
      <w:r w:rsidRPr="00D87C3F">
        <w:rPr>
          <w:rFonts w:ascii="Arial Narrow" w:hAnsi="Arial Narrow" w:cs="Arial"/>
          <w:i/>
          <w:sz w:val="24"/>
          <w:szCs w:val="24"/>
        </w:rPr>
        <w:t>de cada año. Después del 31 de diciembre no podrán asumirse compromisos con cargo a las apropiaciones del año fiscal que se cierra en esa fecha y los saldos de apropiación no afectados por compromisos caducarán sin excepción (Ley 38/89, artículo 10)</w:t>
      </w:r>
      <w:r w:rsidRPr="00D87C3F">
        <w:rPr>
          <w:rFonts w:ascii="Arial Narrow" w:hAnsi="Arial Narrow" w:cs="Arial"/>
          <w:sz w:val="24"/>
          <w:szCs w:val="24"/>
        </w:rPr>
        <w:t>”</w:t>
      </w:r>
      <w:r w:rsidR="00A03699" w:rsidRPr="00D87C3F">
        <w:rPr>
          <w:rStyle w:val="Refdenotaalpie"/>
          <w:rFonts w:ascii="Arial Narrow" w:hAnsi="Arial Narrow" w:cs="Arial"/>
          <w:sz w:val="24"/>
          <w:szCs w:val="24"/>
        </w:rPr>
        <w:footnoteReference w:id="3"/>
      </w:r>
      <w:r w:rsidRPr="00D87C3F">
        <w:rPr>
          <w:rFonts w:ascii="Arial Narrow" w:hAnsi="Arial Narrow" w:cs="Arial"/>
          <w:sz w:val="24"/>
          <w:szCs w:val="24"/>
        </w:rPr>
        <w:t>.</w:t>
      </w:r>
    </w:p>
    <w:p w:rsidR="002C048B" w:rsidRPr="00D87C3F" w:rsidRDefault="002C048B" w:rsidP="007E699E">
      <w:pPr>
        <w:spacing w:line="240" w:lineRule="auto"/>
        <w:ind w:right="-518"/>
        <w:jc w:val="both"/>
        <w:rPr>
          <w:rFonts w:ascii="Arial Narrow" w:hAnsi="Arial Narrow" w:cs="Arial"/>
          <w:iCs/>
          <w:sz w:val="24"/>
          <w:szCs w:val="24"/>
        </w:rPr>
      </w:pPr>
      <w:r w:rsidRPr="00D87C3F">
        <w:rPr>
          <w:rFonts w:ascii="Arial Narrow" w:hAnsi="Arial Narrow" w:cs="Arial"/>
          <w:sz w:val="24"/>
          <w:szCs w:val="24"/>
        </w:rPr>
        <w:t xml:space="preserve">En virtud de este principio </w:t>
      </w:r>
      <w:r w:rsidRPr="00D87C3F">
        <w:rPr>
          <w:rFonts w:ascii="Arial Narrow" w:hAnsi="Arial Narrow" w:cs="Arial"/>
          <w:iCs/>
          <w:sz w:val="24"/>
          <w:szCs w:val="24"/>
        </w:rPr>
        <w:t>no es posible adquirir compromisos que excedan en su e</w:t>
      </w:r>
      <w:r w:rsidR="00E27AB6" w:rsidRPr="00D87C3F">
        <w:rPr>
          <w:rFonts w:ascii="Arial Narrow" w:hAnsi="Arial Narrow" w:cs="Arial"/>
          <w:iCs/>
          <w:sz w:val="24"/>
          <w:szCs w:val="24"/>
        </w:rPr>
        <w:t>jecución la vigencia respectiva;</w:t>
      </w:r>
      <w:r w:rsidRPr="00D87C3F">
        <w:rPr>
          <w:rFonts w:ascii="Arial Narrow" w:hAnsi="Arial Narrow" w:cs="Arial"/>
          <w:iCs/>
          <w:sz w:val="24"/>
          <w:szCs w:val="24"/>
        </w:rPr>
        <w:t xml:space="preserve"> sin embargo, el legislador incorporó un mecanismo que, previa autorización</w:t>
      </w:r>
      <w:r w:rsidR="00E27AB6" w:rsidRPr="00D87C3F">
        <w:rPr>
          <w:rFonts w:ascii="Arial Narrow" w:hAnsi="Arial Narrow" w:cs="Arial"/>
          <w:iCs/>
          <w:sz w:val="24"/>
          <w:szCs w:val="24"/>
        </w:rPr>
        <w:t>,</w:t>
      </w:r>
      <w:r w:rsidRPr="00D87C3F">
        <w:rPr>
          <w:rFonts w:ascii="Arial Narrow" w:hAnsi="Arial Narrow" w:cs="Arial"/>
          <w:iCs/>
          <w:sz w:val="24"/>
          <w:szCs w:val="24"/>
        </w:rPr>
        <w:t xml:space="preserve"> permite adquirir compromisos cuando su ejecución se inicie con presu</w:t>
      </w:r>
      <w:r w:rsidR="00A03699" w:rsidRPr="00D87C3F">
        <w:rPr>
          <w:rFonts w:ascii="Arial Narrow" w:hAnsi="Arial Narrow" w:cs="Arial"/>
          <w:iCs/>
          <w:sz w:val="24"/>
          <w:szCs w:val="24"/>
        </w:rPr>
        <w:t>puesto de la vigencia en curso y el objeto</w:t>
      </w:r>
      <w:r w:rsidRPr="00D87C3F">
        <w:rPr>
          <w:rFonts w:ascii="Arial Narrow" w:hAnsi="Arial Narrow" w:cs="Arial"/>
          <w:iCs/>
          <w:sz w:val="24"/>
          <w:szCs w:val="24"/>
        </w:rPr>
        <w:t xml:space="preserve"> del compromiso se lleve a cabo en otras vigencias posteriores las cuales se ven afectadas</w:t>
      </w:r>
      <w:r w:rsidR="009F4B0F" w:rsidRPr="00D87C3F">
        <w:rPr>
          <w:rStyle w:val="Refdenotaalpie"/>
          <w:rFonts w:ascii="Arial Narrow" w:hAnsi="Arial Narrow" w:cs="Arial"/>
          <w:iCs/>
          <w:sz w:val="24"/>
          <w:szCs w:val="24"/>
        </w:rPr>
        <w:footnoteReference w:id="4"/>
      </w:r>
      <w:r w:rsidRPr="00D87C3F">
        <w:rPr>
          <w:rFonts w:ascii="Arial Narrow" w:hAnsi="Arial Narrow" w:cs="Arial"/>
          <w:iCs/>
          <w:sz w:val="24"/>
          <w:szCs w:val="24"/>
        </w:rPr>
        <w:t>.</w:t>
      </w:r>
    </w:p>
    <w:p w:rsidR="00A03699" w:rsidRPr="00D87C3F" w:rsidRDefault="009F4B0F" w:rsidP="007E699E">
      <w:pPr>
        <w:spacing w:line="240" w:lineRule="auto"/>
        <w:ind w:right="-518"/>
        <w:jc w:val="both"/>
        <w:rPr>
          <w:rFonts w:ascii="Arial Narrow" w:hAnsi="Arial Narrow"/>
          <w:sz w:val="24"/>
          <w:szCs w:val="24"/>
        </w:rPr>
      </w:pPr>
      <w:r w:rsidRPr="00D87C3F">
        <w:rPr>
          <w:rFonts w:ascii="Arial Narrow" w:hAnsi="Arial Narrow"/>
          <w:iCs/>
          <w:sz w:val="24"/>
          <w:szCs w:val="24"/>
          <w:lang w:val="es-ES_tradnl"/>
        </w:rPr>
        <w:t>Así</w:t>
      </w:r>
      <w:r w:rsidR="00A5045C" w:rsidRPr="00D87C3F">
        <w:rPr>
          <w:rFonts w:ascii="Arial Narrow" w:hAnsi="Arial Narrow"/>
          <w:iCs/>
          <w:sz w:val="24"/>
          <w:szCs w:val="24"/>
          <w:lang w:val="es-ES_tradnl"/>
        </w:rPr>
        <w:t xml:space="preserve"> mismo </w:t>
      </w:r>
      <w:r w:rsidR="00A03699" w:rsidRPr="00D87C3F">
        <w:rPr>
          <w:rFonts w:ascii="Arial Narrow" w:hAnsi="Arial Narrow"/>
          <w:i/>
          <w:iCs/>
          <w:sz w:val="24"/>
          <w:szCs w:val="24"/>
          <w:lang w:val="es-ES_tradnl"/>
        </w:rPr>
        <w:t>“El principio de la anualidad del presupuesto, como ya lo definió la Corte Constitucional, no implica el que la administración pública no pueda programar obras que se ejecuten en vigencias sucesivas, pues tal limitación sería absurda”</w:t>
      </w:r>
      <w:r w:rsidR="00A03699" w:rsidRPr="00D87C3F">
        <w:rPr>
          <w:rStyle w:val="Refdenotaalpie"/>
          <w:rFonts w:ascii="Arial Narrow" w:hAnsi="Arial Narrow"/>
          <w:i/>
          <w:iCs/>
          <w:sz w:val="24"/>
          <w:szCs w:val="24"/>
          <w:lang w:val="es-ES_tradnl"/>
        </w:rPr>
        <w:footnoteReference w:id="5"/>
      </w:r>
      <w:r w:rsidR="00A03699" w:rsidRPr="00D87C3F">
        <w:rPr>
          <w:rFonts w:ascii="Arial Narrow" w:hAnsi="Arial Narrow"/>
          <w:i/>
          <w:iCs/>
          <w:sz w:val="24"/>
          <w:szCs w:val="24"/>
          <w:lang w:val="es-ES_tradnl"/>
        </w:rPr>
        <w:t xml:space="preserve">. </w:t>
      </w:r>
    </w:p>
    <w:p w:rsidR="002C048B" w:rsidRPr="00D87C3F" w:rsidRDefault="009F4B0F" w:rsidP="007E699E">
      <w:pPr>
        <w:spacing w:line="240" w:lineRule="auto"/>
        <w:ind w:right="-518"/>
        <w:jc w:val="both"/>
        <w:rPr>
          <w:rFonts w:ascii="Arial Narrow" w:hAnsi="Arial Narrow" w:cs="Arial"/>
          <w:sz w:val="24"/>
          <w:szCs w:val="24"/>
        </w:rPr>
      </w:pPr>
      <w:r w:rsidRPr="00D87C3F">
        <w:rPr>
          <w:rFonts w:ascii="Arial Narrow" w:hAnsi="Arial Narrow" w:cs="Arial"/>
          <w:sz w:val="24"/>
          <w:szCs w:val="24"/>
        </w:rPr>
        <w:t>En la actualidad e</w:t>
      </w:r>
      <w:r w:rsidR="002C048B" w:rsidRPr="00D87C3F">
        <w:rPr>
          <w:rFonts w:ascii="Arial Narrow" w:hAnsi="Arial Narrow" w:cs="Arial"/>
          <w:sz w:val="24"/>
          <w:szCs w:val="24"/>
        </w:rPr>
        <w:t xml:space="preserve">xisten </w:t>
      </w:r>
      <w:r w:rsidRPr="00D87C3F">
        <w:rPr>
          <w:rFonts w:ascii="Arial Narrow" w:hAnsi="Arial Narrow" w:cs="Arial"/>
          <w:sz w:val="24"/>
          <w:szCs w:val="24"/>
        </w:rPr>
        <w:t>en el</w:t>
      </w:r>
      <w:r w:rsidR="00A5045C" w:rsidRPr="00D87C3F">
        <w:rPr>
          <w:rFonts w:ascii="Arial Narrow" w:hAnsi="Arial Narrow" w:cs="Arial"/>
          <w:sz w:val="24"/>
          <w:szCs w:val="24"/>
        </w:rPr>
        <w:t xml:space="preserve"> ordenamiento colombiano</w:t>
      </w:r>
      <w:r w:rsidRPr="00D87C3F">
        <w:rPr>
          <w:rFonts w:ascii="Arial Narrow" w:hAnsi="Arial Narrow" w:cs="Arial"/>
          <w:sz w:val="24"/>
          <w:szCs w:val="24"/>
        </w:rPr>
        <w:t xml:space="preserve"> </w:t>
      </w:r>
      <w:r w:rsidR="002C048B" w:rsidRPr="00D87C3F">
        <w:rPr>
          <w:rFonts w:ascii="Arial Narrow" w:hAnsi="Arial Narrow" w:cs="Arial"/>
          <w:sz w:val="24"/>
          <w:szCs w:val="24"/>
        </w:rPr>
        <w:t>dos clases de vigencias futuras</w:t>
      </w:r>
      <w:r w:rsidR="00A5045C" w:rsidRPr="00D87C3F">
        <w:rPr>
          <w:rFonts w:ascii="Arial Narrow" w:hAnsi="Arial Narrow" w:cs="Arial"/>
          <w:sz w:val="24"/>
          <w:szCs w:val="24"/>
        </w:rPr>
        <w:t>;</w:t>
      </w:r>
      <w:r w:rsidR="002C048B" w:rsidRPr="00D87C3F">
        <w:rPr>
          <w:rFonts w:ascii="Arial Narrow" w:hAnsi="Arial Narrow" w:cs="Arial"/>
          <w:sz w:val="24"/>
          <w:szCs w:val="24"/>
        </w:rPr>
        <w:t xml:space="preserve"> ordinarias y excepcionales.</w:t>
      </w:r>
    </w:p>
    <w:p w:rsidR="00E27AB6" w:rsidRPr="00D87C3F" w:rsidRDefault="00E27AB6" w:rsidP="007E699E">
      <w:pPr>
        <w:spacing w:line="240" w:lineRule="auto"/>
        <w:ind w:right="-518"/>
        <w:jc w:val="both"/>
        <w:rPr>
          <w:rFonts w:ascii="Arial Narrow" w:hAnsi="Arial Narrow" w:cs="Arial"/>
          <w:sz w:val="24"/>
          <w:szCs w:val="24"/>
        </w:rPr>
      </w:pPr>
    </w:p>
    <w:p w:rsidR="002C048B" w:rsidRPr="00D87C3F" w:rsidRDefault="002B0E23" w:rsidP="007E699E">
      <w:pPr>
        <w:spacing w:line="240" w:lineRule="auto"/>
        <w:ind w:right="-518"/>
        <w:jc w:val="both"/>
        <w:rPr>
          <w:rFonts w:ascii="Arial Narrow" w:hAnsi="Arial Narrow" w:cs="Arial"/>
          <w:b/>
          <w:sz w:val="24"/>
          <w:szCs w:val="24"/>
        </w:rPr>
      </w:pPr>
      <w:r w:rsidRPr="00D87C3F">
        <w:rPr>
          <w:rFonts w:ascii="Arial Narrow" w:hAnsi="Arial Narrow" w:cs="Arial"/>
          <w:b/>
          <w:sz w:val="24"/>
          <w:szCs w:val="24"/>
        </w:rPr>
        <w:t xml:space="preserve">2.1 </w:t>
      </w:r>
      <w:r w:rsidR="00452A23" w:rsidRPr="00D87C3F">
        <w:rPr>
          <w:rFonts w:ascii="Arial Narrow" w:hAnsi="Arial Narrow" w:cs="Arial"/>
          <w:b/>
          <w:sz w:val="24"/>
          <w:szCs w:val="24"/>
        </w:rPr>
        <w:t xml:space="preserve"> </w:t>
      </w:r>
      <w:r w:rsidR="00436456" w:rsidRPr="00D87C3F">
        <w:rPr>
          <w:rFonts w:ascii="Arial Narrow" w:hAnsi="Arial Narrow" w:cs="Arial"/>
          <w:b/>
          <w:sz w:val="24"/>
          <w:szCs w:val="24"/>
        </w:rPr>
        <w:t xml:space="preserve"> </w:t>
      </w:r>
      <w:r w:rsidR="002C048B" w:rsidRPr="00D87C3F">
        <w:rPr>
          <w:rFonts w:ascii="Arial Narrow" w:hAnsi="Arial Narrow" w:cs="Arial"/>
          <w:b/>
          <w:sz w:val="24"/>
          <w:szCs w:val="24"/>
        </w:rPr>
        <w:t>L</w:t>
      </w:r>
      <w:r w:rsidR="00D32E7D">
        <w:rPr>
          <w:rFonts w:ascii="Arial Narrow" w:hAnsi="Arial Narrow" w:cs="Arial"/>
          <w:b/>
          <w:sz w:val="24"/>
          <w:szCs w:val="24"/>
        </w:rPr>
        <w:t>AS VIGENCIAS FUTURAS</w:t>
      </w:r>
      <w:r w:rsidR="00676DDE" w:rsidRPr="00D87C3F">
        <w:rPr>
          <w:rFonts w:ascii="Arial Narrow" w:hAnsi="Arial Narrow" w:cs="Arial"/>
          <w:b/>
          <w:sz w:val="24"/>
          <w:szCs w:val="24"/>
        </w:rPr>
        <w:t>.</w:t>
      </w:r>
    </w:p>
    <w:p w:rsidR="006307EE" w:rsidRDefault="006307EE" w:rsidP="007E699E">
      <w:pPr>
        <w:spacing w:line="240" w:lineRule="auto"/>
        <w:ind w:right="-518"/>
        <w:jc w:val="both"/>
        <w:rPr>
          <w:rFonts w:ascii="Arial Narrow" w:hAnsi="Arial Narrow" w:cs="Arial"/>
          <w:sz w:val="24"/>
          <w:szCs w:val="24"/>
        </w:rPr>
      </w:pPr>
      <w:r>
        <w:rPr>
          <w:rFonts w:ascii="Arial Narrow" w:hAnsi="Arial Narrow" w:cs="Arial"/>
          <w:sz w:val="24"/>
          <w:szCs w:val="24"/>
        </w:rPr>
        <w:t>Esta figura ha sido definida por Restrepo como “la autorización impartida para afectar presupuestos futuros con apropiaciones autorizadas con antelación a la aprobación de dichos presupuestos”</w:t>
      </w:r>
      <w:r w:rsidR="00D32E7D">
        <w:rPr>
          <w:rStyle w:val="Refdenotaalpie"/>
          <w:rFonts w:ascii="Arial Narrow" w:hAnsi="Arial Narrow" w:cs="Arial"/>
          <w:sz w:val="24"/>
          <w:szCs w:val="24"/>
        </w:rPr>
        <w:footnoteReference w:id="6"/>
      </w:r>
      <w:r w:rsidR="00D32E7D">
        <w:rPr>
          <w:rFonts w:ascii="Arial Narrow" w:hAnsi="Arial Narrow" w:cs="Arial"/>
          <w:sz w:val="24"/>
          <w:szCs w:val="24"/>
        </w:rPr>
        <w:t xml:space="preserve"> </w:t>
      </w:r>
      <w:proofErr w:type="spellStart"/>
      <w:r>
        <w:rPr>
          <w:rFonts w:ascii="Arial Narrow" w:hAnsi="Arial Narrow" w:cs="Arial"/>
          <w:sz w:val="24"/>
          <w:szCs w:val="24"/>
        </w:rPr>
        <w:t>asi</w:t>
      </w:r>
      <w:proofErr w:type="spellEnd"/>
      <w:r>
        <w:rPr>
          <w:rFonts w:ascii="Arial Narrow" w:hAnsi="Arial Narrow" w:cs="Arial"/>
          <w:sz w:val="24"/>
          <w:szCs w:val="24"/>
        </w:rPr>
        <w:t xml:space="preserve"> mismo como una de la</w:t>
      </w:r>
      <w:r w:rsidR="00FE6814">
        <w:rPr>
          <w:rFonts w:ascii="Arial Narrow" w:hAnsi="Arial Narrow" w:cs="Arial"/>
          <w:sz w:val="24"/>
          <w:szCs w:val="24"/>
        </w:rPr>
        <w:t>s</w:t>
      </w:r>
      <w:r>
        <w:rPr>
          <w:rFonts w:ascii="Arial Narrow" w:hAnsi="Arial Narrow" w:cs="Arial"/>
          <w:sz w:val="24"/>
          <w:szCs w:val="24"/>
        </w:rPr>
        <w:t xml:space="preserve"> excepciones al principio de anualidad</w:t>
      </w:r>
      <w:r w:rsidR="00FE6814">
        <w:rPr>
          <w:rFonts w:ascii="Arial Narrow" w:hAnsi="Arial Narrow" w:cs="Arial"/>
          <w:sz w:val="24"/>
          <w:szCs w:val="24"/>
        </w:rPr>
        <w:t xml:space="preserve"> “puesto que la autorización de dichos gastos se formaliza antes de que se aprueben las vigencias en las que se van a ejecutar; y a su turno, la vid jurídica de dichas autorizaciones se prolonga a lo largo de varias vigencias.</w:t>
      </w:r>
      <w:r w:rsidR="00D32E7D">
        <w:rPr>
          <w:rFonts w:ascii="Arial Narrow" w:hAnsi="Arial Narrow" w:cs="Arial"/>
          <w:sz w:val="24"/>
          <w:szCs w:val="24"/>
        </w:rPr>
        <w:t>”</w:t>
      </w:r>
    </w:p>
    <w:p w:rsidR="00A00C3A" w:rsidRDefault="00FE6814" w:rsidP="007E699E">
      <w:pPr>
        <w:spacing w:line="240" w:lineRule="auto"/>
        <w:ind w:right="-518"/>
        <w:jc w:val="both"/>
        <w:rPr>
          <w:rFonts w:ascii="Arial Narrow" w:hAnsi="Arial Narrow" w:cs="Arial"/>
          <w:b/>
          <w:sz w:val="24"/>
          <w:szCs w:val="24"/>
        </w:rPr>
      </w:pPr>
      <w:r>
        <w:rPr>
          <w:rFonts w:ascii="Arial Narrow" w:hAnsi="Arial Narrow" w:cs="Arial"/>
          <w:sz w:val="24"/>
          <w:szCs w:val="24"/>
        </w:rPr>
        <w:t xml:space="preserve">La razón de la existencia de las vigencia futuras, entre otras, </w:t>
      </w:r>
      <w:r w:rsidR="00D32E7D">
        <w:rPr>
          <w:rFonts w:ascii="Arial Narrow" w:hAnsi="Arial Narrow" w:cs="Arial"/>
          <w:sz w:val="24"/>
          <w:szCs w:val="24"/>
        </w:rPr>
        <w:t>“</w:t>
      </w:r>
      <w:r>
        <w:rPr>
          <w:rFonts w:ascii="Arial Narrow" w:hAnsi="Arial Narrow" w:cs="Arial"/>
          <w:sz w:val="24"/>
          <w:szCs w:val="24"/>
        </w:rPr>
        <w:t xml:space="preserve">porque si bien es cierto existen determinadas obras  </w:t>
      </w:r>
      <w:r w:rsidR="00D32E7D">
        <w:rPr>
          <w:rFonts w:ascii="Arial Narrow" w:hAnsi="Arial Narrow" w:cs="Arial"/>
          <w:sz w:val="24"/>
          <w:szCs w:val="24"/>
        </w:rPr>
        <w:t>públicas</w:t>
      </w:r>
      <w:r>
        <w:rPr>
          <w:rFonts w:ascii="Arial Narrow" w:hAnsi="Arial Narrow" w:cs="Arial"/>
          <w:sz w:val="24"/>
          <w:szCs w:val="24"/>
        </w:rPr>
        <w:t xml:space="preserve"> que por la complejidad de su financiamiento  o por sus modalidades técnicas es imposible ejecutarlas  en una sola vigencia , y al mismo tiempo puede resultar conveniente  a fin de darles certeza de </w:t>
      </w:r>
      <w:r w:rsidR="00D32E7D">
        <w:rPr>
          <w:rFonts w:ascii="Arial Narrow" w:hAnsi="Arial Narrow" w:cs="Arial"/>
          <w:sz w:val="24"/>
          <w:szCs w:val="24"/>
        </w:rPr>
        <w:t>financiamiento</w:t>
      </w:r>
      <w:r>
        <w:rPr>
          <w:rFonts w:ascii="Arial Narrow" w:hAnsi="Arial Narrow" w:cs="Arial"/>
          <w:sz w:val="24"/>
          <w:szCs w:val="24"/>
        </w:rPr>
        <w:t xml:space="preserve">  en el tiempo tratarlas como vigencias futuras </w:t>
      </w:r>
      <w:r w:rsidRPr="00D32E7D">
        <w:rPr>
          <w:rFonts w:ascii="Arial Narrow" w:hAnsi="Arial Narrow" w:cs="Arial"/>
          <w:b/>
          <w:sz w:val="24"/>
          <w:szCs w:val="24"/>
        </w:rPr>
        <w:t>, no es menos c</w:t>
      </w:r>
      <w:r w:rsidR="00D32E7D" w:rsidRPr="00D32E7D">
        <w:rPr>
          <w:rFonts w:ascii="Arial Narrow" w:hAnsi="Arial Narrow" w:cs="Arial"/>
          <w:b/>
          <w:sz w:val="24"/>
          <w:szCs w:val="24"/>
        </w:rPr>
        <w:t xml:space="preserve">ierto  tiene que ser controlado y selectivo , puesto que como las vigencias futuras  comprometen gastos  de </w:t>
      </w:r>
    </w:p>
    <w:p w:rsidR="00A00C3A" w:rsidRDefault="00A00C3A" w:rsidP="007E699E">
      <w:pPr>
        <w:spacing w:line="240" w:lineRule="auto"/>
        <w:ind w:right="-518"/>
        <w:jc w:val="both"/>
        <w:rPr>
          <w:rFonts w:ascii="Arial Narrow" w:hAnsi="Arial Narrow" w:cs="Arial"/>
          <w:b/>
          <w:sz w:val="24"/>
          <w:szCs w:val="24"/>
        </w:rPr>
      </w:pPr>
    </w:p>
    <w:p w:rsidR="00FE6814" w:rsidRDefault="00D32E7D" w:rsidP="007E699E">
      <w:pPr>
        <w:spacing w:line="240" w:lineRule="auto"/>
        <w:ind w:right="-518"/>
        <w:jc w:val="both"/>
        <w:rPr>
          <w:rFonts w:ascii="Arial Narrow" w:hAnsi="Arial Narrow" w:cs="Arial"/>
          <w:b/>
          <w:sz w:val="24"/>
          <w:szCs w:val="24"/>
        </w:rPr>
      </w:pPr>
      <w:proofErr w:type="gramStart"/>
      <w:r w:rsidRPr="00D32E7D">
        <w:rPr>
          <w:rFonts w:ascii="Arial Narrow" w:hAnsi="Arial Narrow" w:cs="Arial"/>
          <w:b/>
          <w:sz w:val="24"/>
          <w:szCs w:val="24"/>
        </w:rPr>
        <w:t>presupuestos</w:t>
      </w:r>
      <w:proofErr w:type="gramEnd"/>
      <w:r w:rsidRPr="00D32E7D">
        <w:rPr>
          <w:rFonts w:ascii="Arial Narrow" w:hAnsi="Arial Narrow" w:cs="Arial"/>
          <w:b/>
          <w:sz w:val="24"/>
          <w:szCs w:val="24"/>
        </w:rPr>
        <w:t xml:space="preserve"> venideros , si de ellas se hace un uso desmesurado pueden llegar a copar grandes porciones del gasto asignable en los presupuestos futuros”</w:t>
      </w:r>
      <w:r>
        <w:rPr>
          <w:rFonts w:ascii="Arial Narrow" w:hAnsi="Arial Narrow" w:cs="Arial"/>
          <w:b/>
          <w:sz w:val="24"/>
          <w:szCs w:val="24"/>
        </w:rPr>
        <w:t xml:space="preserve"> (negrilla fuera de texto)</w:t>
      </w:r>
      <w:r>
        <w:rPr>
          <w:rStyle w:val="Refdenotaalpie"/>
          <w:rFonts w:ascii="Arial Narrow" w:hAnsi="Arial Narrow" w:cs="Arial"/>
          <w:b/>
          <w:sz w:val="24"/>
          <w:szCs w:val="24"/>
        </w:rPr>
        <w:footnoteReference w:id="7"/>
      </w:r>
    </w:p>
    <w:p w:rsidR="00D32E7D" w:rsidRPr="00D32E7D" w:rsidRDefault="00D32E7D" w:rsidP="00D32E7D">
      <w:pPr>
        <w:pStyle w:val="Prrafodelista"/>
        <w:numPr>
          <w:ilvl w:val="0"/>
          <w:numId w:val="4"/>
        </w:numPr>
        <w:spacing w:line="240" w:lineRule="auto"/>
        <w:ind w:right="-518"/>
        <w:jc w:val="both"/>
        <w:rPr>
          <w:rFonts w:ascii="Arial Narrow" w:hAnsi="Arial Narrow" w:cs="Arial"/>
          <w:b/>
          <w:sz w:val="24"/>
          <w:szCs w:val="24"/>
        </w:rPr>
      </w:pPr>
      <w:r w:rsidRPr="00D32E7D">
        <w:rPr>
          <w:rFonts w:ascii="Arial Narrow" w:hAnsi="Arial Narrow" w:cs="Arial"/>
          <w:b/>
          <w:sz w:val="24"/>
          <w:szCs w:val="24"/>
        </w:rPr>
        <w:t>Vigencias Futuras Ordinarias.</w:t>
      </w:r>
    </w:p>
    <w:p w:rsidR="00676DDE" w:rsidRPr="00D87C3F" w:rsidRDefault="006307EE" w:rsidP="007E699E">
      <w:pPr>
        <w:spacing w:line="240" w:lineRule="auto"/>
        <w:ind w:right="-518"/>
        <w:jc w:val="both"/>
        <w:rPr>
          <w:rFonts w:ascii="Arial Narrow" w:hAnsi="Arial Narrow" w:cs="Arial"/>
          <w:color w:val="000000"/>
          <w:sz w:val="24"/>
          <w:szCs w:val="24"/>
        </w:rPr>
      </w:pPr>
      <w:r>
        <w:rPr>
          <w:rFonts w:ascii="Arial Narrow" w:hAnsi="Arial Narrow" w:cs="Arial"/>
          <w:sz w:val="24"/>
          <w:szCs w:val="24"/>
        </w:rPr>
        <w:t xml:space="preserve"> </w:t>
      </w:r>
      <w:r w:rsidR="00676DDE" w:rsidRPr="00D87C3F">
        <w:rPr>
          <w:rFonts w:ascii="Arial Narrow" w:hAnsi="Arial Narrow" w:cs="Arial"/>
          <w:sz w:val="24"/>
          <w:szCs w:val="24"/>
        </w:rPr>
        <w:t>P</w:t>
      </w:r>
      <w:r w:rsidR="00452A23" w:rsidRPr="00D87C3F">
        <w:rPr>
          <w:rFonts w:ascii="Arial Narrow" w:hAnsi="Arial Narrow" w:cs="Arial"/>
          <w:sz w:val="24"/>
          <w:szCs w:val="24"/>
        </w:rPr>
        <w:t>or disposición del ar</w:t>
      </w:r>
      <w:r w:rsidR="00676DDE" w:rsidRPr="00D87C3F">
        <w:rPr>
          <w:rFonts w:ascii="Arial Narrow" w:hAnsi="Arial Narrow" w:cs="Arial"/>
          <w:sz w:val="24"/>
          <w:szCs w:val="24"/>
        </w:rPr>
        <w:t>tículo 10</w:t>
      </w:r>
      <w:r w:rsidR="00524D12" w:rsidRPr="00D87C3F">
        <w:rPr>
          <w:rFonts w:ascii="Arial Narrow" w:hAnsi="Arial Narrow" w:cs="Arial"/>
          <w:sz w:val="24"/>
          <w:szCs w:val="24"/>
        </w:rPr>
        <w:t>°</w:t>
      </w:r>
      <w:r w:rsidR="00676DDE" w:rsidRPr="00D87C3F">
        <w:rPr>
          <w:rFonts w:ascii="Arial Narrow" w:hAnsi="Arial Narrow" w:cs="Arial"/>
          <w:sz w:val="24"/>
          <w:szCs w:val="24"/>
        </w:rPr>
        <w:t xml:space="preserve"> de la Ley 819 de 2003,</w:t>
      </w:r>
      <w:r w:rsidR="00452A23" w:rsidRPr="00D87C3F">
        <w:rPr>
          <w:rFonts w:ascii="Arial Narrow" w:hAnsi="Arial Narrow" w:cs="Arial"/>
          <w:sz w:val="24"/>
          <w:szCs w:val="24"/>
        </w:rPr>
        <w:t xml:space="preserve"> con autorización </w:t>
      </w:r>
      <w:r w:rsidR="00E27AB6" w:rsidRPr="00D87C3F">
        <w:rPr>
          <w:rFonts w:ascii="Arial Narrow" w:hAnsi="Arial Narrow" w:cs="Arial"/>
          <w:sz w:val="24"/>
          <w:szCs w:val="24"/>
        </w:rPr>
        <w:t>d</w:t>
      </w:r>
      <w:r w:rsidR="00452A23" w:rsidRPr="00D87C3F">
        <w:rPr>
          <w:rFonts w:ascii="Arial Narrow" w:hAnsi="Arial Narrow" w:cs="Arial"/>
          <w:sz w:val="24"/>
          <w:szCs w:val="24"/>
        </w:rPr>
        <w:t>e</w:t>
      </w:r>
      <w:r w:rsidR="00E27AB6" w:rsidRPr="00D87C3F">
        <w:rPr>
          <w:rFonts w:ascii="Arial Narrow" w:hAnsi="Arial Narrow" w:cs="Arial"/>
          <w:color w:val="000000"/>
          <w:sz w:val="24"/>
          <w:szCs w:val="24"/>
        </w:rPr>
        <w:t>l Confis se pueden asumir</w:t>
      </w:r>
      <w:r w:rsidR="00452A23" w:rsidRPr="00D87C3F">
        <w:rPr>
          <w:rFonts w:ascii="Arial Narrow" w:hAnsi="Arial Narrow" w:cs="Arial"/>
          <w:color w:val="000000"/>
          <w:sz w:val="24"/>
          <w:szCs w:val="24"/>
        </w:rPr>
        <w:t xml:space="preserve"> obligaciones que afecten pr</w:t>
      </w:r>
      <w:r w:rsidR="00676DDE" w:rsidRPr="00D87C3F">
        <w:rPr>
          <w:rFonts w:ascii="Arial Narrow" w:hAnsi="Arial Narrow" w:cs="Arial"/>
          <w:color w:val="000000"/>
          <w:sz w:val="24"/>
          <w:szCs w:val="24"/>
        </w:rPr>
        <w:t xml:space="preserve">esupuestos de vigencias futuras, </w:t>
      </w:r>
      <w:r w:rsidR="00452A23" w:rsidRPr="00D87C3F">
        <w:rPr>
          <w:rFonts w:ascii="Arial Narrow" w:hAnsi="Arial Narrow" w:cs="Arial"/>
          <w:color w:val="000000"/>
          <w:sz w:val="24"/>
          <w:szCs w:val="24"/>
        </w:rPr>
        <w:t>cuando su ejecución se inicie con presupuesto</w:t>
      </w:r>
      <w:r w:rsidR="00190CF2">
        <w:rPr>
          <w:rFonts w:ascii="Arial Narrow" w:hAnsi="Arial Narrow" w:cs="Arial"/>
          <w:color w:val="000000"/>
          <w:sz w:val="24"/>
          <w:szCs w:val="24"/>
        </w:rPr>
        <w:t xml:space="preserve"> </w:t>
      </w:r>
      <w:r w:rsidR="00452A23" w:rsidRPr="00D87C3F">
        <w:rPr>
          <w:rFonts w:ascii="Arial Narrow" w:hAnsi="Arial Narrow" w:cs="Arial"/>
          <w:color w:val="000000"/>
          <w:sz w:val="24"/>
          <w:szCs w:val="24"/>
        </w:rPr>
        <w:t>de la vigencia en curso y el objeto del compromiso se lleve a cabo en cada una de ellas</w:t>
      </w:r>
      <w:r w:rsidR="00676DDE" w:rsidRPr="00D87C3F">
        <w:rPr>
          <w:rFonts w:ascii="Arial Narrow" w:hAnsi="Arial Narrow" w:cs="Arial"/>
          <w:color w:val="000000"/>
          <w:sz w:val="24"/>
          <w:szCs w:val="24"/>
        </w:rPr>
        <w:t>. Para su aplicación se deben cumplir los siguientes requisitos</w:t>
      </w:r>
      <w:r w:rsidR="00452A23" w:rsidRPr="00D87C3F">
        <w:rPr>
          <w:rFonts w:ascii="Arial Narrow" w:hAnsi="Arial Narrow" w:cs="Arial"/>
          <w:color w:val="000000"/>
          <w:sz w:val="24"/>
          <w:szCs w:val="24"/>
        </w:rPr>
        <w:t xml:space="preserve">: </w:t>
      </w:r>
    </w:p>
    <w:p w:rsidR="00676DDE" w:rsidRPr="00D87C3F" w:rsidRDefault="00452A23" w:rsidP="007E699E">
      <w:pPr>
        <w:spacing w:line="240" w:lineRule="auto"/>
        <w:ind w:right="-518"/>
        <w:jc w:val="both"/>
        <w:rPr>
          <w:rFonts w:ascii="Arial Narrow" w:hAnsi="Arial Narrow" w:cs="Arial"/>
          <w:color w:val="000000"/>
          <w:sz w:val="24"/>
          <w:szCs w:val="24"/>
        </w:rPr>
      </w:pPr>
      <w:r w:rsidRPr="00D87C3F">
        <w:rPr>
          <w:rFonts w:ascii="Arial Narrow" w:hAnsi="Arial Narrow" w:cs="Arial"/>
          <w:color w:val="000000"/>
          <w:sz w:val="24"/>
          <w:szCs w:val="24"/>
        </w:rPr>
        <w:t>a) El monto máximo de vigencias futuras, el plazo y las condiciones de las mismas</w:t>
      </w:r>
      <w:r w:rsidR="00524D12" w:rsidRPr="00D87C3F">
        <w:rPr>
          <w:rFonts w:ascii="Arial Narrow" w:hAnsi="Arial Narrow" w:cs="Arial"/>
          <w:color w:val="000000"/>
          <w:sz w:val="24"/>
          <w:szCs w:val="24"/>
        </w:rPr>
        <w:t xml:space="preserve">, </w:t>
      </w:r>
      <w:r w:rsidR="00676DDE" w:rsidRPr="00D87C3F">
        <w:rPr>
          <w:rFonts w:ascii="Arial Narrow" w:hAnsi="Arial Narrow" w:cs="Arial"/>
          <w:color w:val="000000"/>
          <w:sz w:val="24"/>
          <w:szCs w:val="24"/>
        </w:rPr>
        <w:t>debe</w:t>
      </w:r>
      <w:r w:rsidRPr="00D87C3F">
        <w:rPr>
          <w:rFonts w:ascii="Arial Narrow" w:hAnsi="Arial Narrow" w:cs="Arial"/>
          <w:color w:val="000000"/>
          <w:sz w:val="24"/>
          <w:szCs w:val="24"/>
        </w:rPr>
        <w:t xml:space="preserve"> consult</w:t>
      </w:r>
      <w:r w:rsidR="00676DDE" w:rsidRPr="00D87C3F">
        <w:rPr>
          <w:rFonts w:ascii="Arial Narrow" w:hAnsi="Arial Narrow" w:cs="Arial"/>
          <w:color w:val="000000"/>
          <w:sz w:val="24"/>
          <w:szCs w:val="24"/>
        </w:rPr>
        <w:t>ar</w:t>
      </w:r>
      <w:r w:rsidRPr="00D87C3F">
        <w:rPr>
          <w:rFonts w:ascii="Arial Narrow" w:hAnsi="Arial Narrow" w:cs="Arial"/>
          <w:color w:val="000000"/>
          <w:sz w:val="24"/>
          <w:szCs w:val="24"/>
        </w:rPr>
        <w:t xml:space="preserve"> las metas plurianuales del Marco Fiscal de Mediano Plazo</w:t>
      </w:r>
      <w:r w:rsidR="00524D12" w:rsidRPr="00D87C3F">
        <w:rPr>
          <w:rFonts w:ascii="Arial Narrow" w:hAnsi="Arial Narrow" w:cs="Arial"/>
          <w:color w:val="000000"/>
          <w:sz w:val="24"/>
          <w:szCs w:val="24"/>
        </w:rPr>
        <w:t>.</w:t>
      </w:r>
    </w:p>
    <w:p w:rsidR="00676DDE" w:rsidRPr="00D87C3F" w:rsidRDefault="00676DDE" w:rsidP="007E699E">
      <w:pPr>
        <w:spacing w:line="240" w:lineRule="auto"/>
        <w:ind w:right="-518"/>
        <w:jc w:val="both"/>
        <w:rPr>
          <w:rFonts w:ascii="Arial Narrow" w:hAnsi="Arial Narrow" w:cs="Arial"/>
          <w:color w:val="000000"/>
          <w:sz w:val="24"/>
          <w:szCs w:val="24"/>
        </w:rPr>
      </w:pPr>
      <w:r w:rsidRPr="00D87C3F">
        <w:rPr>
          <w:rFonts w:ascii="Arial Narrow" w:hAnsi="Arial Narrow" w:cs="Arial"/>
          <w:color w:val="000000"/>
          <w:sz w:val="24"/>
          <w:szCs w:val="24"/>
        </w:rPr>
        <w:t>b) Como mínimo,</w:t>
      </w:r>
      <w:r w:rsidR="00452A23" w:rsidRPr="00D87C3F">
        <w:rPr>
          <w:rFonts w:ascii="Arial Narrow" w:hAnsi="Arial Narrow" w:cs="Arial"/>
          <w:color w:val="000000"/>
          <w:sz w:val="24"/>
          <w:szCs w:val="24"/>
        </w:rPr>
        <w:t xml:space="preserve"> las vigen</w:t>
      </w:r>
      <w:r w:rsidRPr="00D87C3F">
        <w:rPr>
          <w:rFonts w:ascii="Arial Narrow" w:hAnsi="Arial Narrow" w:cs="Arial"/>
          <w:color w:val="000000"/>
          <w:sz w:val="24"/>
          <w:szCs w:val="24"/>
        </w:rPr>
        <w:t>cias futuras que se soliciten deberán</w:t>
      </w:r>
      <w:r w:rsidR="00452A23" w:rsidRPr="00D87C3F">
        <w:rPr>
          <w:rFonts w:ascii="Arial Narrow" w:hAnsi="Arial Narrow" w:cs="Arial"/>
          <w:color w:val="000000"/>
          <w:sz w:val="24"/>
          <w:szCs w:val="24"/>
        </w:rPr>
        <w:t xml:space="preserve"> contar con apropiación del quince por ciento (15%) en la vigencia fiscal en la que estas sean autorizadas</w:t>
      </w:r>
      <w:r w:rsidR="00524D12" w:rsidRPr="00D87C3F">
        <w:rPr>
          <w:rFonts w:ascii="Arial Narrow" w:hAnsi="Arial Narrow" w:cs="Arial"/>
          <w:color w:val="000000"/>
          <w:sz w:val="24"/>
          <w:szCs w:val="24"/>
        </w:rPr>
        <w:t>.</w:t>
      </w:r>
      <w:r w:rsidR="00452A23" w:rsidRPr="00D87C3F">
        <w:rPr>
          <w:rFonts w:ascii="Arial Narrow" w:hAnsi="Arial Narrow" w:cs="Arial"/>
          <w:color w:val="000000"/>
          <w:sz w:val="24"/>
          <w:szCs w:val="24"/>
        </w:rPr>
        <w:t xml:space="preserve"> </w:t>
      </w:r>
    </w:p>
    <w:p w:rsidR="00452A23" w:rsidRPr="00D87C3F" w:rsidRDefault="00452A23" w:rsidP="007E699E">
      <w:pPr>
        <w:spacing w:line="240" w:lineRule="auto"/>
        <w:ind w:right="-518"/>
        <w:jc w:val="both"/>
        <w:rPr>
          <w:rFonts w:ascii="Arial Narrow" w:hAnsi="Arial Narrow" w:cs="Arial"/>
          <w:color w:val="000000"/>
          <w:sz w:val="24"/>
          <w:szCs w:val="24"/>
        </w:rPr>
      </w:pPr>
      <w:r w:rsidRPr="00D87C3F">
        <w:rPr>
          <w:rFonts w:ascii="Arial Narrow" w:hAnsi="Arial Narrow" w:cs="Arial"/>
          <w:color w:val="000000"/>
          <w:sz w:val="24"/>
          <w:szCs w:val="24"/>
        </w:rPr>
        <w:t>c) Cuando se trate de proyectos de inversión nacional deberá obtenerse el concepto previo y favorable del Departamento Nacional de Planeación y del Ministerio del ramo.</w:t>
      </w:r>
    </w:p>
    <w:p w:rsidR="00676DDE" w:rsidRPr="00D87C3F" w:rsidRDefault="00676DDE" w:rsidP="007E699E">
      <w:pPr>
        <w:spacing w:line="240" w:lineRule="auto"/>
        <w:ind w:right="-518"/>
        <w:jc w:val="both"/>
        <w:rPr>
          <w:rFonts w:ascii="Arial Narrow" w:hAnsi="Arial Narrow" w:cs="Arial"/>
          <w:color w:val="000000"/>
          <w:sz w:val="24"/>
          <w:szCs w:val="24"/>
        </w:rPr>
      </w:pPr>
    </w:p>
    <w:p w:rsidR="002C048B" w:rsidRPr="00D87C3F" w:rsidRDefault="002B0E23" w:rsidP="007E699E">
      <w:pPr>
        <w:spacing w:line="240" w:lineRule="auto"/>
        <w:ind w:right="-518"/>
        <w:jc w:val="both"/>
        <w:rPr>
          <w:rFonts w:ascii="Arial Narrow" w:hAnsi="Arial Narrow" w:cs="Arial"/>
          <w:b/>
          <w:sz w:val="24"/>
          <w:szCs w:val="24"/>
        </w:rPr>
      </w:pPr>
      <w:r w:rsidRPr="00D87C3F">
        <w:rPr>
          <w:rFonts w:ascii="Arial Narrow" w:hAnsi="Arial Narrow" w:cs="Arial"/>
          <w:b/>
          <w:sz w:val="24"/>
          <w:szCs w:val="24"/>
        </w:rPr>
        <w:t>2</w:t>
      </w:r>
      <w:r w:rsidR="00436456" w:rsidRPr="00D87C3F">
        <w:rPr>
          <w:rFonts w:ascii="Arial Narrow" w:hAnsi="Arial Narrow" w:cs="Arial"/>
          <w:b/>
          <w:sz w:val="24"/>
          <w:szCs w:val="24"/>
        </w:rPr>
        <w:t xml:space="preserve">.2 </w:t>
      </w:r>
      <w:r w:rsidR="002C048B" w:rsidRPr="00D87C3F">
        <w:rPr>
          <w:rFonts w:ascii="Arial Narrow" w:hAnsi="Arial Narrow" w:cs="Arial"/>
          <w:b/>
          <w:sz w:val="24"/>
          <w:szCs w:val="24"/>
        </w:rPr>
        <w:t>VIGENCIAS FUTURAS EXCEPCIONALES</w:t>
      </w:r>
      <w:r w:rsidR="00524D12" w:rsidRPr="00D87C3F">
        <w:rPr>
          <w:rFonts w:ascii="Arial Narrow" w:hAnsi="Arial Narrow" w:cs="Arial"/>
          <w:b/>
          <w:sz w:val="24"/>
          <w:szCs w:val="24"/>
        </w:rPr>
        <w:t>.</w:t>
      </w:r>
    </w:p>
    <w:p w:rsidR="002C048B" w:rsidRPr="00D87C3F" w:rsidRDefault="00E27AB6" w:rsidP="007E699E">
      <w:pPr>
        <w:spacing w:line="240" w:lineRule="auto"/>
        <w:ind w:right="-518"/>
        <w:jc w:val="both"/>
        <w:rPr>
          <w:rFonts w:ascii="Arial Narrow" w:hAnsi="Arial Narrow" w:cs="Arial"/>
          <w:sz w:val="24"/>
          <w:szCs w:val="24"/>
        </w:rPr>
      </w:pPr>
      <w:r w:rsidRPr="00D87C3F">
        <w:rPr>
          <w:rFonts w:ascii="Arial Narrow" w:hAnsi="Arial Narrow" w:cs="Arial"/>
          <w:sz w:val="24"/>
          <w:szCs w:val="24"/>
        </w:rPr>
        <w:t xml:space="preserve"> </w:t>
      </w:r>
      <w:r w:rsidR="00676DDE" w:rsidRPr="00D87C3F">
        <w:rPr>
          <w:rFonts w:ascii="Arial Narrow" w:hAnsi="Arial Narrow" w:cs="Arial"/>
          <w:sz w:val="24"/>
          <w:szCs w:val="24"/>
        </w:rPr>
        <w:t xml:space="preserve">La Procuraduría General de la Nación </w:t>
      </w:r>
      <w:r w:rsidR="00524D12" w:rsidRPr="00D87C3F">
        <w:rPr>
          <w:rFonts w:ascii="Arial Narrow" w:hAnsi="Arial Narrow" w:cs="Arial"/>
          <w:sz w:val="24"/>
          <w:szCs w:val="24"/>
        </w:rPr>
        <w:t>coincide en señalar “…que los</w:t>
      </w:r>
      <w:r w:rsidR="002C048B" w:rsidRPr="00D87C3F">
        <w:rPr>
          <w:rFonts w:ascii="Arial Narrow" w:hAnsi="Arial Narrow" w:cs="Arial"/>
          <w:sz w:val="24"/>
          <w:szCs w:val="24"/>
        </w:rPr>
        <w:t xml:space="preserve"> compromisos que afecten el presupuesto de vigencias futuras sin apropiación en el presupuesto del año en que se concede la autorización</w:t>
      </w:r>
      <w:r w:rsidR="00524D12" w:rsidRPr="00D87C3F">
        <w:rPr>
          <w:rFonts w:ascii="Arial Narrow" w:hAnsi="Arial Narrow" w:cs="Arial"/>
          <w:sz w:val="24"/>
          <w:szCs w:val="24"/>
        </w:rPr>
        <w:t>,</w:t>
      </w:r>
      <w:r w:rsidR="002C048B" w:rsidRPr="00D87C3F">
        <w:rPr>
          <w:rFonts w:ascii="Arial Narrow" w:hAnsi="Arial Narrow" w:cs="Arial"/>
          <w:sz w:val="24"/>
          <w:szCs w:val="24"/>
        </w:rPr>
        <w:t xml:space="preserve"> en casos excepcionales</w:t>
      </w:r>
      <w:r w:rsidR="00524D12" w:rsidRPr="00D87C3F">
        <w:rPr>
          <w:rFonts w:ascii="Arial Narrow" w:hAnsi="Arial Narrow" w:cs="Arial"/>
          <w:sz w:val="24"/>
          <w:szCs w:val="24"/>
        </w:rPr>
        <w:t xml:space="preserve"> se podrán aprobar</w:t>
      </w:r>
      <w:r w:rsidR="002C048B" w:rsidRPr="00D87C3F">
        <w:rPr>
          <w:rFonts w:ascii="Arial Narrow" w:hAnsi="Arial Narrow" w:cs="Arial"/>
          <w:sz w:val="24"/>
          <w:szCs w:val="24"/>
        </w:rPr>
        <w:t xml:space="preserve"> para obras de infraestructura, energía, comunicaciones, aeronáutica, defensa y seguridad, así como para </w:t>
      </w:r>
      <w:r w:rsidR="009F4B0F" w:rsidRPr="00D87C3F">
        <w:rPr>
          <w:rFonts w:ascii="Arial Narrow" w:hAnsi="Arial Narrow" w:cs="Arial"/>
          <w:sz w:val="24"/>
          <w:szCs w:val="24"/>
        </w:rPr>
        <w:t>las garantías a las concesiones”</w:t>
      </w:r>
      <w:r w:rsidR="009F4B0F" w:rsidRPr="00D87C3F">
        <w:rPr>
          <w:rStyle w:val="Refdenotaalpie"/>
          <w:rFonts w:ascii="Arial Narrow" w:hAnsi="Arial Narrow" w:cs="Arial"/>
          <w:sz w:val="24"/>
          <w:szCs w:val="24"/>
        </w:rPr>
        <w:footnoteReference w:id="8"/>
      </w:r>
    </w:p>
    <w:p w:rsidR="002C048B" w:rsidRPr="00D87C3F" w:rsidRDefault="009F4B0F" w:rsidP="007E699E">
      <w:pPr>
        <w:spacing w:line="240" w:lineRule="auto"/>
        <w:ind w:right="-518"/>
        <w:jc w:val="both"/>
        <w:rPr>
          <w:rFonts w:ascii="Arial Narrow" w:hAnsi="Arial Narrow"/>
          <w:i/>
          <w:iCs/>
          <w:sz w:val="24"/>
          <w:szCs w:val="24"/>
          <w:lang w:val="es-ES_tradnl"/>
        </w:rPr>
      </w:pPr>
      <w:r w:rsidRPr="00D87C3F">
        <w:rPr>
          <w:rFonts w:ascii="Arial Narrow" w:hAnsi="Arial Narrow"/>
          <w:sz w:val="24"/>
          <w:szCs w:val="24"/>
          <w:lang w:val="es-ES_tradnl"/>
        </w:rPr>
        <w:t xml:space="preserve">La </w:t>
      </w:r>
      <w:r w:rsidR="002C048B" w:rsidRPr="00D87C3F">
        <w:rPr>
          <w:rFonts w:ascii="Arial Narrow" w:hAnsi="Arial Narrow"/>
          <w:sz w:val="24"/>
          <w:szCs w:val="24"/>
          <w:lang w:val="es-ES_tradnl"/>
        </w:rPr>
        <w:t>Corte Consti</w:t>
      </w:r>
      <w:r w:rsidR="00C11A3E" w:rsidRPr="00D87C3F">
        <w:rPr>
          <w:rFonts w:ascii="Arial Narrow" w:hAnsi="Arial Narrow"/>
          <w:sz w:val="24"/>
          <w:szCs w:val="24"/>
          <w:lang w:val="es-ES_tradnl"/>
        </w:rPr>
        <w:t>tucional</w:t>
      </w:r>
      <w:r w:rsidR="002D4C79" w:rsidRPr="00D87C3F">
        <w:rPr>
          <w:rFonts w:ascii="Arial Narrow" w:hAnsi="Arial Narrow"/>
          <w:sz w:val="24"/>
          <w:szCs w:val="24"/>
          <w:lang w:val="es-ES_tradnl"/>
        </w:rPr>
        <w:t xml:space="preserve"> en </w:t>
      </w:r>
      <w:r w:rsidR="00A03699" w:rsidRPr="00D87C3F">
        <w:rPr>
          <w:rFonts w:ascii="Arial Narrow" w:hAnsi="Arial Narrow"/>
          <w:sz w:val="24"/>
          <w:szCs w:val="24"/>
          <w:lang w:val="es-ES_tradnl"/>
        </w:rPr>
        <w:t>reiterada</w:t>
      </w:r>
      <w:r w:rsidR="002D4C79" w:rsidRPr="00D87C3F">
        <w:rPr>
          <w:rFonts w:ascii="Arial Narrow" w:hAnsi="Arial Narrow"/>
          <w:sz w:val="24"/>
          <w:szCs w:val="24"/>
          <w:lang w:val="es-ES_tradnl"/>
        </w:rPr>
        <w:t xml:space="preserve"> jurisprudencia se ha referido a esta figura, a saber: </w:t>
      </w:r>
      <w:r w:rsidRPr="00D87C3F">
        <w:rPr>
          <w:rFonts w:ascii="Arial Narrow" w:hAnsi="Arial Narrow"/>
          <w:sz w:val="24"/>
          <w:szCs w:val="24"/>
          <w:lang w:val="es-ES_tradnl"/>
        </w:rPr>
        <w:t xml:space="preserve">la </w:t>
      </w:r>
      <w:r w:rsidR="002D4C79" w:rsidRPr="00D87C3F">
        <w:rPr>
          <w:rFonts w:ascii="Arial Narrow" w:hAnsi="Arial Narrow"/>
          <w:sz w:val="24"/>
          <w:szCs w:val="24"/>
          <w:lang w:val="es-ES_tradnl"/>
        </w:rPr>
        <w:t>S</w:t>
      </w:r>
      <w:r w:rsidR="00C11A3E" w:rsidRPr="00D87C3F">
        <w:rPr>
          <w:rFonts w:ascii="Arial Narrow" w:hAnsi="Arial Narrow"/>
          <w:sz w:val="24"/>
          <w:szCs w:val="24"/>
          <w:lang w:val="es-ES_tradnl"/>
        </w:rPr>
        <w:t>entencia C 023</w:t>
      </w:r>
      <w:r w:rsidR="002D4C79" w:rsidRPr="00D87C3F">
        <w:rPr>
          <w:rFonts w:ascii="Arial Narrow" w:hAnsi="Arial Narrow"/>
          <w:sz w:val="24"/>
          <w:szCs w:val="24"/>
          <w:lang w:val="es-ES_tradnl"/>
        </w:rPr>
        <w:t xml:space="preserve">/96 </w:t>
      </w:r>
      <w:r w:rsidR="00A5045C" w:rsidRPr="00D87C3F">
        <w:rPr>
          <w:rFonts w:ascii="Arial Narrow" w:hAnsi="Arial Narrow"/>
          <w:color w:val="000000" w:themeColor="text1"/>
          <w:sz w:val="24"/>
          <w:szCs w:val="24"/>
          <w:lang w:val="es-ES_tradnl"/>
        </w:rPr>
        <w:t>en la cual señala</w:t>
      </w:r>
      <w:r w:rsidR="002D4C79" w:rsidRPr="00D87C3F">
        <w:rPr>
          <w:rFonts w:ascii="Arial Narrow" w:hAnsi="Arial Narrow"/>
          <w:color w:val="000000" w:themeColor="text1"/>
          <w:sz w:val="24"/>
          <w:szCs w:val="24"/>
          <w:lang w:val="es-ES_tradnl"/>
        </w:rPr>
        <w:t xml:space="preserve"> </w:t>
      </w:r>
      <w:r w:rsidR="002D4C79" w:rsidRPr="00D87C3F">
        <w:rPr>
          <w:rFonts w:ascii="Arial Narrow" w:hAnsi="Arial Narrow"/>
          <w:i/>
          <w:iCs/>
          <w:sz w:val="24"/>
          <w:szCs w:val="24"/>
          <w:lang w:val="es-ES_tradnl"/>
        </w:rPr>
        <w:t>“</w:t>
      </w:r>
      <w:r w:rsidR="002C048B" w:rsidRPr="00D87C3F">
        <w:rPr>
          <w:rFonts w:ascii="Arial Narrow" w:hAnsi="Arial Narrow"/>
          <w:i/>
          <w:iCs/>
          <w:sz w:val="24"/>
          <w:szCs w:val="24"/>
          <w:lang w:val="es-ES_tradnl"/>
        </w:rPr>
        <w:t xml:space="preserve">la administración puede asumir compromisos que, por su magnitud o por su costo, deban cumplirse durante varios años, es decir, bajo la vigencia de diversos presupuestos sucesivos. Por ello, el artículo </w:t>
      </w:r>
      <w:r w:rsidR="002D4C79" w:rsidRPr="00D87C3F">
        <w:rPr>
          <w:rFonts w:ascii="Arial Narrow" w:hAnsi="Arial Narrow"/>
          <w:i/>
          <w:iCs/>
          <w:sz w:val="24"/>
          <w:szCs w:val="24"/>
          <w:lang w:val="es-ES_tradnl"/>
        </w:rPr>
        <w:t xml:space="preserve">[9] </w:t>
      </w:r>
      <w:r w:rsidR="002C048B" w:rsidRPr="00D87C3F">
        <w:rPr>
          <w:rFonts w:ascii="Arial Narrow" w:hAnsi="Arial Narrow"/>
          <w:i/>
          <w:iCs/>
          <w:sz w:val="24"/>
          <w:szCs w:val="24"/>
          <w:lang w:val="es-ES_tradnl"/>
        </w:rPr>
        <w:t xml:space="preserve">acusado establece una serie de previsiones, como estas: la autorización de la Dirección General del Presupuesto Nacional del Ministerio de Hacienda y Crédito Público; la inclusión, por parte de este Ministerio, en el proyecto de presupuesto, de las asignaciones necesarias; la autorización de los Concejos, las Asambleas, etc., en lo que les compete; la obligación de presentar, en el proyecto de presupuesto anual, un articulado sobre la asunción de compromisos para vigencias futuras. </w:t>
      </w:r>
    </w:p>
    <w:p w:rsidR="00A03699" w:rsidRPr="00D87C3F" w:rsidRDefault="002D4C79" w:rsidP="007E699E">
      <w:pPr>
        <w:spacing w:line="240" w:lineRule="auto"/>
        <w:ind w:right="-518"/>
        <w:jc w:val="both"/>
        <w:rPr>
          <w:rFonts w:ascii="Arial Narrow" w:hAnsi="Arial Narrow"/>
          <w:sz w:val="24"/>
          <w:szCs w:val="24"/>
        </w:rPr>
      </w:pPr>
      <w:r w:rsidRPr="00D87C3F">
        <w:rPr>
          <w:rFonts w:ascii="Arial Narrow" w:hAnsi="Arial Narrow"/>
          <w:iCs/>
          <w:sz w:val="24"/>
          <w:szCs w:val="24"/>
          <w:lang w:val="es-ES_tradnl"/>
        </w:rPr>
        <w:t>Por</w:t>
      </w:r>
      <w:r w:rsidRPr="00D87C3F">
        <w:rPr>
          <w:rFonts w:ascii="Arial Narrow" w:hAnsi="Arial Narrow"/>
          <w:i/>
          <w:iCs/>
          <w:sz w:val="24"/>
          <w:szCs w:val="24"/>
          <w:lang w:val="es-ES_tradnl"/>
        </w:rPr>
        <w:t xml:space="preserve"> </w:t>
      </w:r>
      <w:r w:rsidRPr="00D87C3F">
        <w:rPr>
          <w:rFonts w:ascii="Arial Narrow" w:hAnsi="Arial Narrow"/>
          <w:iCs/>
          <w:sz w:val="24"/>
          <w:szCs w:val="24"/>
          <w:lang w:val="es-ES_tradnl"/>
        </w:rPr>
        <w:t xml:space="preserve">su parte </w:t>
      </w:r>
      <w:r w:rsidR="00A5045C" w:rsidRPr="00D87C3F">
        <w:rPr>
          <w:rFonts w:ascii="Arial Narrow" w:hAnsi="Arial Narrow"/>
          <w:iCs/>
          <w:sz w:val="24"/>
          <w:szCs w:val="24"/>
          <w:lang w:val="es-ES_tradnl"/>
        </w:rPr>
        <w:t xml:space="preserve">en </w:t>
      </w:r>
      <w:r w:rsidRPr="00D87C3F">
        <w:rPr>
          <w:rFonts w:ascii="Arial Narrow" w:hAnsi="Arial Narrow"/>
          <w:iCs/>
          <w:sz w:val="24"/>
          <w:szCs w:val="24"/>
          <w:lang w:val="es-ES_tradnl"/>
        </w:rPr>
        <w:t xml:space="preserve">la </w:t>
      </w:r>
      <w:r w:rsidR="002C048B" w:rsidRPr="00D87C3F">
        <w:rPr>
          <w:rFonts w:ascii="Arial Narrow" w:hAnsi="Arial Narrow"/>
          <w:iCs/>
          <w:sz w:val="24"/>
          <w:szCs w:val="24"/>
          <w:lang w:val="es-ES_tradnl"/>
        </w:rPr>
        <w:t>Sentencia C-337 de 1993, la Corte declaró exequible</w:t>
      </w:r>
      <w:r w:rsidR="002C048B" w:rsidRPr="00D87C3F">
        <w:rPr>
          <w:rFonts w:ascii="Arial Narrow" w:hAnsi="Arial Narrow"/>
          <w:i/>
          <w:iCs/>
          <w:sz w:val="24"/>
          <w:szCs w:val="24"/>
          <w:lang w:val="es-ES_tradnl"/>
        </w:rPr>
        <w:t xml:space="preserve"> </w:t>
      </w:r>
      <w:r w:rsidRPr="00D87C3F">
        <w:rPr>
          <w:rFonts w:ascii="Arial Narrow" w:hAnsi="Arial Narrow"/>
          <w:i/>
          <w:iCs/>
          <w:sz w:val="24"/>
          <w:szCs w:val="24"/>
          <w:lang w:val="es-ES_tradnl"/>
        </w:rPr>
        <w:t>“</w:t>
      </w:r>
      <w:r w:rsidR="002C048B" w:rsidRPr="00D87C3F">
        <w:rPr>
          <w:rFonts w:ascii="Arial Narrow" w:hAnsi="Arial Narrow"/>
          <w:i/>
          <w:iCs/>
          <w:sz w:val="24"/>
          <w:szCs w:val="24"/>
          <w:lang w:val="es-ES_tradnl"/>
        </w:rPr>
        <w:t>la celebración de compromisos que cubrieran varias vigencias fiscales, hecho que en sí mismo, no desconoce el principio de la anualidad que el demandante estima vulnerado, pues lo que se busca es aplicar un sistema presupuestal planificado, donde se prevean los recursos necesarios para llevar a cabo determinado compromiso sin afectar los posteriores. Por demás, la norma es necesaria en la ley anual por su relación c</w:t>
      </w:r>
      <w:r w:rsidRPr="00D87C3F">
        <w:rPr>
          <w:rFonts w:ascii="Arial Narrow" w:hAnsi="Arial Narrow"/>
          <w:i/>
          <w:iCs/>
          <w:sz w:val="24"/>
          <w:szCs w:val="24"/>
          <w:lang w:val="es-ES_tradnl"/>
        </w:rPr>
        <w:t>on la ejecución del presupuesto”</w:t>
      </w:r>
      <w:r w:rsidR="002C048B" w:rsidRPr="00D87C3F">
        <w:rPr>
          <w:rFonts w:ascii="Arial Narrow" w:hAnsi="Arial Narrow"/>
          <w:i/>
          <w:iCs/>
          <w:sz w:val="24"/>
          <w:szCs w:val="24"/>
          <w:lang w:val="es-ES_tradnl"/>
        </w:rPr>
        <w:t>.</w:t>
      </w:r>
    </w:p>
    <w:p w:rsidR="00A00C3A" w:rsidRDefault="00A00C3A" w:rsidP="007E699E">
      <w:pPr>
        <w:spacing w:line="240" w:lineRule="auto"/>
        <w:ind w:right="-518"/>
        <w:jc w:val="both"/>
        <w:rPr>
          <w:rFonts w:ascii="Arial Narrow" w:hAnsi="Arial Narrow"/>
          <w:sz w:val="24"/>
          <w:szCs w:val="24"/>
          <w:lang w:val="es-ES_tradnl"/>
        </w:rPr>
      </w:pPr>
    </w:p>
    <w:p w:rsidR="00C11A3E" w:rsidRPr="00D87C3F" w:rsidRDefault="00C11A3E" w:rsidP="007E699E">
      <w:pPr>
        <w:spacing w:line="240" w:lineRule="auto"/>
        <w:ind w:right="-518"/>
        <w:jc w:val="both"/>
        <w:rPr>
          <w:rFonts w:ascii="Arial Narrow" w:hAnsi="Arial Narrow"/>
          <w:sz w:val="24"/>
          <w:szCs w:val="24"/>
        </w:rPr>
      </w:pPr>
      <w:r w:rsidRPr="00D87C3F">
        <w:rPr>
          <w:rFonts w:ascii="Arial Narrow" w:hAnsi="Arial Narrow"/>
          <w:sz w:val="24"/>
          <w:szCs w:val="24"/>
          <w:lang w:val="es-ES_tradnl"/>
        </w:rPr>
        <w:t>En lo conc</w:t>
      </w:r>
      <w:r w:rsidR="00436456" w:rsidRPr="00D87C3F">
        <w:rPr>
          <w:rFonts w:ascii="Arial Narrow" w:hAnsi="Arial Narrow"/>
          <w:sz w:val="24"/>
          <w:szCs w:val="24"/>
          <w:lang w:val="es-ES_tradnl"/>
        </w:rPr>
        <w:t>erniente a</w:t>
      </w:r>
      <w:r w:rsidRPr="00D87C3F">
        <w:rPr>
          <w:rFonts w:ascii="Arial Narrow" w:hAnsi="Arial Narrow"/>
          <w:sz w:val="24"/>
          <w:szCs w:val="24"/>
          <w:lang w:val="es-ES_tradnl"/>
        </w:rPr>
        <w:t xml:space="preserve"> autorizaciones para la asunción de obligaciones que afecten </w:t>
      </w:r>
      <w:r w:rsidR="00436456" w:rsidRPr="00D87C3F">
        <w:rPr>
          <w:rFonts w:ascii="Arial Narrow" w:hAnsi="Arial Narrow"/>
          <w:sz w:val="24"/>
          <w:szCs w:val="24"/>
          <w:lang w:val="es-ES_tradnl"/>
        </w:rPr>
        <w:t>posteriores vigencias fiscales</w:t>
      </w:r>
      <w:r w:rsidRPr="00D87C3F">
        <w:rPr>
          <w:rFonts w:ascii="Arial Narrow" w:hAnsi="Arial Narrow"/>
          <w:sz w:val="24"/>
          <w:szCs w:val="24"/>
          <w:lang w:val="es-ES_tradnl"/>
        </w:rPr>
        <w:t xml:space="preserve">, la Ley 819 de 2003 </w:t>
      </w:r>
      <w:r w:rsidRPr="00D87C3F">
        <w:rPr>
          <w:rFonts w:ascii="Arial Narrow" w:hAnsi="Arial Narrow"/>
          <w:i/>
          <w:iCs/>
          <w:sz w:val="24"/>
          <w:szCs w:val="24"/>
          <w:lang w:val="es-ES_tradnl"/>
        </w:rPr>
        <w:t>“por la cual se dictan normas orgánicas en materia de presupuesto, responsabilidad y transparencia fiscal y se dictan otras disposiciones”</w:t>
      </w:r>
      <w:r w:rsidRPr="00D87C3F">
        <w:rPr>
          <w:rFonts w:ascii="Arial Narrow" w:hAnsi="Arial Narrow"/>
          <w:sz w:val="24"/>
          <w:szCs w:val="24"/>
          <w:lang w:val="es-ES_tradnl"/>
        </w:rPr>
        <w:t xml:space="preserve">, estableció </w:t>
      </w:r>
      <w:r w:rsidR="008E34AE" w:rsidRPr="00D87C3F">
        <w:rPr>
          <w:rFonts w:ascii="Arial Narrow" w:hAnsi="Arial Narrow"/>
          <w:sz w:val="24"/>
          <w:szCs w:val="24"/>
          <w:lang w:val="es-ES_tradnl"/>
        </w:rPr>
        <w:t>las normas</w:t>
      </w:r>
      <w:r w:rsidRPr="00D87C3F">
        <w:rPr>
          <w:rFonts w:ascii="Arial Narrow" w:hAnsi="Arial Narrow"/>
          <w:sz w:val="24"/>
          <w:szCs w:val="24"/>
          <w:lang w:val="es-ES_tradnl"/>
        </w:rPr>
        <w:t xml:space="preserve"> sobre las cuales dicha figura opera tanto en el nivel nacional como en el nivel territorial. En dicho contexto, </w:t>
      </w:r>
      <w:r w:rsidR="000A02EE" w:rsidRPr="00D87C3F">
        <w:rPr>
          <w:rFonts w:ascii="Arial Narrow" w:hAnsi="Arial Narrow"/>
          <w:sz w:val="24"/>
          <w:szCs w:val="24"/>
          <w:lang w:val="es-ES_tradnl"/>
        </w:rPr>
        <w:t>“</w:t>
      </w:r>
      <w:r w:rsidRPr="00D87C3F">
        <w:rPr>
          <w:rFonts w:ascii="Arial Narrow" w:hAnsi="Arial Narrow"/>
          <w:sz w:val="24"/>
          <w:szCs w:val="24"/>
          <w:lang w:val="es-ES_tradnl"/>
        </w:rPr>
        <w:t xml:space="preserve">el </w:t>
      </w:r>
      <w:r w:rsidRPr="00D87C3F">
        <w:rPr>
          <w:rFonts w:ascii="Arial Narrow" w:hAnsi="Arial Narrow"/>
          <w:b/>
          <w:sz w:val="24"/>
          <w:szCs w:val="24"/>
          <w:lang w:val="es-ES_tradnl"/>
        </w:rPr>
        <w:t>Congreso de la República es competente para la expedición de disposiciones a través de las cuales se regulen las autorizaciones de vigencias futuras</w:t>
      </w:r>
      <w:proofErr w:type="gramStart"/>
      <w:r w:rsidRPr="00D87C3F">
        <w:rPr>
          <w:rFonts w:ascii="Arial Narrow" w:hAnsi="Arial Narrow"/>
          <w:sz w:val="24"/>
          <w:szCs w:val="24"/>
          <w:lang w:val="es-ES_tradnl"/>
        </w:rPr>
        <w:t>.</w:t>
      </w:r>
      <w:r w:rsidR="00A03699" w:rsidRPr="00D87C3F">
        <w:rPr>
          <w:rFonts w:ascii="Arial Narrow" w:hAnsi="Arial Narrow"/>
          <w:sz w:val="24"/>
          <w:szCs w:val="24"/>
          <w:lang w:val="es-ES_tradnl"/>
        </w:rPr>
        <w:t>”</w:t>
      </w:r>
      <w:proofErr w:type="gramEnd"/>
      <w:r w:rsidR="00A03699" w:rsidRPr="00D87C3F">
        <w:rPr>
          <w:rStyle w:val="Refdenotaalpie"/>
          <w:rFonts w:ascii="Arial Narrow" w:hAnsi="Arial Narrow"/>
          <w:sz w:val="24"/>
          <w:szCs w:val="24"/>
          <w:lang w:val="es-ES_tradnl"/>
        </w:rPr>
        <w:footnoteReference w:id="9"/>
      </w:r>
      <w:r w:rsidR="008E34AE" w:rsidRPr="00D87C3F">
        <w:rPr>
          <w:rFonts w:ascii="Arial Narrow" w:hAnsi="Arial Narrow"/>
          <w:sz w:val="24"/>
          <w:szCs w:val="24"/>
          <w:lang w:val="es-ES_tradnl"/>
        </w:rPr>
        <w:t>(Negrilla fuera de texto).</w:t>
      </w:r>
    </w:p>
    <w:p w:rsidR="002C048B" w:rsidRPr="00D87C3F" w:rsidRDefault="002C048B" w:rsidP="007E699E">
      <w:pPr>
        <w:shd w:val="clear" w:color="auto" w:fill="FFFFFF"/>
        <w:spacing w:after="0" w:line="240" w:lineRule="auto"/>
        <w:ind w:right="-518"/>
        <w:jc w:val="both"/>
        <w:textAlignment w:val="baseline"/>
        <w:rPr>
          <w:rFonts w:ascii="Arial Narrow" w:eastAsia="Times New Roman" w:hAnsi="Arial Narrow" w:cs="Times New Roman"/>
          <w:b/>
          <w:bCs/>
          <w:sz w:val="24"/>
          <w:szCs w:val="24"/>
          <w:bdr w:val="none" w:sz="0" w:space="0" w:color="auto" w:frame="1"/>
          <w:lang w:eastAsia="es-CO"/>
        </w:rPr>
      </w:pPr>
    </w:p>
    <w:p w:rsidR="004F645D" w:rsidRPr="00D87C3F" w:rsidRDefault="009F4B0F" w:rsidP="007E699E">
      <w:pPr>
        <w:pStyle w:val="Prrafodelista"/>
        <w:numPr>
          <w:ilvl w:val="0"/>
          <w:numId w:val="2"/>
        </w:numPr>
        <w:shd w:val="clear" w:color="auto" w:fill="FFFFFF"/>
        <w:spacing w:after="0" w:line="240" w:lineRule="auto"/>
        <w:ind w:right="-518"/>
        <w:jc w:val="both"/>
        <w:textAlignment w:val="baseline"/>
        <w:rPr>
          <w:rFonts w:ascii="Arial Narrow" w:eastAsia="Times New Roman" w:hAnsi="Arial Narrow" w:cs="Times New Roman"/>
          <w:b/>
          <w:bCs/>
          <w:sz w:val="24"/>
          <w:szCs w:val="24"/>
          <w:bdr w:val="none" w:sz="0" w:space="0" w:color="auto" w:frame="1"/>
          <w:lang w:eastAsia="es-CO"/>
        </w:rPr>
      </w:pPr>
      <w:r w:rsidRPr="00D87C3F">
        <w:rPr>
          <w:rFonts w:ascii="Arial Narrow" w:eastAsia="Times New Roman" w:hAnsi="Arial Narrow" w:cs="Times New Roman"/>
          <w:b/>
          <w:bCs/>
          <w:sz w:val="24"/>
          <w:szCs w:val="24"/>
          <w:bdr w:val="none" w:sz="0" w:space="0" w:color="auto" w:frame="1"/>
          <w:lang w:eastAsia="es-CO"/>
        </w:rPr>
        <w:t xml:space="preserve">PRINCIPIO DE </w:t>
      </w:r>
      <w:r w:rsidR="008E34AE" w:rsidRPr="00D87C3F">
        <w:rPr>
          <w:rFonts w:ascii="Arial Narrow" w:eastAsia="Times New Roman" w:hAnsi="Arial Narrow" w:cs="Times New Roman"/>
          <w:b/>
          <w:bCs/>
          <w:sz w:val="24"/>
          <w:szCs w:val="24"/>
          <w:bdr w:val="none" w:sz="0" w:space="0" w:color="auto" w:frame="1"/>
          <w:lang w:eastAsia="es-CO"/>
        </w:rPr>
        <w:t xml:space="preserve">EQUILIBRIO Y </w:t>
      </w:r>
      <w:r w:rsidRPr="00D87C3F">
        <w:rPr>
          <w:rFonts w:ascii="Arial Narrow" w:eastAsia="Times New Roman" w:hAnsi="Arial Narrow" w:cs="Times New Roman"/>
          <w:b/>
          <w:bCs/>
          <w:sz w:val="24"/>
          <w:szCs w:val="24"/>
          <w:bdr w:val="none" w:sz="0" w:space="0" w:color="auto" w:frame="1"/>
          <w:lang w:eastAsia="es-CO"/>
        </w:rPr>
        <w:t>SEPARACIÓN DE PODERES.</w:t>
      </w:r>
    </w:p>
    <w:p w:rsidR="004F645D" w:rsidRPr="00D87C3F" w:rsidRDefault="004F645D" w:rsidP="007E699E">
      <w:pPr>
        <w:shd w:val="clear" w:color="auto" w:fill="FFFFFF"/>
        <w:spacing w:after="0" w:line="240" w:lineRule="auto"/>
        <w:ind w:right="-518"/>
        <w:jc w:val="both"/>
        <w:textAlignment w:val="baseline"/>
        <w:rPr>
          <w:rFonts w:ascii="Arial Narrow" w:eastAsia="Times New Roman" w:hAnsi="Arial Narrow" w:cs="Times New Roman"/>
          <w:b/>
          <w:bCs/>
          <w:sz w:val="24"/>
          <w:szCs w:val="24"/>
          <w:bdr w:val="none" w:sz="0" w:space="0" w:color="auto" w:frame="1"/>
          <w:lang w:eastAsia="es-CO"/>
        </w:rPr>
      </w:pPr>
    </w:p>
    <w:p w:rsidR="008E34AE" w:rsidRPr="00D87C3F" w:rsidRDefault="008E34AE" w:rsidP="007E699E">
      <w:pPr>
        <w:spacing w:line="240" w:lineRule="auto"/>
        <w:ind w:right="-518"/>
        <w:jc w:val="both"/>
        <w:rPr>
          <w:rFonts w:ascii="Arial Narrow" w:hAnsi="Arial Narrow"/>
          <w:sz w:val="24"/>
          <w:szCs w:val="24"/>
        </w:rPr>
      </w:pPr>
      <w:r w:rsidRPr="00D87C3F">
        <w:rPr>
          <w:rFonts w:ascii="Arial Narrow" w:hAnsi="Arial Narrow"/>
          <w:sz w:val="24"/>
          <w:szCs w:val="24"/>
        </w:rPr>
        <w:t xml:space="preserve">La modernidad es en el ámbito político la consagración de un tipo de institucionalidad que articula tres grandes vertientes, a saber, la antigua democracia griega, la república romana y la monarquía propia de los estados nación de la Europa decimonónica. En la lucha contra el absolutismo, que implicaba una concentración extrema del poder, la democracia moderna consagró el principio de separación de poderes a efectos de evitar el riesgo de que desde un solo lugar se hicieran las leyes, se gobernara y se hicieran justicia de modo simultaneo. Se trataba de un solo estado pero instituido en forma de tres poderes que, al tiempo, eran </w:t>
      </w:r>
      <w:r w:rsidR="00D138D9" w:rsidRPr="00D87C3F">
        <w:rPr>
          <w:rFonts w:ascii="Arial Narrow" w:hAnsi="Arial Narrow"/>
          <w:sz w:val="24"/>
          <w:szCs w:val="24"/>
        </w:rPr>
        <w:t>independientes,</w:t>
      </w:r>
      <w:r w:rsidRPr="00D87C3F">
        <w:rPr>
          <w:rFonts w:ascii="Arial Narrow" w:hAnsi="Arial Narrow"/>
          <w:sz w:val="24"/>
          <w:szCs w:val="24"/>
        </w:rPr>
        <w:t xml:space="preserve"> pero colaboran entre sí. Es el principio de pesos y contrapesos. </w:t>
      </w:r>
    </w:p>
    <w:p w:rsidR="008E34AE" w:rsidRPr="00D87C3F" w:rsidRDefault="008E34AE" w:rsidP="007E699E">
      <w:pPr>
        <w:spacing w:line="240" w:lineRule="auto"/>
        <w:ind w:right="-518"/>
        <w:jc w:val="both"/>
        <w:rPr>
          <w:rFonts w:ascii="Arial Narrow" w:hAnsi="Arial Narrow"/>
          <w:sz w:val="24"/>
          <w:szCs w:val="24"/>
        </w:rPr>
      </w:pPr>
      <w:r w:rsidRPr="00D87C3F">
        <w:rPr>
          <w:rFonts w:ascii="Arial Narrow" w:hAnsi="Arial Narrow"/>
          <w:sz w:val="24"/>
          <w:szCs w:val="24"/>
        </w:rPr>
        <w:t xml:space="preserve">Allí reside el secreto de la democracia moderna, amén de consagrar el origen popular de todas las instituciones, esto es </w:t>
      </w:r>
      <w:r w:rsidR="000A02EE" w:rsidRPr="00D87C3F">
        <w:rPr>
          <w:rFonts w:ascii="Arial Narrow" w:hAnsi="Arial Narrow"/>
          <w:sz w:val="24"/>
          <w:szCs w:val="24"/>
        </w:rPr>
        <w:t>la soberanía popular, consagrada</w:t>
      </w:r>
      <w:r w:rsidRPr="00D87C3F">
        <w:rPr>
          <w:rFonts w:ascii="Arial Narrow" w:hAnsi="Arial Narrow"/>
          <w:sz w:val="24"/>
          <w:szCs w:val="24"/>
        </w:rPr>
        <w:t xml:space="preserve"> mediante el sufragio universal. La novedad radical de la democracia moderna es, igualmente, </w:t>
      </w:r>
      <w:r w:rsidRPr="00D87C3F">
        <w:rPr>
          <w:rFonts w:ascii="Arial Narrow" w:hAnsi="Arial Narrow"/>
          <w:sz w:val="24"/>
          <w:szCs w:val="24"/>
          <w:u w:val="single"/>
        </w:rPr>
        <w:t>el aserto según el cual es el parlamento donde reside la fuerza más relevante de la representación popular</w:t>
      </w:r>
      <w:r w:rsidRPr="00D87C3F">
        <w:rPr>
          <w:rFonts w:ascii="Arial Narrow" w:hAnsi="Arial Narrow"/>
          <w:sz w:val="24"/>
          <w:szCs w:val="24"/>
        </w:rPr>
        <w:t>, en tanto que el ejecutivo es una figura supérstite del viejo absolutismo monárquico. En algunas circunstancias la deriva de ello ha sido la república parlamentaria, o, en nuestro caso, una democracia presidencial en donde, en todo caso, es vital el poder del parlamento como cortapisa a los peligros de</w:t>
      </w:r>
      <w:r w:rsidR="000A02EE" w:rsidRPr="00D87C3F">
        <w:rPr>
          <w:rFonts w:ascii="Arial Narrow" w:hAnsi="Arial Narrow"/>
          <w:sz w:val="24"/>
          <w:szCs w:val="24"/>
        </w:rPr>
        <w:t>l</w:t>
      </w:r>
      <w:r w:rsidRPr="00D87C3F">
        <w:rPr>
          <w:rFonts w:ascii="Arial Narrow" w:hAnsi="Arial Narrow"/>
          <w:sz w:val="24"/>
          <w:szCs w:val="24"/>
        </w:rPr>
        <w:t xml:space="preserve"> cesarismo político. </w:t>
      </w:r>
    </w:p>
    <w:p w:rsidR="008E34AE" w:rsidRPr="00D87C3F" w:rsidRDefault="008E34AE" w:rsidP="007E699E">
      <w:pPr>
        <w:spacing w:line="240" w:lineRule="auto"/>
        <w:ind w:right="-518"/>
        <w:jc w:val="both"/>
        <w:rPr>
          <w:rFonts w:ascii="Arial Narrow" w:hAnsi="Arial Narrow"/>
          <w:sz w:val="24"/>
          <w:szCs w:val="24"/>
          <w:u w:val="single"/>
        </w:rPr>
      </w:pPr>
      <w:r w:rsidRPr="00D87C3F">
        <w:rPr>
          <w:rFonts w:ascii="Arial Narrow" w:hAnsi="Arial Narrow"/>
          <w:sz w:val="24"/>
          <w:szCs w:val="24"/>
        </w:rPr>
        <w:t xml:space="preserve">Y </w:t>
      </w:r>
      <w:r w:rsidR="000A02EE" w:rsidRPr="00D87C3F">
        <w:rPr>
          <w:rFonts w:ascii="Arial Narrow" w:hAnsi="Arial Narrow"/>
          <w:sz w:val="24"/>
          <w:szCs w:val="24"/>
        </w:rPr>
        <w:t xml:space="preserve">es </w:t>
      </w:r>
      <w:r w:rsidRPr="00D87C3F">
        <w:rPr>
          <w:rFonts w:ascii="Arial Narrow" w:hAnsi="Arial Narrow"/>
          <w:sz w:val="24"/>
          <w:szCs w:val="24"/>
        </w:rPr>
        <w:t xml:space="preserve">en este ejercicio de fortalecimiento del poder del parlamento donde surge con particular importancia el rol de dicha institución en lo concerniente a los temas de política económica y </w:t>
      </w:r>
      <w:proofErr w:type="gramStart"/>
      <w:r w:rsidRPr="00D87C3F">
        <w:rPr>
          <w:rFonts w:ascii="Arial Narrow" w:hAnsi="Arial Narrow"/>
          <w:sz w:val="24"/>
          <w:szCs w:val="24"/>
        </w:rPr>
        <w:t>presupuestario</w:t>
      </w:r>
      <w:proofErr w:type="gramEnd"/>
      <w:r w:rsidRPr="00D87C3F">
        <w:rPr>
          <w:rFonts w:ascii="Arial Narrow" w:hAnsi="Arial Narrow"/>
          <w:sz w:val="24"/>
          <w:szCs w:val="24"/>
        </w:rPr>
        <w:t>. Sin duda este es uno de los ámbitos en donde el equilibrio de poderes cobra mayor relevancia. Un poder ejecutivo omnímodo en materia económica es un riesgo total para la dem</w:t>
      </w:r>
      <w:r w:rsidR="000A02EE" w:rsidRPr="00D87C3F">
        <w:rPr>
          <w:rFonts w:ascii="Arial Narrow" w:hAnsi="Arial Narrow"/>
          <w:sz w:val="24"/>
          <w:szCs w:val="24"/>
        </w:rPr>
        <w:t xml:space="preserve">ocracia. </w:t>
      </w:r>
      <w:r w:rsidR="000A02EE" w:rsidRPr="00D87C3F">
        <w:rPr>
          <w:rFonts w:ascii="Arial Narrow" w:hAnsi="Arial Narrow"/>
          <w:sz w:val="24"/>
          <w:szCs w:val="24"/>
          <w:u w:val="single"/>
        </w:rPr>
        <w:t>Por eso nuestro proyecto</w:t>
      </w:r>
      <w:r w:rsidRPr="00D87C3F">
        <w:rPr>
          <w:rFonts w:ascii="Arial Narrow" w:hAnsi="Arial Narrow"/>
          <w:sz w:val="24"/>
          <w:szCs w:val="24"/>
          <w:u w:val="single"/>
        </w:rPr>
        <w:t xml:space="preserve"> va en la dirección de incrementar el peso del poder del Congreso en una materia absolutamente sensible, a saber, las llamadas vigencias futuras.</w:t>
      </w:r>
    </w:p>
    <w:p w:rsidR="004F645D" w:rsidRPr="00D87C3F" w:rsidRDefault="008E34AE" w:rsidP="007E699E">
      <w:pPr>
        <w:shd w:val="clear" w:color="auto" w:fill="FFFFFF"/>
        <w:spacing w:after="0" w:line="240" w:lineRule="auto"/>
        <w:ind w:right="-518"/>
        <w:jc w:val="both"/>
        <w:textAlignment w:val="baseline"/>
        <w:rPr>
          <w:rFonts w:ascii="Arial Narrow" w:eastAsia="Times New Roman" w:hAnsi="Arial Narrow" w:cs="Times New Roman"/>
          <w:sz w:val="24"/>
          <w:szCs w:val="24"/>
          <w:lang w:eastAsia="es-CO"/>
        </w:rPr>
      </w:pPr>
      <w:r w:rsidRPr="00D87C3F">
        <w:rPr>
          <w:rFonts w:ascii="Arial Narrow" w:eastAsia="Times New Roman" w:hAnsi="Arial Narrow" w:cs="Times New Roman"/>
          <w:sz w:val="24"/>
          <w:szCs w:val="24"/>
          <w:bdr w:val="none" w:sz="0" w:space="0" w:color="auto" w:frame="1"/>
          <w:lang w:eastAsia="es-CO"/>
        </w:rPr>
        <w:t xml:space="preserve"> </w:t>
      </w:r>
      <w:r w:rsidR="009F4B0F" w:rsidRPr="00D87C3F">
        <w:rPr>
          <w:rFonts w:ascii="Arial Narrow" w:eastAsia="Times New Roman" w:hAnsi="Arial Narrow" w:cs="Times New Roman"/>
          <w:sz w:val="24"/>
          <w:szCs w:val="24"/>
          <w:bdr w:val="none" w:sz="0" w:space="0" w:color="auto" w:frame="1"/>
          <w:lang w:eastAsia="es-CO"/>
        </w:rPr>
        <w:t>“</w:t>
      </w:r>
      <w:r w:rsidR="004F645D" w:rsidRPr="00D87C3F">
        <w:rPr>
          <w:rFonts w:ascii="Arial Narrow" w:eastAsia="Times New Roman" w:hAnsi="Arial Narrow" w:cs="Times New Roman"/>
          <w:sz w:val="24"/>
          <w:szCs w:val="24"/>
          <w:bdr w:val="none" w:sz="0" w:space="0" w:color="auto" w:frame="1"/>
          <w:lang w:eastAsia="es-CO"/>
        </w:rPr>
        <w:t>Conforme a lo dispuesto en el artículo 113 Superior, los órganos del Estado se hallan </w:t>
      </w:r>
      <w:r w:rsidR="004F645D" w:rsidRPr="00D87C3F">
        <w:rPr>
          <w:rFonts w:ascii="Arial Narrow" w:eastAsia="Times New Roman" w:hAnsi="Arial Narrow" w:cs="Times New Roman"/>
          <w:i/>
          <w:iCs/>
          <w:sz w:val="24"/>
          <w:szCs w:val="24"/>
          <w:bdr w:val="none" w:sz="0" w:space="0" w:color="auto" w:frame="1"/>
          <w:lang w:eastAsia="es-CO"/>
        </w:rPr>
        <w:t xml:space="preserve">separados funcionalmente </w:t>
      </w:r>
      <w:r w:rsidR="004F645D" w:rsidRPr="00D87C3F">
        <w:rPr>
          <w:rFonts w:ascii="Arial Narrow" w:eastAsia="Times New Roman" w:hAnsi="Arial Narrow" w:cs="Times New Roman"/>
          <w:sz w:val="24"/>
          <w:szCs w:val="24"/>
          <w:bdr w:val="none" w:sz="0" w:space="0" w:color="auto" w:frame="1"/>
          <w:lang w:eastAsia="es-CO"/>
        </w:rPr>
        <w:t>pero deben </w:t>
      </w:r>
      <w:r w:rsidR="004F645D" w:rsidRPr="00D87C3F">
        <w:rPr>
          <w:rFonts w:ascii="Arial Narrow" w:eastAsia="Times New Roman" w:hAnsi="Arial Narrow" w:cs="Times New Roman"/>
          <w:i/>
          <w:iCs/>
          <w:sz w:val="24"/>
          <w:szCs w:val="24"/>
          <w:bdr w:val="none" w:sz="0" w:space="0" w:color="auto" w:frame="1"/>
          <w:lang w:eastAsia="es-CO"/>
        </w:rPr>
        <w:t>colaborar de forma</w:t>
      </w:r>
      <w:r w:rsidR="004F645D" w:rsidRPr="00D87C3F">
        <w:rPr>
          <w:rFonts w:ascii="Arial Narrow" w:eastAsia="Times New Roman" w:hAnsi="Arial Narrow" w:cs="Times New Roman"/>
          <w:sz w:val="24"/>
          <w:szCs w:val="24"/>
          <w:bdr w:val="none" w:sz="0" w:space="0" w:color="auto" w:frame="1"/>
          <w:lang w:eastAsia="es-CO"/>
        </w:rPr>
        <w:t> </w:t>
      </w:r>
      <w:r w:rsidR="004F645D" w:rsidRPr="00D87C3F">
        <w:rPr>
          <w:rFonts w:ascii="Arial Narrow" w:eastAsia="Times New Roman" w:hAnsi="Arial Narrow" w:cs="Times New Roman"/>
          <w:i/>
          <w:iCs/>
          <w:sz w:val="24"/>
          <w:szCs w:val="24"/>
          <w:bdr w:val="none" w:sz="0" w:space="0" w:color="auto" w:frame="1"/>
          <w:lang w:eastAsia="es-CO"/>
        </w:rPr>
        <w:t>armónica</w:t>
      </w:r>
      <w:r w:rsidR="004F645D" w:rsidRPr="00D87C3F">
        <w:rPr>
          <w:rFonts w:ascii="Arial Narrow" w:eastAsia="Times New Roman" w:hAnsi="Arial Narrow" w:cs="Times New Roman"/>
          <w:sz w:val="24"/>
          <w:szCs w:val="24"/>
          <w:bdr w:val="none" w:sz="0" w:space="0" w:color="auto" w:frame="1"/>
          <w:lang w:eastAsia="es-CO"/>
        </w:rPr>
        <w:t> para realizar los fines del Estado (</w:t>
      </w:r>
      <w:proofErr w:type="spellStart"/>
      <w:r w:rsidR="004F645D" w:rsidRPr="00D87C3F">
        <w:rPr>
          <w:rFonts w:ascii="Arial Narrow" w:eastAsia="Times New Roman" w:hAnsi="Arial Narrow" w:cs="Times New Roman"/>
          <w:sz w:val="24"/>
          <w:szCs w:val="24"/>
          <w:bdr w:val="none" w:sz="0" w:space="0" w:color="auto" w:frame="1"/>
          <w:lang w:eastAsia="es-CO"/>
        </w:rPr>
        <w:t>CP</w:t>
      </w:r>
      <w:proofErr w:type="spellEnd"/>
      <w:r w:rsidR="004F645D" w:rsidRPr="00D87C3F">
        <w:rPr>
          <w:rFonts w:ascii="Arial Narrow" w:eastAsia="Times New Roman" w:hAnsi="Arial Narrow" w:cs="Times New Roman"/>
          <w:sz w:val="24"/>
          <w:szCs w:val="24"/>
          <w:bdr w:val="none" w:sz="0" w:space="0" w:color="auto" w:frame="1"/>
          <w:lang w:eastAsia="es-CO"/>
        </w:rPr>
        <w:t xml:space="preserve"> arts. 2 y 365). En cuanto hace a la separación funcional de los poderes y órganos del Estado, la jurisprudencia ha hecho hincapié en que su consagración es garantía del equilibrio y control entre los órganos del Estado: </w:t>
      </w:r>
    </w:p>
    <w:p w:rsidR="004F645D" w:rsidRPr="00D87C3F" w:rsidRDefault="004F645D" w:rsidP="007E699E">
      <w:pPr>
        <w:shd w:val="clear" w:color="auto" w:fill="FFFFFF"/>
        <w:spacing w:after="0" w:line="240" w:lineRule="auto"/>
        <w:ind w:right="-518"/>
        <w:jc w:val="both"/>
        <w:textAlignment w:val="baseline"/>
        <w:rPr>
          <w:rFonts w:ascii="Arial Narrow" w:eastAsia="Times New Roman" w:hAnsi="Arial Narrow" w:cs="Times New Roman"/>
          <w:sz w:val="24"/>
          <w:szCs w:val="24"/>
          <w:lang w:eastAsia="es-CO"/>
        </w:rPr>
      </w:pPr>
      <w:r w:rsidRPr="00D87C3F">
        <w:rPr>
          <w:rFonts w:ascii="Arial Narrow" w:eastAsia="Times New Roman" w:hAnsi="Arial Narrow" w:cs="Times New Roman"/>
          <w:sz w:val="24"/>
          <w:szCs w:val="24"/>
          <w:bdr w:val="none" w:sz="0" w:space="0" w:color="auto" w:frame="1"/>
          <w:lang w:eastAsia="es-CO"/>
        </w:rPr>
        <w:t> </w:t>
      </w:r>
    </w:p>
    <w:p w:rsidR="004F645D" w:rsidRPr="00D87C3F" w:rsidRDefault="004F645D" w:rsidP="007E699E">
      <w:pPr>
        <w:shd w:val="clear" w:color="auto" w:fill="FFFFFF"/>
        <w:spacing w:after="0" w:line="240" w:lineRule="auto"/>
        <w:ind w:left="567" w:right="-518"/>
        <w:jc w:val="both"/>
        <w:textAlignment w:val="baseline"/>
        <w:rPr>
          <w:rFonts w:ascii="Arial Narrow" w:eastAsia="Times New Roman" w:hAnsi="Arial Narrow" w:cs="Times New Roman"/>
          <w:sz w:val="24"/>
          <w:szCs w:val="24"/>
          <w:lang w:eastAsia="es-CO"/>
        </w:rPr>
      </w:pPr>
      <w:r w:rsidRPr="00D87C3F">
        <w:rPr>
          <w:rFonts w:ascii="Arial Narrow" w:eastAsia="Times New Roman" w:hAnsi="Arial Narrow" w:cs="Times New Roman"/>
          <w:sz w:val="24"/>
          <w:szCs w:val="24"/>
          <w:bdr w:val="none" w:sz="0" w:space="0" w:color="auto" w:frame="1"/>
          <w:lang w:eastAsia="es-CO"/>
        </w:rPr>
        <w:t xml:space="preserve">“La separación de poderes es también un mecanismo esencial para evitar la arbitrariedad, mantener el ejercicio de la autoridad dentro de los límites permitidos por la Carta y asegurar así la libertad y seguridad de los asociados. La lógica de este dispositivo, no por conocida deja de ser esencial: la división de la función pública entre diferentes ramas permite que el poder no descanse únicamente </w:t>
      </w:r>
      <w:r w:rsidRPr="00D87C3F">
        <w:rPr>
          <w:rFonts w:ascii="Arial Narrow" w:eastAsia="Times New Roman" w:hAnsi="Arial Narrow" w:cs="Times New Roman"/>
          <w:sz w:val="24"/>
          <w:szCs w:val="24"/>
          <w:bdr w:val="none" w:sz="0" w:space="0" w:color="auto" w:frame="1"/>
          <w:lang w:eastAsia="es-CO"/>
        </w:rPr>
        <w:lastRenderedPageBreak/>
        <w:t>en las manos de una sola persona o entidad, a fin de que los diversos órganos puedan controlarse recíprocamente. Esto significa que, como esta Corporación lo había señalado, la consagración de diversas ramas del poder y de órganos autónomos se lleva a cabo “con el propósito no sólo de buscar mayor eficiencia en el logro de los fines que le son propios, sino también, para que esas competencias así determinadas, en sus límites, se constituyeran en controles automáticos de las distintas ramas entre sí, y, para, según la afirmación clásica, defender la libertad del individuo y de la persona humana.” Por ello, como lo ha recordado esta Corte, “la separación de las ramas del poder público es inherente al régimen democrático y constituye uno de sus elementos procedimentales de legitimación”</w:t>
      </w:r>
      <w:r w:rsidR="00404756" w:rsidRPr="00D87C3F">
        <w:rPr>
          <w:rStyle w:val="Refdenotaalpie"/>
          <w:rFonts w:ascii="Arial Narrow" w:eastAsia="Times New Roman" w:hAnsi="Arial Narrow" w:cs="Times New Roman"/>
          <w:sz w:val="24"/>
          <w:szCs w:val="24"/>
          <w:bdr w:val="none" w:sz="0" w:space="0" w:color="auto" w:frame="1"/>
          <w:lang w:eastAsia="es-CO"/>
        </w:rPr>
        <w:footnoteReference w:id="10"/>
      </w:r>
      <w:r w:rsidRPr="00D87C3F">
        <w:rPr>
          <w:rFonts w:ascii="Arial Narrow" w:eastAsia="Times New Roman" w:hAnsi="Arial Narrow" w:cs="Times New Roman"/>
          <w:sz w:val="24"/>
          <w:szCs w:val="24"/>
          <w:bdr w:val="none" w:sz="0" w:space="0" w:color="auto" w:frame="1"/>
          <w:lang w:eastAsia="es-CO"/>
        </w:rPr>
        <w:t>.</w:t>
      </w:r>
    </w:p>
    <w:p w:rsidR="004F645D" w:rsidRPr="00D87C3F" w:rsidRDefault="004F645D" w:rsidP="007E699E">
      <w:pPr>
        <w:shd w:val="clear" w:color="auto" w:fill="FFFFFF"/>
        <w:spacing w:after="0" w:line="240" w:lineRule="auto"/>
        <w:ind w:right="-518"/>
        <w:jc w:val="both"/>
        <w:textAlignment w:val="baseline"/>
        <w:rPr>
          <w:rFonts w:ascii="Arial Narrow" w:eastAsia="Times New Roman" w:hAnsi="Arial Narrow" w:cs="Times New Roman"/>
          <w:sz w:val="24"/>
          <w:szCs w:val="24"/>
          <w:lang w:eastAsia="es-CO"/>
        </w:rPr>
      </w:pPr>
      <w:r w:rsidRPr="00D87C3F">
        <w:rPr>
          <w:rFonts w:ascii="Arial Narrow" w:eastAsia="Times New Roman" w:hAnsi="Arial Narrow" w:cs="Times New Roman"/>
          <w:sz w:val="24"/>
          <w:szCs w:val="24"/>
          <w:bdr w:val="none" w:sz="0" w:space="0" w:color="auto" w:frame="1"/>
          <w:lang w:eastAsia="es-CO"/>
        </w:rPr>
        <w:t> </w:t>
      </w:r>
    </w:p>
    <w:p w:rsidR="004F645D" w:rsidRPr="00D87C3F" w:rsidRDefault="004F645D" w:rsidP="007E699E">
      <w:pPr>
        <w:shd w:val="clear" w:color="auto" w:fill="FFFFFF"/>
        <w:spacing w:after="0" w:line="240" w:lineRule="auto"/>
        <w:ind w:right="-518"/>
        <w:jc w:val="both"/>
        <w:textAlignment w:val="baseline"/>
        <w:rPr>
          <w:rFonts w:ascii="Arial Narrow" w:eastAsia="Times New Roman" w:hAnsi="Arial Narrow" w:cs="Times New Roman"/>
          <w:sz w:val="24"/>
          <w:szCs w:val="24"/>
          <w:lang w:eastAsia="es-CO"/>
        </w:rPr>
      </w:pPr>
      <w:r w:rsidRPr="00D87C3F">
        <w:rPr>
          <w:rFonts w:ascii="Arial Narrow" w:eastAsia="Times New Roman" w:hAnsi="Arial Narrow" w:cs="Times New Roman"/>
          <w:sz w:val="24"/>
          <w:szCs w:val="24"/>
          <w:bdr w:val="none" w:sz="0" w:space="0" w:color="auto" w:frame="1"/>
          <w:lang w:eastAsia="es-CO"/>
        </w:rPr>
        <w:t>Si bien es cierto que el principio de separación de poderes es el fundamento para el reconocimiento de la necesaria independencia y autonomía de los diferentes órganos del Estado, a fin de que puedan cumplir cabalmente sus funciones, también lo es que dicho principio debe ser interpretado en función de su vinculación con el modelo trazado en el artículo 113 Superior, según el cual, cada uno de los órganos del poder público debe colaborar armónicamente para la consecución de los fines estatales. Colaboración armónica que no implica que determinada rama u órgano llegue a asumir la función de otro órgano, pues no debe olvidarse que cada uno de ellos ejerce funciones separadas</w:t>
      </w:r>
      <w:r w:rsidR="009F4B0F" w:rsidRPr="00D87C3F">
        <w:rPr>
          <w:rFonts w:ascii="Arial Narrow" w:eastAsia="Times New Roman" w:hAnsi="Arial Narrow" w:cs="Times New Roman"/>
          <w:sz w:val="24"/>
          <w:szCs w:val="24"/>
          <w:bdr w:val="none" w:sz="0" w:space="0" w:color="auto" w:frame="1"/>
          <w:lang w:eastAsia="es-CO"/>
        </w:rPr>
        <w:t>”</w:t>
      </w:r>
      <w:r w:rsidR="00404756" w:rsidRPr="00D87C3F">
        <w:rPr>
          <w:rStyle w:val="Refdenotaalpie"/>
          <w:rFonts w:ascii="Arial Narrow" w:eastAsia="Times New Roman" w:hAnsi="Arial Narrow" w:cs="Times New Roman"/>
          <w:sz w:val="24"/>
          <w:szCs w:val="24"/>
          <w:bdr w:val="none" w:sz="0" w:space="0" w:color="auto" w:frame="1"/>
          <w:lang w:eastAsia="es-CO"/>
        </w:rPr>
        <w:footnoteReference w:id="11"/>
      </w:r>
      <w:r w:rsidRPr="00D87C3F">
        <w:rPr>
          <w:rFonts w:ascii="Arial Narrow" w:eastAsia="Times New Roman" w:hAnsi="Arial Narrow" w:cs="Times New Roman"/>
          <w:sz w:val="24"/>
          <w:szCs w:val="24"/>
          <w:bdr w:val="none" w:sz="0" w:space="0" w:color="auto" w:frame="1"/>
          <w:lang w:eastAsia="es-CO"/>
        </w:rPr>
        <w:t>.</w:t>
      </w:r>
    </w:p>
    <w:p w:rsidR="004F645D" w:rsidRPr="00D87C3F" w:rsidRDefault="004F645D" w:rsidP="007E699E">
      <w:pPr>
        <w:shd w:val="clear" w:color="auto" w:fill="FFFFFF"/>
        <w:spacing w:after="0" w:line="240" w:lineRule="auto"/>
        <w:ind w:right="-518"/>
        <w:jc w:val="both"/>
        <w:textAlignment w:val="baseline"/>
        <w:rPr>
          <w:rFonts w:ascii="Arial Narrow" w:eastAsia="Times New Roman" w:hAnsi="Arial Narrow" w:cs="Times New Roman"/>
          <w:b/>
          <w:bCs/>
          <w:sz w:val="24"/>
          <w:szCs w:val="24"/>
          <w:bdr w:val="none" w:sz="0" w:space="0" w:color="auto" w:frame="1"/>
          <w:lang w:eastAsia="es-CO"/>
        </w:rPr>
      </w:pPr>
    </w:p>
    <w:p w:rsidR="000E7F33" w:rsidRPr="00D87C3F" w:rsidRDefault="00404756" w:rsidP="007E699E">
      <w:pPr>
        <w:pStyle w:val="Prrafodelista"/>
        <w:numPr>
          <w:ilvl w:val="0"/>
          <w:numId w:val="2"/>
        </w:numPr>
        <w:shd w:val="clear" w:color="auto" w:fill="FFFFFF"/>
        <w:spacing w:after="0" w:line="240" w:lineRule="auto"/>
        <w:ind w:right="-518"/>
        <w:jc w:val="both"/>
        <w:textAlignment w:val="baseline"/>
        <w:rPr>
          <w:rFonts w:ascii="Arial Narrow" w:eastAsia="Times New Roman" w:hAnsi="Arial Narrow" w:cs="Times New Roman"/>
          <w:sz w:val="24"/>
          <w:szCs w:val="24"/>
          <w:lang w:eastAsia="es-CO"/>
        </w:rPr>
      </w:pPr>
      <w:r w:rsidRPr="00D87C3F">
        <w:rPr>
          <w:rFonts w:ascii="Arial Narrow" w:eastAsia="Times New Roman" w:hAnsi="Arial Narrow" w:cs="Times New Roman"/>
          <w:b/>
          <w:bCs/>
          <w:sz w:val="24"/>
          <w:szCs w:val="24"/>
          <w:bdr w:val="none" w:sz="0" w:space="0" w:color="auto" w:frame="1"/>
          <w:lang w:eastAsia="es-CO"/>
        </w:rPr>
        <w:t>PRINCIPIO CONSTITUCIONAL DE LEGALIDAD DEL GASTO EN LA CONSTITUCIÓN Y EN LA JURISPRUDENCIA</w:t>
      </w:r>
    </w:p>
    <w:p w:rsidR="000E7F33" w:rsidRPr="00D87C3F" w:rsidRDefault="00404756" w:rsidP="007E699E">
      <w:pPr>
        <w:shd w:val="clear" w:color="auto" w:fill="FFFFFF"/>
        <w:spacing w:after="0" w:line="240" w:lineRule="auto"/>
        <w:ind w:right="-518"/>
        <w:jc w:val="both"/>
        <w:textAlignment w:val="baseline"/>
        <w:rPr>
          <w:rFonts w:ascii="Arial Narrow" w:eastAsia="Times New Roman" w:hAnsi="Arial Narrow" w:cs="Times New Roman"/>
          <w:sz w:val="24"/>
          <w:szCs w:val="24"/>
          <w:lang w:eastAsia="es-CO"/>
        </w:rPr>
      </w:pPr>
      <w:r w:rsidRPr="00D87C3F">
        <w:rPr>
          <w:rFonts w:ascii="Arial Narrow" w:eastAsia="Times New Roman" w:hAnsi="Arial Narrow" w:cs="Times New Roman"/>
          <w:sz w:val="24"/>
          <w:szCs w:val="24"/>
          <w:bdr w:val="none" w:sz="0" w:space="0" w:color="auto" w:frame="1"/>
          <w:lang w:eastAsia="es-CO"/>
        </w:rPr>
        <w:t> </w:t>
      </w:r>
    </w:p>
    <w:p w:rsidR="000E7F33" w:rsidRPr="00D87C3F" w:rsidRDefault="000E7F33" w:rsidP="007E699E">
      <w:pPr>
        <w:shd w:val="clear" w:color="auto" w:fill="FFFFFF"/>
        <w:spacing w:after="0" w:line="240" w:lineRule="auto"/>
        <w:ind w:right="-518"/>
        <w:jc w:val="both"/>
        <w:textAlignment w:val="baseline"/>
        <w:rPr>
          <w:rFonts w:ascii="Arial Narrow" w:eastAsia="Times New Roman" w:hAnsi="Arial Narrow" w:cs="Times New Roman"/>
          <w:sz w:val="24"/>
          <w:szCs w:val="24"/>
          <w:lang w:eastAsia="es-CO"/>
        </w:rPr>
      </w:pPr>
      <w:r w:rsidRPr="00D87C3F">
        <w:rPr>
          <w:rFonts w:ascii="Arial Narrow" w:eastAsia="Times New Roman" w:hAnsi="Arial Narrow" w:cs="Times New Roman"/>
          <w:sz w:val="24"/>
          <w:szCs w:val="24"/>
          <w:bdr w:val="none" w:sz="0" w:space="0" w:color="auto" w:frame="1"/>
          <w:lang w:eastAsia="es-CO"/>
        </w:rPr>
        <w:t>“Las normas contenidas en los artículos 345 y 346 de la Constitución Política, relativas al presupuesto, consagran el principio de legalidad del gasto según el cual </w:t>
      </w:r>
      <w:r w:rsidRPr="00D87C3F">
        <w:rPr>
          <w:rFonts w:ascii="Arial Narrow" w:eastAsia="Times New Roman" w:hAnsi="Arial Narrow" w:cs="Times New Roman"/>
          <w:i/>
          <w:iCs/>
          <w:sz w:val="24"/>
          <w:szCs w:val="24"/>
          <w:bdr w:val="none" w:sz="0" w:space="0" w:color="auto" w:frame="1"/>
          <w:lang w:eastAsia="es-CO"/>
        </w:rPr>
        <w:t>“corresponde al Congreso, como órgano de representación plural, decretar y autorizar los gastos del Estado, pues ello se considera un  mecanismo necesario de control al Ejecutivo y una expresión inevit</w:t>
      </w:r>
      <w:bookmarkStart w:id="0" w:name="_ftnref5"/>
      <w:r w:rsidR="00404756" w:rsidRPr="00D87C3F">
        <w:rPr>
          <w:rFonts w:ascii="Arial Narrow" w:eastAsia="Times New Roman" w:hAnsi="Arial Narrow" w:cs="Times New Roman"/>
          <w:i/>
          <w:iCs/>
          <w:sz w:val="24"/>
          <w:szCs w:val="24"/>
          <w:bdr w:val="none" w:sz="0" w:space="0" w:color="auto" w:frame="1"/>
          <w:lang w:eastAsia="es-CO"/>
        </w:rPr>
        <w:t>able del principio democrático”</w:t>
      </w:r>
      <w:bookmarkEnd w:id="0"/>
      <w:r w:rsidRPr="00D87C3F">
        <w:rPr>
          <w:rFonts w:ascii="Arial Narrow" w:eastAsia="Times New Roman" w:hAnsi="Arial Narrow" w:cs="Times New Roman"/>
          <w:i/>
          <w:iCs/>
          <w:sz w:val="24"/>
          <w:szCs w:val="24"/>
          <w:bdr w:val="none" w:sz="0" w:space="0" w:color="auto" w:frame="1"/>
          <w:lang w:eastAsia="es-CO"/>
        </w:rPr>
        <w:t> </w:t>
      </w:r>
      <w:r w:rsidRPr="00D87C3F">
        <w:rPr>
          <w:rFonts w:ascii="Arial Narrow" w:eastAsia="Times New Roman" w:hAnsi="Arial Narrow" w:cs="Times New Roman"/>
          <w:sz w:val="24"/>
          <w:szCs w:val="24"/>
          <w:bdr w:val="none" w:sz="0" w:space="0" w:color="auto" w:frame="1"/>
          <w:lang w:eastAsia="es-CO"/>
        </w:rPr>
        <w:t>Este principio, como lo ha puesto de presente la jurisprudencia de esta Corporación</w:t>
      </w:r>
      <w:bookmarkStart w:id="1" w:name="_ftnref6"/>
      <w:r w:rsidRPr="00D87C3F">
        <w:rPr>
          <w:rFonts w:ascii="Arial Narrow" w:eastAsia="Times New Roman" w:hAnsi="Arial Narrow" w:cs="Times New Roman"/>
          <w:sz w:val="24"/>
          <w:szCs w:val="24"/>
          <w:bdr w:val="none" w:sz="0" w:space="0" w:color="auto" w:frame="1"/>
          <w:lang w:eastAsia="es-CO"/>
        </w:rPr>
        <w:fldChar w:fldCharType="begin"/>
      </w:r>
      <w:r w:rsidRPr="00D87C3F">
        <w:rPr>
          <w:rFonts w:ascii="Arial Narrow" w:eastAsia="Times New Roman" w:hAnsi="Arial Narrow" w:cs="Times New Roman"/>
          <w:sz w:val="24"/>
          <w:szCs w:val="24"/>
          <w:bdr w:val="none" w:sz="0" w:space="0" w:color="auto" w:frame="1"/>
          <w:lang w:eastAsia="es-CO"/>
        </w:rPr>
        <w:instrText xml:space="preserve"> HYPERLINK "http://corteconstitucional.gov.co/relatoria/2001/C-442-01.htm" \l "_ftn6" \o "" </w:instrText>
      </w:r>
      <w:r w:rsidRPr="00D87C3F">
        <w:rPr>
          <w:rFonts w:ascii="Arial Narrow" w:eastAsia="Times New Roman" w:hAnsi="Arial Narrow" w:cs="Times New Roman"/>
          <w:sz w:val="24"/>
          <w:szCs w:val="24"/>
          <w:bdr w:val="none" w:sz="0" w:space="0" w:color="auto" w:frame="1"/>
          <w:lang w:eastAsia="es-CO"/>
        </w:rPr>
        <w:fldChar w:fldCharType="end"/>
      </w:r>
      <w:bookmarkEnd w:id="1"/>
      <w:r w:rsidRPr="00D87C3F">
        <w:rPr>
          <w:rFonts w:ascii="Arial Narrow" w:eastAsia="Times New Roman" w:hAnsi="Arial Narrow" w:cs="Times New Roman"/>
          <w:sz w:val="24"/>
          <w:szCs w:val="24"/>
          <w:bdr w:val="none" w:sz="0" w:space="0" w:color="auto" w:frame="1"/>
          <w:lang w:eastAsia="es-CO"/>
        </w:rPr>
        <w:t>, opera en dos momentos distintos del proceso presupuestal: uno primero, al elaborarse la ley anual, cuando sólo deben incorporarse en el proyecto respectivo aquellas erogaciones previamente decretadas por la ley (</w:t>
      </w:r>
      <w:proofErr w:type="spellStart"/>
      <w:r w:rsidRPr="00D87C3F">
        <w:rPr>
          <w:rFonts w:ascii="Arial Narrow" w:eastAsia="Times New Roman" w:hAnsi="Arial Narrow" w:cs="Times New Roman"/>
          <w:sz w:val="24"/>
          <w:szCs w:val="24"/>
          <w:bdr w:val="none" w:sz="0" w:space="0" w:color="auto" w:frame="1"/>
          <w:lang w:eastAsia="es-CO"/>
        </w:rPr>
        <w:t>CP</w:t>
      </w:r>
      <w:proofErr w:type="spellEnd"/>
      <w:r w:rsidRPr="00D87C3F">
        <w:rPr>
          <w:rFonts w:ascii="Arial Narrow" w:eastAsia="Times New Roman" w:hAnsi="Arial Narrow" w:cs="Times New Roman"/>
          <w:sz w:val="24"/>
          <w:szCs w:val="24"/>
          <w:bdr w:val="none" w:sz="0" w:space="0" w:color="auto" w:frame="1"/>
          <w:lang w:eastAsia="es-CO"/>
        </w:rPr>
        <w:t xml:space="preserve"> art. 346). Posteriormente, en la etapa de ejecución del presupuesto, el prin</w:t>
      </w:r>
      <w:r w:rsidR="0014324C" w:rsidRPr="00D87C3F">
        <w:rPr>
          <w:rFonts w:ascii="Arial Narrow" w:eastAsia="Times New Roman" w:hAnsi="Arial Narrow" w:cs="Times New Roman"/>
          <w:sz w:val="24"/>
          <w:szCs w:val="24"/>
          <w:bdr w:val="none" w:sz="0" w:space="0" w:color="auto" w:frame="1"/>
          <w:lang w:eastAsia="es-CO"/>
        </w:rPr>
        <w:t>cipio de legalidad [condiciona la efectividad de los gastos</w:t>
      </w:r>
      <w:r w:rsidRPr="00D87C3F">
        <w:rPr>
          <w:rFonts w:ascii="Arial Narrow" w:eastAsia="Times New Roman" w:hAnsi="Arial Narrow" w:cs="Times New Roman"/>
          <w:sz w:val="24"/>
          <w:szCs w:val="24"/>
          <w:bdr w:val="none" w:sz="0" w:space="0" w:color="auto" w:frame="1"/>
          <w:lang w:eastAsia="es-CO"/>
        </w:rPr>
        <w:t>,</w:t>
      </w:r>
      <w:r w:rsidR="000A02EE" w:rsidRPr="00D87C3F">
        <w:rPr>
          <w:rFonts w:ascii="Arial Narrow" w:eastAsia="Times New Roman" w:hAnsi="Arial Narrow" w:cs="Times New Roman"/>
          <w:sz w:val="24"/>
          <w:szCs w:val="24"/>
          <w:bdr w:val="none" w:sz="0" w:space="0" w:color="auto" w:frame="1"/>
          <w:lang w:eastAsia="es-CO"/>
        </w:rPr>
        <w:t xml:space="preserve"> a que</w:t>
      </w:r>
      <w:r w:rsidRPr="00D87C3F">
        <w:rPr>
          <w:rFonts w:ascii="Arial Narrow" w:eastAsia="Times New Roman" w:hAnsi="Arial Narrow" w:cs="Times New Roman"/>
          <w:sz w:val="24"/>
          <w:szCs w:val="24"/>
          <w:bdr w:val="none" w:sz="0" w:space="0" w:color="auto" w:frame="1"/>
          <w:lang w:eastAsia="es-CO"/>
        </w:rPr>
        <w:t xml:space="preserve"> las correspondientes partidas deben haber sido aprobadas por el Congreso al expedir la ley</w:t>
      </w:r>
      <w:r w:rsidR="0014324C" w:rsidRPr="00D87C3F">
        <w:rPr>
          <w:rFonts w:ascii="Arial Narrow" w:eastAsia="Times New Roman" w:hAnsi="Arial Narrow" w:cs="Times New Roman"/>
          <w:sz w:val="24"/>
          <w:szCs w:val="24"/>
          <w:bdr w:val="none" w:sz="0" w:space="0" w:color="auto" w:frame="1"/>
          <w:lang w:eastAsia="es-CO"/>
        </w:rPr>
        <w:t> anual</w:t>
      </w:r>
      <w:r w:rsidRPr="00D87C3F">
        <w:rPr>
          <w:rFonts w:ascii="Arial Narrow" w:eastAsia="Times New Roman" w:hAnsi="Arial Narrow" w:cs="Times New Roman"/>
          <w:sz w:val="24"/>
          <w:szCs w:val="24"/>
          <w:bdr w:val="none" w:sz="0" w:space="0" w:color="auto" w:frame="1"/>
          <w:lang w:eastAsia="es-CO"/>
        </w:rPr>
        <w:t xml:space="preserve"> de presupuesto (</w:t>
      </w:r>
      <w:proofErr w:type="spellStart"/>
      <w:r w:rsidRPr="00D87C3F">
        <w:rPr>
          <w:rFonts w:ascii="Arial Narrow" w:eastAsia="Times New Roman" w:hAnsi="Arial Narrow" w:cs="Times New Roman"/>
          <w:sz w:val="24"/>
          <w:szCs w:val="24"/>
          <w:bdr w:val="none" w:sz="0" w:space="0" w:color="auto" w:frame="1"/>
          <w:lang w:eastAsia="es-CO"/>
        </w:rPr>
        <w:t>C.P</w:t>
      </w:r>
      <w:proofErr w:type="spellEnd"/>
      <w:r w:rsidRPr="00D87C3F">
        <w:rPr>
          <w:rFonts w:ascii="Arial Narrow" w:eastAsia="Times New Roman" w:hAnsi="Arial Narrow" w:cs="Times New Roman"/>
          <w:sz w:val="24"/>
          <w:szCs w:val="24"/>
          <w:bdr w:val="none" w:sz="0" w:space="0" w:color="auto" w:frame="1"/>
          <w:lang w:eastAsia="es-CO"/>
        </w:rPr>
        <w:t xml:space="preserve"> art. 345). Finalmente, para verificar el principio de legalidad del gasto en esta fase de ejecución, la ley exige la constancia de disponibilidad presupuestal previa a la realización del mismo, la cual acredita no solamente la existencia de la partida correspondiente en la ley anual de presupuesto, sino la suficiencia de la misma al momento de hacer la erogación, es decir, que no se encuentre agotada</w:t>
      </w:r>
      <w:r w:rsidR="00A03699" w:rsidRPr="00D87C3F">
        <w:rPr>
          <w:rFonts w:ascii="Arial Narrow" w:eastAsia="Times New Roman" w:hAnsi="Arial Narrow" w:cs="Times New Roman"/>
          <w:sz w:val="24"/>
          <w:szCs w:val="24"/>
          <w:bdr w:val="none" w:sz="0" w:space="0" w:color="auto" w:frame="1"/>
          <w:lang w:eastAsia="es-CO"/>
        </w:rPr>
        <w:t>”</w:t>
      </w:r>
      <w:r w:rsidRPr="00D87C3F">
        <w:rPr>
          <w:rFonts w:ascii="Arial Narrow" w:eastAsia="Times New Roman" w:hAnsi="Arial Narrow" w:cs="Times New Roman"/>
          <w:sz w:val="24"/>
          <w:szCs w:val="24"/>
          <w:bdr w:val="none" w:sz="0" w:space="0" w:color="auto" w:frame="1"/>
          <w:lang w:eastAsia="es-CO"/>
        </w:rPr>
        <w:t>.</w:t>
      </w:r>
      <w:r w:rsidR="00A03699" w:rsidRPr="00D87C3F">
        <w:rPr>
          <w:rStyle w:val="Refdenotaalpie"/>
          <w:rFonts w:ascii="Arial Narrow" w:eastAsia="Times New Roman" w:hAnsi="Arial Narrow" w:cs="Times New Roman"/>
          <w:sz w:val="24"/>
          <w:szCs w:val="24"/>
          <w:bdr w:val="none" w:sz="0" w:space="0" w:color="auto" w:frame="1"/>
          <w:lang w:eastAsia="es-CO"/>
        </w:rPr>
        <w:footnoteReference w:id="12"/>
      </w:r>
    </w:p>
    <w:p w:rsidR="000E7F33" w:rsidRPr="00D87C3F" w:rsidRDefault="000E7F33" w:rsidP="007E699E">
      <w:pPr>
        <w:shd w:val="clear" w:color="auto" w:fill="FFFFFF"/>
        <w:spacing w:after="0" w:line="240" w:lineRule="auto"/>
        <w:ind w:right="-518"/>
        <w:jc w:val="both"/>
        <w:textAlignment w:val="baseline"/>
        <w:rPr>
          <w:rFonts w:ascii="Arial Narrow" w:eastAsia="Times New Roman" w:hAnsi="Arial Narrow" w:cs="Times New Roman"/>
          <w:sz w:val="24"/>
          <w:szCs w:val="24"/>
          <w:bdr w:val="none" w:sz="0" w:space="0" w:color="auto" w:frame="1"/>
          <w:lang w:eastAsia="es-CO"/>
        </w:rPr>
      </w:pPr>
    </w:p>
    <w:p w:rsidR="00A00C3A" w:rsidRDefault="00A03699" w:rsidP="007E699E">
      <w:pPr>
        <w:shd w:val="clear" w:color="auto" w:fill="FFFFFF"/>
        <w:spacing w:after="0" w:line="240" w:lineRule="auto"/>
        <w:ind w:right="-518"/>
        <w:jc w:val="both"/>
        <w:textAlignment w:val="baseline"/>
        <w:rPr>
          <w:rFonts w:ascii="Arial Narrow" w:eastAsia="Times New Roman" w:hAnsi="Arial Narrow" w:cs="Times New Roman"/>
          <w:sz w:val="24"/>
          <w:szCs w:val="24"/>
          <w:bdr w:val="none" w:sz="0" w:space="0" w:color="auto" w:frame="1"/>
          <w:lang w:eastAsia="es-CO"/>
        </w:rPr>
      </w:pPr>
      <w:r w:rsidRPr="00D87C3F">
        <w:rPr>
          <w:rFonts w:ascii="Arial Narrow" w:eastAsia="Times New Roman" w:hAnsi="Arial Narrow" w:cs="Times New Roman"/>
          <w:b/>
          <w:sz w:val="24"/>
          <w:szCs w:val="24"/>
          <w:bdr w:val="none" w:sz="0" w:space="0" w:color="auto" w:frame="1"/>
          <w:lang w:eastAsia="es-CO"/>
        </w:rPr>
        <w:t>“</w:t>
      </w:r>
      <w:r w:rsidR="000E7F33" w:rsidRPr="00D87C3F">
        <w:rPr>
          <w:rFonts w:ascii="Arial Narrow" w:eastAsia="Times New Roman" w:hAnsi="Arial Narrow" w:cs="Times New Roman"/>
          <w:b/>
          <w:sz w:val="24"/>
          <w:szCs w:val="24"/>
          <w:bdr w:val="none" w:sz="0" w:space="0" w:color="auto" w:frame="1"/>
          <w:lang w:eastAsia="es-CO"/>
        </w:rPr>
        <w:t>La filosofía que subyace en este principio constitucional de la legalidad del gasto, no es otro que el de permitir un medio de control político del órgano legislativo sobre el ejecutivo en materia presupuestal</w:t>
      </w:r>
      <w:r w:rsidR="006A4686" w:rsidRPr="00D87C3F">
        <w:rPr>
          <w:rFonts w:ascii="Arial Narrow" w:eastAsia="Times New Roman" w:hAnsi="Arial Narrow" w:cs="Times New Roman"/>
          <w:b/>
          <w:sz w:val="24"/>
          <w:szCs w:val="24"/>
          <w:bdr w:val="none" w:sz="0" w:space="0" w:color="auto" w:frame="1"/>
          <w:lang w:eastAsia="es-CO"/>
        </w:rPr>
        <w:t xml:space="preserve"> </w:t>
      </w:r>
      <w:r w:rsidR="000E7F33" w:rsidRPr="00D87C3F">
        <w:rPr>
          <w:rFonts w:ascii="Arial Narrow" w:eastAsia="Times New Roman" w:hAnsi="Arial Narrow" w:cs="Times New Roman"/>
          <w:b/>
          <w:sz w:val="24"/>
          <w:szCs w:val="24"/>
          <w:bdr w:val="none" w:sz="0" w:space="0" w:color="auto" w:frame="1"/>
          <w:lang w:eastAsia="es-CO"/>
        </w:rPr>
        <w:t xml:space="preserve">(Negrilla fuera del texto). </w:t>
      </w:r>
      <w:r w:rsidR="000E7F33" w:rsidRPr="00D87C3F">
        <w:rPr>
          <w:rFonts w:ascii="Arial Narrow" w:eastAsia="Times New Roman" w:hAnsi="Arial Narrow" w:cs="Times New Roman"/>
          <w:sz w:val="24"/>
          <w:szCs w:val="24"/>
          <w:bdr w:val="none" w:sz="0" w:space="0" w:color="auto" w:frame="1"/>
          <w:lang w:eastAsia="es-CO"/>
        </w:rPr>
        <w:t xml:space="preserve">Al aprobar la ley anual de presupuesto, el Congreso ejerce un poder de delimitación de la actividad del ejecutivo, que es de gran trascendencia dentro del contexto de los regímenes democráticos. El presupuesto es un instrumento de política macroeconómica, y en su formulación </w:t>
      </w:r>
    </w:p>
    <w:p w:rsidR="00A00C3A" w:rsidRDefault="00A00C3A" w:rsidP="007E699E">
      <w:pPr>
        <w:shd w:val="clear" w:color="auto" w:fill="FFFFFF"/>
        <w:spacing w:after="0" w:line="240" w:lineRule="auto"/>
        <w:ind w:right="-518"/>
        <w:jc w:val="both"/>
        <w:textAlignment w:val="baseline"/>
        <w:rPr>
          <w:rFonts w:ascii="Arial Narrow" w:eastAsia="Times New Roman" w:hAnsi="Arial Narrow" w:cs="Times New Roman"/>
          <w:sz w:val="24"/>
          <w:szCs w:val="24"/>
          <w:bdr w:val="none" w:sz="0" w:space="0" w:color="auto" w:frame="1"/>
          <w:lang w:eastAsia="es-CO"/>
        </w:rPr>
      </w:pPr>
    </w:p>
    <w:p w:rsidR="000E7F33" w:rsidRPr="00D87C3F" w:rsidRDefault="000E7F33" w:rsidP="007E699E">
      <w:pPr>
        <w:shd w:val="clear" w:color="auto" w:fill="FFFFFF"/>
        <w:spacing w:after="0" w:line="240" w:lineRule="auto"/>
        <w:ind w:right="-518"/>
        <w:jc w:val="both"/>
        <w:textAlignment w:val="baseline"/>
        <w:rPr>
          <w:rFonts w:ascii="Arial Narrow" w:eastAsia="Times New Roman" w:hAnsi="Arial Narrow" w:cs="Times New Roman"/>
          <w:sz w:val="24"/>
          <w:szCs w:val="24"/>
          <w:lang w:eastAsia="es-CO"/>
        </w:rPr>
      </w:pPr>
      <w:proofErr w:type="gramStart"/>
      <w:r w:rsidRPr="00D87C3F">
        <w:rPr>
          <w:rFonts w:ascii="Arial Narrow" w:eastAsia="Times New Roman" w:hAnsi="Arial Narrow" w:cs="Times New Roman"/>
          <w:sz w:val="24"/>
          <w:szCs w:val="24"/>
          <w:bdr w:val="none" w:sz="0" w:space="0" w:color="auto" w:frame="1"/>
          <w:lang w:eastAsia="es-CO"/>
        </w:rPr>
        <w:t>y</w:t>
      </w:r>
      <w:proofErr w:type="gramEnd"/>
      <w:r w:rsidRPr="00D87C3F">
        <w:rPr>
          <w:rFonts w:ascii="Arial Narrow" w:eastAsia="Times New Roman" w:hAnsi="Arial Narrow" w:cs="Times New Roman"/>
          <w:sz w:val="24"/>
          <w:szCs w:val="24"/>
          <w:bdr w:val="none" w:sz="0" w:space="0" w:color="auto" w:frame="1"/>
          <w:lang w:eastAsia="es-CO"/>
        </w:rPr>
        <w:t xml:space="preserve"> ejecución quedan comprometidos los intereses de desarrollo económico y social y de planificación que son responsabilidad del Estado. Por ello, si bien al ejecutivo corresponde presentar anualmente el proyecto de ley anual de presupuesto, y ejecutarlo, la aprobación por parte del Congreso de las rentas y gastos que habrán de percibirse y ejecutarse, tiene el alcance de limitar las facultades gubernamentales en materia presupuestal y asegurar la correspondencia de su ejercicio con los objetivos de planificación concertados en el Congreso, que por su conformación pluralista permite la expresión de las diferentes corrientes de pensamiento e intereses nacionales. De ahí la importancia que tiene el que el principio de legalidad del gasto sea puntualmente observado en todas las fases del proceso presupuestal.</w:t>
      </w:r>
    </w:p>
    <w:p w:rsidR="000E7F33" w:rsidRPr="00D87C3F" w:rsidRDefault="000E7F33" w:rsidP="007E699E">
      <w:pPr>
        <w:shd w:val="clear" w:color="auto" w:fill="FFFFFF"/>
        <w:spacing w:after="0" w:line="240" w:lineRule="auto"/>
        <w:ind w:right="-518"/>
        <w:jc w:val="both"/>
        <w:textAlignment w:val="baseline"/>
        <w:rPr>
          <w:rFonts w:ascii="Arial Narrow" w:eastAsia="Times New Roman" w:hAnsi="Arial Narrow" w:cs="Times New Roman"/>
          <w:sz w:val="24"/>
          <w:szCs w:val="24"/>
          <w:lang w:eastAsia="es-CO"/>
        </w:rPr>
      </w:pPr>
      <w:r w:rsidRPr="00D87C3F">
        <w:rPr>
          <w:rFonts w:ascii="Arial Narrow" w:eastAsia="Times New Roman" w:hAnsi="Arial Narrow" w:cs="Times New Roman"/>
          <w:sz w:val="24"/>
          <w:szCs w:val="24"/>
          <w:bdr w:val="none" w:sz="0" w:space="0" w:color="auto" w:frame="1"/>
          <w:lang w:eastAsia="es-CO"/>
        </w:rPr>
        <w:t> </w:t>
      </w:r>
    </w:p>
    <w:p w:rsidR="000E7F33" w:rsidRPr="00D87C3F" w:rsidRDefault="000E7F33" w:rsidP="007E699E">
      <w:pPr>
        <w:shd w:val="clear" w:color="auto" w:fill="FFFFFF"/>
        <w:spacing w:after="0" w:line="240" w:lineRule="auto"/>
        <w:ind w:right="-518"/>
        <w:jc w:val="both"/>
        <w:textAlignment w:val="baseline"/>
        <w:rPr>
          <w:rFonts w:ascii="Arial Narrow" w:eastAsia="Times New Roman" w:hAnsi="Arial Narrow" w:cs="Times New Roman"/>
          <w:sz w:val="24"/>
          <w:szCs w:val="24"/>
          <w:lang w:eastAsia="es-CO"/>
        </w:rPr>
      </w:pPr>
      <w:r w:rsidRPr="00D87C3F">
        <w:rPr>
          <w:rFonts w:ascii="Arial Narrow" w:eastAsia="Times New Roman" w:hAnsi="Arial Narrow" w:cs="Times New Roman"/>
          <w:sz w:val="24"/>
          <w:szCs w:val="24"/>
          <w:bdr w:val="none" w:sz="0" w:space="0" w:color="auto" w:frame="1"/>
          <w:lang w:eastAsia="es-CO"/>
        </w:rPr>
        <w:t>De manera general, sobre el principio de legalidad del gasto en la fase de ejecución presupuestal, en la Sentencia C- 192 de 1997 la Corte tuvo la oportunidad de verter los siguientes conceptos que delimitan su alcance:</w:t>
      </w:r>
    </w:p>
    <w:p w:rsidR="000E7F33" w:rsidRPr="00D87C3F" w:rsidRDefault="000E7F33" w:rsidP="007E699E">
      <w:pPr>
        <w:shd w:val="clear" w:color="auto" w:fill="FFFFFF"/>
        <w:spacing w:after="0" w:line="240" w:lineRule="auto"/>
        <w:ind w:right="-518"/>
        <w:jc w:val="both"/>
        <w:textAlignment w:val="baseline"/>
        <w:rPr>
          <w:rFonts w:ascii="Arial Narrow" w:eastAsia="Times New Roman" w:hAnsi="Arial Narrow" w:cs="Times New Roman"/>
          <w:sz w:val="24"/>
          <w:szCs w:val="24"/>
          <w:lang w:eastAsia="es-CO"/>
        </w:rPr>
      </w:pPr>
      <w:r w:rsidRPr="00D87C3F">
        <w:rPr>
          <w:rFonts w:ascii="Arial Narrow" w:eastAsia="Times New Roman" w:hAnsi="Arial Narrow" w:cs="Times New Roman"/>
          <w:sz w:val="24"/>
          <w:szCs w:val="24"/>
          <w:bdr w:val="none" w:sz="0" w:space="0" w:color="auto" w:frame="1"/>
          <w:lang w:eastAsia="es-CO"/>
        </w:rPr>
        <w:t> </w:t>
      </w:r>
    </w:p>
    <w:p w:rsidR="000E7F33" w:rsidRPr="00D87C3F" w:rsidRDefault="000E7F33" w:rsidP="007E699E">
      <w:pPr>
        <w:shd w:val="clear" w:color="auto" w:fill="FFFFFF"/>
        <w:spacing w:after="0" w:line="240" w:lineRule="auto"/>
        <w:ind w:left="709" w:right="-518"/>
        <w:jc w:val="both"/>
        <w:textAlignment w:val="baseline"/>
        <w:rPr>
          <w:rFonts w:ascii="Arial Narrow" w:eastAsia="Times New Roman" w:hAnsi="Arial Narrow" w:cs="Times New Roman"/>
          <w:sz w:val="24"/>
          <w:szCs w:val="24"/>
          <w:lang w:eastAsia="es-CO"/>
        </w:rPr>
      </w:pPr>
      <w:r w:rsidRPr="00D87C3F">
        <w:rPr>
          <w:rFonts w:ascii="Arial Narrow" w:eastAsia="Times New Roman" w:hAnsi="Arial Narrow" w:cs="Times New Roman"/>
          <w:sz w:val="24"/>
          <w:szCs w:val="24"/>
          <w:bdr w:val="none" w:sz="0" w:space="0" w:color="auto" w:frame="1"/>
          <w:lang w:eastAsia="es-CO"/>
        </w:rPr>
        <w:t xml:space="preserve">“Tal y como ya lo ha señalado esta Corporación, el principio de legalidad del gasto constituye un importante fundamento de las democracias constitucionales. Según tal principio, es </w:t>
      </w:r>
      <w:r w:rsidRPr="00D87C3F">
        <w:rPr>
          <w:rFonts w:ascii="Arial Narrow" w:eastAsia="Times New Roman" w:hAnsi="Arial Narrow" w:cs="Times New Roman"/>
          <w:b/>
          <w:sz w:val="24"/>
          <w:szCs w:val="24"/>
          <w:bdr w:val="none" w:sz="0" w:space="0" w:color="auto" w:frame="1"/>
          <w:lang w:eastAsia="es-CO"/>
        </w:rPr>
        <w:t>el Congreso y no el Gobierno quien debe autorizar cómo se deben invertir los dineros del erario público</w:t>
      </w:r>
      <w:r w:rsidR="00621575" w:rsidRPr="00D87C3F">
        <w:rPr>
          <w:rFonts w:ascii="Arial Narrow" w:eastAsia="Times New Roman" w:hAnsi="Arial Narrow" w:cs="Times New Roman"/>
          <w:b/>
          <w:sz w:val="24"/>
          <w:szCs w:val="24"/>
          <w:bdr w:val="none" w:sz="0" w:space="0" w:color="auto" w:frame="1"/>
          <w:lang w:eastAsia="es-CO"/>
        </w:rPr>
        <w:t xml:space="preserve"> (negrilla fuera de texto)</w:t>
      </w:r>
      <w:r w:rsidRPr="00D87C3F">
        <w:rPr>
          <w:rFonts w:ascii="Arial Narrow" w:eastAsia="Times New Roman" w:hAnsi="Arial Narrow" w:cs="Times New Roman"/>
          <w:sz w:val="24"/>
          <w:szCs w:val="24"/>
          <w:bdr w:val="none" w:sz="0" w:space="0" w:color="auto" w:frame="1"/>
          <w:lang w:eastAsia="es-CO"/>
        </w:rPr>
        <w:t>, lo cual explica la llamada fuerza jurídica restrictiva del presupuesto en materia de gastos, según el cual, las apropiaciones efectuadas por el Congreso por medio de esta ley son autorizaciones legislativas limitativas de la posibilidad de gasto gubernamental.”</w:t>
      </w:r>
      <w:r w:rsidR="00404756" w:rsidRPr="00D87C3F">
        <w:rPr>
          <w:rStyle w:val="Refdenotaalpie"/>
          <w:rFonts w:ascii="Arial Narrow" w:eastAsia="Times New Roman" w:hAnsi="Arial Narrow" w:cs="Times New Roman"/>
          <w:sz w:val="24"/>
          <w:szCs w:val="24"/>
          <w:bdr w:val="none" w:sz="0" w:space="0" w:color="auto" w:frame="1"/>
          <w:lang w:eastAsia="es-CO"/>
        </w:rPr>
        <w:footnoteReference w:id="13"/>
      </w:r>
    </w:p>
    <w:p w:rsidR="000E7F33" w:rsidRPr="00D87C3F" w:rsidRDefault="000E7F33" w:rsidP="007E699E">
      <w:pPr>
        <w:shd w:val="clear" w:color="auto" w:fill="FFFFFF"/>
        <w:spacing w:after="0" w:line="240" w:lineRule="auto"/>
        <w:ind w:right="-518"/>
        <w:jc w:val="both"/>
        <w:textAlignment w:val="baseline"/>
        <w:rPr>
          <w:rFonts w:ascii="Arial Narrow" w:eastAsia="Times New Roman" w:hAnsi="Arial Narrow" w:cs="Times New Roman"/>
          <w:sz w:val="24"/>
          <w:szCs w:val="24"/>
          <w:bdr w:val="none" w:sz="0" w:space="0" w:color="auto" w:frame="1"/>
          <w:lang w:eastAsia="es-CO"/>
        </w:rPr>
      </w:pPr>
      <w:r w:rsidRPr="00D87C3F">
        <w:rPr>
          <w:rFonts w:ascii="Arial Narrow" w:eastAsia="Times New Roman" w:hAnsi="Arial Narrow" w:cs="Times New Roman"/>
          <w:sz w:val="24"/>
          <w:szCs w:val="24"/>
          <w:bdr w:val="none" w:sz="0" w:space="0" w:color="auto" w:frame="1"/>
          <w:lang w:eastAsia="es-CO"/>
        </w:rPr>
        <w:t> </w:t>
      </w:r>
    </w:p>
    <w:p w:rsidR="00B72C3E" w:rsidRPr="00D87C3F" w:rsidRDefault="00B72C3E" w:rsidP="007E699E">
      <w:pPr>
        <w:shd w:val="clear" w:color="auto" w:fill="FFFFFF"/>
        <w:spacing w:after="0" w:line="240" w:lineRule="auto"/>
        <w:ind w:right="-518"/>
        <w:jc w:val="both"/>
        <w:textAlignment w:val="baseline"/>
        <w:rPr>
          <w:rFonts w:ascii="Arial Narrow" w:eastAsia="Times New Roman" w:hAnsi="Arial Narrow" w:cs="Times New Roman"/>
          <w:sz w:val="24"/>
          <w:szCs w:val="24"/>
          <w:lang w:eastAsia="es-CO"/>
        </w:rPr>
      </w:pPr>
    </w:p>
    <w:p w:rsidR="004F645D" w:rsidRPr="00D87C3F" w:rsidRDefault="00DC4823" w:rsidP="007E699E">
      <w:pPr>
        <w:shd w:val="clear" w:color="auto" w:fill="FFFFFF"/>
        <w:spacing w:after="0" w:line="240" w:lineRule="auto"/>
        <w:ind w:right="-518"/>
        <w:jc w:val="both"/>
        <w:textAlignment w:val="baseline"/>
        <w:rPr>
          <w:rFonts w:ascii="Arial Narrow" w:eastAsia="Times New Roman" w:hAnsi="Arial Narrow" w:cs="Times New Roman"/>
          <w:sz w:val="24"/>
          <w:szCs w:val="24"/>
          <w:bdr w:val="none" w:sz="0" w:space="0" w:color="auto" w:frame="1"/>
          <w:lang w:eastAsia="es-CO"/>
        </w:rPr>
      </w:pPr>
      <w:r w:rsidRPr="00D87C3F">
        <w:rPr>
          <w:rFonts w:ascii="Arial Narrow" w:eastAsia="Times New Roman" w:hAnsi="Arial Narrow" w:cs="Times New Roman"/>
          <w:sz w:val="24"/>
          <w:szCs w:val="24"/>
          <w:bdr w:val="none" w:sz="0" w:space="0" w:color="auto" w:frame="1"/>
          <w:lang w:eastAsia="es-CO"/>
        </w:rPr>
        <w:t>“</w:t>
      </w:r>
      <w:r w:rsidR="004F645D" w:rsidRPr="00D87C3F">
        <w:rPr>
          <w:rFonts w:ascii="Arial Narrow" w:eastAsia="Times New Roman" w:hAnsi="Arial Narrow" w:cs="Times New Roman"/>
          <w:sz w:val="24"/>
          <w:szCs w:val="24"/>
          <w:bdr w:val="none" w:sz="0" w:space="0" w:color="auto" w:frame="1"/>
          <w:lang w:eastAsia="es-CO"/>
        </w:rPr>
        <w:t>En efecto, el Congreso no es un ente ajeno a la regulación de materias económicas puesto que constitucionalmente, y a la par que el Ejecutivo, desempeña importantes funciones en este campo. Piénsese, por ejemplo, en las facultades de que goza el órgano legislativo para aprobar el plan nacional de desarrollo y de inversiones públicas (CP art.150 num.3°); establecer las rentas nacionales y fijar los gastos de la administración (</w:t>
      </w:r>
      <w:proofErr w:type="spellStart"/>
      <w:r w:rsidR="004F645D" w:rsidRPr="00D87C3F">
        <w:rPr>
          <w:rFonts w:ascii="Arial Narrow" w:eastAsia="Times New Roman" w:hAnsi="Arial Narrow" w:cs="Times New Roman"/>
          <w:sz w:val="24"/>
          <w:szCs w:val="24"/>
          <w:bdr w:val="none" w:sz="0" w:space="0" w:color="auto" w:frame="1"/>
          <w:lang w:eastAsia="es-CO"/>
        </w:rPr>
        <w:t>ibid</w:t>
      </w:r>
      <w:proofErr w:type="spellEnd"/>
      <w:r w:rsidR="004F645D" w:rsidRPr="00D87C3F">
        <w:rPr>
          <w:rFonts w:ascii="Arial Narrow" w:eastAsia="Times New Roman" w:hAnsi="Arial Narrow" w:cs="Times New Roman"/>
          <w:sz w:val="24"/>
          <w:szCs w:val="24"/>
          <w:bdr w:val="none" w:sz="0" w:space="0" w:color="auto" w:frame="1"/>
          <w:lang w:eastAsia="es-CO"/>
        </w:rPr>
        <w:t xml:space="preserve">. </w:t>
      </w:r>
      <w:proofErr w:type="spellStart"/>
      <w:r w:rsidR="004F645D" w:rsidRPr="00D87C3F">
        <w:rPr>
          <w:rFonts w:ascii="Arial Narrow" w:eastAsia="Times New Roman" w:hAnsi="Arial Narrow" w:cs="Times New Roman"/>
          <w:sz w:val="24"/>
          <w:szCs w:val="24"/>
          <w:bdr w:val="none" w:sz="0" w:space="0" w:color="auto" w:frame="1"/>
          <w:lang w:eastAsia="es-CO"/>
        </w:rPr>
        <w:t>num</w:t>
      </w:r>
      <w:proofErr w:type="spellEnd"/>
      <w:r w:rsidR="004F645D" w:rsidRPr="00D87C3F">
        <w:rPr>
          <w:rFonts w:ascii="Arial Narrow" w:eastAsia="Times New Roman" w:hAnsi="Arial Narrow" w:cs="Times New Roman"/>
          <w:sz w:val="24"/>
          <w:szCs w:val="24"/>
          <w:bdr w:val="none" w:sz="0" w:space="0" w:color="auto" w:frame="1"/>
          <w:lang w:eastAsia="es-CO"/>
        </w:rPr>
        <w:t>. 11); crear contribuciones fiscales y parafiscales (</w:t>
      </w:r>
      <w:proofErr w:type="spellStart"/>
      <w:r w:rsidR="004F645D" w:rsidRPr="00D87C3F">
        <w:rPr>
          <w:rFonts w:ascii="Arial Narrow" w:eastAsia="Times New Roman" w:hAnsi="Arial Narrow" w:cs="Times New Roman"/>
          <w:sz w:val="24"/>
          <w:szCs w:val="24"/>
          <w:bdr w:val="none" w:sz="0" w:space="0" w:color="auto" w:frame="1"/>
          <w:lang w:eastAsia="es-CO"/>
        </w:rPr>
        <w:t>ibid</w:t>
      </w:r>
      <w:proofErr w:type="spellEnd"/>
      <w:r w:rsidR="004F645D" w:rsidRPr="00D87C3F">
        <w:rPr>
          <w:rFonts w:ascii="Arial Narrow" w:eastAsia="Times New Roman" w:hAnsi="Arial Narrow" w:cs="Times New Roman"/>
          <w:sz w:val="24"/>
          <w:szCs w:val="24"/>
          <w:bdr w:val="none" w:sz="0" w:space="0" w:color="auto" w:frame="1"/>
          <w:lang w:eastAsia="es-CO"/>
        </w:rPr>
        <w:t xml:space="preserve">. </w:t>
      </w:r>
      <w:proofErr w:type="spellStart"/>
      <w:r w:rsidR="004F645D" w:rsidRPr="00D87C3F">
        <w:rPr>
          <w:rFonts w:ascii="Arial Narrow" w:eastAsia="Times New Roman" w:hAnsi="Arial Narrow" w:cs="Times New Roman"/>
          <w:sz w:val="24"/>
          <w:szCs w:val="24"/>
          <w:bdr w:val="none" w:sz="0" w:space="0" w:color="auto" w:frame="1"/>
          <w:lang w:eastAsia="es-CO"/>
        </w:rPr>
        <w:t>Num</w:t>
      </w:r>
      <w:proofErr w:type="spellEnd"/>
      <w:r w:rsidR="004F645D" w:rsidRPr="00D87C3F">
        <w:rPr>
          <w:rFonts w:ascii="Arial Narrow" w:eastAsia="Times New Roman" w:hAnsi="Arial Narrow" w:cs="Times New Roman"/>
          <w:sz w:val="24"/>
          <w:szCs w:val="24"/>
          <w:bdr w:val="none" w:sz="0" w:space="0" w:color="auto" w:frame="1"/>
          <w:lang w:eastAsia="es-CO"/>
        </w:rPr>
        <w:t>. 12);  determinar la moneda legal, la convertibilidad y el alcance de su poder liberatorio; y arreglar el sistema de pesas y medidas (</w:t>
      </w:r>
      <w:proofErr w:type="spellStart"/>
      <w:r w:rsidR="004F645D" w:rsidRPr="00D87C3F">
        <w:rPr>
          <w:rFonts w:ascii="Arial Narrow" w:eastAsia="Times New Roman" w:hAnsi="Arial Narrow" w:cs="Times New Roman"/>
          <w:sz w:val="24"/>
          <w:szCs w:val="24"/>
          <w:bdr w:val="none" w:sz="0" w:space="0" w:color="auto" w:frame="1"/>
          <w:lang w:eastAsia="es-CO"/>
        </w:rPr>
        <w:t>ibid</w:t>
      </w:r>
      <w:proofErr w:type="spellEnd"/>
      <w:r w:rsidR="004F645D" w:rsidRPr="00D87C3F">
        <w:rPr>
          <w:rFonts w:ascii="Arial Narrow" w:eastAsia="Times New Roman" w:hAnsi="Arial Narrow" w:cs="Times New Roman"/>
          <w:sz w:val="24"/>
          <w:szCs w:val="24"/>
          <w:bdr w:val="none" w:sz="0" w:space="0" w:color="auto" w:frame="1"/>
          <w:lang w:eastAsia="es-CO"/>
        </w:rPr>
        <w:t xml:space="preserve">. </w:t>
      </w:r>
      <w:proofErr w:type="spellStart"/>
      <w:r w:rsidR="004F645D" w:rsidRPr="00D87C3F">
        <w:rPr>
          <w:rFonts w:ascii="Arial Narrow" w:eastAsia="Times New Roman" w:hAnsi="Arial Narrow" w:cs="Times New Roman"/>
          <w:sz w:val="24"/>
          <w:szCs w:val="24"/>
          <w:bdr w:val="none" w:sz="0" w:space="0" w:color="auto" w:frame="1"/>
          <w:lang w:eastAsia="es-CO"/>
        </w:rPr>
        <w:t>num</w:t>
      </w:r>
      <w:proofErr w:type="spellEnd"/>
      <w:r w:rsidR="004F645D" w:rsidRPr="00D87C3F">
        <w:rPr>
          <w:rFonts w:ascii="Arial Narrow" w:eastAsia="Times New Roman" w:hAnsi="Arial Narrow" w:cs="Times New Roman"/>
          <w:sz w:val="24"/>
          <w:szCs w:val="24"/>
          <w:bdr w:val="none" w:sz="0" w:space="0" w:color="auto" w:frame="1"/>
          <w:lang w:eastAsia="es-CO"/>
        </w:rPr>
        <w:t>. 13); dictar normas generales en materia de crédito público, comercio exterior, aranceles y tarifas, regulación de las actividades financiera, bursátil y aseguradora y cualquiera otra relacionada con el manejo, aprovechamiento e inversión de los recursos captados del público (</w:t>
      </w:r>
      <w:proofErr w:type="spellStart"/>
      <w:r w:rsidR="004F645D" w:rsidRPr="00D87C3F">
        <w:rPr>
          <w:rFonts w:ascii="Arial Narrow" w:eastAsia="Times New Roman" w:hAnsi="Arial Narrow" w:cs="Times New Roman"/>
          <w:sz w:val="24"/>
          <w:szCs w:val="24"/>
          <w:bdr w:val="none" w:sz="0" w:space="0" w:color="auto" w:frame="1"/>
          <w:lang w:eastAsia="es-CO"/>
        </w:rPr>
        <w:t>ibid</w:t>
      </w:r>
      <w:proofErr w:type="spellEnd"/>
      <w:r w:rsidR="004F645D" w:rsidRPr="00D87C3F">
        <w:rPr>
          <w:rFonts w:ascii="Arial Narrow" w:eastAsia="Times New Roman" w:hAnsi="Arial Narrow" w:cs="Times New Roman"/>
          <w:sz w:val="24"/>
          <w:szCs w:val="24"/>
          <w:bdr w:val="none" w:sz="0" w:space="0" w:color="auto" w:frame="1"/>
          <w:lang w:eastAsia="es-CO"/>
        </w:rPr>
        <w:t xml:space="preserve">. </w:t>
      </w:r>
      <w:proofErr w:type="spellStart"/>
      <w:r w:rsidR="004F645D" w:rsidRPr="00D87C3F">
        <w:rPr>
          <w:rFonts w:ascii="Arial Narrow" w:eastAsia="Times New Roman" w:hAnsi="Arial Narrow" w:cs="Times New Roman"/>
          <w:sz w:val="24"/>
          <w:szCs w:val="24"/>
          <w:bdr w:val="none" w:sz="0" w:space="0" w:color="auto" w:frame="1"/>
          <w:lang w:eastAsia="es-CO"/>
        </w:rPr>
        <w:t>num</w:t>
      </w:r>
      <w:proofErr w:type="spellEnd"/>
      <w:r w:rsidR="004F645D" w:rsidRPr="00D87C3F">
        <w:rPr>
          <w:rFonts w:ascii="Arial Narrow" w:eastAsia="Times New Roman" w:hAnsi="Arial Narrow" w:cs="Times New Roman"/>
          <w:sz w:val="24"/>
          <w:szCs w:val="24"/>
          <w:bdr w:val="none" w:sz="0" w:space="0" w:color="auto" w:frame="1"/>
          <w:lang w:eastAsia="es-CO"/>
        </w:rPr>
        <w:t>. 19 literales a, b, c y d); expedir leyes de intervención económica (</w:t>
      </w:r>
      <w:proofErr w:type="spellStart"/>
      <w:r w:rsidR="004F645D" w:rsidRPr="00D87C3F">
        <w:rPr>
          <w:rFonts w:ascii="Arial Narrow" w:eastAsia="Times New Roman" w:hAnsi="Arial Narrow" w:cs="Times New Roman"/>
          <w:sz w:val="24"/>
          <w:szCs w:val="24"/>
          <w:bdr w:val="none" w:sz="0" w:space="0" w:color="auto" w:frame="1"/>
          <w:lang w:eastAsia="es-CO"/>
        </w:rPr>
        <w:t>ibid</w:t>
      </w:r>
      <w:proofErr w:type="spellEnd"/>
      <w:r w:rsidR="004F645D" w:rsidRPr="00D87C3F">
        <w:rPr>
          <w:rFonts w:ascii="Arial Narrow" w:eastAsia="Times New Roman" w:hAnsi="Arial Narrow" w:cs="Times New Roman"/>
          <w:sz w:val="24"/>
          <w:szCs w:val="24"/>
          <w:bdr w:val="none" w:sz="0" w:space="0" w:color="auto" w:frame="1"/>
          <w:lang w:eastAsia="es-CO"/>
        </w:rPr>
        <w:t xml:space="preserve">. </w:t>
      </w:r>
      <w:proofErr w:type="spellStart"/>
      <w:r w:rsidR="004F645D" w:rsidRPr="00D87C3F">
        <w:rPr>
          <w:rFonts w:ascii="Arial Narrow" w:eastAsia="Times New Roman" w:hAnsi="Arial Narrow" w:cs="Times New Roman"/>
          <w:sz w:val="24"/>
          <w:szCs w:val="24"/>
          <w:bdr w:val="none" w:sz="0" w:space="0" w:color="auto" w:frame="1"/>
          <w:lang w:eastAsia="es-CO"/>
        </w:rPr>
        <w:t>num</w:t>
      </w:r>
      <w:proofErr w:type="spellEnd"/>
      <w:r w:rsidR="004F645D" w:rsidRPr="00D87C3F">
        <w:rPr>
          <w:rFonts w:ascii="Arial Narrow" w:eastAsia="Times New Roman" w:hAnsi="Arial Narrow" w:cs="Times New Roman"/>
          <w:sz w:val="24"/>
          <w:szCs w:val="24"/>
          <w:bdr w:val="none" w:sz="0" w:space="0" w:color="auto" w:frame="1"/>
          <w:lang w:eastAsia="es-CO"/>
        </w:rPr>
        <w:t>. 21); dictar leyes relacionadas con el Banco de la República (</w:t>
      </w:r>
      <w:proofErr w:type="spellStart"/>
      <w:r w:rsidR="004F645D" w:rsidRPr="00D87C3F">
        <w:rPr>
          <w:rFonts w:ascii="Arial Narrow" w:eastAsia="Times New Roman" w:hAnsi="Arial Narrow" w:cs="Times New Roman"/>
          <w:sz w:val="24"/>
          <w:szCs w:val="24"/>
          <w:bdr w:val="none" w:sz="0" w:space="0" w:color="auto" w:frame="1"/>
          <w:lang w:eastAsia="es-CO"/>
        </w:rPr>
        <w:t>ibid</w:t>
      </w:r>
      <w:proofErr w:type="spellEnd"/>
      <w:r w:rsidR="004F645D" w:rsidRPr="00D87C3F">
        <w:rPr>
          <w:rFonts w:ascii="Arial Narrow" w:eastAsia="Times New Roman" w:hAnsi="Arial Narrow" w:cs="Times New Roman"/>
          <w:sz w:val="24"/>
          <w:szCs w:val="24"/>
          <w:bdr w:val="none" w:sz="0" w:space="0" w:color="auto" w:frame="1"/>
          <w:lang w:eastAsia="es-CO"/>
        </w:rPr>
        <w:t xml:space="preserve">. </w:t>
      </w:r>
      <w:proofErr w:type="spellStart"/>
      <w:r w:rsidR="004F645D" w:rsidRPr="00D87C3F">
        <w:rPr>
          <w:rFonts w:ascii="Arial Narrow" w:eastAsia="Times New Roman" w:hAnsi="Arial Narrow" w:cs="Times New Roman"/>
          <w:sz w:val="24"/>
          <w:szCs w:val="24"/>
          <w:bdr w:val="none" w:sz="0" w:space="0" w:color="auto" w:frame="1"/>
          <w:lang w:eastAsia="es-CO"/>
        </w:rPr>
        <w:t>num</w:t>
      </w:r>
      <w:proofErr w:type="spellEnd"/>
      <w:r w:rsidR="004F645D" w:rsidRPr="00D87C3F">
        <w:rPr>
          <w:rFonts w:ascii="Arial Narrow" w:eastAsia="Times New Roman" w:hAnsi="Arial Narrow" w:cs="Times New Roman"/>
          <w:sz w:val="24"/>
          <w:szCs w:val="24"/>
          <w:bdr w:val="none" w:sz="0" w:space="0" w:color="auto" w:frame="1"/>
          <w:lang w:eastAsia="es-CO"/>
        </w:rPr>
        <w:t xml:space="preserve"> 22); y dictar leyes que rigen la prestación de los servicios públicos (</w:t>
      </w:r>
      <w:proofErr w:type="spellStart"/>
      <w:r w:rsidR="004F645D" w:rsidRPr="00D87C3F">
        <w:rPr>
          <w:rFonts w:ascii="Arial Narrow" w:eastAsia="Times New Roman" w:hAnsi="Arial Narrow" w:cs="Times New Roman"/>
          <w:sz w:val="24"/>
          <w:szCs w:val="24"/>
          <w:bdr w:val="none" w:sz="0" w:space="0" w:color="auto" w:frame="1"/>
          <w:lang w:eastAsia="es-CO"/>
        </w:rPr>
        <w:t>ibid</w:t>
      </w:r>
      <w:proofErr w:type="spellEnd"/>
      <w:r w:rsidR="004F645D" w:rsidRPr="00D87C3F">
        <w:rPr>
          <w:rFonts w:ascii="Arial Narrow" w:eastAsia="Times New Roman" w:hAnsi="Arial Narrow" w:cs="Times New Roman"/>
          <w:sz w:val="24"/>
          <w:szCs w:val="24"/>
          <w:bdr w:val="none" w:sz="0" w:space="0" w:color="auto" w:frame="1"/>
          <w:lang w:eastAsia="es-CO"/>
        </w:rPr>
        <w:t xml:space="preserve">. </w:t>
      </w:r>
      <w:proofErr w:type="spellStart"/>
      <w:r w:rsidR="004F645D" w:rsidRPr="00D87C3F">
        <w:rPr>
          <w:rFonts w:ascii="Arial Narrow" w:eastAsia="Times New Roman" w:hAnsi="Arial Narrow" w:cs="Times New Roman"/>
          <w:sz w:val="24"/>
          <w:szCs w:val="24"/>
          <w:bdr w:val="none" w:sz="0" w:space="0" w:color="auto" w:frame="1"/>
          <w:lang w:eastAsia="es-CO"/>
        </w:rPr>
        <w:t>num</w:t>
      </w:r>
      <w:proofErr w:type="spellEnd"/>
      <w:r w:rsidR="004F645D" w:rsidRPr="00D87C3F">
        <w:rPr>
          <w:rFonts w:ascii="Arial Narrow" w:eastAsia="Times New Roman" w:hAnsi="Arial Narrow" w:cs="Times New Roman"/>
          <w:sz w:val="24"/>
          <w:szCs w:val="24"/>
          <w:bdr w:val="none" w:sz="0" w:space="0" w:color="auto" w:frame="1"/>
          <w:lang w:eastAsia="es-CO"/>
        </w:rPr>
        <w:t>. 23), entre sus más destacadas facultades</w:t>
      </w:r>
      <w:r w:rsidRPr="00D87C3F">
        <w:rPr>
          <w:rFonts w:ascii="Arial Narrow" w:eastAsia="Times New Roman" w:hAnsi="Arial Narrow" w:cs="Times New Roman"/>
          <w:sz w:val="24"/>
          <w:szCs w:val="24"/>
          <w:bdr w:val="none" w:sz="0" w:space="0" w:color="auto" w:frame="1"/>
          <w:lang w:eastAsia="es-CO"/>
        </w:rPr>
        <w:t>”</w:t>
      </w:r>
      <w:r w:rsidRPr="00D87C3F">
        <w:rPr>
          <w:rStyle w:val="Refdenotaalpie"/>
          <w:rFonts w:ascii="Arial Narrow" w:eastAsia="Times New Roman" w:hAnsi="Arial Narrow" w:cs="Times New Roman"/>
          <w:sz w:val="24"/>
          <w:szCs w:val="24"/>
          <w:bdr w:val="none" w:sz="0" w:space="0" w:color="auto" w:frame="1"/>
          <w:lang w:eastAsia="es-CO"/>
        </w:rPr>
        <w:footnoteReference w:id="14"/>
      </w:r>
      <w:r w:rsidR="004F645D" w:rsidRPr="00D87C3F">
        <w:rPr>
          <w:rFonts w:ascii="Arial Narrow" w:eastAsia="Times New Roman" w:hAnsi="Arial Narrow" w:cs="Times New Roman"/>
          <w:sz w:val="24"/>
          <w:szCs w:val="24"/>
          <w:bdr w:val="none" w:sz="0" w:space="0" w:color="auto" w:frame="1"/>
          <w:lang w:eastAsia="es-CO"/>
        </w:rPr>
        <w:t>. </w:t>
      </w:r>
    </w:p>
    <w:p w:rsidR="0014324C" w:rsidRPr="00D87C3F" w:rsidRDefault="0014324C" w:rsidP="007E699E">
      <w:pPr>
        <w:shd w:val="clear" w:color="auto" w:fill="FFFFFF"/>
        <w:spacing w:after="0" w:line="240" w:lineRule="auto"/>
        <w:ind w:right="-518"/>
        <w:jc w:val="both"/>
        <w:textAlignment w:val="baseline"/>
        <w:rPr>
          <w:rFonts w:ascii="Arial Narrow" w:eastAsia="Times New Roman" w:hAnsi="Arial Narrow" w:cs="Times New Roman"/>
          <w:sz w:val="24"/>
          <w:szCs w:val="24"/>
          <w:bdr w:val="none" w:sz="0" w:space="0" w:color="auto" w:frame="1"/>
          <w:lang w:eastAsia="es-CO"/>
        </w:rPr>
      </w:pPr>
    </w:p>
    <w:p w:rsidR="00711806" w:rsidRPr="00D87C3F" w:rsidRDefault="0014324C" w:rsidP="007E699E">
      <w:pPr>
        <w:spacing w:line="240" w:lineRule="auto"/>
        <w:ind w:right="-518"/>
        <w:jc w:val="both"/>
        <w:rPr>
          <w:rFonts w:ascii="Arial Narrow" w:hAnsi="Arial Narrow"/>
          <w:sz w:val="24"/>
          <w:szCs w:val="24"/>
        </w:rPr>
      </w:pPr>
      <w:r w:rsidRPr="00D87C3F">
        <w:rPr>
          <w:rFonts w:ascii="Arial Narrow" w:hAnsi="Arial Narrow"/>
          <w:sz w:val="24"/>
          <w:szCs w:val="24"/>
        </w:rPr>
        <w:t>Todo lo anterior nos conduce a un tercer tópico, a saber, la necesidad de que el legislativo intervenga de modo claro en el proceso de asignación de vigencias futuras.</w:t>
      </w:r>
    </w:p>
    <w:p w:rsidR="00711806" w:rsidRPr="00D87C3F" w:rsidRDefault="00711806" w:rsidP="007E699E">
      <w:pPr>
        <w:shd w:val="clear" w:color="auto" w:fill="FFFFFF"/>
        <w:spacing w:after="0" w:line="240" w:lineRule="auto"/>
        <w:ind w:right="-518"/>
        <w:jc w:val="both"/>
        <w:textAlignment w:val="baseline"/>
        <w:rPr>
          <w:rFonts w:ascii="Arial Narrow" w:hAnsi="Arial Narrow"/>
          <w:sz w:val="24"/>
          <w:szCs w:val="24"/>
        </w:rPr>
      </w:pPr>
      <w:r w:rsidRPr="00D87C3F">
        <w:rPr>
          <w:rFonts w:ascii="Arial Narrow" w:eastAsia="Times New Roman" w:hAnsi="Arial Narrow" w:cs="Times New Roman"/>
          <w:sz w:val="24"/>
          <w:szCs w:val="24"/>
          <w:lang w:eastAsia="es-CO"/>
        </w:rPr>
        <w:t xml:space="preserve">“Una de las principales preocupaciones en relación con la estrategia fiscal presentada por el Gobierno en el Marco Fiscal de Mediano Plazo de 2016, tiene que ver </w:t>
      </w:r>
      <w:r w:rsidRPr="00D87C3F">
        <w:rPr>
          <w:rFonts w:ascii="Arial Narrow" w:hAnsi="Arial Narrow"/>
          <w:sz w:val="24"/>
          <w:szCs w:val="24"/>
        </w:rPr>
        <w:t>con el grueso monto de vigencias futuras y los riesgos que puede acarrear para el manejo de las finanzas públicas.</w:t>
      </w:r>
    </w:p>
    <w:p w:rsidR="00711806" w:rsidRPr="00D87C3F" w:rsidRDefault="00711806" w:rsidP="007E699E">
      <w:pPr>
        <w:shd w:val="clear" w:color="auto" w:fill="FFFFFF"/>
        <w:spacing w:after="0" w:line="240" w:lineRule="auto"/>
        <w:ind w:right="-518"/>
        <w:jc w:val="both"/>
        <w:textAlignment w:val="baseline"/>
        <w:rPr>
          <w:rFonts w:ascii="Arial Narrow" w:hAnsi="Arial Narrow"/>
          <w:sz w:val="24"/>
          <w:szCs w:val="24"/>
        </w:rPr>
      </w:pPr>
    </w:p>
    <w:p w:rsidR="00A00C3A" w:rsidRDefault="00A00C3A" w:rsidP="007E699E">
      <w:pPr>
        <w:shd w:val="clear" w:color="auto" w:fill="FFFFFF"/>
        <w:spacing w:after="0" w:line="240" w:lineRule="auto"/>
        <w:ind w:right="-518"/>
        <w:jc w:val="both"/>
        <w:textAlignment w:val="baseline"/>
        <w:rPr>
          <w:rFonts w:ascii="Arial Narrow" w:hAnsi="Arial Narrow"/>
          <w:sz w:val="24"/>
          <w:szCs w:val="24"/>
        </w:rPr>
      </w:pPr>
    </w:p>
    <w:p w:rsidR="00A00C3A" w:rsidRDefault="00A00C3A" w:rsidP="007E699E">
      <w:pPr>
        <w:shd w:val="clear" w:color="auto" w:fill="FFFFFF"/>
        <w:spacing w:after="0" w:line="240" w:lineRule="auto"/>
        <w:ind w:right="-518"/>
        <w:jc w:val="both"/>
        <w:textAlignment w:val="baseline"/>
        <w:rPr>
          <w:rFonts w:ascii="Arial Narrow" w:hAnsi="Arial Narrow"/>
          <w:sz w:val="24"/>
          <w:szCs w:val="24"/>
        </w:rPr>
      </w:pPr>
    </w:p>
    <w:p w:rsidR="00711806" w:rsidRPr="00D87C3F" w:rsidRDefault="00711806" w:rsidP="007E699E">
      <w:pPr>
        <w:shd w:val="clear" w:color="auto" w:fill="FFFFFF"/>
        <w:spacing w:after="0" w:line="240" w:lineRule="auto"/>
        <w:ind w:right="-518"/>
        <w:jc w:val="both"/>
        <w:textAlignment w:val="baseline"/>
        <w:rPr>
          <w:rFonts w:ascii="Arial Narrow" w:hAnsi="Arial Narrow" w:cs="Arial"/>
          <w:sz w:val="24"/>
          <w:szCs w:val="24"/>
        </w:rPr>
      </w:pPr>
      <w:r w:rsidRPr="00D87C3F">
        <w:rPr>
          <w:rFonts w:ascii="Arial Narrow" w:hAnsi="Arial Narrow"/>
          <w:sz w:val="24"/>
          <w:szCs w:val="24"/>
        </w:rPr>
        <w:t xml:space="preserve">Las vigencias futuras deben estar definidas en MFMP y se aprueban por el Concejo Superior de Política Fiscal CONFIS, luego de demostrar </w:t>
      </w:r>
      <w:r w:rsidR="00E12F74" w:rsidRPr="00D87C3F">
        <w:rPr>
          <w:rFonts w:ascii="Arial Narrow" w:hAnsi="Arial Narrow"/>
          <w:sz w:val="24"/>
          <w:szCs w:val="24"/>
        </w:rPr>
        <w:t>de</w:t>
      </w:r>
      <w:r w:rsidRPr="00D87C3F">
        <w:rPr>
          <w:rFonts w:ascii="Arial Narrow" w:hAnsi="Arial Narrow"/>
          <w:sz w:val="24"/>
          <w:szCs w:val="24"/>
        </w:rPr>
        <w:t xml:space="preserve"> que es un proyecto para adelantar </w:t>
      </w:r>
      <w:r w:rsidRPr="00D87C3F">
        <w:rPr>
          <w:rFonts w:ascii="Arial Narrow" w:hAnsi="Arial Narrow" w:cs="Arial"/>
          <w:sz w:val="24"/>
          <w:szCs w:val="24"/>
        </w:rPr>
        <w:t xml:space="preserve"> las obras de infraestructura, energía, comunicaciones, aeronáutica, defensa y seguridad, así como para las garantías a las concesiones.</w:t>
      </w:r>
    </w:p>
    <w:p w:rsidR="00711806" w:rsidRPr="00D87C3F" w:rsidRDefault="00711806" w:rsidP="007E699E">
      <w:pPr>
        <w:shd w:val="clear" w:color="auto" w:fill="FFFFFF"/>
        <w:spacing w:after="0" w:line="240" w:lineRule="auto"/>
        <w:ind w:right="-518"/>
        <w:jc w:val="both"/>
        <w:textAlignment w:val="baseline"/>
        <w:rPr>
          <w:rFonts w:ascii="Arial Narrow" w:hAnsi="Arial Narrow" w:cs="Arial"/>
          <w:sz w:val="24"/>
          <w:szCs w:val="24"/>
        </w:rPr>
      </w:pPr>
    </w:p>
    <w:p w:rsidR="00711806" w:rsidRPr="00D87C3F" w:rsidRDefault="00711806" w:rsidP="007E699E">
      <w:pPr>
        <w:shd w:val="clear" w:color="auto" w:fill="FFFFFF"/>
        <w:spacing w:after="0" w:line="240" w:lineRule="auto"/>
        <w:ind w:right="-518"/>
        <w:jc w:val="both"/>
        <w:textAlignment w:val="baseline"/>
        <w:rPr>
          <w:rFonts w:ascii="Arial Narrow" w:hAnsi="Arial Narrow"/>
          <w:sz w:val="24"/>
          <w:szCs w:val="24"/>
          <w:shd w:val="clear" w:color="auto" w:fill="FFFFFF"/>
        </w:rPr>
      </w:pPr>
      <w:r w:rsidRPr="00D87C3F">
        <w:rPr>
          <w:rFonts w:ascii="Arial Narrow" w:hAnsi="Arial Narrow" w:cs="Arial"/>
          <w:sz w:val="24"/>
          <w:szCs w:val="24"/>
        </w:rPr>
        <w:t xml:space="preserve">Si analizamos detenidamente el carácter legal </w:t>
      </w:r>
      <w:r w:rsidRPr="00D87C3F">
        <w:rPr>
          <w:rFonts w:ascii="Arial Narrow" w:hAnsi="Arial Narrow"/>
          <w:sz w:val="24"/>
          <w:szCs w:val="24"/>
        </w:rPr>
        <w:t>MFMP “</w:t>
      </w:r>
      <w:r w:rsidRPr="00D87C3F">
        <w:rPr>
          <w:rFonts w:ascii="Arial Narrow" w:hAnsi="Arial Narrow"/>
          <w:sz w:val="24"/>
          <w:szCs w:val="24"/>
          <w:shd w:val="clear" w:color="auto" w:fill="FFFFFF"/>
        </w:rPr>
        <w:t>es un documento que enfatiza en los resultados y propósitos de la política fiscal. Allí se hace un recuento general de los hechos más importantes en materia de comportamiento de la actividad económica y fiscal del país en el año anterior. Presenta las estimaciones para el año que cursa y para las diez vigencias siguientes y muestra la consistencia de las cifras presupuestales con la meta de superávit primario y endeudamiento público y, en general, con las previsiones macroeconómicas”</w:t>
      </w:r>
      <w:r w:rsidRPr="00D87C3F">
        <w:rPr>
          <w:rStyle w:val="Refdenotaalpie"/>
          <w:rFonts w:ascii="Arial Narrow" w:hAnsi="Arial Narrow"/>
          <w:sz w:val="24"/>
          <w:szCs w:val="24"/>
          <w:shd w:val="clear" w:color="auto" w:fill="FFFFFF"/>
        </w:rPr>
        <w:footnoteReference w:id="15"/>
      </w:r>
      <w:r w:rsidRPr="00D87C3F">
        <w:rPr>
          <w:rFonts w:ascii="Arial Narrow" w:hAnsi="Arial Narrow"/>
          <w:sz w:val="24"/>
          <w:szCs w:val="24"/>
          <w:shd w:val="clear" w:color="auto" w:fill="FFFFFF"/>
        </w:rPr>
        <w:t xml:space="preserve">  que de conformidad con el artículo 1 de la Ley 819 de 2003 se presenta a la comisiones económicas del congreso para su estudio y discusión; es decir que el congreso solo es informado del contenido del documento para su discusión, mas no para ejercer un control efectivo como en el caso que nos ocupa,  de los montos de las vigencias futuras para las siguientes vigencias fiscales y los proyectos que se pretender financiar  con dichos recursos.</w:t>
      </w:r>
    </w:p>
    <w:p w:rsidR="00711806" w:rsidRPr="00D87C3F" w:rsidRDefault="00711806" w:rsidP="007E699E">
      <w:pPr>
        <w:shd w:val="clear" w:color="auto" w:fill="FFFFFF"/>
        <w:spacing w:after="0" w:line="240" w:lineRule="auto"/>
        <w:ind w:right="-518"/>
        <w:jc w:val="both"/>
        <w:textAlignment w:val="baseline"/>
        <w:rPr>
          <w:rFonts w:ascii="Arial Narrow" w:hAnsi="Arial Narrow"/>
          <w:sz w:val="24"/>
          <w:szCs w:val="24"/>
        </w:rPr>
      </w:pPr>
    </w:p>
    <w:p w:rsidR="00711806" w:rsidRPr="00D87C3F" w:rsidRDefault="00711806" w:rsidP="007E699E">
      <w:pPr>
        <w:shd w:val="clear" w:color="auto" w:fill="FFFFFF"/>
        <w:spacing w:after="0" w:line="240" w:lineRule="auto"/>
        <w:ind w:right="-518"/>
        <w:jc w:val="both"/>
        <w:textAlignment w:val="baseline"/>
        <w:rPr>
          <w:rFonts w:ascii="Arial Narrow" w:hAnsi="Arial Narrow"/>
          <w:sz w:val="24"/>
          <w:szCs w:val="24"/>
        </w:rPr>
      </w:pPr>
      <w:r w:rsidRPr="00D87C3F">
        <w:rPr>
          <w:rFonts w:ascii="Arial Narrow" w:hAnsi="Arial Narrow"/>
          <w:sz w:val="24"/>
          <w:szCs w:val="24"/>
        </w:rPr>
        <w:t>Como primer resultado de lo anterior “las vigencias futuras le están introduciendo inflexibilidad a la inversión, debido a que parte del cupo de gasto futuro se está comprometiendo desde ahora. En consecuencia,</w:t>
      </w:r>
      <w:r w:rsidR="00E12F74" w:rsidRPr="00D87C3F">
        <w:rPr>
          <w:rFonts w:ascii="Arial Narrow" w:hAnsi="Arial Narrow"/>
          <w:sz w:val="24"/>
          <w:szCs w:val="24"/>
        </w:rPr>
        <w:t xml:space="preserve"> la proporción de recursos que é</w:t>
      </w:r>
      <w:r w:rsidRPr="00D87C3F">
        <w:rPr>
          <w:rFonts w:ascii="Arial Narrow" w:hAnsi="Arial Narrow"/>
          <w:sz w:val="24"/>
          <w:szCs w:val="24"/>
        </w:rPr>
        <w:t>ste y los próximos gobiernos podrán asignar autónomamente a inversión en otros sectores como salud y educación, se reduce”. Pues “cabe recordar que todos los gobiernos han señalado que parte del problema fiscal ha sido generado por la elevada inflexibilidad del gasto de funcionamiento, debido a que este responde en altísima proporción (entre 75 y 80 por ciento), o bien a mandatos constitucionales, de ley o decisiones judiciales, como las transferencias regionales, las pensiones, los ajustes de salarios o las sentencias; o también a obligaciones imposibles de desatender, como el servicio de la deuda pública interna y externa. Hasta hace unos años, el único rubro flexible era la inversión”</w:t>
      </w:r>
      <w:r w:rsidRPr="00D87C3F">
        <w:rPr>
          <w:rStyle w:val="Refdenotaalpie"/>
          <w:rFonts w:ascii="Arial Narrow" w:hAnsi="Arial Narrow"/>
          <w:sz w:val="24"/>
          <w:szCs w:val="24"/>
        </w:rPr>
        <w:footnoteReference w:id="16"/>
      </w:r>
    </w:p>
    <w:p w:rsidR="00711806" w:rsidRPr="00D87C3F" w:rsidRDefault="00711806" w:rsidP="007E699E">
      <w:pPr>
        <w:spacing w:line="240" w:lineRule="auto"/>
        <w:ind w:right="-518"/>
        <w:jc w:val="both"/>
        <w:rPr>
          <w:rFonts w:ascii="Arial Narrow" w:hAnsi="Arial Narrow"/>
          <w:sz w:val="24"/>
          <w:szCs w:val="24"/>
        </w:rPr>
      </w:pPr>
    </w:p>
    <w:p w:rsidR="003F2778" w:rsidRPr="00D87C3F" w:rsidRDefault="00A12A4C" w:rsidP="007E699E">
      <w:pPr>
        <w:pStyle w:val="Prrafodelista"/>
        <w:numPr>
          <w:ilvl w:val="0"/>
          <w:numId w:val="2"/>
        </w:numPr>
        <w:shd w:val="clear" w:color="auto" w:fill="FFFFFF"/>
        <w:spacing w:after="0" w:line="240" w:lineRule="auto"/>
        <w:ind w:right="-518"/>
        <w:jc w:val="both"/>
        <w:textAlignment w:val="baseline"/>
        <w:rPr>
          <w:rFonts w:ascii="Arial Narrow" w:eastAsia="Times New Roman" w:hAnsi="Arial Narrow" w:cs="Times New Roman"/>
          <w:b/>
          <w:sz w:val="24"/>
          <w:szCs w:val="24"/>
          <w:lang w:eastAsia="es-CO"/>
        </w:rPr>
      </w:pPr>
      <w:r w:rsidRPr="00D87C3F">
        <w:rPr>
          <w:rFonts w:ascii="Arial Narrow" w:eastAsia="Times New Roman" w:hAnsi="Arial Narrow" w:cs="Times New Roman"/>
          <w:b/>
          <w:sz w:val="24"/>
          <w:szCs w:val="24"/>
          <w:lang w:eastAsia="es-CO"/>
        </w:rPr>
        <w:t>OBJETO DEL PROYECTO DE LEY.</w:t>
      </w:r>
    </w:p>
    <w:p w:rsidR="003F2778" w:rsidRPr="00D87C3F" w:rsidRDefault="003F2778" w:rsidP="007E699E">
      <w:pPr>
        <w:shd w:val="clear" w:color="auto" w:fill="FFFFFF"/>
        <w:spacing w:after="0" w:line="240" w:lineRule="auto"/>
        <w:ind w:right="-518"/>
        <w:jc w:val="both"/>
        <w:textAlignment w:val="baseline"/>
        <w:rPr>
          <w:rFonts w:ascii="Arial Narrow" w:eastAsia="Times New Roman" w:hAnsi="Arial Narrow" w:cs="Times New Roman"/>
          <w:sz w:val="24"/>
          <w:szCs w:val="24"/>
          <w:lang w:eastAsia="es-CO"/>
        </w:rPr>
      </w:pPr>
    </w:p>
    <w:p w:rsidR="00086F82" w:rsidRDefault="008617D3" w:rsidP="007E699E">
      <w:pPr>
        <w:spacing w:line="240" w:lineRule="auto"/>
        <w:ind w:right="-518"/>
        <w:jc w:val="both"/>
        <w:rPr>
          <w:rFonts w:ascii="Arial Narrow" w:hAnsi="Arial Narrow"/>
          <w:sz w:val="24"/>
          <w:szCs w:val="24"/>
          <w:lang w:val="es-ES_tradnl"/>
        </w:rPr>
      </w:pPr>
      <w:r w:rsidRPr="00D87C3F">
        <w:rPr>
          <w:rFonts w:ascii="Arial Narrow" w:hAnsi="Arial Narrow"/>
          <w:sz w:val="24"/>
          <w:szCs w:val="24"/>
          <w:lang w:val="es-ES_tradnl"/>
        </w:rPr>
        <w:t xml:space="preserve">A través del proyecto de </w:t>
      </w:r>
      <w:r w:rsidR="00BD18DE" w:rsidRPr="00D87C3F">
        <w:rPr>
          <w:rFonts w:ascii="Arial Narrow" w:hAnsi="Arial Narrow"/>
          <w:sz w:val="24"/>
          <w:szCs w:val="24"/>
          <w:lang w:val="es-ES_tradnl"/>
        </w:rPr>
        <w:t>ley puesto a consideración del H</w:t>
      </w:r>
      <w:r w:rsidRPr="00D87C3F">
        <w:rPr>
          <w:rFonts w:ascii="Arial Narrow" w:hAnsi="Arial Narrow"/>
          <w:sz w:val="24"/>
          <w:szCs w:val="24"/>
          <w:lang w:val="es-ES_tradnl"/>
        </w:rPr>
        <w:t>onorable Congreso de la República se busca regular directamente</w:t>
      </w:r>
      <w:r w:rsidR="006260A2" w:rsidRPr="00D87C3F">
        <w:rPr>
          <w:rFonts w:ascii="Arial Narrow" w:hAnsi="Arial Narrow"/>
          <w:sz w:val="24"/>
          <w:szCs w:val="24"/>
          <w:lang w:val="es-ES_tradnl"/>
        </w:rPr>
        <w:t xml:space="preserve"> las vigencias futuras</w:t>
      </w:r>
      <w:r w:rsidR="007E699E" w:rsidRPr="00D87C3F">
        <w:rPr>
          <w:rFonts w:ascii="Arial Narrow" w:hAnsi="Arial Narrow"/>
          <w:sz w:val="24"/>
          <w:szCs w:val="24"/>
          <w:lang w:val="es-ES_tradnl"/>
        </w:rPr>
        <w:t xml:space="preserve"> ordinarias para limitar su aplicación al periodo de gobierno nacional, así como también regular el trámite para la aprobación de vigencias futuras </w:t>
      </w:r>
      <w:r w:rsidR="006260A2" w:rsidRPr="00D87C3F">
        <w:rPr>
          <w:rFonts w:ascii="Arial Narrow" w:hAnsi="Arial Narrow"/>
          <w:sz w:val="24"/>
          <w:szCs w:val="24"/>
          <w:lang w:val="es-ES_tradnl"/>
        </w:rPr>
        <w:t>excepcionales</w:t>
      </w:r>
      <w:r w:rsidR="007E699E" w:rsidRPr="00D87C3F">
        <w:rPr>
          <w:rFonts w:ascii="Arial Narrow" w:hAnsi="Arial Narrow"/>
          <w:sz w:val="24"/>
          <w:szCs w:val="24"/>
          <w:lang w:val="es-ES_tradnl"/>
        </w:rPr>
        <w:t>,</w:t>
      </w:r>
      <w:r w:rsidR="006260A2" w:rsidRPr="00D87C3F">
        <w:rPr>
          <w:rFonts w:ascii="Arial Narrow" w:hAnsi="Arial Narrow"/>
          <w:sz w:val="24"/>
          <w:szCs w:val="24"/>
          <w:lang w:val="es-ES_tradnl"/>
        </w:rPr>
        <w:t xml:space="preserve"> </w:t>
      </w:r>
      <w:r w:rsidR="007E699E" w:rsidRPr="00D87C3F">
        <w:rPr>
          <w:rFonts w:ascii="Arial Narrow" w:hAnsi="Arial Narrow"/>
          <w:sz w:val="24"/>
          <w:szCs w:val="24"/>
          <w:lang w:val="es-ES_tradnl"/>
        </w:rPr>
        <w:t>las cuales se podrán autorizar para financiar</w:t>
      </w:r>
      <w:r w:rsidR="006260A2" w:rsidRPr="00D87C3F">
        <w:rPr>
          <w:rFonts w:ascii="Arial Narrow" w:hAnsi="Arial Narrow"/>
          <w:sz w:val="24"/>
          <w:szCs w:val="24"/>
          <w:lang w:val="es-ES_tradnl"/>
        </w:rPr>
        <w:t xml:space="preserve"> </w:t>
      </w:r>
      <w:r w:rsidR="006260A2" w:rsidRPr="00D87C3F">
        <w:rPr>
          <w:rFonts w:ascii="Arial Narrow" w:hAnsi="Arial Narrow" w:cs="Arial"/>
          <w:sz w:val="24"/>
          <w:szCs w:val="24"/>
        </w:rPr>
        <w:t>los proyectos de carácter estratégico nacional</w:t>
      </w:r>
      <w:r w:rsidR="007E699E" w:rsidRPr="00D87C3F">
        <w:rPr>
          <w:rFonts w:ascii="Arial Narrow" w:hAnsi="Arial Narrow" w:cs="Arial"/>
          <w:sz w:val="24"/>
          <w:szCs w:val="24"/>
        </w:rPr>
        <w:t xml:space="preserve"> sin limitarlos  a determinados sectores y que cuando su ejecución exceda el periodo de gobierno nacional, dichos</w:t>
      </w:r>
      <w:r w:rsidR="006260A2" w:rsidRPr="00D87C3F">
        <w:rPr>
          <w:rFonts w:ascii="Arial Narrow" w:hAnsi="Arial Narrow"/>
          <w:sz w:val="24"/>
          <w:szCs w:val="24"/>
          <w:lang w:val="es-ES_tradnl"/>
        </w:rPr>
        <w:t xml:space="preserve"> </w:t>
      </w:r>
      <w:r w:rsidR="007E699E" w:rsidRPr="00D87C3F">
        <w:rPr>
          <w:rFonts w:ascii="Arial Narrow" w:hAnsi="Arial Narrow"/>
          <w:sz w:val="24"/>
          <w:szCs w:val="24"/>
          <w:lang w:val="es-ES_tradnl"/>
        </w:rPr>
        <w:t>proyectos deberán contar con aprobació</w:t>
      </w:r>
      <w:r w:rsidR="00086F82">
        <w:rPr>
          <w:rFonts w:ascii="Arial Narrow" w:hAnsi="Arial Narrow"/>
          <w:sz w:val="24"/>
          <w:szCs w:val="24"/>
          <w:lang w:val="es-ES_tradnl"/>
        </w:rPr>
        <w:t>n del Congreso de la Republica.</w:t>
      </w:r>
    </w:p>
    <w:p w:rsidR="001951F5" w:rsidRDefault="001951F5" w:rsidP="007E699E">
      <w:pPr>
        <w:spacing w:line="240" w:lineRule="auto"/>
        <w:ind w:right="-518"/>
        <w:jc w:val="both"/>
        <w:rPr>
          <w:rFonts w:ascii="Arial Narrow" w:hAnsi="Arial Narrow"/>
          <w:sz w:val="24"/>
          <w:szCs w:val="24"/>
          <w:lang w:val="es-ES_tradnl"/>
        </w:rPr>
      </w:pPr>
    </w:p>
    <w:p w:rsidR="008617D3" w:rsidRPr="00D87C3F" w:rsidRDefault="008617D3" w:rsidP="007E699E">
      <w:pPr>
        <w:spacing w:line="240" w:lineRule="auto"/>
        <w:ind w:right="-518"/>
        <w:jc w:val="both"/>
        <w:rPr>
          <w:rFonts w:ascii="Arial Narrow" w:hAnsi="Arial Narrow"/>
          <w:sz w:val="24"/>
          <w:szCs w:val="24"/>
        </w:rPr>
      </w:pPr>
      <w:r w:rsidRPr="00D87C3F">
        <w:rPr>
          <w:rFonts w:ascii="Arial Narrow" w:hAnsi="Arial Narrow"/>
          <w:sz w:val="24"/>
          <w:szCs w:val="24"/>
          <w:lang w:val="es-ES_tradnl"/>
        </w:rPr>
        <w:lastRenderedPageBreak/>
        <w:t>Para efectos de la regulación de vigencias futuras excepcionales</w:t>
      </w:r>
      <w:r w:rsidR="006260A2" w:rsidRPr="00D87C3F">
        <w:rPr>
          <w:rFonts w:ascii="Arial Narrow" w:hAnsi="Arial Narrow"/>
          <w:sz w:val="24"/>
          <w:szCs w:val="24"/>
          <w:lang w:val="es-ES_tradnl"/>
        </w:rPr>
        <w:t xml:space="preserve"> cuando su plazo de ejecución exceda cuatro (4) años</w:t>
      </w:r>
      <w:r w:rsidR="00350EE2" w:rsidRPr="00D87C3F">
        <w:rPr>
          <w:rFonts w:ascii="Arial Narrow" w:hAnsi="Arial Narrow"/>
          <w:sz w:val="24"/>
          <w:szCs w:val="24"/>
          <w:lang w:val="es-ES_tradnl"/>
        </w:rPr>
        <w:t xml:space="preserve"> de periodo de Gobierno Nacional</w:t>
      </w:r>
      <w:r w:rsidRPr="00D87C3F">
        <w:rPr>
          <w:rFonts w:ascii="Arial Narrow" w:hAnsi="Arial Narrow"/>
          <w:sz w:val="24"/>
          <w:szCs w:val="24"/>
          <w:lang w:val="es-ES_tradnl"/>
        </w:rPr>
        <w:t xml:space="preserve">, la autorización de las mismas </w:t>
      </w:r>
      <w:r w:rsidR="006260A2" w:rsidRPr="00D87C3F">
        <w:rPr>
          <w:rFonts w:ascii="Arial Narrow" w:hAnsi="Arial Narrow"/>
          <w:sz w:val="24"/>
          <w:szCs w:val="24"/>
          <w:lang w:val="es-ES_tradnl"/>
        </w:rPr>
        <w:t>estará sujeta</w:t>
      </w:r>
      <w:r w:rsidRPr="00D87C3F">
        <w:rPr>
          <w:rFonts w:ascii="Arial Narrow" w:hAnsi="Arial Narrow"/>
          <w:sz w:val="24"/>
          <w:szCs w:val="24"/>
          <w:lang w:val="es-ES_tradnl"/>
        </w:rPr>
        <w:t>, entre otros, a los siguientes requisitos:</w:t>
      </w:r>
    </w:p>
    <w:p w:rsidR="00A00C3A" w:rsidRDefault="00A00C3A" w:rsidP="007E699E">
      <w:pPr>
        <w:spacing w:line="240" w:lineRule="auto"/>
        <w:ind w:right="-518"/>
        <w:jc w:val="both"/>
        <w:rPr>
          <w:rFonts w:ascii="Arial Narrow" w:hAnsi="Arial Narrow"/>
          <w:sz w:val="24"/>
          <w:szCs w:val="24"/>
          <w:lang w:val="es-ES_tradnl"/>
        </w:rPr>
      </w:pPr>
    </w:p>
    <w:p w:rsidR="00350EE2" w:rsidRPr="00D87C3F" w:rsidRDefault="008617D3" w:rsidP="007E699E">
      <w:pPr>
        <w:spacing w:line="240" w:lineRule="auto"/>
        <w:ind w:right="-518"/>
        <w:jc w:val="both"/>
        <w:rPr>
          <w:rFonts w:ascii="Arial Narrow" w:hAnsi="Arial Narrow" w:cs="Arial"/>
          <w:sz w:val="24"/>
          <w:szCs w:val="24"/>
        </w:rPr>
      </w:pPr>
      <w:r w:rsidRPr="00D87C3F">
        <w:rPr>
          <w:rFonts w:ascii="Arial Narrow" w:hAnsi="Arial Narrow"/>
          <w:sz w:val="24"/>
          <w:szCs w:val="24"/>
          <w:lang w:val="es-ES_tradnl"/>
        </w:rPr>
        <w:t xml:space="preserve">1. Proceden en forma exclusiva para </w:t>
      </w:r>
      <w:r w:rsidR="006260A2" w:rsidRPr="00D87C3F">
        <w:rPr>
          <w:rFonts w:ascii="Arial Narrow" w:hAnsi="Arial Narrow" w:cs="Arial"/>
          <w:sz w:val="24"/>
          <w:szCs w:val="24"/>
        </w:rPr>
        <w:t>los proyectos d</w:t>
      </w:r>
      <w:r w:rsidR="00350EE2" w:rsidRPr="00D87C3F">
        <w:rPr>
          <w:rFonts w:ascii="Arial Narrow" w:hAnsi="Arial Narrow" w:cs="Arial"/>
          <w:sz w:val="24"/>
          <w:szCs w:val="24"/>
        </w:rPr>
        <w:t>e carácter estratégico nacional.</w:t>
      </w:r>
    </w:p>
    <w:p w:rsidR="00350EE2" w:rsidRPr="00D87C3F" w:rsidRDefault="008617D3" w:rsidP="007E699E">
      <w:pPr>
        <w:spacing w:line="240" w:lineRule="auto"/>
        <w:ind w:right="-518"/>
        <w:jc w:val="both"/>
        <w:rPr>
          <w:rFonts w:ascii="Arial Narrow" w:hAnsi="Arial Narrow" w:cs="Arial"/>
          <w:sz w:val="24"/>
          <w:szCs w:val="24"/>
        </w:rPr>
      </w:pPr>
      <w:r w:rsidRPr="00D87C3F">
        <w:rPr>
          <w:rFonts w:ascii="Arial Narrow" w:hAnsi="Arial Narrow"/>
          <w:sz w:val="24"/>
          <w:szCs w:val="24"/>
          <w:lang w:val="es-ES_tradnl"/>
        </w:rPr>
        <w:t xml:space="preserve">2. </w:t>
      </w:r>
      <w:r w:rsidR="004605D3" w:rsidRPr="00D87C3F">
        <w:rPr>
          <w:rFonts w:ascii="Arial Narrow" w:hAnsi="Arial Narrow"/>
          <w:sz w:val="24"/>
          <w:szCs w:val="24"/>
          <w:lang w:val="es-ES_tradnl"/>
        </w:rPr>
        <w:t>Deberá</w:t>
      </w:r>
      <w:r w:rsidRPr="00D87C3F">
        <w:rPr>
          <w:rFonts w:ascii="Arial Narrow" w:hAnsi="Arial Narrow"/>
          <w:sz w:val="24"/>
          <w:szCs w:val="24"/>
          <w:lang w:val="es-ES_tradnl"/>
        </w:rPr>
        <w:t xml:space="preserve"> contar con aprobación </w:t>
      </w:r>
      <w:r w:rsidR="00350EE2" w:rsidRPr="00D87C3F">
        <w:rPr>
          <w:rFonts w:ascii="Arial Narrow" w:hAnsi="Arial Narrow"/>
          <w:sz w:val="24"/>
          <w:szCs w:val="24"/>
          <w:lang w:val="es-ES_tradnl"/>
        </w:rPr>
        <w:t xml:space="preserve">previa del </w:t>
      </w:r>
      <w:proofErr w:type="spellStart"/>
      <w:r w:rsidR="00350EE2" w:rsidRPr="00D87C3F">
        <w:rPr>
          <w:rFonts w:ascii="Arial Narrow" w:hAnsi="Arial Narrow"/>
          <w:sz w:val="24"/>
          <w:szCs w:val="24"/>
          <w:lang w:val="es-ES_tradnl"/>
        </w:rPr>
        <w:t>CONFIS</w:t>
      </w:r>
      <w:proofErr w:type="spellEnd"/>
      <w:r w:rsidR="00350EE2" w:rsidRPr="00D87C3F">
        <w:rPr>
          <w:rFonts w:ascii="Arial Narrow" w:hAnsi="Arial Narrow"/>
          <w:sz w:val="24"/>
          <w:szCs w:val="24"/>
          <w:lang w:val="es-ES_tradnl"/>
        </w:rPr>
        <w:t xml:space="preserve"> para su posterior estudio y autorización en la</w:t>
      </w:r>
      <w:r w:rsidR="007562FE">
        <w:rPr>
          <w:rFonts w:ascii="Arial Narrow" w:hAnsi="Arial Narrow"/>
          <w:sz w:val="24"/>
          <w:szCs w:val="24"/>
          <w:lang w:val="es-ES_tradnl"/>
        </w:rPr>
        <w:t xml:space="preserve">s Comisiones Económicas Conjuntas de </w:t>
      </w:r>
      <w:r w:rsidR="003A12CF">
        <w:rPr>
          <w:rFonts w:ascii="Arial Narrow" w:hAnsi="Arial Narrow"/>
          <w:sz w:val="24"/>
          <w:szCs w:val="24"/>
          <w:lang w:val="es-ES_tradnl"/>
        </w:rPr>
        <w:t>Cámara</w:t>
      </w:r>
      <w:r w:rsidR="007562FE">
        <w:rPr>
          <w:rFonts w:ascii="Arial Narrow" w:hAnsi="Arial Narrow"/>
          <w:sz w:val="24"/>
          <w:szCs w:val="24"/>
          <w:lang w:val="es-ES_tradnl"/>
        </w:rPr>
        <w:t xml:space="preserve"> y Senado</w:t>
      </w:r>
      <w:r w:rsidR="007562FE">
        <w:rPr>
          <w:rFonts w:ascii="Arial Narrow" w:hAnsi="Arial Narrow" w:cs="Arial"/>
          <w:sz w:val="24"/>
          <w:szCs w:val="24"/>
        </w:rPr>
        <w:t>. Sus</w:t>
      </w:r>
      <w:r w:rsidR="007562FE" w:rsidRPr="00D87C3F">
        <w:rPr>
          <w:rFonts w:ascii="Arial Narrow" w:hAnsi="Arial Narrow"/>
          <w:sz w:val="24"/>
          <w:szCs w:val="24"/>
          <w:lang w:val="es-ES_tradnl"/>
        </w:rPr>
        <w:t xml:space="preserve"> funciones están dirigidas a regular el trámite de las vigencias futuras excepcionales, como ocurre a nivel territorial</w:t>
      </w:r>
    </w:p>
    <w:p w:rsidR="008617D3" w:rsidRPr="00D87C3F" w:rsidRDefault="006260A2" w:rsidP="007E699E">
      <w:pPr>
        <w:spacing w:line="240" w:lineRule="auto"/>
        <w:ind w:right="-518"/>
        <w:jc w:val="both"/>
        <w:rPr>
          <w:rFonts w:ascii="Arial Narrow" w:hAnsi="Arial Narrow"/>
          <w:sz w:val="24"/>
          <w:szCs w:val="24"/>
          <w:lang w:val="es-ES_tradnl"/>
        </w:rPr>
      </w:pPr>
      <w:r w:rsidRPr="00D87C3F">
        <w:rPr>
          <w:rFonts w:ascii="Arial Narrow" w:hAnsi="Arial Narrow"/>
          <w:sz w:val="24"/>
          <w:szCs w:val="24"/>
          <w:lang w:val="es-ES_tradnl"/>
        </w:rPr>
        <w:t>3</w:t>
      </w:r>
      <w:r w:rsidR="008617D3" w:rsidRPr="00D87C3F">
        <w:rPr>
          <w:rFonts w:ascii="Arial Narrow" w:hAnsi="Arial Narrow"/>
          <w:sz w:val="24"/>
          <w:szCs w:val="24"/>
          <w:lang w:val="es-ES_tradnl"/>
        </w:rPr>
        <w:t>. La vigencia futura excepcional debe estar respaldada en un proyecto de inversión incorporado en el Plan de Desarrollo respectivo.</w:t>
      </w:r>
    </w:p>
    <w:p w:rsidR="00350EE2" w:rsidRPr="00D87C3F" w:rsidRDefault="00350EE2" w:rsidP="007E699E">
      <w:pPr>
        <w:spacing w:line="240" w:lineRule="auto"/>
        <w:ind w:right="-518"/>
        <w:jc w:val="both"/>
        <w:rPr>
          <w:rFonts w:ascii="Arial Narrow" w:hAnsi="Arial Narrow"/>
          <w:sz w:val="24"/>
          <w:szCs w:val="24"/>
        </w:rPr>
      </w:pPr>
      <w:r w:rsidRPr="00D87C3F">
        <w:rPr>
          <w:rFonts w:ascii="Arial Narrow" w:hAnsi="Arial Narrow"/>
          <w:sz w:val="24"/>
          <w:szCs w:val="24"/>
          <w:lang w:val="es-ES_tradnl"/>
        </w:rPr>
        <w:t>.</w:t>
      </w:r>
    </w:p>
    <w:p w:rsidR="008617D3" w:rsidRPr="00D87C3F" w:rsidRDefault="008617D3" w:rsidP="007E699E">
      <w:pPr>
        <w:spacing w:line="240" w:lineRule="auto"/>
        <w:ind w:right="-518"/>
        <w:jc w:val="both"/>
        <w:rPr>
          <w:rFonts w:ascii="Arial Narrow" w:hAnsi="Arial Narrow"/>
          <w:sz w:val="24"/>
          <w:szCs w:val="24"/>
        </w:rPr>
      </w:pPr>
    </w:p>
    <w:p w:rsidR="007E699E" w:rsidRPr="00D87C3F" w:rsidRDefault="007E699E" w:rsidP="007E699E">
      <w:pPr>
        <w:spacing w:line="240" w:lineRule="auto"/>
        <w:ind w:right="-518"/>
        <w:jc w:val="both"/>
        <w:rPr>
          <w:rFonts w:ascii="Arial Narrow" w:hAnsi="Arial Narrow"/>
          <w:sz w:val="24"/>
          <w:szCs w:val="24"/>
          <w:lang w:val="es-ES_tradnl"/>
        </w:rPr>
      </w:pPr>
    </w:p>
    <w:p w:rsidR="008617D3" w:rsidRPr="00D87C3F" w:rsidRDefault="003D3F8F" w:rsidP="007E699E">
      <w:pPr>
        <w:spacing w:line="240" w:lineRule="auto"/>
        <w:ind w:right="-518"/>
        <w:jc w:val="both"/>
        <w:rPr>
          <w:rFonts w:ascii="Arial Narrow" w:hAnsi="Arial Narrow"/>
          <w:sz w:val="24"/>
          <w:szCs w:val="24"/>
          <w:lang w:val="es-ES_tradnl"/>
        </w:rPr>
      </w:pPr>
      <w:r w:rsidRPr="00D87C3F">
        <w:rPr>
          <w:rFonts w:ascii="Arial Narrow" w:hAnsi="Arial Narrow"/>
          <w:sz w:val="24"/>
          <w:szCs w:val="24"/>
          <w:lang w:val="es-ES_tradnl"/>
        </w:rPr>
        <w:t>De los H</w:t>
      </w:r>
      <w:r w:rsidR="008617D3" w:rsidRPr="00D87C3F">
        <w:rPr>
          <w:rFonts w:ascii="Arial Narrow" w:hAnsi="Arial Narrow"/>
          <w:sz w:val="24"/>
          <w:szCs w:val="24"/>
          <w:lang w:val="es-ES_tradnl"/>
        </w:rPr>
        <w:t>onorables Congresistas,</w:t>
      </w:r>
    </w:p>
    <w:p w:rsidR="006F2A32" w:rsidRPr="00D87C3F" w:rsidRDefault="006F2A32" w:rsidP="007E699E">
      <w:pPr>
        <w:pStyle w:val="Sinespaciado"/>
        <w:ind w:right="-518"/>
        <w:jc w:val="both"/>
        <w:rPr>
          <w:rFonts w:ascii="Arial Narrow" w:hAnsi="Arial Narrow"/>
          <w:b/>
          <w:sz w:val="24"/>
          <w:szCs w:val="24"/>
          <w:shd w:val="clear" w:color="auto" w:fill="FFFFFF"/>
        </w:rPr>
      </w:pPr>
    </w:p>
    <w:p w:rsidR="007E699E" w:rsidRPr="00D87C3F" w:rsidRDefault="007E699E" w:rsidP="007E699E">
      <w:pPr>
        <w:pStyle w:val="Sinespaciado"/>
        <w:ind w:right="-518"/>
        <w:jc w:val="both"/>
        <w:rPr>
          <w:rFonts w:ascii="Arial Narrow" w:hAnsi="Arial Narrow"/>
          <w:b/>
          <w:sz w:val="24"/>
          <w:szCs w:val="24"/>
          <w:shd w:val="clear" w:color="auto" w:fill="FFFFFF"/>
        </w:rPr>
      </w:pPr>
    </w:p>
    <w:p w:rsidR="007E699E" w:rsidRPr="00D87C3F" w:rsidRDefault="007E699E" w:rsidP="007E699E">
      <w:pPr>
        <w:pStyle w:val="Sinespaciado"/>
        <w:ind w:right="-518"/>
        <w:jc w:val="both"/>
        <w:rPr>
          <w:rFonts w:ascii="Arial Narrow" w:hAnsi="Arial Narrow"/>
          <w:b/>
          <w:sz w:val="24"/>
          <w:szCs w:val="24"/>
          <w:shd w:val="clear" w:color="auto" w:fill="FFFFFF"/>
        </w:rPr>
      </w:pPr>
    </w:p>
    <w:p w:rsidR="00DC4823" w:rsidRPr="00D87C3F" w:rsidRDefault="00DC4823" w:rsidP="007E699E">
      <w:pPr>
        <w:pStyle w:val="Sinespaciado"/>
        <w:ind w:right="-518"/>
        <w:jc w:val="both"/>
        <w:rPr>
          <w:rFonts w:ascii="Arial Narrow" w:hAnsi="Arial Narrow"/>
          <w:b/>
          <w:sz w:val="24"/>
          <w:szCs w:val="24"/>
          <w:shd w:val="clear" w:color="auto" w:fill="FFFFFF"/>
        </w:rPr>
      </w:pPr>
      <w:r w:rsidRPr="00D87C3F">
        <w:rPr>
          <w:rFonts w:ascii="Arial Narrow" w:hAnsi="Arial Narrow"/>
          <w:b/>
          <w:sz w:val="24"/>
          <w:szCs w:val="24"/>
          <w:shd w:val="clear" w:color="auto" w:fill="FFFFFF"/>
        </w:rPr>
        <w:t>JOHN JAIRO CÁRDENAS MORAN.</w:t>
      </w:r>
    </w:p>
    <w:p w:rsidR="00DC4823" w:rsidRPr="00D87C3F" w:rsidRDefault="00DC4823" w:rsidP="007E699E">
      <w:pPr>
        <w:pStyle w:val="Sinespaciado"/>
        <w:ind w:right="-518"/>
        <w:jc w:val="both"/>
        <w:rPr>
          <w:rFonts w:ascii="Arial Narrow" w:hAnsi="Arial Narrow"/>
          <w:sz w:val="24"/>
          <w:szCs w:val="24"/>
          <w:shd w:val="clear" w:color="auto" w:fill="FFFFFF"/>
        </w:rPr>
      </w:pPr>
      <w:r w:rsidRPr="00D87C3F">
        <w:rPr>
          <w:rFonts w:ascii="Arial Narrow" w:hAnsi="Arial Narrow"/>
          <w:sz w:val="24"/>
          <w:szCs w:val="24"/>
          <w:shd w:val="clear" w:color="auto" w:fill="FFFFFF"/>
        </w:rPr>
        <w:t>Representante a la Cámara</w:t>
      </w:r>
      <w:r w:rsidR="007E699E" w:rsidRPr="00D87C3F">
        <w:rPr>
          <w:rFonts w:ascii="Arial Narrow" w:hAnsi="Arial Narrow"/>
          <w:sz w:val="24"/>
          <w:szCs w:val="24"/>
          <w:shd w:val="clear" w:color="auto" w:fill="FFFFFF"/>
        </w:rPr>
        <w:t>.</w:t>
      </w:r>
    </w:p>
    <w:p w:rsidR="007E699E" w:rsidRPr="00D87C3F" w:rsidRDefault="007E699E" w:rsidP="007E699E">
      <w:pPr>
        <w:pStyle w:val="Sinespaciado"/>
        <w:ind w:right="-518"/>
        <w:jc w:val="both"/>
        <w:rPr>
          <w:rFonts w:ascii="Arial Narrow" w:hAnsi="Arial Narrow"/>
          <w:sz w:val="24"/>
          <w:szCs w:val="24"/>
          <w:shd w:val="clear" w:color="auto" w:fill="FFFFFF"/>
        </w:rPr>
      </w:pPr>
    </w:p>
    <w:p w:rsidR="007E699E" w:rsidRPr="00D87C3F" w:rsidRDefault="007E699E" w:rsidP="007E699E">
      <w:pPr>
        <w:pStyle w:val="Sinespaciado"/>
        <w:ind w:right="-518"/>
        <w:jc w:val="both"/>
        <w:rPr>
          <w:rFonts w:ascii="Arial Narrow" w:hAnsi="Arial Narrow"/>
          <w:sz w:val="24"/>
          <w:szCs w:val="24"/>
          <w:shd w:val="clear" w:color="auto" w:fill="FFFFFF"/>
        </w:rPr>
      </w:pPr>
    </w:p>
    <w:p w:rsidR="007E699E" w:rsidRPr="00D87C3F" w:rsidRDefault="007E699E" w:rsidP="007E699E">
      <w:pPr>
        <w:pStyle w:val="Sinespaciado"/>
        <w:ind w:right="-518"/>
        <w:jc w:val="both"/>
        <w:rPr>
          <w:rFonts w:ascii="Arial Narrow" w:hAnsi="Arial Narrow"/>
          <w:sz w:val="24"/>
          <w:szCs w:val="24"/>
          <w:shd w:val="clear" w:color="auto" w:fill="FFFFFF"/>
        </w:rPr>
      </w:pPr>
    </w:p>
    <w:p w:rsidR="007E699E" w:rsidRDefault="007E699E" w:rsidP="007E699E">
      <w:pPr>
        <w:pStyle w:val="Sinespaciado"/>
        <w:ind w:right="-518"/>
        <w:jc w:val="both"/>
        <w:rPr>
          <w:rFonts w:ascii="Arial Narrow" w:hAnsi="Arial Narrow"/>
          <w:sz w:val="24"/>
          <w:szCs w:val="24"/>
          <w:shd w:val="clear" w:color="auto" w:fill="FFFFFF"/>
        </w:rPr>
      </w:pPr>
    </w:p>
    <w:p w:rsidR="00A00C3A" w:rsidRDefault="00A00C3A" w:rsidP="007E699E">
      <w:pPr>
        <w:pStyle w:val="Sinespaciado"/>
        <w:ind w:right="-518"/>
        <w:jc w:val="both"/>
        <w:rPr>
          <w:rFonts w:ascii="Arial Narrow" w:hAnsi="Arial Narrow"/>
          <w:sz w:val="24"/>
          <w:szCs w:val="24"/>
          <w:shd w:val="clear" w:color="auto" w:fill="FFFFFF"/>
        </w:rPr>
      </w:pPr>
    </w:p>
    <w:p w:rsidR="00A00C3A" w:rsidRDefault="00A00C3A" w:rsidP="007E699E">
      <w:pPr>
        <w:pStyle w:val="Sinespaciado"/>
        <w:ind w:right="-518"/>
        <w:jc w:val="both"/>
        <w:rPr>
          <w:rFonts w:ascii="Arial Narrow" w:hAnsi="Arial Narrow"/>
          <w:sz w:val="24"/>
          <w:szCs w:val="24"/>
          <w:shd w:val="clear" w:color="auto" w:fill="FFFFFF"/>
        </w:rPr>
      </w:pPr>
    </w:p>
    <w:p w:rsidR="00A00C3A" w:rsidRDefault="00A00C3A" w:rsidP="007E699E">
      <w:pPr>
        <w:pStyle w:val="Sinespaciado"/>
        <w:ind w:right="-518"/>
        <w:jc w:val="both"/>
        <w:rPr>
          <w:rFonts w:ascii="Arial Narrow" w:hAnsi="Arial Narrow"/>
          <w:sz w:val="24"/>
          <w:szCs w:val="24"/>
          <w:shd w:val="clear" w:color="auto" w:fill="FFFFFF"/>
        </w:rPr>
      </w:pPr>
    </w:p>
    <w:p w:rsidR="00A00C3A" w:rsidRDefault="00A00C3A" w:rsidP="007E699E">
      <w:pPr>
        <w:pStyle w:val="Sinespaciado"/>
        <w:ind w:right="-518"/>
        <w:jc w:val="both"/>
        <w:rPr>
          <w:rFonts w:ascii="Arial Narrow" w:hAnsi="Arial Narrow"/>
          <w:sz w:val="24"/>
          <w:szCs w:val="24"/>
          <w:shd w:val="clear" w:color="auto" w:fill="FFFFFF"/>
        </w:rPr>
      </w:pPr>
    </w:p>
    <w:p w:rsidR="00A00C3A" w:rsidRDefault="00A00C3A" w:rsidP="007E699E">
      <w:pPr>
        <w:pStyle w:val="Sinespaciado"/>
        <w:ind w:right="-518"/>
        <w:jc w:val="both"/>
        <w:rPr>
          <w:rFonts w:ascii="Arial Narrow" w:hAnsi="Arial Narrow"/>
          <w:sz w:val="24"/>
          <w:szCs w:val="24"/>
          <w:shd w:val="clear" w:color="auto" w:fill="FFFFFF"/>
        </w:rPr>
      </w:pPr>
    </w:p>
    <w:p w:rsidR="00A00C3A" w:rsidRDefault="00A00C3A" w:rsidP="007E699E">
      <w:pPr>
        <w:pStyle w:val="Sinespaciado"/>
        <w:ind w:right="-518"/>
        <w:jc w:val="both"/>
        <w:rPr>
          <w:rFonts w:ascii="Arial Narrow" w:hAnsi="Arial Narrow"/>
          <w:sz w:val="24"/>
          <w:szCs w:val="24"/>
          <w:shd w:val="clear" w:color="auto" w:fill="FFFFFF"/>
        </w:rPr>
      </w:pPr>
    </w:p>
    <w:p w:rsidR="00A00C3A" w:rsidRDefault="00A00C3A" w:rsidP="007E699E">
      <w:pPr>
        <w:pStyle w:val="Sinespaciado"/>
        <w:ind w:right="-518"/>
        <w:jc w:val="both"/>
        <w:rPr>
          <w:rFonts w:ascii="Arial Narrow" w:hAnsi="Arial Narrow"/>
          <w:sz w:val="24"/>
          <w:szCs w:val="24"/>
          <w:shd w:val="clear" w:color="auto" w:fill="FFFFFF"/>
        </w:rPr>
      </w:pPr>
    </w:p>
    <w:p w:rsidR="00A00C3A" w:rsidRDefault="00A00C3A" w:rsidP="007E699E">
      <w:pPr>
        <w:pStyle w:val="Sinespaciado"/>
        <w:ind w:right="-518"/>
        <w:jc w:val="both"/>
        <w:rPr>
          <w:rFonts w:ascii="Arial Narrow" w:hAnsi="Arial Narrow"/>
          <w:sz w:val="24"/>
          <w:szCs w:val="24"/>
          <w:shd w:val="clear" w:color="auto" w:fill="FFFFFF"/>
        </w:rPr>
      </w:pPr>
    </w:p>
    <w:p w:rsidR="00A00C3A" w:rsidRDefault="00A00C3A" w:rsidP="007E699E">
      <w:pPr>
        <w:pStyle w:val="Sinespaciado"/>
        <w:ind w:right="-518"/>
        <w:jc w:val="both"/>
        <w:rPr>
          <w:rFonts w:ascii="Arial Narrow" w:hAnsi="Arial Narrow"/>
          <w:sz w:val="24"/>
          <w:szCs w:val="24"/>
          <w:shd w:val="clear" w:color="auto" w:fill="FFFFFF"/>
        </w:rPr>
      </w:pPr>
    </w:p>
    <w:p w:rsidR="00A00C3A" w:rsidRDefault="00A00C3A" w:rsidP="007E699E">
      <w:pPr>
        <w:pStyle w:val="Sinespaciado"/>
        <w:ind w:right="-518"/>
        <w:jc w:val="both"/>
        <w:rPr>
          <w:rFonts w:ascii="Arial Narrow" w:hAnsi="Arial Narrow"/>
          <w:sz w:val="24"/>
          <w:szCs w:val="24"/>
          <w:shd w:val="clear" w:color="auto" w:fill="FFFFFF"/>
        </w:rPr>
      </w:pPr>
    </w:p>
    <w:p w:rsidR="00A00C3A" w:rsidRDefault="00A00C3A" w:rsidP="007E699E">
      <w:pPr>
        <w:pStyle w:val="Sinespaciado"/>
        <w:ind w:right="-518"/>
        <w:jc w:val="both"/>
        <w:rPr>
          <w:rFonts w:ascii="Arial Narrow" w:hAnsi="Arial Narrow"/>
          <w:sz w:val="24"/>
          <w:szCs w:val="24"/>
          <w:shd w:val="clear" w:color="auto" w:fill="FFFFFF"/>
        </w:rPr>
      </w:pPr>
    </w:p>
    <w:p w:rsidR="00A00C3A" w:rsidRDefault="00A00C3A" w:rsidP="007E699E">
      <w:pPr>
        <w:pStyle w:val="Sinespaciado"/>
        <w:ind w:right="-518"/>
        <w:jc w:val="both"/>
        <w:rPr>
          <w:rFonts w:ascii="Arial Narrow" w:hAnsi="Arial Narrow"/>
          <w:sz w:val="24"/>
          <w:szCs w:val="24"/>
          <w:shd w:val="clear" w:color="auto" w:fill="FFFFFF"/>
        </w:rPr>
      </w:pPr>
    </w:p>
    <w:p w:rsidR="00A00C3A" w:rsidRDefault="00A00C3A" w:rsidP="007E699E">
      <w:pPr>
        <w:pStyle w:val="Sinespaciado"/>
        <w:ind w:right="-518"/>
        <w:jc w:val="both"/>
        <w:rPr>
          <w:rFonts w:ascii="Arial Narrow" w:hAnsi="Arial Narrow"/>
          <w:sz w:val="24"/>
          <w:szCs w:val="24"/>
          <w:shd w:val="clear" w:color="auto" w:fill="FFFFFF"/>
        </w:rPr>
      </w:pPr>
    </w:p>
    <w:p w:rsidR="00A00C3A" w:rsidRDefault="00A00C3A" w:rsidP="007E699E">
      <w:pPr>
        <w:pStyle w:val="Sinespaciado"/>
        <w:ind w:right="-518"/>
        <w:jc w:val="both"/>
        <w:rPr>
          <w:rFonts w:ascii="Arial Narrow" w:hAnsi="Arial Narrow"/>
          <w:sz w:val="24"/>
          <w:szCs w:val="24"/>
          <w:shd w:val="clear" w:color="auto" w:fill="FFFFFF"/>
        </w:rPr>
      </w:pPr>
    </w:p>
    <w:p w:rsidR="00A00C3A" w:rsidRDefault="00A00C3A" w:rsidP="007E699E">
      <w:pPr>
        <w:pStyle w:val="Sinespaciado"/>
        <w:ind w:right="-518"/>
        <w:jc w:val="both"/>
        <w:rPr>
          <w:rFonts w:ascii="Arial Narrow" w:hAnsi="Arial Narrow"/>
          <w:sz w:val="24"/>
          <w:szCs w:val="24"/>
          <w:shd w:val="clear" w:color="auto" w:fill="FFFFFF"/>
        </w:rPr>
      </w:pPr>
    </w:p>
    <w:p w:rsidR="000374A5" w:rsidRDefault="000374A5" w:rsidP="000374A5">
      <w:pPr>
        <w:spacing w:line="240" w:lineRule="auto"/>
        <w:ind w:right="-518"/>
        <w:jc w:val="center"/>
        <w:rPr>
          <w:rFonts w:ascii="Arial Narrow" w:hAnsi="Arial Narrow"/>
          <w:b/>
          <w:i/>
          <w:sz w:val="24"/>
          <w:szCs w:val="24"/>
        </w:rPr>
      </w:pPr>
      <w:r w:rsidRPr="00D87C3F">
        <w:rPr>
          <w:rFonts w:ascii="Arial Narrow" w:hAnsi="Arial Narrow"/>
          <w:b/>
          <w:i/>
          <w:sz w:val="24"/>
          <w:szCs w:val="24"/>
        </w:rPr>
        <w:lastRenderedPageBreak/>
        <w:t>PROYECTO DE LEY ORGÁNICA NO</w:t>
      </w:r>
      <w:proofErr w:type="gramStart"/>
      <w:r w:rsidRPr="00D87C3F">
        <w:rPr>
          <w:rFonts w:ascii="Arial Narrow" w:hAnsi="Arial Narrow"/>
          <w:b/>
          <w:i/>
          <w:sz w:val="24"/>
          <w:szCs w:val="24"/>
        </w:rPr>
        <w:t xml:space="preserve">. </w:t>
      </w:r>
      <w:r w:rsidRPr="00D87C3F">
        <w:rPr>
          <w:rFonts w:ascii="Arial Narrow" w:hAnsi="Arial Narrow"/>
          <w:b/>
          <w:i/>
          <w:sz w:val="24"/>
          <w:szCs w:val="24"/>
          <w:u w:val="single"/>
        </w:rPr>
        <w:t xml:space="preserve">      </w:t>
      </w:r>
      <w:proofErr w:type="gramEnd"/>
      <w:r w:rsidRPr="00D87C3F">
        <w:rPr>
          <w:rFonts w:ascii="Arial Narrow" w:hAnsi="Arial Narrow"/>
          <w:b/>
          <w:i/>
          <w:sz w:val="24"/>
          <w:szCs w:val="24"/>
        </w:rPr>
        <w:t xml:space="preserve">DE 2017 CÁMARA “POR MEDIO </w:t>
      </w:r>
      <w:r>
        <w:rPr>
          <w:rFonts w:ascii="Arial Narrow" w:hAnsi="Arial Narrow"/>
          <w:b/>
          <w:i/>
          <w:sz w:val="24"/>
          <w:szCs w:val="24"/>
        </w:rPr>
        <w:t>DEL CUAL SE</w:t>
      </w:r>
      <w:r w:rsidRPr="00D87C3F">
        <w:rPr>
          <w:rFonts w:ascii="Arial Narrow" w:hAnsi="Arial Narrow"/>
          <w:b/>
          <w:i/>
          <w:sz w:val="24"/>
          <w:szCs w:val="24"/>
        </w:rPr>
        <w:t xml:space="preserve"> MODIFICA LA LEY 819 DE 2003</w:t>
      </w:r>
      <w:r>
        <w:rPr>
          <w:rFonts w:ascii="Arial Narrow" w:hAnsi="Arial Narrow"/>
          <w:b/>
          <w:i/>
          <w:sz w:val="24"/>
          <w:szCs w:val="24"/>
        </w:rPr>
        <w:t xml:space="preserve"> </w:t>
      </w:r>
      <w:r w:rsidRPr="00086F82">
        <w:rPr>
          <w:rStyle w:val="Textoennegrita"/>
          <w:rFonts w:ascii="Arial Narrow" w:hAnsi="Arial Narrow" w:cs="Arial"/>
          <w:i/>
          <w:color w:val="000000"/>
          <w:sz w:val="24"/>
          <w:szCs w:val="24"/>
          <w:shd w:val="clear" w:color="auto" w:fill="FFFFFF"/>
        </w:rPr>
        <w:t>POR LA CUAL SE DICTAN NORMAS ORGÁNICAS EN MATERIA DE PRESUPUESTO, RESPONSABILIDAD Y TRANSPARENCIA FISCAL Y SE DICTAN OTRAS DISPOSICIONES.</w:t>
      </w:r>
      <w:r w:rsidRPr="00086F82">
        <w:rPr>
          <w:rFonts w:ascii="Arial Narrow" w:hAnsi="Arial Narrow"/>
          <w:b/>
          <w:i/>
          <w:sz w:val="24"/>
          <w:szCs w:val="24"/>
        </w:rPr>
        <w:t>”.</w:t>
      </w:r>
    </w:p>
    <w:p w:rsidR="000374A5" w:rsidRPr="000374A5" w:rsidRDefault="000374A5" w:rsidP="000374A5">
      <w:pPr>
        <w:suppressAutoHyphens/>
        <w:autoSpaceDE w:val="0"/>
        <w:autoSpaceDN w:val="0"/>
        <w:adjustRightInd w:val="0"/>
        <w:spacing w:before="57" w:after="85" w:line="260" w:lineRule="atLeast"/>
        <w:ind w:right="49" w:firstLine="283"/>
        <w:jc w:val="center"/>
        <w:rPr>
          <w:rFonts w:ascii="Arial Narrow" w:eastAsia="Times New Roman" w:hAnsi="Arial Narrow" w:cs="Times New Roman"/>
          <w:sz w:val="24"/>
          <w:szCs w:val="24"/>
          <w:lang w:eastAsia="es-CO"/>
        </w:rPr>
      </w:pPr>
      <w:r w:rsidRPr="000374A5">
        <w:rPr>
          <w:rFonts w:ascii="Arial Narrow" w:eastAsia="Calibri" w:hAnsi="Arial Narrow" w:cs="Times New Roman"/>
          <w:color w:val="000000"/>
          <w:sz w:val="24"/>
          <w:szCs w:val="24"/>
          <w:lang w:val="es-ES_tradnl"/>
        </w:rPr>
        <w:t>El Congreso de Colombia</w:t>
      </w:r>
    </w:p>
    <w:p w:rsidR="000374A5" w:rsidRPr="000374A5" w:rsidRDefault="000374A5" w:rsidP="000374A5">
      <w:pPr>
        <w:suppressAutoHyphens/>
        <w:autoSpaceDE w:val="0"/>
        <w:autoSpaceDN w:val="0"/>
        <w:adjustRightInd w:val="0"/>
        <w:spacing w:before="57" w:after="85" w:line="260" w:lineRule="atLeast"/>
        <w:ind w:right="49" w:firstLine="283"/>
        <w:jc w:val="center"/>
        <w:rPr>
          <w:rFonts w:ascii="Arial Narrow" w:eastAsia="Times New Roman" w:hAnsi="Arial Narrow" w:cs="Times New Roman"/>
          <w:sz w:val="24"/>
          <w:szCs w:val="24"/>
          <w:lang w:eastAsia="es-CO"/>
        </w:rPr>
      </w:pPr>
      <w:r w:rsidRPr="000374A5">
        <w:rPr>
          <w:rFonts w:ascii="Arial Narrow" w:eastAsia="Calibri" w:hAnsi="Arial Narrow" w:cs="Times New Roman"/>
          <w:color w:val="000000"/>
          <w:sz w:val="24"/>
          <w:szCs w:val="24"/>
          <w:lang w:val="es-ES_tradnl"/>
        </w:rPr>
        <w:t>DECRETA:</w:t>
      </w:r>
    </w:p>
    <w:p w:rsidR="000A3CFB" w:rsidRPr="00D87C3F" w:rsidRDefault="000A3CFB" w:rsidP="007E699E">
      <w:pPr>
        <w:pStyle w:val="NormalWeb"/>
        <w:shd w:val="clear" w:color="auto" w:fill="FFFFFF"/>
        <w:jc w:val="both"/>
        <w:rPr>
          <w:rFonts w:ascii="Arial Narrow" w:hAnsi="Arial Narrow" w:cs="Arial"/>
          <w:b/>
          <w:bCs/>
          <w:color w:val="000000"/>
        </w:rPr>
      </w:pPr>
      <w:r w:rsidRPr="00D87C3F">
        <w:rPr>
          <w:rFonts w:ascii="Arial Narrow" w:hAnsi="Arial Narrow" w:cs="Arial"/>
          <w:b/>
          <w:bCs/>
        </w:rPr>
        <w:t xml:space="preserve">Artículo </w:t>
      </w:r>
      <w:r w:rsidR="007562FE">
        <w:rPr>
          <w:rFonts w:ascii="Arial Narrow" w:hAnsi="Arial Narrow" w:cs="Arial"/>
          <w:b/>
          <w:bCs/>
        </w:rPr>
        <w:t>1</w:t>
      </w:r>
      <w:r w:rsidRPr="00D87C3F">
        <w:rPr>
          <w:rFonts w:ascii="Arial Narrow" w:hAnsi="Arial Narrow" w:cs="Arial"/>
          <w:b/>
          <w:bCs/>
        </w:rPr>
        <w:t xml:space="preserve">. </w:t>
      </w:r>
      <w:r w:rsidRPr="00D87C3F">
        <w:rPr>
          <w:rFonts w:ascii="Arial Narrow" w:hAnsi="Arial Narrow" w:cs="Arial"/>
          <w:b/>
        </w:rPr>
        <w:t>El artículo 10 de la Ley 819 de 2003 quedará así</w:t>
      </w:r>
      <w:r w:rsidRPr="00D87C3F">
        <w:rPr>
          <w:rFonts w:ascii="Arial Narrow" w:hAnsi="Arial Narrow" w:cs="Arial"/>
          <w:b/>
          <w:bCs/>
          <w:color w:val="000000"/>
        </w:rPr>
        <w:t xml:space="preserve"> </w:t>
      </w:r>
    </w:p>
    <w:p w:rsidR="000A3CFB" w:rsidRPr="00D87C3F" w:rsidRDefault="000A3CFB" w:rsidP="007E699E">
      <w:pPr>
        <w:pStyle w:val="NormalWeb"/>
        <w:shd w:val="clear" w:color="auto" w:fill="FFFFFF"/>
        <w:ind w:left="708"/>
        <w:jc w:val="both"/>
        <w:rPr>
          <w:rFonts w:ascii="Arial Narrow" w:hAnsi="Arial Narrow" w:cs="Arial"/>
          <w:b/>
          <w:i/>
          <w:color w:val="000000"/>
        </w:rPr>
      </w:pPr>
      <w:r w:rsidRPr="00D87C3F">
        <w:rPr>
          <w:rFonts w:ascii="Arial Narrow" w:hAnsi="Arial Narrow" w:cs="Arial"/>
          <w:b/>
          <w:bCs/>
          <w:i/>
          <w:color w:val="000000"/>
        </w:rPr>
        <w:t>Artículo 10</w:t>
      </w:r>
      <w:r w:rsidRPr="00D87C3F">
        <w:rPr>
          <w:rFonts w:ascii="Arial Narrow" w:hAnsi="Arial Narrow" w:cs="Arial"/>
          <w:b/>
          <w:i/>
          <w:color w:val="000000"/>
        </w:rPr>
        <w:t>.</w:t>
      </w:r>
      <w:r w:rsidRPr="00D87C3F">
        <w:rPr>
          <w:rStyle w:val="apple-converted-space"/>
          <w:rFonts w:ascii="Arial Narrow" w:hAnsi="Arial Narrow" w:cs="Arial"/>
          <w:b/>
          <w:i/>
          <w:color w:val="000000"/>
        </w:rPr>
        <w:t> </w:t>
      </w:r>
      <w:r w:rsidRPr="00D87C3F">
        <w:rPr>
          <w:rFonts w:ascii="Arial Narrow" w:hAnsi="Arial Narrow" w:cs="Arial"/>
          <w:b/>
          <w:i/>
          <w:iCs/>
          <w:color w:val="000000"/>
        </w:rPr>
        <w:t>Vigencias futuras ordinarias</w:t>
      </w:r>
      <w:r w:rsidRPr="00D87C3F">
        <w:rPr>
          <w:rFonts w:ascii="Arial Narrow" w:hAnsi="Arial Narrow" w:cs="Arial"/>
          <w:b/>
          <w:i/>
          <w:color w:val="000000"/>
        </w:rPr>
        <w:t>. El artículo 9º de la Ley 179 de 1994 quedará así:</w:t>
      </w:r>
    </w:p>
    <w:p w:rsidR="000A3CFB" w:rsidRPr="00D87C3F" w:rsidRDefault="000A3CFB" w:rsidP="007E699E">
      <w:pPr>
        <w:pStyle w:val="NormalWeb"/>
        <w:shd w:val="clear" w:color="auto" w:fill="FFFFFF"/>
        <w:ind w:left="708"/>
        <w:jc w:val="both"/>
        <w:rPr>
          <w:rFonts w:ascii="Arial Narrow" w:hAnsi="Arial Narrow" w:cs="Arial"/>
          <w:color w:val="000000"/>
        </w:rPr>
      </w:pPr>
      <w:r w:rsidRPr="00D87C3F">
        <w:rPr>
          <w:rFonts w:ascii="Arial Narrow" w:hAnsi="Arial Narrow" w:cs="Arial"/>
          <w:color w:val="000000"/>
        </w:rPr>
        <w:t>El Confis podrá autorizar la asunción de obligaciones que afecten presupuestos de vigencias futuras cuando su ejecución se inicie con presupuesto de la vigencia en curso y el objeto del compromiso se lleve a cabo en cada una de ellas siempre y cuando se cumpla que:</w:t>
      </w:r>
    </w:p>
    <w:p w:rsidR="000A3CFB" w:rsidRPr="00D87C3F" w:rsidRDefault="000A3CFB" w:rsidP="007E699E">
      <w:pPr>
        <w:pStyle w:val="NormalWeb"/>
        <w:shd w:val="clear" w:color="auto" w:fill="FFFFFF"/>
        <w:ind w:left="708"/>
        <w:jc w:val="both"/>
        <w:rPr>
          <w:rFonts w:ascii="Arial Narrow" w:hAnsi="Arial Narrow" w:cs="Arial"/>
          <w:color w:val="000000"/>
        </w:rPr>
      </w:pPr>
      <w:r w:rsidRPr="00D87C3F">
        <w:rPr>
          <w:rFonts w:ascii="Arial Narrow" w:hAnsi="Arial Narrow" w:cs="Arial"/>
          <w:color w:val="000000"/>
        </w:rPr>
        <w:t>a) El monto máximo de vigencias futuras, el plazo y las condiciones de las mismas consulte las metas plurianuales del Marco Fiscal de Mediano Plazo de que trata el artículo 1º de esta ley;</w:t>
      </w:r>
      <w:bookmarkStart w:id="2" w:name="_GoBack"/>
      <w:bookmarkEnd w:id="2"/>
    </w:p>
    <w:p w:rsidR="000A3CFB" w:rsidRPr="00D87C3F" w:rsidRDefault="000A3CFB" w:rsidP="007E699E">
      <w:pPr>
        <w:pStyle w:val="NormalWeb"/>
        <w:shd w:val="clear" w:color="auto" w:fill="FFFFFF"/>
        <w:ind w:left="708"/>
        <w:jc w:val="both"/>
        <w:rPr>
          <w:rFonts w:ascii="Arial Narrow" w:hAnsi="Arial Narrow" w:cs="Arial"/>
          <w:color w:val="000000"/>
        </w:rPr>
      </w:pPr>
      <w:r w:rsidRPr="00D87C3F">
        <w:rPr>
          <w:rFonts w:ascii="Arial Narrow" w:hAnsi="Arial Narrow" w:cs="Arial"/>
          <w:color w:val="000000"/>
        </w:rPr>
        <w:t>b) Como mínimo, de las vigencias futuras que se soliciten se deberá contar con apropiación del quince por ciento (15%) en la vigencia fiscal en la que estas sean autorizadas;</w:t>
      </w:r>
    </w:p>
    <w:p w:rsidR="000A3CFB" w:rsidRPr="00D87C3F" w:rsidRDefault="000A3CFB" w:rsidP="007E699E">
      <w:pPr>
        <w:pStyle w:val="NormalWeb"/>
        <w:shd w:val="clear" w:color="auto" w:fill="FFFFFF"/>
        <w:ind w:left="708"/>
        <w:jc w:val="both"/>
        <w:rPr>
          <w:rFonts w:ascii="Arial Narrow" w:hAnsi="Arial Narrow" w:cs="Arial"/>
          <w:color w:val="000000"/>
        </w:rPr>
      </w:pPr>
      <w:r w:rsidRPr="00D87C3F">
        <w:rPr>
          <w:rFonts w:ascii="Arial Narrow" w:hAnsi="Arial Narrow" w:cs="Arial"/>
          <w:color w:val="000000"/>
        </w:rPr>
        <w:t>c) Cuando se trate de proyectos de inversión nacional deberá obtenerse el concepto previo y favorable del Departamento Nacional de Planeación y del Ministerio del ramo.</w:t>
      </w:r>
    </w:p>
    <w:p w:rsidR="000A3CFB" w:rsidRPr="00D87C3F" w:rsidRDefault="000A3CFB" w:rsidP="007E699E">
      <w:pPr>
        <w:pStyle w:val="NormalWeb"/>
        <w:shd w:val="clear" w:color="auto" w:fill="FFFFFF"/>
        <w:ind w:left="708"/>
        <w:jc w:val="both"/>
        <w:rPr>
          <w:rFonts w:ascii="Arial Narrow" w:hAnsi="Arial Narrow" w:cs="Arial"/>
          <w:b/>
          <w:strike/>
          <w:color w:val="000000"/>
        </w:rPr>
      </w:pPr>
      <w:r w:rsidRPr="00D87C3F">
        <w:rPr>
          <w:rFonts w:ascii="Arial Narrow" w:hAnsi="Arial Narrow" w:cs="Arial"/>
          <w:color w:val="000000"/>
        </w:rPr>
        <w:t xml:space="preserve">La autorización por parte del Confis para comprometer presupuesto con cargo a vigencias futuras no podrá superar el respectivo período de gobierno. </w:t>
      </w:r>
      <w:r w:rsidRPr="00D87C3F">
        <w:rPr>
          <w:rFonts w:ascii="Arial Narrow" w:hAnsi="Arial Narrow" w:cs="Arial"/>
          <w:b/>
          <w:strike/>
          <w:color w:val="000000"/>
        </w:rPr>
        <w:t>Se exceptúan los proyectos de gastos de inversión en aquellos casos en que el Conpes previamente los declare de importancia estratégica.</w:t>
      </w:r>
    </w:p>
    <w:p w:rsidR="000A3CFB" w:rsidRPr="00D87C3F" w:rsidRDefault="000A3CFB" w:rsidP="007E699E">
      <w:pPr>
        <w:pStyle w:val="NormalWeb"/>
        <w:shd w:val="clear" w:color="auto" w:fill="FFFFFF"/>
        <w:ind w:left="708"/>
        <w:jc w:val="both"/>
        <w:rPr>
          <w:rFonts w:ascii="Arial Narrow" w:hAnsi="Arial Narrow" w:cs="Arial"/>
          <w:color w:val="000000"/>
        </w:rPr>
      </w:pPr>
      <w:r w:rsidRPr="00D87C3F">
        <w:rPr>
          <w:rFonts w:ascii="Arial Narrow" w:hAnsi="Arial Narrow" w:cs="Arial"/>
          <w:color w:val="000000"/>
        </w:rPr>
        <w:t>Esta disposición también se aplicará a las entidades de que trata el artículo 9º de la presente ley. El Gobierno reglamentará la materia.</w:t>
      </w:r>
    </w:p>
    <w:p w:rsidR="000A3CFB" w:rsidRPr="00D87C3F" w:rsidRDefault="000A3CFB" w:rsidP="007E699E">
      <w:pPr>
        <w:pStyle w:val="NormalWeb"/>
        <w:shd w:val="clear" w:color="auto" w:fill="FFFFFF"/>
        <w:ind w:left="708"/>
        <w:jc w:val="both"/>
        <w:rPr>
          <w:rFonts w:ascii="Arial Narrow" w:hAnsi="Arial Narrow" w:cs="Arial"/>
          <w:color w:val="000000"/>
        </w:rPr>
      </w:pPr>
      <w:r w:rsidRPr="00D87C3F">
        <w:rPr>
          <w:rFonts w:ascii="Arial Narrow" w:hAnsi="Arial Narrow" w:cs="Arial"/>
          <w:color w:val="000000"/>
        </w:rPr>
        <w:t>El Ministerio de Hacienda y Crédito Público, Dirección General del Presupuesto Público Nacional, incluirá en los proyectos de presupuesto las asignaciones necesarias para darle cumplimiento a lo dispuesto en este artículo.</w:t>
      </w:r>
    </w:p>
    <w:p w:rsidR="000A3CFB" w:rsidRPr="00D87C3F" w:rsidRDefault="000A3CFB" w:rsidP="007E699E">
      <w:pPr>
        <w:pStyle w:val="NormalWeb"/>
        <w:shd w:val="clear" w:color="auto" w:fill="FFFFFF"/>
        <w:ind w:left="708"/>
        <w:jc w:val="both"/>
        <w:rPr>
          <w:rFonts w:ascii="Arial Narrow" w:hAnsi="Arial Narrow" w:cs="Arial"/>
          <w:color w:val="000000"/>
        </w:rPr>
      </w:pPr>
      <w:r w:rsidRPr="00D87C3F">
        <w:rPr>
          <w:rFonts w:ascii="Arial Narrow" w:hAnsi="Arial Narrow" w:cs="Arial"/>
          <w:color w:val="000000"/>
        </w:rPr>
        <w:t>Parágrafo.</w:t>
      </w:r>
      <w:r w:rsidRPr="00D87C3F">
        <w:rPr>
          <w:rFonts w:ascii="Arial Narrow" w:hAnsi="Arial Narrow"/>
        </w:rPr>
        <w:t> </w:t>
      </w:r>
      <w:r w:rsidRPr="00D87C3F">
        <w:rPr>
          <w:rFonts w:ascii="Arial Narrow" w:hAnsi="Arial Narrow" w:cs="Arial"/>
          <w:color w:val="000000"/>
        </w:rPr>
        <w:t>Estas funciones podrán ser delegadas por el Confis en la Dirección General del Presupuesto Público Nacional del Ministerio de Hacienda y Crédito Público para el caso de los órganos que componen el Presupuesto General de la Nación y en las juntas o Consejos Directivos en el caso de las entidades de las que trata el numeral 4 del artículo 10 de la Ley 179 de 1994. El Gobierno Nacional reglamentará la materia.</w:t>
      </w:r>
    </w:p>
    <w:p w:rsidR="000A3CFB" w:rsidRPr="00D87C3F" w:rsidRDefault="000A3CFB" w:rsidP="007562FE">
      <w:pPr>
        <w:pStyle w:val="NormalWeb"/>
        <w:shd w:val="clear" w:color="auto" w:fill="FFFFFF"/>
        <w:ind w:left="708"/>
        <w:jc w:val="both"/>
        <w:rPr>
          <w:rFonts w:ascii="Arial Narrow" w:hAnsi="Arial Narrow" w:cs="Arial"/>
          <w:color w:val="000000"/>
        </w:rPr>
      </w:pPr>
      <w:r w:rsidRPr="00D87C3F">
        <w:rPr>
          <w:rFonts w:ascii="Arial Narrow" w:hAnsi="Arial Narrow" w:cs="Arial"/>
          <w:color w:val="000000"/>
        </w:rPr>
        <w:lastRenderedPageBreak/>
        <w:t>En caso de existir tal delegación, quien sea delegado por el Confis presentará un informe trimestral a dicho Consejo sobre las vigencias futuras autorizadas en el trimestre inmediatamente anterior.</w:t>
      </w:r>
    </w:p>
    <w:p w:rsidR="006C3D8B" w:rsidRPr="00D87C3F" w:rsidRDefault="006C3D8B" w:rsidP="007E699E">
      <w:pPr>
        <w:pStyle w:val="NormalWeb"/>
        <w:shd w:val="clear" w:color="auto" w:fill="FFFFFF"/>
        <w:ind w:right="-518"/>
        <w:jc w:val="both"/>
        <w:rPr>
          <w:rFonts w:ascii="Arial Narrow" w:hAnsi="Arial Narrow" w:cs="Arial"/>
          <w:b/>
        </w:rPr>
      </w:pPr>
      <w:r w:rsidRPr="00D87C3F">
        <w:rPr>
          <w:rFonts w:ascii="Arial Narrow" w:hAnsi="Arial Narrow" w:cs="Arial"/>
          <w:b/>
          <w:bCs/>
        </w:rPr>
        <w:t xml:space="preserve">Artículo </w:t>
      </w:r>
      <w:r w:rsidR="007562FE">
        <w:rPr>
          <w:rFonts w:ascii="Arial Narrow" w:hAnsi="Arial Narrow" w:cs="Arial"/>
          <w:b/>
          <w:bCs/>
        </w:rPr>
        <w:t>2</w:t>
      </w:r>
      <w:r w:rsidRPr="00D87C3F">
        <w:rPr>
          <w:rFonts w:ascii="Arial Narrow" w:hAnsi="Arial Narrow" w:cs="Arial"/>
          <w:b/>
          <w:bCs/>
        </w:rPr>
        <w:t xml:space="preserve">. </w:t>
      </w:r>
      <w:r w:rsidRPr="00D87C3F">
        <w:rPr>
          <w:rFonts w:ascii="Arial Narrow" w:hAnsi="Arial Narrow" w:cs="Arial"/>
          <w:b/>
        </w:rPr>
        <w:t>El artículo 11º de la Ley 819 de 2003 quedará así:</w:t>
      </w:r>
    </w:p>
    <w:p w:rsidR="006C3D8B" w:rsidRPr="00D87C3F" w:rsidRDefault="006C3D8B" w:rsidP="007E699E">
      <w:pPr>
        <w:pStyle w:val="NormalWeb"/>
        <w:shd w:val="clear" w:color="auto" w:fill="FFFFFF"/>
        <w:ind w:right="-518" w:firstLine="708"/>
        <w:jc w:val="both"/>
        <w:rPr>
          <w:rFonts w:ascii="Arial Narrow" w:hAnsi="Arial Narrow" w:cs="Arial"/>
        </w:rPr>
      </w:pPr>
      <w:r w:rsidRPr="00D87C3F">
        <w:rPr>
          <w:rFonts w:ascii="Arial Narrow" w:hAnsi="Arial Narrow" w:cs="Arial"/>
          <w:bCs/>
          <w:shd w:val="clear" w:color="auto" w:fill="FFFFFF"/>
        </w:rPr>
        <w:t>Artículo 11</w:t>
      </w:r>
      <w:r w:rsidRPr="00D87C3F">
        <w:rPr>
          <w:rFonts w:ascii="Arial Narrow" w:hAnsi="Arial Narrow" w:cs="Arial"/>
          <w:shd w:val="clear" w:color="auto" w:fill="FFFFFF"/>
        </w:rPr>
        <w:t>.</w:t>
      </w:r>
      <w:r w:rsidRPr="00D87C3F">
        <w:rPr>
          <w:rStyle w:val="apple-converted-space"/>
          <w:rFonts w:ascii="Arial Narrow" w:hAnsi="Arial Narrow" w:cs="Arial"/>
          <w:shd w:val="clear" w:color="auto" w:fill="FFFFFF"/>
        </w:rPr>
        <w:t> </w:t>
      </w:r>
      <w:r w:rsidRPr="00D87C3F">
        <w:rPr>
          <w:rFonts w:ascii="Arial Narrow" w:hAnsi="Arial Narrow" w:cs="Arial"/>
          <w:i/>
          <w:iCs/>
          <w:shd w:val="clear" w:color="auto" w:fill="FFFFFF"/>
        </w:rPr>
        <w:t>Vigencias futuras excepcionales.</w:t>
      </w:r>
      <w:r w:rsidRPr="00D87C3F">
        <w:rPr>
          <w:rStyle w:val="apple-converted-space"/>
          <w:rFonts w:ascii="Arial Narrow" w:hAnsi="Arial Narrow" w:cs="Arial"/>
          <w:i/>
          <w:iCs/>
        </w:rPr>
        <w:t> </w:t>
      </w:r>
    </w:p>
    <w:p w:rsidR="006C3D8B" w:rsidRPr="00D87C3F" w:rsidRDefault="006C3D8B" w:rsidP="007E699E">
      <w:pPr>
        <w:pStyle w:val="NormalWeb"/>
        <w:shd w:val="clear" w:color="auto" w:fill="FFFFFF"/>
        <w:ind w:left="708" w:right="-518" w:firstLine="60"/>
        <w:jc w:val="both"/>
        <w:rPr>
          <w:rFonts w:ascii="Arial Narrow" w:hAnsi="Arial Narrow" w:cs="Arial"/>
        </w:rPr>
      </w:pPr>
      <w:r w:rsidRPr="00D87C3F">
        <w:rPr>
          <w:rFonts w:ascii="Arial Narrow" w:hAnsi="Arial Narrow" w:cs="Arial"/>
        </w:rPr>
        <w:t xml:space="preserve">El Consejo Superior de Política Fiscal, Confis, en casos excepcionales para </w:t>
      </w:r>
      <w:r w:rsidRPr="00D87C3F">
        <w:rPr>
          <w:rFonts w:ascii="Arial Narrow" w:hAnsi="Arial Narrow" w:cs="Arial"/>
          <w:b/>
          <w:u w:val="single"/>
        </w:rPr>
        <w:t>los proyectos de carácter estratégico nacional</w:t>
      </w:r>
      <w:r w:rsidRPr="00D87C3F">
        <w:rPr>
          <w:rFonts w:ascii="Arial Narrow" w:hAnsi="Arial Narrow" w:cs="Arial"/>
        </w:rPr>
        <w:t>, podrá autorizar que se asuman obligaciones que afecten el presupuesto de vigencias futuras sin apropiación en el presupuesto del año en que se concede la autorización. El monto máximo de vigencias futuras, el plazo y las condiciones de las mismas deberán consultar las metas plurianuales del Marco Fiscal de Mediano Plazo del que trata el artículo 1º de esta ley.</w:t>
      </w:r>
    </w:p>
    <w:p w:rsidR="006C3D8B" w:rsidRPr="00D87C3F" w:rsidRDefault="006C3D8B" w:rsidP="007E699E">
      <w:pPr>
        <w:pStyle w:val="NormalWeb"/>
        <w:shd w:val="clear" w:color="auto" w:fill="FFFFFF"/>
        <w:ind w:left="708" w:right="-518"/>
        <w:jc w:val="both"/>
        <w:rPr>
          <w:rFonts w:ascii="Arial Narrow" w:hAnsi="Arial Narrow" w:cs="Arial"/>
        </w:rPr>
      </w:pPr>
      <w:r w:rsidRPr="00D87C3F">
        <w:rPr>
          <w:rFonts w:ascii="Arial Narrow" w:hAnsi="Arial Narrow" w:cs="Arial"/>
        </w:rPr>
        <w:t>Para asumir obligaciones que afecten presupuestos de vigencias futuras, los contratos de empréstito y las contrapartidas que en estos se estipulen no requieren la autorización del Consejo Superior de Política Fiscal, Confis. Estos contratos se regirán por las normas que regulan las operaciones de crédito público.</w:t>
      </w:r>
    </w:p>
    <w:p w:rsidR="00BF63E6" w:rsidRPr="00D87C3F" w:rsidRDefault="00BF63E6" w:rsidP="007E699E">
      <w:pPr>
        <w:pStyle w:val="NormalWeb"/>
        <w:shd w:val="clear" w:color="auto" w:fill="FFFFFF"/>
        <w:ind w:left="708" w:right="-518"/>
        <w:jc w:val="both"/>
        <w:rPr>
          <w:rFonts w:ascii="Arial Narrow" w:hAnsi="Arial Narrow" w:cs="Arial"/>
          <w:b/>
          <w:u w:val="single"/>
        </w:rPr>
      </w:pPr>
      <w:r w:rsidRPr="00D87C3F">
        <w:rPr>
          <w:rFonts w:ascii="Arial Narrow" w:hAnsi="Arial Narrow" w:cs="Arial"/>
          <w:b/>
          <w:u w:val="single"/>
        </w:rPr>
        <w:t>Parágrafo. Cuando el proyecto sea declarado de interés estratégico nacional</w:t>
      </w:r>
      <w:r w:rsidR="00ED64C8" w:rsidRPr="00D87C3F">
        <w:rPr>
          <w:rFonts w:ascii="Arial Narrow" w:hAnsi="Arial Narrow" w:cs="Arial"/>
          <w:b/>
          <w:u w:val="single"/>
        </w:rPr>
        <w:t>, cuente con la autorización del Consejo Superior de Política Fiscal, CONFIS, le sean asignados recursos de vigencias futuras excepcionales</w:t>
      </w:r>
      <w:r w:rsidRPr="00D87C3F">
        <w:rPr>
          <w:rFonts w:ascii="Arial Narrow" w:hAnsi="Arial Narrow" w:cs="Arial"/>
          <w:b/>
          <w:u w:val="single"/>
        </w:rPr>
        <w:t xml:space="preserve"> y su plazo de ejecución exceda </w:t>
      </w:r>
      <w:r w:rsidR="000A3CFB" w:rsidRPr="00D87C3F">
        <w:rPr>
          <w:rFonts w:ascii="Arial Narrow" w:hAnsi="Arial Narrow" w:cs="Arial"/>
          <w:b/>
          <w:u w:val="single"/>
        </w:rPr>
        <w:t>los cuatr</w:t>
      </w:r>
      <w:r w:rsidRPr="00D87C3F">
        <w:rPr>
          <w:rFonts w:ascii="Arial Narrow" w:hAnsi="Arial Narrow" w:cs="Arial"/>
          <w:b/>
          <w:u w:val="single"/>
        </w:rPr>
        <w:t>o (4) años</w:t>
      </w:r>
      <w:r w:rsidR="00ED64C8" w:rsidRPr="00D87C3F">
        <w:rPr>
          <w:rFonts w:ascii="Arial Narrow" w:hAnsi="Arial Narrow" w:cs="Arial"/>
          <w:b/>
          <w:u w:val="single"/>
        </w:rPr>
        <w:t xml:space="preserve"> de periodo presidencial</w:t>
      </w:r>
      <w:r w:rsidRPr="00D87C3F">
        <w:rPr>
          <w:rFonts w:ascii="Arial Narrow" w:hAnsi="Arial Narrow" w:cs="Arial"/>
          <w:b/>
          <w:u w:val="single"/>
        </w:rPr>
        <w:t>,</w:t>
      </w:r>
      <w:r w:rsidR="00ED64C8" w:rsidRPr="00D87C3F">
        <w:rPr>
          <w:rFonts w:ascii="Arial Narrow" w:hAnsi="Arial Narrow" w:cs="Arial"/>
          <w:b/>
          <w:u w:val="single"/>
        </w:rPr>
        <w:t xml:space="preserve"> para su ejecución el Gobierno Nacional deberá solicitar </w:t>
      </w:r>
      <w:r w:rsidR="007562FE">
        <w:rPr>
          <w:rFonts w:ascii="Arial Narrow" w:hAnsi="Arial Narrow" w:cs="Arial"/>
          <w:b/>
          <w:u w:val="single"/>
        </w:rPr>
        <w:t>aprobación a la</w:t>
      </w:r>
      <w:r w:rsidR="00ED64C8" w:rsidRPr="00D87C3F">
        <w:rPr>
          <w:rFonts w:ascii="Arial Narrow" w:hAnsi="Arial Narrow" w:cs="Arial"/>
          <w:b/>
          <w:u w:val="single"/>
        </w:rPr>
        <w:t>s</w:t>
      </w:r>
      <w:r w:rsidR="007562FE">
        <w:rPr>
          <w:rFonts w:ascii="Arial Narrow" w:hAnsi="Arial Narrow" w:cs="Arial"/>
          <w:b/>
          <w:u w:val="single"/>
        </w:rPr>
        <w:t xml:space="preserve"> Comisiones económicas conjuntas de Cámara y Senado</w:t>
      </w:r>
      <w:r w:rsidRPr="00D87C3F">
        <w:rPr>
          <w:rFonts w:ascii="Arial Narrow" w:hAnsi="Arial Narrow" w:cs="Arial"/>
          <w:b/>
          <w:u w:val="single"/>
        </w:rPr>
        <w:t xml:space="preserve"> </w:t>
      </w:r>
      <w:r w:rsidR="00ED64C8" w:rsidRPr="00D87C3F">
        <w:rPr>
          <w:rFonts w:ascii="Arial Narrow" w:hAnsi="Arial Narrow" w:cs="Arial"/>
          <w:b/>
          <w:u w:val="single"/>
        </w:rPr>
        <w:t>del Congreso de la Republica.</w:t>
      </w:r>
      <w:r w:rsidRPr="00D87C3F">
        <w:rPr>
          <w:rFonts w:ascii="Arial Narrow" w:hAnsi="Arial Narrow" w:cs="Arial"/>
          <w:b/>
          <w:u w:val="single"/>
        </w:rPr>
        <w:t xml:space="preserve"> La</w:t>
      </w:r>
      <w:r w:rsidR="007562FE">
        <w:rPr>
          <w:rFonts w:ascii="Arial Narrow" w:hAnsi="Arial Narrow" w:cs="Arial"/>
          <w:b/>
          <w:u w:val="single"/>
        </w:rPr>
        <w:t>s</w:t>
      </w:r>
      <w:r w:rsidRPr="00D87C3F">
        <w:rPr>
          <w:rFonts w:ascii="Arial Narrow" w:hAnsi="Arial Narrow" w:cs="Arial"/>
          <w:b/>
          <w:u w:val="single"/>
        </w:rPr>
        <w:t xml:space="preserve"> </w:t>
      </w:r>
      <w:r w:rsidR="003A12CF" w:rsidRPr="00D87C3F">
        <w:rPr>
          <w:rFonts w:ascii="Arial Narrow" w:hAnsi="Arial Narrow" w:cs="Arial"/>
          <w:b/>
          <w:u w:val="single"/>
        </w:rPr>
        <w:t>Comision</w:t>
      </w:r>
      <w:r w:rsidR="003A12CF">
        <w:rPr>
          <w:rFonts w:ascii="Arial Narrow" w:hAnsi="Arial Narrow" w:cs="Arial"/>
          <w:b/>
          <w:u w:val="single"/>
        </w:rPr>
        <w:t>es</w:t>
      </w:r>
      <w:r w:rsidRPr="00D87C3F">
        <w:rPr>
          <w:rFonts w:ascii="Arial Narrow" w:hAnsi="Arial Narrow" w:cs="Arial"/>
          <w:b/>
          <w:u w:val="single"/>
        </w:rPr>
        <w:t xml:space="preserve"> s</w:t>
      </w:r>
      <w:r w:rsidRPr="00D87C3F">
        <w:rPr>
          <w:rFonts w:ascii="Arial Narrow" w:hAnsi="Arial Narrow" w:cs="Arial"/>
          <w:b/>
          <w:u w:val="single"/>
          <w:shd w:val="clear" w:color="auto" w:fill="FFFFFF"/>
        </w:rPr>
        <w:t>e abstendrá</w:t>
      </w:r>
      <w:r w:rsidR="007562FE">
        <w:rPr>
          <w:rFonts w:ascii="Arial Narrow" w:hAnsi="Arial Narrow" w:cs="Arial"/>
          <w:b/>
          <w:u w:val="single"/>
          <w:shd w:val="clear" w:color="auto" w:fill="FFFFFF"/>
        </w:rPr>
        <w:t>n</w:t>
      </w:r>
      <w:r w:rsidRPr="00D87C3F">
        <w:rPr>
          <w:rFonts w:ascii="Arial Narrow" w:hAnsi="Arial Narrow" w:cs="Arial"/>
          <w:b/>
          <w:u w:val="single"/>
          <w:shd w:val="clear" w:color="auto" w:fill="FFFFFF"/>
        </w:rPr>
        <w:t xml:space="preserve"> de otorgar la aprobación si los proyectos objeto de la vigencia futura</w:t>
      </w:r>
      <w:r w:rsidR="00350EE2" w:rsidRPr="00D87C3F">
        <w:rPr>
          <w:rFonts w:ascii="Arial Narrow" w:hAnsi="Arial Narrow" w:cs="Arial"/>
          <w:b/>
          <w:u w:val="single"/>
          <w:shd w:val="clear" w:color="auto" w:fill="FFFFFF"/>
        </w:rPr>
        <w:t xml:space="preserve"> </w:t>
      </w:r>
      <w:r w:rsidR="007F356D" w:rsidRPr="00D87C3F">
        <w:rPr>
          <w:rFonts w:ascii="Arial Narrow" w:hAnsi="Arial Narrow" w:cs="Arial"/>
          <w:b/>
          <w:u w:val="single"/>
          <w:shd w:val="clear" w:color="auto" w:fill="FFFFFF"/>
        </w:rPr>
        <w:t>excepcional</w:t>
      </w:r>
      <w:r w:rsidRPr="00D87C3F">
        <w:rPr>
          <w:rFonts w:ascii="Arial Narrow" w:hAnsi="Arial Narrow" w:cs="Arial"/>
          <w:b/>
          <w:u w:val="single"/>
          <w:shd w:val="clear" w:color="auto" w:fill="FFFFFF"/>
        </w:rPr>
        <w:t xml:space="preserve"> no están consignados en el Plan Nacional de Desarrollo respectivo.</w:t>
      </w:r>
    </w:p>
    <w:p w:rsidR="002F6A93" w:rsidRPr="00D87C3F" w:rsidRDefault="007E699E" w:rsidP="007E699E">
      <w:pPr>
        <w:pStyle w:val="NormalWeb"/>
        <w:shd w:val="clear" w:color="auto" w:fill="FFFFFF"/>
        <w:ind w:right="-518"/>
        <w:jc w:val="both"/>
        <w:rPr>
          <w:rFonts w:ascii="Arial Narrow" w:hAnsi="Arial Narrow" w:cs="Arial"/>
          <w:shd w:val="clear" w:color="auto" w:fill="FFFFFF"/>
        </w:rPr>
      </w:pPr>
      <w:r w:rsidRPr="00D87C3F">
        <w:rPr>
          <w:rFonts w:ascii="Arial Narrow" w:hAnsi="Arial Narrow" w:cs="Arial"/>
          <w:b/>
        </w:rPr>
        <w:t>Artículo 6</w:t>
      </w:r>
      <w:r w:rsidR="002F6A93" w:rsidRPr="00D87C3F">
        <w:rPr>
          <w:rFonts w:ascii="Arial Narrow" w:hAnsi="Arial Narrow" w:cs="Arial"/>
          <w:b/>
        </w:rPr>
        <w:t xml:space="preserve">. Vigencias y Derogatorias: </w:t>
      </w:r>
      <w:r w:rsidR="002F6A93" w:rsidRPr="00D87C3F">
        <w:rPr>
          <w:rFonts w:ascii="Arial Narrow" w:hAnsi="Arial Narrow" w:cs="Arial"/>
          <w:shd w:val="clear" w:color="auto" w:fill="FFFFFF"/>
        </w:rPr>
        <w:t>Esta Ley</w:t>
      </w:r>
      <w:r w:rsidR="00743DDB" w:rsidRPr="00D87C3F">
        <w:rPr>
          <w:rFonts w:ascii="Arial Narrow" w:hAnsi="Arial Narrow" w:cs="Arial"/>
          <w:shd w:val="clear" w:color="auto" w:fill="FFFFFF"/>
        </w:rPr>
        <w:t xml:space="preserve"> rige a partir de la fecha de su sanción y publicación en el diario oficial</w:t>
      </w:r>
      <w:r w:rsidR="002F6A93" w:rsidRPr="00D87C3F">
        <w:rPr>
          <w:rFonts w:ascii="Arial Narrow" w:hAnsi="Arial Narrow" w:cs="Arial"/>
          <w:shd w:val="clear" w:color="auto" w:fill="FFFFFF"/>
        </w:rPr>
        <w:t>.</w:t>
      </w:r>
    </w:p>
    <w:p w:rsidR="009336C7" w:rsidRPr="00D87C3F" w:rsidRDefault="009336C7" w:rsidP="007E699E">
      <w:pPr>
        <w:pStyle w:val="NormalWeb"/>
        <w:shd w:val="clear" w:color="auto" w:fill="FFFFFF"/>
        <w:ind w:right="-518"/>
        <w:jc w:val="both"/>
        <w:rPr>
          <w:rFonts w:ascii="Arial Narrow" w:hAnsi="Arial Narrow" w:cs="Arial"/>
          <w:shd w:val="clear" w:color="auto" w:fill="FFFFFF"/>
        </w:rPr>
      </w:pPr>
      <w:r w:rsidRPr="00D87C3F">
        <w:rPr>
          <w:rFonts w:ascii="Arial Narrow" w:hAnsi="Arial Narrow" w:cs="Arial"/>
          <w:shd w:val="clear" w:color="auto" w:fill="FFFFFF"/>
        </w:rPr>
        <w:t>D</w:t>
      </w:r>
      <w:r w:rsidR="0078251B" w:rsidRPr="00D87C3F">
        <w:rPr>
          <w:rFonts w:ascii="Arial Narrow" w:hAnsi="Arial Narrow" w:cs="Arial"/>
          <w:shd w:val="clear" w:color="auto" w:fill="FFFFFF"/>
        </w:rPr>
        <w:t>e los Honorables Representantes,</w:t>
      </w:r>
    </w:p>
    <w:p w:rsidR="00A81423" w:rsidRPr="00D87C3F" w:rsidRDefault="00A81423" w:rsidP="007E699E">
      <w:pPr>
        <w:pStyle w:val="NormalWeb"/>
        <w:shd w:val="clear" w:color="auto" w:fill="FFFFFF"/>
        <w:ind w:right="-518"/>
        <w:jc w:val="both"/>
        <w:rPr>
          <w:rFonts w:ascii="Arial Narrow" w:hAnsi="Arial Narrow" w:cs="Arial"/>
          <w:b/>
          <w:shd w:val="clear" w:color="auto" w:fill="FFFFFF"/>
        </w:rPr>
      </w:pPr>
    </w:p>
    <w:p w:rsidR="009336C7" w:rsidRPr="00D87C3F" w:rsidRDefault="009336C7" w:rsidP="007E699E">
      <w:pPr>
        <w:pStyle w:val="Sinespaciado"/>
        <w:ind w:right="-518"/>
        <w:jc w:val="both"/>
        <w:rPr>
          <w:rFonts w:ascii="Arial Narrow" w:hAnsi="Arial Narrow"/>
          <w:b/>
          <w:sz w:val="24"/>
          <w:szCs w:val="24"/>
          <w:shd w:val="clear" w:color="auto" w:fill="FFFFFF"/>
        </w:rPr>
      </w:pPr>
      <w:r w:rsidRPr="00D87C3F">
        <w:rPr>
          <w:rFonts w:ascii="Arial Narrow" w:hAnsi="Arial Narrow"/>
          <w:b/>
          <w:sz w:val="24"/>
          <w:szCs w:val="24"/>
          <w:shd w:val="clear" w:color="auto" w:fill="FFFFFF"/>
        </w:rPr>
        <w:t>JOHN JAIRO CÁRDENAS MORAN.</w:t>
      </w:r>
    </w:p>
    <w:p w:rsidR="008617D3" w:rsidRPr="00D87C3F" w:rsidRDefault="009336C7" w:rsidP="007E699E">
      <w:pPr>
        <w:pStyle w:val="Sinespaciado"/>
        <w:ind w:right="-518"/>
        <w:jc w:val="both"/>
        <w:rPr>
          <w:rFonts w:ascii="Arial Narrow" w:hAnsi="Arial Narrow"/>
          <w:sz w:val="24"/>
          <w:szCs w:val="24"/>
          <w:shd w:val="clear" w:color="auto" w:fill="FFFFFF"/>
        </w:rPr>
      </w:pPr>
      <w:r w:rsidRPr="00D87C3F">
        <w:rPr>
          <w:rFonts w:ascii="Arial Narrow" w:hAnsi="Arial Narrow"/>
          <w:sz w:val="24"/>
          <w:szCs w:val="24"/>
          <w:shd w:val="clear" w:color="auto" w:fill="FFFFFF"/>
        </w:rPr>
        <w:t>Representante a la Cámara</w:t>
      </w:r>
    </w:p>
    <w:p w:rsidR="008617D3" w:rsidRPr="00D87C3F" w:rsidRDefault="008617D3" w:rsidP="007E699E">
      <w:pPr>
        <w:spacing w:line="240" w:lineRule="auto"/>
        <w:ind w:right="-518"/>
        <w:jc w:val="both"/>
        <w:rPr>
          <w:rFonts w:ascii="Arial Narrow" w:hAnsi="Arial Narrow"/>
          <w:sz w:val="24"/>
          <w:szCs w:val="24"/>
        </w:rPr>
      </w:pPr>
    </w:p>
    <w:p w:rsidR="008B19F0" w:rsidRPr="00D87C3F" w:rsidRDefault="008B19F0" w:rsidP="007E699E">
      <w:pPr>
        <w:spacing w:line="240" w:lineRule="auto"/>
        <w:ind w:right="-518"/>
        <w:jc w:val="both"/>
        <w:rPr>
          <w:rFonts w:ascii="Arial Narrow" w:hAnsi="Arial Narrow"/>
          <w:sz w:val="24"/>
          <w:szCs w:val="24"/>
        </w:rPr>
      </w:pPr>
    </w:p>
    <w:sectPr w:rsidR="008B19F0" w:rsidRPr="00D87C3F" w:rsidSect="00606414">
      <w:pgSz w:w="12240" w:h="15840"/>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FB0" w:rsidRDefault="00731FB0" w:rsidP="008617D3">
      <w:pPr>
        <w:spacing w:after="0" w:line="240" w:lineRule="auto"/>
      </w:pPr>
      <w:r>
        <w:separator/>
      </w:r>
    </w:p>
  </w:endnote>
  <w:endnote w:type="continuationSeparator" w:id="0">
    <w:p w:rsidR="00731FB0" w:rsidRDefault="00731FB0" w:rsidP="00861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FB0" w:rsidRDefault="00731FB0" w:rsidP="008617D3">
      <w:pPr>
        <w:spacing w:after="0" w:line="240" w:lineRule="auto"/>
      </w:pPr>
      <w:r>
        <w:separator/>
      </w:r>
    </w:p>
  </w:footnote>
  <w:footnote w:type="continuationSeparator" w:id="0">
    <w:p w:rsidR="00731FB0" w:rsidRDefault="00731FB0" w:rsidP="008617D3">
      <w:pPr>
        <w:spacing w:after="0" w:line="240" w:lineRule="auto"/>
      </w:pPr>
      <w:r>
        <w:continuationSeparator/>
      </w:r>
    </w:p>
  </w:footnote>
  <w:footnote w:id="1">
    <w:p w:rsidR="004E0B5D" w:rsidRPr="004E0B5D" w:rsidRDefault="004E0B5D">
      <w:pPr>
        <w:pStyle w:val="Textonotapie"/>
        <w:rPr>
          <w:lang w:val="es-CO"/>
        </w:rPr>
      </w:pPr>
      <w:r>
        <w:rPr>
          <w:rStyle w:val="Refdenotaalpie"/>
        </w:rPr>
        <w:footnoteRef/>
      </w:r>
      <w:r>
        <w:t xml:space="preserve"> </w:t>
      </w:r>
      <w:r w:rsidRPr="004E0B5D">
        <w:rPr>
          <w:rFonts w:ascii="Arial Narrow" w:hAnsi="Arial Narrow"/>
          <w:sz w:val="18"/>
          <w:szCs w:val="18"/>
          <w:lang w:val="es-CO"/>
        </w:rPr>
        <w:t>Marco Fiscal de Mediano Plazo</w:t>
      </w:r>
      <w:r>
        <w:rPr>
          <w:lang w:val="es-CO"/>
        </w:rPr>
        <w:t>.</w:t>
      </w:r>
    </w:p>
  </w:footnote>
  <w:footnote w:id="2">
    <w:p w:rsidR="004E0B5D" w:rsidRPr="00DC4823" w:rsidRDefault="004E0B5D" w:rsidP="004E0B5D">
      <w:pPr>
        <w:pStyle w:val="Textonotapie"/>
        <w:rPr>
          <w:rFonts w:ascii="Arial Narrow" w:hAnsi="Arial Narrow"/>
          <w:sz w:val="18"/>
          <w:szCs w:val="18"/>
          <w:lang w:val="es-CO"/>
        </w:rPr>
      </w:pPr>
      <w:r w:rsidRPr="00DC4823">
        <w:rPr>
          <w:rStyle w:val="Refdenotaalpie"/>
          <w:rFonts w:ascii="Arial Narrow" w:hAnsi="Arial Narrow"/>
          <w:sz w:val="18"/>
          <w:szCs w:val="18"/>
        </w:rPr>
        <w:footnoteRef/>
      </w:r>
      <w:r w:rsidRPr="00DC4823">
        <w:rPr>
          <w:rFonts w:ascii="Arial Narrow" w:hAnsi="Arial Narrow"/>
          <w:sz w:val="18"/>
          <w:szCs w:val="18"/>
        </w:rPr>
        <w:t xml:space="preserve"> “El riesgo de las vigencias futuras”. Julio 20 de 2015. Revista Portafolio.</w:t>
      </w:r>
    </w:p>
  </w:footnote>
  <w:footnote w:id="3">
    <w:p w:rsidR="00A03699" w:rsidRPr="009F4B0F" w:rsidRDefault="00A03699" w:rsidP="009F4B0F">
      <w:pPr>
        <w:pStyle w:val="Sinespaciado"/>
        <w:rPr>
          <w:rFonts w:ascii="Arial Narrow" w:hAnsi="Arial Narrow"/>
          <w:sz w:val="18"/>
          <w:szCs w:val="18"/>
        </w:rPr>
      </w:pPr>
      <w:r w:rsidRPr="009F4B0F">
        <w:rPr>
          <w:rStyle w:val="Refdenotaalpie"/>
          <w:rFonts w:ascii="Arial Narrow" w:hAnsi="Arial Narrow"/>
          <w:sz w:val="18"/>
          <w:szCs w:val="18"/>
        </w:rPr>
        <w:footnoteRef/>
      </w:r>
      <w:r w:rsidRPr="009F4B0F">
        <w:rPr>
          <w:rFonts w:ascii="Arial Narrow" w:hAnsi="Arial Narrow"/>
          <w:sz w:val="18"/>
          <w:szCs w:val="18"/>
        </w:rPr>
        <w:t>. Artículo 14. Decreto 111 de 1996</w:t>
      </w:r>
    </w:p>
  </w:footnote>
  <w:footnote w:id="4">
    <w:p w:rsidR="009F4B0F" w:rsidRPr="009F4B0F" w:rsidRDefault="009F4B0F" w:rsidP="009F4B0F">
      <w:pPr>
        <w:pStyle w:val="Sinespaciado"/>
        <w:rPr>
          <w:rFonts w:ascii="Arial Narrow" w:hAnsi="Arial Narrow"/>
          <w:sz w:val="18"/>
          <w:szCs w:val="18"/>
        </w:rPr>
      </w:pPr>
      <w:r w:rsidRPr="009F4B0F">
        <w:rPr>
          <w:rStyle w:val="Refdenotaalpie"/>
          <w:rFonts w:ascii="Arial Narrow" w:hAnsi="Arial Narrow"/>
          <w:sz w:val="18"/>
          <w:szCs w:val="18"/>
        </w:rPr>
        <w:footnoteRef/>
      </w:r>
      <w:r w:rsidRPr="009F4B0F">
        <w:rPr>
          <w:rFonts w:ascii="Arial Narrow" w:hAnsi="Arial Narrow"/>
          <w:sz w:val="18"/>
          <w:szCs w:val="18"/>
        </w:rPr>
        <w:t xml:space="preserve"> Vigencias Futuras para entes territoriales. Procuraduría General de la Nación. Septiembre 2010. </w:t>
      </w:r>
      <w:proofErr w:type="spellStart"/>
      <w:r w:rsidRPr="009F4B0F">
        <w:rPr>
          <w:rFonts w:ascii="Arial Narrow" w:hAnsi="Arial Narrow"/>
          <w:sz w:val="18"/>
          <w:szCs w:val="18"/>
        </w:rPr>
        <w:t>Pg</w:t>
      </w:r>
      <w:proofErr w:type="spellEnd"/>
      <w:r w:rsidRPr="009F4B0F">
        <w:rPr>
          <w:rFonts w:ascii="Arial Narrow" w:hAnsi="Arial Narrow"/>
          <w:sz w:val="18"/>
          <w:szCs w:val="18"/>
        </w:rPr>
        <w:t xml:space="preserve"> 7.</w:t>
      </w:r>
    </w:p>
  </w:footnote>
  <w:footnote w:id="5">
    <w:p w:rsidR="00A03699" w:rsidRPr="002D4C79" w:rsidRDefault="00A03699" w:rsidP="009F4B0F">
      <w:pPr>
        <w:pStyle w:val="Sinespaciado"/>
      </w:pPr>
      <w:r w:rsidRPr="009F4B0F">
        <w:rPr>
          <w:rStyle w:val="Refdenotaalpie"/>
          <w:rFonts w:ascii="Arial Narrow" w:hAnsi="Arial Narrow"/>
          <w:sz w:val="18"/>
          <w:szCs w:val="18"/>
        </w:rPr>
        <w:footnoteRef/>
      </w:r>
      <w:r w:rsidRPr="009F4B0F">
        <w:rPr>
          <w:rFonts w:ascii="Arial Narrow" w:hAnsi="Arial Narrow"/>
          <w:sz w:val="18"/>
          <w:szCs w:val="18"/>
        </w:rPr>
        <w:t xml:space="preserve"> </w:t>
      </w:r>
      <w:r w:rsidRPr="00A12A4C">
        <w:rPr>
          <w:rFonts w:ascii="Arial Narrow" w:hAnsi="Arial Narrow"/>
          <w:iCs/>
          <w:sz w:val="18"/>
          <w:szCs w:val="18"/>
          <w:lang w:val="es-ES_tradnl"/>
        </w:rPr>
        <w:t>Sentencia C-357</w:t>
      </w:r>
      <w:r w:rsidR="009F4B0F" w:rsidRPr="00A12A4C">
        <w:rPr>
          <w:rFonts w:ascii="Arial Narrow" w:hAnsi="Arial Narrow"/>
          <w:iCs/>
          <w:sz w:val="18"/>
          <w:szCs w:val="18"/>
          <w:lang w:val="es-ES_tradnl"/>
        </w:rPr>
        <w:t>. A</w:t>
      </w:r>
      <w:r w:rsidRPr="00A12A4C">
        <w:rPr>
          <w:rFonts w:ascii="Arial Narrow" w:hAnsi="Arial Narrow"/>
          <w:iCs/>
          <w:sz w:val="18"/>
          <w:szCs w:val="18"/>
          <w:lang w:val="es-ES_tradnl"/>
        </w:rPr>
        <w:t xml:space="preserve">gosto </w:t>
      </w:r>
      <w:r w:rsidR="009F4B0F" w:rsidRPr="00A12A4C">
        <w:rPr>
          <w:rFonts w:ascii="Arial Narrow" w:hAnsi="Arial Narrow"/>
          <w:iCs/>
          <w:sz w:val="18"/>
          <w:szCs w:val="18"/>
          <w:lang w:val="es-ES_tradnl"/>
        </w:rPr>
        <w:t xml:space="preserve">11 </w:t>
      </w:r>
      <w:r w:rsidRPr="00A12A4C">
        <w:rPr>
          <w:rFonts w:ascii="Arial Narrow" w:hAnsi="Arial Narrow"/>
          <w:iCs/>
          <w:sz w:val="18"/>
          <w:szCs w:val="18"/>
          <w:lang w:val="es-ES_tradnl"/>
        </w:rPr>
        <w:t>de 1994</w:t>
      </w:r>
      <w:r w:rsidR="009F4B0F" w:rsidRPr="00A12A4C">
        <w:rPr>
          <w:rFonts w:ascii="Arial Narrow" w:hAnsi="Arial Narrow"/>
          <w:iCs/>
          <w:sz w:val="18"/>
          <w:szCs w:val="18"/>
          <w:lang w:val="es-ES_tradnl"/>
        </w:rPr>
        <w:t>.</w:t>
      </w:r>
      <w:r w:rsidRPr="00A12A4C">
        <w:rPr>
          <w:rFonts w:ascii="Arial Narrow" w:hAnsi="Arial Narrow"/>
          <w:iCs/>
          <w:sz w:val="18"/>
          <w:szCs w:val="18"/>
          <w:lang w:val="es-ES_tradnl"/>
        </w:rPr>
        <w:t xml:space="preserve"> M</w:t>
      </w:r>
      <w:r w:rsidR="009F4B0F" w:rsidRPr="00A12A4C">
        <w:rPr>
          <w:rFonts w:ascii="Arial Narrow" w:hAnsi="Arial Narrow"/>
          <w:iCs/>
          <w:sz w:val="18"/>
          <w:szCs w:val="18"/>
          <w:lang w:val="es-ES_tradnl"/>
        </w:rPr>
        <w:t xml:space="preserve">P </w:t>
      </w:r>
      <w:r w:rsidRPr="00A12A4C">
        <w:rPr>
          <w:rFonts w:ascii="Arial Narrow" w:hAnsi="Arial Narrow"/>
          <w:iCs/>
          <w:sz w:val="18"/>
          <w:szCs w:val="18"/>
          <w:lang w:val="es-ES_tradnl"/>
        </w:rPr>
        <w:t>Jorge Arango Mejía.</w:t>
      </w:r>
      <w:r w:rsidR="00A12A4C" w:rsidRPr="00A12A4C">
        <w:t xml:space="preserve"> </w:t>
      </w:r>
      <w:r w:rsidR="00A12A4C" w:rsidRPr="00A12A4C">
        <w:rPr>
          <w:rFonts w:ascii="Arial Narrow" w:hAnsi="Arial Narrow"/>
          <w:sz w:val="18"/>
          <w:szCs w:val="18"/>
        </w:rPr>
        <w:t>Corte Constitucional</w:t>
      </w:r>
    </w:p>
  </w:footnote>
  <w:footnote w:id="6">
    <w:p w:rsidR="00D32E7D" w:rsidRPr="00D32E7D" w:rsidRDefault="00D32E7D">
      <w:pPr>
        <w:pStyle w:val="Textonotapie"/>
        <w:rPr>
          <w:lang w:val="es-CO"/>
        </w:rPr>
      </w:pPr>
      <w:r>
        <w:rPr>
          <w:rStyle w:val="Refdenotaalpie"/>
        </w:rPr>
        <w:footnoteRef/>
      </w:r>
      <w:r>
        <w:t xml:space="preserve"> </w:t>
      </w:r>
      <w:r w:rsidRPr="00D32E7D">
        <w:rPr>
          <w:rFonts w:ascii="Arial Narrow" w:hAnsi="Arial Narrow"/>
          <w:sz w:val="18"/>
          <w:szCs w:val="18"/>
          <w:lang w:val="es-CO"/>
        </w:rPr>
        <w:t>Derecho Presupuestal Colombiano. 2014. P. 186</w:t>
      </w:r>
    </w:p>
  </w:footnote>
  <w:footnote w:id="7">
    <w:p w:rsidR="00D32E7D" w:rsidRPr="00D32E7D" w:rsidRDefault="00D32E7D">
      <w:pPr>
        <w:pStyle w:val="Textonotapie"/>
        <w:rPr>
          <w:lang w:val="es-CO"/>
        </w:rPr>
      </w:pPr>
      <w:r>
        <w:rPr>
          <w:rStyle w:val="Refdenotaalpie"/>
        </w:rPr>
        <w:footnoteRef/>
      </w:r>
      <w:r>
        <w:t xml:space="preserve"> </w:t>
      </w:r>
      <w:r w:rsidRPr="00D32E7D">
        <w:rPr>
          <w:rFonts w:ascii="Arial Narrow" w:hAnsi="Arial Narrow"/>
          <w:sz w:val="18"/>
          <w:szCs w:val="18"/>
          <w:lang w:val="es-CO"/>
        </w:rPr>
        <w:t xml:space="preserve">Ibídem </w:t>
      </w:r>
    </w:p>
  </w:footnote>
  <w:footnote w:id="8">
    <w:p w:rsidR="009F4B0F" w:rsidRPr="009F4B0F" w:rsidRDefault="009F4B0F">
      <w:pPr>
        <w:pStyle w:val="Textonotapie"/>
        <w:rPr>
          <w:rFonts w:ascii="Arial Narrow" w:hAnsi="Arial Narrow"/>
          <w:sz w:val="18"/>
          <w:szCs w:val="18"/>
          <w:lang w:val="es-CO"/>
        </w:rPr>
      </w:pPr>
      <w:r w:rsidRPr="009F4B0F">
        <w:rPr>
          <w:rStyle w:val="Refdenotaalpie"/>
          <w:rFonts w:ascii="Arial Narrow" w:hAnsi="Arial Narrow"/>
          <w:sz w:val="18"/>
          <w:szCs w:val="18"/>
        </w:rPr>
        <w:footnoteRef/>
      </w:r>
      <w:r w:rsidRPr="009F4B0F">
        <w:rPr>
          <w:rFonts w:ascii="Arial Narrow" w:hAnsi="Arial Narrow"/>
          <w:sz w:val="18"/>
          <w:szCs w:val="18"/>
        </w:rPr>
        <w:t xml:space="preserve"> Vigencias Futuras para entes territoriales. Procuraduría General de la Nación. Septiembre 2010. </w:t>
      </w:r>
      <w:proofErr w:type="spellStart"/>
      <w:r w:rsidRPr="009F4B0F">
        <w:rPr>
          <w:rFonts w:ascii="Arial Narrow" w:hAnsi="Arial Narrow"/>
          <w:sz w:val="18"/>
          <w:szCs w:val="18"/>
        </w:rPr>
        <w:t>Pg</w:t>
      </w:r>
      <w:proofErr w:type="spellEnd"/>
      <w:r w:rsidRPr="009F4B0F">
        <w:rPr>
          <w:rFonts w:ascii="Arial Narrow" w:hAnsi="Arial Narrow"/>
          <w:sz w:val="18"/>
          <w:szCs w:val="18"/>
        </w:rPr>
        <w:t xml:space="preserve"> 7</w:t>
      </w:r>
    </w:p>
  </w:footnote>
  <w:footnote w:id="9">
    <w:p w:rsidR="00A03699" w:rsidRPr="00A03699" w:rsidRDefault="00A03699">
      <w:pPr>
        <w:pStyle w:val="Textonotapie"/>
        <w:rPr>
          <w:lang w:val="es-CO"/>
        </w:rPr>
      </w:pPr>
      <w:r w:rsidRPr="009F4B0F">
        <w:rPr>
          <w:rStyle w:val="Refdenotaalpie"/>
          <w:rFonts w:ascii="Arial Narrow" w:hAnsi="Arial Narrow"/>
          <w:sz w:val="18"/>
          <w:szCs w:val="18"/>
        </w:rPr>
        <w:footnoteRef/>
      </w:r>
      <w:r w:rsidRPr="009F4B0F">
        <w:rPr>
          <w:rFonts w:ascii="Arial Narrow" w:hAnsi="Arial Narrow"/>
          <w:sz w:val="18"/>
          <w:szCs w:val="18"/>
        </w:rPr>
        <w:t xml:space="preserve"> </w:t>
      </w:r>
      <w:r w:rsidRPr="009F4B0F">
        <w:rPr>
          <w:rFonts w:ascii="Arial Narrow" w:hAnsi="Arial Narrow"/>
          <w:sz w:val="18"/>
          <w:szCs w:val="18"/>
          <w:lang w:val="es-CO"/>
        </w:rPr>
        <w:t>Exposición de Motivos</w:t>
      </w:r>
    </w:p>
  </w:footnote>
  <w:footnote w:id="10">
    <w:p w:rsidR="00404756" w:rsidRPr="00A12A4C" w:rsidRDefault="00404756">
      <w:pPr>
        <w:pStyle w:val="Textonotapie"/>
        <w:rPr>
          <w:rFonts w:ascii="Arial Narrow" w:hAnsi="Arial Narrow"/>
          <w:sz w:val="18"/>
          <w:szCs w:val="18"/>
          <w:lang w:val="es-CO"/>
        </w:rPr>
      </w:pPr>
      <w:r w:rsidRPr="00404756">
        <w:rPr>
          <w:rStyle w:val="Refdenotaalpie"/>
          <w:rFonts w:ascii="Arial Narrow" w:hAnsi="Arial Narrow"/>
          <w:sz w:val="18"/>
          <w:szCs w:val="18"/>
        </w:rPr>
        <w:footnoteRef/>
      </w:r>
      <w:r w:rsidRPr="00404756">
        <w:rPr>
          <w:rFonts w:ascii="Arial Narrow" w:hAnsi="Arial Narrow"/>
          <w:sz w:val="18"/>
          <w:szCs w:val="18"/>
        </w:rPr>
        <w:t xml:space="preserve"> </w:t>
      </w:r>
      <w:r w:rsidRPr="00A12A4C">
        <w:rPr>
          <w:rFonts w:ascii="Arial Narrow" w:hAnsi="Arial Narrow" w:cs="Arial"/>
          <w:sz w:val="18"/>
          <w:szCs w:val="18"/>
          <w:shd w:val="clear" w:color="auto" w:fill="FFFFFF"/>
        </w:rPr>
        <w:t xml:space="preserve">Sentencia C-251. Abril 11 de 2002. </w:t>
      </w:r>
      <w:proofErr w:type="spellStart"/>
      <w:r w:rsidRPr="00A12A4C">
        <w:rPr>
          <w:rFonts w:ascii="Arial Narrow" w:hAnsi="Arial Narrow" w:cs="Arial"/>
          <w:sz w:val="18"/>
          <w:szCs w:val="18"/>
          <w:shd w:val="clear" w:color="auto" w:fill="FFFFFF"/>
        </w:rPr>
        <w:t>MMPP</w:t>
      </w:r>
      <w:proofErr w:type="spellEnd"/>
      <w:r w:rsidRPr="00A12A4C">
        <w:rPr>
          <w:rFonts w:ascii="Arial Narrow" w:hAnsi="Arial Narrow" w:cs="Arial"/>
          <w:sz w:val="18"/>
          <w:szCs w:val="18"/>
          <w:shd w:val="clear" w:color="auto" w:fill="FFFFFF"/>
        </w:rPr>
        <w:t xml:space="preserve"> Eduardo Montealegre </w:t>
      </w:r>
      <w:proofErr w:type="spellStart"/>
      <w:r w:rsidRPr="00A12A4C">
        <w:rPr>
          <w:rFonts w:ascii="Arial Narrow" w:hAnsi="Arial Narrow" w:cs="Arial"/>
          <w:sz w:val="18"/>
          <w:szCs w:val="18"/>
          <w:shd w:val="clear" w:color="auto" w:fill="FFFFFF"/>
        </w:rPr>
        <w:t>Lynett</w:t>
      </w:r>
      <w:proofErr w:type="spellEnd"/>
      <w:r w:rsidRPr="00A12A4C">
        <w:rPr>
          <w:rFonts w:ascii="Arial Narrow" w:hAnsi="Arial Narrow" w:cs="Arial"/>
          <w:sz w:val="18"/>
          <w:szCs w:val="18"/>
          <w:shd w:val="clear" w:color="auto" w:fill="FFFFFF"/>
        </w:rPr>
        <w:t xml:space="preserve"> y Clara Inés Vargas Hernández</w:t>
      </w:r>
      <w:r w:rsidR="00A12A4C" w:rsidRPr="00A12A4C">
        <w:rPr>
          <w:rFonts w:ascii="Arial Narrow" w:hAnsi="Arial Narrow" w:cs="Arial"/>
          <w:sz w:val="18"/>
          <w:szCs w:val="18"/>
          <w:shd w:val="clear" w:color="auto" w:fill="FFFFFF"/>
        </w:rPr>
        <w:t>.</w:t>
      </w:r>
      <w:r w:rsidR="00A12A4C" w:rsidRPr="00A12A4C">
        <w:rPr>
          <w:rFonts w:ascii="Arial Narrow" w:hAnsi="Arial Narrow"/>
          <w:sz w:val="18"/>
          <w:szCs w:val="18"/>
        </w:rPr>
        <w:t xml:space="preserve"> Corte Constitucional</w:t>
      </w:r>
    </w:p>
  </w:footnote>
  <w:footnote w:id="11">
    <w:p w:rsidR="00404756" w:rsidRPr="00404756" w:rsidRDefault="00404756">
      <w:pPr>
        <w:pStyle w:val="Textonotapie"/>
        <w:rPr>
          <w:lang w:val="es-CO"/>
        </w:rPr>
      </w:pPr>
      <w:r w:rsidRPr="00A12A4C">
        <w:rPr>
          <w:rStyle w:val="Refdenotaalpie"/>
          <w:rFonts w:ascii="Arial Narrow" w:hAnsi="Arial Narrow"/>
          <w:sz w:val="18"/>
          <w:szCs w:val="18"/>
        </w:rPr>
        <w:footnoteRef/>
      </w:r>
      <w:r w:rsidRPr="00A12A4C">
        <w:rPr>
          <w:rFonts w:ascii="Arial Narrow" w:hAnsi="Arial Narrow"/>
          <w:sz w:val="18"/>
          <w:szCs w:val="18"/>
        </w:rPr>
        <w:t xml:space="preserve"> </w:t>
      </w:r>
      <w:r w:rsidRPr="00A12A4C">
        <w:rPr>
          <w:rFonts w:ascii="Arial Narrow" w:hAnsi="Arial Narrow"/>
          <w:spacing w:val="-3"/>
          <w:sz w:val="18"/>
          <w:szCs w:val="18"/>
          <w:shd w:val="clear" w:color="auto" w:fill="FFFFFF"/>
        </w:rPr>
        <w:t xml:space="preserve">Sentencia C-246. Marzo 16 de 2004. </w:t>
      </w:r>
      <w:r w:rsidRPr="00A12A4C">
        <w:rPr>
          <w:rFonts w:ascii="Arial Narrow" w:hAnsi="Arial Narrow" w:cs="Arial"/>
          <w:sz w:val="18"/>
          <w:szCs w:val="18"/>
          <w:shd w:val="clear" w:color="auto" w:fill="FFFFFF"/>
        </w:rPr>
        <w:t>MP Clara Inés Vargas Hernández.</w:t>
      </w:r>
      <w:r w:rsidR="00A12A4C" w:rsidRPr="00A12A4C">
        <w:rPr>
          <w:rFonts w:ascii="Arial Narrow" w:hAnsi="Arial Narrow"/>
          <w:sz w:val="18"/>
          <w:szCs w:val="18"/>
        </w:rPr>
        <w:t xml:space="preserve"> Corte Constitucional</w:t>
      </w:r>
    </w:p>
  </w:footnote>
  <w:footnote w:id="12">
    <w:p w:rsidR="00A03699" w:rsidRPr="00A12A4C" w:rsidRDefault="00A03699">
      <w:pPr>
        <w:pStyle w:val="Textonotapie"/>
        <w:rPr>
          <w:rFonts w:ascii="Arial Narrow" w:hAnsi="Arial Narrow"/>
          <w:sz w:val="18"/>
          <w:szCs w:val="18"/>
          <w:lang w:val="es-CO"/>
        </w:rPr>
      </w:pPr>
      <w:r w:rsidRPr="00A12A4C">
        <w:rPr>
          <w:rStyle w:val="Refdenotaalpie"/>
          <w:rFonts w:ascii="Arial Narrow" w:hAnsi="Arial Narrow"/>
          <w:sz w:val="18"/>
          <w:szCs w:val="18"/>
        </w:rPr>
        <w:footnoteRef/>
      </w:r>
      <w:r w:rsidR="00404756" w:rsidRPr="00A12A4C">
        <w:rPr>
          <w:rFonts w:ascii="Arial Narrow" w:hAnsi="Arial Narrow"/>
          <w:sz w:val="18"/>
          <w:szCs w:val="18"/>
        </w:rPr>
        <w:t xml:space="preserve"> Sentencia C 442. Mayo 4 de 2001. MP Marco Gerardo Monroy Cabra.</w:t>
      </w:r>
      <w:r w:rsidR="00A12A4C" w:rsidRPr="00A12A4C">
        <w:rPr>
          <w:rFonts w:ascii="Arial Narrow" w:hAnsi="Arial Narrow"/>
          <w:sz w:val="18"/>
          <w:szCs w:val="18"/>
        </w:rPr>
        <w:t xml:space="preserve"> Corte Constitucional.</w:t>
      </w:r>
    </w:p>
  </w:footnote>
  <w:footnote w:id="13">
    <w:p w:rsidR="00404756" w:rsidRPr="00404756" w:rsidRDefault="00404756">
      <w:pPr>
        <w:pStyle w:val="Textonotapie"/>
        <w:rPr>
          <w:lang w:val="es-CO"/>
        </w:rPr>
      </w:pPr>
      <w:r w:rsidRPr="00A12A4C">
        <w:rPr>
          <w:rStyle w:val="Refdenotaalpie"/>
          <w:rFonts w:ascii="Arial Narrow" w:hAnsi="Arial Narrow"/>
          <w:sz w:val="18"/>
          <w:szCs w:val="18"/>
        </w:rPr>
        <w:footnoteRef/>
      </w:r>
      <w:r w:rsidRPr="00A12A4C">
        <w:rPr>
          <w:rFonts w:ascii="Arial Narrow" w:hAnsi="Arial Narrow"/>
          <w:sz w:val="18"/>
          <w:szCs w:val="18"/>
        </w:rPr>
        <w:t xml:space="preserve"> </w:t>
      </w:r>
      <w:r w:rsidR="00A12A4C" w:rsidRPr="00A12A4C">
        <w:rPr>
          <w:rFonts w:ascii="Arial Narrow" w:hAnsi="Arial Narrow"/>
          <w:sz w:val="18"/>
          <w:szCs w:val="18"/>
        </w:rPr>
        <w:t>Ibídem.</w:t>
      </w:r>
    </w:p>
  </w:footnote>
  <w:footnote w:id="14">
    <w:p w:rsidR="00DC4823" w:rsidRPr="00DC4823" w:rsidRDefault="00DC4823">
      <w:pPr>
        <w:pStyle w:val="Textonotapie"/>
        <w:rPr>
          <w:rFonts w:ascii="Arial Narrow" w:hAnsi="Arial Narrow"/>
          <w:sz w:val="18"/>
          <w:szCs w:val="18"/>
          <w:lang w:val="es-CO"/>
        </w:rPr>
      </w:pPr>
      <w:r w:rsidRPr="00DC4823">
        <w:rPr>
          <w:rStyle w:val="Refdenotaalpie"/>
          <w:rFonts w:ascii="Arial Narrow" w:hAnsi="Arial Narrow"/>
          <w:sz w:val="18"/>
          <w:szCs w:val="18"/>
        </w:rPr>
        <w:footnoteRef/>
      </w:r>
      <w:r w:rsidRPr="00DC4823">
        <w:rPr>
          <w:rFonts w:ascii="Arial Narrow" w:hAnsi="Arial Narrow"/>
          <w:sz w:val="18"/>
          <w:szCs w:val="18"/>
        </w:rPr>
        <w:t xml:space="preserve"> </w:t>
      </w:r>
      <w:r w:rsidRPr="00DC4823">
        <w:rPr>
          <w:rFonts w:ascii="Arial Narrow" w:hAnsi="Arial Narrow" w:cs="Arial"/>
          <w:sz w:val="18"/>
          <w:szCs w:val="18"/>
          <w:shd w:val="clear" w:color="auto" w:fill="FFFFFF"/>
        </w:rPr>
        <w:t xml:space="preserve">Sentencia C-251. Abril 11 de 2002. </w:t>
      </w:r>
      <w:proofErr w:type="spellStart"/>
      <w:r w:rsidRPr="00DC4823">
        <w:rPr>
          <w:rFonts w:ascii="Arial Narrow" w:hAnsi="Arial Narrow" w:cs="Arial"/>
          <w:sz w:val="18"/>
          <w:szCs w:val="18"/>
          <w:shd w:val="clear" w:color="auto" w:fill="FFFFFF"/>
        </w:rPr>
        <w:t>MMPP</w:t>
      </w:r>
      <w:proofErr w:type="spellEnd"/>
      <w:r w:rsidRPr="00DC4823">
        <w:rPr>
          <w:rFonts w:ascii="Arial Narrow" w:hAnsi="Arial Narrow" w:cs="Arial"/>
          <w:sz w:val="18"/>
          <w:szCs w:val="18"/>
          <w:shd w:val="clear" w:color="auto" w:fill="FFFFFF"/>
        </w:rPr>
        <w:t xml:space="preserve"> Eduardo Montealegre </w:t>
      </w:r>
      <w:proofErr w:type="spellStart"/>
      <w:r w:rsidRPr="00DC4823">
        <w:rPr>
          <w:rFonts w:ascii="Arial Narrow" w:hAnsi="Arial Narrow" w:cs="Arial"/>
          <w:sz w:val="18"/>
          <w:szCs w:val="18"/>
          <w:shd w:val="clear" w:color="auto" w:fill="FFFFFF"/>
        </w:rPr>
        <w:t>Lynett</w:t>
      </w:r>
      <w:proofErr w:type="spellEnd"/>
      <w:r w:rsidRPr="00DC4823">
        <w:rPr>
          <w:rFonts w:ascii="Arial Narrow" w:hAnsi="Arial Narrow" w:cs="Arial"/>
          <w:sz w:val="18"/>
          <w:szCs w:val="18"/>
          <w:shd w:val="clear" w:color="auto" w:fill="FFFFFF"/>
        </w:rPr>
        <w:t xml:space="preserve"> y Clara Inés Vargas Hernández.</w:t>
      </w:r>
      <w:r w:rsidRPr="00DC4823">
        <w:rPr>
          <w:rFonts w:ascii="Arial Narrow" w:hAnsi="Arial Narrow"/>
          <w:sz w:val="18"/>
          <w:szCs w:val="18"/>
        </w:rPr>
        <w:t xml:space="preserve"> Corte Constitucional</w:t>
      </w:r>
    </w:p>
  </w:footnote>
  <w:footnote w:id="15">
    <w:p w:rsidR="00711806" w:rsidRPr="001166F1" w:rsidRDefault="00711806" w:rsidP="00711806">
      <w:pPr>
        <w:pStyle w:val="Textonotapie"/>
        <w:rPr>
          <w:lang w:val="es-CO"/>
        </w:rPr>
      </w:pPr>
      <w:r w:rsidRPr="00DC4823">
        <w:rPr>
          <w:rStyle w:val="Refdenotaalpie"/>
          <w:rFonts w:ascii="Arial Narrow" w:hAnsi="Arial Narrow"/>
          <w:sz w:val="18"/>
          <w:szCs w:val="18"/>
        </w:rPr>
        <w:footnoteRef/>
      </w:r>
      <w:r w:rsidRPr="00DC4823">
        <w:rPr>
          <w:rFonts w:ascii="Arial Narrow" w:hAnsi="Arial Narrow"/>
          <w:sz w:val="18"/>
          <w:szCs w:val="18"/>
        </w:rPr>
        <w:t xml:space="preserve"> </w:t>
      </w:r>
      <w:r w:rsidRPr="00DC4823">
        <w:rPr>
          <w:rFonts w:ascii="Arial Narrow" w:hAnsi="Arial Narrow"/>
          <w:sz w:val="18"/>
          <w:szCs w:val="18"/>
          <w:lang w:val="es-CO"/>
        </w:rPr>
        <w:t>Página Web Ministerio de Hacienda y Crédito Público.</w:t>
      </w:r>
      <w:r>
        <w:rPr>
          <w:rFonts w:ascii="Arial Narrow" w:hAnsi="Arial Narrow"/>
          <w:sz w:val="18"/>
          <w:szCs w:val="18"/>
          <w:lang w:val="es-CO"/>
        </w:rPr>
        <w:t xml:space="preserve"> </w:t>
      </w:r>
      <w:r w:rsidRPr="00DC4823">
        <w:rPr>
          <w:rFonts w:ascii="Arial Narrow" w:hAnsi="Arial Narrow"/>
          <w:sz w:val="16"/>
          <w:szCs w:val="16"/>
          <w:lang w:val="es-CO"/>
        </w:rPr>
        <w:t>http://www.minhacienda.gov.co/HomeMinhacienda/politicafiscal/marcofiscalmedianoplazo</w:t>
      </w:r>
      <w:r w:rsidRPr="00DC4823">
        <w:rPr>
          <w:sz w:val="16"/>
          <w:szCs w:val="16"/>
          <w:lang w:val="es-CO"/>
        </w:rPr>
        <w:t>/</w:t>
      </w:r>
    </w:p>
  </w:footnote>
  <w:footnote w:id="16">
    <w:p w:rsidR="00711806" w:rsidRPr="00DC4823" w:rsidRDefault="00711806" w:rsidP="00711806">
      <w:pPr>
        <w:pStyle w:val="Textonotapie"/>
        <w:rPr>
          <w:lang w:val="es-CO"/>
        </w:rPr>
      </w:pPr>
      <w:r>
        <w:rPr>
          <w:rStyle w:val="Refdenotaalpie"/>
        </w:rPr>
        <w:footnoteRef/>
      </w:r>
      <w:r>
        <w:t xml:space="preserve"> </w:t>
      </w:r>
      <w:r w:rsidRPr="00DC4823">
        <w:rPr>
          <w:rFonts w:ascii="Arial Narrow" w:hAnsi="Arial Narrow"/>
          <w:sz w:val="18"/>
          <w:szCs w:val="18"/>
        </w:rPr>
        <w:t>“El riesgo de las vigencias futuras”. Julio 20 de 2015. Revista Portafolio.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D43AE"/>
    <w:multiLevelType w:val="hybridMultilevel"/>
    <w:tmpl w:val="8A926400"/>
    <w:lvl w:ilvl="0" w:tplc="5A469C02">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15:restartNumberingAfterBreak="0">
    <w:nsid w:val="1A9E47DE"/>
    <w:multiLevelType w:val="hybridMultilevel"/>
    <w:tmpl w:val="D09A6162"/>
    <w:lvl w:ilvl="0" w:tplc="5EBA607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2F30E08"/>
    <w:multiLevelType w:val="hybridMultilevel"/>
    <w:tmpl w:val="65F60A3A"/>
    <w:lvl w:ilvl="0" w:tplc="A4524ABC">
      <w:start w:val="1"/>
      <w:numFmt w:val="decimal"/>
      <w:lvlText w:val="%1."/>
      <w:lvlJc w:val="left"/>
      <w:pPr>
        <w:ind w:left="644"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B8A3375"/>
    <w:multiLevelType w:val="hybridMultilevel"/>
    <w:tmpl w:val="752EC3E2"/>
    <w:lvl w:ilvl="0" w:tplc="582608B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F33"/>
    <w:rsid w:val="000374A5"/>
    <w:rsid w:val="00053606"/>
    <w:rsid w:val="00086F82"/>
    <w:rsid w:val="000A02EE"/>
    <w:rsid w:val="000A3CFB"/>
    <w:rsid w:val="000D3FEF"/>
    <w:rsid w:val="000E7F33"/>
    <w:rsid w:val="001021A4"/>
    <w:rsid w:val="001166F1"/>
    <w:rsid w:val="0014324C"/>
    <w:rsid w:val="001769CD"/>
    <w:rsid w:val="00190CF2"/>
    <w:rsid w:val="001951F5"/>
    <w:rsid w:val="001E24E8"/>
    <w:rsid w:val="002918DD"/>
    <w:rsid w:val="002A3D81"/>
    <w:rsid w:val="002B0E23"/>
    <w:rsid w:val="002C048B"/>
    <w:rsid w:val="002C2F35"/>
    <w:rsid w:val="002D4C79"/>
    <w:rsid w:val="002F6A93"/>
    <w:rsid w:val="0034527B"/>
    <w:rsid w:val="00350EE2"/>
    <w:rsid w:val="00383891"/>
    <w:rsid w:val="003A12CF"/>
    <w:rsid w:val="003D3F8F"/>
    <w:rsid w:val="003E558A"/>
    <w:rsid w:val="003F2778"/>
    <w:rsid w:val="00404756"/>
    <w:rsid w:val="00416B8D"/>
    <w:rsid w:val="00436456"/>
    <w:rsid w:val="00452A23"/>
    <w:rsid w:val="004605D3"/>
    <w:rsid w:val="004C5738"/>
    <w:rsid w:val="004E0B5D"/>
    <w:rsid w:val="004F645D"/>
    <w:rsid w:val="00524D12"/>
    <w:rsid w:val="00576BA1"/>
    <w:rsid w:val="00593A5F"/>
    <w:rsid w:val="005C073B"/>
    <w:rsid w:val="00606414"/>
    <w:rsid w:val="00621575"/>
    <w:rsid w:val="006260A2"/>
    <w:rsid w:val="006307EE"/>
    <w:rsid w:val="00661DDE"/>
    <w:rsid w:val="00676DDE"/>
    <w:rsid w:val="006A4686"/>
    <w:rsid w:val="006B2EF0"/>
    <w:rsid w:val="006C3D8B"/>
    <w:rsid w:val="006E4563"/>
    <w:rsid w:val="006F2A32"/>
    <w:rsid w:val="00711806"/>
    <w:rsid w:val="00715F01"/>
    <w:rsid w:val="00726B37"/>
    <w:rsid w:val="00731FB0"/>
    <w:rsid w:val="0074084C"/>
    <w:rsid w:val="00743DDB"/>
    <w:rsid w:val="007562FE"/>
    <w:rsid w:val="00757991"/>
    <w:rsid w:val="00777A97"/>
    <w:rsid w:val="0078251B"/>
    <w:rsid w:val="007B5DD1"/>
    <w:rsid w:val="007E3941"/>
    <w:rsid w:val="007E699E"/>
    <w:rsid w:val="007F356D"/>
    <w:rsid w:val="00814325"/>
    <w:rsid w:val="00831447"/>
    <w:rsid w:val="008617D3"/>
    <w:rsid w:val="008B19F0"/>
    <w:rsid w:val="008E34AE"/>
    <w:rsid w:val="0091157C"/>
    <w:rsid w:val="009336C7"/>
    <w:rsid w:val="0094080D"/>
    <w:rsid w:val="00967492"/>
    <w:rsid w:val="00972AB3"/>
    <w:rsid w:val="009816D5"/>
    <w:rsid w:val="009B1FC9"/>
    <w:rsid w:val="009C216E"/>
    <w:rsid w:val="009E4447"/>
    <w:rsid w:val="009F4B0F"/>
    <w:rsid w:val="00A00C3A"/>
    <w:rsid w:val="00A02443"/>
    <w:rsid w:val="00A03699"/>
    <w:rsid w:val="00A12A4C"/>
    <w:rsid w:val="00A5045C"/>
    <w:rsid w:val="00A81423"/>
    <w:rsid w:val="00AC050C"/>
    <w:rsid w:val="00B512E6"/>
    <w:rsid w:val="00B72C3E"/>
    <w:rsid w:val="00BD18DE"/>
    <w:rsid w:val="00BF63E6"/>
    <w:rsid w:val="00C04CB8"/>
    <w:rsid w:val="00C11A3E"/>
    <w:rsid w:val="00C60F0D"/>
    <w:rsid w:val="00C7560E"/>
    <w:rsid w:val="00C845D2"/>
    <w:rsid w:val="00CB7471"/>
    <w:rsid w:val="00CD34C5"/>
    <w:rsid w:val="00CE15C6"/>
    <w:rsid w:val="00CF15D0"/>
    <w:rsid w:val="00CF3A70"/>
    <w:rsid w:val="00D078C0"/>
    <w:rsid w:val="00D138D9"/>
    <w:rsid w:val="00D32E7D"/>
    <w:rsid w:val="00D87C3F"/>
    <w:rsid w:val="00D92B3F"/>
    <w:rsid w:val="00DC4823"/>
    <w:rsid w:val="00DE2435"/>
    <w:rsid w:val="00E073F3"/>
    <w:rsid w:val="00E12F74"/>
    <w:rsid w:val="00E27AB6"/>
    <w:rsid w:val="00E27E64"/>
    <w:rsid w:val="00E35685"/>
    <w:rsid w:val="00E35F56"/>
    <w:rsid w:val="00E57C87"/>
    <w:rsid w:val="00ED64C8"/>
    <w:rsid w:val="00ED69A9"/>
    <w:rsid w:val="00F004CC"/>
    <w:rsid w:val="00F637DF"/>
    <w:rsid w:val="00F815C1"/>
    <w:rsid w:val="00F8768D"/>
    <w:rsid w:val="00FE1DD5"/>
    <w:rsid w:val="00FE681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8938C5-D87C-45E9-ACF8-4C41C42A2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0E7F33"/>
  </w:style>
  <w:style w:type="character" w:styleId="Refdenotaalpie">
    <w:name w:val="footnote reference"/>
    <w:basedOn w:val="Fuentedeprrafopredeter"/>
    <w:semiHidden/>
    <w:unhideWhenUsed/>
    <w:rsid w:val="000E7F33"/>
  </w:style>
  <w:style w:type="paragraph" w:customStyle="1" w:styleId="sangradetindependiente">
    <w:name w:val="sangradetindependiente"/>
    <w:basedOn w:val="Normal"/>
    <w:rsid w:val="000E7F3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independiente">
    <w:name w:val="Body Text"/>
    <w:basedOn w:val="Normal"/>
    <w:link w:val="TextoindependienteCar"/>
    <w:uiPriority w:val="99"/>
    <w:unhideWhenUsed/>
    <w:rsid w:val="000E7F3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Car">
    <w:name w:val="Texto independiente Car"/>
    <w:basedOn w:val="Fuentedeprrafopredeter"/>
    <w:link w:val="Textoindependiente"/>
    <w:uiPriority w:val="99"/>
    <w:rsid w:val="000E7F33"/>
    <w:rPr>
      <w:rFonts w:ascii="Times New Roman" w:eastAsia="Times New Roman" w:hAnsi="Times New Roman" w:cs="Times New Roman"/>
      <w:sz w:val="24"/>
      <w:szCs w:val="24"/>
      <w:lang w:eastAsia="es-CO"/>
    </w:rPr>
  </w:style>
  <w:style w:type="paragraph" w:styleId="Textonotapie">
    <w:name w:val="footnote text"/>
    <w:basedOn w:val="Normal"/>
    <w:link w:val="TextonotapieCar"/>
    <w:semiHidden/>
    <w:rsid w:val="002C048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2C048B"/>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2D4C7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D4C79"/>
    <w:rPr>
      <w:sz w:val="20"/>
      <w:szCs w:val="20"/>
    </w:rPr>
  </w:style>
  <w:style w:type="character" w:styleId="Refdenotaalfinal">
    <w:name w:val="endnote reference"/>
    <w:basedOn w:val="Fuentedeprrafopredeter"/>
    <w:uiPriority w:val="99"/>
    <w:semiHidden/>
    <w:unhideWhenUsed/>
    <w:rsid w:val="002D4C79"/>
    <w:rPr>
      <w:vertAlign w:val="superscript"/>
    </w:rPr>
  </w:style>
  <w:style w:type="paragraph" w:styleId="NormalWeb">
    <w:name w:val="Normal (Web)"/>
    <w:basedOn w:val="Normal"/>
    <w:uiPriority w:val="99"/>
    <w:unhideWhenUsed/>
    <w:rsid w:val="00B72C3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9336C7"/>
    <w:pPr>
      <w:spacing w:after="0" w:line="240" w:lineRule="auto"/>
    </w:pPr>
  </w:style>
  <w:style w:type="paragraph" w:styleId="Prrafodelista">
    <w:name w:val="List Paragraph"/>
    <w:basedOn w:val="Normal"/>
    <w:uiPriority w:val="34"/>
    <w:qFormat/>
    <w:rsid w:val="00436456"/>
    <w:pPr>
      <w:ind w:left="720"/>
      <w:contextualSpacing/>
    </w:pPr>
  </w:style>
  <w:style w:type="paragraph" w:styleId="Textodeglobo">
    <w:name w:val="Balloon Text"/>
    <w:basedOn w:val="Normal"/>
    <w:link w:val="TextodegloboCar"/>
    <w:uiPriority w:val="99"/>
    <w:semiHidden/>
    <w:unhideWhenUsed/>
    <w:rsid w:val="006064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6414"/>
    <w:rPr>
      <w:rFonts w:ascii="Tahoma" w:hAnsi="Tahoma" w:cs="Tahoma"/>
      <w:sz w:val="16"/>
      <w:szCs w:val="16"/>
    </w:rPr>
  </w:style>
  <w:style w:type="paragraph" w:styleId="Lista">
    <w:name w:val="List"/>
    <w:basedOn w:val="Normal"/>
    <w:uiPriority w:val="99"/>
    <w:unhideWhenUsed/>
    <w:rsid w:val="00190CF2"/>
    <w:pPr>
      <w:ind w:left="283" w:hanging="283"/>
      <w:contextualSpacing/>
    </w:pPr>
  </w:style>
  <w:style w:type="paragraph" w:styleId="Lista2">
    <w:name w:val="List 2"/>
    <w:basedOn w:val="Normal"/>
    <w:uiPriority w:val="99"/>
    <w:unhideWhenUsed/>
    <w:rsid w:val="00190CF2"/>
    <w:pPr>
      <w:ind w:left="566" w:hanging="283"/>
      <w:contextualSpacing/>
    </w:pPr>
  </w:style>
  <w:style w:type="paragraph" w:styleId="Saludo">
    <w:name w:val="Salutation"/>
    <w:basedOn w:val="Normal"/>
    <w:next w:val="Normal"/>
    <w:link w:val="SaludoCar"/>
    <w:uiPriority w:val="99"/>
    <w:unhideWhenUsed/>
    <w:rsid w:val="00190CF2"/>
  </w:style>
  <w:style w:type="character" w:customStyle="1" w:styleId="SaludoCar">
    <w:name w:val="Saludo Car"/>
    <w:basedOn w:val="Fuentedeprrafopredeter"/>
    <w:link w:val="Saludo"/>
    <w:uiPriority w:val="99"/>
    <w:rsid w:val="00190CF2"/>
  </w:style>
  <w:style w:type="paragraph" w:styleId="Continuarlista">
    <w:name w:val="List Continue"/>
    <w:basedOn w:val="Normal"/>
    <w:uiPriority w:val="99"/>
    <w:unhideWhenUsed/>
    <w:rsid w:val="00190CF2"/>
    <w:pPr>
      <w:spacing w:after="120"/>
      <w:ind w:left="283"/>
      <w:contextualSpacing/>
    </w:pPr>
  </w:style>
  <w:style w:type="paragraph" w:styleId="Continuarlista2">
    <w:name w:val="List Continue 2"/>
    <w:basedOn w:val="Normal"/>
    <w:uiPriority w:val="99"/>
    <w:unhideWhenUsed/>
    <w:rsid w:val="00190CF2"/>
    <w:pPr>
      <w:spacing w:after="120"/>
      <w:ind w:left="566"/>
      <w:contextualSpacing/>
    </w:pPr>
  </w:style>
  <w:style w:type="paragraph" w:styleId="Puesto">
    <w:name w:val="Title"/>
    <w:basedOn w:val="Normal"/>
    <w:next w:val="Normal"/>
    <w:link w:val="PuestoCar"/>
    <w:uiPriority w:val="10"/>
    <w:qFormat/>
    <w:rsid w:val="00190C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190CF2"/>
    <w:rPr>
      <w:rFonts w:asciiTheme="majorHAnsi" w:eastAsiaTheme="majorEastAsia" w:hAnsiTheme="majorHAnsi" w:cstheme="majorBidi"/>
      <w:spacing w:val="-10"/>
      <w:kern w:val="28"/>
      <w:sz w:val="56"/>
      <w:szCs w:val="56"/>
    </w:rPr>
  </w:style>
  <w:style w:type="paragraph" w:customStyle="1" w:styleId="Lneadeasunto">
    <w:name w:val="Línea de asunto"/>
    <w:basedOn w:val="Normal"/>
    <w:rsid w:val="00190CF2"/>
  </w:style>
  <w:style w:type="paragraph" w:styleId="Sangradetextonormal">
    <w:name w:val="Body Text Indent"/>
    <w:basedOn w:val="Normal"/>
    <w:link w:val="SangradetextonormalCar"/>
    <w:uiPriority w:val="99"/>
    <w:semiHidden/>
    <w:unhideWhenUsed/>
    <w:rsid w:val="00190CF2"/>
    <w:pPr>
      <w:spacing w:after="120"/>
      <w:ind w:left="283"/>
    </w:pPr>
  </w:style>
  <w:style w:type="character" w:customStyle="1" w:styleId="SangradetextonormalCar">
    <w:name w:val="Sangría de texto normal Car"/>
    <w:basedOn w:val="Fuentedeprrafopredeter"/>
    <w:link w:val="Sangradetextonormal"/>
    <w:uiPriority w:val="99"/>
    <w:semiHidden/>
    <w:rsid w:val="00190CF2"/>
  </w:style>
  <w:style w:type="paragraph" w:styleId="Textoindependienteprimerasangra2">
    <w:name w:val="Body Text First Indent 2"/>
    <w:basedOn w:val="Sangradetextonormal"/>
    <w:link w:val="Textoindependienteprimerasangra2Car"/>
    <w:uiPriority w:val="99"/>
    <w:unhideWhenUsed/>
    <w:rsid w:val="00190CF2"/>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90CF2"/>
  </w:style>
  <w:style w:type="character" w:styleId="Textoennegrita">
    <w:name w:val="Strong"/>
    <w:basedOn w:val="Fuentedeprrafopredeter"/>
    <w:uiPriority w:val="22"/>
    <w:qFormat/>
    <w:rsid w:val="00086F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296052">
      <w:bodyDiv w:val="1"/>
      <w:marLeft w:val="0"/>
      <w:marRight w:val="0"/>
      <w:marTop w:val="0"/>
      <w:marBottom w:val="0"/>
      <w:divBdr>
        <w:top w:val="none" w:sz="0" w:space="0" w:color="auto"/>
        <w:left w:val="none" w:sz="0" w:space="0" w:color="auto"/>
        <w:bottom w:val="none" w:sz="0" w:space="0" w:color="auto"/>
        <w:right w:val="none" w:sz="0" w:space="0" w:color="auto"/>
      </w:divBdr>
    </w:div>
    <w:div w:id="507451187">
      <w:bodyDiv w:val="1"/>
      <w:marLeft w:val="0"/>
      <w:marRight w:val="0"/>
      <w:marTop w:val="0"/>
      <w:marBottom w:val="0"/>
      <w:divBdr>
        <w:top w:val="none" w:sz="0" w:space="0" w:color="auto"/>
        <w:left w:val="none" w:sz="0" w:space="0" w:color="auto"/>
        <w:bottom w:val="none" w:sz="0" w:space="0" w:color="auto"/>
        <w:right w:val="none" w:sz="0" w:space="0" w:color="auto"/>
      </w:divBdr>
    </w:div>
    <w:div w:id="526601542">
      <w:bodyDiv w:val="1"/>
      <w:marLeft w:val="0"/>
      <w:marRight w:val="0"/>
      <w:marTop w:val="0"/>
      <w:marBottom w:val="0"/>
      <w:divBdr>
        <w:top w:val="none" w:sz="0" w:space="0" w:color="auto"/>
        <w:left w:val="none" w:sz="0" w:space="0" w:color="auto"/>
        <w:bottom w:val="none" w:sz="0" w:space="0" w:color="auto"/>
        <w:right w:val="none" w:sz="0" w:space="0" w:color="auto"/>
      </w:divBdr>
    </w:div>
    <w:div w:id="544871348">
      <w:bodyDiv w:val="1"/>
      <w:marLeft w:val="0"/>
      <w:marRight w:val="0"/>
      <w:marTop w:val="0"/>
      <w:marBottom w:val="0"/>
      <w:divBdr>
        <w:top w:val="none" w:sz="0" w:space="0" w:color="auto"/>
        <w:left w:val="none" w:sz="0" w:space="0" w:color="auto"/>
        <w:bottom w:val="none" w:sz="0" w:space="0" w:color="auto"/>
        <w:right w:val="none" w:sz="0" w:space="0" w:color="auto"/>
      </w:divBdr>
    </w:div>
    <w:div w:id="551891790">
      <w:bodyDiv w:val="1"/>
      <w:marLeft w:val="0"/>
      <w:marRight w:val="0"/>
      <w:marTop w:val="0"/>
      <w:marBottom w:val="0"/>
      <w:divBdr>
        <w:top w:val="none" w:sz="0" w:space="0" w:color="auto"/>
        <w:left w:val="none" w:sz="0" w:space="0" w:color="auto"/>
        <w:bottom w:val="none" w:sz="0" w:space="0" w:color="auto"/>
        <w:right w:val="none" w:sz="0" w:space="0" w:color="auto"/>
      </w:divBdr>
    </w:div>
    <w:div w:id="680397777">
      <w:bodyDiv w:val="1"/>
      <w:marLeft w:val="0"/>
      <w:marRight w:val="0"/>
      <w:marTop w:val="0"/>
      <w:marBottom w:val="0"/>
      <w:divBdr>
        <w:top w:val="none" w:sz="0" w:space="0" w:color="auto"/>
        <w:left w:val="none" w:sz="0" w:space="0" w:color="auto"/>
        <w:bottom w:val="none" w:sz="0" w:space="0" w:color="auto"/>
        <w:right w:val="none" w:sz="0" w:space="0" w:color="auto"/>
      </w:divBdr>
    </w:div>
    <w:div w:id="975332089">
      <w:bodyDiv w:val="1"/>
      <w:marLeft w:val="0"/>
      <w:marRight w:val="0"/>
      <w:marTop w:val="0"/>
      <w:marBottom w:val="0"/>
      <w:divBdr>
        <w:top w:val="none" w:sz="0" w:space="0" w:color="auto"/>
        <w:left w:val="none" w:sz="0" w:space="0" w:color="auto"/>
        <w:bottom w:val="none" w:sz="0" w:space="0" w:color="auto"/>
        <w:right w:val="none" w:sz="0" w:space="0" w:color="auto"/>
      </w:divBdr>
    </w:div>
    <w:div w:id="984357689">
      <w:bodyDiv w:val="1"/>
      <w:marLeft w:val="0"/>
      <w:marRight w:val="0"/>
      <w:marTop w:val="0"/>
      <w:marBottom w:val="0"/>
      <w:divBdr>
        <w:top w:val="none" w:sz="0" w:space="0" w:color="auto"/>
        <w:left w:val="none" w:sz="0" w:space="0" w:color="auto"/>
        <w:bottom w:val="none" w:sz="0" w:space="0" w:color="auto"/>
        <w:right w:val="none" w:sz="0" w:space="0" w:color="auto"/>
      </w:divBdr>
    </w:div>
    <w:div w:id="1468473525">
      <w:bodyDiv w:val="1"/>
      <w:marLeft w:val="0"/>
      <w:marRight w:val="0"/>
      <w:marTop w:val="0"/>
      <w:marBottom w:val="0"/>
      <w:divBdr>
        <w:top w:val="none" w:sz="0" w:space="0" w:color="auto"/>
        <w:left w:val="none" w:sz="0" w:space="0" w:color="auto"/>
        <w:bottom w:val="none" w:sz="0" w:space="0" w:color="auto"/>
        <w:right w:val="none" w:sz="0" w:space="0" w:color="auto"/>
      </w:divBdr>
    </w:div>
    <w:div w:id="1703940286">
      <w:bodyDiv w:val="1"/>
      <w:marLeft w:val="0"/>
      <w:marRight w:val="0"/>
      <w:marTop w:val="0"/>
      <w:marBottom w:val="0"/>
      <w:divBdr>
        <w:top w:val="none" w:sz="0" w:space="0" w:color="auto"/>
        <w:left w:val="none" w:sz="0" w:space="0" w:color="auto"/>
        <w:bottom w:val="none" w:sz="0" w:space="0" w:color="auto"/>
        <w:right w:val="none" w:sz="0" w:space="0" w:color="auto"/>
      </w:divBdr>
    </w:div>
    <w:div w:id="172486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7C3D4-6476-4539-8065-9AE2C1CE4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1426</TotalTime>
  <Pages>10</Pages>
  <Words>4052</Words>
  <Characters>22289</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leidymartinez</dc:creator>
  <cp:lastModifiedBy>leidymartinez</cp:lastModifiedBy>
  <cp:revision>7</cp:revision>
  <cp:lastPrinted>2017-10-10T17:11:00Z</cp:lastPrinted>
  <dcterms:created xsi:type="dcterms:W3CDTF">2017-04-19T15:23:00Z</dcterms:created>
  <dcterms:modified xsi:type="dcterms:W3CDTF">2017-10-10T17:16:00Z</dcterms:modified>
</cp:coreProperties>
</file>