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2715B0DE"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3343A2" w:rsidRPr="00F861D7">
        <w:rPr>
          <w:rFonts w:eastAsia="Arial MT" w:cs="Arial"/>
          <w:b/>
          <w:lang w:val="es-ES" w:eastAsia="en-US"/>
        </w:rPr>
        <w:t>No. 6</w:t>
      </w:r>
      <w:r w:rsidR="003343A2">
        <w:rPr>
          <w:rFonts w:eastAsia="Arial MT" w:cs="Arial"/>
          <w:b/>
          <w:lang w:eastAsia="en-US"/>
        </w:rPr>
        <w:t>41</w:t>
      </w:r>
      <w:r w:rsidR="003343A2" w:rsidRPr="00F861D7">
        <w:rPr>
          <w:rFonts w:eastAsia="Arial MT" w:cs="Arial"/>
          <w:b/>
          <w:lang w:val="es-ES" w:eastAsia="en-US"/>
        </w:rPr>
        <w:t xml:space="preserve"> DE 2025 CÁMARA – 2</w:t>
      </w:r>
      <w:r w:rsidR="003343A2">
        <w:rPr>
          <w:rFonts w:eastAsia="Arial MT" w:cs="Arial"/>
          <w:b/>
          <w:lang w:eastAsia="en-US"/>
        </w:rPr>
        <w:t>96</w:t>
      </w:r>
      <w:r w:rsidR="003343A2" w:rsidRPr="00F861D7">
        <w:rPr>
          <w:rFonts w:eastAsia="Arial MT" w:cs="Arial"/>
          <w:b/>
          <w:lang w:val="es-ES" w:eastAsia="en-US"/>
        </w:rPr>
        <w:t xml:space="preserve"> DE 2024 SENADO “POR MEDIO DE LA CUAL SE ESTABLECE </w:t>
      </w:r>
      <w:r w:rsidR="003343A2">
        <w:rPr>
          <w:rFonts w:eastAsia="Arial MT" w:cs="Arial"/>
          <w:b/>
          <w:lang w:val="es-ES" w:eastAsia="en-US"/>
        </w:rPr>
        <w:t xml:space="preserve">EL MARCO LEGAL </w:t>
      </w:r>
      <w:r w:rsidR="003343A2" w:rsidRPr="00F861D7">
        <w:rPr>
          <w:rFonts w:eastAsia="Arial MT" w:cs="Arial"/>
          <w:b/>
          <w:lang w:val="es-ES" w:eastAsia="en-US"/>
        </w:rPr>
        <w:t xml:space="preserve">PARA </w:t>
      </w:r>
      <w:r w:rsidR="003343A2">
        <w:rPr>
          <w:rFonts w:eastAsia="Arial MT" w:cs="Arial"/>
          <w:b/>
          <w:lang w:val="es-ES" w:eastAsia="en-US"/>
        </w:rPr>
        <w:t>EL RECONOCIMIENTO Y PAGO DE LA PENSIÓN ESPECIAL DE VEJEZ DE LOS INTEGRANTES DEL CUERPO DE CUSTODIA Y VIGILANCIA PENITENCIARIA Y CARCELARIA NACIONAL QUE DESARROLLAN ACTIVIDADES DE ALTO RIESGO Y SE DICTAN OTRAS DISPOSICIONES”</w:t>
      </w:r>
      <w:r w:rsidR="003343A2" w:rsidRPr="00F861D7">
        <w:rPr>
          <w:rFonts w:eastAsia="Arial MT" w:cs="Arial"/>
          <w:b/>
          <w:lang w:val="es-ES" w:eastAsia="en-US"/>
        </w:rPr>
        <w:t>.</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2415CC38"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3343A2">
        <w:rPr>
          <w:rFonts w:cs="Arial"/>
        </w:rPr>
        <w:t>20</w:t>
      </w:r>
      <w:r w:rsidR="001F2842">
        <w:rPr>
          <w:rFonts w:cs="Arial"/>
        </w:rPr>
        <w:t xml:space="preserve"> de agosto </w:t>
      </w:r>
      <w:r w:rsidR="004C3EB2">
        <w:rPr>
          <w:rFonts w:cs="Arial"/>
        </w:rPr>
        <w:t>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4C3EB2">
        <w:rPr>
          <w:rFonts w:cs="Arial"/>
        </w:rPr>
        <w:t>0</w:t>
      </w:r>
      <w:r w:rsidR="003343A2">
        <w:rPr>
          <w:rFonts w:cs="Arial"/>
        </w:rPr>
        <w:t>4</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1516FF46" w14:textId="7DCB3EC7" w:rsidR="003343A2" w:rsidRPr="00FA4576" w:rsidRDefault="003343A2" w:rsidP="003343A2">
      <w:pPr>
        <w:pStyle w:val="Sinespaciado"/>
      </w:pPr>
      <w:r w:rsidRPr="00FA4576">
        <w:rPr>
          <w:b/>
        </w:rPr>
        <w:t>Artículo 1. Objeto de la Ley.</w:t>
      </w:r>
      <w:r w:rsidRPr="00FA4576">
        <w:t xml:space="preserve"> La presente Ley tiene por objeto establecer un marco </w:t>
      </w:r>
      <w:r w:rsidR="009B189B">
        <w:t xml:space="preserve">legal </w:t>
      </w:r>
      <w:r w:rsidRPr="00FA4576">
        <w:t xml:space="preserve">para </w:t>
      </w:r>
      <w:r w:rsidR="009B189B">
        <w:t>el reconocimiento y pago de la pensión especial de vejez de</w:t>
      </w:r>
      <w:r w:rsidRPr="00FA4576">
        <w:t xml:space="preserve"> los integrantes del Cuerpo de Custodia y Vigilancia Penitenciaria y Carcelaria Nacional</w:t>
      </w:r>
      <w:r w:rsidR="009B189B">
        <w:t xml:space="preserve"> que desarrollan actividades de alto riesgo.</w:t>
      </w:r>
    </w:p>
    <w:p w14:paraId="6919A282" w14:textId="77777777" w:rsidR="003343A2" w:rsidRDefault="003343A2" w:rsidP="003343A2">
      <w:pPr>
        <w:pStyle w:val="Sinespaciado"/>
        <w:rPr>
          <w:b/>
        </w:rPr>
      </w:pPr>
    </w:p>
    <w:p w14:paraId="2E4BE238" w14:textId="5B61CCFB" w:rsidR="003343A2" w:rsidRDefault="003343A2" w:rsidP="003343A2">
      <w:pPr>
        <w:pStyle w:val="Sinespaciado"/>
      </w:pPr>
      <w:r w:rsidRPr="00FA4576">
        <w:rPr>
          <w:b/>
        </w:rPr>
        <w:t>Artículo 2. Ámbito de Aplicación.</w:t>
      </w:r>
      <w:r w:rsidRPr="00FA4576">
        <w:t xml:space="preserve"> La presente Ley se aplicará a todos los integrantes del Cuerpo de Custodia y Vigilancia Penitenciaria y Carcelaria Nacional que inicien sus labores y/o se encuentren realizando la actividad de alto riesgo que implique la disminución de la expectativa de vida saludable del trabajador o la necesidad del retiro de las funciones laborales que ejecuta, con ocasión de su trabajo.</w:t>
      </w:r>
    </w:p>
    <w:p w14:paraId="5201AC93" w14:textId="254652C1" w:rsidR="003343A2" w:rsidRDefault="003343A2" w:rsidP="003343A2">
      <w:pPr>
        <w:pStyle w:val="Sinespaciado"/>
      </w:pPr>
    </w:p>
    <w:p w14:paraId="30324441" w14:textId="177C45D9" w:rsidR="003343A2" w:rsidRPr="00FA4576" w:rsidRDefault="003343A2" w:rsidP="003343A2">
      <w:pPr>
        <w:pStyle w:val="Sinespaciado"/>
      </w:pPr>
      <w:r w:rsidRPr="00FA4576">
        <w:rPr>
          <w:b/>
        </w:rPr>
        <w:t>Artículo 3. Definiciones.</w:t>
      </w:r>
      <w:r w:rsidRPr="00FA4576">
        <w:t xml:space="preserve"> Para los efectos de la presente Ley se entiende por: </w:t>
      </w:r>
    </w:p>
    <w:p w14:paraId="7B15B074" w14:textId="77777777" w:rsidR="003343A2" w:rsidRDefault="003343A2" w:rsidP="003343A2">
      <w:pPr>
        <w:pStyle w:val="Sinespaciado"/>
        <w:rPr>
          <w:b/>
        </w:rPr>
      </w:pPr>
    </w:p>
    <w:p w14:paraId="13713726" w14:textId="284F08EA" w:rsidR="003343A2" w:rsidRPr="00FA4576" w:rsidRDefault="003343A2" w:rsidP="003343A2">
      <w:pPr>
        <w:pStyle w:val="Sinespaciado"/>
        <w:numPr>
          <w:ilvl w:val="0"/>
          <w:numId w:val="27"/>
        </w:numPr>
      </w:pPr>
      <w:r w:rsidRPr="00FA4576">
        <w:rPr>
          <w:b/>
        </w:rPr>
        <w:t>Actividad de Alto Riesgo.</w:t>
      </w:r>
      <w:r w:rsidRPr="00FA4576">
        <w:t xml:space="preserve"> Se entiende por Actividad de Alto Riesgo para la salud de los integrantes del Cuerpo de Custodia y Vigilancia Penitenciaria y Carcelaria Nacional, aquella en la cual la labor desempeñada implique la disminución de la expectativa de vida saludable o la necesidad del retiro de las funciones laborales que ejecuta, con ocasión de su trabajo. </w:t>
      </w:r>
    </w:p>
    <w:p w14:paraId="795D75DB" w14:textId="77777777" w:rsidR="003343A2" w:rsidRPr="00FA4576" w:rsidRDefault="003343A2" w:rsidP="003343A2">
      <w:pPr>
        <w:pStyle w:val="Sinespaciado"/>
        <w:numPr>
          <w:ilvl w:val="0"/>
          <w:numId w:val="27"/>
        </w:numPr>
      </w:pPr>
      <w:r w:rsidRPr="00FA4576">
        <w:rPr>
          <w:b/>
        </w:rPr>
        <w:t>Integrante</w:t>
      </w:r>
      <w:r>
        <w:rPr>
          <w:b/>
        </w:rPr>
        <w:t>s</w:t>
      </w:r>
      <w:r w:rsidRPr="00FA4576">
        <w:rPr>
          <w:b/>
        </w:rPr>
        <w:t xml:space="preserve"> con Función de Alto Riesgo.</w:t>
      </w:r>
      <w:r w:rsidRPr="00FA4576">
        <w:t xml:space="preserve"> Son los Oficiales, Suboficiales, Dragoneantes y Alumnos del Cuerpo de Custodia en los diferentes grados o jerarquías. Entre los oficiales se encuentran personas con grados de comandante, mayor, capitán, teniente; entre los suboficiales se encuentran inspector jefe, inspector, distinguido y dragoneante. </w:t>
      </w:r>
    </w:p>
    <w:p w14:paraId="117F5696" w14:textId="01F9E3A9" w:rsidR="003343A2" w:rsidRPr="00FA4576" w:rsidRDefault="003343A2" w:rsidP="003343A2">
      <w:pPr>
        <w:pStyle w:val="Sinespaciado"/>
        <w:numPr>
          <w:ilvl w:val="0"/>
          <w:numId w:val="27"/>
        </w:numPr>
      </w:pPr>
      <w:r w:rsidRPr="00FA4576">
        <w:rPr>
          <w:b/>
        </w:rPr>
        <w:t>Caracterización del riesgo.</w:t>
      </w:r>
      <w:r w:rsidRPr="00FA4576">
        <w:t xml:space="preserve"> </w:t>
      </w:r>
      <w:r w:rsidR="009B189B">
        <w:t>Proceso que busca identificar, analizar y evaluar los riesgos potenciales, tanto en términos de su probabilidad de ocurrencia como de su posible impacto, derivado de l</w:t>
      </w:r>
      <w:r w:rsidRPr="00FA4576">
        <w:t xml:space="preserve">a actividad del personal dedicado a la custodia y vigilancia de los internos en los centros de reclusión carcelaria, durante el tiempo en el que ejecuten dicha labor. Así mismo, el personal que labore en las actividades antes señaladas en otros establecimientos carcelarios, con excepción de aquellos administrados por la Fuerza Pública. Puede ser de tipo social, laboral y de acuerdo a los riesgos propios en el ejercicio de la actividad. </w:t>
      </w:r>
    </w:p>
    <w:p w14:paraId="5D296E11" w14:textId="77777777" w:rsidR="003343A2" w:rsidRPr="00FA4576" w:rsidRDefault="003343A2" w:rsidP="003343A2">
      <w:pPr>
        <w:pStyle w:val="Sinespaciado"/>
        <w:numPr>
          <w:ilvl w:val="0"/>
          <w:numId w:val="27"/>
        </w:numPr>
      </w:pPr>
      <w:r w:rsidRPr="00FA4576">
        <w:rPr>
          <w:b/>
        </w:rPr>
        <w:t>Tipo Social.</w:t>
      </w:r>
      <w:r w:rsidRPr="00FA4576">
        <w:t xml:space="preserve"> Dentro de las que se encuentran excesivas jornadas laborales, aislamiento familiar, estrés, el medio patológico, la declaratoria del Estado </w:t>
      </w:r>
      <w:r>
        <w:t>d</w:t>
      </w:r>
      <w:r w:rsidRPr="00FA4576">
        <w:t>e Cosas Inconstitucional</w:t>
      </w:r>
      <w:r>
        <w:t xml:space="preserve"> (ECI)</w:t>
      </w:r>
      <w:r w:rsidRPr="00FA4576">
        <w:t xml:space="preserve">, hacer parte del conflicto social de las cárceles, amotinamientos, evasión o intentos </w:t>
      </w:r>
      <w:r w:rsidRPr="00FA4576">
        <w:lastRenderedPageBreak/>
        <w:t xml:space="preserve">de fuga, rescate, traslado de internos y otros, todo lo cual conlleva a fatiga e incremento de la carga psicosocial. </w:t>
      </w:r>
    </w:p>
    <w:p w14:paraId="19705726" w14:textId="77777777" w:rsidR="003343A2" w:rsidRDefault="003343A2" w:rsidP="003343A2">
      <w:pPr>
        <w:pStyle w:val="Sinespaciado"/>
        <w:numPr>
          <w:ilvl w:val="0"/>
          <w:numId w:val="27"/>
        </w:numPr>
      </w:pPr>
      <w:r w:rsidRPr="00FA4576">
        <w:rPr>
          <w:b/>
        </w:rPr>
        <w:t>Tipo Laboral.</w:t>
      </w:r>
      <w:r w:rsidRPr="00FA4576">
        <w:t xml:space="preserve"> Físicos tales como ruido, iluminación, frío y/o calor extremo; biológicos de todo tipo sean microorganismos productores de infecciones o agentes derivados; ergonómicos; psicosociales; de </w:t>
      </w:r>
      <w:r>
        <w:t>s</w:t>
      </w:r>
      <w:r w:rsidRPr="00FA4576">
        <w:t xml:space="preserve">eguridad tales como mecánicos, eléctricos, instalaciones locativas defectuosas, trabajos confinados, incendio y explosión, tránsito y riesgo público, entre otros. </w:t>
      </w:r>
    </w:p>
    <w:p w14:paraId="05CBFF89" w14:textId="4F09DC52" w:rsidR="003343A2" w:rsidRDefault="003343A2" w:rsidP="003343A2">
      <w:pPr>
        <w:pStyle w:val="Sinespaciado"/>
        <w:numPr>
          <w:ilvl w:val="0"/>
          <w:numId w:val="27"/>
        </w:numPr>
      </w:pPr>
      <w:r w:rsidRPr="00E000B6">
        <w:rPr>
          <w:b/>
        </w:rPr>
        <w:t xml:space="preserve">Riesgos Propios. </w:t>
      </w:r>
      <w:r w:rsidRPr="00E000B6">
        <w:t>Altas tasas de morbilidad, mortalidad y alto riesgo de agresión, ocasionados por la población de Personas Privadas de la Libertad (PPL); generando un alto nivel de estrés. Se suma a este fenómeno, el desgaste ocupacional causado por el ejercicio de custodia y vigilancia en los distintos centros carcelarios y penitenciarios; incluyendo también como factor detonante, los contactos sociales entre los compañeros, así como las interacciones con la Población Privada de la Libertad (PPL).</w:t>
      </w:r>
    </w:p>
    <w:p w14:paraId="48560D74" w14:textId="77777777" w:rsidR="003343A2" w:rsidRDefault="003343A2" w:rsidP="003343A2">
      <w:pPr>
        <w:pStyle w:val="Sinespaciado"/>
      </w:pPr>
    </w:p>
    <w:p w14:paraId="7E16DD1E" w14:textId="07E3C23E" w:rsidR="003343A2" w:rsidRPr="00E000B6" w:rsidRDefault="003343A2" w:rsidP="003343A2">
      <w:pPr>
        <w:pStyle w:val="Sinespaciado"/>
      </w:pPr>
      <w:r w:rsidRPr="00E000B6">
        <w:rPr>
          <w:b/>
        </w:rPr>
        <w:t>Artículo 4. Pensi</w:t>
      </w:r>
      <w:r w:rsidR="009B189B">
        <w:rPr>
          <w:b/>
        </w:rPr>
        <w:t>ó</w:t>
      </w:r>
      <w:r w:rsidRPr="00E000B6">
        <w:rPr>
          <w:b/>
        </w:rPr>
        <w:t>n</w:t>
      </w:r>
      <w:r w:rsidR="009B189B">
        <w:rPr>
          <w:b/>
        </w:rPr>
        <w:t xml:space="preserve"> </w:t>
      </w:r>
      <w:r w:rsidRPr="00E000B6">
        <w:rPr>
          <w:b/>
        </w:rPr>
        <w:t>especial de vejez.</w:t>
      </w:r>
      <w:r w:rsidRPr="00E000B6">
        <w:t xml:space="preserve"> Los afiliados al Régimen de Prima Media con prestación definida del Sistema General de Pensiones, que realicen una ocupación de alto riesgo para su salud, de las actividades descritas en la presente Ley, durante </w:t>
      </w:r>
      <w:r w:rsidR="009B189B">
        <w:t>un</w:t>
      </w:r>
      <w:r w:rsidRPr="00E000B6">
        <w:t xml:space="preserve"> número </w:t>
      </w:r>
      <w:r w:rsidR="003D5D35">
        <w:t xml:space="preserve">mínimo </w:t>
      </w:r>
      <w:r w:rsidRPr="00E000B6">
        <w:t xml:space="preserve">de </w:t>
      </w:r>
      <w:r w:rsidR="003D5D35">
        <w:t xml:space="preserve">mil veintinueve (1029) </w:t>
      </w:r>
      <w:r w:rsidRPr="00E000B6">
        <w:t>semanas</w:t>
      </w:r>
      <w:r w:rsidR="003D5D35">
        <w:t xml:space="preserve"> de cotización al servicio del Cuerpo de Custodia y Vigilancia Penitenciaria y Carcelaria Nacional, de las cuales se efectué la cotización especial </w:t>
      </w:r>
      <w:r w:rsidRPr="00E000B6">
        <w:t>durante por lo menos setecientas (700) semanas</w:t>
      </w:r>
      <w:r w:rsidR="003D5D35">
        <w:t xml:space="preserve"> de actividades de alto riesgo</w:t>
      </w:r>
      <w:r w:rsidRPr="00E000B6">
        <w:t xml:space="preserve"> sean estas continuas o discontinuas, </w:t>
      </w:r>
      <w:r w:rsidR="003D5D35">
        <w:t xml:space="preserve">o que hayan cumplido veinte (20) años de servicio continuo o descontinuos, </w:t>
      </w:r>
      <w:r w:rsidR="003D5D35">
        <w:t>al servicio del Cuerpo de Custodia y Vigilancia Penitenciaria y Carcelaria Nacional</w:t>
      </w:r>
      <w:r w:rsidR="003D5D35">
        <w:t xml:space="preserve"> </w:t>
      </w:r>
      <w:r w:rsidRPr="00E000B6">
        <w:t>tendrán derecho a la pensión especial de vejez</w:t>
      </w:r>
      <w:r w:rsidR="003D5D35">
        <w:t>.</w:t>
      </w:r>
    </w:p>
    <w:p w14:paraId="34138F3B" w14:textId="77777777" w:rsidR="003343A2" w:rsidRDefault="003343A2" w:rsidP="003343A2">
      <w:pPr>
        <w:pStyle w:val="Sinespaciado"/>
        <w:rPr>
          <w:b/>
        </w:rPr>
      </w:pPr>
    </w:p>
    <w:p w14:paraId="1EA4E47D" w14:textId="459ED08F" w:rsidR="003343A2" w:rsidRDefault="003343A2" w:rsidP="003343A2">
      <w:pPr>
        <w:pStyle w:val="Sinespaciado"/>
      </w:pPr>
      <w:r w:rsidRPr="00FA4576">
        <w:rPr>
          <w:b/>
        </w:rPr>
        <w:t xml:space="preserve">Artículo </w:t>
      </w:r>
      <w:r>
        <w:rPr>
          <w:b/>
        </w:rPr>
        <w:t>5</w:t>
      </w:r>
      <w:r w:rsidRPr="00FA4576">
        <w:rPr>
          <w:b/>
        </w:rPr>
        <w:t>. Monto de la cotización.</w:t>
      </w:r>
      <w:r w:rsidRPr="00FA4576">
        <w:t xml:space="preserve"> El monto de la cotización para las actividades de alto riesgo descritas en la presente Ley, es el previsto en la Ley 100 de 1993, o normas que la modifiquen o adicionen, más diez (10) puntos adicionales a cargo del empleador.</w:t>
      </w:r>
    </w:p>
    <w:p w14:paraId="1260988C" w14:textId="1EC900A3" w:rsidR="003343A2" w:rsidRDefault="003343A2" w:rsidP="003343A2">
      <w:pPr>
        <w:pStyle w:val="Sinespaciado"/>
      </w:pPr>
    </w:p>
    <w:p w14:paraId="3437F08F" w14:textId="77777777" w:rsidR="009B189B" w:rsidRDefault="003343A2" w:rsidP="003343A2">
      <w:pPr>
        <w:pStyle w:val="Sinespaciado"/>
      </w:pPr>
      <w:r w:rsidRPr="00FA4576">
        <w:rPr>
          <w:b/>
        </w:rPr>
        <w:t xml:space="preserve">Artículo </w:t>
      </w:r>
      <w:r w:rsidR="009B189B">
        <w:rPr>
          <w:b/>
        </w:rPr>
        <w:t>6</w:t>
      </w:r>
      <w:r w:rsidRPr="00FA4576">
        <w:rPr>
          <w:b/>
        </w:rPr>
        <w:t>. Ingreso Base de Liquidación (IBL).</w:t>
      </w:r>
      <w:r w:rsidRPr="00FA4576">
        <w:t xml:space="preserve"> El monto mensual de la pensión de vejez, será equivalente al setenta y cinco por ciento (75%) del Ingreso Base de Liquidación (IBL), determinado según la opción que resulte más favorable para el trabajador(a), de acuerdo con los siguientes criterios:</w:t>
      </w:r>
    </w:p>
    <w:p w14:paraId="36DE5DF0" w14:textId="630E3C9B" w:rsidR="003343A2" w:rsidRPr="00FA4576" w:rsidRDefault="003343A2" w:rsidP="003343A2">
      <w:pPr>
        <w:pStyle w:val="Sinespaciado"/>
      </w:pPr>
      <w:r w:rsidRPr="00FA4576">
        <w:t xml:space="preserve"> </w:t>
      </w:r>
    </w:p>
    <w:p w14:paraId="0BC68174" w14:textId="77777777" w:rsidR="003343A2" w:rsidRPr="00FA4576" w:rsidRDefault="003343A2" w:rsidP="009B189B">
      <w:pPr>
        <w:pStyle w:val="Sinespaciado"/>
        <w:numPr>
          <w:ilvl w:val="0"/>
          <w:numId w:val="30"/>
        </w:numPr>
      </w:pPr>
      <w:r w:rsidRPr="00FA4576">
        <w:rPr>
          <w:b/>
        </w:rPr>
        <w:t>Último año cotizado</w:t>
      </w:r>
      <w:r w:rsidRPr="002B6E2B">
        <w:rPr>
          <w:b/>
        </w:rPr>
        <w:t>.</w:t>
      </w:r>
      <w:r>
        <w:rPr>
          <w:b/>
        </w:rPr>
        <w:t xml:space="preserve"> </w:t>
      </w:r>
      <w:r w:rsidRPr="00FA4576">
        <w:t xml:space="preserve">Se tomará el Ingreso Base de </w:t>
      </w:r>
      <w:r w:rsidRPr="002B6E2B">
        <w:t>Cotización (IBL)</w:t>
      </w:r>
      <w:r w:rsidRPr="00FA4576">
        <w:t xml:space="preserve"> promedio durante el último año de cotización. </w:t>
      </w:r>
    </w:p>
    <w:p w14:paraId="5960FAA2" w14:textId="77777777" w:rsidR="003343A2" w:rsidRPr="00FA4576" w:rsidRDefault="003343A2" w:rsidP="009B189B">
      <w:pPr>
        <w:pStyle w:val="Sinespaciado"/>
        <w:numPr>
          <w:ilvl w:val="0"/>
          <w:numId w:val="30"/>
        </w:numPr>
      </w:pPr>
      <w:r w:rsidRPr="00FA4576">
        <w:rPr>
          <w:b/>
        </w:rPr>
        <w:t>Promedio de los últimos diez (10) años cotizados</w:t>
      </w:r>
      <w:r w:rsidRPr="002B6E2B">
        <w:rPr>
          <w:b/>
        </w:rPr>
        <w:t>.</w:t>
      </w:r>
      <w:r w:rsidRPr="00FA4576">
        <w:t xml:space="preserve"> Se calculará el promedio del Ingreso Base de Liquidación (IBL) durante los últimos diez (10) años cotizados antes del reconocimiento de la pensión, actualizados anualmente con base en la variación del Índice de Precios al Consumidor (IPC), conforme a la certificación expedida por el </w:t>
      </w:r>
      <w:r>
        <w:t xml:space="preserve">Departamento Administrativo Nacional de Estadística - </w:t>
      </w:r>
      <w:r w:rsidRPr="00FA4576">
        <w:t xml:space="preserve">DANE. </w:t>
      </w:r>
    </w:p>
    <w:p w14:paraId="787BFB3B" w14:textId="77777777" w:rsidR="003343A2" w:rsidRPr="00FA4576" w:rsidRDefault="003343A2" w:rsidP="009B189B">
      <w:pPr>
        <w:pStyle w:val="Sinespaciado"/>
        <w:numPr>
          <w:ilvl w:val="0"/>
          <w:numId w:val="30"/>
        </w:numPr>
      </w:pPr>
      <w:r w:rsidRPr="00FA4576">
        <w:rPr>
          <w:b/>
        </w:rPr>
        <w:t xml:space="preserve">Promedio de </w:t>
      </w:r>
      <w:r>
        <w:rPr>
          <w:b/>
        </w:rPr>
        <w:t>t</w:t>
      </w:r>
      <w:r w:rsidRPr="00FA4576">
        <w:rPr>
          <w:b/>
        </w:rPr>
        <w:t>oda la vida laboral.</w:t>
      </w:r>
      <w:r w:rsidRPr="00FA4576">
        <w:t xml:space="preserve"> Se tomará el promedio del Ingreso Base de Liquidación (IBL), actualizados anualmente con base en la variación del Índice de Precios al Consumidor (IPC), según certificación que expida el</w:t>
      </w:r>
      <w:r>
        <w:t xml:space="preserve"> Departamento Administrativo Nacional de Estadística - </w:t>
      </w:r>
      <w:r w:rsidRPr="00FA4576">
        <w:t xml:space="preserve">DANE, durante toda la vida laboral del trabajador(a). </w:t>
      </w:r>
    </w:p>
    <w:p w14:paraId="67C9D9BD" w14:textId="77777777" w:rsidR="009B189B" w:rsidRDefault="009B189B" w:rsidP="003343A2">
      <w:pPr>
        <w:pStyle w:val="Sinespaciado"/>
      </w:pPr>
    </w:p>
    <w:p w14:paraId="4761F33B" w14:textId="06618F79" w:rsidR="003343A2" w:rsidRPr="00FA4576" w:rsidRDefault="003343A2" w:rsidP="003343A2">
      <w:pPr>
        <w:pStyle w:val="Sinespaciado"/>
      </w:pPr>
      <w:r w:rsidRPr="00FA4576">
        <w:t xml:space="preserve">Se aplicará la opción que resulte más favorable para el trabajador(a). </w:t>
      </w:r>
    </w:p>
    <w:p w14:paraId="03976BC6" w14:textId="77777777" w:rsidR="009B189B" w:rsidRDefault="009B189B" w:rsidP="003343A2">
      <w:pPr>
        <w:pStyle w:val="Sinespaciado"/>
        <w:rPr>
          <w:b/>
        </w:rPr>
      </w:pPr>
    </w:p>
    <w:p w14:paraId="13BCEE63" w14:textId="45B31E1F" w:rsidR="003343A2" w:rsidRPr="00FA4576" w:rsidRDefault="003343A2" w:rsidP="003343A2">
      <w:pPr>
        <w:pStyle w:val="Sinespaciado"/>
      </w:pPr>
      <w:r w:rsidRPr="00FA4576">
        <w:rPr>
          <w:b/>
        </w:rPr>
        <w:t>Parágrafo.</w:t>
      </w:r>
      <w:r w:rsidRPr="00FA4576">
        <w:t xml:space="preserve"> Cuando el Ingreso Base de Liquidación (IBL) más favorable para el trabajador(a) corresponda al promedio de toda la vida laboral o al promedio de los últimos diez (10) años cotizados, se tendrá en cuenta para el cálculo de la pensión de vejez que, por cada cincuenta (50) semanas adicionales a las mínimas requeridas, el porcentaje de que trata el presente artículo se incrementará en un uno por ciento (1%) del Ingreso Base de Liquidación (IBL), llegando a un </w:t>
      </w:r>
      <w:r w:rsidRPr="00FA4576">
        <w:lastRenderedPageBreak/>
        <w:t>monto máximo de pensión del ochenta por ciento (80%) de dicho ingreso, en forma decreciente en función del nivel de ingresos de cotización, calculado con base en la fórmula establecida en el artículo 34 de la Ley 100 de 1993 o el artículo 32 de la Ley 2381 de 2024, según corresponda. El valor total de la pensión no podrá ser superior al ochenta por ciento (80%) del Ingreso Base de Liquidación (IBL), ni inferior a la pensión mínima.</w:t>
      </w:r>
    </w:p>
    <w:p w14:paraId="229965B1" w14:textId="77777777" w:rsidR="008F1E88" w:rsidRDefault="008F1E88" w:rsidP="003343A2">
      <w:pPr>
        <w:pStyle w:val="Sinespaciado"/>
        <w:rPr>
          <w:b/>
        </w:rPr>
      </w:pPr>
    </w:p>
    <w:p w14:paraId="5211F82C" w14:textId="13B2F9FF" w:rsidR="003343A2" w:rsidRPr="00FA4576" w:rsidRDefault="003343A2" w:rsidP="003343A2">
      <w:pPr>
        <w:pStyle w:val="Sinespaciado"/>
      </w:pPr>
      <w:r w:rsidRPr="00FA4576">
        <w:rPr>
          <w:b/>
        </w:rPr>
        <w:t xml:space="preserve">Artículo </w:t>
      </w:r>
      <w:r w:rsidR="008F1E88">
        <w:rPr>
          <w:b/>
        </w:rPr>
        <w:t>7</w:t>
      </w:r>
      <w:r w:rsidRPr="00FA4576">
        <w:rPr>
          <w:b/>
        </w:rPr>
        <w:t>. Normas aplicables.</w:t>
      </w:r>
      <w:r w:rsidRPr="00FA4576">
        <w:t xml:space="preserve"> En lo no previsto para la pensión especial de que trata la presente Ley, se aplicarán las normas generales contenidas en la Ley 100 de 1993, la Ley 797 de 2003, la Ley 2381 de 2024 y sus decretos reglamentarios.</w:t>
      </w:r>
    </w:p>
    <w:p w14:paraId="6E588E2B" w14:textId="77777777" w:rsidR="008F1E88" w:rsidRDefault="008F1E88" w:rsidP="003343A2">
      <w:pPr>
        <w:pStyle w:val="Sinespaciado"/>
        <w:rPr>
          <w:b/>
        </w:rPr>
      </w:pPr>
    </w:p>
    <w:p w14:paraId="166A9045" w14:textId="45D0EFE8" w:rsidR="003343A2" w:rsidRPr="00FA4576" w:rsidRDefault="003343A2" w:rsidP="003343A2">
      <w:pPr>
        <w:pStyle w:val="Sinespaciado"/>
      </w:pPr>
      <w:r w:rsidRPr="00FA4576">
        <w:rPr>
          <w:b/>
        </w:rPr>
        <w:t xml:space="preserve">Artículo </w:t>
      </w:r>
      <w:r w:rsidR="008F1E88">
        <w:rPr>
          <w:b/>
        </w:rPr>
        <w:t>8</w:t>
      </w:r>
      <w:r w:rsidRPr="00FA4576">
        <w:rPr>
          <w:b/>
        </w:rPr>
        <w:t xml:space="preserve">. Régimen de transición. </w:t>
      </w:r>
      <w:r w:rsidRPr="00FA4576">
        <w:t xml:space="preserve">Las disposiciones contenidas en la presente Ley se aplicarán sin perjuicio de los derechos consolidados o en curso de adquisición de los servidores públicos del Cuerpo de Custodia y Vigilancia Penitenciaria y Carcelaria Nacional que hayan ingresado al servicio a partir del 29 de julio de 2003 y que, al momento de entrada en vigencia de esta norma, hubieren iniciado el cumplimiento de los requisitos establecidos en ese régimen. </w:t>
      </w:r>
    </w:p>
    <w:p w14:paraId="3DE01AB3" w14:textId="77777777" w:rsidR="008F1E88" w:rsidRDefault="008F1E88" w:rsidP="003343A2">
      <w:pPr>
        <w:pStyle w:val="Sinespaciado"/>
      </w:pPr>
    </w:p>
    <w:p w14:paraId="112D6A35" w14:textId="24752A2F" w:rsidR="003343A2" w:rsidRPr="00FA4576" w:rsidRDefault="003343A2" w:rsidP="003343A2">
      <w:pPr>
        <w:pStyle w:val="Sinespaciado"/>
      </w:pPr>
      <w:r w:rsidRPr="00FA4576">
        <w:t>También, se entenderá por derecho en curso de adquisición o consolidado aquel en el que el servidor haya acumulado al menos mil veintinueve (1.029) semanas de cotización, o su equivalente en tiempo de servicio efectivo, a la fecha de entrada en vigencia de esta Ley.</w:t>
      </w:r>
    </w:p>
    <w:p w14:paraId="4B4E706C" w14:textId="77777777" w:rsidR="008F1E88" w:rsidRDefault="008F1E88" w:rsidP="003343A2">
      <w:pPr>
        <w:pStyle w:val="Sinespaciado"/>
      </w:pPr>
    </w:p>
    <w:p w14:paraId="16501D24" w14:textId="596D25C2" w:rsidR="003343A2" w:rsidRPr="00FA4576" w:rsidRDefault="003343A2" w:rsidP="003343A2">
      <w:pPr>
        <w:pStyle w:val="Sinespaciado"/>
      </w:pPr>
      <w:r w:rsidRPr="00FA4576">
        <w:t>En todo caso, se aplicará el régimen que resulte más favorable para el servidor, conforme al principio de favorabilidad laboral previsto en el artículo 53 de la Constitución Política.</w:t>
      </w:r>
    </w:p>
    <w:p w14:paraId="6E117249" w14:textId="77777777" w:rsidR="008F1E88" w:rsidRDefault="008F1E88" w:rsidP="003343A2">
      <w:pPr>
        <w:pStyle w:val="Sinespaciado"/>
        <w:rPr>
          <w:b/>
        </w:rPr>
      </w:pPr>
    </w:p>
    <w:p w14:paraId="1A7AB629" w14:textId="48B009CF" w:rsidR="003343A2" w:rsidRDefault="003343A2" w:rsidP="003343A2">
      <w:pPr>
        <w:pStyle w:val="Sinespaciado"/>
      </w:pPr>
      <w:r w:rsidRPr="00FA4576">
        <w:rPr>
          <w:b/>
        </w:rPr>
        <w:t xml:space="preserve">Artículo </w:t>
      </w:r>
      <w:r w:rsidR="008F1E88">
        <w:rPr>
          <w:b/>
        </w:rPr>
        <w:t>9</w:t>
      </w:r>
      <w:r w:rsidRPr="00FA4576">
        <w:rPr>
          <w:b/>
        </w:rPr>
        <w:t>. Vigencia y derogatorias.</w:t>
      </w:r>
      <w:r w:rsidRPr="00FA4576">
        <w:t xml:space="preserve"> La presente Ley rige a partir de su publicación y deroga todas las disposiciones que le sean contrarias.</w:t>
      </w:r>
    </w:p>
    <w:p w14:paraId="54D00B45" w14:textId="52DA2053" w:rsidR="003206AC" w:rsidRPr="003206AC" w:rsidRDefault="003206AC" w:rsidP="00835180">
      <w:pPr>
        <w:pStyle w:val="Sinespaciado"/>
        <w:rPr>
          <w:rFonts w:eastAsia="Arial Narrow"/>
        </w:rPr>
      </w:pPr>
    </w:p>
    <w:p w14:paraId="4C4D4542" w14:textId="77777777" w:rsidR="003206AC" w:rsidRPr="003206AC" w:rsidRDefault="003206AC" w:rsidP="003206AC">
      <w:pPr>
        <w:pStyle w:val="Sinespaciado"/>
        <w:rPr>
          <w:rFonts w:eastAsia="Arial Narrow" w:cs="Arial"/>
        </w:rPr>
      </w:pPr>
    </w:p>
    <w:p w14:paraId="4B66E418" w14:textId="77777777" w:rsidR="003206AC" w:rsidRPr="003206AC" w:rsidRDefault="003206AC" w:rsidP="003206AC">
      <w:pPr>
        <w:pStyle w:val="Sinespaciado"/>
        <w:rPr>
          <w:rFonts w:eastAsia="Arial Narrow" w:cs="Arial"/>
        </w:rPr>
      </w:pPr>
    </w:p>
    <w:p w14:paraId="454954DE" w14:textId="77777777" w:rsidR="003206AC" w:rsidRPr="003206AC" w:rsidRDefault="003206AC" w:rsidP="003206AC">
      <w:pPr>
        <w:pStyle w:val="Sinespaciado"/>
        <w:rPr>
          <w:rFonts w:eastAsia="Arial" w:cs="Arial"/>
          <w:b/>
          <w:color w:val="000000"/>
        </w:rPr>
      </w:pPr>
      <w:r w:rsidRPr="003206AC">
        <w:rPr>
          <w:rFonts w:eastAsia="Arial" w:cs="Arial"/>
          <w:b/>
          <w:color w:val="000000"/>
        </w:rPr>
        <w:br/>
      </w:r>
    </w:p>
    <w:p w14:paraId="2949B4EC" w14:textId="77777777" w:rsidR="003206AC" w:rsidRPr="003206AC" w:rsidRDefault="003206AC" w:rsidP="003206AC">
      <w:pPr>
        <w:pStyle w:val="Sinespaciado"/>
        <w:rPr>
          <w:rFonts w:eastAsia="Arial" w:cs="Arial"/>
          <w:b/>
          <w:color w:val="000000"/>
        </w:rPr>
      </w:pPr>
    </w:p>
    <w:p w14:paraId="0BAE8745" w14:textId="2AEAB307" w:rsidR="003206AC" w:rsidRPr="00E73C2A" w:rsidRDefault="00251AB4" w:rsidP="00E73C2A">
      <w:pPr>
        <w:pStyle w:val="Sinespaciado"/>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Hugo Alfonso Archila Suárez</w:t>
      </w:r>
      <w:r w:rsidR="003206AC" w:rsidRPr="00E73C2A">
        <w:rPr>
          <w:rFonts w:cs="Arial"/>
          <w:b/>
          <w:bCs/>
        </w:rPr>
        <w:tab/>
      </w:r>
    </w:p>
    <w:p w14:paraId="41882B1F" w14:textId="02A2F255" w:rsidR="003206AC" w:rsidRPr="00E73C2A" w:rsidRDefault="00251AB4" w:rsidP="00E73C2A">
      <w:pPr>
        <w:pStyle w:val="Sinespaciado"/>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t>Coordinador Ponente</w:t>
      </w:r>
      <w:r w:rsidR="003206AC" w:rsidRPr="00E73C2A">
        <w:rPr>
          <w:rFonts w:cs="Arial"/>
        </w:rPr>
        <w:tab/>
        <w:t xml:space="preserve">                                   </w:t>
      </w:r>
      <w:r w:rsidR="003206AC" w:rsidRPr="00E73C2A">
        <w:rPr>
          <w:rFonts w:cs="Arial"/>
        </w:rPr>
        <w:tab/>
      </w:r>
      <w:r w:rsidR="003206AC" w:rsidRPr="00E73C2A">
        <w:rPr>
          <w:rFonts w:cs="Arial"/>
        </w:rPr>
        <w:tab/>
      </w:r>
      <w:r w:rsidRPr="00E73C2A">
        <w:rPr>
          <w:rFonts w:cs="Arial"/>
        </w:rPr>
        <w:tab/>
      </w:r>
      <w:r w:rsidRPr="00E73C2A">
        <w:rPr>
          <w:rFonts w:cs="Arial"/>
        </w:rPr>
        <w:tab/>
      </w:r>
    </w:p>
    <w:p w14:paraId="1FEB21ED" w14:textId="331E58B9" w:rsidR="003206AC" w:rsidRDefault="003206AC" w:rsidP="004E40E9">
      <w:pPr>
        <w:pStyle w:val="Sinespaciado"/>
        <w:rPr>
          <w:rFonts w:cs="Arial"/>
          <w:b/>
          <w:bCs/>
        </w:rPr>
      </w:pPr>
    </w:p>
    <w:p w14:paraId="2E3E8DE5" w14:textId="77777777" w:rsidR="00E41EFE" w:rsidRPr="00E73C2A" w:rsidRDefault="00E41EFE" w:rsidP="004E40E9">
      <w:pPr>
        <w:pStyle w:val="Sinespaciado"/>
        <w:rPr>
          <w:rFonts w:cs="Arial"/>
          <w:b/>
          <w:bCs/>
        </w:rPr>
      </w:pPr>
    </w:p>
    <w:p w14:paraId="5E6A55CD" w14:textId="109A6D2B" w:rsidR="00E73C2A" w:rsidRDefault="00E73C2A" w:rsidP="004E40E9">
      <w:pPr>
        <w:pStyle w:val="Sinespaciado"/>
        <w:rPr>
          <w:rFonts w:cs="Arial"/>
          <w:b/>
          <w:bCs/>
        </w:rPr>
      </w:pPr>
    </w:p>
    <w:p w14:paraId="0F5ABEED" w14:textId="77777777" w:rsidR="00E73C2A" w:rsidRPr="00E73C2A" w:rsidRDefault="00E73C2A" w:rsidP="004E40E9">
      <w:pPr>
        <w:pStyle w:val="Sinespaciado"/>
        <w:rPr>
          <w:rFonts w:cs="Arial"/>
          <w:b/>
          <w:bCs/>
        </w:rPr>
      </w:pPr>
    </w:p>
    <w:p w14:paraId="009CC14E" w14:textId="6DA3F8A0" w:rsidR="00E73C2A" w:rsidRPr="00E73C2A" w:rsidRDefault="00E73C2A" w:rsidP="004E40E9">
      <w:pPr>
        <w:pStyle w:val="Sinespaciado"/>
        <w:rPr>
          <w:rFonts w:cs="Arial"/>
          <w:b/>
          <w:bCs/>
        </w:rPr>
      </w:pPr>
      <w:r w:rsidRPr="00E73C2A">
        <w:rPr>
          <w:rFonts w:cs="Arial"/>
          <w:b/>
          <w:bCs/>
        </w:rPr>
        <w:t>María Eugenia Lopera Monsalve</w:t>
      </w:r>
      <w:r w:rsidRPr="00E73C2A">
        <w:rPr>
          <w:rFonts w:cs="Arial"/>
          <w:b/>
          <w:bCs/>
        </w:rPr>
        <w:tab/>
      </w:r>
      <w:r w:rsidRPr="00E73C2A">
        <w:rPr>
          <w:rFonts w:cs="Arial"/>
          <w:b/>
          <w:bCs/>
        </w:rPr>
        <w:tab/>
      </w:r>
      <w:r w:rsidRPr="00E73C2A">
        <w:rPr>
          <w:rFonts w:cs="Arial"/>
          <w:b/>
          <w:bCs/>
        </w:rPr>
        <w:tab/>
      </w:r>
      <w:r w:rsidRPr="00E73C2A">
        <w:rPr>
          <w:rFonts w:cs="Arial"/>
          <w:b/>
          <w:bCs/>
        </w:rPr>
        <w:tab/>
      </w:r>
      <w:r w:rsidRPr="00E73C2A">
        <w:rPr>
          <w:rFonts w:cs="Arial"/>
          <w:b/>
          <w:bCs/>
        </w:rPr>
        <w:t>Juan Camilo Londoño Barrera</w:t>
      </w:r>
    </w:p>
    <w:p w14:paraId="08B7895E" w14:textId="275B3555" w:rsidR="003343A2" w:rsidRPr="00E73C2A" w:rsidRDefault="00E73C2A" w:rsidP="003343A2">
      <w:pPr>
        <w:spacing w:after="40" w:line="240" w:lineRule="auto"/>
        <w:jc w:val="both"/>
        <w:rPr>
          <w:rFonts w:ascii="Arial" w:hAnsi="Arial" w:cs="Arial"/>
          <w:b/>
          <w:bCs/>
        </w:rPr>
      </w:pPr>
      <w:r w:rsidRPr="00E73C2A">
        <w:rPr>
          <w:rFonts w:ascii="Arial" w:hAnsi="Arial" w:cs="Arial"/>
        </w:rPr>
        <w:t>Coordinador</w:t>
      </w:r>
      <w:r>
        <w:rPr>
          <w:rFonts w:ascii="Arial" w:hAnsi="Arial" w:cs="Arial"/>
        </w:rPr>
        <w:t>a</w:t>
      </w:r>
      <w:r w:rsidRPr="00E73C2A">
        <w:rPr>
          <w:rFonts w:ascii="Arial" w:hAnsi="Arial" w:cs="Arial"/>
        </w:rPr>
        <w:t xml:space="preserve"> Ponente</w:t>
      </w:r>
      <w:r w:rsidRPr="00E73C2A">
        <w:rPr>
          <w:rFonts w:ascii="Arial" w:hAnsi="Arial" w:cs="Arial"/>
        </w:rPr>
        <w:tab/>
      </w:r>
      <w:r w:rsidRPr="00E73C2A">
        <w:rPr>
          <w:rFonts w:ascii="Arial" w:hAnsi="Arial" w:cs="Arial"/>
        </w:rPr>
        <w:tab/>
      </w:r>
      <w:r w:rsidRPr="00E73C2A">
        <w:rPr>
          <w:rFonts w:ascii="Arial" w:hAnsi="Arial" w:cs="Arial"/>
        </w:rPr>
        <w:tab/>
      </w:r>
      <w:r w:rsidRPr="00E73C2A">
        <w:rPr>
          <w:rFonts w:ascii="Arial" w:hAnsi="Arial" w:cs="Arial"/>
        </w:rPr>
        <w:tab/>
      </w:r>
      <w:r w:rsidRPr="00E73C2A">
        <w:rPr>
          <w:rFonts w:ascii="Arial" w:hAnsi="Arial" w:cs="Arial"/>
        </w:rPr>
        <w:tab/>
      </w:r>
      <w:r w:rsidRPr="00E73C2A">
        <w:rPr>
          <w:rFonts w:ascii="Arial" w:hAnsi="Arial" w:cs="Arial"/>
        </w:rPr>
        <w:tab/>
      </w:r>
      <w:r w:rsidRPr="00E73C2A">
        <w:rPr>
          <w:rFonts w:ascii="Arial" w:hAnsi="Arial" w:cs="Arial"/>
        </w:rPr>
        <w:t>Coordinador Ponente</w:t>
      </w:r>
      <w:r w:rsidRPr="00E73C2A">
        <w:rPr>
          <w:rFonts w:ascii="Arial" w:hAnsi="Arial" w:cs="Arial"/>
          <w:b/>
          <w:bCs/>
        </w:rPr>
        <w:t xml:space="preserve">                  </w:t>
      </w:r>
    </w:p>
    <w:p w14:paraId="40A37743" w14:textId="77777777" w:rsidR="003343A2" w:rsidRPr="00A80391" w:rsidRDefault="003343A2" w:rsidP="003343A2">
      <w:pPr>
        <w:spacing w:after="40" w:line="240" w:lineRule="auto"/>
        <w:jc w:val="both"/>
        <w:rPr>
          <w:rFonts w:ascii="Arial" w:hAnsi="Arial" w:cs="Arial"/>
          <w:sz w:val="14"/>
          <w:szCs w:val="21"/>
        </w:rPr>
      </w:pPr>
    </w:p>
    <w:p w14:paraId="5A230F38" w14:textId="77777777" w:rsidR="003343A2" w:rsidRDefault="003343A2" w:rsidP="003343A2">
      <w:pPr>
        <w:spacing w:after="40" w:line="240" w:lineRule="auto"/>
        <w:jc w:val="both"/>
        <w:rPr>
          <w:rFonts w:ascii="Arial" w:hAnsi="Arial" w:cs="Arial"/>
          <w:sz w:val="21"/>
          <w:szCs w:val="21"/>
        </w:rPr>
      </w:pPr>
    </w:p>
    <w:p w14:paraId="0B83D2F4" w14:textId="44D8364B" w:rsidR="00251AB4" w:rsidRPr="004E40E9" w:rsidRDefault="00251AB4" w:rsidP="004E40E9">
      <w:pPr>
        <w:pStyle w:val="Sinespaciado"/>
        <w:rPr>
          <w:b/>
          <w:bCs/>
        </w:rPr>
      </w:pPr>
    </w:p>
    <w:p w14:paraId="56DF8C84" w14:textId="77777777" w:rsidR="004E40E9" w:rsidRDefault="004E40E9" w:rsidP="004E40E9">
      <w:pPr>
        <w:pStyle w:val="Sinespaciado"/>
        <w:jc w:val="center"/>
        <w:rPr>
          <w:b/>
          <w:bCs/>
        </w:rPr>
      </w:pPr>
    </w:p>
    <w:p w14:paraId="05D497FE" w14:textId="77777777" w:rsidR="004E40E9" w:rsidRDefault="004E40E9" w:rsidP="004E40E9">
      <w:pPr>
        <w:pStyle w:val="Sinespaciado"/>
        <w:jc w:val="center"/>
        <w:rPr>
          <w:b/>
          <w:bCs/>
        </w:rPr>
      </w:pPr>
    </w:p>
    <w:p w14:paraId="35A7B6CF" w14:textId="591E98B1" w:rsidR="004E40E9" w:rsidRDefault="004E40E9" w:rsidP="004E40E9">
      <w:pPr>
        <w:pStyle w:val="Sinespaciado"/>
        <w:jc w:val="center"/>
        <w:rPr>
          <w:b/>
          <w:bCs/>
        </w:rPr>
      </w:pPr>
      <w:r>
        <w:rPr>
          <w:b/>
          <w:bCs/>
        </w:rPr>
        <w:t>Ricardo Alfonso Albornoz Barreto</w:t>
      </w:r>
    </w:p>
    <w:p w14:paraId="5F81C947" w14:textId="6BBF14DB" w:rsidR="00835180" w:rsidRPr="00835180" w:rsidRDefault="004E40E9" w:rsidP="00835180">
      <w:pPr>
        <w:pStyle w:val="Sinespaciado"/>
        <w:jc w:val="center"/>
      </w:pPr>
      <w:r>
        <w:t>Secretario</w:t>
      </w:r>
      <w:r w:rsidR="00835180">
        <w:tab/>
      </w:r>
    </w:p>
    <w:sectPr w:rsidR="00835180" w:rsidRPr="00835180" w:rsidSect="005C4915">
      <w:headerReference w:type="default" r:id="rId9"/>
      <w:footerReference w:type="default" r:id="rId10"/>
      <w:type w:val="continuous"/>
      <w:pgSz w:w="12240" w:h="15840" w:code="1"/>
      <w:pgMar w:top="1701" w:right="1134"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A225" w14:textId="77777777" w:rsidR="00B41338" w:rsidRDefault="00B41338">
      <w:pPr>
        <w:spacing w:after="0" w:line="240" w:lineRule="auto"/>
      </w:pPr>
      <w:r>
        <w:separator/>
      </w:r>
    </w:p>
  </w:endnote>
  <w:endnote w:type="continuationSeparator" w:id="0">
    <w:p w14:paraId="17327671" w14:textId="77777777" w:rsidR="00B41338" w:rsidRDefault="00B4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7D8" w14:textId="6DC5E515"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835180">
      <w:rPr>
        <w:rFonts w:ascii="Arial" w:hAnsi="Arial" w:cs="Arial"/>
        <w:color w:val="4F81BD" w:themeColor="accent1"/>
        <w:sz w:val="16"/>
        <w:szCs w:val="16"/>
        <w:lang w:val="es-ES"/>
      </w:rPr>
      <w:t>6</w:t>
    </w:r>
    <w:r w:rsidR="003343A2">
      <w:rPr>
        <w:rFonts w:ascii="Arial" w:hAnsi="Arial" w:cs="Arial"/>
        <w:color w:val="4F81BD" w:themeColor="accent1"/>
        <w:sz w:val="16"/>
        <w:szCs w:val="16"/>
        <w:lang w:val="es-ES"/>
      </w:rPr>
      <w:t>41</w:t>
    </w:r>
    <w:r w:rsidR="00835180">
      <w:rPr>
        <w:rFonts w:ascii="Arial" w:hAnsi="Arial" w:cs="Arial"/>
        <w:color w:val="4F81BD" w:themeColor="accent1"/>
        <w:sz w:val="16"/>
        <w:szCs w:val="16"/>
        <w:lang w:val="es-ES"/>
      </w:rPr>
      <w:t xml:space="preserve"> de</w:t>
    </w:r>
    <w:r>
      <w:rPr>
        <w:rFonts w:ascii="Arial" w:hAnsi="Arial" w:cs="Arial"/>
        <w:color w:val="4F81BD" w:themeColor="accent1"/>
        <w:sz w:val="16"/>
        <w:szCs w:val="16"/>
        <w:lang w:val="es-ES"/>
      </w:rPr>
      <w:t xml:space="preserve"> 202</w:t>
    </w:r>
    <w:r w:rsidR="00251AB4">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DF479" w14:textId="77777777" w:rsidR="00B41338" w:rsidRDefault="00B41338">
      <w:pPr>
        <w:spacing w:after="0" w:line="240" w:lineRule="auto"/>
      </w:pPr>
      <w:r>
        <w:separator/>
      </w:r>
    </w:p>
  </w:footnote>
  <w:footnote w:type="continuationSeparator" w:id="0">
    <w:p w14:paraId="265BB39A" w14:textId="77777777" w:rsidR="00B41338" w:rsidRDefault="00B4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0"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21"/>
  </w:num>
  <w:num w:numId="5">
    <w:abstractNumId w:val="9"/>
  </w:num>
  <w:num w:numId="6">
    <w:abstractNumId w:val="12"/>
  </w:num>
  <w:num w:numId="7">
    <w:abstractNumId w:val="1"/>
  </w:num>
  <w:num w:numId="8">
    <w:abstractNumId w:val="8"/>
  </w:num>
  <w:num w:numId="9">
    <w:abstractNumId w:val="26"/>
  </w:num>
  <w:num w:numId="10">
    <w:abstractNumId w:val="15"/>
  </w:num>
  <w:num w:numId="11">
    <w:abstractNumId w:val="3"/>
  </w:num>
  <w:num w:numId="12">
    <w:abstractNumId w:val="27"/>
  </w:num>
  <w:num w:numId="13">
    <w:abstractNumId w:val="23"/>
  </w:num>
  <w:num w:numId="14">
    <w:abstractNumId w:val="25"/>
  </w:num>
  <w:num w:numId="15">
    <w:abstractNumId w:val="18"/>
  </w:num>
  <w:num w:numId="16">
    <w:abstractNumId w:val="6"/>
  </w:num>
  <w:num w:numId="17">
    <w:abstractNumId w:val="16"/>
  </w:num>
  <w:num w:numId="18">
    <w:abstractNumId w:val="4"/>
  </w:num>
  <w:num w:numId="19">
    <w:abstractNumId w:val="13"/>
  </w:num>
  <w:num w:numId="20">
    <w:abstractNumId w:val="28"/>
  </w:num>
  <w:num w:numId="21">
    <w:abstractNumId w:val="24"/>
  </w:num>
  <w:num w:numId="22">
    <w:abstractNumId w:val="0"/>
  </w:num>
  <w:num w:numId="23">
    <w:abstractNumId w:val="17"/>
  </w:num>
  <w:num w:numId="24">
    <w:abstractNumId w:val="11"/>
  </w:num>
  <w:num w:numId="25">
    <w:abstractNumId w:val="19"/>
  </w:num>
  <w:num w:numId="26">
    <w:abstractNumId w:val="7"/>
  </w:num>
  <w:num w:numId="27">
    <w:abstractNumId w:val="29"/>
  </w:num>
  <w:num w:numId="28">
    <w:abstractNumId w:val="20"/>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23872"/>
    <w:rsid w:val="001303C3"/>
    <w:rsid w:val="00134E23"/>
    <w:rsid w:val="00141A7E"/>
    <w:rsid w:val="00145732"/>
    <w:rsid w:val="00180E10"/>
    <w:rsid w:val="001826C3"/>
    <w:rsid w:val="00193E1C"/>
    <w:rsid w:val="001A3661"/>
    <w:rsid w:val="001A5585"/>
    <w:rsid w:val="001B1C28"/>
    <w:rsid w:val="001B48EE"/>
    <w:rsid w:val="001B6E7B"/>
    <w:rsid w:val="001C10AB"/>
    <w:rsid w:val="001C6DF6"/>
    <w:rsid w:val="001F2842"/>
    <w:rsid w:val="001F7A2A"/>
    <w:rsid w:val="00217B1E"/>
    <w:rsid w:val="00223BDC"/>
    <w:rsid w:val="00227978"/>
    <w:rsid w:val="00245986"/>
    <w:rsid w:val="00251AB4"/>
    <w:rsid w:val="00273C01"/>
    <w:rsid w:val="00290644"/>
    <w:rsid w:val="002A1BAF"/>
    <w:rsid w:val="002C21DA"/>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3E4F"/>
    <w:rsid w:val="00401837"/>
    <w:rsid w:val="00484475"/>
    <w:rsid w:val="0049721E"/>
    <w:rsid w:val="004B0124"/>
    <w:rsid w:val="004C3EB2"/>
    <w:rsid w:val="004D631D"/>
    <w:rsid w:val="004E40E9"/>
    <w:rsid w:val="004F0BC8"/>
    <w:rsid w:val="005004BD"/>
    <w:rsid w:val="00523CF6"/>
    <w:rsid w:val="00533F5F"/>
    <w:rsid w:val="00545AF9"/>
    <w:rsid w:val="0057061D"/>
    <w:rsid w:val="005970FF"/>
    <w:rsid w:val="005A42A7"/>
    <w:rsid w:val="005B79B2"/>
    <w:rsid w:val="005C4915"/>
    <w:rsid w:val="006020FC"/>
    <w:rsid w:val="0061013F"/>
    <w:rsid w:val="00644D12"/>
    <w:rsid w:val="00645D96"/>
    <w:rsid w:val="0066551C"/>
    <w:rsid w:val="00676A02"/>
    <w:rsid w:val="006A6E00"/>
    <w:rsid w:val="006A6E52"/>
    <w:rsid w:val="006D531F"/>
    <w:rsid w:val="006E594C"/>
    <w:rsid w:val="00703BB5"/>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56BE4"/>
    <w:rsid w:val="008571E9"/>
    <w:rsid w:val="00874E4E"/>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32C7"/>
    <w:rsid w:val="00BF5872"/>
    <w:rsid w:val="00BF5DE4"/>
    <w:rsid w:val="00C04298"/>
    <w:rsid w:val="00C0783C"/>
    <w:rsid w:val="00C10A0F"/>
    <w:rsid w:val="00C24F1B"/>
    <w:rsid w:val="00C25E24"/>
    <w:rsid w:val="00C64587"/>
    <w:rsid w:val="00C85EE9"/>
    <w:rsid w:val="00CA7A0C"/>
    <w:rsid w:val="00CF241E"/>
    <w:rsid w:val="00D16302"/>
    <w:rsid w:val="00D410FE"/>
    <w:rsid w:val="00D65C9D"/>
    <w:rsid w:val="00D7060A"/>
    <w:rsid w:val="00D7787B"/>
    <w:rsid w:val="00DC1FF5"/>
    <w:rsid w:val="00E02D4A"/>
    <w:rsid w:val="00E2082D"/>
    <w:rsid w:val="00E27292"/>
    <w:rsid w:val="00E41EFE"/>
    <w:rsid w:val="00E73C2A"/>
    <w:rsid w:val="00EB3579"/>
    <w:rsid w:val="00ED4980"/>
    <w:rsid w:val="00EF5B1B"/>
    <w:rsid w:val="00F04E2C"/>
    <w:rsid w:val="00F25E2F"/>
    <w:rsid w:val="00F42CA9"/>
    <w:rsid w:val="00F50D3E"/>
    <w:rsid w:val="00F66F0B"/>
    <w:rsid w:val="00F67633"/>
    <w:rsid w:val="00F718B4"/>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1360</Words>
  <Characters>7484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2025-08-19T22:19:00Z</cp:lastPrinted>
  <dcterms:created xsi:type="dcterms:W3CDTF">2025-08-20T21:07:00Z</dcterms:created>
  <dcterms:modified xsi:type="dcterms:W3CDTF">2025-08-20T21:42:00Z</dcterms:modified>
</cp:coreProperties>
</file>