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BE8A" w14:textId="77777777" w:rsidR="00900D93" w:rsidRPr="002C21DA" w:rsidRDefault="000F3249" w:rsidP="002C21DA">
      <w:pPr>
        <w:pStyle w:val="Sinespaciado"/>
        <w:jc w:val="center"/>
        <w:rPr>
          <w:rFonts w:ascii="Edwardian Script ITC" w:hAnsi="Edwardian Script ITC"/>
          <w:b/>
          <w:sz w:val="36"/>
          <w:szCs w:val="36"/>
        </w:rPr>
      </w:pPr>
      <w:r w:rsidRPr="002C21DA">
        <w:rPr>
          <w:rFonts w:ascii="Edwardian Script ITC" w:hAnsi="Edwardian Script ITC"/>
          <w:b/>
          <w:sz w:val="36"/>
          <w:szCs w:val="36"/>
        </w:rPr>
        <w:t>Rama Legislativa del Poder Público</w:t>
      </w:r>
    </w:p>
    <w:p w14:paraId="093E8150" w14:textId="77777777" w:rsidR="00900D93" w:rsidRPr="002C21DA" w:rsidRDefault="000F3249" w:rsidP="002C21DA">
      <w:pPr>
        <w:pStyle w:val="Sinespaciado"/>
        <w:jc w:val="center"/>
        <w:rPr>
          <w:rFonts w:ascii="Edwardian Script ITC" w:hAnsi="Edwardian Script ITC"/>
          <w:b/>
          <w:sz w:val="36"/>
          <w:szCs w:val="36"/>
        </w:rPr>
      </w:pPr>
      <w:r w:rsidRPr="002C21DA">
        <w:rPr>
          <w:rFonts w:ascii="Edwardian Script ITC" w:hAnsi="Edwardian Script ITC"/>
          <w:b/>
          <w:sz w:val="36"/>
          <w:szCs w:val="36"/>
        </w:rPr>
        <w:t>Comisión Séptima Constitucional Permanente</w:t>
      </w:r>
    </w:p>
    <w:p w14:paraId="3DF390FC" w14:textId="7CF82A47" w:rsidR="00900D93" w:rsidRPr="002C21DA" w:rsidRDefault="000F3249" w:rsidP="002C21DA">
      <w:pPr>
        <w:pStyle w:val="Sinespaciado"/>
        <w:jc w:val="center"/>
        <w:rPr>
          <w:rFonts w:ascii="Edwardian Script ITC" w:hAnsi="Edwardian Script ITC"/>
          <w:b/>
          <w:sz w:val="36"/>
          <w:szCs w:val="36"/>
        </w:rPr>
      </w:pPr>
      <w:r w:rsidRPr="002C21DA">
        <w:rPr>
          <w:rFonts w:ascii="Edwardian Script ITC" w:hAnsi="Edwardian Script ITC"/>
          <w:b/>
          <w:sz w:val="36"/>
          <w:szCs w:val="36"/>
        </w:rPr>
        <w:t>Legislatura 202</w:t>
      </w:r>
      <w:r w:rsidR="003F3E4F">
        <w:rPr>
          <w:rFonts w:ascii="Edwardian Script ITC" w:hAnsi="Edwardian Script ITC"/>
          <w:b/>
          <w:sz w:val="36"/>
          <w:szCs w:val="36"/>
        </w:rPr>
        <w:t>5</w:t>
      </w:r>
      <w:r w:rsidRPr="002C21DA">
        <w:rPr>
          <w:rFonts w:ascii="Edwardian Script ITC" w:hAnsi="Edwardian Script ITC"/>
          <w:b/>
          <w:sz w:val="36"/>
          <w:szCs w:val="36"/>
        </w:rPr>
        <w:t>-202</w:t>
      </w:r>
      <w:r w:rsidR="003F3E4F">
        <w:rPr>
          <w:rFonts w:ascii="Edwardian Script ITC" w:hAnsi="Edwardian Script ITC"/>
          <w:b/>
          <w:sz w:val="36"/>
          <w:szCs w:val="36"/>
        </w:rPr>
        <w:t>6</w:t>
      </w:r>
    </w:p>
    <w:p w14:paraId="440DF2DB" w14:textId="77777777" w:rsidR="00900D93" w:rsidRPr="00330383" w:rsidRDefault="00900D93">
      <w:pPr>
        <w:pBdr>
          <w:top w:val="nil"/>
          <w:left w:val="nil"/>
          <w:bottom w:val="nil"/>
          <w:right w:val="nil"/>
          <w:between w:val="nil"/>
        </w:pBdr>
        <w:spacing w:after="0" w:line="240" w:lineRule="auto"/>
        <w:jc w:val="center"/>
        <w:rPr>
          <w:rFonts w:ascii="Arial" w:eastAsia="Pinyon Script" w:hAnsi="Arial" w:cs="Arial"/>
          <w:b/>
          <w:color w:val="000000"/>
          <w:highlight w:val="yellow"/>
        </w:rPr>
      </w:pPr>
    </w:p>
    <w:p w14:paraId="662A9732" w14:textId="2FEDB9C9" w:rsidR="00900D93" w:rsidRPr="003206AC" w:rsidRDefault="000F3249" w:rsidP="002C21DA">
      <w:pPr>
        <w:pStyle w:val="Sinespaciado"/>
        <w:rPr>
          <w:rFonts w:eastAsia="Arial" w:cs="Arial"/>
          <w:b/>
          <w:color w:val="000000"/>
        </w:rPr>
      </w:pPr>
      <w:r w:rsidRPr="003206AC">
        <w:rPr>
          <w:rFonts w:eastAsia="Arial" w:cs="Arial"/>
          <w:b/>
          <w:color w:val="000000"/>
        </w:rPr>
        <w:t xml:space="preserve">TEXTO DEFINITIVO APROBADO EN PRIMER DEBATE DEL </w:t>
      </w:r>
      <w:r w:rsidRPr="003206AC">
        <w:rPr>
          <w:rFonts w:eastAsia="Arial" w:cs="Arial"/>
          <w:b/>
        </w:rPr>
        <w:t xml:space="preserve">PROYECTO DE LEY </w:t>
      </w:r>
      <w:r w:rsidR="00197D9B" w:rsidRPr="00F861D7">
        <w:rPr>
          <w:rFonts w:eastAsia="Arial MT" w:cs="Arial"/>
          <w:b/>
          <w:lang w:val="es-ES" w:eastAsia="en-US"/>
        </w:rPr>
        <w:t xml:space="preserve">No. </w:t>
      </w:r>
      <w:r w:rsidR="00197D9B">
        <w:rPr>
          <w:rFonts w:eastAsia="Arial MT" w:cs="Arial"/>
          <w:b/>
          <w:lang w:val="es-ES" w:eastAsia="en-US"/>
        </w:rPr>
        <w:t>624</w:t>
      </w:r>
      <w:r w:rsidR="00197D9B" w:rsidRPr="00F861D7">
        <w:rPr>
          <w:rFonts w:eastAsia="Arial MT" w:cs="Arial"/>
          <w:b/>
          <w:lang w:val="es-ES" w:eastAsia="en-US"/>
        </w:rPr>
        <w:t xml:space="preserve"> DE 2025 CÁMARA – </w:t>
      </w:r>
      <w:r w:rsidR="00197D9B">
        <w:rPr>
          <w:rFonts w:eastAsia="Arial MT" w:cs="Arial"/>
          <w:b/>
          <w:lang w:val="es-ES" w:eastAsia="en-US"/>
        </w:rPr>
        <w:t>184</w:t>
      </w:r>
      <w:r w:rsidR="00197D9B" w:rsidRPr="00F861D7">
        <w:rPr>
          <w:rFonts w:eastAsia="Arial MT" w:cs="Arial"/>
          <w:b/>
          <w:lang w:val="es-ES" w:eastAsia="en-US"/>
        </w:rPr>
        <w:t xml:space="preserve"> DE 2024 SENADO </w:t>
      </w:r>
      <w:r w:rsidR="00197D9B" w:rsidRPr="000F1727">
        <w:rPr>
          <w:rFonts w:ascii="Arial MT" w:eastAsia="Arial MT" w:hAnsi="Arial MT" w:cs="Arial MT"/>
          <w:b/>
          <w:bCs/>
          <w:lang w:val="es-ES" w:eastAsia="es-CO"/>
        </w:rPr>
        <w:t>“POR MEDIO DE LA CUAL SE DICTAN DISPOSICIONES PARA PROMOVER LA INCLUSIÓN Y PARTICIPACIÓN EN LOS PROCESOS DE DONACIÓN DE SANGRE, MEJORAR LA SEGURIDAD DE LOS DONANTES Y DE LOS PACIENTES TRANSFUNDIDOS, Y GARANTIZAR LA DISPONIBILIDAD Y ACCESO A LA SANGRE Y SUS HEMOCOMPONENTES EN EL PAÍS”.</w:t>
      </w:r>
      <w:r w:rsidR="0080316C" w:rsidRPr="003206AC">
        <w:rPr>
          <w:rFonts w:cs="Arial"/>
          <w:b/>
        </w:rPr>
        <w:t xml:space="preserve"> </w:t>
      </w:r>
    </w:p>
    <w:p w14:paraId="0AF738A0" w14:textId="77777777" w:rsidR="00931B69" w:rsidRPr="003206AC" w:rsidRDefault="00931B69" w:rsidP="009A5477">
      <w:pPr>
        <w:pStyle w:val="Sinespaciado"/>
        <w:jc w:val="center"/>
        <w:rPr>
          <w:rFonts w:cs="Arial"/>
        </w:rPr>
      </w:pPr>
    </w:p>
    <w:p w14:paraId="49441556" w14:textId="4D2B8204" w:rsidR="00900D93" w:rsidRPr="003206AC" w:rsidRDefault="000F3249" w:rsidP="009A5477">
      <w:pPr>
        <w:pStyle w:val="Sinespaciado"/>
        <w:jc w:val="center"/>
        <w:rPr>
          <w:rFonts w:cs="Arial"/>
        </w:rPr>
      </w:pPr>
      <w:r w:rsidRPr="003206AC">
        <w:rPr>
          <w:rFonts w:cs="Arial"/>
        </w:rPr>
        <w:t>(Aprobado en la</w:t>
      </w:r>
      <w:r w:rsidR="00722B7D" w:rsidRPr="003206AC">
        <w:rPr>
          <w:rFonts w:cs="Arial"/>
        </w:rPr>
        <w:t xml:space="preserve"> sesión</w:t>
      </w:r>
      <w:r w:rsidR="00874E4E" w:rsidRPr="003206AC">
        <w:rPr>
          <w:rFonts w:cs="Arial"/>
        </w:rPr>
        <w:t xml:space="preserve"> presencial </w:t>
      </w:r>
      <w:r w:rsidR="00722B7D" w:rsidRPr="003206AC">
        <w:rPr>
          <w:rFonts w:cs="Arial"/>
        </w:rPr>
        <w:t>del</w:t>
      </w:r>
      <w:r w:rsidR="00874E4E" w:rsidRPr="003206AC">
        <w:rPr>
          <w:rFonts w:cs="Arial"/>
        </w:rPr>
        <w:t xml:space="preserve"> </w:t>
      </w:r>
      <w:r w:rsidR="00197D9B">
        <w:rPr>
          <w:rFonts w:cs="Arial"/>
        </w:rPr>
        <w:t xml:space="preserve">16 de septiembre </w:t>
      </w:r>
      <w:r w:rsidR="004C3EB2">
        <w:rPr>
          <w:rFonts w:cs="Arial"/>
        </w:rPr>
        <w:t>de 2025</w:t>
      </w:r>
      <w:r w:rsidR="009A5477" w:rsidRPr="003206AC">
        <w:rPr>
          <w:rFonts w:cs="Arial"/>
        </w:rPr>
        <w:t xml:space="preserve">, Comisión VII Constitucional </w:t>
      </w:r>
      <w:r w:rsidRPr="003206AC">
        <w:rPr>
          <w:rFonts w:cs="Arial"/>
        </w:rPr>
        <w:t xml:space="preserve">Permanente de la H. Cámara de Representantes, </w:t>
      </w:r>
      <w:r w:rsidR="009A5477" w:rsidRPr="003206AC">
        <w:rPr>
          <w:rFonts w:cs="Arial"/>
        </w:rPr>
        <w:t>a</w:t>
      </w:r>
      <w:r w:rsidRPr="003206AC">
        <w:rPr>
          <w:rFonts w:cs="Arial"/>
        </w:rPr>
        <w:t xml:space="preserve">cta No. </w:t>
      </w:r>
      <w:r w:rsidR="00197D9B">
        <w:rPr>
          <w:rFonts w:cs="Arial"/>
        </w:rPr>
        <w:t>10</w:t>
      </w:r>
      <w:r w:rsidRPr="003206AC">
        <w:rPr>
          <w:rFonts w:cs="Arial"/>
        </w:rPr>
        <w:t>)</w:t>
      </w:r>
    </w:p>
    <w:p w14:paraId="53F35B75" w14:textId="77777777" w:rsidR="00900D93" w:rsidRPr="003206AC" w:rsidRDefault="000F3249" w:rsidP="00D410FE">
      <w:pPr>
        <w:spacing w:before="240" w:after="0" w:line="240" w:lineRule="atLeast"/>
        <w:jc w:val="center"/>
        <w:rPr>
          <w:rFonts w:ascii="Arial" w:eastAsia="Arial" w:hAnsi="Arial" w:cs="Arial"/>
          <w:b/>
        </w:rPr>
      </w:pPr>
      <w:r w:rsidRPr="003206AC">
        <w:rPr>
          <w:rFonts w:ascii="Arial" w:eastAsia="Arial" w:hAnsi="Arial" w:cs="Arial"/>
          <w:b/>
        </w:rPr>
        <w:t>EL CONGRESO DE COLOMBIA</w:t>
      </w:r>
    </w:p>
    <w:p w14:paraId="3A0881D4" w14:textId="77777777" w:rsidR="00900D93" w:rsidRPr="003206AC" w:rsidRDefault="000F3249" w:rsidP="00D410FE">
      <w:pPr>
        <w:spacing w:before="240" w:after="0" w:line="240" w:lineRule="atLeast"/>
        <w:jc w:val="center"/>
        <w:rPr>
          <w:rFonts w:ascii="Arial" w:eastAsia="Arial" w:hAnsi="Arial" w:cs="Arial"/>
          <w:b/>
        </w:rPr>
      </w:pPr>
      <w:r w:rsidRPr="003206AC">
        <w:rPr>
          <w:rFonts w:ascii="Arial" w:eastAsia="Arial" w:hAnsi="Arial" w:cs="Arial"/>
          <w:b/>
        </w:rPr>
        <w:t>DECRETA:</w:t>
      </w:r>
    </w:p>
    <w:p w14:paraId="73697230" w14:textId="77777777" w:rsidR="00D410FE" w:rsidRPr="003206AC" w:rsidRDefault="00D410FE" w:rsidP="00D410FE">
      <w:pPr>
        <w:pStyle w:val="Sinespaciado"/>
        <w:spacing w:line="240" w:lineRule="atLeast"/>
        <w:rPr>
          <w:rFonts w:cs="Arial"/>
        </w:rPr>
      </w:pPr>
    </w:p>
    <w:p w14:paraId="2F54636B" w14:textId="77777777" w:rsidR="00202596" w:rsidRPr="00202596" w:rsidRDefault="00202596" w:rsidP="00202596">
      <w:pPr>
        <w:spacing w:after="0" w:line="240" w:lineRule="atLeast"/>
        <w:ind w:left="-570" w:right="-300"/>
        <w:jc w:val="both"/>
        <w:rPr>
          <w:rFonts w:ascii="Arial" w:eastAsia="Arial" w:hAnsi="Arial" w:cs="Arial"/>
          <w:lang w:val="es" w:eastAsia="es-CO"/>
        </w:rPr>
      </w:pPr>
      <w:r w:rsidRPr="00202596">
        <w:rPr>
          <w:rFonts w:ascii="Arial" w:eastAsia="Arial" w:hAnsi="Arial" w:cs="Arial"/>
          <w:b/>
          <w:bCs/>
          <w:lang w:val="es" w:eastAsia="es-CO"/>
        </w:rPr>
        <w:t>Artículo 1. Objeto.</w:t>
      </w:r>
      <w:r w:rsidRPr="00202596">
        <w:rPr>
          <w:rFonts w:ascii="Arial" w:eastAsia="Arial" w:hAnsi="Arial" w:cs="Arial"/>
          <w:lang w:val="es" w:eastAsia="es-CO"/>
        </w:rPr>
        <w:t xml:space="preserve"> La presente Ley tiene por objeto promover la inclusión y participación en los procesos de donación de sangre, mejorar la seguridad de los donantes y pacientes transfundidos y que reciben hemoderivados, y garantizar la seguridad, disponibilidad y acceso a la sangre, sus hemocomponentes y sus hemoderivados en el país.</w:t>
      </w:r>
    </w:p>
    <w:p w14:paraId="5376D237" w14:textId="77777777" w:rsidR="00202596" w:rsidRPr="00202596" w:rsidRDefault="00202596" w:rsidP="00202596">
      <w:pPr>
        <w:spacing w:after="0" w:line="240" w:lineRule="atLeast"/>
        <w:ind w:left="-570" w:right="-300"/>
        <w:jc w:val="both"/>
        <w:rPr>
          <w:rFonts w:ascii="Arial" w:eastAsia="Arial" w:hAnsi="Arial" w:cs="Arial"/>
          <w:lang w:val="es" w:eastAsia="es-CO"/>
        </w:rPr>
      </w:pPr>
    </w:p>
    <w:p w14:paraId="106B79BA" w14:textId="255B196E" w:rsidR="00202596" w:rsidRPr="00202596" w:rsidRDefault="00202596" w:rsidP="00202596">
      <w:pPr>
        <w:spacing w:after="0" w:line="240" w:lineRule="atLeast"/>
        <w:ind w:left="-570" w:right="-300"/>
        <w:jc w:val="both"/>
        <w:rPr>
          <w:rFonts w:ascii="Arial" w:eastAsia="Arial" w:hAnsi="Arial" w:cs="Arial"/>
          <w:lang w:val="es" w:eastAsia="es-CO"/>
        </w:rPr>
      </w:pPr>
      <w:r w:rsidRPr="00202596">
        <w:rPr>
          <w:rFonts w:ascii="Arial" w:eastAsia="Arial" w:hAnsi="Arial" w:cs="Arial"/>
          <w:b/>
          <w:bCs/>
          <w:lang w:val="es" w:eastAsia="es-CO"/>
        </w:rPr>
        <w:t>Artículo 2. Inclusión y participación en los procesos de selección de donantes.</w:t>
      </w:r>
      <w:r w:rsidRPr="00202596">
        <w:rPr>
          <w:rFonts w:ascii="Arial" w:eastAsia="Arial" w:hAnsi="Arial" w:cs="Arial"/>
          <w:lang w:val="es" w:eastAsia="es-CO"/>
        </w:rPr>
        <w:t xml:space="preserve"> En todas las etapas para la selección de donantes de sangre, se garantizará la inclusión y participación de todas las personas, sin que las razones de sexo, </w:t>
      </w:r>
      <w:r>
        <w:rPr>
          <w:rFonts w:ascii="Arial" w:eastAsia="Arial" w:hAnsi="Arial" w:cs="Arial"/>
          <w:lang w:val="es" w:eastAsia="es-CO"/>
        </w:rPr>
        <w:t xml:space="preserve">orientación sexual e identidad de género, </w:t>
      </w:r>
      <w:r w:rsidRPr="00202596">
        <w:rPr>
          <w:rFonts w:ascii="Arial" w:eastAsia="Arial" w:hAnsi="Arial" w:cs="Arial"/>
          <w:lang w:val="es" w:eastAsia="es-CO"/>
        </w:rPr>
        <w:t>raza, origen nacional o familiar, lengua, religión, opinión política o filosófica, sean consideradas como criterios de diferimiento o exclusión.</w:t>
      </w:r>
    </w:p>
    <w:p w14:paraId="06297DB6" w14:textId="77777777" w:rsidR="00202596" w:rsidRPr="00202596" w:rsidRDefault="00202596" w:rsidP="00202596">
      <w:pPr>
        <w:spacing w:after="0" w:line="240" w:lineRule="atLeast"/>
        <w:ind w:left="-570" w:right="-300"/>
        <w:jc w:val="both"/>
        <w:rPr>
          <w:rFonts w:ascii="Arial" w:eastAsia="Arial" w:hAnsi="Arial" w:cs="Arial"/>
          <w:lang w:val="es" w:eastAsia="es-CO"/>
        </w:rPr>
      </w:pPr>
    </w:p>
    <w:p w14:paraId="00C857E2" w14:textId="77777777" w:rsidR="00202596" w:rsidRPr="00202596" w:rsidRDefault="00202596" w:rsidP="00202596">
      <w:pPr>
        <w:spacing w:after="0" w:line="240" w:lineRule="atLeast"/>
        <w:ind w:left="-570" w:right="-300"/>
        <w:jc w:val="both"/>
        <w:rPr>
          <w:rFonts w:ascii="Arial" w:eastAsia="Arial" w:hAnsi="Arial" w:cs="Arial"/>
          <w:lang w:val="es" w:eastAsia="es-CO"/>
        </w:rPr>
      </w:pPr>
      <w:r w:rsidRPr="00202596">
        <w:rPr>
          <w:rFonts w:ascii="Arial" w:eastAsia="Arial" w:hAnsi="Arial" w:cs="Arial"/>
          <w:b/>
          <w:bCs/>
          <w:lang w:val="es" w:eastAsia="es-CO"/>
        </w:rPr>
        <w:t>Artículo 3. Criterios para la selección de donantes.</w:t>
      </w:r>
      <w:r w:rsidRPr="00202596">
        <w:rPr>
          <w:rFonts w:ascii="Arial" w:eastAsia="Arial" w:hAnsi="Arial" w:cs="Arial"/>
          <w:lang w:val="es" w:eastAsia="es-CO"/>
        </w:rPr>
        <w:t xml:space="preserve"> Durante todas las etapas para la selección de donantes de sangre, especialmente en la etapa de entrevista o el mecanismo que la reemplace, no se podrá realizar diferimiento temporal, diferimiento permanente o exclusión de los potenciales donantes por causas diferentes a los factores de riesgo determinados, con ocasión de la evidencia científica disponible y la tecnología aplicable. </w:t>
      </w:r>
    </w:p>
    <w:p w14:paraId="20E02563" w14:textId="7CD50CEA" w:rsidR="00202596" w:rsidRPr="00202596" w:rsidRDefault="00202596" w:rsidP="00202596">
      <w:pPr>
        <w:spacing w:after="0" w:line="240" w:lineRule="atLeast"/>
        <w:ind w:left="-570" w:right="-300"/>
        <w:jc w:val="both"/>
        <w:rPr>
          <w:rFonts w:ascii="Arial" w:eastAsia="Arial" w:hAnsi="Arial" w:cs="Arial"/>
          <w:lang w:val="es" w:eastAsia="es-CO"/>
        </w:rPr>
      </w:pPr>
      <w:r w:rsidRPr="00202596">
        <w:rPr>
          <w:rFonts w:ascii="Arial" w:eastAsia="Arial" w:hAnsi="Arial" w:cs="Arial"/>
          <w:lang w:val="es" w:eastAsia="es-CO"/>
        </w:rPr>
        <w:br/>
      </w:r>
      <w:r w:rsidRPr="00202596">
        <w:rPr>
          <w:rFonts w:ascii="Arial" w:eastAsia="Arial" w:hAnsi="Arial" w:cs="Arial"/>
          <w:b/>
          <w:bCs/>
          <w:lang w:val="es" w:eastAsia="es-CO"/>
        </w:rPr>
        <w:t>Parágrafo 1.</w:t>
      </w:r>
      <w:r w:rsidRPr="00202596">
        <w:rPr>
          <w:rFonts w:ascii="Arial" w:eastAsia="Arial" w:hAnsi="Arial" w:cs="Arial"/>
          <w:lang w:val="es" w:eastAsia="es-CO"/>
        </w:rPr>
        <w:t xml:space="preserve"> El I</w:t>
      </w:r>
      <w:r>
        <w:rPr>
          <w:rFonts w:ascii="Arial" w:eastAsia="Arial" w:hAnsi="Arial" w:cs="Arial"/>
          <w:lang w:val="es" w:eastAsia="es-CO"/>
        </w:rPr>
        <w:t xml:space="preserve">nstituto </w:t>
      </w:r>
      <w:r w:rsidRPr="00202596">
        <w:rPr>
          <w:rFonts w:ascii="Arial" w:eastAsia="Arial" w:hAnsi="Arial" w:cs="Arial"/>
          <w:lang w:val="es" w:eastAsia="es-CO"/>
        </w:rPr>
        <w:t>N</w:t>
      </w:r>
      <w:r>
        <w:rPr>
          <w:rFonts w:ascii="Arial" w:eastAsia="Arial" w:hAnsi="Arial" w:cs="Arial"/>
          <w:lang w:val="es" w:eastAsia="es-CO"/>
        </w:rPr>
        <w:t xml:space="preserve">acional de </w:t>
      </w:r>
      <w:r w:rsidRPr="00202596">
        <w:rPr>
          <w:rFonts w:ascii="Arial" w:eastAsia="Arial" w:hAnsi="Arial" w:cs="Arial"/>
          <w:lang w:val="es" w:eastAsia="es-CO"/>
        </w:rPr>
        <w:t>S</w:t>
      </w:r>
      <w:r>
        <w:rPr>
          <w:rFonts w:ascii="Arial" w:eastAsia="Arial" w:hAnsi="Arial" w:cs="Arial"/>
          <w:lang w:val="es" w:eastAsia="es-CO"/>
        </w:rPr>
        <w:t>alud -INS</w:t>
      </w:r>
      <w:r w:rsidRPr="00202596">
        <w:rPr>
          <w:rFonts w:ascii="Arial" w:eastAsia="Arial" w:hAnsi="Arial" w:cs="Arial"/>
          <w:lang w:val="es" w:eastAsia="es-CO"/>
        </w:rPr>
        <w:t xml:space="preserve"> publicará y actualizará periódicamente un listado técnico de factores de riesgo, basado en evidencia científica y recomendaciones internacionales. En ningún caso se considerarán criterios subjetivos o discriminatorios.</w:t>
      </w:r>
    </w:p>
    <w:p w14:paraId="520707DA" w14:textId="77777777" w:rsidR="00202596" w:rsidRPr="00202596" w:rsidRDefault="00202596" w:rsidP="00202596">
      <w:pPr>
        <w:spacing w:after="0" w:line="240" w:lineRule="atLeast"/>
        <w:ind w:left="-570" w:right="-300"/>
        <w:jc w:val="both"/>
        <w:rPr>
          <w:rFonts w:ascii="Arial" w:eastAsia="Arial" w:hAnsi="Arial" w:cs="Arial"/>
          <w:lang w:val="es" w:eastAsia="es-CO"/>
        </w:rPr>
      </w:pPr>
    </w:p>
    <w:p w14:paraId="72C52712" w14:textId="442466F4" w:rsidR="00202596" w:rsidRPr="00202596" w:rsidRDefault="00202596" w:rsidP="00202596">
      <w:pPr>
        <w:spacing w:after="0" w:line="240" w:lineRule="atLeast"/>
        <w:ind w:left="-570" w:right="-300"/>
        <w:jc w:val="both"/>
        <w:rPr>
          <w:rFonts w:ascii="Arial" w:eastAsia="Arial" w:hAnsi="Arial" w:cs="Arial"/>
          <w:lang w:val="es" w:eastAsia="es-CO"/>
        </w:rPr>
      </w:pPr>
      <w:r w:rsidRPr="00202596">
        <w:rPr>
          <w:rFonts w:ascii="Arial" w:eastAsia="Arial" w:hAnsi="Arial" w:cs="Arial"/>
          <w:b/>
          <w:bCs/>
          <w:lang w:val="es" w:eastAsia="es-CO"/>
        </w:rPr>
        <w:t xml:space="preserve">Parágrafo 2. </w:t>
      </w:r>
      <w:r w:rsidRPr="00202596">
        <w:rPr>
          <w:rFonts w:ascii="Arial" w:eastAsia="Arial" w:hAnsi="Arial" w:cs="Arial"/>
          <w:lang w:val="es" w:eastAsia="es-CO"/>
        </w:rPr>
        <w:t xml:space="preserve">En ningún caso se podrá considerar las razones de sexo, </w:t>
      </w:r>
      <w:r>
        <w:rPr>
          <w:rFonts w:ascii="Arial" w:eastAsia="Arial" w:hAnsi="Arial" w:cs="Arial"/>
          <w:lang w:val="es" w:eastAsia="es-CO"/>
        </w:rPr>
        <w:t>orientación sexual e identidad de género</w:t>
      </w:r>
      <w:r>
        <w:rPr>
          <w:rFonts w:ascii="Arial" w:eastAsia="Arial" w:hAnsi="Arial" w:cs="Arial"/>
          <w:lang w:val="es" w:eastAsia="es-CO"/>
        </w:rPr>
        <w:t xml:space="preserve">, </w:t>
      </w:r>
      <w:r w:rsidRPr="00202596">
        <w:rPr>
          <w:rFonts w:ascii="Arial" w:eastAsia="Arial" w:hAnsi="Arial" w:cs="Arial"/>
          <w:lang w:val="es" w:eastAsia="es-CO"/>
        </w:rPr>
        <w:t xml:space="preserve">raza, origen nacional o familiar, lengua, religión, opinión política o filosófica y apariencia personal como factores o conductas de riesgo de los donantes potenciales. </w:t>
      </w:r>
    </w:p>
    <w:p w14:paraId="1078E337" w14:textId="77777777" w:rsidR="00202596" w:rsidRPr="00202596" w:rsidRDefault="00202596" w:rsidP="00202596">
      <w:pPr>
        <w:spacing w:after="0" w:line="240" w:lineRule="atLeast"/>
        <w:ind w:left="-570" w:right="-300"/>
        <w:jc w:val="both"/>
        <w:rPr>
          <w:rFonts w:ascii="Arial" w:eastAsia="Arial" w:hAnsi="Arial" w:cs="Arial"/>
          <w:lang w:val="es" w:eastAsia="es-CO"/>
        </w:rPr>
      </w:pPr>
      <w:r w:rsidRPr="00202596">
        <w:rPr>
          <w:rFonts w:ascii="Arial" w:eastAsia="Arial" w:hAnsi="Arial" w:cs="Arial"/>
          <w:lang w:val="es" w:eastAsia="es-CO"/>
        </w:rPr>
        <w:br/>
      </w:r>
      <w:r w:rsidRPr="00202596">
        <w:rPr>
          <w:rFonts w:ascii="Arial" w:eastAsia="Arial" w:hAnsi="Arial" w:cs="Arial"/>
          <w:b/>
          <w:bCs/>
          <w:lang w:val="es" w:eastAsia="es-CO"/>
        </w:rPr>
        <w:t>Parágrafo 3.</w:t>
      </w:r>
      <w:r w:rsidRPr="00202596">
        <w:rPr>
          <w:rFonts w:ascii="Arial" w:eastAsia="Arial" w:hAnsi="Arial" w:cs="Arial"/>
          <w:lang w:val="es" w:eastAsia="es-CO"/>
        </w:rPr>
        <w:t xml:space="preserve"> En caso de que el resultado del estado serológico del potencial donante sea positivo, se les deberá garantizar la confidencialidad de la información y el acceso a orientación médica oportuna y adecuada.</w:t>
      </w:r>
    </w:p>
    <w:p w14:paraId="08B16A42" w14:textId="77777777" w:rsidR="00202596" w:rsidRPr="00202596" w:rsidRDefault="00202596" w:rsidP="00202596">
      <w:pPr>
        <w:spacing w:after="0" w:line="240" w:lineRule="atLeast"/>
        <w:ind w:left="-570" w:right="-300"/>
        <w:jc w:val="both"/>
        <w:rPr>
          <w:rFonts w:ascii="Arial" w:eastAsia="Arial" w:hAnsi="Arial" w:cs="Arial"/>
          <w:lang w:val="es" w:eastAsia="es-CO"/>
        </w:rPr>
      </w:pPr>
    </w:p>
    <w:p w14:paraId="19461F13" w14:textId="23E77BFC" w:rsidR="00202596" w:rsidRPr="00202596" w:rsidRDefault="00202596" w:rsidP="00202596">
      <w:pPr>
        <w:spacing w:after="0" w:line="240" w:lineRule="atLeast"/>
        <w:ind w:left="-570" w:right="-300"/>
        <w:jc w:val="both"/>
        <w:rPr>
          <w:rFonts w:ascii="Arial" w:eastAsia="Arial" w:hAnsi="Arial" w:cs="Arial"/>
          <w:lang w:val="es" w:eastAsia="es-CO"/>
        </w:rPr>
      </w:pPr>
      <w:r w:rsidRPr="00202596">
        <w:rPr>
          <w:rFonts w:ascii="Arial" w:eastAsia="Arial" w:hAnsi="Arial" w:cs="Arial"/>
          <w:b/>
          <w:lang w:val="es" w:eastAsia="es-CO"/>
        </w:rPr>
        <w:t>Artículo 4. Actualización de lineamientos.</w:t>
      </w:r>
      <w:r w:rsidRPr="00202596">
        <w:rPr>
          <w:rFonts w:ascii="Arial" w:eastAsia="Arial" w:hAnsi="Arial" w:cs="Arial"/>
          <w:lang w:val="es" w:eastAsia="es-CO"/>
        </w:rPr>
        <w:t xml:space="preserve"> El Instituto Nacional de Salud, en colaboración con el Ministerio de Salud y Protección Social, en un plazo máximo de d</w:t>
      </w:r>
      <w:r>
        <w:rPr>
          <w:rFonts w:ascii="Arial" w:eastAsia="Arial" w:hAnsi="Arial" w:cs="Arial"/>
          <w:lang w:val="es" w:eastAsia="es-CO"/>
        </w:rPr>
        <w:t xml:space="preserve">ieciocho </w:t>
      </w:r>
      <w:r w:rsidRPr="00202596">
        <w:rPr>
          <w:rFonts w:ascii="Arial" w:eastAsia="Arial" w:hAnsi="Arial" w:cs="Arial"/>
          <w:lang w:val="es" w:eastAsia="es-CO"/>
        </w:rPr>
        <w:t>(1</w:t>
      </w:r>
      <w:r>
        <w:rPr>
          <w:rFonts w:ascii="Arial" w:eastAsia="Arial" w:hAnsi="Arial" w:cs="Arial"/>
          <w:lang w:val="es" w:eastAsia="es-CO"/>
        </w:rPr>
        <w:t>8</w:t>
      </w:r>
      <w:r w:rsidRPr="00202596">
        <w:rPr>
          <w:rFonts w:ascii="Arial" w:eastAsia="Arial" w:hAnsi="Arial" w:cs="Arial"/>
          <w:lang w:val="es" w:eastAsia="es-CO"/>
        </w:rPr>
        <w:t xml:space="preserve">) meses posteriores a la entrada en vigencia de la presente ley, deberá actualizar los lineamientos técnicos, administrativos y procedimientos </w:t>
      </w:r>
      <w:r w:rsidRPr="00202596">
        <w:rPr>
          <w:rFonts w:ascii="Arial" w:eastAsia="Arial" w:hAnsi="Arial" w:cs="Arial"/>
          <w:lang w:val="es" w:eastAsia="es-CO"/>
        </w:rPr>
        <w:lastRenderedPageBreak/>
        <w:t>para la selección de donantes de sangre de acuerdo con las necesidades de fortalecimiento de los procesos involucrados en la medicina transfusional, basados en la evidencia científica, el desarrollo tecnológico y las recomendaciones de la Organización Mundial de la Salud (OMS).</w:t>
      </w:r>
    </w:p>
    <w:p w14:paraId="3222DF1D" w14:textId="77777777" w:rsidR="00202596" w:rsidRPr="00202596" w:rsidRDefault="00202596" w:rsidP="00202596">
      <w:pPr>
        <w:spacing w:after="0" w:line="240" w:lineRule="atLeast"/>
        <w:ind w:left="-570" w:right="-300"/>
        <w:jc w:val="both"/>
        <w:rPr>
          <w:rFonts w:ascii="Arial" w:eastAsia="Arial" w:hAnsi="Arial" w:cs="Arial"/>
          <w:lang w:val="es" w:eastAsia="es-CO"/>
        </w:rPr>
      </w:pPr>
    </w:p>
    <w:p w14:paraId="7ED632C0" w14:textId="77777777" w:rsidR="00202596" w:rsidRPr="00202596" w:rsidRDefault="00202596" w:rsidP="00202596">
      <w:pPr>
        <w:spacing w:after="0" w:line="240" w:lineRule="atLeast"/>
        <w:ind w:left="-570" w:right="-300"/>
        <w:jc w:val="both"/>
        <w:rPr>
          <w:rFonts w:ascii="Arial" w:eastAsia="Arial" w:hAnsi="Arial" w:cs="Arial"/>
          <w:lang w:val="es" w:eastAsia="es-CO"/>
        </w:rPr>
      </w:pPr>
      <w:r w:rsidRPr="00202596">
        <w:rPr>
          <w:rFonts w:ascii="Arial" w:eastAsia="Arial" w:hAnsi="Arial" w:cs="Arial"/>
          <w:lang w:val="es" w:eastAsia="es-CO"/>
        </w:rPr>
        <w:t xml:space="preserve">Los lineamientos deberán contar como mínimo con los siguientes factores de riesgo: </w:t>
      </w:r>
    </w:p>
    <w:p w14:paraId="7A65DA12" w14:textId="77777777" w:rsidR="00202596" w:rsidRPr="00202596" w:rsidRDefault="00202596" w:rsidP="00202596">
      <w:pPr>
        <w:spacing w:after="0" w:line="240" w:lineRule="atLeast"/>
        <w:ind w:left="-570" w:right="-300"/>
        <w:jc w:val="both"/>
        <w:rPr>
          <w:rFonts w:ascii="Arial" w:eastAsia="Arial" w:hAnsi="Arial" w:cs="Arial"/>
          <w:lang w:val="es" w:eastAsia="es-CO"/>
        </w:rPr>
      </w:pPr>
    </w:p>
    <w:p w14:paraId="306BDB27" w14:textId="59CA2BAD" w:rsidR="00202596" w:rsidRPr="00202596" w:rsidRDefault="00202596" w:rsidP="00202596">
      <w:pPr>
        <w:spacing w:after="240" w:line="240" w:lineRule="atLeast"/>
        <w:ind w:right="14"/>
        <w:jc w:val="both"/>
        <w:rPr>
          <w:rFonts w:ascii="Arial" w:eastAsia="Arial" w:hAnsi="Arial" w:cs="Arial"/>
          <w:lang w:val="es" w:eastAsia="es-CO"/>
        </w:rPr>
      </w:pPr>
      <w:r w:rsidRPr="00202596">
        <w:rPr>
          <w:rFonts w:ascii="Arial" w:eastAsia="Arial" w:hAnsi="Arial" w:cs="Arial"/>
          <w:lang w:val="es" w:eastAsia="es-CO"/>
        </w:rPr>
        <w:t>a. Personas diagnosticadas con infección por VIH, HTLV 1/2, hepatitis B y C, enfermedad de Chagas, sífilis, malaria, y otras infecciones potencialmente tra</w:t>
      </w:r>
      <w:r>
        <w:rPr>
          <w:rFonts w:ascii="Arial" w:eastAsia="Arial" w:hAnsi="Arial" w:cs="Arial"/>
          <w:lang w:val="es" w:eastAsia="es-CO"/>
        </w:rPr>
        <w:t>n</w:t>
      </w:r>
      <w:r w:rsidRPr="00202596">
        <w:rPr>
          <w:rFonts w:ascii="Arial" w:eastAsia="Arial" w:hAnsi="Arial" w:cs="Arial"/>
          <w:lang w:val="es" w:eastAsia="es-CO"/>
        </w:rPr>
        <w:t xml:space="preserve">smisibles por </w:t>
      </w:r>
      <w:r>
        <w:rPr>
          <w:rFonts w:ascii="Arial" w:eastAsia="Arial" w:hAnsi="Arial" w:cs="Arial"/>
          <w:lang w:val="es" w:eastAsia="es-CO"/>
        </w:rPr>
        <w:t>sangre.</w:t>
      </w:r>
    </w:p>
    <w:p w14:paraId="34C32F53" w14:textId="77777777" w:rsidR="00202596" w:rsidRPr="00202596" w:rsidRDefault="00202596" w:rsidP="00202596">
      <w:pPr>
        <w:spacing w:after="240" w:line="240" w:lineRule="atLeast"/>
        <w:ind w:right="14"/>
        <w:jc w:val="both"/>
        <w:rPr>
          <w:rFonts w:ascii="Arial" w:eastAsia="Arial" w:hAnsi="Arial" w:cs="Arial"/>
          <w:lang w:val="es" w:eastAsia="es-CO"/>
        </w:rPr>
      </w:pPr>
      <w:r w:rsidRPr="00202596">
        <w:rPr>
          <w:rFonts w:ascii="Arial" w:eastAsia="Arial" w:hAnsi="Arial" w:cs="Arial"/>
          <w:lang w:val="es" w:eastAsia="es-CO"/>
        </w:rPr>
        <w:t>b. Enfermos con discrasias sanguíneas que hayan o no recibido transfusiones de hemocomponentes o hemoderivados.</w:t>
      </w:r>
    </w:p>
    <w:p w14:paraId="3EFB59EB" w14:textId="77777777" w:rsidR="00202596" w:rsidRPr="00202596" w:rsidRDefault="00202596" w:rsidP="00202596">
      <w:pPr>
        <w:spacing w:after="240" w:line="240" w:lineRule="atLeast"/>
        <w:ind w:right="14"/>
        <w:jc w:val="both"/>
        <w:rPr>
          <w:rFonts w:ascii="Arial" w:eastAsia="Arial" w:hAnsi="Arial" w:cs="Arial"/>
          <w:lang w:val="es" w:eastAsia="es-CO"/>
        </w:rPr>
      </w:pPr>
      <w:r w:rsidRPr="00202596">
        <w:rPr>
          <w:rFonts w:ascii="Arial" w:eastAsia="Arial" w:hAnsi="Arial" w:cs="Arial"/>
          <w:lang w:val="es" w:eastAsia="es-CO"/>
        </w:rPr>
        <w:t xml:space="preserve">c. Receptores de hemocomponentes o hemoderivados. </w:t>
      </w:r>
    </w:p>
    <w:p w14:paraId="4BB5733F" w14:textId="77777777" w:rsidR="00202596" w:rsidRPr="00202596" w:rsidRDefault="00202596" w:rsidP="00202596">
      <w:pPr>
        <w:spacing w:after="240" w:line="240" w:lineRule="atLeast"/>
        <w:ind w:right="14"/>
        <w:jc w:val="both"/>
        <w:rPr>
          <w:rFonts w:ascii="Arial" w:eastAsia="Arial" w:hAnsi="Arial" w:cs="Arial"/>
          <w:lang w:val="es" w:eastAsia="es-CO"/>
        </w:rPr>
      </w:pPr>
      <w:r w:rsidRPr="00202596">
        <w:rPr>
          <w:rFonts w:ascii="Arial" w:eastAsia="Arial" w:hAnsi="Arial" w:cs="Arial"/>
          <w:lang w:val="es" w:eastAsia="es-CO"/>
        </w:rPr>
        <w:t xml:space="preserve">d. Víctimas de acceso carnal violento o abusivo. </w:t>
      </w:r>
    </w:p>
    <w:p w14:paraId="0B1320CA" w14:textId="77777777" w:rsidR="00202596" w:rsidRPr="00202596" w:rsidRDefault="00202596" w:rsidP="00202596">
      <w:pPr>
        <w:spacing w:after="240" w:line="240" w:lineRule="atLeast"/>
        <w:ind w:right="14"/>
        <w:jc w:val="both"/>
        <w:rPr>
          <w:rFonts w:ascii="Arial" w:eastAsia="Arial" w:hAnsi="Arial" w:cs="Arial"/>
          <w:lang w:val="es" w:eastAsia="es-CO"/>
        </w:rPr>
      </w:pPr>
      <w:r w:rsidRPr="00202596">
        <w:rPr>
          <w:rFonts w:ascii="Arial" w:eastAsia="Arial" w:hAnsi="Arial" w:cs="Arial"/>
          <w:lang w:val="es" w:eastAsia="es-CO"/>
        </w:rPr>
        <w:t xml:space="preserve">e. Personas que hayan tenido exposiciones de riesgo biológico en los que haya habido contacto con sangre y otros fluidos corporales de origen humano o biológico potencialmente infecciosos. </w:t>
      </w:r>
    </w:p>
    <w:p w14:paraId="77DDA43F" w14:textId="338E7C25" w:rsidR="00202596" w:rsidRPr="00202596" w:rsidRDefault="00202596" w:rsidP="00202596">
      <w:pPr>
        <w:spacing w:after="240" w:line="240" w:lineRule="atLeast"/>
        <w:ind w:right="14"/>
        <w:jc w:val="both"/>
        <w:rPr>
          <w:rFonts w:ascii="Arial" w:eastAsia="Arial" w:hAnsi="Arial" w:cs="Arial"/>
          <w:lang w:val="es" w:eastAsia="es-CO"/>
        </w:rPr>
      </w:pPr>
      <w:r w:rsidRPr="00202596">
        <w:rPr>
          <w:rFonts w:ascii="Arial" w:eastAsia="Arial" w:hAnsi="Arial" w:cs="Arial"/>
          <w:lang w:val="es" w:eastAsia="es-CO"/>
        </w:rPr>
        <w:t>f. Personas que se hayan inyectado drogas de uso recreativo</w:t>
      </w:r>
      <w:r>
        <w:rPr>
          <w:rFonts w:ascii="Arial" w:eastAsia="Arial" w:hAnsi="Arial" w:cs="Arial"/>
          <w:lang w:val="es" w:eastAsia="es-CO"/>
        </w:rPr>
        <w:t xml:space="preserve"> en los últimos 6 meses</w:t>
      </w:r>
      <w:r w:rsidRPr="00202596">
        <w:rPr>
          <w:rFonts w:ascii="Arial" w:eastAsia="Arial" w:hAnsi="Arial" w:cs="Arial"/>
          <w:lang w:val="es" w:eastAsia="es-CO"/>
        </w:rPr>
        <w:t xml:space="preserve">. </w:t>
      </w:r>
    </w:p>
    <w:p w14:paraId="0CF2EDF1" w14:textId="77777777" w:rsidR="00202596" w:rsidRPr="00202596" w:rsidRDefault="00202596" w:rsidP="00202596">
      <w:pPr>
        <w:spacing w:after="240" w:line="240" w:lineRule="atLeast"/>
        <w:ind w:right="14"/>
        <w:jc w:val="both"/>
        <w:rPr>
          <w:rFonts w:ascii="Arial" w:eastAsia="Arial" w:hAnsi="Arial" w:cs="Arial"/>
          <w:lang w:val="es" w:eastAsia="es-CO"/>
        </w:rPr>
      </w:pPr>
      <w:r w:rsidRPr="00202596">
        <w:rPr>
          <w:rFonts w:ascii="Arial" w:eastAsia="Arial" w:hAnsi="Arial" w:cs="Arial"/>
          <w:lang w:val="es" w:eastAsia="es-CO"/>
        </w:rPr>
        <w:t>g. Personas que hayan asumido cualquiera de las siguientes conductas sexuales de riesgo:</w:t>
      </w:r>
    </w:p>
    <w:p w14:paraId="5E9EDD23" w14:textId="77777777" w:rsidR="00202596" w:rsidRPr="00202596" w:rsidRDefault="00202596" w:rsidP="00202596">
      <w:pPr>
        <w:pStyle w:val="Prrafodelista"/>
        <w:numPr>
          <w:ilvl w:val="0"/>
          <w:numId w:val="32"/>
        </w:numPr>
        <w:spacing w:after="240" w:line="240" w:lineRule="atLeast"/>
        <w:ind w:right="14"/>
        <w:jc w:val="both"/>
        <w:rPr>
          <w:rFonts w:ascii="Arial" w:eastAsia="Arial" w:hAnsi="Arial" w:cs="Arial"/>
          <w:lang w:val="es" w:eastAsia="es-CO"/>
        </w:rPr>
      </w:pPr>
      <w:r w:rsidRPr="00202596">
        <w:rPr>
          <w:rFonts w:ascii="Arial" w:eastAsia="Arial" w:hAnsi="Arial" w:cs="Arial"/>
          <w:lang w:val="es" w:eastAsia="es-CO"/>
        </w:rPr>
        <w:t>Haber tenido relaciones sexuales con más de dos personas en los últimos 12 meses.</w:t>
      </w:r>
    </w:p>
    <w:p w14:paraId="0F967676" w14:textId="77777777" w:rsidR="00202596" w:rsidRPr="00202596" w:rsidRDefault="00202596" w:rsidP="00202596">
      <w:pPr>
        <w:pStyle w:val="Prrafodelista"/>
        <w:numPr>
          <w:ilvl w:val="0"/>
          <w:numId w:val="32"/>
        </w:numPr>
        <w:spacing w:after="240" w:line="240" w:lineRule="atLeast"/>
        <w:ind w:right="14"/>
        <w:jc w:val="both"/>
        <w:rPr>
          <w:rFonts w:ascii="Arial" w:eastAsia="Arial" w:hAnsi="Arial" w:cs="Arial"/>
          <w:lang w:val="es" w:eastAsia="es-CO"/>
        </w:rPr>
      </w:pPr>
      <w:r w:rsidRPr="00202596">
        <w:rPr>
          <w:rFonts w:ascii="Arial" w:eastAsia="Arial" w:hAnsi="Arial" w:cs="Arial"/>
          <w:lang w:val="es" w:eastAsia="es-CO"/>
        </w:rPr>
        <w:t xml:space="preserve">Haber cambiado de pareja sexual en los últimos 6 meses. </w:t>
      </w:r>
    </w:p>
    <w:p w14:paraId="1A4B522E" w14:textId="77777777" w:rsidR="00202596" w:rsidRPr="00202596" w:rsidRDefault="00202596" w:rsidP="00202596">
      <w:pPr>
        <w:pStyle w:val="Prrafodelista"/>
        <w:numPr>
          <w:ilvl w:val="0"/>
          <w:numId w:val="32"/>
        </w:numPr>
        <w:spacing w:after="240" w:line="240" w:lineRule="atLeast"/>
        <w:ind w:right="14"/>
        <w:jc w:val="both"/>
        <w:rPr>
          <w:rFonts w:ascii="Arial" w:eastAsia="Arial" w:hAnsi="Arial" w:cs="Arial"/>
          <w:lang w:val="es" w:eastAsia="es-CO"/>
        </w:rPr>
      </w:pPr>
      <w:r w:rsidRPr="00202596">
        <w:rPr>
          <w:rFonts w:ascii="Arial" w:eastAsia="Arial" w:hAnsi="Arial" w:cs="Arial"/>
          <w:lang w:val="es" w:eastAsia="es-CO"/>
        </w:rPr>
        <w:t xml:space="preserve">Haber tenido relaciones sexuales con personas diagnosticadas con virus de VIH, hepatitis o HTLV 1-11 y otros agentes biológicos que de acuerdo con la evidencia científica demuestren que se transmiten por vía sexual en los últimos 12 meses. </w:t>
      </w:r>
    </w:p>
    <w:p w14:paraId="569C62DC" w14:textId="77777777" w:rsidR="00202596" w:rsidRPr="00202596" w:rsidRDefault="00202596" w:rsidP="00202596">
      <w:pPr>
        <w:spacing w:after="240" w:line="240" w:lineRule="atLeast"/>
        <w:ind w:left="-567" w:right="14"/>
        <w:jc w:val="both"/>
        <w:rPr>
          <w:rFonts w:ascii="Arial" w:eastAsia="Arial" w:hAnsi="Arial" w:cs="Arial"/>
          <w:bCs/>
          <w:lang w:val="es" w:eastAsia="es-CO"/>
        </w:rPr>
      </w:pPr>
      <w:r w:rsidRPr="00202596">
        <w:rPr>
          <w:rFonts w:ascii="Arial" w:eastAsia="Arial" w:hAnsi="Arial" w:cs="Arial"/>
          <w:bCs/>
          <w:lang w:val="es" w:eastAsia="es-CO"/>
        </w:rPr>
        <w:t>El periodo de diferimiento para donar sangre cuando se identifica alguno o algunos de estos factores de riesgo será el establecido en el “Lineamiento Técnico para la Selección de Donantes de Sangre en Colombia” definido por el Instituto Nacional de Salud. Cada factor de riesgo deberá ser evaluado individualmente, de modo que la duración del diferimiento se corresponda con la evidencia científica y la naturaleza específica de la exposición reportada.</w:t>
      </w:r>
    </w:p>
    <w:p w14:paraId="48897BF2" w14:textId="77777777" w:rsidR="00202596" w:rsidRPr="00202596" w:rsidRDefault="00202596" w:rsidP="00202596">
      <w:pPr>
        <w:spacing w:after="240" w:line="240" w:lineRule="atLeast"/>
        <w:ind w:left="-567" w:right="14"/>
        <w:jc w:val="both"/>
        <w:rPr>
          <w:rFonts w:ascii="Arial" w:eastAsia="Arial" w:hAnsi="Arial" w:cs="Arial"/>
          <w:lang w:val="es" w:eastAsia="es-CO"/>
        </w:rPr>
      </w:pPr>
      <w:r w:rsidRPr="00202596">
        <w:rPr>
          <w:rFonts w:ascii="Arial" w:eastAsia="Arial" w:hAnsi="Arial" w:cs="Arial"/>
          <w:lang w:val="es" w:eastAsia="es-CO"/>
        </w:rPr>
        <w:t xml:space="preserve">Las preguntas e información solicitada para evaluar la elegibilidad del donante de sangre deberán indagar sobre los factores de riesgo y no sobre factores como razones de sexo, raza, origen nacional o familiar, lengua, religión, opinión política o filosófica y apariencia personal de los donantes potenciales. </w:t>
      </w:r>
    </w:p>
    <w:p w14:paraId="5D64CD93" w14:textId="77777777" w:rsidR="00202596" w:rsidRPr="00202596" w:rsidRDefault="00202596" w:rsidP="00202596">
      <w:pPr>
        <w:spacing w:after="240" w:line="240" w:lineRule="atLeast"/>
        <w:ind w:left="-567" w:right="14"/>
        <w:jc w:val="both"/>
        <w:rPr>
          <w:rFonts w:ascii="Arial" w:eastAsia="Arial" w:hAnsi="Arial" w:cs="Arial"/>
          <w:lang w:val="es" w:eastAsia="es-CO"/>
        </w:rPr>
      </w:pPr>
      <w:r w:rsidRPr="00202596">
        <w:rPr>
          <w:rFonts w:ascii="Arial" w:eastAsia="Arial" w:hAnsi="Arial" w:cs="Arial"/>
          <w:lang w:val="es" w:eastAsia="es-CO"/>
        </w:rPr>
        <w:t>El lenguaje utilizado durante el proceso de selección del donante de sangre deberá estar fundamentado en el respeto por la dignidad humana, la confidencialidad y la protección de los derechos humanos, evitando cualquier actitud de estigmatización o discriminación, indagando solamente por información que no exceda el propósito técnico fundamental de garantizar la seguridad sanguínea, explicando las razones del diferimiento de la donación.</w:t>
      </w:r>
    </w:p>
    <w:p w14:paraId="7F2F785C" w14:textId="4CE736C3" w:rsidR="00202596" w:rsidRPr="00202596" w:rsidRDefault="00202596" w:rsidP="00202596">
      <w:pPr>
        <w:spacing w:after="240" w:line="240" w:lineRule="atLeast"/>
        <w:ind w:left="-567" w:right="14"/>
        <w:jc w:val="both"/>
        <w:rPr>
          <w:rFonts w:ascii="Arial" w:eastAsia="Arial" w:hAnsi="Arial" w:cs="Arial"/>
          <w:lang w:val="es" w:eastAsia="es-CO"/>
        </w:rPr>
      </w:pPr>
      <w:r w:rsidRPr="00202596">
        <w:rPr>
          <w:rFonts w:ascii="Arial" w:eastAsia="Arial" w:hAnsi="Arial" w:cs="Arial"/>
          <w:b/>
          <w:lang w:val="es" w:eastAsia="es-CO"/>
        </w:rPr>
        <w:t xml:space="preserve">Artículo 5. Seguridad, disponibilidad y acceso. </w:t>
      </w:r>
      <w:r w:rsidRPr="00202596">
        <w:rPr>
          <w:rFonts w:ascii="Arial" w:eastAsia="Arial" w:hAnsi="Arial" w:cs="Arial"/>
          <w:lang w:val="es" w:eastAsia="es-CO"/>
        </w:rPr>
        <w:t>Los Bancos de Sangre, las prestadoras de servicios de salud que efectúen transfusiones y demás actores del Sistema de Salud con actividad transfusional, en el marco de la seguridad transfusional, deberán garantizar la seguridad, disponibilidad y acceso a la sangre</w:t>
      </w:r>
      <w:r>
        <w:rPr>
          <w:rFonts w:ascii="Arial" w:eastAsia="Arial" w:hAnsi="Arial" w:cs="Arial"/>
          <w:lang w:val="es" w:eastAsia="es-CO"/>
        </w:rPr>
        <w:t xml:space="preserve">, </w:t>
      </w:r>
      <w:r w:rsidRPr="00202596">
        <w:rPr>
          <w:rFonts w:ascii="Arial" w:eastAsia="Arial" w:hAnsi="Arial" w:cs="Arial"/>
          <w:lang w:val="es" w:eastAsia="es-CO"/>
        </w:rPr>
        <w:t>sus hemocomponentes</w:t>
      </w:r>
      <w:r>
        <w:rPr>
          <w:rFonts w:ascii="Arial" w:eastAsia="Arial" w:hAnsi="Arial" w:cs="Arial"/>
          <w:lang w:val="es" w:eastAsia="es-CO"/>
        </w:rPr>
        <w:t xml:space="preserve"> y sus hemoderivados</w:t>
      </w:r>
      <w:r w:rsidRPr="00202596">
        <w:rPr>
          <w:rFonts w:ascii="Arial" w:eastAsia="Arial" w:hAnsi="Arial" w:cs="Arial"/>
          <w:lang w:val="es" w:eastAsia="es-CO"/>
        </w:rPr>
        <w:t xml:space="preserve"> en todo el territorio nacional mediante la vigilancia de las cadenas de suministro, la evidencia de las necesidades y la responsabilidad de suplir las necesidades transfusionales del país en óptimas condiciones de seguridad, calidad y uso racional.</w:t>
      </w:r>
    </w:p>
    <w:p w14:paraId="5B295A34" w14:textId="77777777" w:rsidR="00202596" w:rsidRPr="00202596" w:rsidRDefault="00202596" w:rsidP="00202596">
      <w:pPr>
        <w:spacing w:after="240" w:line="240" w:lineRule="atLeast"/>
        <w:ind w:left="-567" w:right="14"/>
        <w:jc w:val="both"/>
        <w:rPr>
          <w:rFonts w:ascii="Arial" w:eastAsia="Arial" w:hAnsi="Arial" w:cs="Arial"/>
          <w:lang w:val="es" w:eastAsia="es-CO"/>
        </w:rPr>
      </w:pPr>
      <w:r w:rsidRPr="00202596">
        <w:rPr>
          <w:rFonts w:ascii="Arial" w:eastAsia="Arial" w:hAnsi="Arial" w:cs="Arial"/>
          <w:b/>
          <w:lang w:val="es" w:eastAsia="es-CO"/>
        </w:rPr>
        <w:lastRenderedPageBreak/>
        <w:t>Parágrafo:</w:t>
      </w:r>
      <w:r w:rsidRPr="00202596">
        <w:rPr>
          <w:rFonts w:ascii="Arial" w:eastAsia="Arial" w:hAnsi="Arial" w:cs="Arial"/>
          <w:lang w:val="es" w:eastAsia="es-CO"/>
        </w:rPr>
        <w:t xml:space="preserve"> El Gobierno Nacional, a través del Ministerio de Salud y Protección Social y del Instituto Nacional de Salud, deberá formular e implementar la política pública nacional de sangre basada en las buenas prácticas de sangre asegurando criterios de seguridad, calidad, oportunidad y eficiencia.</w:t>
      </w:r>
    </w:p>
    <w:p w14:paraId="5C767599" w14:textId="77777777" w:rsidR="00202596" w:rsidRPr="00202596" w:rsidRDefault="00202596" w:rsidP="00202596">
      <w:pPr>
        <w:spacing w:after="240" w:line="240" w:lineRule="atLeast"/>
        <w:ind w:left="-567" w:right="14"/>
        <w:jc w:val="both"/>
        <w:rPr>
          <w:rFonts w:ascii="Arial" w:eastAsia="Arial" w:hAnsi="Arial" w:cs="Arial"/>
          <w:lang w:val="es" w:eastAsia="es-CO"/>
        </w:rPr>
      </w:pPr>
      <w:r w:rsidRPr="00202596">
        <w:rPr>
          <w:rFonts w:ascii="Arial" w:eastAsia="Arial" w:hAnsi="Arial" w:cs="Arial"/>
          <w:b/>
          <w:lang w:val="es" w:eastAsia="es-CO"/>
        </w:rPr>
        <w:t>Artículo 6. Coordinación de bancos de sangre.</w:t>
      </w:r>
      <w:r w:rsidRPr="00202596">
        <w:rPr>
          <w:rFonts w:ascii="Arial" w:eastAsia="Arial" w:hAnsi="Arial" w:cs="Arial"/>
          <w:lang w:val="es" w:eastAsia="es-CO"/>
        </w:rPr>
        <w:t xml:space="preserve"> Los Bancos de Sangre, las prestadoras de servicios de salud que efectúen transfusiones y demás actores del Sistema de Salud con actividad transfusional, en el marco de la seguridad transfusional, deberán promover la donación de sangre, priorizando la seguridad de los donantes y de los pacientes transfundidos, para minimizar eventos adversos asociados a la donación y manteniendo altos estándares de seguridad en todas las etapas de la cadena transfusional, primando por el uso racional y restrictivo de hemocomponentes, para mitigar las reacciones adversas a la transfusión. La promoción de la donación de sangre no debe ser realizada bajo presión de no programación o cancelación de procedimiento terapéuticos o quirúrgicos en relación a la reposición de la cantidad de sangre donada.</w:t>
      </w:r>
    </w:p>
    <w:p w14:paraId="478A6053" w14:textId="77777777" w:rsidR="00202596" w:rsidRPr="00202596" w:rsidRDefault="00202596" w:rsidP="00202596">
      <w:pPr>
        <w:spacing w:after="240" w:line="240" w:lineRule="atLeast"/>
        <w:ind w:left="-567" w:right="14"/>
        <w:jc w:val="both"/>
        <w:rPr>
          <w:rFonts w:ascii="Arial" w:eastAsia="Arial" w:hAnsi="Arial" w:cs="Arial"/>
          <w:lang w:val="es" w:eastAsia="es-CO"/>
        </w:rPr>
      </w:pPr>
      <w:r w:rsidRPr="00202596">
        <w:rPr>
          <w:rFonts w:ascii="Arial" w:eastAsia="Arial" w:hAnsi="Arial" w:cs="Arial"/>
          <w:lang w:val="es" w:eastAsia="es-CO"/>
        </w:rPr>
        <w:t>Los Bancos de Sangre deberán registrar la recepción, manejo, procesamiento y almacenamiento de la sangre en los sistemas de información y vigilancia del Instituto Nacional de Salud, garantizando el cumplimiento de los protocolos técnicos y científicos vigentes en materia de seguridad y calidad.</w:t>
      </w:r>
    </w:p>
    <w:p w14:paraId="229E1FA7" w14:textId="1EB99015" w:rsidR="00202596" w:rsidRPr="00202596" w:rsidRDefault="00202596" w:rsidP="00202596">
      <w:pPr>
        <w:spacing w:after="240" w:line="240" w:lineRule="atLeast"/>
        <w:ind w:left="-567" w:right="14"/>
        <w:jc w:val="both"/>
        <w:rPr>
          <w:rFonts w:ascii="Arial" w:eastAsia="Arial" w:hAnsi="Arial" w:cs="Arial"/>
          <w:lang w:val="es" w:eastAsia="es-CO"/>
        </w:rPr>
      </w:pPr>
      <w:r w:rsidRPr="00202596">
        <w:rPr>
          <w:rFonts w:ascii="Arial" w:eastAsia="Arial" w:hAnsi="Arial" w:cs="Arial"/>
          <w:b/>
          <w:lang w:val="es" w:eastAsia="es-CO"/>
        </w:rPr>
        <w:t>Artículo 7. Fortalecimiento de la Red de Bancos de Sangre.</w:t>
      </w:r>
      <w:r w:rsidRPr="00202596">
        <w:rPr>
          <w:rFonts w:ascii="Arial" w:eastAsia="Arial" w:hAnsi="Arial" w:cs="Arial"/>
          <w:lang w:val="es" w:eastAsia="es-CO"/>
        </w:rPr>
        <w:t xml:space="preserve"> El Ministerio de Salud y Protección Social y el Instituto Nacional de Salud promoverán el fortalecimiento de la Red de Bancos de Sangre y Servicios de Transfusión, fomentando la promoción de la donación de sangre en todo el territorio nacional y generando mecanismos que permitan alertar sobre situaciones de insuficiencia de sangre</w:t>
      </w:r>
      <w:r>
        <w:rPr>
          <w:rFonts w:ascii="Arial" w:eastAsia="Arial" w:hAnsi="Arial" w:cs="Arial"/>
          <w:lang w:val="es" w:eastAsia="es-CO"/>
        </w:rPr>
        <w:t xml:space="preserve">, </w:t>
      </w:r>
      <w:r w:rsidRPr="00202596">
        <w:rPr>
          <w:rFonts w:ascii="Arial" w:eastAsia="Arial" w:hAnsi="Arial" w:cs="Arial"/>
          <w:lang w:val="es" w:eastAsia="es-CO"/>
        </w:rPr>
        <w:t>hemocomponentes</w:t>
      </w:r>
      <w:r>
        <w:rPr>
          <w:rFonts w:ascii="Arial" w:eastAsia="Arial" w:hAnsi="Arial" w:cs="Arial"/>
          <w:lang w:val="es" w:eastAsia="es-CO"/>
        </w:rPr>
        <w:t xml:space="preserve"> y hemoderivados</w:t>
      </w:r>
      <w:r w:rsidRPr="00202596">
        <w:rPr>
          <w:rFonts w:ascii="Arial" w:eastAsia="Arial" w:hAnsi="Arial" w:cs="Arial"/>
          <w:lang w:val="es" w:eastAsia="es-CO"/>
        </w:rPr>
        <w:t xml:space="preserve"> en las instituciones hospitalarias con actividad transfusional siempre que cumplan con los criterios técnicos y científicos necesarios para el fortalecimiento del sistema. </w:t>
      </w:r>
    </w:p>
    <w:p w14:paraId="273118CB" w14:textId="79D17534" w:rsidR="00202596" w:rsidRPr="00202596" w:rsidRDefault="00202596" w:rsidP="00202596">
      <w:pPr>
        <w:spacing w:after="240" w:line="240" w:lineRule="atLeast"/>
        <w:ind w:left="-567" w:right="14"/>
        <w:jc w:val="both"/>
        <w:rPr>
          <w:rFonts w:ascii="Arial" w:eastAsia="Arial" w:hAnsi="Arial" w:cs="Arial"/>
          <w:lang w:val="es" w:eastAsia="es-CO"/>
        </w:rPr>
      </w:pPr>
      <w:r w:rsidRPr="00202596">
        <w:rPr>
          <w:rFonts w:ascii="Arial" w:eastAsia="Arial" w:hAnsi="Arial" w:cs="Arial"/>
          <w:lang w:val="es" w:eastAsia="es-CO"/>
        </w:rPr>
        <w:t>El fortalecimiento de la Red Nacional de Bancos de Sangre y Servicios de Transfusión se implementará prioritariamente en las regiones apartadas, con difícil acceso o conectividad, y aquellas con presencia de población étnica o campesina, mediante la creación de puntos y/o centros de referencia regionales para la donación voluntaria y responsable de sangre. Estos puntos deberán operar bajo los criterios de uso racional y restrictivo de hemocomponentes</w:t>
      </w:r>
      <w:r>
        <w:rPr>
          <w:rFonts w:ascii="Arial" w:eastAsia="Arial" w:hAnsi="Arial" w:cs="Arial"/>
          <w:lang w:val="es" w:eastAsia="es-CO"/>
        </w:rPr>
        <w:t xml:space="preserve"> y hemoderivados</w:t>
      </w:r>
      <w:r w:rsidRPr="00202596">
        <w:rPr>
          <w:rFonts w:ascii="Arial" w:eastAsia="Arial" w:hAnsi="Arial" w:cs="Arial"/>
          <w:lang w:val="es" w:eastAsia="es-CO"/>
        </w:rPr>
        <w:t xml:space="preserve"> en los servicios de transfusión, conforme a los estándares técnicos y científicos vigentes. </w:t>
      </w:r>
    </w:p>
    <w:p w14:paraId="2190F665" w14:textId="77777777" w:rsidR="00202596" w:rsidRPr="00202596" w:rsidRDefault="00202596" w:rsidP="00202596">
      <w:pPr>
        <w:spacing w:after="240" w:line="240" w:lineRule="atLeast"/>
        <w:ind w:left="-567" w:right="14"/>
        <w:jc w:val="both"/>
        <w:rPr>
          <w:rFonts w:ascii="Arial" w:eastAsia="Arial" w:hAnsi="Arial" w:cs="Arial"/>
          <w:lang w:val="es" w:eastAsia="es-CO"/>
        </w:rPr>
      </w:pPr>
      <w:r w:rsidRPr="00202596">
        <w:rPr>
          <w:rFonts w:ascii="Arial" w:eastAsia="Arial" w:hAnsi="Arial" w:cs="Arial"/>
          <w:b/>
          <w:lang w:val="es" w:eastAsia="es-CO"/>
        </w:rPr>
        <w:t>Parágrafo:</w:t>
      </w:r>
      <w:r w:rsidRPr="00202596">
        <w:rPr>
          <w:rFonts w:ascii="Arial" w:eastAsia="Arial" w:hAnsi="Arial" w:cs="Arial"/>
          <w:lang w:val="es" w:eastAsia="es-CO"/>
        </w:rPr>
        <w:t xml:space="preserve"> Para el fortalecimiento de la Red de Bancos de Sangre y Servicios de Transfusión en las regiones apartadas, con difícil acceso o conectividad, y con presencia de población étnica o campesina, se autoriza al Gobierno Nacional para disponer recursos del Presupuesto General de la Nación cuya apropiación estará sujeta a la disponibilidad presupuestal para la vigencia fiscal respectiva, de conformidad con las leyes orgánicas de presupuesto, el Marco Fiscal de Mediano Plazo y el Marco de Gasto de Mediano Plazo.</w:t>
      </w:r>
    </w:p>
    <w:p w14:paraId="51494194" w14:textId="77777777" w:rsidR="00202596" w:rsidRPr="00202596" w:rsidRDefault="00202596" w:rsidP="00202596">
      <w:pPr>
        <w:spacing w:after="240" w:line="240" w:lineRule="atLeast"/>
        <w:ind w:left="-567" w:right="14"/>
        <w:jc w:val="both"/>
        <w:rPr>
          <w:rFonts w:ascii="Arial" w:eastAsia="Arial" w:hAnsi="Arial" w:cs="Arial"/>
          <w:lang w:val="es" w:eastAsia="es-CO"/>
        </w:rPr>
      </w:pPr>
      <w:r w:rsidRPr="00202596">
        <w:rPr>
          <w:rFonts w:ascii="Arial" w:eastAsia="Arial" w:hAnsi="Arial" w:cs="Arial"/>
          <w:b/>
          <w:lang w:val="es" w:eastAsia="es-CO"/>
        </w:rPr>
        <w:t>Artículo 8. Recepción de Células Progenitoras Hematopoyéticas (CPH) en los Bancos de Sangre.</w:t>
      </w:r>
      <w:r w:rsidRPr="00202596">
        <w:rPr>
          <w:rFonts w:ascii="Arial" w:eastAsia="Arial" w:hAnsi="Arial" w:cs="Arial"/>
          <w:lang w:val="es" w:eastAsia="es-CO"/>
        </w:rPr>
        <w:t xml:space="preserve"> Los Bancos de Sangre acreditados serán autorizados para recibir y almacenar Células Progenitoras Hematopoyéticas (CPH) obtenidas mediante los métodos de aspiración de médula ósea, movilización de sangre periférica, sangre de cordón umbilical u otras técnicas médicamente validadas.</w:t>
      </w:r>
    </w:p>
    <w:p w14:paraId="0265B026" w14:textId="77777777" w:rsidR="00202596" w:rsidRPr="00202596" w:rsidRDefault="00202596" w:rsidP="00202596">
      <w:pPr>
        <w:spacing w:after="240" w:line="240" w:lineRule="atLeast"/>
        <w:ind w:left="-567" w:right="14"/>
        <w:jc w:val="both"/>
        <w:rPr>
          <w:rFonts w:ascii="Arial" w:eastAsia="Arial" w:hAnsi="Arial" w:cs="Arial"/>
          <w:lang w:val="es" w:eastAsia="es-CO"/>
        </w:rPr>
      </w:pPr>
      <w:r w:rsidRPr="00202596">
        <w:rPr>
          <w:rFonts w:ascii="Arial" w:eastAsia="Arial" w:hAnsi="Arial" w:cs="Arial"/>
          <w:lang w:val="es" w:eastAsia="es-CO"/>
        </w:rPr>
        <w:t>Serán autorizados para la recepción, manejo, procesamiento y almacenamiento de las CPH</w:t>
      </w:r>
      <w:r w:rsidRPr="00202596">
        <w:rPr>
          <w:rFonts w:ascii="Arial" w:eastAsia="Arial" w:hAnsi="Arial" w:cs="Arial"/>
          <w:strike/>
          <w:lang w:val="es" w:eastAsia="es-CO"/>
        </w:rPr>
        <w:t xml:space="preserve"> </w:t>
      </w:r>
      <w:r w:rsidRPr="00202596">
        <w:rPr>
          <w:rFonts w:ascii="Arial" w:eastAsia="Arial" w:hAnsi="Arial" w:cs="Arial"/>
          <w:lang w:val="es" w:eastAsia="es-CO"/>
        </w:rPr>
        <w:t>únicamente aquellos que acrediten cumplir con los requisitos y estándares establecidos por la Ley 2253 de 2022, garantizando la calidad de los productos biológicos gestionados, la seguridad de los donantes y pacientes transfundidos, y minimizando los eventos adversos, mediante la implementación de recursos y capacidades científicas, técnicas y de personal que permitan cumplir con los principios de solidaridad, reciprocidad, gratuidad y confidencialidad, conforme a lo establecido en la normativa vigente.</w:t>
      </w:r>
    </w:p>
    <w:p w14:paraId="12234C11" w14:textId="77777777" w:rsidR="00202596" w:rsidRPr="00202596" w:rsidRDefault="00202596" w:rsidP="00202596">
      <w:pPr>
        <w:spacing w:after="240" w:line="240" w:lineRule="atLeast"/>
        <w:ind w:left="-567" w:right="14"/>
        <w:jc w:val="both"/>
        <w:rPr>
          <w:rFonts w:ascii="Arial" w:eastAsia="Arial" w:hAnsi="Arial" w:cs="Arial"/>
          <w:lang w:val="es" w:eastAsia="es-CO"/>
        </w:rPr>
      </w:pPr>
      <w:r w:rsidRPr="00202596">
        <w:rPr>
          <w:rFonts w:ascii="Arial" w:eastAsia="Arial" w:hAnsi="Arial" w:cs="Arial"/>
          <w:lang w:val="es" w:eastAsia="es-CO"/>
        </w:rPr>
        <w:lastRenderedPageBreak/>
        <w:t>Los Bancos de Sangre deberán registrar la recepción de CPH en los sistemas de información y vigilancia del Instituto Nacional de Salud, garantizando el cumplimiento de los protocolos técnicos y científicos vigentes en materia de seguridad y calidad.</w:t>
      </w:r>
    </w:p>
    <w:p w14:paraId="6F29ECBC" w14:textId="77777777" w:rsidR="00202596" w:rsidRPr="00202596" w:rsidRDefault="00202596" w:rsidP="00202596">
      <w:pPr>
        <w:spacing w:after="240" w:line="240" w:lineRule="atLeast"/>
        <w:ind w:left="-567" w:right="14"/>
        <w:jc w:val="both"/>
        <w:rPr>
          <w:rFonts w:ascii="Arial" w:eastAsia="Arial" w:hAnsi="Arial" w:cs="Arial"/>
          <w:lang w:val="es" w:eastAsia="es-CO"/>
        </w:rPr>
      </w:pPr>
      <w:r w:rsidRPr="00202596">
        <w:rPr>
          <w:rFonts w:ascii="Arial" w:eastAsia="Arial" w:hAnsi="Arial" w:cs="Arial"/>
          <w:b/>
          <w:lang w:val="es" w:eastAsia="es-CO"/>
        </w:rPr>
        <w:t>Parágrafo:</w:t>
      </w:r>
      <w:r w:rsidRPr="00202596">
        <w:rPr>
          <w:rFonts w:ascii="Arial" w:eastAsia="Arial" w:hAnsi="Arial" w:cs="Arial"/>
          <w:lang w:val="es" w:eastAsia="es-CO"/>
        </w:rPr>
        <w:t xml:space="preserve"> El Ministerio de Salud y Protección Social, en coordinación con el Instituto Nacional de Salud, reglamentará los lineamientos específicos para la correcta implementación de este artículo, en concordancia con las disposiciones de la Ley 2253 de 2022.</w:t>
      </w:r>
    </w:p>
    <w:p w14:paraId="366BE0DB" w14:textId="77777777" w:rsidR="00202596" w:rsidRPr="00202596" w:rsidRDefault="00202596" w:rsidP="00202596">
      <w:pPr>
        <w:spacing w:after="240" w:line="240" w:lineRule="atLeast"/>
        <w:ind w:left="-567" w:right="14"/>
        <w:jc w:val="both"/>
        <w:rPr>
          <w:rFonts w:ascii="Arial" w:eastAsia="Arial" w:hAnsi="Arial" w:cs="Arial"/>
          <w:lang w:val="es" w:eastAsia="es-CO"/>
        </w:rPr>
      </w:pPr>
      <w:r w:rsidRPr="00202596">
        <w:rPr>
          <w:rFonts w:ascii="Arial" w:eastAsia="Arial" w:hAnsi="Arial" w:cs="Arial"/>
          <w:b/>
          <w:bCs/>
          <w:lang w:eastAsia="es-CO"/>
        </w:rPr>
        <w:t>Artículo 9. Producción Nacional de Medicamentos Hemoderivados y Fomento a la Donación de Plasma.</w:t>
      </w:r>
      <w:r w:rsidRPr="00202596">
        <w:rPr>
          <w:rFonts w:ascii="Arial" w:eastAsia="Arial" w:hAnsi="Arial" w:cs="Arial"/>
          <w:lang w:eastAsia="es-CO"/>
        </w:rPr>
        <w:t xml:space="preserve"> El Ministerio de Salud y Protección Social, el Instituto Nacional de Salud – INS, el Instituto Nacional de Vigilancia de Medicamentos y Alimentos – INVIMA, el Ministerio de Ciencia, Tecnología e Innovación y el Ministerio de Comercio, Industria y Turismo, en el marco de sus competencias, adoptarán las medidas necesarias para promover la producción nacional de medicamentos hemoderivados, fomentar la donación voluntaria y altruista de plasma en todo el territorio nacional, impulsar procesos de reindustrialización local para la obtención de medicamentos derivados del plasma humano e implementar mecanismos de monitoreo y alerta temprana que permitan prevenir y atender situaciones de desabastecimiento de dichos medicamentos en las instituciones hospitalarias y en el sistema de salud.</w:t>
      </w:r>
    </w:p>
    <w:p w14:paraId="639E1570" w14:textId="77777777" w:rsidR="00202596" w:rsidRPr="00202596" w:rsidRDefault="00202596" w:rsidP="00202596">
      <w:pPr>
        <w:spacing w:after="240" w:line="240" w:lineRule="atLeast"/>
        <w:ind w:left="-567" w:right="14"/>
        <w:jc w:val="both"/>
        <w:rPr>
          <w:rFonts w:ascii="Arial" w:eastAsia="Arial" w:hAnsi="Arial" w:cs="Arial"/>
          <w:lang w:val="es" w:eastAsia="es-CO"/>
        </w:rPr>
      </w:pPr>
      <w:r w:rsidRPr="00202596">
        <w:rPr>
          <w:rFonts w:ascii="Arial" w:eastAsia="Arial" w:hAnsi="Arial" w:cs="Arial"/>
          <w:b/>
          <w:bCs/>
          <w:lang w:eastAsia="es-CO"/>
        </w:rPr>
        <w:t>Parágrafo 1.</w:t>
      </w:r>
      <w:r w:rsidRPr="00202596">
        <w:rPr>
          <w:rFonts w:ascii="Arial" w:eastAsia="Arial" w:hAnsi="Arial" w:cs="Arial"/>
          <w:lang w:eastAsia="es-CO"/>
        </w:rPr>
        <w:t xml:space="preserve"> El Gobierno nacional reglamentará lo dispuesto en el presente artículo en un plazo no mayor a doce (12) meses, contados a partir de la entrada en vigencia de la presente ley.</w:t>
      </w:r>
    </w:p>
    <w:p w14:paraId="42A94866" w14:textId="26F441D7" w:rsidR="00202596" w:rsidRPr="00202596" w:rsidRDefault="00202596" w:rsidP="00202596">
      <w:pPr>
        <w:spacing w:after="240" w:line="240" w:lineRule="atLeast"/>
        <w:ind w:left="-567" w:right="14"/>
        <w:jc w:val="both"/>
        <w:rPr>
          <w:rFonts w:ascii="Arial" w:eastAsia="Arial" w:hAnsi="Arial" w:cs="Arial"/>
          <w:lang w:val="es" w:eastAsia="es-CO"/>
        </w:rPr>
      </w:pPr>
      <w:r w:rsidRPr="00202596">
        <w:rPr>
          <w:rFonts w:ascii="Arial" w:eastAsia="Arial" w:hAnsi="Arial" w:cs="Arial"/>
          <w:b/>
          <w:lang w:val="es" w:eastAsia="es-CO"/>
        </w:rPr>
        <w:t xml:space="preserve">Artículo 10. Información al donante y al paciente transfundido. </w:t>
      </w:r>
      <w:r w:rsidRPr="00202596">
        <w:rPr>
          <w:rFonts w:ascii="Arial" w:eastAsia="Arial" w:hAnsi="Arial" w:cs="Arial"/>
          <w:lang w:val="es" w:eastAsia="es-CO"/>
        </w:rPr>
        <w:t xml:space="preserve">Los bancos de sangre proporcionarán información clara, </w:t>
      </w:r>
      <w:r w:rsidR="000E596E">
        <w:rPr>
          <w:rFonts w:ascii="Arial" w:eastAsia="Arial" w:hAnsi="Arial" w:cs="Arial"/>
          <w:lang w:val="es" w:eastAsia="es-CO"/>
        </w:rPr>
        <w:t>veraz, suficiente</w:t>
      </w:r>
      <w:r w:rsidRPr="00202596">
        <w:rPr>
          <w:rFonts w:ascii="Arial" w:eastAsia="Arial" w:hAnsi="Arial" w:cs="Arial"/>
          <w:lang w:val="es" w:eastAsia="es-CO"/>
        </w:rPr>
        <w:t xml:space="preserve"> y precisa sobre todas las etapas del proceso de donación, incluyendo los potenciales riesgos, reacciones y complicaciones para el donante y el paciente transfundido. Asimismo, deberán informar a los donantes potenciales sobre las limitaciones de las pruebas de laboratorio utilizadas para el tamizaje de la sangre donada y el periodo durante el cual estas pruebas no pueden detectar infecciones, a pesar de que el donante pueda ser portador de las mismas y, por tanto, pueda transmitirlas a los futuros pacientes transfundidos.</w:t>
      </w:r>
    </w:p>
    <w:p w14:paraId="734B3B4E" w14:textId="77777777" w:rsidR="00202596" w:rsidRPr="00202596" w:rsidRDefault="00202596" w:rsidP="00202596">
      <w:pPr>
        <w:spacing w:after="240" w:line="240" w:lineRule="atLeast"/>
        <w:ind w:left="-567" w:right="14"/>
        <w:jc w:val="both"/>
        <w:rPr>
          <w:rFonts w:ascii="Arial" w:eastAsia="Arial" w:hAnsi="Arial" w:cs="Arial"/>
          <w:lang w:val="es" w:eastAsia="es-CO"/>
        </w:rPr>
      </w:pPr>
      <w:r w:rsidRPr="00202596">
        <w:rPr>
          <w:rFonts w:ascii="Arial" w:eastAsia="Arial" w:hAnsi="Arial" w:cs="Arial"/>
          <w:b/>
          <w:bCs/>
          <w:lang w:val="es" w:eastAsia="es-CO"/>
        </w:rPr>
        <w:t>Parágrafo 1.</w:t>
      </w:r>
      <w:r w:rsidRPr="00202596">
        <w:rPr>
          <w:rFonts w:ascii="Arial" w:eastAsia="Arial" w:hAnsi="Arial" w:cs="Arial"/>
          <w:lang w:val="es" w:eastAsia="es-CO"/>
        </w:rPr>
        <w:t xml:space="preserve"> Toda donación de sangre, o de sus componentes, deberá contar con una declaración y consentimiento informado del donante, en formato físico o electrónico, que constituya prueba fehaciente de su autorización al banco de sangre para realizar los procedimientos inherentes a la donación, incluyendo el uso de la sangre conforme a la destinación acordada (uso terapéutico, investigación o fraccionamiento industrial), la ejecución de las pruebas de tamizaje obligatorio, el proceso de confirmación de resultados reactivos y las acciones de ubicación, asesoría y canalización al servicio de salud cuando corresponda. Asimismo, el donante autorizará la notificación de cualquier anormalidad relacionada con la calidad de su sangre, su canalización a través del Sistema General de Seguridad Social en Salud y la comunicación de los resultados a la coordinación de la red de sangre del respectivo ente territorial y al Sistema de Hemovigilancia del Instituto Nacional de Salud.</w:t>
      </w:r>
    </w:p>
    <w:p w14:paraId="282F1FC4" w14:textId="77777777" w:rsidR="00202596" w:rsidRPr="00202596" w:rsidRDefault="00202596" w:rsidP="00202596">
      <w:pPr>
        <w:spacing w:after="240" w:line="240" w:lineRule="atLeast"/>
        <w:ind w:left="-567" w:right="14"/>
        <w:jc w:val="both"/>
        <w:rPr>
          <w:rFonts w:ascii="Arial" w:eastAsia="Arial" w:hAnsi="Arial" w:cs="Arial"/>
          <w:lang w:eastAsia="es-CO"/>
        </w:rPr>
      </w:pPr>
      <w:r w:rsidRPr="00202596">
        <w:rPr>
          <w:rFonts w:ascii="Arial" w:eastAsia="Arial" w:hAnsi="Arial" w:cs="Arial"/>
          <w:b/>
          <w:bCs/>
          <w:lang w:eastAsia="es-CO"/>
        </w:rPr>
        <w:t>Parágrafo 2.</w:t>
      </w:r>
      <w:r w:rsidRPr="00202596">
        <w:rPr>
          <w:rFonts w:ascii="Arial" w:eastAsia="Arial" w:hAnsi="Arial" w:cs="Arial"/>
          <w:lang w:eastAsia="es-CO"/>
        </w:rPr>
        <w:t xml:space="preserve"> En caso de diferimiento de la donación de sangre, los bancos de sangre deberán informar al donante potencial, de manera clara y respetuosa, las razones específicas que motivaron dicha decisión, con base en los factores de riesgo identificados. Adicionalmente, deberán ofrecer orientación educativa sobre dichos factores, con el propósito de promover el autocuidado, la comprensión del proceso y la posibilidad de un eventual regreso al proceso de donación si las condiciones así lo permiten.</w:t>
      </w:r>
    </w:p>
    <w:p w14:paraId="32E26291" w14:textId="0B737DE6" w:rsidR="00202596" w:rsidRPr="00202596" w:rsidRDefault="00202596" w:rsidP="00202596">
      <w:pPr>
        <w:spacing w:after="240" w:line="240" w:lineRule="atLeast"/>
        <w:ind w:left="-567" w:right="14"/>
        <w:jc w:val="both"/>
        <w:rPr>
          <w:rFonts w:ascii="Arial" w:eastAsia="Arial" w:hAnsi="Arial" w:cs="Arial"/>
          <w:lang w:eastAsia="es-CO"/>
        </w:rPr>
      </w:pPr>
      <w:r w:rsidRPr="00202596">
        <w:rPr>
          <w:rFonts w:ascii="Arial" w:eastAsia="Arial" w:hAnsi="Arial" w:cs="Arial"/>
          <w:b/>
          <w:bCs/>
          <w:lang w:eastAsia="es-CO"/>
        </w:rPr>
        <w:t>Artículo 11. Campañas de información y sensibilización.</w:t>
      </w:r>
      <w:r w:rsidRPr="00202596">
        <w:rPr>
          <w:rFonts w:ascii="Arial" w:eastAsia="Arial" w:hAnsi="Arial" w:cs="Arial"/>
          <w:lang w:eastAsia="es-CO"/>
        </w:rPr>
        <w:t xml:space="preserve"> El Gobierno Nacional, a través del Ministerio de Salud y Protección Social, el Instituto Nacional de Salud, el Ministerio de Tecnologías de la Información y las Comunicaciones,</w:t>
      </w:r>
      <w:r w:rsidR="000E596E">
        <w:rPr>
          <w:rFonts w:ascii="Arial" w:eastAsia="Arial" w:hAnsi="Arial" w:cs="Arial"/>
          <w:lang w:eastAsia="es-CO"/>
        </w:rPr>
        <w:t xml:space="preserve"> el sistema nacional de medios públicos RTVC</w:t>
      </w:r>
      <w:r w:rsidR="000E596E" w:rsidRPr="00202596">
        <w:rPr>
          <w:rFonts w:ascii="Arial" w:eastAsia="Arial" w:hAnsi="Arial" w:cs="Arial"/>
          <w:lang w:eastAsia="es-CO"/>
        </w:rPr>
        <w:t xml:space="preserve"> </w:t>
      </w:r>
      <w:r w:rsidRPr="00202596">
        <w:rPr>
          <w:rFonts w:ascii="Arial" w:eastAsia="Arial" w:hAnsi="Arial" w:cs="Arial"/>
          <w:lang w:eastAsia="es-CO"/>
        </w:rPr>
        <w:t xml:space="preserve">la Autoridad Nacional de Televisión, el Ministerio de Educación Nacional y demás entidades competentes, deberán realizar campañas y espacios de información, en los medios de comunicación y medios digitales, así </w:t>
      </w:r>
      <w:r w:rsidRPr="00202596">
        <w:rPr>
          <w:rFonts w:ascii="Arial" w:eastAsia="Arial" w:hAnsi="Arial" w:cs="Arial"/>
          <w:lang w:eastAsia="es-CO"/>
        </w:rPr>
        <w:lastRenderedPageBreak/>
        <w:t>como, en el marco de su autonomía, en las instituciones educativas en los diferentes niveles de educación, dedicados a la divulgación, sensibilización y fomento de la donación voluntaria</w:t>
      </w:r>
      <w:r w:rsidR="000E596E">
        <w:rPr>
          <w:rFonts w:ascii="Arial" w:eastAsia="Arial" w:hAnsi="Arial" w:cs="Arial"/>
          <w:lang w:eastAsia="es-CO"/>
        </w:rPr>
        <w:t>, solidaria</w:t>
      </w:r>
      <w:r w:rsidRPr="00202596">
        <w:rPr>
          <w:rFonts w:ascii="Arial" w:eastAsia="Arial" w:hAnsi="Arial" w:cs="Arial"/>
          <w:lang w:eastAsia="es-CO"/>
        </w:rPr>
        <w:t xml:space="preserve"> de sangre altruista, frecuente y segura en el país. </w:t>
      </w:r>
    </w:p>
    <w:p w14:paraId="31EC2FA4" w14:textId="039E1398" w:rsidR="00202596" w:rsidRPr="00202596" w:rsidRDefault="00202596" w:rsidP="00202596">
      <w:pPr>
        <w:spacing w:after="240" w:line="240" w:lineRule="atLeast"/>
        <w:ind w:left="-567" w:right="14"/>
        <w:jc w:val="both"/>
        <w:rPr>
          <w:rFonts w:ascii="Arial" w:eastAsia="Arial" w:hAnsi="Arial" w:cs="Arial"/>
          <w:lang w:eastAsia="es-CO"/>
        </w:rPr>
      </w:pPr>
      <w:r w:rsidRPr="00202596">
        <w:rPr>
          <w:rFonts w:ascii="Arial" w:eastAsia="Arial" w:hAnsi="Arial" w:cs="Arial"/>
          <w:lang w:eastAsia="es-CO"/>
        </w:rPr>
        <w:t xml:space="preserve">El Ministerio de Educación Nacional deberá implementar campañas y establecer espacios de información en las instituciones educativas, con el propósito de sensibilizar y promover la donación voluntaria, </w:t>
      </w:r>
      <w:r w:rsidR="000E596E">
        <w:rPr>
          <w:rFonts w:ascii="Arial" w:eastAsia="Arial" w:hAnsi="Arial" w:cs="Arial"/>
          <w:lang w:eastAsia="es-CO"/>
        </w:rPr>
        <w:t xml:space="preserve">solidaria, </w:t>
      </w:r>
      <w:r w:rsidRPr="00202596">
        <w:rPr>
          <w:rFonts w:ascii="Arial" w:eastAsia="Arial" w:hAnsi="Arial" w:cs="Arial"/>
          <w:lang w:eastAsia="es-CO"/>
        </w:rPr>
        <w:t>altruista, frecuente y segura de sangre en el país.</w:t>
      </w:r>
    </w:p>
    <w:p w14:paraId="4CEC6DAF" w14:textId="15E76829" w:rsidR="00202596" w:rsidRPr="00202596" w:rsidRDefault="00202596" w:rsidP="00202596">
      <w:pPr>
        <w:spacing w:after="240" w:line="240" w:lineRule="atLeast"/>
        <w:ind w:left="-567" w:right="14"/>
        <w:jc w:val="both"/>
        <w:rPr>
          <w:rFonts w:ascii="Arial" w:eastAsia="Arial" w:hAnsi="Arial" w:cs="Arial"/>
          <w:lang w:eastAsia="es-CO"/>
        </w:rPr>
      </w:pPr>
      <w:r w:rsidRPr="00202596">
        <w:rPr>
          <w:rFonts w:ascii="Arial" w:eastAsia="Arial" w:hAnsi="Arial" w:cs="Arial"/>
          <w:b/>
          <w:bCs/>
          <w:lang w:val="es" w:eastAsia="es-CO"/>
        </w:rPr>
        <w:t>Artículo 12. Hemovigilancia.</w:t>
      </w:r>
      <w:r w:rsidRPr="00202596">
        <w:rPr>
          <w:rFonts w:ascii="Arial" w:eastAsia="Arial" w:hAnsi="Arial" w:cs="Arial"/>
          <w:lang w:val="es" w:eastAsia="es-CO"/>
        </w:rPr>
        <w:t xml:space="preserve"> El Instituto Nacional de Salud, en el marco de la hemovigilancia, deberá impartir y socializar a los Bancos de Sangre, a las prestadoras de servicios de salud que efectúen transfusiones y demás actores del Sistema de Salud, en el marco de la seguridad transfusional, los hallazgos que identifiquen oportunidades de mejora para mitigar la ocurrencia de reacciones adversas en los procesos de donación de sangre, transfusión y en el uso racional y restrictivo de hemocomponentes</w:t>
      </w:r>
      <w:r w:rsidR="0024670B">
        <w:rPr>
          <w:rFonts w:ascii="Arial" w:eastAsia="Arial" w:hAnsi="Arial" w:cs="Arial"/>
          <w:lang w:val="es" w:eastAsia="es-CO"/>
        </w:rPr>
        <w:t xml:space="preserve"> y sus hemoderivados</w:t>
      </w:r>
      <w:r w:rsidRPr="00202596">
        <w:rPr>
          <w:rFonts w:ascii="Arial" w:eastAsia="Arial" w:hAnsi="Arial" w:cs="Arial"/>
          <w:lang w:val="es" w:eastAsia="es-CO"/>
        </w:rPr>
        <w:t>. Asimismo, deberá elaborar informes que orienten las acciones dirigidas a mejorar la seguridad, disponibilidad y acceso a la sangre, respondiendo a las necesidades transfusionales en el territorio nacional.</w:t>
      </w:r>
    </w:p>
    <w:p w14:paraId="385A91AB" w14:textId="09057756" w:rsidR="0024670B" w:rsidRDefault="00202596" w:rsidP="00202596">
      <w:pPr>
        <w:spacing w:after="240" w:line="240" w:lineRule="atLeast"/>
        <w:ind w:left="-567" w:right="14"/>
        <w:jc w:val="both"/>
        <w:rPr>
          <w:rFonts w:ascii="Arial" w:eastAsia="Arial" w:hAnsi="Arial" w:cs="Arial"/>
          <w:lang w:val="es" w:eastAsia="es-CO"/>
        </w:rPr>
      </w:pPr>
      <w:r w:rsidRPr="00202596">
        <w:rPr>
          <w:rFonts w:ascii="Arial" w:eastAsia="Arial" w:hAnsi="Arial" w:cs="Arial"/>
          <w:b/>
          <w:bCs/>
          <w:lang w:eastAsia="es-CO"/>
        </w:rPr>
        <w:t xml:space="preserve">Parágrafo. </w:t>
      </w:r>
      <w:r w:rsidRPr="00202596">
        <w:rPr>
          <w:rFonts w:ascii="Arial" w:eastAsia="Arial" w:hAnsi="Arial" w:cs="Arial"/>
          <w:lang w:eastAsia="es-CO"/>
        </w:rPr>
        <w:t xml:space="preserve">Las instituciones prestadoras de servicios de salud que realicen transfusiones de sangre, o de sus componentes, deberán implementar un Programa Institucional de Hemovigilancia, el cual deberá contar, como mínimo, con un responsable designado con el perfil técnico requerido; un sistema de gestión de datos que garantice la integridad, exactitud, fiabilidad, confidencialidad y trazabilidad de la información; protocolos para la identificación, notificación, análisis y gestión de eventos adversos asociados a la transfusión; estrategias de vigilancia activa y capacitación permanente al personal asistencial en seguridad transfusional; y mecanismos de reporte oportuno, que incluyan la notificación inmediata de eventos adversos graves y la consolidación periódica de la información para su envío a la autoridad sanitaria competente. </w:t>
      </w:r>
    </w:p>
    <w:p w14:paraId="259B6001" w14:textId="77777777" w:rsidR="004E060F" w:rsidRDefault="0024670B" w:rsidP="00202596">
      <w:pPr>
        <w:spacing w:after="240" w:line="240" w:lineRule="atLeast"/>
        <w:ind w:left="-567" w:right="14"/>
        <w:jc w:val="both"/>
        <w:rPr>
          <w:rFonts w:ascii="Arial" w:eastAsia="Arial" w:hAnsi="Arial" w:cs="Arial"/>
          <w:lang w:eastAsia="es-CO"/>
        </w:rPr>
      </w:pPr>
      <w:r w:rsidRPr="0024670B">
        <w:rPr>
          <w:rFonts w:ascii="Arial" w:eastAsia="Arial" w:hAnsi="Arial" w:cs="Arial"/>
          <w:lang w:eastAsia="es-CO"/>
        </w:rPr>
        <w:t>El Ministerio de Salud y Protección Social establecerá un sistema de apoyo técnico y financiero diferenciado según el nivel de complejidad de las IPS, priorizando el acompañamiento a hospitales de primer nivel y aquellos ubicados en zonzas rurales o apartadas. Para las IPS de menor complejidad, se permitirá la implementación gradual del programa en un plazo de 24 meses.</w:t>
      </w:r>
    </w:p>
    <w:p w14:paraId="2538BAE0" w14:textId="54BEBA96" w:rsidR="00202596" w:rsidRPr="00202596" w:rsidRDefault="004E060F" w:rsidP="00202596">
      <w:pPr>
        <w:spacing w:after="240" w:line="240" w:lineRule="atLeast"/>
        <w:ind w:left="-567" w:right="14"/>
        <w:jc w:val="both"/>
        <w:rPr>
          <w:rFonts w:ascii="Arial" w:eastAsia="Arial" w:hAnsi="Arial" w:cs="Arial"/>
          <w:lang w:val="es" w:eastAsia="es-CO"/>
        </w:rPr>
      </w:pPr>
      <w:r w:rsidRPr="00202596">
        <w:rPr>
          <w:rFonts w:ascii="Arial" w:eastAsia="Arial" w:hAnsi="Arial" w:cs="Arial"/>
          <w:lang w:val="es" w:eastAsia="es-CO"/>
        </w:rPr>
        <w:t>El Gobierno nacional reglamentará lo dispuesto en el presente parágrafo en un plazo no mayor a doce (12) meses contados a partir de la entrada en vigencia de la presente ley.</w:t>
      </w:r>
      <w:r w:rsidR="00202596" w:rsidRPr="00202596">
        <w:rPr>
          <w:rFonts w:ascii="Arial" w:eastAsia="Arial" w:hAnsi="Arial" w:cs="Arial"/>
          <w:lang w:val="es" w:eastAsia="es-CO"/>
        </w:rPr>
        <w:t xml:space="preserve"> </w:t>
      </w:r>
    </w:p>
    <w:p w14:paraId="0C65F739" w14:textId="77777777" w:rsidR="00202596" w:rsidRPr="00202596" w:rsidRDefault="00202596" w:rsidP="00202596">
      <w:pPr>
        <w:spacing w:after="240" w:line="240" w:lineRule="atLeast"/>
        <w:ind w:left="-567" w:right="14"/>
        <w:jc w:val="both"/>
        <w:rPr>
          <w:rFonts w:ascii="Arial" w:eastAsia="Arial" w:hAnsi="Arial" w:cs="Arial"/>
          <w:lang w:val="es" w:eastAsia="es-CO"/>
        </w:rPr>
      </w:pPr>
      <w:r w:rsidRPr="00202596">
        <w:rPr>
          <w:rFonts w:ascii="Arial" w:eastAsia="Arial" w:hAnsi="Arial" w:cs="Arial"/>
          <w:b/>
          <w:bCs/>
          <w:lang w:val="es" w:eastAsia="es-CO"/>
        </w:rPr>
        <w:t>Artículo 13. Traducción a lenguas nativas.</w:t>
      </w:r>
      <w:r w:rsidRPr="00202596">
        <w:rPr>
          <w:rFonts w:ascii="Arial" w:eastAsia="Arial" w:hAnsi="Arial" w:cs="Arial"/>
          <w:lang w:val="es" w:eastAsia="es-CO"/>
        </w:rPr>
        <w:t xml:space="preserve"> Las autoridades de los grupos étnicos, con tradición lingüística propia, podrán solicitar al Gobierno Nacional que la presente Ley sea traducida a su lengua nativa. El Gobierno Nacional reglamentará lo pertinente y definirá los recursos para tal fin.</w:t>
      </w:r>
    </w:p>
    <w:p w14:paraId="3ECA0300" w14:textId="2A5463D2" w:rsidR="00202596" w:rsidRPr="00202596" w:rsidRDefault="00202596" w:rsidP="00202596">
      <w:pPr>
        <w:spacing w:after="240" w:line="240" w:lineRule="atLeast"/>
        <w:ind w:left="-567" w:right="14"/>
        <w:jc w:val="both"/>
        <w:rPr>
          <w:rFonts w:ascii="Arial" w:eastAsia="Arial" w:hAnsi="Arial" w:cs="Arial"/>
          <w:lang w:val="es" w:eastAsia="es-CO"/>
        </w:rPr>
      </w:pPr>
      <w:r w:rsidRPr="00202596">
        <w:rPr>
          <w:rFonts w:ascii="Arial" w:eastAsia="Arial" w:hAnsi="Arial" w:cs="Arial"/>
          <w:b/>
          <w:bCs/>
          <w:lang w:val="es" w:eastAsia="es-CO"/>
        </w:rPr>
        <w:t>Artículo 14.</w:t>
      </w:r>
      <w:r w:rsidRPr="00202596">
        <w:rPr>
          <w:rFonts w:ascii="Arial" w:eastAsia="Arial" w:hAnsi="Arial" w:cs="Arial"/>
          <w:lang w:val="es" w:eastAsia="es-CO"/>
        </w:rPr>
        <w:t xml:space="preserve"> </w:t>
      </w:r>
      <w:r w:rsidRPr="00202596">
        <w:rPr>
          <w:rFonts w:ascii="Arial" w:eastAsia="Arial" w:hAnsi="Arial" w:cs="Arial"/>
          <w:b/>
          <w:bCs/>
          <w:lang w:val="es" w:eastAsia="es-CO"/>
        </w:rPr>
        <w:t xml:space="preserve">Responsabilidad de realización de pruebas de tamizaje y confirmación en los bancos de sangre. </w:t>
      </w:r>
      <w:r w:rsidRPr="00202596">
        <w:rPr>
          <w:rFonts w:ascii="Arial" w:eastAsia="Arial" w:hAnsi="Arial" w:cs="Arial"/>
          <w:lang w:val="es" w:eastAsia="es-CO"/>
        </w:rPr>
        <w:t>Los bancos de sangre, sin importar su clasificación, sean públicos o privados, deberán realizar bajo su responsabilidad las pruebas de tamizaje y confirmatorias a todas las unidades recolectadas, de conformidad con los algoritmos definidos para Bancos de Sangre y actualizados periódicamente por el Instituto Nacional de Salud con base en la evidencia científica, y en cumplimiento de los lineamientos establecidos por el Ministerio de Salud y Protección Social, para garantizar la disponibilidad, acceso y seguridad de la sangre y sus hemocomponentes</w:t>
      </w:r>
      <w:r w:rsidR="000D6D79">
        <w:rPr>
          <w:rFonts w:ascii="Arial" w:eastAsia="Arial" w:hAnsi="Arial" w:cs="Arial"/>
          <w:lang w:val="es" w:eastAsia="es-CO"/>
        </w:rPr>
        <w:t xml:space="preserve"> y sus hemoderivados</w:t>
      </w:r>
      <w:r w:rsidRPr="00202596">
        <w:rPr>
          <w:rFonts w:ascii="Arial" w:eastAsia="Arial" w:hAnsi="Arial" w:cs="Arial"/>
          <w:lang w:val="es" w:eastAsia="es-CO"/>
        </w:rPr>
        <w:t xml:space="preserve"> en el país. </w:t>
      </w:r>
    </w:p>
    <w:p w14:paraId="5FAF5FD4" w14:textId="2CAE7DE6" w:rsidR="00BF0C76" w:rsidRDefault="00202596" w:rsidP="00BF0C76">
      <w:pPr>
        <w:spacing w:after="240" w:line="240" w:lineRule="atLeast"/>
        <w:ind w:left="-567" w:right="14"/>
        <w:jc w:val="both"/>
        <w:rPr>
          <w:rFonts w:ascii="Arial" w:eastAsia="Arial" w:hAnsi="Arial" w:cs="Arial"/>
          <w:lang w:eastAsia="es-CO"/>
        </w:rPr>
      </w:pPr>
      <w:r w:rsidRPr="00202596">
        <w:rPr>
          <w:rFonts w:ascii="Arial" w:eastAsia="Arial" w:hAnsi="Arial" w:cs="Arial"/>
          <w:b/>
          <w:bCs/>
          <w:lang w:eastAsia="es-CO"/>
        </w:rPr>
        <w:t xml:space="preserve">Parágrafo. </w:t>
      </w:r>
      <w:r w:rsidRPr="00202596">
        <w:rPr>
          <w:rFonts w:ascii="Arial" w:eastAsia="Arial" w:hAnsi="Arial" w:cs="Arial"/>
          <w:lang w:eastAsia="es-CO"/>
        </w:rPr>
        <w:t xml:space="preserve">En caso de que el resultado de las pruebas de tamizaje o confirmación realizadas por los bancos de sangre detecte reactivos frente a agentes infecciosos u otras condiciones de riesgo transfusional, se deberá notificar al donante potencial de manera confidencial y oportuna. Esta notificación deberá incluir información clara sobre los hallazgos, orientaciones clínicas pertinentes y, de </w:t>
      </w:r>
      <w:r w:rsidRPr="00202596">
        <w:rPr>
          <w:rFonts w:ascii="Arial" w:eastAsia="Arial" w:hAnsi="Arial" w:cs="Arial"/>
          <w:lang w:eastAsia="es-CO"/>
        </w:rPr>
        <w:lastRenderedPageBreak/>
        <w:t>ser necesario, el direccionamiento a los servicios del sistema de salud para su seguimiento y atención, conforme con la normatividad vigente sobre vigilancia epidemiológica y derechos del paciente.</w:t>
      </w:r>
    </w:p>
    <w:p w14:paraId="686938FC" w14:textId="77777777" w:rsidR="00842BD4" w:rsidRPr="00BD7035" w:rsidRDefault="00842BD4" w:rsidP="00842BD4">
      <w:pPr>
        <w:pStyle w:val="Sinespaciado"/>
        <w:ind w:left="-567"/>
        <w:rPr>
          <w:rFonts w:cs="Arial"/>
          <w:b/>
          <w:bCs/>
        </w:rPr>
      </w:pPr>
      <w:r w:rsidRPr="00842BD4">
        <w:rPr>
          <w:rFonts w:eastAsia="Arial" w:cs="Arial"/>
          <w:b/>
          <w:bCs/>
          <w:lang w:eastAsia="es-CO"/>
        </w:rPr>
        <w:t>Artículo 1</w:t>
      </w:r>
      <w:r>
        <w:rPr>
          <w:rFonts w:eastAsia="Arial" w:cs="Arial"/>
          <w:b/>
          <w:bCs/>
          <w:lang w:eastAsia="es-CO"/>
        </w:rPr>
        <w:t>5</w:t>
      </w:r>
      <w:r w:rsidRPr="00842BD4">
        <w:rPr>
          <w:rFonts w:eastAsia="Arial" w:cs="Arial"/>
          <w:b/>
          <w:bCs/>
          <w:lang w:eastAsia="es-CO"/>
        </w:rPr>
        <w:t>.</w:t>
      </w:r>
      <w:r>
        <w:rPr>
          <w:rFonts w:eastAsia="Arial" w:cs="Arial"/>
          <w:b/>
          <w:bCs/>
          <w:lang w:eastAsia="es-CO"/>
        </w:rPr>
        <w:t xml:space="preserve"> </w:t>
      </w:r>
      <w:r w:rsidRPr="00BD7035">
        <w:rPr>
          <w:rFonts w:cs="Arial"/>
          <w:b/>
          <w:bCs/>
        </w:rPr>
        <w:t xml:space="preserve">Centralización del plasma por el Instituto Nacional de Salud. </w:t>
      </w:r>
      <w:r w:rsidRPr="00BD7035">
        <w:rPr>
          <w:rFonts w:cs="Arial"/>
        </w:rPr>
        <w:t>Con el fin de garantizar la seguridad, trazabilidad, disponibilidad y calidad del plasma sanguíneo y sus derivados en el territorio nacional, el Instituto Nacional de Salud (INS), en su calidad de coordinador técnico-científico de la Red Nacional de Bancos de Sangre, será la entidad responsable de centralizar, coordinar y supervisar los procesos de recolección, procesamiento, almacenamiento, distribución y destino del plasma obtenido en los bancos de sangre públicos y privados.</w:t>
      </w:r>
    </w:p>
    <w:p w14:paraId="09BBA182" w14:textId="77777777" w:rsidR="00842BD4" w:rsidRDefault="00842BD4" w:rsidP="00842BD4">
      <w:pPr>
        <w:pStyle w:val="Sinespaciado"/>
        <w:ind w:left="-567"/>
        <w:rPr>
          <w:rFonts w:cs="Arial"/>
        </w:rPr>
      </w:pPr>
    </w:p>
    <w:p w14:paraId="27BBFCE1" w14:textId="7AF4505B" w:rsidR="00842BD4" w:rsidRPr="00BD7035" w:rsidRDefault="00842BD4" w:rsidP="00842BD4">
      <w:pPr>
        <w:pStyle w:val="Sinespaciado"/>
        <w:ind w:left="-567"/>
        <w:rPr>
          <w:rFonts w:cs="Arial"/>
          <w:b/>
          <w:bCs/>
        </w:rPr>
      </w:pPr>
      <w:r w:rsidRPr="00BD7035">
        <w:rPr>
          <w:rFonts w:cs="Arial"/>
        </w:rPr>
        <w:t>Esta función se ejercerá en concordancia con los lineamientos técnicos y sanitarios establecidos por el Ministerio de Salud y Protección Social, y en cumplimiento de la normativa vigente aplicable a los productos biológicos derivados de sangre.</w:t>
      </w:r>
    </w:p>
    <w:p w14:paraId="045F7B23" w14:textId="77777777" w:rsidR="00842BD4" w:rsidRDefault="00842BD4" w:rsidP="00842BD4">
      <w:pPr>
        <w:pStyle w:val="Sinespaciado"/>
        <w:ind w:left="-567"/>
        <w:rPr>
          <w:rFonts w:cs="Arial"/>
          <w:b/>
          <w:bCs/>
        </w:rPr>
      </w:pPr>
    </w:p>
    <w:p w14:paraId="71E11BB4" w14:textId="7572AFB9" w:rsidR="00842BD4" w:rsidRDefault="00842BD4" w:rsidP="00842BD4">
      <w:pPr>
        <w:pStyle w:val="Sinespaciado"/>
        <w:ind w:left="-567"/>
        <w:rPr>
          <w:rFonts w:cs="Arial"/>
        </w:rPr>
      </w:pPr>
      <w:r w:rsidRPr="00BD7035">
        <w:rPr>
          <w:rFonts w:cs="Arial"/>
          <w:b/>
          <w:bCs/>
        </w:rPr>
        <w:t>Parágrafo 1:</w:t>
      </w:r>
      <w:r w:rsidRPr="00BD7035">
        <w:rPr>
          <w:rFonts w:cs="Arial"/>
        </w:rPr>
        <w:t xml:space="preserve"> El Ministerio de Salud y Protección Social, en coordinación con el Instituto Nacional de Salud, establecerá los mecanismos técnicos, operativos y logísticos necesarios para el procesamiento industrial del plasma, incluyendo criterios de calidad, bioseguridad, eficiencia y sostenibilidad.</w:t>
      </w:r>
    </w:p>
    <w:p w14:paraId="4BCC3B66" w14:textId="77777777" w:rsidR="00842BD4" w:rsidRPr="00BD7035" w:rsidRDefault="00842BD4" w:rsidP="00842BD4">
      <w:pPr>
        <w:pStyle w:val="Sinespaciado"/>
        <w:ind w:left="-567"/>
        <w:rPr>
          <w:rFonts w:cs="Arial"/>
        </w:rPr>
      </w:pPr>
    </w:p>
    <w:p w14:paraId="3D20A38B" w14:textId="5E03A7C8" w:rsidR="00842BD4" w:rsidRDefault="00842BD4" w:rsidP="00842BD4">
      <w:pPr>
        <w:spacing w:after="240" w:line="240" w:lineRule="atLeast"/>
        <w:ind w:left="-567" w:right="14"/>
        <w:jc w:val="both"/>
        <w:rPr>
          <w:rFonts w:ascii="Arial" w:eastAsia="Arial" w:hAnsi="Arial" w:cs="Arial"/>
          <w:b/>
          <w:bCs/>
          <w:lang w:eastAsia="es-CO"/>
        </w:rPr>
      </w:pPr>
      <w:r w:rsidRPr="00BD7035">
        <w:rPr>
          <w:rFonts w:ascii="Arial" w:hAnsi="Arial" w:cs="Arial"/>
          <w:b/>
          <w:bCs/>
        </w:rPr>
        <w:t>Parágrafo 2:</w:t>
      </w:r>
      <w:r w:rsidRPr="00BD7035">
        <w:rPr>
          <w:rFonts w:ascii="Arial" w:hAnsi="Arial" w:cs="Arial"/>
        </w:rPr>
        <w:t xml:space="preserve"> El Ministerio de Salud y Protección Social, previo concepto técnico favorable del Instituto Nacional de Salud, podrá autorizar la exportación de plasma con fines industriales, siempre que se garantice el abastecimiento nacional y se cumplan los requisitos sanitarios, éticos y comerciales establecidos por la legislación vigente.</w:t>
      </w:r>
    </w:p>
    <w:p w14:paraId="7C936047" w14:textId="77777777" w:rsidR="00842BD4" w:rsidRPr="00842BD4" w:rsidRDefault="00842BD4" w:rsidP="00842BD4">
      <w:pPr>
        <w:pStyle w:val="Sinespaciado"/>
        <w:ind w:left="-567"/>
        <w:rPr>
          <w:rFonts w:eastAsia="Times New Roman" w:cs="Arial"/>
          <w:lang w:eastAsia="es-CO"/>
        </w:rPr>
      </w:pPr>
      <w:r w:rsidRPr="00842BD4">
        <w:rPr>
          <w:rFonts w:eastAsia="Arial" w:cs="Arial"/>
          <w:b/>
          <w:bCs/>
          <w:lang w:eastAsia="es-CO"/>
        </w:rPr>
        <w:t>Artículo 1</w:t>
      </w:r>
      <w:r>
        <w:rPr>
          <w:rFonts w:eastAsia="Arial" w:cs="Arial"/>
          <w:b/>
          <w:bCs/>
          <w:lang w:eastAsia="es-CO"/>
        </w:rPr>
        <w:t>6</w:t>
      </w:r>
      <w:r w:rsidRPr="00842BD4">
        <w:rPr>
          <w:rFonts w:eastAsia="Arial" w:cs="Arial"/>
          <w:b/>
          <w:bCs/>
          <w:lang w:eastAsia="es-CO"/>
        </w:rPr>
        <w:t>.</w:t>
      </w:r>
      <w:r>
        <w:rPr>
          <w:rFonts w:eastAsia="Arial" w:cs="Arial"/>
          <w:b/>
          <w:bCs/>
          <w:lang w:eastAsia="es-CO"/>
        </w:rPr>
        <w:t xml:space="preserve"> </w:t>
      </w:r>
      <w:r w:rsidRPr="00842BD4">
        <w:rPr>
          <w:rFonts w:eastAsia="Times New Roman" w:cs="Arial"/>
          <w:b/>
          <w:bCs/>
          <w:lang w:eastAsia="es-CO"/>
        </w:rPr>
        <w:t xml:space="preserve">Planta de procesamiento industrial del plasma. </w:t>
      </w:r>
      <w:r w:rsidRPr="00842BD4">
        <w:rPr>
          <w:rFonts w:eastAsia="Times New Roman" w:cs="Arial"/>
          <w:lang w:eastAsia="es-CO"/>
        </w:rPr>
        <w:t>Con el propósito de fortalecer la soberanía sanitaria y promover la reindustrialización nacional en el sector salud, el Ministerio de Salud y Protección Social, en coordinación con el Ministerio de Hacienda y Crédito Público, evaluará la viabilidad técnica, financiera y fiscal de establecer, a través del Instituto Nacional de Salud, una planta de fraccionamiento industrial de plasma humano en territorio colombiano.</w:t>
      </w:r>
    </w:p>
    <w:p w14:paraId="498D64AD" w14:textId="77777777" w:rsidR="00842BD4" w:rsidRDefault="00842BD4" w:rsidP="00842BD4">
      <w:pPr>
        <w:spacing w:after="0" w:line="240" w:lineRule="auto"/>
        <w:ind w:left="-567"/>
        <w:jc w:val="both"/>
        <w:rPr>
          <w:rFonts w:ascii="Arial" w:eastAsia="Times New Roman" w:hAnsi="Arial" w:cs="Arial"/>
          <w:lang w:eastAsia="es-CO"/>
        </w:rPr>
      </w:pPr>
    </w:p>
    <w:p w14:paraId="3CE17B27" w14:textId="1FC8D35A" w:rsidR="00842BD4" w:rsidRDefault="00842BD4" w:rsidP="00842BD4">
      <w:pPr>
        <w:spacing w:after="0" w:line="240" w:lineRule="auto"/>
        <w:ind w:left="-567"/>
        <w:jc w:val="both"/>
        <w:rPr>
          <w:rFonts w:ascii="Arial" w:eastAsia="Times New Roman" w:hAnsi="Arial" w:cs="Arial"/>
          <w:lang w:eastAsia="es-CO"/>
        </w:rPr>
      </w:pPr>
      <w:r w:rsidRPr="00842BD4">
        <w:rPr>
          <w:rFonts w:ascii="Arial" w:eastAsia="Times New Roman" w:hAnsi="Arial" w:cs="Arial"/>
          <w:lang w:eastAsia="es-CO"/>
        </w:rPr>
        <w:t>Esta evaluación se realizará en el marco de la programación fiscal de mediano plazo, y deberá considerar criterios de sostenibilidad, eficiencia operativa, impacto en el acceso a medicamentos derivados de la sangre, y alineación con los objetivos de política pública en salud.</w:t>
      </w:r>
    </w:p>
    <w:p w14:paraId="7660D645" w14:textId="7C090634" w:rsidR="00842BD4" w:rsidRDefault="00842BD4" w:rsidP="00842BD4">
      <w:pPr>
        <w:spacing w:after="0" w:line="240" w:lineRule="auto"/>
        <w:ind w:left="-567"/>
        <w:jc w:val="both"/>
        <w:rPr>
          <w:rFonts w:ascii="Arial" w:eastAsia="Times New Roman" w:hAnsi="Arial" w:cs="Arial"/>
          <w:lang w:eastAsia="es-CO"/>
        </w:rPr>
      </w:pPr>
    </w:p>
    <w:p w14:paraId="15D1DCFF" w14:textId="37724A13" w:rsidR="00842BD4" w:rsidRDefault="00842BD4" w:rsidP="00842BD4">
      <w:pPr>
        <w:pStyle w:val="Sinespaciado"/>
        <w:ind w:left="-567"/>
        <w:rPr>
          <w:shd w:val="clear" w:color="auto" w:fill="FFFFFF"/>
        </w:rPr>
      </w:pPr>
      <w:r w:rsidRPr="00842BD4">
        <w:rPr>
          <w:rFonts w:eastAsia="Arial"/>
          <w:b/>
          <w:bCs/>
          <w:lang w:eastAsia="es-CO"/>
        </w:rPr>
        <w:t>Artículo 1</w:t>
      </w:r>
      <w:r>
        <w:rPr>
          <w:rFonts w:eastAsia="Arial"/>
          <w:b/>
          <w:bCs/>
          <w:lang w:eastAsia="es-CO"/>
        </w:rPr>
        <w:t>7</w:t>
      </w:r>
      <w:r w:rsidRPr="00842BD4">
        <w:rPr>
          <w:rFonts w:eastAsia="Arial"/>
          <w:b/>
          <w:bCs/>
          <w:lang w:eastAsia="es-CO"/>
        </w:rPr>
        <w:t>.</w:t>
      </w:r>
      <w:r>
        <w:rPr>
          <w:rFonts w:eastAsia="Arial"/>
          <w:b/>
          <w:bCs/>
          <w:lang w:eastAsia="es-CO"/>
        </w:rPr>
        <w:t xml:space="preserve"> </w:t>
      </w:r>
      <w:r w:rsidRPr="00507A9C">
        <w:rPr>
          <w:b/>
          <w:bCs/>
          <w:shd w:val="clear" w:color="auto" w:fill="FFFFFF"/>
        </w:rPr>
        <w:t>Estrategias para la obtención de hemoderivados a partir del plasma</w:t>
      </w:r>
      <w:r>
        <w:rPr>
          <w:shd w:val="clear" w:color="auto" w:fill="FFFFFF"/>
        </w:rPr>
        <w:t>:</w:t>
      </w:r>
      <w:r>
        <w:br/>
      </w:r>
      <w:r>
        <w:rPr>
          <w:shd w:val="clear" w:color="auto" w:fill="FFFFFF"/>
        </w:rPr>
        <w:t>El Instituto Nacional de Salud, en su calidad de autoridad técnico-científica en el ter</w:t>
      </w:r>
      <w:r>
        <w:rPr>
          <w:shd w:val="clear" w:color="auto" w:fill="FFFFFF"/>
        </w:rPr>
        <w:t>r</w:t>
      </w:r>
      <w:r>
        <w:rPr>
          <w:shd w:val="clear" w:color="auto" w:fill="FFFFFF"/>
        </w:rPr>
        <w:t>itori</w:t>
      </w:r>
      <w:r>
        <w:rPr>
          <w:shd w:val="clear" w:color="auto" w:fill="FFFFFF"/>
        </w:rPr>
        <w:t>o</w:t>
      </w:r>
      <w:r>
        <w:br/>
      </w:r>
      <w:r>
        <w:rPr>
          <w:shd w:val="clear" w:color="auto" w:fill="FFFFFF"/>
        </w:rPr>
        <w:t>nacional, adelantará las gestiones necesarias para la adquisición de plasma humano, con</w:t>
      </w:r>
      <w:r>
        <w:br/>
      </w:r>
      <w:r>
        <w:rPr>
          <w:shd w:val="clear" w:color="auto" w:fill="FFFFFF"/>
        </w:rPr>
        <w:t>el propósito de ser fraccionado en plantas públicas o privadas debidamente autorizadas.</w:t>
      </w:r>
      <w:r>
        <w:br/>
      </w:r>
    </w:p>
    <w:p w14:paraId="2AC89277" w14:textId="26E4B8D0" w:rsidR="00842BD4" w:rsidRDefault="00842BD4" w:rsidP="00842BD4">
      <w:pPr>
        <w:pStyle w:val="Sinespaciado"/>
        <w:ind w:left="-567"/>
        <w:rPr>
          <w:shd w:val="clear" w:color="auto" w:fill="FFFFFF"/>
        </w:rPr>
      </w:pPr>
      <w:r>
        <w:rPr>
          <w:shd w:val="clear" w:color="auto" w:fill="FFFFFF"/>
        </w:rPr>
        <w:t>La obtención de hemoderivados del plasma tendrá como finalidad garantizar su</w:t>
      </w:r>
      <w:r>
        <w:br/>
      </w:r>
      <w:r>
        <w:rPr>
          <w:shd w:val="clear" w:color="auto" w:fill="FFFFFF"/>
        </w:rPr>
        <w:t>disponibilidad y oportunidad en el sistema de salud, priorizando la atención de necesidades</w:t>
      </w:r>
      <w:r>
        <w:br/>
      </w:r>
      <w:r>
        <w:rPr>
          <w:shd w:val="clear" w:color="auto" w:fill="FFFFFF"/>
        </w:rPr>
        <w:t>terapéuticas no cubiertas de pacientes con hemofilia, enfermedades inmunológicas,</w:t>
      </w:r>
      <w:r>
        <w:br/>
      </w:r>
      <w:r>
        <w:rPr>
          <w:shd w:val="clear" w:color="auto" w:fill="FFFFFF"/>
        </w:rPr>
        <w:t>infecciones específicas, trastornos hematológicos graves, entre otros.</w:t>
      </w:r>
    </w:p>
    <w:p w14:paraId="2F92D9CE" w14:textId="2FBA904C" w:rsidR="00842BD4" w:rsidRDefault="00842BD4" w:rsidP="00842BD4">
      <w:pPr>
        <w:pStyle w:val="Sinespaciado"/>
        <w:ind w:left="-567"/>
        <w:rPr>
          <w:shd w:val="clear" w:color="auto" w:fill="FFFFFF"/>
        </w:rPr>
      </w:pPr>
    </w:p>
    <w:p w14:paraId="58798516" w14:textId="77777777" w:rsidR="00842BD4" w:rsidRDefault="00842BD4" w:rsidP="00842BD4">
      <w:pPr>
        <w:pStyle w:val="Sinespaciado"/>
        <w:ind w:left="-567"/>
        <w:rPr>
          <w:rFonts w:cs="Arial"/>
        </w:rPr>
      </w:pPr>
      <w:r w:rsidRPr="00842BD4">
        <w:rPr>
          <w:rFonts w:cs="Arial"/>
        </w:rPr>
        <w:t>Estas estrategias deberán observar los principios de bioseguridad, trazabilidad, calidad y</w:t>
      </w:r>
      <w:r w:rsidRPr="00842BD4">
        <w:rPr>
          <w:rFonts w:cs="Arial"/>
        </w:rPr>
        <w:br/>
        <w:t>eficiencia, en concordancia con los lineamientos técnicos establecidos por el Ministerio de</w:t>
      </w:r>
      <w:r w:rsidRPr="00842BD4">
        <w:rPr>
          <w:rFonts w:cs="Arial"/>
        </w:rPr>
        <w:br/>
        <w:t>Salud y Protección Social y el Instituto Nacional de Salud.</w:t>
      </w:r>
    </w:p>
    <w:p w14:paraId="3F08BC37" w14:textId="77777777" w:rsidR="00842BD4" w:rsidRDefault="00842BD4" w:rsidP="00842BD4">
      <w:pPr>
        <w:pStyle w:val="Sinespaciado"/>
        <w:ind w:left="-567"/>
        <w:rPr>
          <w:rFonts w:cs="Arial"/>
        </w:rPr>
      </w:pPr>
      <w:r w:rsidRPr="00842BD4">
        <w:rPr>
          <w:rFonts w:cs="Arial"/>
        </w:rPr>
        <w:br/>
        <w:t>El fraccionamiento del plasma se realizará, de manera prioritaria, en el territorio colombiano,</w:t>
      </w:r>
      <w:r w:rsidRPr="00842BD4">
        <w:rPr>
          <w:rFonts w:cs="Arial"/>
        </w:rPr>
        <w:br/>
        <w:t>conforme a las capacidades técnico-científicas y de infraestructura certificadas disponibles.</w:t>
      </w:r>
      <w:r w:rsidRPr="00842BD4">
        <w:rPr>
          <w:rFonts w:cs="Arial"/>
        </w:rPr>
        <w:br/>
        <w:t>Cuando dichas capacidades no sean suficientes, el Instituto Nacional de Salud podrá</w:t>
      </w:r>
      <w:r w:rsidRPr="00842BD4">
        <w:rPr>
          <w:rFonts w:cs="Arial"/>
        </w:rPr>
        <w:br/>
        <w:t>contratar el servicio en plantas públicas o privadas nacionales o en el exterior, garantizando</w:t>
      </w:r>
      <w:r w:rsidRPr="00842BD4">
        <w:rPr>
          <w:rFonts w:cs="Arial"/>
        </w:rPr>
        <w:br/>
      </w:r>
      <w:r w:rsidRPr="00842BD4">
        <w:rPr>
          <w:rFonts w:cs="Arial"/>
        </w:rPr>
        <w:lastRenderedPageBreak/>
        <w:t>el cumplimiento de estándares de calidad y seguridad.</w:t>
      </w:r>
      <w:r w:rsidRPr="00842BD4">
        <w:rPr>
          <w:rFonts w:cs="Arial"/>
        </w:rPr>
        <w:br/>
      </w:r>
    </w:p>
    <w:p w14:paraId="47A523EF" w14:textId="77777777" w:rsidR="00842BD4" w:rsidRDefault="00842BD4" w:rsidP="00842BD4">
      <w:pPr>
        <w:pStyle w:val="Sinespaciado"/>
        <w:ind w:left="-567"/>
        <w:rPr>
          <w:rFonts w:cs="Arial"/>
        </w:rPr>
      </w:pPr>
      <w:r w:rsidRPr="00842BD4">
        <w:rPr>
          <w:rFonts w:cs="Arial"/>
        </w:rPr>
        <w:t>La evaluación del lugar y modalidad de fraccionamiento deberá cumplir criterios de costo-</w:t>
      </w:r>
      <w:r w:rsidRPr="00842BD4">
        <w:rPr>
          <w:rFonts w:cs="Arial"/>
        </w:rPr>
        <w:br/>
        <w:t>beneficio para el Sistema General de Seguridad Social en Salud, incluyendo, entre otros,</w:t>
      </w:r>
      <w:r w:rsidRPr="00842BD4">
        <w:rPr>
          <w:rFonts w:cs="Arial"/>
        </w:rPr>
        <w:br/>
        <w:t>análisis comparativos de precio, calidad, oportunidad del suministro, trazabilidad,</w:t>
      </w:r>
      <w:r w:rsidRPr="00842BD4">
        <w:rPr>
          <w:rFonts w:cs="Arial"/>
        </w:rPr>
        <w:br/>
        <w:t>transferencia tecnológica y fortalecimiento de capacidades nacionales.</w:t>
      </w:r>
      <w:r w:rsidRPr="00842BD4">
        <w:rPr>
          <w:rFonts w:cs="Arial"/>
        </w:rPr>
        <w:br/>
      </w:r>
    </w:p>
    <w:p w14:paraId="00330A0B" w14:textId="77777777" w:rsidR="00842BD4" w:rsidRDefault="00842BD4" w:rsidP="00842BD4">
      <w:pPr>
        <w:pStyle w:val="Sinespaciado"/>
        <w:ind w:left="-567"/>
        <w:rPr>
          <w:rFonts w:cs="Arial"/>
        </w:rPr>
      </w:pPr>
      <w:r w:rsidRPr="00842BD4">
        <w:rPr>
          <w:rFonts w:cs="Arial"/>
          <w:b/>
          <w:bCs/>
        </w:rPr>
        <w:t>Parágrafo:</w:t>
      </w:r>
      <w:r w:rsidRPr="00842BD4">
        <w:rPr>
          <w:rFonts w:cs="Arial"/>
        </w:rPr>
        <w:t xml:space="preserve"> El Ministerio de Salud y Protección Social, en coordinación con el Instituto</w:t>
      </w:r>
      <w:r w:rsidRPr="00842BD4">
        <w:rPr>
          <w:rFonts w:cs="Arial"/>
        </w:rPr>
        <w:br/>
        <w:t>Nacional de Salud, establecerá los lineamientos técnicos, administrativos y financieros para</w:t>
      </w:r>
      <w:r w:rsidRPr="00842BD4">
        <w:rPr>
          <w:rFonts w:cs="Arial"/>
        </w:rPr>
        <w:br/>
        <w:t>la comercialización de los hemoderivados obtenidos mediante el fraccionamiento del</w:t>
      </w:r>
      <w:r w:rsidRPr="00842BD4">
        <w:rPr>
          <w:rFonts w:cs="Arial"/>
        </w:rPr>
        <w:br/>
        <w:t>plasma.</w:t>
      </w:r>
      <w:r w:rsidRPr="00842BD4">
        <w:rPr>
          <w:rFonts w:cs="Arial"/>
        </w:rPr>
        <w:br/>
      </w:r>
    </w:p>
    <w:p w14:paraId="233E92FF" w14:textId="7A95C010" w:rsidR="00842BD4" w:rsidRDefault="00842BD4" w:rsidP="00842BD4">
      <w:pPr>
        <w:pStyle w:val="Sinespaciado"/>
        <w:ind w:left="-567"/>
        <w:rPr>
          <w:rFonts w:cs="Arial"/>
        </w:rPr>
      </w:pPr>
      <w:r w:rsidRPr="00842BD4">
        <w:rPr>
          <w:rFonts w:cs="Arial"/>
        </w:rPr>
        <w:t>En todo proceso de comercialización, se deberá garantizar que al menos el veinte por ciento</w:t>
      </w:r>
      <w:r w:rsidRPr="00842BD4">
        <w:rPr>
          <w:rFonts w:cs="Arial"/>
        </w:rPr>
        <w:br/>
        <w:t>(20%) del volumen total de hemoderivados obtenidos sea destinado al Instituto Nacional de</w:t>
      </w:r>
      <w:r w:rsidRPr="00842BD4">
        <w:rPr>
          <w:rFonts w:cs="Arial"/>
        </w:rPr>
        <w:br/>
        <w:t>Salud, como mecanismo de recuperación de inversión, fortalecimiento institucional y</w:t>
      </w:r>
      <w:r w:rsidRPr="00842BD4">
        <w:rPr>
          <w:rFonts w:cs="Arial"/>
        </w:rPr>
        <w:br/>
        <w:t>sostenibilidad de las estrategias de producción pública de medicamentos</w:t>
      </w:r>
      <w:r w:rsidRPr="00842BD4">
        <w:rPr>
          <w:rFonts w:cs="Arial"/>
        </w:rPr>
        <w:br/>
        <w:t>derivados de sangre.</w:t>
      </w:r>
    </w:p>
    <w:p w14:paraId="5DF61D06" w14:textId="77777777" w:rsidR="00507A9C" w:rsidRPr="00842BD4" w:rsidRDefault="00507A9C" w:rsidP="00842BD4">
      <w:pPr>
        <w:pStyle w:val="Sinespaciado"/>
        <w:ind w:left="-567"/>
        <w:rPr>
          <w:rFonts w:cs="Arial"/>
        </w:rPr>
      </w:pPr>
    </w:p>
    <w:p w14:paraId="1D95D3AB" w14:textId="6629DAE8" w:rsidR="00BF0C76" w:rsidRPr="00842BD4" w:rsidRDefault="00BF0C76" w:rsidP="00BF0C76">
      <w:pPr>
        <w:spacing w:after="240" w:line="240" w:lineRule="atLeast"/>
        <w:ind w:left="-567" w:right="14"/>
        <w:jc w:val="both"/>
        <w:rPr>
          <w:rStyle w:val="Textoennegrita"/>
          <w:rFonts w:ascii="Arial" w:eastAsia="Arial" w:hAnsi="Arial" w:cs="Arial"/>
          <w:b w:val="0"/>
          <w:bCs w:val="0"/>
          <w:lang w:eastAsia="es-CO"/>
        </w:rPr>
      </w:pPr>
      <w:r w:rsidRPr="00842BD4">
        <w:rPr>
          <w:rFonts w:ascii="Arial" w:eastAsia="Arial" w:hAnsi="Arial" w:cs="Arial"/>
          <w:b/>
          <w:bCs/>
          <w:lang w:eastAsia="es-CO"/>
        </w:rPr>
        <w:t>Artículo 18.</w:t>
      </w:r>
      <w:r w:rsidRPr="00842BD4">
        <w:rPr>
          <w:rFonts w:ascii="Arial" w:eastAsia="Arial" w:hAnsi="Arial" w:cs="Arial"/>
          <w:b/>
          <w:bCs/>
          <w:lang w:val="es" w:eastAsia="es-CO"/>
        </w:rPr>
        <w:t xml:space="preserve"> </w:t>
      </w:r>
      <w:r w:rsidRPr="00507A9C">
        <w:rPr>
          <w:rStyle w:val="Textoennegrita"/>
          <w:rFonts w:ascii="Arial" w:hAnsi="Arial" w:cs="Arial"/>
        </w:rPr>
        <w:t>Disposiciones transitorias</w:t>
      </w:r>
      <w:r w:rsidRPr="00842BD4">
        <w:rPr>
          <w:rStyle w:val="Textoennegrita"/>
          <w:rFonts w:ascii="Arial" w:hAnsi="Arial" w:cs="Arial"/>
          <w:b w:val="0"/>
          <w:bCs w:val="0"/>
        </w:rPr>
        <w:t>.</w:t>
      </w:r>
      <w:r w:rsidRPr="00842BD4">
        <w:rPr>
          <w:rStyle w:val="Textoennegrita"/>
          <w:rFonts w:ascii="Arial" w:hAnsi="Arial" w:cs="Arial"/>
          <w:b w:val="0"/>
          <w:bCs w:val="0"/>
        </w:rPr>
        <w:t xml:space="preserve"> </w:t>
      </w:r>
    </w:p>
    <w:p w14:paraId="4C94DD31" w14:textId="1F410CD4" w:rsidR="00BF0C76" w:rsidRPr="00842BD4" w:rsidRDefault="00BF0C76" w:rsidP="00BF0C76">
      <w:pPr>
        <w:pStyle w:val="Sinespaciado"/>
        <w:ind w:left="-567"/>
        <w:rPr>
          <w:rFonts w:cs="Arial"/>
        </w:rPr>
      </w:pPr>
      <w:r w:rsidRPr="00842BD4">
        <w:rPr>
          <w:rFonts w:cs="Arial"/>
        </w:rPr>
        <w:t>Las instituciones prestadoras de servicios de salud y bancos de sangre que a la entrada en vigencia de la presente ley no cumplan con todos los requisitos establecidos, tendrán un plazo de 18 meses para su adecuación completa.</w:t>
      </w:r>
    </w:p>
    <w:p w14:paraId="5CA101BA" w14:textId="77777777" w:rsidR="00842BD4" w:rsidRPr="00842BD4" w:rsidRDefault="00842BD4" w:rsidP="00BF0C76">
      <w:pPr>
        <w:pStyle w:val="Sinespaciado"/>
        <w:ind w:left="-567"/>
        <w:rPr>
          <w:rFonts w:cs="Arial"/>
        </w:rPr>
      </w:pPr>
    </w:p>
    <w:p w14:paraId="05F68F2D" w14:textId="2EED31EC" w:rsidR="00BF0C76" w:rsidRPr="00842BD4" w:rsidRDefault="00BF0C76" w:rsidP="00BF0C76">
      <w:pPr>
        <w:pStyle w:val="Sinespaciado"/>
        <w:ind w:left="-567"/>
        <w:rPr>
          <w:rFonts w:cs="Arial"/>
        </w:rPr>
      </w:pPr>
      <w:r w:rsidRPr="00842BD4">
        <w:rPr>
          <w:rFonts w:cs="Arial"/>
        </w:rPr>
        <w:t>Durante este período de transición, deberán presentar planes de mejoramiento ante las autoridades sanitarias competentes, con cronogramas específicos de implementación.</w:t>
      </w:r>
    </w:p>
    <w:p w14:paraId="5ADAF372" w14:textId="77777777" w:rsidR="00842BD4" w:rsidRPr="00842BD4" w:rsidRDefault="00842BD4" w:rsidP="00BF0C76">
      <w:pPr>
        <w:pStyle w:val="Sinespaciado"/>
        <w:ind w:left="-567"/>
        <w:rPr>
          <w:rFonts w:cs="Arial"/>
        </w:rPr>
      </w:pPr>
    </w:p>
    <w:p w14:paraId="5EDF53D0" w14:textId="0F91914F" w:rsidR="00BF0C76" w:rsidRDefault="00BF0C76" w:rsidP="00BF0C76">
      <w:pPr>
        <w:pStyle w:val="Sinespaciado"/>
        <w:ind w:left="-567"/>
        <w:rPr>
          <w:rFonts w:cs="Arial"/>
        </w:rPr>
      </w:pPr>
      <w:r w:rsidRPr="00842BD4">
        <w:rPr>
          <w:rFonts w:cs="Arial"/>
        </w:rPr>
        <w:t>El incumplimiento injustificado de estos plazos será causal de aplicación del régimen sancionatorio vigente.</w:t>
      </w:r>
    </w:p>
    <w:p w14:paraId="5E802F02" w14:textId="7698391D" w:rsidR="00507A9C" w:rsidRDefault="00507A9C" w:rsidP="00BF0C76">
      <w:pPr>
        <w:pStyle w:val="Sinespaciado"/>
        <w:ind w:left="-567"/>
        <w:rPr>
          <w:rFonts w:cs="Arial"/>
        </w:rPr>
      </w:pPr>
    </w:p>
    <w:p w14:paraId="027A1575" w14:textId="617BEB3C" w:rsidR="00202596" w:rsidRPr="00202596" w:rsidRDefault="00202596" w:rsidP="00202596">
      <w:pPr>
        <w:spacing w:after="240" w:line="240" w:lineRule="atLeast"/>
        <w:ind w:left="-567" w:right="14"/>
        <w:jc w:val="both"/>
        <w:rPr>
          <w:rFonts w:ascii="Arial" w:eastAsia="Arial" w:hAnsi="Arial" w:cs="Arial"/>
          <w:lang w:eastAsia="es-CO"/>
        </w:rPr>
      </w:pPr>
      <w:r w:rsidRPr="00202596">
        <w:rPr>
          <w:rFonts w:ascii="Arial" w:eastAsia="Arial" w:hAnsi="Arial" w:cs="Arial"/>
          <w:b/>
          <w:lang w:val="es" w:eastAsia="es-CO"/>
        </w:rPr>
        <w:t>Artículo 1</w:t>
      </w:r>
      <w:r w:rsidR="00BF0C76">
        <w:rPr>
          <w:rFonts w:ascii="Arial" w:eastAsia="Arial" w:hAnsi="Arial" w:cs="Arial"/>
          <w:b/>
          <w:lang w:val="es" w:eastAsia="es-CO"/>
        </w:rPr>
        <w:t>9</w:t>
      </w:r>
      <w:r w:rsidRPr="00202596">
        <w:rPr>
          <w:rFonts w:ascii="Arial" w:eastAsia="Arial" w:hAnsi="Arial" w:cs="Arial"/>
          <w:b/>
          <w:lang w:val="es" w:eastAsia="es-CO"/>
        </w:rPr>
        <w:t xml:space="preserve">. Vigencia. </w:t>
      </w:r>
      <w:r w:rsidRPr="00202596">
        <w:rPr>
          <w:rFonts w:ascii="Arial" w:eastAsia="Arial" w:hAnsi="Arial" w:cs="Arial"/>
          <w:lang w:val="es" w:eastAsia="es-CO"/>
        </w:rPr>
        <w:t>La presente ley rige a partir de su publicación</w:t>
      </w:r>
      <w:r w:rsidR="000D6D79">
        <w:rPr>
          <w:rFonts w:ascii="Arial" w:eastAsia="Arial" w:hAnsi="Arial" w:cs="Arial"/>
          <w:lang w:val="es" w:eastAsia="es-CO"/>
        </w:rPr>
        <w:t xml:space="preserve"> y deroga todas las disposiciones que le sean contrarias</w:t>
      </w:r>
      <w:r w:rsidRPr="00202596">
        <w:rPr>
          <w:rFonts w:ascii="Arial" w:eastAsia="Arial" w:hAnsi="Arial" w:cs="Arial"/>
          <w:lang w:val="es" w:eastAsia="es-CO"/>
        </w:rPr>
        <w:t>.</w:t>
      </w:r>
    </w:p>
    <w:p w14:paraId="1A7AB629" w14:textId="77777777" w:rsidR="003343A2" w:rsidRDefault="003343A2" w:rsidP="003343A2">
      <w:pPr>
        <w:pStyle w:val="Sinespaciado"/>
      </w:pPr>
    </w:p>
    <w:p w14:paraId="454954DE" w14:textId="77777777" w:rsidR="003206AC" w:rsidRPr="003206AC" w:rsidRDefault="003206AC" w:rsidP="003206AC">
      <w:pPr>
        <w:pStyle w:val="Sinespaciado"/>
        <w:rPr>
          <w:rFonts w:eastAsia="Arial" w:cs="Arial"/>
          <w:b/>
          <w:color w:val="000000"/>
        </w:rPr>
      </w:pPr>
      <w:r w:rsidRPr="003206AC">
        <w:rPr>
          <w:rFonts w:eastAsia="Arial" w:cs="Arial"/>
          <w:b/>
          <w:color w:val="000000"/>
        </w:rPr>
        <w:br/>
      </w:r>
    </w:p>
    <w:p w14:paraId="2949B4EC" w14:textId="77777777" w:rsidR="003206AC" w:rsidRPr="003206AC" w:rsidRDefault="003206AC" w:rsidP="003206AC">
      <w:pPr>
        <w:pStyle w:val="Sinespaciado"/>
        <w:rPr>
          <w:rFonts w:eastAsia="Arial" w:cs="Arial"/>
          <w:b/>
          <w:color w:val="000000"/>
        </w:rPr>
      </w:pPr>
    </w:p>
    <w:p w14:paraId="0BAE8745" w14:textId="712A20A5" w:rsidR="003206AC" w:rsidRPr="00E73C2A" w:rsidRDefault="00251AB4" w:rsidP="00E73C2A">
      <w:pPr>
        <w:pStyle w:val="Sinespaciado"/>
        <w:rPr>
          <w:rFonts w:cs="Arial"/>
          <w:b/>
          <w:bCs/>
        </w:rPr>
      </w:pPr>
      <w:r w:rsidRPr="00E73C2A">
        <w:rPr>
          <w:rFonts w:cs="Arial"/>
          <w:b/>
          <w:bCs/>
        </w:rPr>
        <w:t>Camilo Esteban Ávila Morales</w:t>
      </w:r>
      <w:r w:rsidR="00E73C2A" w:rsidRPr="00E73C2A">
        <w:rPr>
          <w:rFonts w:cs="Arial"/>
          <w:b/>
          <w:bCs/>
        </w:rPr>
        <w:tab/>
      </w:r>
      <w:r w:rsidR="00E73C2A" w:rsidRPr="00E73C2A">
        <w:rPr>
          <w:rFonts w:cs="Arial"/>
          <w:b/>
          <w:bCs/>
        </w:rPr>
        <w:tab/>
      </w:r>
      <w:r w:rsidR="00E73C2A" w:rsidRPr="00E73C2A">
        <w:rPr>
          <w:rFonts w:cs="Arial"/>
          <w:b/>
          <w:bCs/>
        </w:rPr>
        <w:tab/>
      </w:r>
      <w:r w:rsidR="00E73C2A" w:rsidRPr="00E73C2A">
        <w:rPr>
          <w:rFonts w:cs="Arial"/>
          <w:b/>
          <w:bCs/>
        </w:rPr>
        <w:tab/>
      </w:r>
      <w:r w:rsidR="00507A9C">
        <w:rPr>
          <w:rFonts w:cs="Arial"/>
          <w:b/>
          <w:bCs/>
        </w:rPr>
        <w:t>Martha Lisbeth Alfonso Jurado</w:t>
      </w:r>
      <w:r w:rsidR="003206AC" w:rsidRPr="00E73C2A">
        <w:rPr>
          <w:rFonts w:cs="Arial"/>
          <w:b/>
          <w:bCs/>
        </w:rPr>
        <w:tab/>
      </w:r>
    </w:p>
    <w:p w14:paraId="41882B1F" w14:textId="02A2F255" w:rsidR="003206AC" w:rsidRPr="00E73C2A" w:rsidRDefault="00251AB4" w:rsidP="00E73C2A">
      <w:pPr>
        <w:pStyle w:val="Sinespaciado"/>
        <w:rPr>
          <w:rFonts w:cs="Arial"/>
        </w:rPr>
      </w:pPr>
      <w:r w:rsidRPr="00E73C2A">
        <w:rPr>
          <w:rFonts w:cs="Arial"/>
        </w:rPr>
        <w:t>Presidente</w:t>
      </w:r>
      <w:r w:rsidR="00E73C2A" w:rsidRPr="00E73C2A">
        <w:rPr>
          <w:rFonts w:cs="Arial"/>
        </w:rPr>
        <w:tab/>
      </w:r>
      <w:r w:rsidR="00E73C2A" w:rsidRPr="00E73C2A">
        <w:rPr>
          <w:rFonts w:cs="Arial"/>
        </w:rPr>
        <w:tab/>
      </w:r>
      <w:r w:rsidR="00E73C2A" w:rsidRPr="00E73C2A">
        <w:rPr>
          <w:rFonts w:cs="Arial"/>
        </w:rPr>
        <w:tab/>
      </w:r>
      <w:r w:rsidR="00E73C2A" w:rsidRPr="00E73C2A">
        <w:rPr>
          <w:rFonts w:cs="Arial"/>
        </w:rPr>
        <w:tab/>
      </w:r>
      <w:r w:rsidR="00E73C2A" w:rsidRPr="00E73C2A">
        <w:rPr>
          <w:rFonts w:cs="Arial"/>
        </w:rPr>
        <w:tab/>
      </w:r>
      <w:r w:rsidR="00E73C2A" w:rsidRPr="00E73C2A">
        <w:rPr>
          <w:rFonts w:cs="Arial"/>
        </w:rPr>
        <w:tab/>
      </w:r>
      <w:r w:rsidR="00E73C2A" w:rsidRPr="00E73C2A">
        <w:rPr>
          <w:rFonts w:cs="Arial"/>
        </w:rPr>
        <w:tab/>
        <w:t>Coordinador Ponente</w:t>
      </w:r>
      <w:r w:rsidR="003206AC" w:rsidRPr="00E73C2A">
        <w:rPr>
          <w:rFonts w:cs="Arial"/>
        </w:rPr>
        <w:tab/>
        <w:t xml:space="preserve">                                   </w:t>
      </w:r>
      <w:r w:rsidR="003206AC" w:rsidRPr="00E73C2A">
        <w:rPr>
          <w:rFonts w:cs="Arial"/>
        </w:rPr>
        <w:tab/>
      </w:r>
      <w:r w:rsidR="003206AC" w:rsidRPr="00E73C2A">
        <w:rPr>
          <w:rFonts w:cs="Arial"/>
        </w:rPr>
        <w:tab/>
      </w:r>
      <w:r w:rsidRPr="00E73C2A">
        <w:rPr>
          <w:rFonts w:cs="Arial"/>
        </w:rPr>
        <w:tab/>
      </w:r>
      <w:r w:rsidRPr="00E73C2A">
        <w:rPr>
          <w:rFonts w:cs="Arial"/>
        </w:rPr>
        <w:tab/>
      </w:r>
    </w:p>
    <w:p w14:paraId="1FEB21ED" w14:textId="331E58B9" w:rsidR="003206AC" w:rsidRDefault="003206AC" w:rsidP="004E40E9">
      <w:pPr>
        <w:pStyle w:val="Sinespaciado"/>
        <w:rPr>
          <w:rFonts w:cs="Arial"/>
          <w:b/>
          <w:bCs/>
        </w:rPr>
      </w:pPr>
    </w:p>
    <w:p w14:paraId="2E3E8DE5" w14:textId="77777777" w:rsidR="00E41EFE" w:rsidRPr="00E73C2A" w:rsidRDefault="00E41EFE" w:rsidP="004E40E9">
      <w:pPr>
        <w:pStyle w:val="Sinespaciado"/>
        <w:rPr>
          <w:rFonts w:cs="Arial"/>
          <w:b/>
          <w:bCs/>
        </w:rPr>
      </w:pPr>
    </w:p>
    <w:p w14:paraId="5E6A55CD" w14:textId="109A6D2B" w:rsidR="00E73C2A" w:rsidRDefault="00E73C2A" w:rsidP="004E40E9">
      <w:pPr>
        <w:pStyle w:val="Sinespaciado"/>
        <w:rPr>
          <w:rFonts w:cs="Arial"/>
          <w:b/>
          <w:bCs/>
        </w:rPr>
      </w:pPr>
    </w:p>
    <w:p w14:paraId="0F5ABEED" w14:textId="77777777" w:rsidR="00E73C2A" w:rsidRPr="00E73C2A" w:rsidRDefault="00E73C2A" w:rsidP="004E40E9">
      <w:pPr>
        <w:pStyle w:val="Sinespaciado"/>
        <w:rPr>
          <w:rFonts w:cs="Arial"/>
          <w:b/>
          <w:bCs/>
        </w:rPr>
      </w:pPr>
    </w:p>
    <w:p w14:paraId="35A7B6CF" w14:textId="591E98B1" w:rsidR="004E40E9" w:rsidRDefault="004E40E9" w:rsidP="004E40E9">
      <w:pPr>
        <w:pStyle w:val="Sinespaciado"/>
        <w:jc w:val="center"/>
        <w:rPr>
          <w:b/>
          <w:bCs/>
        </w:rPr>
      </w:pPr>
      <w:r>
        <w:rPr>
          <w:b/>
          <w:bCs/>
        </w:rPr>
        <w:t>Ricardo Alfonso Albornoz Barreto</w:t>
      </w:r>
    </w:p>
    <w:p w14:paraId="5F81C947" w14:textId="6BBF14DB" w:rsidR="00835180" w:rsidRPr="00835180" w:rsidRDefault="004E40E9" w:rsidP="00835180">
      <w:pPr>
        <w:pStyle w:val="Sinespaciado"/>
        <w:jc w:val="center"/>
      </w:pPr>
      <w:r>
        <w:t>Secretario</w:t>
      </w:r>
      <w:r w:rsidR="00835180">
        <w:tab/>
      </w:r>
    </w:p>
    <w:sectPr w:rsidR="00835180" w:rsidRPr="00835180" w:rsidSect="00507A9C">
      <w:headerReference w:type="default" r:id="rId9"/>
      <w:footerReference w:type="default" r:id="rId10"/>
      <w:type w:val="continuous"/>
      <w:pgSz w:w="12240" w:h="15840" w:code="1"/>
      <w:pgMar w:top="1701" w:right="1021" w:bottom="567" w:left="1701" w:header="56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54B7C" w14:textId="77777777" w:rsidR="008818F4" w:rsidRDefault="008818F4">
      <w:pPr>
        <w:spacing w:after="0" w:line="240" w:lineRule="auto"/>
      </w:pPr>
      <w:r>
        <w:separator/>
      </w:r>
    </w:p>
  </w:endnote>
  <w:endnote w:type="continuationSeparator" w:id="0">
    <w:p w14:paraId="27C60DB8" w14:textId="77777777" w:rsidR="008818F4" w:rsidRDefault="00881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Pinyon Script">
    <w:altName w:val="Calibri"/>
    <w:charset w:val="00"/>
    <w:family w:val="auto"/>
    <w:pitch w:val="default"/>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E230" w14:textId="43338B19" w:rsidR="00197D9B" w:rsidRPr="00202596" w:rsidRDefault="0083265E">
    <w:pPr>
      <w:pStyle w:val="Piedepgina"/>
      <w:jc w:val="center"/>
      <w:rPr>
        <w:rFonts w:ascii="Arial" w:hAnsi="Arial" w:cs="Arial"/>
        <w:sz w:val="14"/>
        <w:szCs w:val="14"/>
        <w:lang w:val="es-ES"/>
      </w:rPr>
    </w:pPr>
    <w:r w:rsidRPr="00202596">
      <w:rPr>
        <w:rFonts w:ascii="Arial" w:hAnsi="Arial" w:cs="Arial"/>
        <w:sz w:val="14"/>
        <w:szCs w:val="14"/>
        <w:lang w:val="es-ES"/>
      </w:rPr>
      <w:t xml:space="preserve">Texto definitivo del proyecto de ley </w:t>
    </w:r>
    <w:r w:rsidR="00197D9B" w:rsidRPr="00202596">
      <w:rPr>
        <w:rFonts w:ascii="Arial" w:hAnsi="Arial" w:cs="Arial"/>
        <w:sz w:val="14"/>
        <w:szCs w:val="14"/>
        <w:lang w:val="es-ES"/>
      </w:rPr>
      <w:t>N</w:t>
    </w:r>
    <w:r w:rsidR="00197D9B" w:rsidRPr="00202596">
      <w:rPr>
        <w:rFonts w:ascii="Arial" w:eastAsia="Arial MT" w:hAnsi="Arial" w:cs="Arial"/>
        <w:bCs/>
        <w:sz w:val="14"/>
        <w:szCs w:val="14"/>
        <w:lang w:val="es-ES" w:eastAsia="en-US"/>
      </w:rPr>
      <w:t>o. 624 de 2025 Cámara – 184 de 2024 Senado</w:t>
    </w:r>
    <w:r w:rsidR="00197D9B" w:rsidRPr="00202596">
      <w:rPr>
        <w:rFonts w:ascii="Arial" w:hAnsi="Arial" w:cs="Arial"/>
        <w:sz w:val="14"/>
        <w:szCs w:val="14"/>
        <w:lang w:val="es-ES"/>
      </w:rPr>
      <w:t xml:space="preserve"> </w:t>
    </w:r>
    <w:r w:rsidRPr="00202596">
      <w:rPr>
        <w:rFonts w:ascii="Arial" w:hAnsi="Arial" w:cs="Arial"/>
        <w:sz w:val="14"/>
        <w:szCs w:val="14"/>
        <w:lang w:val="es-ES"/>
      </w:rPr>
      <w:t xml:space="preserve">aprobado en Comisión </w:t>
    </w:r>
    <w:r w:rsidR="00197D9B" w:rsidRPr="00202596">
      <w:rPr>
        <w:rFonts w:ascii="Arial" w:hAnsi="Arial" w:cs="Arial"/>
        <w:sz w:val="14"/>
        <w:szCs w:val="14"/>
        <w:lang w:val="es-ES"/>
      </w:rPr>
      <w:t>–</w:t>
    </w:r>
    <w:r w:rsidRPr="00202596">
      <w:rPr>
        <w:rFonts w:ascii="Arial" w:hAnsi="Arial" w:cs="Arial"/>
        <w:sz w:val="14"/>
        <w:szCs w:val="14"/>
        <w:lang w:val="es-ES"/>
      </w:rPr>
      <w:t xml:space="preserve"> </w:t>
    </w:r>
  </w:p>
  <w:p w14:paraId="667BE7D8" w14:textId="5105B086" w:rsidR="0083265E" w:rsidRPr="00202596" w:rsidRDefault="0083265E">
    <w:pPr>
      <w:pStyle w:val="Piedepgina"/>
      <w:jc w:val="center"/>
      <w:rPr>
        <w:rFonts w:ascii="Arial" w:hAnsi="Arial" w:cs="Arial"/>
        <w:sz w:val="14"/>
        <w:szCs w:val="14"/>
      </w:rPr>
    </w:pPr>
    <w:r w:rsidRPr="00202596">
      <w:rPr>
        <w:rFonts w:ascii="Arial" w:hAnsi="Arial" w:cs="Arial"/>
        <w:sz w:val="14"/>
        <w:szCs w:val="14"/>
        <w:lang w:val="es-ES"/>
      </w:rPr>
      <w:t xml:space="preserve">Página </w:t>
    </w:r>
    <w:r w:rsidRPr="00202596">
      <w:rPr>
        <w:rFonts w:ascii="Arial" w:hAnsi="Arial" w:cs="Arial"/>
        <w:sz w:val="14"/>
        <w:szCs w:val="14"/>
      </w:rPr>
      <w:fldChar w:fldCharType="begin"/>
    </w:r>
    <w:r w:rsidRPr="00202596">
      <w:rPr>
        <w:rFonts w:ascii="Arial" w:hAnsi="Arial" w:cs="Arial"/>
        <w:sz w:val="14"/>
        <w:szCs w:val="14"/>
      </w:rPr>
      <w:instrText>PAGE  \* Arabic  \* MERGEFORMAT</w:instrText>
    </w:r>
    <w:r w:rsidRPr="00202596">
      <w:rPr>
        <w:rFonts w:ascii="Arial" w:hAnsi="Arial" w:cs="Arial"/>
        <w:sz w:val="14"/>
        <w:szCs w:val="14"/>
      </w:rPr>
      <w:fldChar w:fldCharType="separate"/>
    </w:r>
    <w:r w:rsidR="007D2F62" w:rsidRPr="00202596">
      <w:rPr>
        <w:rFonts w:ascii="Arial" w:hAnsi="Arial" w:cs="Arial"/>
        <w:noProof/>
        <w:sz w:val="14"/>
        <w:szCs w:val="14"/>
        <w:lang w:val="es-ES"/>
      </w:rPr>
      <w:t>1</w:t>
    </w:r>
    <w:r w:rsidRPr="00202596">
      <w:rPr>
        <w:rFonts w:ascii="Arial" w:hAnsi="Arial" w:cs="Arial"/>
        <w:sz w:val="14"/>
        <w:szCs w:val="14"/>
      </w:rPr>
      <w:fldChar w:fldCharType="end"/>
    </w:r>
    <w:r w:rsidRPr="00202596">
      <w:rPr>
        <w:rFonts w:ascii="Arial" w:hAnsi="Arial" w:cs="Arial"/>
        <w:sz w:val="14"/>
        <w:szCs w:val="14"/>
        <w:lang w:val="es-ES"/>
      </w:rPr>
      <w:t xml:space="preserve"> de </w:t>
    </w:r>
    <w:r w:rsidRPr="00202596">
      <w:rPr>
        <w:rFonts w:ascii="Arial" w:hAnsi="Arial" w:cs="Arial"/>
        <w:sz w:val="14"/>
        <w:szCs w:val="14"/>
      </w:rPr>
      <w:fldChar w:fldCharType="begin"/>
    </w:r>
    <w:r w:rsidRPr="00202596">
      <w:rPr>
        <w:rFonts w:ascii="Arial" w:hAnsi="Arial" w:cs="Arial"/>
        <w:sz w:val="14"/>
        <w:szCs w:val="14"/>
      </w:rPr>
      <w:instrText>NUMPAGES  \* Arabic  \* MERGEFORMAT</w:instrText>
    </w:r>
    <w:r w:rsidRPr="00202596">
      <w:rPr>
        <w:rFonts w:ascii="Arial" w:hAnsi="Arial" w:cs="Arial"/>
        <w:sz w:val="14"/>
        <w:szCs w:val="14"/>
      </w:rPr>
      <w:fldChar w:fldCharType="separate"/>
    </w:r>
    <w:r w:rsidR="007D2F62" w:rsidRPr="00202596">
      <w:rPr>
        <w:rFonts w:ascii="Arial" w:hAnsi="Arial" w:cs="Arial"/>
        <w:noProof/>
        <w:sz w:val="14"/>
        <w:szCs w:val="14"/>
        <w:lang w:val="es-ES"/>
      </w:rPr>
      <w:t>1</w:t>
    </w:r>
    <w:r w:rsidRPr="00202596">
      <w:rPr>
        <w:rFonts w:ascii="Arial" w:hAnsi="Arial" w:cs="Arial"/>
        <w:sz w:val="14"/>
        <w:szCs w:val="14"/>
      </w:rPr>
      <w:fldChar w:fldCharType="end"/>
    </w:r>
  </w:p>
  <w:p w14:paraId="3A7A36F1" w14:textId="77777777" w:rsidR="0083265E" w:rsidRDefault="0083265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B8645" w14:textId="77777777" w:rsidR="008818F4" w:rsidRDefault="008818F4">
      <w:pPr>
        <w:spacing w:after="0" w:line="240" w:lineRule="auto"/>
      </w:pPr>
      <w:r>
        <w:separator/>
      </w:r>
    </w:p>
  </w:footnote>
  <w:footnote w:type="continuationSeparator" w:id="0">
    <w:p w14:paraId="70A9B77C" w14:textId="77777777" w:rsidR="008818F4" w:rsidRDefault="00881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00CD0" w14:textId="77777777" w:rsidR="0083265E" w:rsidRDefault="0083265E">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14:anchorId="145CB959" wp14:editId="443F35BE">
          <wp:simplePos x="0" y="0"/>
          <wp:positionH relativeFrom="column">
            <wp:posOffset>1980565</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1687"/>
    <w:multiLevelType w:val="hybridMultilevel"/>
    <w:tmpl w:val="F8A6B5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18E1770"/>
    <w:multiLevelType w:val="hybridMultilevel"/>
    <w:tmpl w:val="39CE0550"/>
    <w:lvl w:ilvl="0" w:tplc="73609C0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7F83E89"/>
    <w:multiLevelType w:val="hybridMultilevel"/>
    <w:tmpl w:val="C14E8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9A97CDC"/>
    <w:multiLevelType w:val="hybridMultilevel"/>
    <w:tmpl w:val="CC682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F8662B8"/>
    <w:multiLevelType w:val="hybridMultilevel"/>
    <w:tmpl w:val="0D105E0C"/>
    <w:lvl w:ilvl="0" w:tplc="33E8D7D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09D291C"/>
    <w:multiLevelType w:val="hybridMultilevel"/>
    <w:tmpl w:val="C826F7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3A6025E2"/>
    <w:multiLevelType w:val="hybridMultilevel"/>
    <w:tmpl w:val="1A42A682"/>
    <w:lvl w:ilvl="0" w:tplc="8D86C9E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CC22E01"/>
    <w:multiLevelType w:val="hybridMultilevel"/>
    <w:tmpl w:val="27401A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4954694"/>
    <w:multiLevelType w:val="hybridMultilevel"/>
    <w:tmpl w:val="BF604C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5A22404"/>
    <w:multiLevelType w:val="hybridMultilevel"/>
    <w:tmpl w:val="E9E486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1D929B1"/>
    <w:multiLevelType w:val="hybridMultilevel"/>
    <w:tmpl w:val="6722FB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3E25D50"/>
    <w:multiLevelType w:val="hybridMultilevel"/>
    <w:tmpl w:val="3C6417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71F186A"/>
    <w:multiLevelType w:val="multilevel"/>
    <w:tmpl w:val="EDF465B8"/>
    <w:lvl w:ilvl="0">
      <w:start w:val="1"/>
      <w:numFmt w:val="upperRoman"/>
      <w:lvlText w:val="%1."/>
      <w:lvlJc w:val="left"/>
      <w:pPr>
        <w:ind w:left="0" w:firstLine="0"/>
      </w:pPr>
      <w:rPr>
        <w:rFonts w:hint="default"/>
        <w:b/>
        <w:i w:val="0"/>
        <w:sz w:val="22"/>
        <w:szCs w:val="28"/>
        <w:vertAlign w:val="baseline"/>
      </w:rPr>
    </w:lvl>
    <w:lvl w:ilvl="1">
      <w:start w:val="1"/>
      <w:numFmt w:val="decimal"/>
      <w:lvlText w:val="%2."/>
      <w:lvlJc w:val="left"/>
      <w:pPr>
        <w:ind w:left="454" w:hanging="454"/>
      </w:pPr>
      <w:rPr>
        <w:rFonts w:ascii="Arial" w:eastAsia="Arial" w:hAnsi="Arial" w:cs="Arial" w:hint="default"/>
        <w:b w:val="0"/>
        <w:i w:val="0"/>
        <w:sz w:val="22"/>
        <w:szCs w:val="24"/>
        <w:vertAlign w:val="baseline"/>
      </w:rPr>
    </w:lvl>
    <w:lvl w:ilvl="2">
      <w:start w:val="1"/>
      <w:numFmt w:val="bullet"/>
      <w:lvlText w:val="●"/>
      <w:lvlJc w:val="left"/>
      <w:pPr>
        <w:ind w:left="454" w:hanging="454"/>
      </w:pPr>
      <w:rPr>
        <w:rFonts w:ascii="Noto Sans" w:eastAsia="Noto Sans" w:hAnsi="Noto Sans" w:cs="Noto Sans" w:hint="default"/>
        <w:b w:val="0"/>
        <w:i w:val="0"/>
        <w:color w:val="000000"/>
        <w:vertAlign w:val="baseline"/>
      </w:rPr>
    </w:lvl>
    <w:lvl w:ilvl="3">
      <w:start w:val="1"/>
      <w:numFmt w:val="bullet"/>
      <w:lvlText w:val="−"/>
      <w:lvlJc w:val="left"/>
      <w:pPr>
        <w:ind w:left="454" w:hanging="454"/>
      </w:pPr>
      <w:rPr>
        <w:rFonts w:ascii="Noto Sans" w:eastAsia="Noto Sans" w:hAnsi="Noto Sans" w:cs="Noto Sans" w:hint="default"/>
        <w:b w:val="0"/>
        <w:i w:val="0"/>
        <w:color w:val="000000"/>
        <w:vertAlign w:val="baseline"/>
      </w:rPr>
    </w:lvl>
    <w:lvl w:ilvl="4">
      <w:start w:val="1"/>
      <w:numFmt w:val="upperLetter"/>
      <w:lvlText w:val="%5. "/>
      <w:lvlJc w:val="left"/>
      <w:pPr>
        <w:ind w:left="1134" w:hanging="567"/>
      </w:pPr>
      <w:rPr>
        <w:rFonts w:hint="default"/>
        <w:b/>
        <w:i w:val="0"/>
        <w:color w:val="000000"/>
        <w:vertAlign w:val="baseline"/>
      </w:rPr>
    </w:lvl>
    <w:lvl w:ilvl="5">
      <w:start w:val="1"/>
      <w:numFmt w:val="lowerLetter"/>
      <w:lvlText w:val="%6)"/>
      <w:lvlJc w:val="left"/>
      <w:pPr>
        <w:ind w:left="1588" w:hanging="454"/>
      </w:pPr>
      <w:rPr>
        <w:rFonts w:hint="default"/>
        <w:b/>
        <w:i w:val="0"/>
        <w:color w:val="000000"/>
        <w:vertAlign w:val="baseline"/>
      </w:rPr>
    </w:lvl>
    <w:lvl w:ilvl="6">
      <w:start w:val="1"/>
      <w:numFmt w:val="bullet"/>
      <w:lvlText w:val="●"/>
      <w:lvlJc w:val="left"/>
      <w:pPr>
        <w:ind w:left="2155" w:hanging="567"/>
      </w:pPr>
      <w:rPr>
        <w:rFonts w:ascii="Noto Sans" w:eastAsia="Noto Sans" w:hAnsi="Noto Sans" w:cs="Noto Sans" w:hint="default"/>
        <w:color w:val="000000"/>
        <w:vertAlign w:val="baseline"/>
      </w:rPr>
    </w:lvl>
    <w:lvl w:ilvl="7">
      <w:start w:val="1"/>
      <w:numFmt w:val="bullet"/>
      <w:lvlText w:val="−"/>
      <w:lvlJc w:val="left"/>
      <w:pPr>
        <w:ind w:left="2155" w:hanging="567"/>
      </w:pPr>
      <w:rPr>
        <w:rFonts w:ascii="Noto Sans" w:eastAsia="Noto Sans" w:hAnsi="Noto Sans" w:cs="Noto Sans" w:hint="default"/>
        <w:color w:val="000000"/>
        <w:vertAlign w:val="baseline"/>
      </w:rPr>
    </w:lvl>
    <w:lvl w:ilvl="8">
      <w:start w:val="1"/>
      <w:numFmt w:val="decimal"/>
      <w:lvlText w:val="NOTA:"/>
      <w:lvlJc w:val="left"/>
      <w:pPr>
        <w:ind w:left="0" w:firstLine="0"/>
      </w:pPr>
      <w:rPr>
        <w:rFonts w:hint="default"/>
        <w:b/>
        <w:i w:val="0"/>
        <w:vertAlign w:val="baseline"/>
      </w:rPr>
    </w:lvl>
  </w:abstractNum>
  <w:abstractNum w:abstractNumId="21" w15:restartNumberingAfterBreak="0">
    <w:nsid w:val="5A6227FF"/>
    <w:multiLevelType w:val="hybridMultilevel"/>
    <w:tmpl w:val="5AEEB1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BB55D6A"/>
    <w:multiLevelType w:val="hybridMultilevel"/>
    <w:tmpl w:val="89BEB6CA"/>
    <w:lvl w:ilvl="0" w:tplc="240A000F">
      <w:start w:val="1"/>
      <w:numFmt w:val="decimal"/>
      <w:lvlText w:val="%1."/>
      <w:lvlJc w:val="left"/>
      <w:pPr>
        <w:ind w:left="720" w:hanging="360"/>
      </w:pPr>
    </w:lvl>
    <w:lvl w:ilvl="1" w:tplc="D7CA0348">
      <w:numFmt w:val="bullet"/>
      <w:lvlText w:val=""/>
      <w:lvlJc w:val="left"/>
      <w:pPr>
        <w:ind w:left="1440" w:hanging="360"/>
      </w:pPr>
      <w:rPr>
        <w:rFonts w:ascii="Symbol" w:eastAsia="Calibri" w:hAnsi="Symbol"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E476488"/>
    <w:multiLevelType w:val="hybridMultilevel"/>
    <w:tmpl w:val="5EB600B8"/>
    <w:lvl w:ilvl="0" w:tplc="240A000F">
      <w:start w:val="1"/>
      <w:numFmt w:val="decimal"/>
      <w:lvlText w:val="%1."/>
      <w:lvlJc w:val="left"/>
      <w:pPr>
        <w:ind w:left="720" w:hanging="360"/>
      </w:pPr>
    </w:lvl>
    <w:lvl w:ilvl="1" w:tplc="CC48612E">
      <w:numFmt w:val="bullet"/>
      <w:lvlText w:val=""/>
      <w:lvlJc w:val="left"/>
      <w:pPr>
        <w:ind w:left="1440" w:hanging="360"/>
      </w:pPr>
      <w:rPr>
        <w:rFonts w:ascii="Symbol" w:eastAsia="Calibri" w:hAnsi="Symbol"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ECD0FB7"/>
    <w:multiLevelType w:val="hybridMultilevel"/>
    <w:tmpl w:val="2FC885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1C552CF"/>
    <w:multiLevelType w:val="hybridMultilevel"/>
    <w:tmpl w:val="3BDCCA0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4F934D0"/>
    <w:multiLevelType w:val="hybridMultilevel"/>
    <w:tmpl w:val="960A6F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C576BBF"/>
    <w:multiLevelType w:val="hybridMultilevel"/>
    <w:tmpl w:val="762E1CB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C6E6BFB"/>
    <w:multiLevelType w:val="hybridMultilevel"/>
    <w:tmpl w:val="7C2620F6"/>
    <w:lvl w:ilvl="0" w:tplc="240A0019">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E205ABA"/>
    <w:multiLevelType w:val="hybridMultilevel"/>
    <w:tmpl w:val="ADE00FC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11"/>
  </w:num>
  <w:num w:numId="3">
    <w:abstractNumId w:val="2"/>
  </w:num>
  <w:num w:numId="4">
    <w:abstractNumId w:val="23"/>
  </w:num>
  <w:num w:numId="5">
    <w:abstractNumId w:val="10"/>
  </w:num>
  <w:num w:numId="6">
    <w:abstractNumId w:val="13"/>
  </w:num>
  <w:num w:numId="7">
    <w:abstractNumId w:val="1"/>
  </w:num>
  <w:num w:numId="8">
    <w:abstractNumId w:val="8"/>
  </w:num>
  <w:num w:numId="9">
    <w:abstractNumId w:val="28"/>
  </w:num>
  <w:num w:numId="10">
    <w:abstractNumId w:val="16"/>
  </w:num>
  <w:num w:numId="11">
    <w:abstractNumId w:val="3"/>
  </w:num>
  <w:num w:numId="12">
    <w:abstractNumId w:val="29"/>
  </w:num>
  <w:num w:numId="13">
    <w:abstractNumId w:val="25"/>
  </w:num>
  <w:num w:numId="14">
    <w:abstractNumId w:val="27"/>
  </w:num>
  <w:num w:numId="15">
    <w:abstractNumId w:val="19"/>
  </w:num>
  <w:num w:numId="16">
    <w:abstractNumId w:val="6"/>
  </w:num>
  <w:num w:numId="17">
    <w:abstractNumId w:val="17"/>
  </w:num>
  <w:num w:numId="18">
    <w:abstractNumId w:val="4"/>
  </w:num>
  <w:num w:numId="19">
    <w:abstractNumId w:val="14"/>
  </w:num>
  <w:num w:numId="20">
    <w:abstractNumId w:val="30"/>
  </w:num>
  <w:num w:numId="21">
    <w:abstractNumId w:val="26"/>
  </w:num>
  <w:num w:numId="22">
    <w:abstractNumId w:val="0"/>
  </w:num>
  <w:num w:numId="23">
    <w:abstractNumId w:val="18"/>
  </w:num>
  <w:num w:numId="24">
    <w:abstractNumId w:val="12"/>
  </w:num>
  <w:num w:numId="25">
    <w:abstractNumId w:val="20"/>
  </w:num>
  <w:num w:numId="26">
    <w:abstractNumId w:val="7"/>
  </w:num>
  <w:num w:numId="27">
    <w:abstractNumId w:val="31"/>
  </w:num>
  <w:num w:numId="28">
    <w:abstractNumId w:val="22"/>
  </w:num>
  <w:num w:numId="29">
    <w:abstractNumId w:val="24"/>
  </w:num>
  <w:num w:numId="30">
    <w:abstractNumId w:val="15"/>
  </w:num>
  <w:num w:numId="31">
    <w:abstractNumId w:val="21"/>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D93"/>
    <w:rsid w:val="00004D26"/>
    <w:rsid w:val="00006060"/>
    <w:rsid w:val="000218A0"/>
    <w:rsid w:val="00035A12"/>
    <w:rsid w:val="000D0321"/>
    <w:rsid w:val="000D4049"/>
    <w:rsid w:val="000D59FE"/>
    <w:rsid w:val="000D6D79"/>
    <w:rsid w:val="000E596E"/>
    <w:rsid w:val="000F3249"/>
    <w:rsid w:val="000F3F41"/>
    <w:rsid w:val="00102AC9"/>
    <w:rsid w:val="00106067"/>
    <w:rsid w:val="00123872"/>
    <w:rsid w:val="001303C3"/>
    <w:rsid w:val="00134E23"/>
    <w:rsid w:val="00141A7E"/>
    <w:rsid w:val="00145732"/>
    <w:rsid w:val="00180E10"/>
    <w:rsid w:val="001826C3"/>
    <w:rsid w:val="00193E1C"/>
    <w:rsid w:val="00197D9B"/>
    <w:rsid w:val="001A3661"/>
    <w:rsid w:val="001A5585"/>
    <w:rsid w:val="001B1C28"/>
    <w:rsid w:val="001B48EE"/>
    <w:rsid w:val="001B6E7B"/>
    <w:rsid w:val="001C10AB"/>
    <w:rsid w:val="001C6DF6"/>
    <w:rsid w:val="001F2842"/>
    <w:rsid w:val="001F7A2A"/>
    <w:rsid w:val="00202596"/>
    <w:rsid w:val="00217B1E"/>
    <w:rsid w:val="00223BDC"/>
    <w:rsid w:val="00227978"/>
    <w:rsid w:val="00245986"/>
    <w:rsid w:val="0024670B"/>
    <w:rsid w:val="00251AB4"/>
    <w:rsid w:val="00273C01"/>
    <w:rsid w:val="00290644"/>
    <w:rsid w:val="002A1BAF"/>
    <w:rsid w:val="002C21DA"/>
    <w:rsid w:val="002E6C1D"/>
    <w:rsid w:val="003206AC"/>
    <w:rsid w:val="00330383"/>
    <w:rsid w:val="00332B24"/>
    <w:rsid w:val="003343A2"/>
    <w:rsid w:val="00344B4D"/>
    <w:rsid w:val="00374FCF"/>
    <w:rsid w:val="00375224"/>
    <w:rsid w:val="00392FE1"/>
    <w:rsid w:val="003B3F8A"/>
    <w:rsid w:val="003C3541"/>
    <w:rsid w:val="003C5D20"/>
    <w:rsid w:val="003D08DE"/>
    <w:rsid w:val="003D5D35"/>
    <w:rsid w:val="003F3E4F"/>
    <w:rsid w:val="00401837"/>
    <w:rsid w:val="00484475"/>
    <w:rsid w:val="0049721E"/>
    <w:rsid w:val="004B0124"/>
    <w:rsid w:val="004C3EB2"/>
    <w:rsid w:val="004D631D"/>
    <w:rsid w:val="004E060F"/>
    <w:rsid w:val="004E40E9"/>
    <w:rsid w:val="004F0BC8"/>
    <w:rsid w:val="005004BD"/>
    <w:rsid w:val="00507A9C"/>
    <w:rsid w:val="00523CF6"/>
    <w:rsid w:val="00533F5F"/>
    <w:rsid w:val="00545AF9"/>
    <w:rsid w:val="0057061D"/>
    <w:rsid w:val="005970FF"/>
    <w:rsid w:val="005A42A7"/>
    <w:rsid w:val="005B79B2"/>
    <w:rsid w:val="005C4915"/>
    <w:rsid w:val="006020FC"/>
    <w:rsid w:val="0061013F"/>
    <w:rsid w:val="00644D12"/>
    <w:rsid w:val="00645D96"/>
    <w:rsid w:val="0066551C"/>
    <w:rsid w:val="00676A02"/>
    <w:rsid w:val="006A6E00"/>
    <w:rsid w:val="006A6E52"/>
    <w:rsid w:val="006D531F"/>
    <w:rsid w:val="006E594C"/>
    <w:rsid w:val="00703BB5"/>
    <w:rsid w:val="00722B7D"/>
    <w:rsid w:val="00745DA4"/>
    <w:rsid w:val="00751A35"/>
    <w:rsid w:val="007576E4"/>
    <w:rsid w:val="00767847"/>
    <w:rsid w:val="00780935"/>
    <w:rsid w:val="00793F4D"/>
    <w:rsid w:val="007D2959"/>
    <w:rsid w:val="007D2F62"/>
    <w:rsid w:val="007D3C92"/>
    <w:rsid w:val="007F0D11"/>
    <w:rsid w:val="0080316C"/>
    <w:rsid w:val="0083265E"/>
    <w:rsid w:val="00835180"/>
    <w:rsid w:val="00842BD4"/>
    <w:rsid w:val="00856BE4"/>
    <w:rsid w:val="008571E9"/>
    <w:rsid w:val="00874E4E"/>
    <w:rsid w:val="008818F4"/>
    <w:rsid w:val="008A36E1"/>
    <w:rsid w:val="008A4907"/>
    <w:rsid w:val="008A4A9B"/>
    <w:rsid w:val="008C5481"/>
    <w:rsid w:val="008E2412"/>
    <w:rsid w:val="008E689B"/>
    <w:rsid w:val="008F1E88"/>
    <w:rsid w:val="008F518D"/>
    <w:rsid w:val="00900D93"/>
    <w:rsid w:val="00931B69"/>
    <w:rsid w:val="00980D46"/>
    <w:rsid w:val="00984A08"/>
    <w:rsid w:val="009A5477"/>
    <w:rsid w:val="009B189B"/>
    <w:rsid w:val="009B5502"/>
    <w:rsid w:val="009E1B8B"/>
    <w:rsid w:val="009E3F42"/>
    <w:rsid w:val="00A10DC4"/>
    <w:rsid w:val="00A16412"/>
    <w:rsid w:val="00A260C7"/>
    <w:rsid w:val="00A27D65"/>
    <w:rsid w:val="00A549FD"/>
    <w:rsid w:val="00A5673E"/>
    <w:rsid w:val="00AA5167"/>
    <w:rsid w:val="00AC09C4"/>
    <w:rsid w:val="00AC2952"/>
    <w:rsid w:val="00AF4493"/>
    <w:rsid w:val="00AF47C1"/>
    <w:rsid w:val="00AF7901"/>
    <w:rsid w:val="00B31264"/>
    <w:rsid w:val="00B41338"/>
    <w:rsid w:val="00B4204B"/>
    <w:rsid w:val="00B47081"/>
    <w:rsid w:val="00B57363"/>
    <w:rsid w:val="00B61831"/>
    <w:rsid w:val="00B94C52"/>
    <w:rsid w:val="00BA2504"/>
    <w:rsid w:val="00BA6354"/>
    <w:rsid w:val="00BA6CF0"/>
    <w:rsid w:val="00BD3B0E"/>
    <w:rsid w:val="00BF038C"/>
    <w:rsid w:val="00BF0C76"/>
    <w:rsid w:val="00BF32C7"/>
    <w:rsid w:val="00BF5872"/>
    <w:rsid w:val="00BF5DE4"/>
    <w:rsid w:val="00C04298"/>
    <w:rsid w:val="00C0783C"/>
    <w:rsid w:val="00C10A0F"/>
    <w:rsid w:val="00C24F1B"/>
    <w:rsid w:val="00C25C47"/>
    <w:rsid w:val="00C25E24"/>
    <w:rsid w:val="00C64587"/>
    <w:rsid w:val="00C85EE9"/>
    <w:rsid w:val="00CA7A0C"/>
    <w:rsid w:val="00CF241E"/>
    <w:rsid w:val="00D16302"/>
    <w:rsid w:val="00D410FE"/>
    <w:rsid w:val="00D65C9D"/>
    <w:rsid w:val="00D7060A"/>
    <w:rsid w:val="00D7787B"/>
    <w:rsid w:val="00DC1FF5"/>
    <w:rsid w:val="00E02D4A"/>
    <w:rsid w:val="00E2082D"/>
    <w:rsid w:val="00E27292"/>
    <w:rsid w:val="00E41EFE"/>
    <w:rsid w:val="00E73C2A"/>
    <w:rsid w:val="00EB3579"/>
    <w:rsid w:val="00ED4980"/>
    <w:rsid w:val="00EF5B1B"/>
    <w:rsid w:val="00F04E2C"/>
    <w:rsid w:val="00F25E2F"/>
    <w:rsid w:val="00F42CA9"/>
    <w:rsid w:val="00F50D3E"/>
    <w:rsid w:val="00F66F0B"/>
    <w:rsid w:val="00F67633"/>
    <w:rsid w:val="00F718B4"/>
    <w:rsid w:val="00F923A0"/>
    <w:rsid w:val="00F94622"/>
    <w:rsid w:val="00FC1DEF"/>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4A3A1"/>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8A36E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Props1.xml><?xml version="1.0" encoding="utf-8"?>
<ds:datastoreItem xmlns:ds="http://schemas.openxmlformats.org/officeDocument/2006/customXml" ds:itemID="{A4E78B3F-D95D-4475-8AD0-7299E3A933B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3724</Words>
  <Characters>20486</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10</cp:revision>
  <cp:lastPrinted>2025-08-19T22:19:00Z</cp:lastPrinted>
  <dcterms:created xsi:type="dcterms:W3CDTF">2025-09-16T20:46:00Z</dcterms:created>
  <dcterms:modified xsi:type="dcterms:W3CDTF">2025-09-16T21:57:00Z</dcterms:modified>
</cp:coreProperties>
</file>