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662A9732" w14:textId="650C08BD" w:rsidR="00900D93" w:rsidRPr="003206AC" w:rsidRDefault="000F3249" w:rsidP="00FE00C6">
      <w:pPr>
        <w:pStyle w:val="Sinespaciado"/>
        <w:spacing w:line="240" w:lineRule="atLeast"/>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884D43" w:rsidRPr="000F4836">
        <w:rPr>
          <w:rFonts w:ascii="Arial MT" w:eastAsia="Arial MT" w:hAnsi="Arial MT" w:cs="Arial MT"/>
          <w:b/>
          <w:bCs/>
          <w:lang w:val="es-ES" w:eastAsia="en-US"/>
        </w:rPr>
        <w:t>No. 075 DE 2025 CÁMARA “POR MEDIO DE LA CUAL SE MODIFICA LA LEY 376 DE 1997 Y SE DICTAN OTRAS DISPOSICIONES. LEY DE LA FONOAUDIOLOGÍA”.</w:t>
      </w:r>
      <w:r w:rsidR="007E285C" w:rsidRPr="007E285C">
        <w:rPr>
          <w:rFonts w:cs="Arial"/>
          <w:b/>
          <w:bCs/>
        </w:rPr>
        <w:t xml:space="preserve"> </w:t>
      </w:r>
      <w:r w:rsidR="0080316C" w:rsidRPr="003206AC">
        <w:rPr>
          <w:rFonts w:cs="Arial"/>
          <w:b/>
        </w:rPr>
        <w:t xml:space="preserve"> </w:t>
      </w:r>
    </w:p>
    <w:p w14:paraId="0AF738A0" w14:textId="77777777" w:rsidR="00931B69" w:rsidRPr="003206AC" w:rsidRDefault="00931B69" w:rsidP="00FE00C6">
      <w:pPr>
        <w:pStyle w:val="Sinespaciado"/>
        <w:spacing w:line="240" w:lineRule="atLeast"/>
        <w:jc w:val="center"/>
        <w:rPr>
          <w:rFonts w:cs="Arial"/>
        </w:rPr>
      </w:pPr>
    </w:p>
    <w:p w14:paraId="49441556" w14:textId="4FF3FEEF" w:rsidR="00900D93" w:rsidRPr="003206AC" w:rsidRDefault="000F3249" w:rsidP="00FE00C6">
      <w:pPr>
        <w:pStyle w:val="Sinespaciado"/>
        <w:spacing w:line="240" w:lineRule="atLeast"/>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155AD7">
        <w:rPr>
          <w:rFonts w:cs="Arial"/>
        </w:rPr>
        <w:t>2</w:t>
      </w:r>
      <w:r w:rsidR="007E285C">
        <w:rPr>
          <w:rFonts w:cs="Arial"/>
        </w:rPr>
        <w:t>8</w:t>
      </w:r>
      <w:r w:rsidR="00197D9B">
        <w:rPr>
          <w:rFonts w:cs="Arial"/>
        </w:rPr>
        <w:t xml:space="preserve"> de </w:t>
      </w:r>
      <w:r w:rsidR="00155AD7">
        <w:rPr>
          <w:rFonts w:cs="Arial"/>
        </w:rPr>
        <w:t>octubre</w:t>
      </w:r>
      <w:r w:rsidR="00197D9B">
        <w:rPr>
          <w:rFonts w:cs="Arial"/>
        </w:rPr>
        <w:t xml:space="preserve"> </w:t>
      </w:r>
      <w:r w:rsidR="004C3EB2">
        <w:rPr>
          <w:rFonts w:cs="Arial"/>
        </w:rPr>
        <w:t>d</w:t>
      </w:r>
      <w:r w:rsidR="00155AD7">
        <w:rPr>
          <w:rFonts w:cs="Arial"/>
        </w:rPr>
        <w:t>e</w:t>
      </w:r>
      <w:r w:rsidR="004C3EB2">
        <w:rPr>
          <w:rFonts w:cs="Arial"/>
        </w:rPr>
        <w:t xml:space="preserv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7E285C">
        <w:rPr>
          <w:rFonts w:cs="Arial"/>
        </w:rPr>
        <w:t>4</w:t>
      </w:r>
      <w:r w:rsidRPr="003206AC">
        <w:rPr>
          <w:rFonts w:cs="Arial"/>
        </w:rPr>
        <w:t>)</w:t>
      </w:r>
    </w:p>
    <w:p w14:paraId="53F35B75"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FE00C6">
      <w:pPr>
        <w:pStyle w:val="Sinespaciado"/>
        <w:spacing w:line="240" w:lineRule="atLeast"/>
        <w:rPr>
          <w:rFonts w:cs="Arial"/>
        </w:rPr>
      </w:pPr>
    </w:p>
    <w:p w14:paraId="43FC8E88"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t>Artículo 1º. Objeto.</w:t>
      </w:r>
      <w:r w:rsidRPr="00884D43">
        <w:rPr>
          <w:rFonts w:ascii="Arial" w:eastAsia="Bookman Old Style" w:hAnsi="Arial" w:cs="Arial"/>
          <w:color w:val="000000"/>
          <w:lang w:val="es-ES" w:eastAsia="es-CO"/>
        </w:rPr>
        <w:t xml:space="preserve"> La presente </w:t>
      </w:r>
      <w:r w:rsidRPr="00884D43">
        <w:rPr>
          <w:rFonts w:ascii="Arial" w:eastAsia="Bookman Old Style" w:hAnsi="Arial" w:cs="Arial"/>
          <w:lang w:val="es-ES" w:eastAsia="es-CO"/>
        </w:rPr>
        <w:t>L</w:t>
      </w:r>
      <w:r w:rsidRPr="00884D43">
        <w:rPr>
          <w:rFonts w:ascii="Arial" w:eastAsia="Bookman Old Style" w:hAnsi="Arial" w:cs="Arial"/>
          <w:color w:val="000000"/>
          <w:lang w:val="es-ES" w:eastAsia="es-CO"/>
        </w:rPr>
        <w:t>ey actualiza el marco jurídico para el adecuado desempeño de la profesión de la Fonoaudiología.</w:t>
      </w:r>
    </w:p>
    <w:p w14:paraId="4AF4BF0A"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2A51AEFD"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r w:rsidRPr="00884D43">
        <w:rPr>
          <w:rFonts w:ascii="Arial" w:eastAsia="Bookman Old Style" w:hAnsi="Arial" w:cs="Arial"/>
          <w:b/>
          <w:color w:val="000000"/>
          <w:lang w:val="es-ES" w:eastAsia="es-CO"/>
        </w:rPr>
        <w:t>Artículo 2º. Modifíquese el artículo 1º de la Ley 376 de 1997, el cual quedará así:</w:t>
      </w:r>
    </w:p>
    <w:p w14:paraId="1AB2D6E9"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59EB688F"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t xml:space="preserve">Artículo 1º. </w:t>
      </w:r>
      <w:r w:rsidRPr="00884D43">
        <w:rPr>
          <w:rFonts w:ascii="Arial" w:eastAsia="Bookman Old Style" w:hAnsi="Arial" w:cs="Arial"/>
          <w:color w:val="000000"/>
          <w:lang w:val="es-ES" w:eastAsia="es-CO"/>
        </w:rPr>
        <w:t xml:space="preserve">Definiciones: </w:t>
      </w:r>
    </w:p>
    <w:p w14:paraId="37170D77"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0A6C6E11" w14:textId="77777777" w:rsidR="00884D43" w:rsidRPr="00884D43" w:rsidRDefault="00884D43" w:rsidP="00884D43">
      <w:pPr>
        <w:numPr>
          <w:ilvl w:val="0"/>
          <w:numId w:val="33"/>
        </w:num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t xml:space="preserve">Fonoaudiología: </w:t>
      </w:r>
      <w:r w:rsidRPr="00884D43">
        <w:rPr>
          <w:rFonts w:ascii="Arial" w:eastAsia="Bookman Old Style" w:hAnsi="Arial" w:cs="Arial"/>
          <w:color w:val="000000"/>
          <w:lang w:val="es-ES" w:eastAsia="es-CO"/>
        </w:rPr>
        <w:t>Para todos los efectos legales, se entiende por Fonoaudiología, la profesión del área de la salud autónoma e independiente de nivel superior universitario con carácter científico que se ocupa de la comunicación humana, sus variaciones y sus trastornos. La fonoaudiología tiene como objeto de estudio el lenguaje oral y escrito, la audición, la voz, el habla y la función oral faríngea (deglución) en todo el ciclo vital humano (infancia-juventud-adultez y vejez); sin perjuicio de las demás que según el avance científico sean acordes a la profesión.</w:t>
      </w:r>
    </w:p>
    <w:p w14:paraId="7CC741DD" w14:textId="77777777" w:rsidR="00884D43" w:rsidRPr="00884D43" w:rsidRDefault="00884D43" w:rsidP="00884D43">
      <w:pPr>
        <w:pBdr>
          <w:top w:val="nil"/>
          <w:left w:val="nil"/>
          <w:bottom w:val="nil"/>
          <w:right w:val="nil"/>
          <w:between w:val="nil"/>
        </w:pBdr>
        <w:spacing w:after="0" w:line="240" w:lineRule="atLeast"/>
        <w:ind w:left="720"/>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 xml:space="preserve"> </w:t>
      </w:r>
    </w:p>
    <w:p w14:paraId="0336A444" w14:textId="77777777" w:rsidR="00884D43" w:rsidRPr="00884D43" w:rsidRDefault="00884D43" w:rsidP="00884D43">
      <w:pPr>
        <w:numPr>
          <w:ilvl w:val="0"/>
          <w:numId w:val="33"/>
        </w:num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t>Fonoaudiólogo:</w:t>
      </w:r>
      <w:r w:rsidRPr="00884D43">
        <w:rPr>
          <w:rFonts w:ascii="Arial" w:eastAsia="Bookman Old Style" w:hAnsi="Arial" w:cs="Arial"/>
          <w:color w:val="000000"/>
          <w:lang w:val="es-ES" w:eastAsia="es-CO"/>
        </w:rPr>
        <w:t xml:space="preserve"> El fonoaudiólogo es el profesional del área de la salud competente en la evaluación, diagnóstico, intervención, rehabilitación, prevención o cuidado paliativo de los trastornos de la comunicación humana, que pueden manifestarse como desórdenes de la deglución, del lenguaje, el habla, la audición, entre otros, siendo competente para ocuparse de dichos trastornos durante cualquier etapa del ciclo vital del ser humano.</w:t>
      </w:r>
    </w:p>
    <w:p w14:paraId="6248643F"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i/>
          <w:strike/>
          <w:color w:val="000000"/>
          <w:lang w:val="es-ES" w:eastAsia="es-CO"/>
        </w:rPr>
      </w:pPr>
    </w:p>
    <w:p w14:paraId="0E3AB0CA" w14:textId="77777777" w:rsidR="00884D43" w:rsidRPr="00884D43" w:rsidRDefault="00884D43" w:rsidP="00884D43">
      <w:pPr>
        <w:pBdr>
          <w:top w:val="nil"/>
          <w:left w:val="nil"/>
          <w:bottom w:val="nil"/>
          <w:right w:val="nil"/>
          <w:between w:val="nil"/>
        </w:pBdr>
        <w:spacing w:after="0" w:line="240" w:lineRule="atLeast"/>
        <w:ind w:left="708"/>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El fonoaudiólogo se interesa por cultivar el intelecto, ejercer la academia y prestar los servicios relacionados con su objeto de estudio.</w:t>
      </w:r>
    </w:p>
    <w:p w14:paraId="7C9CEF13"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2B8CA6DC"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r w:rsidRPr="00884D43">
        <w:rPr>
          <w:rFonts w:ascii="Arial" w:eastAsia="Bookman Old Style" w:hAnsi="Arial" w:cs="Arial"/>
          <w:b/>
          <w:color w:val="000000"/>
          <w:lang w:val="es-ES" w:eastAsia="es-CO"/>
        </w:rPr>
        <w:t>Artículo 3º. Modifíquese el artículo 2º de la Ley 376 de 1997, el cual quedará así:</w:t>
      </w:r>
    </w:p>
    <w:p w14:paraId="4DEA229C"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2A3E8899"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u w:val="single"/>
          <w:lang w:val="es-ES" w:eastAsia="es-CO"/>
        </w:rPr>
      </w:pPr>
      <w:r w:rsidRPr="00884D43">
        <w:rPr>
          <w:rFonts w:ascii="Arial" w:eastAsia="Bookman Old Style" w:hAnsi="Arial" w:cs="Arial"/>
          <w:b/>
          <w:color w:val="000000"/>
          <w:lang w:val="es-ES" w:eastAsia="es-CO"/>
        </w:rPr>
        <w:t xml:space="preserve">Artículo 2º. Áreas de Desempeño Profesional. </w:t>
      </w:r>
      <w:r w:rsidRPr="00884D43">
        <w:rPr>
          <w:rFonts w:ascii="Arial" w:eastAsia="Bookman Old Style" w:hAnsi="Arial" w:cs="Arial"/>
          <w:color w:val="000000"/>
          <w:lang w:val="es-ES" w:eastAsia="es-CO"/>
        </w:rPr>
        <w:t>El fonoaudiólogo puede desempeñarse profesionalmente en las áreas de investigación, docencia, administración, asistencia, asesoría, en el ejercicio de la profesión como talento humano en salud dentro del Sistema General de Seguridad Social en Salud, y en las demás que tengan relación con el campo de competencias de la profesión.</w:t>
      </w:r>
      <w:r w:rsidRPr="00884D43">
        <w:rPr>
          <w:rFonts w:ascii="Arial" w:eastAsia="Bookman Old Style" w:hAnsi="Arial" w:cs="Arial"/>
          <w:b/>
          <w:color w:val="000000"/>
          <w:u w:val="single"/>
          <w:lang w:val="es-ES" w:eastAsia="es-CO"/>
        </w:rPr>
        <w:t xml:space="preserve"> </w:t>
      </w:r>
    </w:p>
    <w:p w14:paraId="3C0B2BD3"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139D1A1E"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r w:rsidRPr="00884D43">
        <w:rPr>
          <w:rFonts w:ascii="Arial" w:eastAsia="Bookman Old Style" w:hAnsi="Arial" w:cs="Arial"/>
          <w:b/>
          <w:color w:val="000000"/>
          <w:lang w:val="es-ES" w:eastAsia="es-CO"/>
        </w:rPr>
        <w:t>Artículo 4º. Modifíquese el artículo 4º de la Ley 376 de 1997, el cual quedará así:</w:t>
      </w:r>
    </w:p>
    <w:p w14:paraId="0CFFA9EC"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47267EFA" w14:textId="7EC6EBD9"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lastRenderedPageBreak/>
        <w:t>Artículo 4o. Del Colegio profesional del área de fonoaudiología.</w:t>
      </w:r>
      <w:r w:rsidRPr="00884D43">
        <w:rPr>
          <w:rFonts w:ascii="Arial" w:eastAsia="Bookman Old Style" w:hAnsi="Arial" w:cs="Arial"/>
          <w:color w:val="000000"/>
          <w:lang w:val="es-ES" w:eastAsia="es-CO"/>
        </w:rPr>
        <w:t xml:space="preserve"> El</w:t>
      </w:r>
      <w:r w:rsidRPr="00884D43">
        <w:rPr>
          <w:rFonts w:ascii="Arial" w:eastAsia="Bookman Old Style" w:hAnsi="Arial" w:cs="Arial"/>
          <w:i/>
          <w:color w:val="000000"/>
          <w:lang w:val="es-ES" w:eastAsia="es-CO"/>
        </w:rPr>
        <w:t xml:space="preserve"> </w:t>
      </w:r>
      <w:r w:rsidRPr="00884D43">
        <w:rPr>
          <w:rFonts w:ascii="Arial" w:eastAsia="Bookman Old Style" w:hAnsi="Arial" w:cs="Arial"/>
          <w:color w:val="000000"/>
          <w:lang w:val="es-ES" w:eastAsia="es-CO"/>
        </w:rPr>
        <w:t xml:space="preserve">Colegio profesional del área de fonoaudiología </w:t>
      </w:r>
      <w:r>
        <w:rPr>
          <w:rFonts w:ascii="Arial" w:eastAsia="Bookman Old Style" w:hAnsi="Arial" w:cs="Arial"/>
          <w:color w:val="000000"/>
          <w:lang w:val="es-ES" w:eastAsia="es-CO"/>
        </w:rPr>
        <w:t xml:space="preserve">que cuente con delegación de funciones públicas por parte del </w:t>
      </w:r>
      <w:r w:rsidRPr="00884D43">
        <w:rPr>
          <w:rFonts w:ascii="Arial" w:eastAsia="Bookman Old Style" w:hAnsi="Arial" w:cs="Arial"/>
          <w:color w:val="000000"/>
          <w:lang w:val="es-ES" w:eastAsia="es-CO"/>
        </w:rPr>
        <w:t>Ministerio de Salud y Protección Social en el marco de sus competencias tendrá a su cargo las siguientes funciones:</w:t>
      </w:r>
    </w:p>
    <w:p w14:paraId="2AE21829"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3EC5A07B" w14:textId="77777777" w:rsidR="00884D43" w:rsidRPr="00884D43" w:rsidRDefault="00884D43" w:rsidP="00884D43">
      <w:pPr>
        <w:numPr>
          <w:ilvl w:val="0"/>
          <w:numId w:val="34"/>
        </w:num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Inscribir a los fonoaudiólogos en el Registro único Nacional del Talento Humano en Salud.</w:t>
      </w:r>
    </w:p>
    <w:p w14:paraId="3EAA6261" w14:textId="77777777" w:rsidR="00884D43" w:rsidRPr="00884D43" w:rsidRDefault="00884D43" w:rsidP="00884D43">
      <w:pPr>
        <w:numPr>
          <w:ilvl w:val="0"/>
          <w:numId w:val="34"/>
        </w:num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Expedir la tarjeta profesional del fonoaudiólogo.</w:t>
      </w:r>
    </w:p>
    <w:p w14:paraId="298CF8F5" w14:textId="77777777" w:rsidR="00884D43" w:rsidRPr="00884D43" w:rsidRDefault="00884D43" w:rsidP="00884D43">
      <w:pPr>
        <w:numPr>
          <w:ilvl w:val="0"/>
          <w:numId w:val="34"/>
        </w:num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Expedir los permisos transitorios para los fonoaudiólogos extranjeros que vengan al país en misiones científicas o asistenciales de carácter humanitario, social o investigativo.</w:t>
      </w:r>
    </w:p>
    <w:p w14:paraId="2037A10D" w14:textId="77777777" w:rsidR="00884D43" w:rsidRPr="00884D43" w:rsidRDefault="00884D43" w:rsidP="00884D43">
      <w:pPr>
        <w:numPr>
          <w:ilvl w:val="0"/>
          <w:numId w:val="34"/>
        </w:num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Las demás que le sean asignadas en el marco del proceso de delegación de funciones públicas contenido en el artículo 10 de la Ley 1164 de 2007.</w:t>
      </w:r>
    </w:p>
    <w:p w14:paraId="112A4598"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1DBC91D7"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r w:rsidRPr="00884D43">
        <w:rPr>
          <w:rFonts w:ascii="Arial" w:eastAsia="Bookman Old Style" w:hAnsi="Arial" w:cs="Arial"/>
          <w:b/>
          <w:color w:val="000000"/>
          <w:lang w:val="es-ES" w:eastAsia="es-CO"/>
        </w:rPr>
        <w:t>Artículo 5º. Modifíquese el artículo 5º de la Ley 376 de 1997, el cual quedará así:</w:t>
      </w:r>
    </w:p>
    <w:p w14:paraId="6633B2BB"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685C90AA"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t xml:space="preserve">Artículo 5º. De los requisitos para la inscripción. </w:t>
      </w:r>
      <w:r w:rsidRPr="00884D43">
        <w:rPr>
          <w:rFonts w:ascii="Arial" w:eastAsia="Bookman Old Style" w:hAnsi="Arial" w:cs="Arial"/>
          <w:color w:val="000000"/>
          <w:lang w:val="es-ES" w:eastAsia="es-CO"/>
        </w:rPr>
        <w:t>El Colegio profesional del área de fonoaudiología seleccionado por el Ministerio de Salud y Protección Social o quien haga sus veces registrará como fonoaudiólogo a quien acredite alguno de los siguientes requisitos:</w:t>
      </w:r>
    </w:p>
    <w:p w14:paraId="4226B6B4"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623BF546" w14:textId="77777777" w:rsidR="00884D43" w:rsidRPr="00884D43" w:rsidRDefault="00884D43" w:rsidP="00884D43">
      <w:pPr>
        <w:numPr>
          <w:ilvl w:val="0"/>
          <w:numId w:val="35"/>
        </w:num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 xml:space="preserve">Título profesional universitario expedido por una institución superior de educación universitaria colombiana, reconocida por el Gobierno Nacional. </w:t>
      </w:r>
    </w:p>
    <w:p w14:paraId="313D6F20" w14:textId="77777777" w:rsidR="00884D43" w:rsidRPr="00884D43" w:rsidRDefault="00884D43" w:rsidP="00884D43">
      <w:pPr>
        <w:numPr>
          <w:ilvl w:val="0"/>
          <w:numId w:val="35"/>
        </w:num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La convalidación del título de Fonoaudiología de nivel superior universitario expedido por universidad extranjera que corresponde a estudios de dicho nivel.</w:t>
      </w:r>
    </w:p>
    <w:p w14:paraId="1CDCD94C"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5F88F4B3"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t>Parágrafo.</w:t>
      </w:r>
      <w:r w:rsidRPr="00884D43">
        <w:rPr>
          <w:rFonts w:ascii="Arial" w:eastAsia="Bookman Old Style" w:hAnsi="Arial" w:cs="Arial"/>
          <w:color w:val="000000"/>
          <w:lang w:val="es-ES" w:eastAsia="es-CO"/>
        </w:rPr>
        <w:t> El registro como fonoaudiólogo se acreditará con la tarjeta profesional que se expedirá de acuerdo a la reglamentación correspondiente.</w:t>
      </w:r>
    </w:p>
    <w:p w14:paraId="24206ACB"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0AADB994"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u w:val="single"/>
          <w:lang w:val="es-ES" w:eastAsia="es-CO"/>
        </w:rPr>
      </w:pPr>
      <w:r w:rsidRPr="00884D43">
        <w:rPr>
          <w:rFonts w:ascii="Arial" w:eastAsia="Bookman Old Style" w:hAnsi="Arial" w:cs="Arial"/>
          <w:b/>
          <w:color w:val="000000"/>
          <w:lang w:val="es-ES" w:eastAsia="es-CO"/>
        </w:rPr>
        <w:t xml:space="preserve">Parágrafo 2º. </w:t>
      </w:r>
      <w:r w:rsidRPr="00884D43">
        <w:rPr>
          <w:rFonts w:ascii="Arial" w:eastAsia="Bookman Old Style" w:hAnsi="Arial" w:cs="Arial"/>
          <w:color w:val="000000"/>
          <w:lang w:val="es-ES" w:eastAsia="es-CO"/>
        </w:rPr>
        <w:t>La tarjeta profesional del fonoaudiólogo podrá expedirse de manera digital, caso en el cual deberá contar con especificaciones técnicas de seguridad que garanticen su autenticidad.</w:t>
      </w:r>
      <w:r w:rsidRPr="00884D43">
        <w:rPr>
          <w:rFonts w:ascii="Arial" w:eastAsia="Bookman Old Style" w:hAnsi="Arial" w:cs="Arial"/>
          <w:b/>
          <w:color w:val="000000"/>
          <w:u w:val="single"/>
          <w:lang w:val="es-ES" w:eastAsia="es-CO"/>
        </w:rPr>
        <w:t xml:space="preserve"> </w:t>
      </w:r>
    </w:p>
    <w:p w14:paraId="45B50F59"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39C44828" w14:textId="1278E361"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u w:val="single"/>
          <w:lang w:val="es-ES" w:eastAsia="es-CO"/>
        </w:rPr>
      </w:pPr>
      <w:r w:rsidRPr="00884D43">
        <w:rPr>
          <w:rFonts w:ascii="Arial" w:eastAsia="Bookman Old Style" w:hAnsi="Arial" w:cs="Arial"/>
          <w:b/>
          <w:color w:val="000000"/>
          <w:lang w:val="es-ES" w:eastAsia="es-CO"/>
        </w:rPr>
        <w:t xml:space="preserve">Artículo 6º. </w:t>
      </w:r>
      <w:r w:rsidR="00576AF4">
        <w:rPr>
          <w:rFonts w:ascii="Arial" w:eastAsia="Bookman Old Style" w:hAnsi="Arial" w:cs="Arial"/>
          <w:b/>
          <w:color w:val="000000"/>
          <w:lang w:val="es-ES" w:eastAsia="es-CO"/>
        </w:rPr>
        <w:t xml:space="preserve">Reconocimiento de prácticas profesionales como experiencia. </w:t>
      </w:r>
      <w:r w:rsidRPr="00884D43">
        <w:rPr>
          <w:rFonts w:ascii="Arial" w:eastAsia="Bookman Old Style" w:hAnsi="Arial" w:cs="Arial"/>
          <w:color w:val="000000"/>
          <w:lang w:val="es-ES" w:eastAsia="es-CO"/>
        </w:rPr>
        <w:t>Cualquiera de las modalidades de prácticas profesionales aplicables a la fonoaudiología, serán reconocidas como experiencia profesional y/o relacionada, y le serán aplicables las disposiciones en materia de remuneración, subsidios, beneficios económicos y afiliación a ARL conforme a lo dispuesto en la ley 2043 de 2020.</w:t>
      </w:r>
      <w:r w:rsidRPr="00884D43">
        <w:rPr>
          <w:rFonts w:ascii="Arial" w:eastAsia="Bookman Old Style" w:hAnsi="Arial" w:cs="Arial"/>
          <w:b/>
          <w:color w:val="000000"/>
          <w:u w:val="single"/>
          <w:lang w:val="es-ES" w:eastAsia="es-CO"/>
        </w:rPr>
        <w:t xml:space="preserve"> </w:t>
      </w:r>
    </w:p>
    <w:p w14:paraId="3A11035E"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b/>
          <w:color w:val="000000"/>
          <w:lang w:val="es-ES" w:eastAsia="es-CO"/>
        </w:rPr>
      </w:pPr>
    </w:p>
    <w:p w14:paraId="39BB0903"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t xml:space="preserve">Artículo 7º. Condiciones laborales. </w:t>
      </w:r>
      <w:r w:rsidRPr="00884D43">
        <w:rPr>
          <w:rFonts w:ascii="Arial" w:eastAsia="Bookman Old Style" w:hAnsi="Arial" w:cs="Arial"/>
          <w:color w:val="000000"/>
          <w:lang w:val="es-ES" w:eastAsia="es-CO"/>
        </w:rPr>
        <w:t>El profesional de la fonoaudiología deberá percibir los salarios y prestaciones sociales derivados de su relación laboral, teniendo en cuenta aspectos como su nivel de formación y cualificación posgradual y experiencia profesional, y disfrutará durante todo tiempo de las garantías contenidas en la legislación sobre jornada laboral, pago a tiempo, horas extras, trabajo nocturno, dominicales y festivos, descansos dentro de la jornada laboral, derechos de asociación y negociación sindical, así como las demás garantías y prerrogativas vigentes.</w:t>
      </w:r>
    </w:p>
    <w:p w14:paraId="57558617"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0705FD92" w14:textId="60532000" w:rsid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El fonoaudiólogo tiene derecho a contar con el recurso humano, tecnología e insumos adecuados y necesarios para el desempeño oportuno y eficiente de su profesión.</w:t>
      </w:r>
    </w:p>
    <w:p w14:paraId="6FFF8839" w14:textId="3919E5F3" w:rsidR="00AF667C" w:rsidRDefault="00AF667C"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16D17B7A" w14:textId="77777777" w:rsidR="00AF667C" w:rsidRPr="00AF667C" w:rsidRDefault="00AF667C" w:rsidP="00AF667C">
      <w:pPr>
        <w:pBdr>
          <w:top w:val="nil"/>
          <w:left w:val="nil"/>
          <w:bottom w:val="nil"/>
          <w:right w:val="nil"/>
          <w:between w:val="nil"/>
        </w:pBdr>
        <w:spacing w:line="240" w:lineRule="atLeast"/>
        <w:jc w:val="both"/>
        <w:rPr>
          <w:rFonts w:ascii="Arial" w:eastAsia="Times New Roman" w:hAnsi="Arial" w:cs="Arial"/>
          <w:color w:val="1B1C1D"/>
          <w:bdr w:val="none" w:sz="0" w:space="0" w:color="auto" w:frame="1"/>
          <w:lang w:val="es-ES" w:eastAsia="en-US"/>
        </w:rPr>
      </w:pPr>
      <w:r w:rsidRPr="00AF667C">
        <w:rPr>
          <w:rFonts w:ascii="Arial" w:eastAsia="Times New Roman" w:hAnsi="Arial" w:cs="Arial"/>
          <w:color w:val="1B1C1D"/>
          <w:bdr w:val="none" w:sz="0" w:space="0" w:color="auto" w:frame="1"/>
          <w:lang w:val="es-ES" w:eastAsia="es-CO"/>
        </w:rPr>
        <w:t>El cumplimiento de lo dispuesto en el inciso segundo del presente artículo será un requisito indispensable dentro de los estándares del Sistema Único de Habilitación para los prestadores de servicios de salud que ofrezcan servicios de fonoaudiología.</w:t>
      </w:r>
    </w:p>
    <w:p w14:paraId="4AEB8536"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lastRenderedPageBreak/>
        <w:t>Artículo 8º. Día Nacional del Fonoaudiólogo.</w:t>
      </w:r>
      <w:r w:rsidRPr="00884D43">
        <w:rPr>
          <w:rFonts w:ascii="Arial" w:eastAsia="Bookman Old Style" w:hAnsi="Arial" w:cs="Arial"/>
          <w:color w:val="000000"/>
          <w:lang w:val="es-ES" w:eastAsia="es-CO"/>
        </w:rPr>
        <w:t xml:space="preserve"> Establézcase el 6 de septiembre como el Día Nacional del Fonoaudiólogo. El Gobierno Nacional, por intermedio del Ministerio de Salud y Protección Social, en coordinación con el Colegio del área de fonoaudiología seleccionado y con los gremios representativos del sector, podrán organizar actos protocolarios, académicos y culturales con el fin de destacar la importancia y el rol del fonoaudiólogo en la sociedad. </w:t>
      </w:r>
    </w:p>
    <w:p w14:paraId="486247B3"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7D658B1F"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Los medios de comunicación públicos nacionales podrán emitir contenidos alusivos a la celebración del Día Nacional del Fonoaudiólogo, visibilizando la importancia de la profesión para el bienestar humano y educando acerca de sus fines y áreas de desempeño.</w:t>
      </w:r>
    </w:p>
    <w:p w14:paraId="3B971016"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2D50DE28"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126766EC" w14:textId="5474F5D2"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b/>
          <w:color w:val="000000"/>
          <w:lang w:val="es-ES" w:eastAsia="es-CO"/>
        </w:rPr>
        <w:t>Artículo 9º</w:t>
      </w:r>
      <w:r w:rsidRPr="00884D43">
        <w:rPr>
          <w:rFonts w:ascii="Arial" w:eastAsia="Bookman Old Style" w:hAnsi="Arial" w:cs="Arial"/>
          <w:color w:val="000000"/>
          <w:lang w:val="es-ES" w:eastAsia="es-CO"/>
        </w:rPr>
        <w:t xml:space="preserve">.  </w:t>
      </w:r>
      <w:r w:rsidRPr="00884D43">
        <w:rPr>
          <w:rFonts w:ascii="Arial" w:eastAsia="Bookman Old Style" w:hAnsi="Arial" w:cs="Arial"/>
          <w:b/>
          <w:color w:val="000000"/>
          <w:lang w:val="es-ES" w:eastAsia="es-CO"/>
        </w:rPr>
        <w:t>Mesa Técnica de Actualización.</w:t>
      </w:r>
      <w:r w:rsidRPr="00884D43">
        <w:rPr>
          <w:rFonts w:ascii="Arial" w:eastAsia="Bookman Old Style" w:hAnsi="Arial" w:cs="Arial"/>
          <w:color w:val="000000"/>
          <w:lang w:val="es-ES" w:eastAsia="es-CO"/>
        </w:rPr>
        <w:t xml:space="preserve"> </w:t>
      </w:r>
      <w:r w:rsidRPr="00884D43">
        <w:rPr>
          <w:rFonts w:ascii="Arial" w:eastAsia="Bookman Old Style" w:hAnsi="Arial" w:cs="Arial"/>
          <w:b/>
          <w:i/>
          <w:color w:val="000000"/>
          <w:lang w:val="es-ES" w:eastAsia="es-CO"/>
        </w:rPr>
        <w:t>Mesa Técnica de Actualización.</w:t>
      </w:r>
      <w:r w:rsidRPr="00884D43">
        <w:rPr>
          <w:rFonts w:ascii="Arial" w:eastAsia="Bookman Old Style" w:hAnsi="Arial" w:cs="Arial"/>
          <w:i/>
          <w:color w:val="000000"/>
          <w:lang w:val="es-ES" w:eastAsia="es-CO"/>
        </w:rPr>
        <w:t xml:space="preserve"> </w:t>
      </w:r>
      <w:r w:rsidRPr="00884D43">
        <w:rPr>
          <w:rFonts w:ascii="Arial" w:eastAsia="Bookman Old Style" w:hAnsi="Arial" w:cs="Arial"/>
          <w:color w:val="000000"/>
          <w:lang w:val="es-ES" w:eastAsia="es-CO"/>
        </w:rPr>
        <w:t>Dentro de los doce (12) meses siguientes a la entrada en vigencia de la presente Ley, el Gobierno Nacional desarrollará a través del Ministerio de Salud y Protección Social, en coordinación con el Colegio profesional del área de fonoaudiología seleccionado, asociaciones del gremio, representantes de la profesión en la academia y profesionales de la fonoaudiología, una mesa técnica con el fin de revisar y actualizar el perfil y las competencias profesionales del fonoaudiólogo, establecer sus principales necesidades en el ejercicio de la profesión en Colombia y diseñar e implementar mecanismos para la atención de estas. Se elaborará un documento de circulación pública con las conclusiones de dicha mesa.</w:t>
      </w:r>
      <w:r w:rsidR="00C40226">
        <w:rPr>
          <w:rFonts w:ascii="Arial" w:eastAsia="Bookman Old Style" w:hAnsi="Arial" w:cs="Arial"/>
          <w:color w:val="000000"/>
          <w:lang w:val="es-ES" w:eastAsia="es-CO"/>
        </w:rPr>
        <w:t xml:space="preserve"> </w:t>
      </w:r>
      <w:r w:rsidR="00C40226" w:rsidRPr="00C40226">
        <w:rPr>
          <w:rFonts w:ascii="Arial" w:eastAsia="Times New Roman" w:hAnsi="Arial" w:cs="Arial"/>
          <w:color w:val="1B1C1D"/>
          <w:bdr w:val="none" w:sz="0" w:space="0" w:color="auto" w:frame="1"/>
          <w:lang w:val="es-ES" w:eastAsia="es-CO"/>
        </w:rPr>
        <w:t>el cual deberá ser publicado dentro de los noventa (90) días siguientes a la finalización de la misma. Estas conclusiones servirán como insumo técnico obligatorio para la actualización de la política pública y la reglamentación que expida el Ministerio de Salud y Protección Social en la materia</w:t>
      </w:r>
      <w:r w:rsidR="00C40226" w:rsidRPr="00C40226">
        <w:rPr>
          <w:rFonts w:ascii="Arial" w:eastAsia="Times New Roman" w:hAnsi="Arial" w:cs="Arial"/>
          <w:i/>
          <w:iCs/>
          <w:color w:val="1B1C1D"/>
          <w:bdr w:val="none" w:sz="0" w:space="0" w:color="auto" w:frame="1"/>
          <w:lang w:val="es-ES" w:eastAsia="es-CO"/>
        </w:rPr>
        <w:t>."</w:t>
      </w:r>
    </w:p>
    <w:p w14:paraId="23E41CAA"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012C70B1"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r w:rsidRPr="00884D43">
        <w:rPr>
          <w:rFonts w:ascii="Arial" w:eastAsia="Bookman Old Style" w:hAnsi="Arial" w:cs="Arial"/>
          <w:color w:val="000000"/>
          <w:lang w:val="es-ES" w:eastAsia="es-CO"/>
        </w:rPr>
        <w:t>El funcionamiento de la mesa técnica no generará erogación presupuestal.</w:t>
      </w:r>
    </w:p>
    <w:p w14:paraId="20EBDBFE" w14:textId="77777777" w:rsidR="00884D43" w:rsidRPr="00884D43" w:rsidRDefault="00884D43" w:rsidP="00884D43">
      <w:pPr>
        <w:pBdr>
          <w:top w:val="nil"/>
          <w:left w:val="nil"/>
          <w:bottom w:val="nil"/>
          <w:right w:val="nil"/>
          <w:between w:val="nil"/>
        </w:pBdr>
        <w:spacing w:after="0" w:line="240" w:lineRule="atLeast"/>
        <w:jc w:val="both"/>
        <w:rPr>
          <w:rFonts w:ascii="Arial" w:eastAsia="Bookman Old Style" w:hAnsi="Arial" w:cs="Arial"/>
          <w:color w:val="000000"/>
          <w:lang w:val="es-ES" w:eastAsia="es-CO"/>
        </w:rPr>
      </w:pPr>
    </w:p>
    <w:p w14:paraId="027A1575" w14:textId="136360C4" w:rsidR="00202596" w:rsidRPr="00202596" w:rsidRDefault="00884D43" w:rsidP="00884D43">
      <w:pPr>
        <w:spacing w:after="240" w:line="240" w:lineRule="atLeast"/>
        <w:ind w:right="14"/>
        <w:jc w:val="both"/>
        <w:rPr>
          <w:rFonts w:ascii="Arial" w:eastAsia="Arial" w:hAnsi="Arial" w:cs="Arial"/>
          <w:lang w:eastAsia="es-CO"/>
        </w:rPr>
      </w:pPr>
      <w:r w:rsidRPr="00884D43">
        <w:rPr>
          <w:rFonts w:ascii="Arial" w:eastAsia="Bookman Old Style" w:hAnsi="Arial" w:cs="Arial"/>
          <w:b/>
          <w:color w:val="000000"/>
          <w:lang w:val="es-ES" w:eastAsia="es-CO"/>
        </w:rPr>
        <w:t>Artículo 10. Vigencias y derogatorias</w:t>
      </w:r>
      <w:r w:rsidRPr="00884D43">
        <w:rPr>
          <w:rFonts w:ascii="Arial" w:eastAsia="Bookman Old Style" w:hAnsi="Arial" w:cs="Arial"/>
          <w:color w:val="000000"/>
          <w:lang w:val="es-ES" w:eastAsia="es-CO"/>
        </w:rPr>
        <w:t>. La presente Ley rige a partir de su sanción y promulgación y deroga todas las disposiciones que le sean contrarias.</w:t>
      </w:r>
    </w:p>
    <w:p w14:paraId="454954DE" w14:textId="48580FAD" w:rsidR="003206AC" w:rsidRDefault="003206AC" w:rsidP="00FE00C6">
      <w:pPr>
        <w:pStyle w:val="Sinespaciado"/>
        <w:spacing w:line="240" w:lineRule="atLeast"/>
        <w:rPr>
          <w:rFonts w:eastAsia="Arial" w:cs="Arial"/>
          <w:b/>
          <w:color w:val="000000"/>
        </w:rPr>
      </w:pPr>
    </w:p>
    <w:p w14:paraId="755E327E" w14:textId="77777777" w:rsidR="003F2B4A" w:rsidRPr="003206AC" w:rsidRDefault="003F2B4A" w:rsidP="00FE00C6">
      <w:pPr>
        <w:pStyle w:val="Sinespaciado"/>
        <w:spacing w:line="240" w:lineRule="atLeast"/>
        <w:rPr>
          <w:rFonts w:eastAsia="Arial" w:cs="Arial"/>
          <w:b/>
          <w:color w:val="000000"/>
        </w:rPr>
      </w:pPr>
    </w:p>
    <w:p w14:paraId="2949B4EC" w14:textId="77777777" w:rsidR="003206AC" w:rsidRPr="003206AC" w:rsidRDefault="003206AC" w:rsidP="00FE00C6">
      <w:pPr>
        <w:pStyle w:val="Sinespaciado"/>
        <w:spacing w:line="240" w:lineRule="atLeast"/>
        <w:rPr>
          <w:rFonts w:eastAsia="Arial" w:cs="Arial"/>
          <w:b/>
          <w:color w:val="000000"/>
        </w:rPr>
      </w:pPr>
    </w:p>
    <w:p w14:paraId="0BAE8745" w14:textId="3799D256" w:rsidR="003206AC" w:rsidRPr="00E73C2A" w:rsidRDefault="00251AB4" w:rsidP="00FE00C6">
      <w:pPr>
        <w:pStyle w:val="Sinespaciado"/>
        <w:spacing w:line="240" w:lineRule="atLeast"/>
        <w:jc w:val="center"/>
        <w:rPr>
          <w:rFonts w:cs="Arial"/>
          <w:b/>
          <w:bCs/>
        </w:rPr>
      </w:pPr>
      <w:r w:rsidRPr="00E73C2A">
        <w:rPr>
          <w:rFonts w:cs="Arial"/>
          <w:b/>
          <w:bCs/>
        </w:rPr>
        <w:t>Camilo Esteban Ávila Morales</w:t>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ab/>
      </w:r>
      <w:r w:rsidR="0037017A">
        <w:rPr>
          <w:rFonts w:cs="Arial"/>
          <w:b/>
          <w:bCs/>
        </w:rPr>
        <w:t>Germán Rogelio Rozo Anís</w:t>
      </w:r>
    </w:p>
    <w:p w14:paraId="41882B1F" w14:textId="1576AD16" w:rsidR="003206AC" w:rsidRPr="00E73C2A" w:rsidRDefault="00251AB4" w:rsidP="00FE00C6">
      <w:pPr>
        <w:pStyle w:val="Sinespaciado"/>
        <w:spacing w:line="240" w:lineRule="atLeast"/>
        <w:jc w:val="center"/>
        <w:rPr>
          <w:rFonts w:cs="Arial"/>
        </w:rPr>
      </w:pPr>
      <w:r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CF017C">
        <w:rPr>
          <w:rFonts w:cs="Arial"/>
        </w:rPr>
        <w:t>Coordinador ponente</w:t>
      </w:r>
    </w:p>
    <w:p w14:paraId="1FEB21ED" w14:textId="331E58B9" w:rsidR="003206AC" w:rsidRDefault="003206AC" w:rsidP="00FE00C6">
      <w:pPr>
        <w:pStyle w:val="Sinespaciado"/>
        <w:spacing w:line="240" w:lineRule="atLeast"/>
        <w:jc w:val="center"/>
        <w:rPr>
          <w:rFonts w:cs="Arial"/>
          <w:b/>
          <w:bCs/>
        </w:rPr>
      </w:pPr>
    </w:p>
    <w:p w14:paraId="2E3E8DE5" w14:textId="77777777" w:rsidR="00E41EFE" w:rsidRPr="00E73C2A" w:rsidRDefault="00E41EFE" w:rsidP="00FE00C6">
      <w:pPr>
        <w:pStyle w:val="Sinespaciado"/>
        <w:spacing w:line="240" w:lineRule="atLeast"/>
        <w:jc w:val="center"/>
        <w:rPr>
          <w:rFonts w:cs="Arial"/>
          <w:b/>
          <w:bCs/>
        </w:rPr>
      </w:pPr>
    </w:p>
    <w:p w14:paraId="5E6A55CD" w14:textId="109A6D2B" w:rsidR="00E73C2A" w:rsidRDefault="00E73C2A" w:rsidP="00FE00C6">
      <w:pPr>
        <w:pStyle w:val="Sinespaciado"/>
        <w:spacing w:line="240" w:lineRule="atLeast"/>
        <w:jc w:val="center"/>
        <w:rPr>
          <w:rFonts w:cs="Arial"/>
          <w:b/>
          <w:bCs/>
        </w:rPr>
      </w:pPr>
    </w:p>
    <w:p w14:paraId="0F5ABEED" w14:textId="77777777" w:rsidR="00E73C2A" w:rsidRPr="00E73C2A" w:rsidRDefault="00E73C2A" w:rsidP="00FE00C6">
      <w:pPr>
        <w:pStyle w:val="Sinespaciado"/>
        <w:spacing w:line="240" w:lineRule="atLeast"/>
        <w:jc w:val="center"/>
        <w:rPr>
          <w:rFonts w:cs="Arial"/>
          <w:b/>
          <w:bCs/>
        </w:rPr>
      </w:pPr>
    </w:p>
    <w:p w14:paraId="35A7B6CF" w14:textId="6FA2BE5B" w:rsidR="004E40E9" w:rsidRDefault="0037017A" w:rsidP="00FE00C6">
      <w:pPr>
        <w:pStyle w:val="Sinespaciado"/>
        <w:spacing w:line="240" w:lineRule="atLeast"/>
        <w:jc w:val="center"/>
        <w:rPr>
          <w:b/>
          <w:bCs/>
        </w:rPr>
      </w:pPr>
      <w:r>
        <w:rPr>
          <w:b/>
          <w:bCs/>
        </w:rPr>
        <w:t>Emiro Enrique González Martínez</w:t>
      </w:r>
    </w:p>
    <w:p w14:paraId="69A2E9F8" w14:textId="039FBCC2" w:rsidR="00884D43" w:rsidRPr="00884D43" w:rsidRDefault="004E40E9" w:rsidP="00C40226">
      <w:pPr>
        <w:pStyle w:val="Sinespaciado"/>
        <w:spacing w:line="240" w:lineRule="atLeast"/>
        <w:jc w:val="center"/>
      </w:pPr>
      <w:r>
        <w:t>S</w:t>
      </w:r>
      <w:r w:rsidR="0037017A">
        <w:t>ubse</w:t>
      </w:r>
      <w:r>
        <w:t>cretario</w:t>
      </w:r>
    </w:p>
    <w:sectPr w:rsidR="00884D43" w:rsidRPr="00884D43" w:rsidSect="00507A9C">
      <w:headerReference w:type="default" r:id="rId9"/>
      <w:footerReference w:type="default" r:id="rId10"/>
      <w:type w:val="continuous"/>
      <w:pgSz w:w="12240" w:h="15840" w:code="1"/>
      <w:pgMar w:top="1701" w:right="102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A5F9" w14:textId="77777777" w:rsidR="00791833" w:rsidRDefault="00791833">
      <w:pPr>
        <w:spacing w:after="0" w:line="240" w:lineRule="auto"/>
      </w:pPr>
      <w:r>
        <w:separator/>
      </w:r>
    </w:p>
  </w:endnote>
  <w:endnote w:type="continuationSeparator" w:id="0">
    <w:p w14:paraId="6DF8E741" w14:textId="77777777" w:rsidR="00791833" w:rsidRDefault="007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5FC85EE8"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FE00C6">
      <w:rPr>
        <w:rFonts w:ascii="Arial" w:eastAsia="Arial MT" w:hAnsi="Arial" w:cs="Arial"/>
        <w:bCs/>
        <w:sz w:val="14"/>
        <w:szCs w:val="14"/>
        <w:lang w:val="es-ES" w:eastAsia="en-US"/>
      </w:rPr>
      <w:t>0</w:t>
    </w:r>
    <w:r w:rsidR="00884D43">
      <w:rPr>
        <w:rFonts w:ascii="Arial" w:eastAsia="Arial MT" w:hAnsi="Arial" w:cs="Arial"/>
        <w:bCs/>
        <w:sz w:val="14"/>
        <w:szCs w:val="14"/>
        <w:lang w:val="es-ES" w:eastAsia="en-US"/>
      </w:rPr>
      <w:t>75</w:t>
    </w:r>
    <w:r w:rsidR="00197D9B" w:rsidRPr="00202596">
      <w:rPr>
        <w:rFonts w:ascii="Arial" w:eastAsia="Arial MT" w:hAnsi="Arial" w:cs="Arial"/>
        <w:bCs/>
        <w:sz w:val="14"/>
        <w:szCs w:val="14"/>
        <w:lang w:val="es-ES" w:eastAsia="en-US"/>
      </w:rPr>
      <w:t xml:space="preserve"> 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E717" w14:textId="77777777" w:rsidR="00791833" w:rsidRDefault="00791833">
      <w:pPr>
        <w:spacing w:after="0" w:line="240" w:lineRule="auto"/>
      </w:pPr>
      <w:r>
        <w:separator/>
      </w:r>
    </w:p>
  </w:footnote>
  <w:footnote w:type="continuationSeparator" w:id="0">
    <w:p w14:paraId="4B44D9C8" w14:textId="77777777" w:rsidR="00791833" w:rsidRDefault="0079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F455E5"/>
    <w:multiLevelType w:val="multilevel"/>
    <w:tmpl w:val="0076F9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AE178D"/>
    <w:multiLevelType w:val="multilevel"/>
    <w:tmpl w:val="722A2A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3"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CA6AD3"/>
    <w:multiLevelType w:val="multilevel"/>
    <w:tmpl w:val="C868F3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0"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25"/>
  </w:num>
  <w:num w:numId="5">
    <w:abstractNumId w:val="10"/>
  </w:num>
  <w:num w:numId="6">
    <w:abstractNumId w:val="14"/>
  </w:num>
  <w:num w:numId="7">
    <w:abstractNumId w:val="1"/>
  </w:num>
  <w:num w:numId="8">
    <w:abstractNumId w:val="8"/>
  </w:num>
  <w:num w:numId="9">
    <w:abstractNumId w:val="31"/>
  </w:num>
  <w:num w:numId="10">
    <w:abstractNumId w:val="18"/>
  </w:num>
  <w:num w:numId="11">
    <w:abstractNumId w:val="3"/>
  </w:num>
  <w:num w:numId="12">
    <w:abstractNumId w:val="32"/>
  </w:num>
  <w:num w:numId="13">
    <w:abstractNumId w:val="27"/>
  </w:num>
  <w:num w:numId="14">
    <w:abstractNumId w:val="30"/>
  </w:num>
  <w:num w:numId="15">
    <w:abstractNumId w:val="21"/>
  </w:num>
  <w:num w:numId="16">
    <w:abstractNumId w:val="6"/>
  </w:num>
  <w:num w:numId="17">
    <w:abstractNumId w:val="19"/>
  </w:num>
  <w:num w:numId="18">
    <w:abstractNumId w:val="4"/>
  </w:num>
  <w:num w:numId="19">
    <w:abstractNumId w:val="16"/>
  </w:num>
  <w:num w:numId="20">
    <w:abstractNumId w:val="33"/>
  </w:num>
  <w:num w:numId="21">
    <w:abstractNumId w:val="28"/>
  </w:num>
  <w:num w:numId="22">
    <w:abstractNumId w:val="0"/>
  </w:num>
  <w:num w:numId="23">
    <w:abstractNumId w:val="20"/>
  </w:num>
  <w:num w:numId="24">
    <w:abstractNumId w:val="13"/>
  </w:num>
  <w:num w:numId="25">
    <w:abstractNumId w:val="22"/>
  </w:num>
  <w:num w:numId="26">
    <w:abstractNumId w:val="7"/>
  </w:num>
  <w:num w:numId="27">
    <w:abstractNumId w:val="34"/>
  </w:num>
  <w:num w:numId="28">
    <w:abstractNumId w:val="24"/>
  </w:num>
  <w:num w:numId="29">
    <w:abstractNumId w:val="26"/>
  </w:num>
  <w:num w:numId="30">
    <w:abstractNumId w:val="17"/>
  </w:num>
  <w:num w:numId="31">
    <w:abstractNumId w:val="23"/>
  </w:num>
  <w:num w:numId="32">
    <w:abstractNumId w:val="9"/>
  </w:num>
  <w:num w:numId="33">
    <w:abstractNumId w:val="12"/>
  </w:num>
  <w:num w:numId="34">
    <w:abstractNumId w:val="1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D6D79"/>
    <w:rsid w:val="000E596E"/>
    <w:rsid w:val="000F3249"/>
    <w:rsid w:val="000F3F41"/>
    <w:rsid w:val="00102AC9"/>
    <w:rsid w:val="00106067"/>
    <w:rsid w:val="00123872"/>
    <w:rsid w:val="001303C3"/>
    <w:rsid w:val="00134E23"/>
    <w:rsid w:val="00141A7E"/>
    <w:rsid w:val="00145732"/>
    <w:rsid w:val="00155AD7"/>
    <w:rsid w:val="00180E10"/>
    <w:rsid w:val="001826C3"/>
    <w:rsid w:val="00193E1C"/>
    <w:rsid w:val="00197D9B"/>
    <w:rsid w:val="001A3661"/>
    <w:rsid w:val="001A5585"/>
    <w:rsid w:val="001B1C28"/>
    <w:rsid w:val="001B48EE"/>
    <w:rsid w:val="001B6E7B"/>
    <w:rsid w:val="001C10AB"/>
    <w:rsid w:val="001C6DF6"/>
    <w:rsid w:val="001F2842"/>
    <w:rsid w:val="001F7A2A"/>
    <w:rsid w:val="00202596"/>
    <w:rsid w:val="00217B1E"/>
    <w:rsid w:val="00223BDC"/>
    <w:rsid w:val="00227978"/>
    <w:rsid w:val="00245986"/>
    <w:rsid w:val="002461F5"/>
    <w:rsid w:val="0024670B"/>
    <w:rsid w:val="00251AB4"/>
    <w:rsid w:val="00273C01"/>
    <w:rsid w:val="00290644"/>
    <w:rsid w:val="002A1BAF"/>
    <w:rsid w:val="002C21DA"/>
    <w:rsid w:val="002E49B9"/>
    <w:rsid w:val="002E6C1D"/>
    <w:rsid w:val="003206AC"/>
    <w:rsid w:val="00330383"/>
    <w:rsid w:val="00332B24"/>
    <w:rsid w:val="003343A2"/>
    <w:rsid w:val="00344B4D"/>
    <w:rsid w:val="0037017A"/>
    <w:rsid w:val="00374FCF"/>
    <w:rsid w:val="00375224"/>
    <w:rsid w:val="00392FE1"/>
    <w:rsid w:val="003B3F8A"/>
    <w:rsid w:val="003C3541"/>
    <w:rsid w:val="003C5D20"/>
    <w:rsid w:val="003D08DE"/>
    <w:rsid w:val="003D5D35"/>
    <w:rsid w:val="003E5A7A"/>
    <w:rsid w:val="003F2B4A"/>
    <w:rsid w:val="003F3E4F"/>
    <w:rsid w:val="00401837"/>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76AF4"/>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594C"/>
    <w:rsid w:val="00703BB5"/>
    <w:rsid w:val="00711B0E"/>
    <w:rsid w:val="00722B7D"/>
    <w:rsid w:val="00745DA4"/>
    <w:rsid w:val="00751A35"/>
    <w:rsid w:val="007576E4"/>
    <w:rsid w:val="00767847"/>
    <w:rsid w:val="00780935"/>
    <w:rsid w:val="00791833"/>
    <w:rsid w:val="00793F4D"/>
    <w:rsid w:val="007D2959"/>
    <w:rsid w:val="007D2F62"/>
    <w:rsid w:val="007D3C92"/>
    <w:rsid w:val="007E285C"/>
    <w:rsid w:val="007F0D11"/>
    <w:rsid w:val="0080316C"/>
    <w:rsid w:val="0083265E"/>
    <w:rsid w:val="00835180"/>
    <w:rsid w:val="00842BD4"/>
    <w:rsid w:val="00856BE4"/>
    <w:rsid w:val="008571E9"/>
    <w:rsid w:val="00862DF1"/>
    <w:rsid w:val="00874E4E"/>
    <w:rsid w:val="008818F4"/>
    <w:rsid w:val="00884D43"/>
    <w:rsid w:val="008A36E1"/>
    <w:rsid w:val="008A4907"/>
    <w:rsid w:val="008A4A9B"/>
    <w:rsid w:val="008C5481"/>
    <w:rsid w:val="008E2412"/>
    <w:rsid w:val="008E689B"/>
    <w:rsid w:val="008F1E88"/>
    <w:rsid w:val="008F518D"/>
    <w:rsid w:val="00900D93"/>
    <w:rsid w:val="00931B69"/>
    <w:rsid w:val="00980D46"/>
    <w:rsid w:val="00984A08"/>
    <w:rsid w:val="009A5477"/>
    <w:rsid w:val="009B189B"/>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667C"/>
    <w:rsid w:val="00AF7901"/>
    <w:rsid w:val="00B31264"/>
    <w:rsid w:val="00B41338"/>
    <w:rsid w:val="00B4204B"/>
    <w:rsid w:val="00B47081"/>
    <w:rsid w:val="00B57363"/>
    <w:rsid w:val="00B61831"/>
    <w:rsid w:val="00B94C52"/>
    <w:rsid w:val="00BA2504"/>
    <w:rsid w:val="00BA6354"/>
    <w:rsid w:val="00BA6CF0"/>
    <w:rsid w:val="00BD3B0E"/>
    <w:rsid w:val="00BF038C"/>
    <w:rsid w:val="00BF0C76"/>
    <w:rsid w:val="00BF32C7"/>
    <w:rsid w:val="00BF5872"/>
    <w:rsid w:val="00BF5DE4"/>
    <w:rsid w:val="00C04298"/>
    <w:rsid w:val="00C0783C"/>
    <w:rsid w:val="00C10A0F"/>
    <w:rsid w:val="00C2085A"/>
    <w:rsid w:val="00C2162E"/>
    <w:rsid w:val="00C24F1B"/>
    <w:rsid w:val="00C25C47"/>
    <w:rsid w:val="00C25E24"/>
    <w:rsid w:val="00C31B69"/>
    <w:rsid w:val="00C40226"/>
    <w:rsid w:val="00C64587"/>
    <w:rsid w:val="00C85EE9"/>
    <w:rsid w:val="00CA7A0C"/>
    <w:rsid w:val="00CF017C"/>
    <w:rsid w:val="00CF241E"/>
    <w:rsid w:val="00D16302"/>
    <w:rsid w:val="00D410FE"/>
    <w:rsid w:val="00D65C9D"/>
    <w:rsid w:val="00D7060A"/>
    <w:rsid w:val="00D7787B"/>
    <w:rsid w:val="00DC1FF5"/>
    <w:rsid w:val="00E02D4A"/>
    <w:rsid w:val="00E10837"/>
    <w:rsid w:val="00E2082D"/>
    <w:rsid w:val="00E27292"/>
    <w:rsid w:val="00E41EFE"/>
    <w:rsid w:val="00E73C2A"/>
    <w:rsid w:val="00E84909"/>
    <w:rsid w:val="00EB3579"/>
    <w:rsid w:val="00ED4980"/>
    <w:rsid w:val="00EF5B1B"/>
    <w:rsid w:val="00F04E2C"/>
    <w:rsid w:val="00F25E2F"/>
    <w:rsid w:val="00F42CA9"/>
    <w:rsid w:val="00F451A7"/>
    <w:rsid w:val="00F50D3E"/>
    <w:rsid w:val="00F66F0B"/>
    <w:rsid w:val="00F67633"/>
    <w:rsid w:val="00F718B4"/>
    <w:rsid w:val="00F81F67"/>
    <w:rsid w:val="00F923A0"/>
    <w:rsid w:val="00F94622"/>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1194</Words>
  <Characters>6569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8</cp:revision>
  <cp:lastPrinted>2025-10-21T19:45:00Z</cp:lastPrinted>
  <dcterms:created xsi:type="dcterms:W3CDTF">2025-10-28T22:39:00Z</dcterms:created>
  <dcterms:modified xsi:type="dcterms:W3CDTF">2025-10-28T22:56:00Z</dcterms:modified>
</cp:coreProperties>
</file>