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BE8A" w14:textId="7777777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Rama Legislativa del Poder Público</w:t>
      </w:r>
    </w:p>
    <w:p w14:paraId="093E8150" w14:textId="7777777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Comisión Séptima Constitucional Permanente</w:t>
      </w:r>
    </w:p>
    <w:p w14:paraId="3DF390FC" w14:textId="7CF82A4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Legislatura 202</w:t>
      </w:r>
      <w:r w:rsidR="003F3E4F">
        <w:rPr>
          <w:rFonts w:ascii="Edwardian Script ITC" w:hAnsi="Edwardian Script ITC"/>
          <w:b/>
          <w:sz w:val="36"/>
          <w:szCs w:val="36"/>
        </w:rPr>
        <w:t>5</w:t>
      </w:r>
      <w:r w:rsidRPr="002C21DA">
        <w:rPr>
          <w:rFonts w:ascii="Edwardian Script ITC" w:hAnsi="Edwardian Script ITC"/>
          <w:b/>
          <w:sz w:val="36"/>
          <w:szCs w:val="36"/>
        </w:rPr>
        <w:t>-202</w:t>
      </w:r>
      <w:r w:rsidR="003F3E4F">
        <w:rPr>
          <w:rFonts w:ascii="Edwardian Script ITC" w:hAnsi="Edwardian Script ITC"/>
          <w:b/>
          <w:sz w:val="36"/>
          <w:szCs w:val="36"/>
        </w:rPr>
        <w:t>6</w:t>
      </w:r>
    </w:p>
    <w:p w14:paraId="440DF2DB" w14:textId="77777777" w:rsidR="00900D93" w:rsidRPr="00330383" w:rsidRDefault="00900D93" w:rsidP="00FE00C6">
      <w:pPr>
        <w:pBdr>
          <w:top w:val="nil"/>
          <w:left w:val="nil"/>
          <w:bottom w:val="nil"/>
          <w:right w:val="nil"/>
          <w:between w:val="nil"/>
        </w:pBdr>
        <w:spacing w:after="0" w:line="240" w:lineRule="atLeast"/>
        <w:jc w:val="center"/>
        <w:rPr>
          <w:rFonts w:ascii="Arial" w:eastAsia="Pinyon Script" w:hAnsi="Arial" w:cs="Arial"/>
          <w:b/>
          <w:color w:val="000000"/>
          <w:highlight w:val="yellow"/>
        </w:rPr>
      </w:pPr>
    </w:p>
    <w:p w14:paraId="662A9732" w14:textId="606767D9" w:rsidR="00900D93" w:rsidRPr="003206AC" w:rsidRDefault="000F3249" w:rsidP="00FE00C6">
      <w:pPr>
        <w:pStyle w:val="Sinespaciado"/>
        <w:spacing w:line="240" w:lineRule="atLeast"/>
        <w:rPr>
          <w:rFonts w:eastAsia="Arial" w:cs="Arial"/>
          <w:b/>
          <w:color w:val="000000"/>
        </w:rPr>
      </w:pPr>
      <w:r w:rsidRPr="003206AC">
        <w:rPr>
          <w:rFonts w:eastAsia="Arial" w:cs="Arial"/>
          <w:b/>
          <w:color w:val="000000"/>
        </w:rPr>
        <w:t xml:space="preserve">TEXTO DEFINITIVO APROBADO EN PRIMER DEBATE DEL </w:t>
      </w:r>
      <w:r w:rsidRPr="003206AC">
        <w:rPr>
          <w:rFonts w:eastAsia="Arial" w:cs="Arial"/>
          <w:b/>
        </w:rPr>
        <w:t xml:space="preserve">PROYECTO DE LEY </w:t>
      </w:r>
      <w:r w:rsidR="007E285C" w:rsidRPr="007E285C">
        <w:rPr>
          <w:rFonts w:eastAsia="Arial MT" w:cs="Arial"/>
          <w:b/>
          <w:bCs/>
          <w:lang w:val="es-ES" w:eastAsia="es-CO"/>
        </w:rPr>
        <w:t>No. 082 DE 2025 CÁMARA “POR MEDIO DE LA CUAL SE GARANTIZA EL ACCESO AL SISTEMA GENERAL DE SEGURIDAD SOCIAL EN SALUD, SE ESTABLECEN SEGUROS, AUXILIOS Y BENEFICIOS A LOS DIGNATARIOS DE LOS ORGANISMOS DE ACCIÓN COMUNAL Y SE DICTAN OTRAS DISPOSICIONES”.</w:t>
      </w:r>
      <w:r w:rsidR="007E285C" w:rsidRPr="007E285C">
        <w:rPr>
          <w:rFonts w:cs="Arial"/>
          <w:b/>
          <w:bCs/>
        </w:rPr>
        <w:t xml:space="preserve"> </w:t>
      </w:r>
      <w:r w:rsidR="0080316C" w:rsidRPr="003206AC">
        <w:rPr>
          <w:rFonts w:cs="Arial"/>
          <w:b/>
        </w:rPr>
        <w:t xml:space="preserve"> </w:t>
      </w:r>
    </w:p>
    <w:p w14:paraId="0AF738A0" w14:textId="77777777" w:rsidR="00931B69" w:rsidRPr="003206AC" w:rsidRDefault="00931B69" w:rsidP="00FE00C6">
      <w:pPr>
        <w:pStyle w:val="Sinespaciado"/>
        <w:spacing w:line="240" w:lineRule="atLeast"/>
        <w:jc w:val="center"/>
        <w:rPr>
          <w:rFonts w:cs="Arial"/>
        </w:rPr>
      </w:pPr>
    </w:p>
    <w:p w14:paraId="49441556" w14:textId="4FF3FEEF" w:rsidR="00900D93" w:rsidRPr="003206AC" w:rsidRDefault="000F3249" w:rsidP="00FE00C6">
      <w:pPr>
        <w:pStyle w:val="Sinespaciado"/>
        <w:spacing w:line="240" w:lineRule="atLeast"/>
        <w:jc w:val="center"/>
        <w:rPr>
          <w:rFonts w:cs="Arial"/>
        </w:rPr>
      </w:pPr>
      <w:r w:rsidRPr="003206AC">
        <w:rPr>
          <w:rFonts w:cs="Arial"/>
        </w:rPr>
        <w:t>(Aprobado en la</w:t>
      </w:r>
      <w:r w:rsidR="00722B7D" w:rsidRPr="003206AC">
        <w:rPr>
          <w:rFonts w:cs="Arial"/>
        </w:rPr>
        <w:t xml:space="preserve"> sesión</w:t>
      </w:r>
      <w:r w:rsidR="00874E4E" w:rsidRPr="003206AC">
        <w:rPr>
          <w:rFonts w:cs="Arial"/>
        </w:rPr>
        <w:t xml:space="preserve"> presencial </w:t>
      </w:r>
      <w:r w:rsidR="00722B7D" w:rsidRPr="003206AC">
        <w:rPr>
          <w:rFonts w:cs="Arial"/>
        </w:rPr>
        <w:t>del</w:t>
      </w:r>
      <w:r w:rsidR="00874E4E" w:rsidRPr="003206AC">
        <w:rPr>
          <w:rFonts w:cs="Arial"/>
        </w:rPr>
        <w:t xml:space="preserve"> </w:t>
      </w:r>
      <w:r w:rsidR="00155AD7">
        <w:rPr>
          <w:rFonts w:cs="Arial"/>
        </w:rPr>
        <w:t>2</w:t>
      </w:r>
      <w:r w:rsidR="007E285C">
        <w:rPr>
          <w:rFonts w:cs="Arial"/>
        </w:rPr>
        <w:t>8</w:t>
      </w:r>
      <w:r w:rsidR="00197D9B">
        <w:rPr>
          <w:rFonts w:cs="Arial"/>
        </w:rPr>
        <w:t xml:space="preserve"> de </w:t>
      </w:r>
      <w:r w:rsidR="00155AD7">
        <w:rPr>
          <w:rFonts w:cs="Arial"/>
        </w:rPr>
        <w:t>octubre</w:t>
      </w:r>
      <w:r w:rsidR="00197D9B">
        <w:rPr>
          <w:rFonts w:cs="Arial"/>
        </w:rPr>
        <w:t xml:space="preserve"> </w:t>
      </w:r>
      <w:r w:rsidR="004C3EB2">
        <w:rPr>
          <w:rFonts w:cs="Arial"/>
        </w:rPr>
        <w:t>d</w:t>
      </w:r>
      <w:r w:rsidR="00155AD7">
        <w:rPr>
          <w:rFonts w:cs="Arial"/>
        </w:rPr>
        <w:t>e</w:t>
      </w:r>
      <w:r w:rsidR="004C3EB2">
        <w:rPr>
          <w:rFonts w:cs="Arial"/>
        </w:rPr>
        <w:t xml:space="preserve"> 2025</w:t>
      </w:r>
      <w:r w:rsidR="009A5477" w:rsidRPr="003206AC">
        <w:rPr>
          <w:rFonts w:cs="Arial"/>
        </w:rPr>
        <w:t xml:space="preserve">, Comisión VII Constitucional </w:t>
      </w:r>
      <w:r w:rsidRPr="003206AC">
        <w:rPr>
          <w:rFonts w:cs="Arial"/>
        </w:rPr>
        <w:t xml:space="preserve">Permanente de la H. Cámara de Representantes, </w:t>
      </w:r>
      <w:r w:rsidR="009A5477" w:rsidRPr="003206AC">
        <w:rPr>
          <w:rFonts w:cs="Arial"/>
        </w:rPr>
        <w:t>a</w:t>
      </w:r>
      <w:r w:rsidRPr="003206AC">
        <w:rPr>
          <w:rFonts w:cs="Arial"/>
        </w:rPr>
        <w:t xml:space="preserve">cta No. </w:t>
      </w:r>
      <w:r w:rsidR="00197D9B">
        <w:rPr>
          <w:rFonts w:cs="Arial"/>
        </w:rPr>
        <w:t>1</w:t>
      </w:r>
      <w:r w:rsidR="007E285C">
        <w:rPr>
          <w:rFonts w:cs="Arial"/>
        </w:rPr>
        <w:t>4</w:t>
      </w:r>
      <w:r w:rsidRPr="003206AC">
        <w:rPr>
          <w:rFonts w:cs="Arial"/>
        </w:rPr>
        <w:t>)</w:t>
      </w:r>
    </w:p>
    <w:p w14:paraId="53F35B75" w14:textId="77777777" w:rsidR="00900D93" w:rsidRPr="003206AC" w:rsidRDefault="000F3249" w:rsidP="00FE00C6">
      <w:pPr>
        <w:spacing w:before="240" w:after="0" w:line="240" w:lineRule="atLeast"/>
        <w:jc w:val="center"/>
        <w:rPr>
          <w:rFonts w:ascii="Arial" w:eastAsia="Arial" w:hAnsi="Arial" w:cs="Arial"/>
          <w:b/>
        </w:rPr>
      </w:pPr>
      <w:r w:rsidRPr="003206AC">
        <w:rPr>
          <w:rFonts w:ascii="Arial" w:eastAsia="Arial" w:hAnsi="Arial" w:cs="Arial"/>
          <w:b/>
        </w:rPr>
        <w:t>EL CONGRESO DE COLOMBIA</w:t>
      </w:r>
    </w:p>
    <w:p w14:paraId="3A0881D4" w14:textId="77777777" w:rsidR="00900D93" w:rsidRPr="003206AC" w:rsidRDefault="000F3249" w:rsidP="00FE00C6">
      <w:pPr>
        <w:spacing w:before="240" w:after="0" w:line="240" w:lineRule="atLeast"/>
        <w:jc w:val="center"/>
        <w:rPr>
          <w:rFonts w:ascii="Arial" w:eastAsia="Arial" w:hAnsi="Arial" w:cs="Arial"/>
          <w:b/>
        </w:rPr>
      </w:pPr>
      <w:r w:rsidRPr="003206AC">
        <w:rPr>
          <w:rFonts w:ascii="Arial" w:eastAsia="Arial" w:hAnsi="Arial" w:cs="Arial"/>
          <w:b/>
        </w:rPr>
        <w:t>DECRETA:</w:t>
      </w:r>
    </w:p>
    <w:p w14:paraId="73697230" w14:textId="77777777" w:rsidR="00D410FE" w:rsidRPr="003206AC" w:rsidRDefault="00D410FE" w:rsidP="00FE00C6">
      <w:pPr>
        <w:pStyle w:val="Sinespaciado"/>
        <w:spacing w:line="240" w:lineRule="atLeast"/>
        <w:rPr>
          <w:rFonts w:cs="Arial"/>
        </w:rPr>
      </w:pPr>
    </w:p>
    <w:p w14:paraId="1A5A15E1" w14:textId="77777777" w:rsidR="0037017A" w:rsidRPr="0037017A" w:rsidRDefault="0037017A" w:rsidP="00C31B69">
      <w:pPr>
        <w:spacing w:after="0" w:line="240" w:lineRule="atLeast"/>
        <w:jc w:val="both"/>
        <w:rPr>
          <w:rFonts w:ascii="Arial" w:eastAsia="Arial" w:hAnsi="Arial" w:cs="Arial"/>
          <w:lang w:val="es" w:eastAsia="es-CO"/>
        </w:rPr>
      </w:pPr>
      <w:r w:rsidRPr="0037017A">
        <w:rPr>
          <w:rFonts w:ascii="Arial" w:eastAsia="Arial" w:hAnsi="Arial" w:cs="Arial"/>
          <w:b/>
          <w:lang w:val="es" w:eastAsia="es-CO"/>
        </w:rPr>
        <w:t>Artículo 1. Objeto.</w:t>
      </w:r>
      <w:r w:rsidRPr="0037017A">
        <w:rPr>
          <w:rFonts w:ascii="Arial" w:eastAsia="Arial" w:hAnsi="Arial" w:cs="Arial"/>
          <w:lang w:val="es" w:eastAsia="es-CO"/>
        </w:rPr>
        <w:t xml:space="preserve"> La presente Ley tiene por objeto dignificar el servicio voluntario de los líderes comunales, estableciendo mecanismos para garantizar el pleno ejercicio de su derecho a la seguridad social en salud, así como otorgar seguros, auxilios y beneficios en favor de los dignatarios de los Organismos de Acción Comunal, conforme a lo dispuesto en los artículos 37 y 38 de la Ley 2166 de 2021, o en las normas que la modifiquen, adicionen o complementen.</w:t>
      </w:r>
    </w:p>
    <w:p w14:paraId="0D062937" w14:textId="77777777" w:rsidR="0037017A" w:rsidRPr="0037017A" w:rsidRDefault="0037017A" w:rsidP="00C31B69">
      <w:pPr>
        <w:spacing w:after="0" w:line="240" w:lineRule="atLeast"/>
        <w:jc w:val="both"/>
        <w:rPr>
          <w:rFonts w:ascii="Arial" w:eastAsia="Arial" w:hAnsi="Arial" w:cs="Arial"/>
          <w:lang w:val="es" w:eastAsia="es-CO"/>
        </w:rPr>
      </w:pPr>
    </w:p>
    <w:p w14:paraId="4067D99A" w14:textId="77777777" w:rsidR="0037017A" w:rsidRPr="0037017A" w:rsidRDefault="0037017A" w:rsidP="00C31B69">
      <w:pPr>
        <w:spacing w:after="0" w:line="240" w:lineRule="atLeast"/>
        <w:jc w:val="both"/>
        <w:rPr>
          <w:rFonts w:ascii="Arial" w:eastAsia="Arial" w:hAnsi="Arial" w:cs="Arial"/>
          <w:lang w:val="es" w:eastAsia="es-CO"/>
        </w:rPr>
      </w:pPr>
      <w:r w:rsidRPr="0037017A">
        <w:rPr>
          <w:rFonts w:ascii="Arial" w:eastAsia="Arial" w:hAnsi="Arial" w:cs="Arial"/>
          <w:b/>
          <w:lang w:val="es" w:eastAsia="es-CO"/>
        </w:rPr>
        <w:t>Artículo 2. Afiliación al Sistema General de Seguridad Social en Salud para los dignatarios de los Organismos de Acción Comunal.</w:t>
      </w:r>
      <w:r w:rsidRPr="0037017A">
        <w:rPr>
          <w:rFonts w:ascii="Arial" w:eastAsia="Arial" w:hAnsi="Arial" w:cs="Arial"/>
          <w:lang w:val="es" w:eastAsia="es-CO"/>
        </w:rPr>
        <w:t xml:space="preserve"> Cuando un dignatario de los Organismos de Acción Comunal no cuente con afiliación al Sistema General de Seguridad Social en Salud (SGSSS), el Organismo de Acción Comunal, a través de su Secretario General informará de forma inmediata desde el conocimiento de la novedad a la Secretaría de Salud de </w:t>
      </w:r>
      <w:r w:rsidRPr="0037017A">
        <w:rPr>
          <w:rFonts w:ascii="Arial" w:hAnsi="Arial" w:cs="Arial"/>
          <w:lang w:val="es-ES" w:eastAsia="es-CO"/>
        </w:rPr>
        <w:t xml:space="preserve">la alcaldía municipal o distrital respectiva </w:t>
      </w:r>
      <w:r w:rsidRPr="0037017A">
        <w:rPr>
          <w:rFonts w:ascii="Arial" w:eastAsia="Arial" w:hAnsi="Arial" w:cs="Arial"/>
          <w:lang w:val="es" w:eastAsia="es-CO"/>
        </w:rPr>
        <w:t xml:space="preserve">para que se inicie u oriente el trámite de afiliación en el Régimen que corresponda. </w:t>
      </w:r>
    </w:p>
    <w:p w14:paraId="6B13D2BE" w14:textId="77777777" w:rsidR="0037017A" w:rsidRPr="0037017A" w:rsidRDefault="0037017A" w:rsidP="00C31B69">
      <w:pPr>
        <w:spacing w:after="0" w:line="240" w:lineRule="atLeast"/>
        <w:jc w:val="both"/>
        <w:rPr>
          <w:rFonts w:ascii="Arial" w:eastAsia="Arial" w:hAnsi="Arial" w:cs="Arial"/>
          <w:lang w:val="es" w:eastAsia="es-CO"/>
        </w:rPr>
      </w:pPr>
    </w:p>
    <w:p w14:paraId="7288AF24" w14:textId="77777777" w:rsidR="0037017A" w:rsidRPr="0037017A" w:rsidRDefault="0037017A" w:rsidP="00C31B69">
      <w:pPr>
        <w:spacing w:after="0" w:line="240" w:lineRule="atLeast"/>
        <w:jc w:val="both"/>
        <w:rPr>
          <w:rFonts w:ascii="Arial" w:eastAsia="Arial" w:hAnsi="Arial" w:cs="Arial"/>
          <w:lang w:val="es" w:eastAsia="es-CO"/>
        </w:rPr>
      </w:pPr>
      <w:r w:rsidRPr="0037017A">
        <w:rPr>
          <w:rFonts w:ascii="Arial" w:eastAsia="Arial" w:hAnsi="Arial" w:cs="Arial"/>
          <w:lang w:val="es" w:eastAsia="es-CO"/>
        </w:rPr>
        <w:t>En caso de ausencia del Secretario General, la novedad deberá ser reportada por algún otro miembros de su Junta Directiva.</w:t>
      </w:r>
    </w:p>
    <w:p w14:paraId="00B3FC7B" w14:textId="77777777" w:rsidR="0037017A" w:rsidRPr="0037017A" w:rsidRDefault="0037017A" w:rsidP="00C31B69">
      <w:pPr>
        <w:spacing w:after="0" w:line="240" w:lineRule="atLeast"/>
        <w:jc w:val="both"/>
        <w:rPr>
          <w:rFonts w:ascii="Arial" w:eastAsia="Arial" w:hAnsi="Arial" w:cs="Arial"/>
          <w:lang w:val="es" w:eastAsia="es-CO"/>
        </w:rPr>
      </w:pPr>
    </w:p>
    <w:p w14:paraId="13E9ACAA" w14:textId="77777777" w:rsidR="0037017A" w:rsidRPr="0037017A" w:rsidRDefault="0037017A" w:rsidP="00C31B69">
      <w:pPr>
        <w:spacing w:after="0" w:line="240" w:lineRule="atLeast"/>
        <w:jc w:val="both"/>
        <w:rPr>
          <w:rFonts w:ascii="Arial" w:eastAsia="Arial" w:hAnsi="Arial" w:cs="Arial"/>
          <w:lang w:val="es" w:eastAsia="es-CO"/>
        </w:rPr>
      </w:pPr>
      <w:r w:rsidRPr="0037017A">
        <w:rPr>
          <w:rFonts w:ascii="Arial" w:eastAsia="Arial" w:hAnsi="Arial" w:cs="Arial"/>
          <w:b/>
          <w:lang w:val="es" w:eastAsia="es-CO"/>
        </w:rPr>
        <w:t xml:space="preserve">Artículo 3. Solicitud de caracterización. </w:t>
      </w:r>
      <w:r w:rsidRPr="0037017A">
        <w:rPr>
          <w:rFonts w:ascii="Arial" w:eastAsia="Arial" w:hAnsi="Arial" w:cs="Arial"/>
          <w:lang w:val="es" w:eastAsia="es-CO"/>
        </w:rPr>
        <w:t>En caso de que un dignatario no se encuentre registrado en el Sisbén o en el sistema que haga sus veces, el dignatario del Organismo de Acción Comunal podrá solicitar a la Alcaldía Municipal o Distrital la realización del proceso de caracterización. Este proceso deberá adelantarse en un plazo máximo de treinta días (30) calendario, contados a partir de la radicación de la solicitud.</w:t>
      </w:r>
    </w:p>
    <w:p w14:paraId="0691AF28" w14:textId="77777777" w:rsidR="0037017A" w:rsidRPr="0037017A" w:rsidRDefault="0037017A" w:rsidP="00C31B69">
      <w:pPr>
        <w:spacing w:after="0" w:line="240" w:lineRule="atLeast"/>
        <w:jc w:val="both"/>
        <w:rPr>
          <w:rFonts w:ascii="Arial" w:eastAsia="Arial" w:hAnsi="Arial" w:cs="Arial"/>
          <w:lang w:val="es" w:eastAsia="es-CO"/>
        </w:rPr>
      </w:pPr>
    </w:p>
    <w:p w14:paraId="1DF955C2" w14:textId="77777777" w:rsidR="0037017A" w:rsidRPr="0037017A" w:rsidRDefault="0037017A" w:rsidP="00C31B69">
      <w:pPr>
        <w:spacing w:after="0" w:line="240" w:lineRule="atLeast"/>
        <w:jc w:val="both"/>
        <w:rPr>
          <w:rFonts w:ascii="Arial" w:eastAsia="Arial" w:hAnsi="Arial" w:cs="Arial"/>
          <w:lang w:val="es" w:eastAsia="es-CO"/>
        </w:rPr>
      </w:pPr>
      <w:r w:rsidRPr="0037017A">
        <w:rPr>
          <w:rFonts w:ascii="Arial" w:eastAsia="Arial" w:hAnsi="Arial" w:cs="Arial"/>
          <w:b/>
          <w:lang w:val="es" w:eastAsia="es-CO"/>
        </w:rPr>
        <w:t xml:space="preserve">Artículo 4. Beneficios para dignatarios de los Organismos de Acción Comunal. </w:t>
      </w:r>
      <w:r w:rsidRPr="0037017A">
        <w:rPr>
          <w:rFonts w:ascii="Arial" w:eastAsia="Arial" w:hAnsi="Arial" w:cs="Arial"/>
          <w:lang w:val="es" w:eastAsia="es-CO"/>
        </w:rPr>
        <w:t xml:space="preserve">Adiciónese los siguientes literales al artículo 39 de la Ley 2166 de 2021: </w:t>
      </w:r>
    </w:p>
    <w:p w14:paraId="015BA280" w14:textId="77777777" w:rsidR="0037017A" w:rsidRPr="0037017A" w:rsidRDefault="0037017A" w:rsidP="00C31B69">
      <w:pPr>
        <w:spacing w:after="0" w:line="240" w:lineRule="atLeast"/>
        <w:jc w:val="both"/>
        <w:rPr>
          <w:rFonts w:ascii="Arial" w:eastAsia="Arial" w:hAnsi="Arial" w:cs="Arial"/>
          <w:lang w:val="es" w:eastAsia="es-CO"/>
        </w:rPr>
      </w:pPr>
    </w:p>
    <w:p w14:paraId="3375A802" w14:textId="77777777" w:rsidR="0037017A" w:rsidRPr="0037017A" w:rsidRDefault="0037017A" w:rsidP="00C31B69">
      <w:pPr>
        <w:spacing w:after="0" w:line="240" w:lineRule="atLeast"/>
        <w:jc w:val="both"/>
        <w:rPr>
          <w:rFonts w:ascii="Arial" w:eastAsia="Arial" w:hAnsi="Arial" w:cs="Arial"/>
          <w:b/>
          <w:bCs/>
          <w:lang w:val="es" w:eastAsia="es-CO"/>
        </w:rPr>
      </w:pPr>
      <w:r w:rsidRPr="0037017A">
        <w:rPr>
          <w:rFonts w:ascii="Arial" w:eastAsia="Arial" w:hAnsi="Arial" w:cs="Arial"/>
          <w:b/>
          <w:lang w:val="es" w:eastAsia="es-CO"/>
        </w:rPr>
        <w:t xml:space="preserve">g. Seguro exequial. </w:t>
      </w:r>
      <w:r w:rsidRPr="0037017A">
        <w:rPr>
          <w:rFonts w:ascii="Arial" w:eastAsia="Arial" w:hAnsi="Arial" w:cs="Arial"/>
          <w:lang w:val="es" w:eastAsia="es-CO"/>
        </w:rPr>
        <w:t>El Gobierno Nacional, en coordinación con las entidades territoriales, deberá establecer auxilios exequiales para dar cobertura en caso de fallecimiento de un dignatario de los Organismos de acción Comunal por cualquier causa durante el ejercicio de su dignidad, que no se encuentren activos en el sistema pensional, y cuya familia sobreviviente carezca de los medios económicos para sufragar los servicios exequiales</w:t>
      </w:r>
      <w:r w:rsidRPr="0037017A">
        <w:rPr>
          <w:rFonts w:ascii="Arial" w:eastAsia="Arial" w:hAnsi="Arial" w:cs="Arial"/>
          <w:b/>
          <w:bCs/>
          <w:lang w:val="es" w:eastAsia="es-CO"/>
        </w:rPr>
        <w:t>.</w:t>
      </w:r>
    </w:p>
    <w:p w14:paraId="43BB29F5" w14:textId="77777777" w:rsidR="0037017A" w:rsidRPr="0037017A" w:rsidRDefault="0037017A" w:rsidP="00C31B69">
      <w:pPr>
        <w:spacing w:after="0" w:line="240" w:lineRule="atLeast"/>
        <w:jc w:val="both"/>
        <w:rPr>
          <w:rFonts w:ascii="Arial" w:eastAsia="Arial" w:hAnsi="Arial" w:cs="Arial"/>
          <w:lang w:val="es" w:eastAsia="es-CO"/>
        </w:rPr>
      </w:pPr>
    </w:p>
    <w:p w14:paraId="7E4585CD" w14:textId="77777777" w:rsidR="0037017A" w:rsidRPr="0037017A" w:rsidRDefault="0037017A" w:rsidP="00C31B69">
      <w:pPr>
        <w:spacing w:after="0" w:line="240" w:lineRule="atLeast"/>
        <w:jc w:val="both"/>
        <w:rPr>
          <w:rFonts w:ascii="Arial" w:eastAsia="Arial" w:hAnsi="Arial" w:cs="Arial"/>
          <w:lang w:val="es" w:eastAsia="es-CO"/>
        </w:rPr>
      </w:pPr>
      <w:r w:rsidRPr="0037017A">
        <w:rPr>
          <w:rFonts w:ascii="Arial" w:eastAsia="Arial" w:hAnsi="Arial" w:cs="Arial"/>
          <w:b/>
          <w:lang w:val="es" w:eastAsia="es-CO"/>
        </w:rPr>
        <w:lastRenderedPageBreak/>
        <w:t xml:space="preserve">h. Seguro de vida. </w:t>
      </w:r>
      <w:r w:rsidRPr="0037017A">
        <w:rPr>
          <w:rFonts w:ascii="Arial" w:eastAsia="Arial" w:hAnsi="Arial" w:cs="Arial"/>
          <w:lang w:val="es" w:eastAsia="es-CO"/>
        </w:rPr>
        <w:t xml:space="preserve">El Gobierno Nacional, en coordinación con las entidades territoriales, en desarrollo del principio de concurrencia, deberá establecer contratos de seguros de vida colectivos para dar cobertura a los beneficiarios directos de los dignatarios de los organismos de acción comunal. En caso de que dichos dignatarios sean víctimas de homicidio, muerte natural, o sufran invalidez permanente por accidente o enfermedad. </w:t>
      </w:r>
    </w:p>
    <w:p w14:paraId="4C2AF598" w14:textId="77777777" w:rsidR="0037017A" w:rsidRPr="0037017A" w:rsidRDefault="0037017A" w:rsidP="00C31B69">
      <w:pPr>
        <w:spacing w:after="0" w:line="240" w:lineRule="atLeast"/>
        <w:jc w:val="both"/>
        <w:rPr>
          <w:rFonts w:ascii="Arial" w:eastAsia="Arial" w:hAnsi="Arial" w:cs="Arial"/>
          <w:lang w:val="es" w:eastAsia="es-CO"/>
        </w:rPr>
      </w:pPr>
    </w:p>
    <w:p w14:paraId="271CA641" w14:textId="77777777" w:rsidR="0037017A" w:rsidRPr="0037017A" w:rsidRDefault="0037017A" w:rsidP="00C31B69">
      <w:pPr>
        <w:spacing w:after="0" w:line="240" w:lineRule="atLeast"/>
        <w:jc w:val="both"/>
        <w:rPr>
          <w:rFonts w:ascii="Arial" w:eastAsia="Arial" w:hAnsi="Arial" w:cs="Arial"/>
          <w:lang w:val="es" w:eastAsia="es-CO"/>
        </w:rPr>
      </w:pPr>
      <w:r w:rsidRPr="0037017A">
        <w:rPr>
          <w:rFonts w:ascii="Arial" w:eastAsia="Arial" w:hAnsi="Arial" w:cs="Arial"/>
          <w:b/>
          <w:lang w:val="es" w:eastAsia="es-CO"/>
        </w:rPr>
        <w:t>i. Seguro por invalidez.</w:t>
      </w:r>
      <w:r w:rsidRPr="0037017A">
        <w:rPr>
          <w:rFonts w:ascii="Arial" w:eastAsia="Arial" w:hAnsi="Arial" w:cs="Arial"/>
          <w:lang w:val="es" w:eastAsia="es-CO"/>
        </w:rPr>
        <w:t xml:space="preserve"> El Gobierno Nacional, en coordinación con las entidades territoriales, en desarrollo del principio de concurrencia, deberá contratar un seguro de invalidez, que garantice el pago de la incapacidad temporal sufrida por el dignatario de los Organismos de Acción Comunal, durante el ejercicio de sus funciones.</w:t>
      </w:r>
    </w:p>
    <w:p w14:paraId="1122E3E2" w14:textId="77777777" w:rsidR="0037017A" w:rsidRPr="0037017A" w:rsidRDefault="0037017A" w:rsidP="00C31B69">
      <w:pPr>
        <w:spacing w:after="0" w:line="240" w:lineRule="atLeast"/>
        <w:jc w:val="both"/>
        <w:rPr>
          <w:rFonts w:ascii="Arial" w:eastAsia="Arial" w:hAnsi="Arial" w:cs="Arial"/>
          <w:lang w:val="es" w:eastAsia="es-CO"/>
        </w:rPr>
      </w:pPr>
    </w:p>
    <w:p w14:paraId="028D0788" w14:textId="77777777" w:rsidR="0037017A" w:rsidRPr="0037017A" w:rsidRDefault="0037017A" w:rsidP="00C31B69">
      <w:pPr>
        <w:spacing w:after="0" w:line="240" w:lineRule="atLeast"/>
        <w:jc w:val="both"/>
        <w:rPr>
          <w:rFonts w:ascii="Arial" w:eastAsia="Arial" w:hAnsi="Arial" w:cs="Arial"/>
          <w:lang w:val="es-ES" w:eastAsia="es-CO"/>
        </w:rPr>
      </w:pPr>
      <w:r w:rsidRPr="0037017A">
        <w:rPr>
          <w:rFonts w:ascii="Arial" w:eastAsia="Arial" w:hAnsi="Arial" w:cs="Arial"/>
          <w:lang w:val="es-ES" w:eastAsia="es-CO"/>
        </w:rPr>
        <w:t>Este seguro estará destinado a aquellos dignatarios que no estén afiliados al sistema pensional y, por lo tanto, no cumplan con los requisitos de cotización establecidos por la Ley.</w:t>
      </w:r>
    </w:p>
    <w:p w14:paraId="7766A93F" w14:textId="77777777" w:rsidR="0037017A" w:rsidRPr="0037017A" w:rsidRDefault="0037017A" w:rsidP="00C31B69">
      <w:pPr>
        <w:spacing w:after="0" w:line="240" w:lineRule="atLeast"/>
        <w:jc w:val="both"/>
        <w:rPr>
          <w:rFonts w:ascii="Arial" w:eastAsia="Arial" w:hAnsi="Arial" w:cs="Arial"/>
          <w:lang w:val="es" w:eastAsia="es-CO"/>
        </w:rPr>
      </w:pPr>
    </w:p>
    <w:p w14:paraId="3877C29C" w14:textId="77777777" w:rsidR="0037017A" w:rsidRPr="0037017A" w:rsidRDefault="0037017A" w:rsidP="00C31B69">
      <w:pPr>
        <w:spacing w:after="0" w:line="240" w:lineRule="atLeast"/>
        <w:jc w:val="both"/>
        <w:rPr>
          <w:sz w:val="24"/>
          <w:szCs w:val="24"/>
          <w:lang w:eastAsia="es-CO"/>
        </w:rPr>
      </w:pPr>
      <w:r w:rsidRPr="0037017A">
        <w:rPr>
          <w:rFonts w:ascii="Arial" w:eastAsia="Arial" w:hAnsi="Arial" w:cs="Arial"/>
          <w:b/>
          <w:lang w:val="es" w:eastAsia="es-CO"/>
        </w:rPr>
        <w:t>j. Derecho de Protección Especial.</w:t>
      </w:r>
      <w:r w:rsidRPr="0037017A">
        <w:rPr>
          <w:rFonts w:ascii="Arial" w:eastAsia="Arial" w:hAnsi="Arial" w:cs="Arial"/>
          <w:lang w:val="es" w:eastAsia="es-CO"/>
        </w:rPr>
        <w:t xml:space="preserve"> El Gobierno Nacional, por intermedio del Ministerio del Interior </w:t>
      </w:r>
      <w:r w:rsidRPr="0037017A">
        <w:rPr>
          <w:rFonts w:ascii="Arial" w:hAnsi="Arial" w:cs="Arial"/>
          <w:lang w:eastAsia="es-CO"/>
        </w:rPr>
        <w:t>coordinará con las autoridades competentes en medidas de protección y las autoridades</w:t>
      </w:r>
      <w:r w:rsidRPr="0037017A">
        <w:rPr>
          <w:rFonts w:ascii="Arial" w:eastAsia="Arial" w:hAnsi="Arial" w:cs="Arial"/>
          <w:sz w:val="20"/>
          <w:szCs w:val="20"/>
          <w:lang w:val="es" w:eastAsia="es-CO"/>
        </w:rPr>
        <w:t xml:space="preserve"> </w:t>
      </w:r>
      <w:r w:rsidRPr="0037017A">
        <w:rPr>
          <w:rFonts w:ascii="Arial" w:eastAsia="Arial" w:hAnsi="Arial" w:cs="Arial"/>
          <w:lang w:val="es" w:eastAsia="es-CO"/>
        </w:rPr>
        <w:t xml:space="preserve">territoriales, la conformación de rutas y el acceso a esquemas de protección efectivos para </w:t>
      </w:r>
      <w:r w:rsidRPr="0037017A">
        <w:rPr>
          <w:rFonts w:ascii="Arial" w:hAnsi="Arial" w:cs="Arial"/>
          <w:lang w:val="es-ES" w:eastAsia="es-CO"/>
        </w:rPr>
        <w:t>proteger la vida, los derechos conexos</w:t>
      </w:r>
      <w:r w:rsidRPr="0037017A">
        <w:rPr>
          <w:rFonts w:ascii="Arial" w:hAnsi="Arial" w:cs="Arial"/>
          <w:lang w:eastAsia="es-CO"/>
        </w:rPr>
        <w:t xml:space="preserve"> y bienes de los dignatarios de Organismos de Acción Comunal que denuncien ataques u amenazas en su contra, de conformidad con los análisis de riesgo definidos por las autoridades. En consecuencia, realizarán las acciones necesarias para su protección.</w:t>
      </w:r>
      <w:r w:rsidRPr="0037017A">
        <w:rPr>
          <w:rFonts w:ascii="Arial" w:eastAsia="Arial" w:hAnsi="Arial" w:cs="Arial"/>
          <w:strike/>
          <w:sz w:val="20"/>
          <w:szCs w:val="20"/>
          <w:lang w:val="es" w:eastAsia="es-CO"/>
        </w:rPr>
        <w:t xml:space="preserve"> </w:t>
      </w:r>
    </w:p>
    <w:p w14:paraId="6571BAA7" w14:textId="77777777" w:rsidR="0037017A" w:rsidRPr="0037017A" w:rsidRDefault="0037017A" w:rsidP="00C31B69">
      <w:pPr>
        <w:spacing w:after="0" w:line="240" w:lineRule="atLeast"/>
        <w:jc w:val="both"/>
        <w:rPr>
          <w:rFonts w:ascii="Arial" w:eastAsia="Arial" w:hAnsi="Arial" w:cs="Arial"/>
          <w:strike/>
          <w:lang w:val="es" w:eastAsia="es-CO"/>
        </w:rPr>
      </w:pPr>
    </w:p>
    <w:p w14:paraId="57128CA8" w14:textId="77777777" w:rsidR="0037017A" w:rsidRPr="0037017A" w:rsidRDefault="0037017A" w:rsidP="00C31B69">
      <w:pPr>
        <w:spacing w:after="0" w:line="240" w:lineRule="atLeast"/>
        <w:jc w:val="both"/>
        <w:rPr>
          <w:rFonts w:ascii="Arial" w:eastAsia="Arial" w:hAnsi="Arial" w:cs="Arial"/>
          <w:lang w:val="es" w:eastAsia="es-CO"/>
        </w:rPr>
      </w:pPr>
      <w:r w:rsidRPr="0037017A">
        <w:rPr>
          <w:rFonts w:ascii="Arial" w:eastAsia="Arial" w:hAnsi="Arial" w:cs="Arial"/>
          <w:b/>
          <w:lang w:val="es" w:eastAsia="es-CO"/>
        </w:rPr>
        <w:t>k. Auxilio de Subsistencia Económica.</w:t>
      </w:r>
      <w:r w:rsidRPr="0037017A">
        <w:rPr>
          <w:rFonts w:ascii="Arial" w:eastAsia="Arial" w:hAnsi="Arial" w:cs="Arial"/>
          <w:lang w:val="es" w:eastAsia="es-CO"/>
        </w:rPr>
        <w:t xml:space="preserve"> El Gobierno nacional en coordinación con las entidades territoriales dispondrán en sus presupuestos recursos para otorgar un auxilio económico de subsistencia a los dignatarios de Organismos de Acción Comunal que se encuentren clasificados dentro de los grupos A y B del Sisbén IV o el sistema que haga sus veces.</w:t>
      </w:r>
    </w:p>
    <w:p w14:paraId="7DAAE9C3" w14:textId="77777777" w:rsidR="0037017A" w:rsidRPr="0037017A" w:rsidRDefault="0037017A" w:rsidP="00C31B69">
      <w:pPr>
        <w:spacing w:after="0" w:line="240" w:lineRule="atLeast"/>
        <w:jc w:val="both"/>
        <w:rPr>
          <w:rFonts w:ascii="Arial" w:eastAsia="Arial" w:hAnsi="Arial" w:cs="Arial"/>
          <w:lang w:val="es" w:eastAsia="es-CO"/>
        </w:rPr>
      </w:pPr>
    </w:p>
    <w:p w14:paraId="20D6CACA" w14:textId="0E9D3BD2" w:rsidR="0037017A" w:rsidRPr="0037017A" w:rsidRDefault="0037017A" w:rsidP="00C31B69">
      <w:pPr>
        <w:spacing w:after="0" w:line="240" w:lineRule="atLeast"/>
        <w:jc w:val="both"/>
        <w:rPr>
          <w:rFonts w:ascii="Arial" w:eastAsia="Arial" w:hAnsi="Arial" w:cs="Arial"/>
          <w:lang w:val="es" w:eastAsia="es-CO"/>
        </w:rPr>
      </w:pPr>
      <w:r w:rsidRPr="0037017A">
        <w:rPr>
          <w:rFonts w:ascii="Arial" w:eastAsia="Arial" w:hAnsi="Arial" w:cs="Arial"/>
          <w:b/>
          <w:lang w:val="es" w:eastAsia="es-CO"/>
        </w:rPr>
        <w:t xml:space="preserve">Parágrafo: </w:t>
      </w:r>
      <w:r w:rsidRPr="0037017A">
        <w:rPr>
          <w:rFonts w:ascii="Arial" w:eastAsia="Arial" w:hAnsi="Arial" w:cs="Arial"/>
          <w:lang w:val="es" w:eastAsia="es-CO"/>
        </w:rPr>
        <w:t>Los beneficios previstos en este artículo serán financiados respetando los principios de autonomía territorial, concurrencia y subsidiariedad, por los entes territoriales y el Gobierno Nacional, de conformidad con los ingresos corrientes de libre destinación de los entes territoriales, y del Presupuesto General de la Nación, y</w:t>
      </w:r>
      <w:r w:rsidRPr="0037017A">
        <w:rPr>
          <w:rFonts w:ascii="Arial" w:eastAsia="Arial" w:hAnsi="Arial" w:cs="Arial"/>
          <w:b/>
          <w:bCs/>
          <w:lang w:val="es" w:eastAsia="es-CO"/>
        </w:rPr>
        <w:t xml:space="preserve"> </w:t>
      </w:r>
      <w:r w:rsidRPr="0037017A">
        <w:rPr>
          <w:rFonts w:ascii="Arial" w:eastAsia="Arial" w:hAnsi="Arial" w:cs="Arial"/>
          <w:lang w:val="es" w:eastAsia="es-CO"/>
        </w:rPr>
        <w:t xml:space="preserve">estarán sujetos a la disponibilidad presupuestal y al Marco Fiscal de Mediano Plazo de la Nación. El Ministerio del Interior generará líneas de inversión cada año en el Banco de proyectos comunales que coadyuven a tal fin. Las entidades territoriales podrán realizar convenios de cofinanciación para su implementación. </w:t>
      </w:r>
    </w:p>
    <w:p w14:paraId="6B2E5F0D" w14:textId="77777777" w:rsidR="0037017A" w:rsidRPr="0037017A" w:rsidRDefault="0037017A" w:rsidP="00C31B69">
      <w:pPr>
        <w:spacing w:after="0" w:line="240" w:lineRule="atLeast"/>
        <w:jc w:val="both"/>
        <w:rPr>
          <w:rFonts w:ascii="Arial" w:eastAsia="Arial" w:hAnsi="Arial" w:cs="Arial"/>
          <w:lang w:val="es" w:eastAsia="es-CO"/>
        </w:rPr>
      </w:pPr>
    </w:p>
    <w:p w14:paraId="6D017459" w14:textId="77777777" w:rsidR="0037017A" w:rsidRPr="0037017A" w:rsidRDefault="0037017A" w:rsidP="00C31B69">
      <w:pPr>
        <w:spacing w:after="0" w:line="240" w:lineRule="atLeast"/>
        <w:jc w:val="both"/>
        <w:rPr>
          <w:rFonts w:ascii="Arial" w:eastAsia="Arial" w:hAnsi="Arial" w:cs="Arial"/>
          <w:lang w:val="es" w:eastAsia="es-CO"/>
        </w:rPr>
      </w:pPr>
      <w:r w:rsidRPr="0037017A">
        <w:rPr>
          <w:rFonts w:ascii="Arial" w:eastAsia="Arial" w:hAnsi="Arial" w:cs="Arial"/>
          <w:b/>
          <w:lang w:val="es" w:eastAsia="es-CO"/>
        </w:rPr>
        <w:t xml:space="preserve">Artículo 5. Comisión de Seguimiento. </w:t>
      </w:r>
      <w:r w:rsidRPr="0037017A">
        <w:rPr>
          <w:rFonts w:ascii="Arial" w:eastAsia="Arial" w:hAnsi="Arial" w:cs="Arial"/>
          <w:lang w:val="es" w:eastAsia="es-CO"/>
        </w:rPr>
        <w:t>Créase la Comisión de Seguimiento al cumplimiento de lo ordenado en la presente Ley, la cual rendirá un informe de carácter semestral en el que se detallen los avances en la aplicación de lo aquí dispuesto. La Comisión de Seguimiento estará conformada por (3) tres Senadores y (3) tres Representantes a la Cámara integrantes de las Comisiones Séptimas Constitucionales Permanentes del Congreso de la República.</w:t>
      </w:r>
    </w:p>
    <w:p w14:paraId="6BD979A2" w14:textId="77777777" w:rsidR="0037017A" w:rsidRPr="0037017A" w:rsidRDefault="0037017A" w:rsidP="00C31B69">
      <w:pPr>
        <w:spacing w:after="0" w:line="240" w:lineRule="atLeast"/>
        <w:jc w:val="both"/>
        <w:rPr>
          <w:rFonts w:ascii="Arial" w:eastAsia="Arial" w:hAnsi="Arial" w:cs="Arial"/>
          <w:lang w:val="es" w:eastAsia="es-CO"/>
        </w:rPr>
      </w:pPr>
    </w:p>
    <w:p w14:paraId="111C2D12" w14:textId="11413BBB" w:rsidR="0037017A" w:rsidRPr="0037017A" w:rsidRDefault="0037017A" w:rsidP="00C31B69">
      <w:pPr>
        <w:spacing w:after="0" w:line="240" w:lineRule="atLeast"/>
        <w:jc w:val="both"/>
        <w:rPr>
          <w:rFonts w:ascii="Arial" w:eastAsia="Arial" w:hAnsi="Arial" w:cs="Arial"/>
          <w:lang w:val="es" w:eastAsia="es-CO"/>
        </w:rPr>
      </w:pPr>
      <w:r w:rsidRPr="0037017A">
        <w:rPr>
          <w:rFonts w:ascii="Arial" w:eastAsia="Arial" w:hAnsi="Arial" w:cs="Arial"/>
          <w:b/>
          <w:lang w:val="es" w:eastAsia="es-CO"/>
        </w:rPr>
        <w:t xml:space="preserve">Artículo 6. Reglamentación. </w:t>
      </w:r>
      <w:r w:rsidRPr="0037017A">
        <w:rPr>
          <w:rFonts w:ascii="Arial" w:eastAsia="Arial" w:hAnsi="Arial" w:cs="Arial"/>
          <w:lang w:val="es" w:eastAsia="es-CO"/>
        </w:rPr>
        <w:t>El Gobierno Nacional, en cabeza del Ministerio del Interior y en coordinación con las entidades competentes, reglamentará la presente Ley en lo relacionado con los requisitos, procedimientos, criterios y mecanismos de acceso a los seguros, auxilios y beneficios económicos establecidos, en un plazo no mayor a seis (6) meses contados a partir de su entrada en vigencia.</w:t>
      </w:r>
    </w:p>
    <w:p w14:paraId="00F9D0B4" w14:textId="77777777" w:rsidR="0037017A" w:rsidRPr="0037017A" w:rsidRDefault="0037017A" w:rsidP="00C31B69">
      <w:pPr>
        <w:spacing w:after="0" w:line="240" w:lineRule="atLeast"/>
        <w:jc w:val="both"/>
        <w:rPr>
          <w:rFonts w:ascii="Arial" w:eastAsia="Arial" w:hAnsi="Arial" w:cs="Arial"/>
          <w:lang w:val="es" w:eastAsia="es-CO"/>
        </w:rPr>
      </w:pPr>
    </w:p>
    <w:p w14:paraId="0AC82F9C" w14:textId="77777777" w:rsidR="0037017A" w:rsidRPr="0037017A" w:rsidRDefault="0037017A" w:rsidP="00C31B69">
      <w:pPr>
        <w:spacing w:after="0" w:line="240" w:lineRule="atLeast"/>
        <w:jc w:val="both"/>
        <w:rPr>
          <w:rFonts w:ascii="Arial" w:eastAsia="Arial" w:hAnsi="Arial" w:cs="Arial"/>
          <w:lang w:val="es" w:eastAsia="es-CO"/>
        </w:rPr>
      </w:pPr>
      <w:r w:rsidRPr="0037017A">
        <w:rPr>
          <w:rFonts w:ascii="Arial" w:eastAsia="Arial" w:hAnsi="Arial" w:cs="Arial"/>
          <w:lang w:val="es" w:eastAsia="es-CO"/>
        </w:rPr>
        <w:t>La reglamentación deberá garantizar criterios de equidad territorial, participación de las organizaciones comunales en su formulación, y establecer mecanismos de seguimiento y evaluación periódica para asegurar su efectiva implementación.</w:t>
      </w:r>
    </w:p>
    <w:p w14:paraId="3CD71936" w14:textId="77777777" w:rsidR="0037017A" w:rsidRPr="0037017A" w:rsidRDefault="0037017A" w:rsidP="00C31B69">
      <w:pPr>
        <w:spacing w:after="0" w:line="240" w:lineRule="atLeast"/>
        <w:jc w:val="both"/>
        <w:rPr>
          <w:rFonts w:ascii="Arial" w:eastAsia="Arial" w:hAnsi="Arial" w:cs="Arial"/>
          <w:lang w:val="es" w:eastAsia="es-CO"/>
        </w:rPr>
      </w:pPr>
    </w:p>
    <w:p w14:paraId="027A1575" w14:textId="22EF1209" w:rsidR="00202596" w:rsidRPr="00202596" w:rsidRDefault="0037017A" w:rsidP="00C31B69">
      <w:pPr>
        <w:spacing w:after="240" w:line="240" w:lineRule="atLeast"/>
        <w:ind w:right="14"/>
        <w:jc w:val="both"/>
        <w:rPr>
          <w:rFonts w:ascii="Arial" w:eastAsia="Arial" w:hAnsi="Arial" w:cs="Arial"/>
          <w:lang w:eastAsia="es-CO"/>
        </w:rPr>
      </w:pPr>
      <w:r w:rsidRPr="0037017A">
        <w:rPr>
          <w:rFonts w:ascii="Arial" w:eastAsia="Arial" w:hAnsi="Arial" w:cs="Arial"/>
          <w:b/>
          <w:lang w:val="es" w:eastAsia="es-CO"/>
        </w:rPr>
        <w:lastRenderedPageBreak/>
        <w:t>Artículo 7. Vigencia y derogatorias.</w:t>
      </w:r>
      <w:r w:rsidRPr="0037017A">
        <w:rPr>
          <w:rFonts w:ascii="Arial" w:eastAsia="Arial" w:hAnsi="Arial" w:cs="Arial"/>
          <w:lang w:val="es" w:eastAsia="es-CO"/>
        </w:rPr>
        <w:t xml:space="preserve"> La presente Ley rige a partir de su promulgación y deroga las disposiciones que le sean contrarias.</w:t>
      </w:r>
    </w:p>
    <w:p w14:paraId="454954DE" w14:textId="48580FAD" w:rsidR="003206AC" w:rsidRDefault="003206AC" w:rsidP="00FE00C6">
      <w:pPr>
        <w:pStyle w:val="Sinespaciado"/>
        <w:spacing w:line="240" w:lineRule="atLeast"/>
        <w:rPr>
          <w:rFonts w:eastAsia="Arial" w:cs="Arial"/>
          <w:b/>
          <w:color w:val="000000"/>
        </w:rPr>
      </w:pPr>
    </w:p>
    <w:p w14:paraId="755E327E" w14:textId="77777777" w:rsidR="003F2B4A" w:rsidRPr="003206AC" w:rsidRDefault="003F2B4A" w:rsidP="00FE00C6">
      <w:pPr>
        <w:pStyle w:val="Sinespaciado"/>
        <w:spacing w:line="240" w:lineRule="atLeast"/>
        <w:rPr>
          <w:rFonts w:eastAsia="Arial" w:cs="Arial"/>
          <w:b/>
          <w:color w:val="000000"/>
        </w:rPr>
      </w:pPr>
    </w:p>
    <w:p w14:paraId="2949B4EC" w14:textId="77777777" w:rsidR="003206AC" w:rsidRPr="003206AC" w:rsidRDefault="003206AC" w:rsidP="00FE00C6">
      <w:pPr>
        <w:pStyle w:val="Sinespaciado"/>
        <w:spacing w:line="240" w:lineRule="atLeast"/>
        <w:rPr>
          <w:rFonts w:eastAsia="Arial" w:cs="Arial"/>
          <w:b/>
          <w:color w:val="000000"/>
        </w:rPr>
      </w:pPr>
    </w:p>
    <w:p w14:paraId="0BAE8745" w14:textId="3799D256" w:rsidR="003206AC" w:rsidRPr="00E73C2A" w:rsidRDefault="00251AB4" w:rsidP="00FE00C6">
      <w:pPr>
        <w:pStyle w:val="Sinespaciado"/>
        <w:spacing w:line="240" w:lineRule="atLeast"/>
        <w:jc w:val="center"/>
        <w:rPr>
          <w:rFonts w:cs="Arial"/>
          <w:b/>
          <w:bCs/>
        </w:rPr>
      </w:pPr>
      <w:r w:rsidRPr="00E73C2A">
        <w:rPr>
          <w:rFonts w:cs="Arial"/>
          <w:b/>
          <w:bCs/>
        </w:rPr>
        <w:t>Camilo Esteban Ávila Morales</w:t>
      </w:r>
      <w:r w:rsidR="00E73C2A" w:rsidRPr="00E73C2A">
        <w:rPr>
          <w:rFonts w:cs="Arial"/>
          <w:b/>
          <w:bCs/>
        </w:rPr>
        <w:tab/>
      </w:r>
      <w:r w:rsidR="00E73C2A" w:rsidRPr="00E73C2A">
        <w:rPr>
          <w:rFonts w:cs="Arial"/>
          <w:b/>
          <w:bCs/>
        </w:rPr>
        <w:tab/>
      </w:r>
      <w:r w:rsidR="00E73C2A" w:rsidRPr="00E73C2A">
        <w:rPr>
          <w:rFonts w:cs="Arial"/>
          <w:b/>
          <w:bCs/>
        </w:rPr>
        <w:tab/>
      </w:r>
      <w:r w:rsidR="00E73C2A" w:rsidRPr="00E73C2A">
        <w:rPr>
          <w:rFonts w:cs="Arial"/>
          <w:b/>
          <w:bCs/>
        </w:rPr>
        <w:tab/>
      </w:r>
      <w:r w:rsidR="0037017A">
        <w:rPr>
          <w:rFonts w:cs="Arial"/>
          <w:b/>
          <w:bCs/>
        </w:rPr>
        <w:t>Germán Rogelio Rozo Anís</w:t>
      </w:r>
    </w:p>
    <w:p w14:paraId="41882B1F" w14:textId="1576AD16" w:rsidR="003206AC" w:rsidRPr="00E73C2A" w:rsidRDefault="00251AB4" w:rsidP="00FE00C6">
      <w:pPr>
        <w:pStyle w:val="Sinespaciado"/>
        <w:spacing w:line="240" w:lineRule="atLeast"/>
        <w:jc w:val="center"/>
        <w:rPr>
          <w:rFonts w:cs="Arial"/>
        </w:rPr>
      </w:pPr>
      <w:r w:rsidRPr="00E73C2A">
        <w:rPr>
          <w:rFonts w:cs="Arial"/>
        </w:rPr>
        <w:t>Presidente</w:t>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CF017C">
        <w:rPr>
          <w:rFonts w:cs="Arial"/>
        </w:rPr>
        <w:t>Coordinador ponente</w:t>
      </w:r>
    </w:p>
    <w:p w14:paraId="1FEB21ED" w14:textId="331E58B9" w:rsidR="003206AC" w:rsidRDefault="003206AC" w:rsidP="00FE00C6">
      <w:pPr>
        <w:pStyle w:val="Sinespaciado"/>
        <w:spacing w:line="240" w:lineRule="atLeast"/>
        <w:jc w:val="center"/>
        <w:rPr>
          <w:rFonts w:cs="Arial"/>
          <w:b/>
          <w:bCs/>
        </w:rPr>
      </w:pPr>
    </w:p>
    <w:p w14:paraId="2E3E8DE5" w14:textId="77777777" w:rsidR="00E41EFE" w:rsidRPr="00E73C2A" w:rsidRDefault="00E41EFE" w:rsidP="00FE00C6">
      <w:pPr>
        <w:pStyle w:val="Sinespaciado"/>
        <w:spacing w:line="240" w:lineRule="atLeast"/>
        <w:jc w:val="center"/>
        <w:rPr>
          <w:rFonts w:cs="Arial"/>
          <w:b/>
          <w:bCs/>
        </w:rPr>
      </w:pPr>
    </w:p>
    <w:p w14:paraId="5E6A55CD" w14:textId="109A6D2B" w:rsidR="00E73C2A" w:rsidRDefault="00E73C2A" w:rsidP="00FE00C6">
      <w:pPr>
        <w:pStyle w:val="Sinespaciado"/>
        <w:spacing w:line="240" w:lineRule="atLeast"/>
        <w:jc w:val="center"/>
        <w:rPr>
          <w:rFonts w:cs="Arial"/>
          <w:b/>
          <w:bCs/>
        </w:rPr>
      </w:pPr>
    </w:p>
    <w:p w14:paraId="0F5ABEED" w14:textId="77777777" w:rsidR="00E73C2A" w:rsidRPr="00E73C2A" w:rsidRDefault="00E73C2A" w:rsidP="00FE00C6">
      <w:pPr>
        <w:pStyle w:val="Sinespaciado"/>
        <w:spacing w:line="240" w:lineRule="atLeast"/>
        <w:jc w:val="center"/>
        <w:rPr>
          <w:rFonts w:cs="Arial"/>
          <w:b/>
          <w:bCs/>
        </w:rPr>
      </w:pPr>
    </w:p>
    <w:p w14:paraId="35A7B6CF" w14:textId="6FA2BE5B" w:rsidR="004E40E9" w:rsidRDefault="0037017A" w:rsidP="00FE00C6">
      <w:pPr>
        <w:pStyle w:val="Sinespaciado"/>
        <w:spacing w:line="240" w:lineRule="atLeast"/>
        <w:jc w:val="center"/>
        <w:rPr>
          <w:b/>
          <w:bCs/>
        </w:rPr>
      </w:pPr>
      <w:r>
        <w:rPr>
          <w:b/>
          <w:bCs/>
        </w:rPr>
        <w:t>Emiro Enrique González Martínez</w:t>
      </w:r>
    </w:p>
    <w:p w14:paraId="5F81C947" w14:textId="3553E89F" w:rsidR="00835180" w:rsidRPr="00835180" w:rsidRDefault="004E40E9" w:rsidP="00FE00C6">
      <w:pPr>
        <w:pStyle w:val="Sinespaciado"/>
        <w:spacing w:line="240" w:lineRule="atLeast"/>
        <w:jc w:val="center"/>
      </w:pPr>
      <w:r>
        <w:t>S</w:t>
      </w:r>
      <w:r w:rsidR="0037017A">
        <w:t>ubse</w:t>
      </w:r>
      <w:r>
        <w:t>cretario</w:t>
      </w:r>
    </w:p>
    <w:sectPr w:rsidR="00835180" w:rsidRPr="00835180" w:rsidSect="00507A9C">
      <w:headerReference w:type="default" r:id="rId9"/>
      <w:footerReference w:type="default" r:id="rId10"/>
      <w:type w:val="continuous"/>
      <w:pgSz w:w="12240" w:h="15840" w:code="1"/>
      <w:pgMar w:top="1701" w:right="1021"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D1DE" w14:textId="77777777" w:rsidR="00E84909" w:rsidRDefault="00E84909">
      <w:pPr>
        <w:spacing w:after="0" w:line="240" w:lineRule="auto"/>
      </w:pPr>
      <w:r>
        <w:separator/>
      </w:r>
    </w:p>
  </w:endnote>
  <w:endnote w:type="continuationSeparator" w:id="0">
    <w:p w14:paraId="7F7548E7" w14:textId="77777777" w:rsidR="00E84909" w:rsidRDefault="00E84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E230" w14:textId="557C5958" w:rsidR="00197D9B" w:rsidRPr="00202596" w:rsidRDefault="0083265E">
    <w:pPr>
      <w:pStyle w:val="Piedepgina"/>
      <w:jc w:val="center"/>
      <w:rPr>
        <w:rFonts w:ascii="Arial" w:hAnsi="Arial" w:cs="Arial"/>
        <w:sz w:val="14"/>
        <w:szCs w:val="14"/>
        <w:lang w:val="es-ES"/>
      </w:rPr>
    </w:pPr>
    <w:r w:rsidRPr="00202596">
      <w:rPr>
        <w:rFonts w:ascii="Arial" w:hAnsi="Arial" w:cs="Arial"/>
        <w:sz w:val="14"/>
        <w:szCs w:val="14"/>
        <w:lang w:val="es-ES"/>
      </w:rPr>
      <w:t xml:space="preserve">Texto definitivo del proyecto de ley </w:t>
    </w:r>
    <w:r w:rsidR="00197D9B" w:rsidRPr="00202596">
      <w:rPr>
        <w:rFonts w:ascii="Arial" w:hAnsi="Arial" w:cs="Arial"/>
        <w:sz w:val="14"/>
        <w:szCs w:val="14"/>
        <w:lang w:val="es-ES"/>
      </w:rPr>
      <w:t>N</w:t>
    </w:r>
    <w:r w:rsidR="00197D9B" w:rsidRPr="00202596">
      <w:rPr>
        <w:rFonts w:ascii="Arial" w:eastAsia="Arial MT" w:hAnsi="Arial" w:cs="Arial"/>
        <w:bCs/>
        <w:sz w:val="14"/>
        <w:szCs w:val="14"/>
        <w:lang w:val="es-ES" w:eastAsia="en-US"/>
      </w:rPr>
      <w:t xml:space="preserve">o. </w:t>
    </w:r>
    <w:r w:rsidR="00FE00C6">
      <w:rPr>
        <w:rFonts w:ascii="Arial" w:eastAsia="Arial MT" w:hAnsi="Arial" w:cs="Arial"/>
        <w:bCs/>
        <w:sz w:val="14"/>
        <w:szCs w:val="14"/>
        <w:lang w:val="es-ES" w:eastAsia="en-US"/>
      </w:rPr>
      <w:t>0</w:t>
    </w:r>
    <w:r w:rsidR="0037017A">
      <w:rPr>
        <w:rFonts w:ascii="Arial" w:eastAsia="Arial MT" w:hAnsi="Arial" w:cs="Arial"/>
        <w:bCs/>
        <w:sz w:val="14"/>
        <w:szCs w:val="14"/>
        <w:lang w:val="es-ES" w:eastAsia="en-US"/>
      </w:rPr>
      <w:t>82</w:t>
    </w:r>
    <w:r w:rsidR="00197D9B" w:rsidRPr="00202596">
      <w:rPr>
        <w:rFonts w:ascii="Arial" w:eastAsia="Arial MT" w:hAnsi="Arial" w:cs="Arial"/>
        <w:bCs/>
        <w:sz w:val="14"/>
        <w:szCs w:val="14"/>
        <w:lang w:val="es-ES" w:eastAsia="en-US"/>
      </w:rPr>
      <w:t xml:space="preserve"> de 2025 Cámara</w:t>
    </w:r>
    <w:r w:rsidR="00197D9B" w:rsidRPr="00202596">
      <w:rPr>
        <w:rFonts w:ascii="Arial" w:hAnsi="Arial" w:cs="Arial"/>
        <w:sz w:val="14"/>
        <w:szCs w:val="14"/>
        <w:lang w:val="es-ES"/>
      </w:rPr>
      <w:t xml:space="preserve"> </w:t>
    </w:r>
    <w:r w:rsidRPr="00202596">
      <w:rPr>
        <w:rFonts w:ascii="Arial" w:hAnsi="Arial" w:cs="Arial"/>
        <w:sz w:val="14"/>
        <w:szCs w:val="14"/>
        <w:lang w:val="es-ES"/>
      </w:rPr>
      <w:t>aprobado en Comisión</w:t>
    </w:r>
  </w:p>
  <w:p w14:paraId="667BE7D8" w14:textId="5105B086" w:rsidR="0083265E" w:rsidRPr="00202596" w:rsidRDefault="0083265E">
    <w:pPr>
      <w:pStyle w:val="Piedepgina"/>
      <w:jc w:val="center"/>
      <w:rPr>
        <w:rFonts w:ascii="Arial" w:hAnsi="Arial" w:cs="Arial"/>
        <w:sz w:val="14"/>
        <w:szCs w:val="14"/>
      </w:rPr>
    </w:pPr>
    <w:r w:rsidRPr="00202596">
      <w:rPr>
        <w:rFonts w:ascii="Arial" w:hAnsi="Arial" w:cs="Arial"/>
        <w:sz w:val="14"/>
        <w:szCs w:val="14"/>
        <w:lang w:val="es-ES"/>
      </w:rPr>
      <w:t xml:space="preserve">Página </w:t>
    </w:r>
    <w:r w:rsidRPr="00202596">
      <w:rPr>
        <w:rFonts w:ascii="Arial" w:hAnsi="Arial" w:cs="Arial"/>
        <w:sz w:val="14"/>
        <w:szCs w:val="14"/>
      </w:rPr>
      <w:fldChar w:fldCharType="begin"/>
    </w:r>
    <w:r w:rsidRPr="00202596">
      <w:rPr>
        <w:rFonts w:ascii="Arial" w:hAnsi="Arial" w:cs="Arial"/>
        <w:sz w:val="14"/>
        <w:szCs w:val="14"/>
      </w:rPr>
      <w:instrText>PAGE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r w:rsidRPr="00202596">
      <w:rPr>
        <w:rFonts w:ascii="Arial" w:hAnsi="Arial" w:cs="Arial"/>
        <w:sz w:val="14"/>
        <w:szCs w:val="14"/>
        <w:lang w:val="es-ES"/>
      </w:rPr>
      <w:t xml:space="preserve"> de </w:t>
    </w:r>
    <w:r w:rsidRPr="00202596">
      <w:rPr>
        <w:rFonts w:ascii="Arial" w:hAnsi="Arial" w:cs="Arial"/>
        <w:sz w:val="14"/>
        <w:szCs w:val="14"/>
      </w:rPr>
      <w:fldChar w:fldCharType="begin"/>
    </w:r>
    <w:r w:rsidRPr="00202596">
      <w:rPr>
        <w:rFonts w:ascii="Arial" w:hAnsi="Arial" w:cs="Arial"/>
        <w:sz w:val="14"/>
        <w:szCs w:val="14"/>
      </w:rPr>
      <w:instrText>NUMPAGES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p>
  <w:p w14:paraId="3A7A36F1"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4A94A" w14:textId="77777777" w:rsidR="00E84909" w:rsidRDefault="00E84909">
      <w:pPr>
        <w:spacing w:after="0" w:line="240" w:lineRule="auto"/>
      </w:pPr>
      <w:r>
        <w:separator/>
      </w:r>
    </w:p>
  </w:footnote>
  <w:footnote w:type="continuationSeparator" w:id="0">
    <w:p w14:paraId="6612A7E2" w14:textId="77777777" w:rsidR="00E84909" w:rsidRDefault="00E84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0CD0"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14:anchorId="145CB959" wp14:editId="443F35BE">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8662B8"/>
    <w:multiLevelType w:val="hybridMultilevel"/>
    <w:tmpl w:val="0D105E0C"/>
    <w:lvl w:ilvl="0" w:tplc="33E8D7D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09D291C"/>
    <w:multiLevelType w:val="hybridMultilevel"/>
    <w:tmpl w:val="C826F7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A6025E2"/>
    <w:multiLevelType w:val="hybridMultilevel"/>
    <w:tmpl w:val="1A42A682"/>
    <w:lvl w:ilvl="0" w:tplc="8D86C9E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4954694"/>
    <w:multiLevelType w:val="hybridMultilevel"/>
    <w:tmpl w:val="BF604C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71F186A"/>
    <w:multiLevelType w:val="multilevel"/>
    <w:tmpl w:val="EDF465B8"/>
    <w:lvl w:ilvl="0">
      <w:start w:val="1"/>
      <w:numFmt w:val="upperRoman"/>
      <w:lvlText w:val="%1."/>
      <w:lvlJc w:val="left"/>
      <w:pPr>
        <w:ind w:left="0" w:firstLine="0"/>
      </w:pPr>
      <w:rPr>
        <w:rFonts w:hint="default"/>
        <w:b/>
        <w:i w:val="0"/>
        <w:sz w:val="22"/>
        <w:szCs w:val="28"/>
        <w:vertAlign w:val="baseline"/>
      </w:rPr>
    </w:lvl>
    <w:lvl w:ilvl="1">
      <w:start w:val="1"/>
      <w:numFmt w:val="decimal"/>
      <w:lvlText w:val="%2."/>
      <w:lvlJc w:val="left"/>
      <w:pPr>
        <w:ind w:left="454" w:hanging="454"/>
      </w:pPr>
      <w:rPr>
        <w:rFonts w:ascii="Arial" w:eastAsia="Arial" w:hAnsi="Arial" w:cs="Arial" w:hint="default"/>
        <w:b w:val="0"/>
        <w:i w:val="0"/>
        <w:sz w:val="22"/>
        <w:szCs w:val="24"/>
        <w:vertAlign w:val="baseline"/>
      </w:rPr>
    </w:lvl>
    <w:lvl w:ilvl="2">
      <w:start w:val="1"/>
      <w:numFmt w:val="bullet"/>
      <w:lvlText w:val="●"/>
      <w:lvlJc w:val="left"/>
      <w:pPr>
        <w:ind w:left="454" w:hanging="454"/>
      </w:pPr>
      <w:rPr>
        <w:rFonts w:ascii="Noto Sans" w:eastAsia="Noto Sans" w:hAnsi="Noto Sans" w:cs="Noto Sans" w:hint="default"/>
        <w:b w:val="0"/>
        <w:i w:val="0"/>
        <w:color w:val="000000"/>
        <w:vertAlign w:val="baseline"/>
      </w:rPr>
    </w:lvl>
    <w:lvl w:ilvl="3">
      <w:start w:val="1"/>
      <w:numFmt w:val="bullet"/>
      <w:lvlText w:val="−"/>
      <w:lvlJc w:val="left"/>
      <w:pPr>
        <w:ind w:left="454" w:hanging="454"/>
      </w:pPr>
      <w:rPr>
        <w:rFonts w:ascii="Noto Sans" w:eastAsia="Noto Sans" w:hAnsi="Noto Sans" w:cs="Noto Sans" w:hint="default"/>
        <w:b w:val="0"/>
        <w:i w:val="0"/>
        <w:color w:val="000000"/>
        <w:vertAlign w:val="baseline"/>
      </w:rPr>
    </w:lvl>
    <w:lvl w:ilvl="4">
      <w:start w:val="1"/>
      <w:numFmt w:val="upperLetter"/>
      <w:lvlText w:val="%5. "/>
      <w:lvlJc w:val="left"/>
      <w:pPr>
        <w:ind w:left="1134" w:hanging="567"/>
      </w:pPr>
      <w:rPr>
        <w:rFonts w:hint="default"/>
        <w:b/>
        <w:i w:val="0"/>
        <w:color w:val="000000"/>
        <w:vertAlign w:val="baseline"/>
      </w:rPr>
    </w:lvl>
    <w:lvl w:ilvl="5">
      <w:start w:val="1"/>
      <w:numFmt w:val="lowerLetter"/>
      <w:lvlText w:val="%6)"/>
      <w:lvlJc w:val="left"/>
      <w:pPr>
        <w:ind w:left="1588" w:hanging="454"/>
      </w:pPr>
      <w:rPr>
        <w:rFonts w:hint="default"/>
        <w:b/>
        <w:i w:val="0"/>
        <w:color w:val="000000"/>
        <w:vertAlign w:val="baseline"/>
      </w:rPr>
    </w:lvl>
    <w:lvl w:ilvl="6">
      <w:start w:val="1"/>
      <w:numFmt w:val="bullet"/>
      <w:lvlText w:val="●"/>
      <w:lvlJc w:val="left"/>
      <w:pPr>
        <w:ind w:left="2155" w:hanging="567"/>
      </w:pPr>
      <w:rPr>
        <w:rFonts w:ascii="Noto Sans" w:eastAsia="Noto Sans" w:hAnsi="Noto Sans" w:cs="Noto Sans" w:hint="default"/>
        <w:color w:val="000000"/>
        <w:vertAlign w:val="baseline"/>
      </w:rPr>
    </w:lvl>
    <w:lvl w:ilvl="7">
      <w:start w:val="1"/>
      <w:numFmt w:val="bullet"/>
      <w:lvlText w:val="−"/>
      <w:lvlJc w:val="left"/>
      <w:pPr>
        <w:ind w:left="2155" w:hanging="567"/>
      </w:pPr>
      <w:rPr>
        <w:rFonts w:ascii="Noto Sans" w:eastAsia="Noto Sans" w:hAnsi="Noto Sans" w:cs="Noto Sans" w:hint="default"/>
        <w:color w:val="000000"/>
        <w:vertAlign w:val="baseline"/>
      </w:rPr>
    </w:lvl>
    <w:lvl w:ilvl="8">
      <w:start w:val="1"/>
      <w:numFmt w:val="decimal"/>
      <w:lvlText w:val="NOTA:"/>
      <w:lvlJc w:val="left"/>
      <w:pPr>
        <w:ind w:left="0" w:firstLine="0"/>
      </w:pPr>
      <w:rPr>
        <w:rFonts w:hint="default"/>
        <w:b/>
        <w:i w:val="0"/>
        <w:vertAlign w:val="baseline"/>
      </w:rPr>
    </w:lvl>
  </w:abstractNum>
  <w:abstractNum w:abstractNumId="21" w15:restartNumberingAfterBreak="0">
    <w:nsid w:val="5A6227FF"/>
    <w:multiLevelType w:val="hybridMultilevel"/>
    <w:tmpl w:val="5AEEB1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BB55D6A"/>
    <w:multiLevelType w:val="hybridMultilevel"/>
    <w:tmpl w:val="89BEB6CA"/>
    <w:lvl w:ilvl="0" w:tplc="240A000F">
      <w:start w:val="1"/>
      <w:numFmt w:val="decimal"/>
      <w:lvlText w:val="%1."/>
      <w:lvlJc w:val="left"/>
      <w:pPr>
        <w:ind w:left="720" w:hanging="360"/>
      </w:pPr>
    </w:lvl>
    <w:lvl w:ilvl="1" w:tplc="D7CA0348">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E476488"/>
    <w:multiLevelType w:val="hybridMultilevel"/>
    <w:tmpl w:val="5EB600B8"/>
    <w:lvl w:ilvl="0" w:tplc="240A000F">
      <w:start w:val="1"/>
      <w:numFmt w:val="decimal"/>
      <w:lvlText w:val="%1."/>
      <w:lvlJc w:val="left"/>
      <w:pPr>
        <w:ind w:left="720" w:hanging="360"/>
      </w:pPr>
    </w:lvl>
    <w:lvl w:ilvl="1" w:tplc="CC48612E">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E205ABA"/>
    <w:multiLevelType w:val="hybridMultilevel"/>
    <w:tmpl w:val="ADE00F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1"/>
  </w:num>
  <w:num w:numId="3">
    <w:abstractNumId w:val="2"/>
  </w:num>
  <w:num w:numId="4">
    <w:abstractNumId w:val="23"/>
  </w:num>
  <w:num w:numId="5">
    <w:abstractNumId w:val="10"/>
  </w:num>
  <w:num w:numId="6">
    <w:abstractNumId w:val="13"/>
  </w:num>
  <w:num w:numId="7">
    <w:abstractNumId w:val="1"/>
  </w:num>
  <w:num w:numId="8">
    <w:abstractNumId w:val="8"/>
  </w:num>
  <w:num w:numId="9">
    <w:abstractNumId w:val="28"/>
  </w:num>
  <w:num w:numId="10">
    <w:abstractNumId w:val="16"/>
  </w:num>
  <w:num w:numId="11">
    <w:abstractNumId w:val="3"/>
  </w:num>
  <w:num w:numId="12">
    <w:abstractNumId w:val="29"/>
  </w:num>
  <w:num w:numId="13">
    <w:abstractNumId w:val="25"/>
  </w:num>
  <w:num w:numId="14">
    <w:abstractNumId w:val="27"/>
  </w:num>
  <w:num w:numId="15">
    <w:abstractNumId w:val="19"/>
  </w:num>
  <w:num w:numId="16">
    <w:abstractNumId w:val="6"/>
  </w:num>
  <w:num w:numId="17">
    <w:abstractNumId w:val="17"/>
  </w:num>
  <w:num w:numId="18">
    <w:abstractNumId w:val="4"/>
  </w:num>
  <w:num w:numId="19">
    <w:abstractNumId w:val="14"/>
  </w:num>
  <w:num w:numId="20">
    <w:abstractNumId w:val="30"/>
  </w:num>
  <w:num w:numId="21">
    <w:abstractNumId w:val="26"/>
  </w:num>
  <w:num w:numId="22">
    <w:abstractNumId w:val="0"/>
  </w:num>
  <w:num w:numId="23">
    <w:abstractNumId w:val="18"/>
  </w:num>
  <w:num w:numId="24">
    <w:abstractNumId w:val="12"/>
  </w:num>
  <w:num w:numId="25">
    <w:abstractNumId w:val="20"/>
  </w:num>
  <w:num w:numId="26">
    <w:abstractNumId w:val="7"/>
  </w:num>
  <w:num w:numId="27">
    <w:abstractNumId w:val="31"/>
  </w:num>
  <w:num w:numId="28">
    <w:abstractNumId w:val="22"/>
  </w:num>
  <w:num w:numId="29">
    <w:abstractNumId w:val="24"/>
  </w:num>
  <w:num w:numId="30">
    <w:abstractNumId w:val="15"/>
  </w:num>
  <w:num w:numId="31">
    <w:abstractNumId w:val="2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3"/>
    <w:rsid w:val="00004D26"/>
    <w:rsid w:val="00006060"/>
    <w:rsid w:val="000218A0"/>
    <w:rsid w:val="00035A12"/>
    <w:rsid w:val="000D0321"/>
    <w:rsid w:val="000D4049"/>
    <w:rsid w:val="000D59FE"/>
    <w:rsid w:val="000D6D79"/>
    <w:rsid w:val="000E596E"/>
    <w:rsid w:val="000F3249"/>
    <w:rsid w:val="000F3F41"/>
    <w:rsid w:val="00102AC9"/>
    <w:rsid w:val="00106067"/>
    <w:rsid w:val="00123872"/>
    <w:rsid w:val="001303C3"/>
    <w:rsid w:val="00134E23"/>
    <w:rsid w:val="00141A7E"/>
    <w:rsid w:val="00145732"/>
    <w:rsid w:val="00155AD7"/>
    <w:rsid w:val="00180E10"/>
    <w:rsid w:val="001826C3"/>
    <w:rsid w:val="00193E1C"/>
    <w:rsid w:val="00197D9B"/>
    <w:rsid w:val="001A3661"/>
    <w:rsid w:val="001A5585"/>
    <w:rsid w:val="001B1C28"/>
    <w:rsid w:val="001B48EE"/>
    <w:rsid w:val="001B6E7B"/>
    <w:rsid w:val="001C10AB"/>
    <w:rsid w:val="001C6DF6"/>
    <w:rsid w:val="001F2842"/>
    <w:rsid w:val="001F7A2A"/>
    <w:rsid w:val="00202596"/>
    <w:rsid w:val="00217B1E"/>
    <w:rsid w:val="00223BDC"/>
    <w:rsid w:val="00227978"/>
    <w:rsid w:val="00245986"/>
    <w:rsid w:val="002461F5"/>
    <w:rsid w:val="0024670B"/>
    <w:rsid w:val="00251AB4"/>
    <w:rsid w:val="00273C01"/>
    <w:rsid w:val="00290644"/>
    <w:rsid w:val="002A1BAF"/>
    <w:rsid w:val="002C21DA"/>
    <w:rsid w:val="002E49B9"/>
    <w:rsid w:val="002E6C1D"/>
    <w:rsid w:val="003206AC"/>
    <w:rsid w:val="00330383"/>
    <w:rsid w:val="00332B24"/>
    <w:rsid w:val="003343A2"/>
    <w:rsid w:val="00344B4D"/>
    <w:rsid w:val="0037017A"/>
    <w:rsid w:val="00374FCF"/>
    <w:rsid w:val="00375224"/>
    <w:rsid w:val="00392FE1"/>
    <w:rsid w:val="003B3F8A"/>
    <w:rsid w:val="003C3541"/>
    <w:rsid w:val="003C5D20"/>
    <w:rsid w:val="003D08DE"/>
    <w:rsid w:val="003D5D35"/>
    <w:rsid w:val="003F2B4A"/>
    <w:rsid w:val="003F3E4F"/>
    <w:rsid w:val="00401837"/>
    <w:rsid w:val="00484475"/>
    <w:rsid w:val="0049721E"/>
    <w:rsid w:val="004B0124"/>
    <w:rsid w:val="004C3EB2"/>
    <w:rsid w:val="004D631D"/>
    <w:rsid w:val="004E060F"/>
    <w:rsid w:val="004E40E9"/>
    <w:rsid w:val="004F0BC8"/>
    <w:rsid w:val="005004BD"/>
    <w:rsid w:val="00507A9C"/>
    <w:rsid w:val="00523CF6"/>
    <w:rsid w:val="00533F5F"/>
    <w:rsid w:val="00545AF9"/>
    <w:rsid w:val="0057061D"/>
    <w:rsid w:val="005970FF"/>
    <w:rsid w:val="005A42A7"/>
    <w:rsid w:val="005B163A"/>
    <w:rsid w:val="005B79B2"/>
    <w:rsid w:val="005C4915"/>
    <w:rsid w:val="006020FC"/>
    <w:rsid w:val="0061013F"/>
    <w:rsid w:val="00644D12"/>
    <w:rsid w:val="00645D96"/>
    <w:rsid w:val="0066551C"/>
    <w:rsid w:val="00676A02"/>
    <w:rsid w:val="006A6E00"/>
    <w:rsid w:val="006A6E52"/>
    <w:rsid w:val="006D531F"/>
    <w:rsid w:val="006E594C"/>
    <w:rsid w:val="00703BB5"/>
    <w:rsid w:val="00711B0E"/>
    <w:rsid w:val="00722B7D"/>
    <w:rsid w:val="00745DA4"/>
    <w:rsid w:val="00751A35"/>
    <w:rsid w:val="007576E4"/>
    <w:rsid w:val="00767847"/>
    <w:rsid w:val="00780935"/>
    <w:rsid w:val="00793F4D"/>
    <w:rsid w:val="007D2959"/>
    <w:rsid w:val="007D2F62"/>
    <w:rsid w:val="007D3C92"/>
    <w:rsid w:val="007E285C"/>
    <w:rsid w:val="007F0D11"/>
    <w:rsid w:val="0080316C"/>
    <w:rsid w:val="0083265E"/>
    <w:rsid w:val="00835180"/>
    <w:rsid w:val="00842BD4"/>
    <w:rsid w:val="00856BE4"/>
    <w:rsid w:val="008571E9"/>
    <w:rsid w:val="00862DF1"/>
    <w:rsid w:val="00874E4E"/>
    <w:rsid w:val="008818F4"/>
    <w:rsid w:val="008A36E1"/>
    <w:rsid w:val="008A4907"/>
    <w:rsid w:val="008A4A9B"/>
    <w:rsid w:val="008C5481"/>
    <w:rsid w:val="008E2412"/>
    <w:rsid w:val="008E689B"/>
    <w:rsid w:val="008F1E88"/>
    <w:rsid w:val="008F518D"/>
    <w:rsid w:val="00900D93"/>
    <w:rsid w:val="00931B69"/>
    <w:rsid w:val="00980D46"/>
    <w:rsid w:val="00984A08"/>
    <w:rsid w:val="009A5477"/>
    <w:rsid w:val="009B189B"/>
    <w:rsid w:val="009B5502"/>
    <w:rsid w:val="009E1B8B"/>
    <w:rsid w:val="009E3F42"/>
    <w:rsid w:val="00A10DC4"/>
    <w:rsid w:val="00A16412"/>
    <w:rsid w:val="00A260C7"/>
    <w:rsid w:val="00A27D65"/>
    <w:rsid w:val="00A549FD"/>
    <w:rsid w:val="00A5673E"/>
    <w:rsid w:val="00AA5167"/>
    <w:rsid w:val="00AC09C4"/>
    <w:rsid w:val="00AC2952"/>
    <w:rsid w:val="00AF4493"/>
    <w:rsid w:val="00AF47C1"/>
    <w:rsid w:val="00AF7901"/>
    <w:rsid w:val="00B31264"/>
    <w:rsid w:val="00B41338"/>
    <w:rsid w:val="00B4204B"/>
    <w:rsid w:val="00B47081"/>
    <w:rsid w:val="00B57363"/>
    <w:rsid w:val="00B61831"/>
    <w:rsid w:val="00B94C52"/>
    <w:rsid w:val="00BA2504"/>
    <w:rsid w:val="00BA6354"/>
    <w:rsid w:val="00BA6CF0"/>
    <w:rsid w:val="00BD3B0E"/>
    <w:rsid w:val="00BF038C"/>
    <w:rsid w:val="00BF0C76"/>
    <w:rsid w:val="00BF32C7"/>
    <w:rsid w:val="00BF5872"/>
    <w:rsid w:val="00BF5DE4"/>
    <w:rsid w:val="00C04298"/>
    <w:rsid w:val="00C0783C"/>
    <w:rsid w:val="00C10A0F"/>
    <w:rsid w:val="00C2085A"/>
    <w:rsid w:val="00C2162E"/>
    <w:rsid w:val="00C24F1B"/>
    <w:rsid w:val="00C25C47"/>
    <w:rsid w:val="00C25E24"/>
    <w:rsid w:val="00C31B69"/>
    <w:rsid w:val="00C64587"/>
    <w:rsid w:val="00C85EE9"/>
    <w:rsid w:val="00CA7A0C"/>
    <w:rsid w:val="00CF017C"/>
    <w:rsid w:val="00CF241E"/>
    <w:rsid w:val="00D16302"/>
    <w:rsid w:val="00D410FE"/>
    <w:rsid w:val="00D65C9D"/>
    <w:rsid w:val="00D7060A"/>
    <w:rsid w:val="00D7787B"/>
    <w:rsid w:val="00DC1FF5"/>
    <w:rsid w:val="00E02D4A"/>
    <w:rsid w:val="00E10837"/>
    <w:rsid w:val="00E2082D"/>
    <w:rsid w:val="00E27292"/>
    <w:rsid w:val="00E41EFE"/>
    <w:rsid w:val="00E73C2A"/>
    <w:rsid w:val="00E84909"/>
    <w:rsid w:val="00EB3579"/>
    <w:rsid w:val="00ED4980"/>
    <w:rsid w:val="00EF5B1B"/>
    <w:rsid w:val="00F04E2C"/>
    <w:rsid w:val="00F25E2F"/>
    <w:rsid w:val="00F42CA9"/>
    <w:rsid w:val="00F451A7"/>
    <w:rsid w:val="00F50D3E"/>
    <w:rsid w:val="00F66F0B"/>
    <w:rsid w:val="00F67633"/>
    <w:rsid w:val="00F718B4"/>
    <w:rsid w:val="00F81F67"/>
    <w:rsid w:val="00F923A0"/>
    <w:rsid w:val="00F94622"/>
    <w:rsid w:val="00FC1DEF"/>
    <w:rsid w:val="00FE00C6"/>
    <w:rsid w:val="00FE489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4A3A1"/>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A36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E78B3F-D95D-4475-8AD0-7299E3A93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1027</Words>
  <Characters>5654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10</cp:revision>
  <cp:lastPrinted>2025-10-21T19:45:00Z</cp:lastPrinted>
  <dcterms:created xsi:type="dcterms:W3CDTF">2025-10-28T21:57:00Z</dcterms:created>
  <dcterms:modified xsi:type="dcterms:W3CDTF">2025-10-28T22:03:00Z</dcterms:modified>
</cp:coreProperties>
</file>