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327482D5"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0E3695" w:rsidRPr="00C7067E">
        <w:rPr>
          <w:rFonts w:ascii="Arial MT" w:hAnsi="Arial MT" w:cs="Arial"/>
          <w:b/>
          <w:bCs/>
          <w:lang w:val="es-ES" w:eastAsia="en-US"/>
        </w:rPr>
        <w:t>No. 105 DE 2025 CÁMARA “POR MEDIO DEL CUAL SE ADOPTA Y REGULA EL PROGRAMA ESTADO JOVEN PARA LA DIGNIFICACIÓN DE LAS PRÁCTICAS LABORALES EN LAS ENTIDADES PÚBLICAS Y SE PROMUEVE LA INSERCIÓN LABORAL DE LOS PRACTICANTES EN EL SECTOR”.</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71014822"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0E3695">
        <w:rPr>
          <w:rFonts w:cs="Arial"/>
        </w:rPr>
        <w:t>11</w:t>
      </w:r>
      <w:r w:rsidR="00197D9B">
        <w:rPr>
          <w:rFonts w:cs="Arial"/>
        </w:rPr>
        <w:t xml:space="preserve"> de </w:t>
      </w:r>
      <w:r w:rsidR="000E3695">
        <w:rPr>
          <w:rFonts w:cs="Arial"/>
        </w:rPr>
        <w:t xml:space="preserve">noviembre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0E3695">
        <w:rPr>
          <w:rFonts w:cs="Arial"/>
        </w:rPr>
        <w:t>5</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FE00C6">
      <w:pPr>
        <w:pStyle w:val="Sinespaciado"/>
        <w:spacing w:line="240" w:lineRule="atLeast"/>
        <w:rPr>
          <w:rFonts w:cs="Arial"/>
        </w:rPr>
      </w:pPr>
    </w:p>
    <w:p w14:paraId="12753121" w14:textId="77777777" w:rsidR="00013463" w:rsidRPr="00013463" w:rsidRDefault="00013463" w:rsidP="00013463">
      <w:pPr>
        <w:pStyle w:val="Sinespaciado"/>
        <w:rPr>
          <w:lang w:eastAsia="es-MX"/>
        </w:rPr>
      </w:pPr>
      <w:r w:rsidRPr="00013463">
        <w:rPr>
          <w:b/>
          <w:bCs/>
          <w:lang w:eastAsia="es-MX"/>
        </w:rPr>
        <w:t>ARTÍCULO</w:t>
      </w:r>
      <w:r w:rsidRPr="00013463">
        <w:rPr>
          <w:lang w:eastAsia="es-MX"/>
        </w:rPr>
        <w:t> </w:t>
      </w:r>
      <w:r w:rsidRPr="00013463">
        <w:rPr>
          <w:b/>
          <w:bCs/>
          <w:lang w:eastAsia="es-MX"/>
        </w:rPr>
        <w:t>1.</w:t>
      </w:r>
      <w:r w:rsidRPr="00013463">
        <w:rPr>
          <w:lang w:eastAsia="es-MX"/>
        </w:rPr>
        <w:t> </w:t>
      </w:r>
      <w:r w:rsidRPr="00013463">
        <w:rPr>
          <w:b/>
          <w:bCs/>
          <w:lang w:eastAsia="es-MX"/>
        </w:rPr>
        <w:t xml:space="preserve">OBJETO. </w:t>
      </w:r>
      <w:r w:rsidRPr="00013463">
        <w:rPr>
          <w:lang w:eastAsia="es-MX"/>
        </w:rPr>
        <w:t>La presente Ley tiene por objeto adoptar el Programa Estado Joven como una política de Estado para dignificar las prácticas laborales en las entidades Estatales, promover la inserción laboral de los jóvenes practicantes en el sector público y dictar otras disposiciones.</w:t>
      </w:r>
    </w:p>
    <w:p w14:paraId="64C9EAB7" w14:textId="77777777" w:rsidR="00013463" w:rsidRDefault="00013463" w:rsidP="00013463">
      <w:pPr>
        <w:pStyle w:val="Sinespaciado"/>
        <w:rPr>
          <w:rFonts w:eastAsia="Arial"/>
          <w:b/>
          <w:lang w:eastAsia="es-CO"/>
        </w:rPr>
      </w:pPr>
    </w:p>
    <w:p w14:paraId="21A90BBB" w14:textId="5AF01688" w:rsidR="00013463" w:rsidRPr="00013463" w:rsidRDefault="00013463" w:rsidP="00013463">
      <w:pPr>
        <w:pStyle w:val="Sinespaciado"/>
        <w:rPr>
          <w:b/>
          <w:bCs/>
          <w:u w:val="single"/>
          <w:lang w:eastAsia="es-CO"/>
        </w:rPr>
      </w:pPr>
      <w:r w:rsidRPr="00013463">
        <w:rPr>
          <w:rFonts w:eastAsia="Arial"/>
          <w:b/>
          <w:lang w:eastAsia="es-CO"/>
        </w:rPr>
        <w:t>ARTÍCULO 2.</w:t>
      </w:r>
      <w:r w:rsidRPr="00013463">
        <w:rPr>
          <w:rFonts w:eastAsia="Arial"/>
          <w:lang w:eastAsia="es-CO"/>
        </w:rPr>
        <w:t xml:space="preserve"> </w:t>
      </w:r>
      <w:r w:rsidRPr="00013463">
        <w:rPr>
          <w:rFonts w:eastAsia="Arial"/>
          <w:b/>
          <w:lang w:eastAsia="es-CO"/>
        </w:rPr>
        <w:t xml:space="preserve">CAMPO DE APLICACIÓN. </w:t>
      </w:r>
      <w:r w:rsidRPr="00013463">
        <w:rPr>
          <w:rFonts w:eastAsia="Arial"/>
          <w:lang w:eastAsia="es-CO"/>
        </w:rPr>
        <w:t xml:space="preserve">La presente Ley será aplicable a todas las prácticas laborales que trata el artículo 15 de la </w:t>
      </w:r>
      <w:r w:rsidR="001F177A">
        <w:rPr>
          <w:rFonts w:eastAsia="Arial"/>
          <w:lang w:eastAsia="es-CO"/>
        </w:rPr>
        <w:t>L</w:t>
      </w:r>
      <w:r w:rsidRPr="00013463">
        <w:rPr>
          <w:rFonts w:eastAsia="Arial"/>
          <w:lang w:eastAsia="es-CO"/>
        </w:rPr>
        <w:t xml:space="preserve">ey 1780 de 2016 </w:t>
      </w:r>
      <w:r w:rsidRPr="00013463">
        <w:rPr>
          <w:lang w:eastAsia="es-CO"/>
        </w:rPr>
        <w:t>o en las disposiciones que la modifiquen, adicionen o sustituyan</w:t>
      </w:r>
      <w:r w:rsidRPr="00013463">
        <w:rPr>
          <w:rFonts w:eastAsia="Arial"/>
          <w:lang w:eastAsia="es-CO"/>
        </w:rPr>
        <w:t>.</w:t>
      </w:r>
    </w:p>
    <w:p w14:paraId="3FEA469F" w14:textId="77777777" w:rsidR="00013463" w:rsidRDefault="00013463" w:rsidP="00013463">
      <w:pPr>
        <w:pStyle w:val="Sinespaciado"/>
        <w:rPr>
          <w:rFonts w:eastAsia="Arial"/>
          <w:b/>
          <w:lang w:eastAsia="es-MX"/>
        </w:rPr>
      </w:pPr>
    </w:p>
    <w:p w14:paraId="6D33D2EE" w14:textId="3C5EA027" w:rsidR="00013463" w:rsidRPr="00013463" w:rsidRDefault="00013463" w:rsidP="00013463">
      <w:pPr>
        <w:pStyle w:val="Sinespaciado"/>
        <w:rPr>
          <w:rFonts w:eastAsia="Arial"/>
          <w:lang w:eastAsia="es-MX"/>
        </w:rPr>
      </w:pPr>
      <w:r w:rsidRPr="00013463">
        <w:rPr>
          <w:rFonts w:eastAsia="Arial"/>
          <w:b/>
          <w:lang w:eastAsia="es-MX"/>
        </w:rPr>
        <w:t xml:space="preserve">PARÁGRAFO. </w:t>
      </w:r>
      <w:r w:rsidRPr="00013463">
        <w:rPr>
          <w:rFonts w:eastAsia="Arial"/>
          <w:lang w:eastAsia="es-MX"/>
        </w:rPr>
        <w:t xml:space="preserve">El contrato de aprendizaje se continuará rigiendo por las reglas especiales previstas en la Ley 789 de 2002, </w:t>
      </w:r>
      <w:r w:rsidR="001F177A">
        <w:rPr>
          <w:rFonts w:eastAsia="Arial"/>
          <w:lang w:eastAsia="es-MX"/>
        </w:rPr>
        <w:t xml:space="preserve">los dispuestos en los artículos 21 y 23 de la Ley 2466 de 2025 </w:t>
      </w:r>
      <w:r w:rsidRPr="00013463">
        <w:rPr>
          <w:rFonts w:eastAsia="Arial"/>
          <w:lang w:eastAsia="es-MX"/>
        </w:rPr>
        <w:t>o aquella</w:t>
      </w:r>
      <w:r w:rsidR="001F177A">
        <w:rPr>
          <w:rFonts w:eastAsia="Arial"/>
          <w:lang w:eastAsia="es-MX"/>
        </w:rPr>
        <w:t>s</w:t>
      </w:r>
      <w:r w:rsidRPr="00013463">
        <w:rPr>
          <w:rFonts w:eastAsia="Arial"/>
          <w:lang w:eastAsia="es-MX"/>
        </w:rPr>
        <w:t xml:space="preserve"> que la modifique</w:t>
      </w:r>
      <w:r w:rsidR="001F177A">
        <w:rPr>
          <w:rFonts w:eastAsia="Arial"/>
          <w:lang w:eastAsia="es-MX"/>
        </w:rPr>
        <w:t>n</w:t>
      </w:r>
      <w:r w:rsidRPr="00013463">
        <w:rPr>
          <w:rFonts w:eastAsia="Arial"/>
          <w:lang w:eastAsia="es-MX"/>
        </w:rPr>
        <w:t xml:space="preserve"> o sustituya</w:t>
      </w:r>
      <w:r w:rsidR="001F177A">
        <w:rPr>
          <w:rFonts w:eastAsia="Arial"/>
          <w:lang w:eastAsia="es-MX"/>
        </w:rPr>
        <w:t>n</w:t>
      </w:r>
      <w:r w:rsidRPr="00013463">
        <w:rPr>
          <w:rFonts w:eastAsia="Arial"/>
          <w:lang w:eastAsia="es-MX"/>
        </w:rPr>
        <w:t>.</w:t>
      </w:r>
    </w:p>
    <w:p w14:paraId="634B499C" w14:textId="16509211" w:rsidR="00013463" w:rsidRPr="00013463" w:rsidRDefault="00013463" w:rsidP="00013463">
      <w:pPr>
        <w:pStyle w:val="Sinespaciado"/>
        <w:rPr>
          <w:rFonts w:eastAsia="Arial"/>
          <w:lang w:eastAsia="es-MX"/>
        </w:rPr>
      </w:pPr>
      <w:r w:rsidRPr="00013463">
        <w:rPr>
          <w:rFonts w:eastAsia="Arial"/>
          <w:b/>
          <w:lang w:eastAsia="es-MX"/>
        </w:rPr>
        <w:br/>
        <w:t>ARTÍCULO 3. PROGRAMA ESTADO JOVEN.</w:t>
      </w:r>
      <w:r w:rsidRPr="00013463">
        <w:rPr>
          <w:rFonts w:eastAsia="Arial"/>
          <w:lang w:eastAsia="es-MX"/>
        </w:rPr>
        <w:t xml:space="preserve"> El Programa Estado Joven consiste en la financiación del desarrollo de prácticas laborales en las entidades del Estado y la adopción de mecanismos para su inserción laboral, con la finalidad de facilitar a los jóvenes la transición del ciclo de aprendizaje al mercado laboral.</w:t>
      </w:r>
    </w:p>
    <w:p w14:paraId="5A53C581" w14:textId="77777777" w:rsidR="00013463" w:rsidRPr="00013463" w:rsidRDefault="00013463" w:rsidP="00013463">
      <w:pPr>
        <w:pStyle w:val="Sinespaciado"/>
        <w:rPr>
          <w:rFonts w:eastAsia="Arial"/>
          <w:lang w:eastAsia="es-MX"/>
        </w:rPr>
      </w:pPr>
    </w:p>
    <w:p w14:paraId="7DB7B8FB" w14:textId="393639B4" w:rsidR="00013463" w:rsidRDefault="00013463" w:rsidP="00013463">
      <w:pPr>
        <w:pStyle w:val="Sinespaciado"/>
        <w:rPr>
          <w:color w:val="444746"/>
          <w:lang w:eastAsia="es-CO"/>
        </w:rPr>
      </w:pPr>
      <w:r w:rsidRPr="00013463">
        <w:rPr>
          <w:b/>
          <w:bCs/>
          <w:lang w:eastAsia="es-CO"/>
        </w:rPr>
        <w:t>ARTÍCULO 4</w:t>
      </w:r>
      <w:r w:rsidRPr="00013463">
        <w:rPr>
          <w:lang w:eastAsia="es-CO"/>
        </w:rPr>
        <w:t>.</w:t>
      </w:r>
      <w:r w:rsidRPr="00013463">
        <w:rPr>
          <w:b/>
          <w:bCs/>
          <w:lang w:eastAsia="es-CO"/>
        </w:rPr>
        <w:t xml:space="preserve"> ESTADO JOVEN COMO POLÍTICA DE ESTADO PARA LA DIGNIFICACIÓN DE PRÁCTICAS LABORALES E INSERCIÓN LABORAL EN EL SECTOR PÚBLICO</w:t>
      </w:r>
      <w:r w:rsidRPr="00013463">
        <w:rPr>
          <w:lang w:eastAsia="es-CO"/>
        </w:rPr>
        <w:t xml:space="preserve">. </w:t>
      </w:r>
      <w:r w:rsidRPr="00013463">
        <w:rPr>
          <w:b/>
          <w:bCs/>
          <w:lang w:eastAsia="es-CO"/>
        </w:rPr>
        <w:t> </w:t>
      </w:r>
      <w:r w:rsidRPr="00013463">
        <w:rPr>
          <w:lang w:eastAsia="es-CO"/>
        </w:rPr>
        <w:t>El Programa Estado Joven, como política de Estado para la dignificación de prácticas laborales e inserción laboral en las entidades estatales,</w:t>
      </w:r>
      <w:r w:rsidRPr="00013463">
        <w:rPr>
          <w:color w:val="444746"/>
          <w:lang w:eastAsia="es-CO"/>
        </w:rPr>
        <w:t xml:space="preserve"> deberá contener, como mínimo, los siguientes lineamientos:</w:t>
      </w:r>
    </w:p>
    <w:p w14:paraId="70506F33" w14:textId="77777777" w:rsidR="00013463" w:rsidRPr="00013463" w:rsidRDefault="00013463" w:rsidP="00013463">
      <w:pPr>
        <w:pStyle w:val="Sinespaciado"/>
        <w:rPr>
          <w:lang w:eastAsia="es-CO"/>
        </w:rPr>
      </w:pPr>
    </w:p>
    <w:p w14:paraId="0C406162" w14:textId="77777777"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t>El establecimiento de medidas tendientes a promover la vinculación de los estudiantes que trata el artículo 2 de la presente Ley</w:t>
      </w:r>
      <w:r w:rsidRPr="00013463">
        <w:rPr>
          <w:rFonts w:ascii="Arial" w:hAnsi="Arial" w:cs="Arial"/>
          <w:lang w:eastAsia="es-CO"/>
        </w:rPr>
        <w:t>,</w:t>
      </w:r>
      <w:r w:rsidRPr="00013463">
        <w:rPr>
          <w:rFonts w:ascii="Arial" w:hAnsi="Arial" w:cs="Arial"/>
          <w:color w:val="000000"/>
          <w:lang w:eastAsia="es-CO"/>
        </w:rPr>
        <w:t xml:space="preserve"> para que jóvenes practicantes desarrollen sus prácticas laborales en las </w:t>
      </w:r>
      <w:r w:rsidRPr="00013463">
        <w:rPr>
          <w:rFonts w:ascii="Arial" w:hAnsi="Arial" w:cs="Arial"/>
          <w:lang w:eastAsia="es-CO"/>
        </w:rPr>
        <w:t>entidades del Estado</w:t>
      </w:r>
      <w:r w:rsidRPr="00013463">
        <w:rPr>
          <w:rFonts w:ascii="Arial" w:hAnsi="Arial" w:cs="Arial"/>
          <w:color w:val="000000"/>
          <w:lang w:eastAsia="es-CO"/>
        </w:rPr>
        <w:t>.</w:t>
      </w:r>
    </w:p>
    <w:p w14:paraId="1CE4AB2B" w14:textId="77777777"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t>El reconocimiento de un auxilio de práctica durante todo el desarrollo de la práctica laboral, el cual no podrá ser inferior a un salario mínimo mensual legal vigente (SMMLV).</w:t>
      </w:r>
    </w:p>
    <w:p w14:paraId="0B875DCD" w14:textId="77777777"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t>La afiliación y cotización al Sistema Integral de Seguridad Social en los subsistemas en pensiones, salud y riesgos laborales. </w:t>
      </w:r>
    </w:p>
    <w:p w14:paraId="63263865" w14:textId="77777777"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lastRenderedPageBreak/>
        <w:t>La creación de un procedimiento de convocatoria pública y transparente para la postulación de los practicantes al Programa Estado Joven, el cual será reportado al Sistema de Información del Servicio Público de Empleo (SISE).</w:t>
      </w:r>
    </w:p>
    <w:p w14:paraId="4C4E5A00" w14:textId="77777777"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t>La creación de un procedimiento de selección público y transparente de los practicantes a los programas que desarrollen prácticas laborales en el sector público, el cual deberá garantizar la paridad entre hombre y mujeres, con enfoque diferencial de género.</w:t>
      </w:r>
    </w:p>
    <w:p w14:paraId="74DF8DA2" w14:textId="77777777"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t>La priorización de vinculación para los postulantes que se encuentren domiciliados en estratos socioeconómicos 1, 2 y 3.</w:t>
      </w:r>
    </w:p>
    <w:p w14:paraId="3F4985AD" w14:textId="77777777"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t xml:space="preserve">El establecimiento de mecanismos y procedimientos tendientes a la protección de los derechos de los practicantes del sector público, así como la fijación de medidas preventivas, correctivas y sancionatorias de cualquier tipo de abuso o violencia en el ámbito de desarrollo de la práctica en las entidades </w:t>
      </w:r>
      <w:r w:rsidRPr="00013463">
        <w:rPr>
          <w:rFonts w:ascii="Arial" w:hAnsi="Arial" w:cs="Arial"/>
          <w:lang w:eastAsia="es-CO"/>
        </w:rPr>
        <w:t>del Estado.</w:t>
      </w:r>
    </w:p>
    <w:p w14:paraId="029A0136" w14:textId="5717D269" w:rsidR="00013463" w:rsidRPr="00013463" w:rsidRDefault="00013463" w:rsidP="00013463">
      <w:pPr>
        <w:numPr>
          <w:ilvl w:val="0"/>
          <w:numId w:val="33"/>
        </w:numPr>
        <w:shd w:val="clear" w:color="auto" w:fill="FFFFFF"/>
        <w:spacing w:after="240" w:line="240" w:lineRule="atLeast"/>
        <w:jc w:val="both"/>
        <w:textAlignment w:val="baseline"/>
        <w:rPr>
          <w:rFonts w:ascii="Arial" w:hAnsi="Arial" w:cs="Arial"/>
          <w:color w:val="000000"/>
          <w:u w:val="single"/>
          <w:lang w:eastAsia="es-CO"/>
        </w:rPr>
      </w:pPr>
      <w:r w:rsidRPr="00013463">
        <w:rPr>
          <w:rFonts w:ascii="Arial" w:hAnsi="Arial" w:cs="Arial"/>
          <w:color w:val="000000"/>
          <w:lang w:eastAsia="es-CO"/>
        </w:rPr>
        <w:t xml:space="preserve">La creación de un mecanismo para articular, unificar y centralizar la información de los practicantes en el territorio nacional vinculados a las entidades </w:t>
      </w:r>
      <w:r w:rsidR="001F177A">
        <w:rPr>
          <w:rFonts w:ascii="Arial" w:hAnsi="Arial" w:cs="Arial"/>
          <w:color w:val="000000"/>
          <w:lang w:eastAsia="es-CO"/>
        </w:rPr>
        <w:t>del Estado</w:t>
      </w:r>
      <w:r w:rsidRPr="00013463">
        <w:rPr>
          <w:rFonts w:ascii="Arial" w:hAnsi="Arial" w:cs="Arial"/>
          <w:color w:val="000000"/>
          <w:lang w:eastAsia="es-CO"/>
        </w:rPr>
        <w:t>.</w:t>
      </w:r>
    </w:p>
    <w:p w14:paraId="692D3368" w14:textId="0BF572BC" w:rsidR="00013463" w:rsidRPr="00013463" w:rsidRDefault="00013463" w:rsidP="00013463">
      <w:pPr>
        <w:pStyle w:val="Sinespaciado"/>
        <w:rPr>
          <w:lang w:eastAsia="es-CO"/>
        </w:rPr>
      </w:pPr>
      <w:r w:rsidRPr="00013463">
        <w:rPr>
          <w:b/>
          <w:bCs/>
          <w:lang w:eastAsia="es-CO"/>
        </w:rPr>
        <w:t xml:space="preserve">PARÁGRAFO PRIMERO. </w:t>
      </w:r>
      <w:r w:rsidRPr="00013463">
        <w:rPr>
          <w:lang w:eastAsia="es-CO"/>
        </w:rPr>
        <w:t>El Ministerio del Trabajo, en coordinación con el Departamento Administrativo de la Función Pública, deberá reglamentar y poner en operación el Programa Estado Joven conforme a los criterios establecidos en el presente artículo, en un término de doce (12) meses contados a partir de la expedición de la presente Ley. La reglamentación deberá incorporar criterios de diferenciación a favor de grupos vulnerables, tales como los jóvenes</w:t>
      </w:r>
      <w:r>
        <w:rPr>
          <w:lang w:eastAsia="es-CO"/>
        </w:rPr>
        <w:t xml:space="preserve"> </w:t>
      </w:r>
      <w:r w:rsidRPr="00013463">
        <w:rPr>
          <w:lang w:eastAsia="es-CO"/>
        </w:rPr>
        <w:t>víctimas del conflicto armado, las mujeres jóvenes cabeza de hogar y los jóvenes en condición de discapacidad.</w:t>
      </w:r>
    </w:p>
    <w:p w14:paraId="4A050BFC" w14:textId="77777777" w:rsidR="00013463" w:rsidRDefault="00013463" w:rsidP="00013463">
      <w:pPr>
        <w:pStyle w:val="Sinespaciado"/>
        <w:rPr>
          <w:lang w:eastAsia="es-CO"/>
        </w:rPr>
      </w:pPr>
    </w:p>
    <w:p w14:paraId="0619FEDE" w14:textId="37581AB3" w:rsidR="00013463" w:rsidRPr="00013463" w:rsidRDefault="00013463" w:rsidP="00013463">
      <w:pPr>
        <w:pStyle w:val="Sinespaciado"/>
        <w:rPr>
          <w:lang w:eastAsia="es-CO"/>
        </w:rPr>
      </w:pPr>
      <w:r w:rsidRPr="00013463">
        <w:rPr>
          <w:lang w:eastAsia="es-CO"/>
        </w:rPr>
        <w:t xml:space="preserve">El Ministerio del Trabajo, deberá presentar dentro de este término, el plan de implementación gradual, las metas y población beneficiaria anual del programa Estado Joven en el corto, mediano y largo plazo. </w:t>
      </w:r>
    </w:p>
    <w:p w14:paraId="3259D2F4" w14:textId="77777777" w:rsidR="00013463" w:rsidRDefault="00013463" w:rsidP="00013463">
      <w:pPr>
        <w:pStyle w:val="Sinespaciado"/>
        <w:rPr>
          <w:lang w:eastAsia="es-CO"/>
        </w:rPr>
      </w:pPr>
    </w:p>
    <w:p w14:paraId="2E534C36" w14:textId="623F52D6" w:rsidR="00013463" w:rsidRPr="00013463" w:rsidRDefault="00013463" w:rsidP="00013463">
      <w:pPr>
        <w:pStyle w:val="Sinespaciado"/>
        <w:rPr>
          <w:lang w:eastAsia="es-CO"/>
        </w:rPr>
      </w:pPr>
      <w:r w:rsidRPr="00013463">
        <w:rPr>
          <w:lang w:eastAsia="es-CO"/>
        </w:rPr>
        <w:t xml:space="preserve">El presente plan de implementación deberá establecer estas metas para lograr la ampliación gradual hasta el cubrimiento de la totalidad de jóvenes con prácticas laborales en el sector público del país. </w:t>
      </w:r>
    </w:p>
    <w:p w14:paraId="58504500" w14:textId="77777777" w:rsidR="00013463" w:rsidRDefault="00013463" w:rsidP="00013463">
      <w:pPr>
        <w:pStyle w:val="Sinespaciado"/>
        <w:rPr>
          <w:rFonts w:eastAsia="Times New Roman"/>
          <w:b/>
          <w:bCs/>
          <w:shd w:val="clear" w:color="auto" w:fill="FFFFFF"/>
          <w:lang w:eastAsia="es-MX"/>
        </w:rPr>
      </w:pPr>
    </w:p>
    <w:p w14:paraId="4C9F8AFC" w14:textId="3AFEB41B" w:rsidR="00013463" w:rsidRPr="00013463" w:rsidRDefault="00013463" w:rsidP="00013463">
      <w:pPr>
        <w:pStyle w:val="Sinespaciado"/>
        <w:rPr>
          <w:rFonts w:eastAsia="Times New Roman"/>
          <w:lang w:eastAsia="es-MX"/>
        </w:rPr>
      </w:pPr>
      <w:r w:rsidRPr="00013463">
        <w:rPr>
          <w:rFonts w:eastAsia="Times New Roman"/>
          <w:b/>
          <w:bCs/>
          <w:shd w:val="clear" w:color="auto" w:fill="FFFFFF"/>
          <w:lang w:eastAsia="es-MX"/>
        </w:rPr>
        <w:t>PARÁGRAFO SEGUNDO</w:t>
      </w:r>
      <w:r w:rsidRPr="00013463">
        <w:rPr>
          <w:rFonts w:eastAsia="Times New Roman"/>
          <w:shd w:val="clear" w:color="auto" w:fill="FFFFFF"/>
          <w:lang w:eastAsia="es-MX"/>
        </w:rPr>
        <w:t xml:space="preserve"> </w:t>
      </w:r>
      <w:r w:rsidRPr="00013463">
        <w:rPr>
          <w:rFonts w:eastAsia="Times New Roman"/>
          <w:lang w:eastAsia="es-MX"/>
        </w:rPr>
        <w:t>La vinculación de los practicantes se hará a través de un proceso público, transparente, participativo y basado en el mérito, que estará a cargo de cada una de las Entidades del Estado que oferten prácticas laborales en el marco del Programa Estado Joven a través de sus oficinas de talento humano o la dependencia que corresponda, según el caso. </w:t>
      </w:r>
    </w:p>
    <w:p w14:paraId="1FA3B772" w14:textId="77777777" w:rsidR="00013463" w:rsidRPr="00013463" w:rsidRDefault="00013463" w:rsidP="00013463">
      <w:pPr>
        <w:pStyle w:val="Sinespaciado"/>
        <w:rPr>
          <w:rFonts w:eastAsia="Times New Roman"/>
          <w:lang w:eastAsia="es-MX"/>
        </w:rPr>
      </w:pPr>
    </w:p>
    <w:p w14:paraId="66C15858" w14:textId="77777777" w:rsidR="00013463" w:rsidRPr="00013463" w:rsidRDefault="00013463" w:rsidP="00013463">
      <w:pPr>
        <w:pStyle w:val="Sinespaciado"/>
        <w:rPr>
          <w:rFonts w:eastAsia="Arial"/>
          <w:lang w:eastAsia="es-MX"/>
        </w:rPr>
      </w:pPr>
      <w:r w:rsidRPr="00013463">
        <w:rPr>
          <w:rFonts w:eastAsia="Arial"/>
          <w:b/>
          <w:lang w:eastAsia="es-MX"/>
        </w:rPr>
        <w:t>PARÁGRAFO TERCERO.</w:t>
      </w:r>
      <w:r w:rsidRPr="00013463">
        <w:rPr>
          <w:rFonts w:eastAsia="Arial"/>
          <w:lang w:eastAsia="es-MX"/>
        </w:rPr>
        <w:t xml:space="preserve"> Las entidades territoriales deberán armonizar sus programas de prácticas laborales con los lineamientos establecidos en el programa Estado Joven, con el propósito de unificar la política pública de dignificación de las prácticas laborales y de fortalecimiento de la inserción laboral juvenil en el sector público a nivel nacional. Este proceso de adecuación deberá realizarse dentro de los seis (6) meses siguientes a la expedición de la reglamentación correspondiente del programa Estado Joven.</w:t>
      </w:r>
    </w:p>
    <w:p w14:paraId="65F0456F" w14:textId="77777777" w:rsidR="001F177A" w:rsidRDefault="001F177A" w:rsidP="00013463">
      <w:pPr>
        <w:pStyle w:val="Sinespaciado"/>
        <w:rPr>
          <w:rFonts w:eastAsia="Arial"/>
          <w:lang w:eastAsia="es-MX"/>
        </w:rPr>
      </w:pPr>
    </w:p>
    <w:p w14:paraId="22671032" w14:textId="20E40067" w:rsidR="00013463" w:rsidRDefault="00013463" w:rsidP="00013463">
      <w:pPr>
        <w:pStyle w:val="Sinespaciado"/>
        <w:rPr>
          <w:rFonts w:eastAsia="Arial"/>
          <w:lang w:eastAsia="es-MX"/>
        </w:rPr>
      </w:pPr>
      <w:r w:rsidRPr="00013463">
        <w:rPr>
          <w:rFonts w:eastAsia="Arial"/>
          <w:lang w:eastAsia="es-MX"/>
        </w:rPr>
        <w:t>Para ello, el Ministerio del Trabajo prestará la asistencia técnica que se requiera para la formulación, viabilización y realización del proceso de armonización de sus programas de prácticas laborales</w:t>
      </w:r>
    </w:p>
    <w:p w14:paraId="6C7A98B8" w14:textId="3641B492" w:rsidR="001F177A" w:rsidRDefault="001F177A" w:rsidP="00013463">
      <w:pPr>
        <w:pStyle w:val="Sinespaciado"/>
        <w:rPr>
          <w:rFonts w:eastAsia="Arial"/>
          <w:lang w:eastAsia="es-MX"/>
        </w:rPr>
      </w:pPr>
    </w:p>
    <w:p w14:paraId="11B903E8" w14:textId="071D6D7E" w:rsidR="001F177A" w:rsidRPr="001F177A" w:rsidRDefault="001F177A" w:rsidP="00013463">
      <w:pPr>
        <w:pStyle w:val="Sinespaciado"/>
        <w:rPr>
          <w:rFonts w:eastAsia="Arial"/>
          <w:bCs/>
          <w:lang w:eastAsia="es-MX"/>
        </w:rPr>
      </w:pPr>
      <w:r w:rsidRPr="00013463">
        <w:rPr>
          <w:rFonts w:eastAsia="Arial"/>
          <w:b/>
          <w:lang w:eastAsia="es-MX"/>
        </w:rPr>
        <w:lastRenderedPageBreak/>
        <w:t xml:space="preserve">PARÁGRAFO </w:t>
      </w:r>
      <w:r>
        <w:rPr>
          <w:rFonts w:eastAsia="Arial"/>
          <w:b/>
          <w:lang w:eastAsia="es-MX"/>
        </w:rPr>
        <w:t>CUARTO</w:t>
      </w:r>
      <w:r w:rsidRPr="00013463">
        <w:rPr>
          <w:rFonts w:eastAsia="Arial"/>
          <w:b/>
          <w:lang w:eastAsia="es-MX"/>
        </w:rPr>
        <w:t>.</w:t>
      </w:r>
      <w:r>
        <w:rPr>
          <w:rFonts w:eastAsia="Arial"/>
          <w:b/>
          <w:lang w:eastAsia="es-MX"/>
        </w:rPr>
        <w:t xml:space="preserve"> </w:t>
      </w:r>
      <w:r w:rsidRPr="001F177A">
        <w:rPr>
          <w:rFonts w:eastAsia="Arial"/>
          <w:bCs/>
          <w:lang w:eastAsia="es-MX"/>
        </w:rPr>
        <w:t>Para garantizar l</w:t>
      </w:r>
      <w:r>
        <w:rPr>
          <w:rFonts w:eastAsia="Arial"/>
          <w:bCs/>
          <w:lang w:eastAsia="es-MX"/>
        </w:rPr>
        <w:t>a inclusión de jóvenes rurales, afrocolombianos, indígenas y víctimas del conflicto armado, el programa deberá incorporar criterios de territorialización que aseguren la cobertura en zonas rurales y apartadas.</w:t>
      </w:r>
    </w:p>
    <w:p w14:paraId="66E51B0A" w14:textId="77777777" w:rsidR="00013463" w:rsidRPr="00013463" w:rsidRDefault="00013463" w:rsidP="00013463">
      <w:pPr>
        <w:pStyle w:val="Sinespaciado"/>
        <w:rPr>
          <w:rFonts w:eastAsia="Arial"/>
          <w:b/>
          <w:lang w:eastAsia="es-MX"/>
        </w:rPr>
      </w:pPr>
    </w:p>
    <w:p w14:paraId="7E4B3668" w14:textId="77777777" w:rsidR="00013463" w:rsidRPr="00013463" w:rsidRDefault="00013463" w:rsidP="00013463">
      <w:pPr>
        <w:pStyle w:val="Sinespaciado"/>
        <w:rPr>
          <w:rFonts w:eastAsia="Arial"/>
          <w:b/>
          <w:lang w:eastAsia="es-MX"/>
        </w:rPr>
      </w:pPr>
      <w:r w:rsidRPr="00013463">
        <w:rPr>
          <w:rFonts w:eastAsia="Arial"/>
          <w:b/>
          <w:lang w:eastAsia="es-MX"/>
        </w:rPr>
        <w:t xml:space="preserve">ARTÍCULO 5. </w:t>
      </w:r>
      <w:r w:rsidRPr="00013463">
        <w:rPr>
          <w:rFonts w:eastAsia="Arial"/>
          <w:lang w:eastAsia="es-MX"/>
        </w:rPr>
        <w:t xml:space="preserve">Modifíquese el artículo 4 de la Ley 2043 de 2020, el cual quedará así: </w:t>
      </w:r>
      <w:r w:rsidRPr="00013463">
        <w:rPr>
          <w:rFonts w:eastAsia="Arial"/>
          <w:lang w:eastAsia="es-MX"/>
        </w:rPr>
        <w:br/>
      </w:r>
    </w:p>
    <w:p w14:paraId="26732393" w14:textId="77777777" w:rsidR="00013463" w:rsidRPr="00013463" w:rsidRDefault="00013463" w:rsidP="00013463">
      <w:pPr>
        <w:pStyle w:val="Sinespaciado"/>
        <w:rPr>
          <w:rFonts w:eastAsia="Arial"/>
          <w:lang w:eastAsia="es-MX"/>
        </w:rPr>
      </w:pPr>
      <w:r w:rsidRPr="00013463">
        <w:rPr>
          <w:rFonts w:eastAsia="Arial"/>
          <w:b/>
          <w:lang w:eastAsia="es-MX"/>
        </w:rPr>
        <w:t xml:space="preserve">ARTÍCULO 4. AUXILIO DE PRÁCTICA. </w:t>
      </w:r>
      <w:r w:rsidRPr="00013463">
        <w:rPr>
          <w:rFonts w:eastAsia="Arial"/>
          <w:lang w:eastAsia="es-MX"/>
        </w:rPr>
        <w:t>Los estudiantes que desarrollen sus prácticas laborales en las entidades del Estado en el marco del Programa Estado Joven, tendrán derecho a un auxilio de práctica equivalente por lo menos al cien por ciento (100%) del salario mínimo mensual legal vigente (SMMLV), en caso de que la práctica se realice a tiempo completo. Para las prácticas de tiempo parcial, el auxilio de práctica deberá ser proporcional al horario</w:t>
      </w:r>
      <w:r w:rsidRPr="00013463">
        <w:rPr>
          <w:rFonts w:eastAsia="Arial"/>
          <w:b/>
          <w:bCs/>
          <w:lang w:eastAsia="es-MX"/>
        </w:rPr>
        <w:t xml:space="preserve"> </w:t>
      </w:r>
      <w:r w:rsidRPr="00013463">
        <w:rPr>
          <w:rFonts w:eastAsia="Arial"/>
          <w:lang w:eastAsia="es-MX"/>
        </w:rPr>
        <w:t>de la actividad formativa.</w:t>
      </w:r>
    </w:p>
    <w:p w14:paraId="2A28988B" w14:textId="77777777" w:rsidR="00013463" w:rsidRPr="00013463" w:rsidRDefault="00013463" w:rsidP="00013463">
      <w:pPr>
        <w:pStyle w:val="Sinespaciado"/>
        <w:rPr>
          <w:rFonts w:eastAsia="Arial"/>
          <w:lang w:eastAsia="es-MX"/>
        </w:rPr>
      </w:pPr>
    </w:p>
    <w:p w14:paraId="7270D3AD" w14:textId="77777777" w:rsidR="00013463" w:rsidRPr="00013463" w:rsidRDefault="00013463" w:rsidP="00013463">
      <w:pPr>
        <w:pStyle w:val="Sinespaciado"/>
        <w:rPr>
          <w:rFonts w:eastAsia="Arial"/>
          <w:lang w:eastAsia="es-MX"/>
        </w:rPr>
      </w:pPr>
      <w:r w:rsidRPr="00013463">
        <w:rPr>
          <w:rFonts w:eastAsia="Arial"/>
          <w:b/>
          <w:lang w:eastAsia="es-MX"/>
        </w:rPr>
        <w:t>PARÁGRAFO 1.</w:t>
      </w:r>
      <w:r w:rsidRPr="00013463">
        <w:rPr>
          <w:rFonts w:eastAsia="Arial"/>
          <w:lang w:eastAsia="es-MX"/>
        </w:rPr>
        <w:t xml:space="preserve"> El auxilio que trata la presente Ley, tiene como finalidad apoyar al practicante en el desarrollo de su actividad formativa y en ningún caso constituye salario.</w:t>
      </w:r>
    </w:p>
    <w:p w14:paraId="6D75831D" w14:textId="77777777" w:rsidR="00013463" w:rsidRPr="00013463" w:rsidRDefault="00013463" w:rsidP="00013463">
      <w:pPr>
        <w:pStyle w:val="Sinespaciado"/>
        <w:rPr>
          <w:rFonts w:eastAsia="Arial"/>
          <w:lang w:eastAsia="es-MX"/>
        </w:rPr>
      </w:pPr>
    </w:p>
    <w:p w14:paraId="5033E5B2" w14:textId="77777777" w:rsidR="00013463" w:rsidRPr="00013463" w:rsidRDefault="00013463" w:rsidP="00013463">
      <w:pPr>
        <w:pStyle w:val="Sinespaciado"/>
        <w:rPr>
          <w:rFonts w:eastAsia="Arial"/>
          <w:lang w:eastAsia="es-MX"/>
        </w:rPr>
      </w:pPr>
      <w:r w:rsidRPr="00013463">
        <w:rPr>
          <w:rFonts w:eastAsia="Arial"/>
          <w:b/>
          <w:lang w:eastAsia="es-MX"/>
        </w:rPr>
        <w:t xml:space="preserve">PARÁGRAFO 2. </w:t>
      </w:r>
      <w:r w:rsidRPr="00013463">
        <w:rPr>
          <w:rFonts w:eastAsia="Arial"/>
          <w:lang w:eastAsia="es-MX"/>
        </w:rPr>
        <w:t>En todo caso, el desembolso del auxilio de práctica deberá estar soportado en el cumplimiento efectivo de las actividades acordadas en el marco de la práctica laboral, certificado por el supervisor asignado.</w:t>
      </w:r>
    </w:p>
    <w:p w14:paraId="71FFC8BC" w14:textId="77777777" w:rsidR="00013463" w:rsidRPr="00013463" w:rsidRDefault="00013463" w:rsidP="00013463">
      <w:pPr>
        <w:pStyle w:val="Sinespaciado"/>
        <w:rPr>
          <w:rFonts w:eastAsia="Arial"/>
          <w:lang w:eastAsia="es-MX"/>
        </w:rPr>
      </w:pPr>
    </w:p>
    <w:p w14:paraId="23980103" w14:textId="77777777" w:rsidR="00013463" w:rsidRPr="00013463" w:rsidRDefault="00013463" w:rsidP="00013463">
      <w:pPr>
        <w:pStyle w:val="Sinespaciado"/>
        <w:rPr>
          <w:lang w:eastAsia="es-CO"/>
        </w:rPr>
      </w:pPr>
      <w:r w:rsidRPr="00013463">
        <w:rPr>
          <w:b/>
          <w:bCs/>
          <w:lang w:eastAsia="es-CO"/>
        </w:rPr>
        <w:t>ARTÍCULO 6. AFILIACIÓN Y PAGO A LOS SUBSISTEMAS DE SEGURIDAD SOCIAL.</w:t>
      </w:r>
      <w:r w:rsidRPr="00013463">
        <w:rPr>
          <w:lang w:eastAsia="es-CO"/>
        </w:rPr>
        <w:t xml:space="preserve"> Durante el desarrollo de las prácticas laborales en el marco del Programa Estado Joven, las y los estudiantes estarán sujetos a las reglas de cotización establecidas para los trabajadores dependientes en los subsistemas de salud, pensiones y riesgos laborales.</w:t>
      </w:r>
    </w:p>
    <w:p w14:paraId="2A316F87" w14:textId="77777777" w:rsidR="00C3005D" w:rsidRDefault="00C3005D" w:rsidP="00013463">
      <w:pPr>
        <w:pStyle w:val="Sinespaciado"/>
        <w:rPr>
          <w:lang w:eastAsia="es-CO"/>
        </w:rPr>
      </w:pPr>
    </w:p>
    <w:p w14:paraId="196BA7D5" w14:textId="267323CE" w:rsidR="00013463" w:rsidRPr="00013463" w:rsidRDefault="00013463" w:rsidP="00013463">
      <w:pPr>
        <w:pStyle w:val="Sinespaciado"/>
        <w:rPr>
          <w:lang w:eastAsia="es-CO"/>
        </w:rPr>
      </w:pPr>
      <w:r w:rsidRPr="00013463">
        <w:rPr>
          <w:lang w:eastAsia="es-CO"/>
        </w:rPr>
        <w:t>El Programa Estado Joven asumirá el pago de las cotizaciones cuando la práctica se realice en modalidad de tiempo parcial.</w:t>
      </w:r>
    </w:p>
    <w:p w14:paraId="4EC60818" w14:textId="77777777" w:rsidR="00C3005D" w:rsidRDefault="00C3005D" w:rsidP="00013463">
      <w:pPr>
        <w:pStyle w:val="Sinespaciado"/>
        <w:rPr>
          <w:lang w:eastAsia="es-CO"/>
        </w:rPr>
      </w:pPr>
    </w:p>
    <w:p w14:paraId="521264C1" w14:textId="0E8BBDBD" w:rsidR="00013463" w:rsidRPr="00013463" w:rsidRDefault="00C3005D" w:rsidP="00013463">
      <w:pPr>
        <w:pStyle w:val="Sinespaciado"/>
        <w:rPr>
          <w:lang w:eastAsia="es-CO"/>
        </w:rPr>
      </w:pPr>
      <w:r w:rsidRPr="00C3005D">
        <w:rPr>
          <w:b/>
          <w:bCs/>
          <w:lang w:eastAsia="es-CO"/>
        </w:rPr>
        <w:t>PARÁGRAFO</w:t>
      </w:r>
      <w:r w:rsidRPr="00013463">
        <w:rPr>
          <w:lang w:eastAsia="es-CO"/>
        </w:rPr>
        <w:t>.</w:t>
      </w:r>
      <w:r w:rsidR="00013463" w:rsidRPr="00013463">
        <w:rPr>
          <w:lang w:eastAsia="es-CO"/>
        </w:rPr>
        <w:t xml:space="preserve"> En ningún caso el ingreso base de cotización (IBC) podrá ser inferior al salario mínimo mensual legal vigente (SMMLV). </w:t>
      </w:r>
    </w:p>
    <w:p w14:paraId="6F0A48FC" w14:textId="77777777" w:rsidR="00013463" w:rsidRDefault="00013463" w:rsidP="00013463">
      <w:pPr>
        <w:pStyle w:val="Sinespaciado"/>
        <w:rPr>
          <w:rFonts w:eastAsia="Arial"/>
          <w:b/>
          <w:lang w:eastAsia="es-MX"/>
        </w:rPr>
      </w:pPr>
    </w:p>
    <w:p w14:paraId="4CDAB792" w14:textId="1A73FEFF" w:rsidR="00013463" w:rsidRPr="00013463" w:rsidRDefault="00013463" w:rsidP="00013463">
      <w:pPr>
        <w:pStyle w:val="Sinespaciado"/>
        <w:rPr>
          <w:rFonts w:eastAsia="Arial"/>
          <w:lang w:eastAsia="es-MX"/>
        </w:rPr>
      </w:pPr>
      <w:r w:rsidRPr="00013463">
        <w:rPr>
          <w:rFonts w:eastAsia="Arial"/>
          <w:b/>
          <w:lang w:eastAsia="es-MX"/>
        </w:rPr>
        <w:t>ARTÍCULO 7. PUBLICACIÓN DE PLAZAS VACANTES.</w:t>
      </w:r>
      <w:r w:rsidRPr="00013463">
        <w:rPr>
          <w:rFonts w:eastAsia="Arial"/>
          <w:lang w:eastAsia="es-MX"/>
        </w:rPr>
        <w:t> En el marco del Programa Estado Joven, las entidades</w:t>
      </w:r>
      <w:r w:rsidRPr="00013463">
        <w:rPr>
          <w:rFonts w:eastAsia="Arial"/>
          <w:b/>
          <w:bCs/>
          <w:lang w:eastAsia="es-MX"/>
        </w:rPr>
        <w:t xml:space="preserve"> </w:t>
      </w:r>
      <w:r w:rsidRPr="00013463">
        <w:rPr>
          <w:rFonts w:eastAsia="Arial"/>
          <w:lang w:eastAsia="es-MX"/>
        </w:rPr>
        <w:t>del Estado deberán publicar el listado completo de las plazas vacantes disponibles para el desarrollo de prácticas laborales en sus dependencias. Esta publicación deberá realizarse a través de sus sitios web oficiales y del Servicio Público de Empleo (SISE), e incluir información detallada y actualizada sobre los requisitos, modalidades, condiciones y plazos de aplicación.</w:t>
      </w:r>
    </w:p>
    <w:p w14:paraId="66B98E21" w14:textId="77777777" w:rsidR="00C3005D" w:rsidRDefault="00C3005D" w:rsidP="00013463">
      <w:pPr>
        <w:pStyle w:val="Sinespaciado"/>
        <w:rPr>
          <w:rFonts w:eastAsia="Arial"/>
          <w:lang w:eastAsia="es-CO"/>
        </w:rPr>
      </w:pPr>
    </w:p>
    <w:p w14:paraId="7DC13DAB" w14:textId="4C726922" w:rsidR="00013463" w:rsidRPr="00013463" w:rsidRDefault="00013463" w:rsidP="00013463">
      <w:pPr>
        <w:pStyle w:val="Sinespaciado"/>
        <w:rPr>
          <w:rFonts w:eastAsia="Arial"/>
          <w:lang w:eastAsia="es-CO"/>
        </w:rPr>
      </w:pPr>
      <w:r w:rsidRPr="00013463">
        <w:rPr>
          <w:rFonts w:eastAsia="Arial"/>
          <w:lang w:eastAsia="es-CO"/>
        </w:rPr>
        <w:t>El Ministerio del Trabajo, a través del Servicio Público de Empleo (SISE), habilitará el registro, la postulación pública y el seguimiento de los practicantes a las vacantes ofertadas por las entidades públicas, garantizando un proceso accesible, transparente y equitativo en todo el territorio nacional.</w:t>
      </w:r>
      <w:r w:rsidR="00C3005D">
        <w:rPr>
          <w:rFonts w:eastAsia="Arial"/>
          <w:lang w:eastAsia="es-CO"/>
        </w:rPr>
        <w:t xml:space="preserve"> Asimismo, el Ministerio deberá consolidar y publicar trimestralmente un informe nacional con el número total de plazas ofertadas, postulaciones, asignaciones y vacantes sin cubrir, desagregado por entidad, sector y región.</w:t>
      </w:r>
    </w:p>
    <w:p w14:paraId="044E107F" w14:textId="77777777" w:rsidR="00013463" w:rsidRDefault="00013463" w:rsidP="00013463">
      <w:pPr>
        <w:pStyle w:val="Sinespaciado"/>
        <w:rPr>
          <w:rFonts w:eastAsia="Arial"/>
          <w:b/>
          <w:lang w:eastAsia="es-MX"/>
        </w:rPr>
      </w:pPr>
    </w:p>
    <w:p w14:paraId="1BC8FC51" w14:textId="789EEF45" w:rsidR="00013463" w:rsidRPr="00013463" w:rsidRDefault="00013463" w:rsidP="00013463">
      <w:pPr>
        <w:pStyle w:val="Sinespaciado"/>
        <w:rPr>
          <w:rFonts w:eastAsia="Arial"/>
          <w:lang w:eastAsia="es-MX"/>
        </w:rPr>
      </w:pPr>
      <w:r w:rsidRPr="00013463">
        <w:rPr>
          <w:rFonts w:eastAsia="Arial"/>
          <w:b/>
          <w:lang w:eastAsia="es-MX"/>
        </w:rPr>
        <w:t>ARTÍCULO 8. PRESUPUESTO. </w:t>
      </w:r>
      <w:r w:rsidRPr="00013463">
        <w:rPr>
          <w:rFonts w:eastAsia="Arial"/>
          <w:lang w:eastAsia="es-MX"/>
        </w:rPr>
        <w:t>El Gobierno Nacional deberá incorporar en el Presupuesto General de la Nación las partidas presupuestales adicionales necesarias para cofinanciar los gastos de las entidades del Estado del orden nacional y territorial que asuman las obligaciones de que trata la presente Ley mediante transferencias directas, en armonía con el Marco Fiscal de Mediano Plazo. </w:t>
      </w:r>
    </w:p>
    <w:p w14:paraId="088465E7" w14:textId="77777777" w:rsidR="00013463" w:rsidRPr="00013463" w:rsidRDefault="00013463" w:rsidP="00013463">
      <w:pPr>
        <w:pStyle w:val="Sinespaciado"/>
        <w:rPr>
          <w:rFonts w:eastAsia="Arial"/>
          <w:lang w:eastAsia="es-MX"/>
        </w:rPr>
      </w:pPr>
    </w:p>
    <w:p w14:paraId="5A46046A" w14:textId="77777777" w:rsidR="00013463" w:rsidRPr="00013463" w:rsidRDefault="00013463" w:rsidP="00013463">
      <w:pPr>
        <w:pStyle w:val="Sinespaciado"/>
        <w:rPr>
          <w:rFonts w:eastAsia="Arial"/>
          <w:lang w:eastAsia="es-MX"/>
        </w:rPr>
      </w:pPr>
      <w:r w:rsidRPr="00013463">
        <w:rPr>
          <w:rFonts w:eastAsia="Arial"/>
          <w:lang w:eastAsia="es-MX"/>
        </w:rPr>
        <w:t>El Ministerio del Trabajo deberá disponer dentro de su presupuesto de inversión, una partida permanente destinada a la cofinanciación anual del Programa Estado Joven.</w:t>
      </w:r>
    </w:p>
    <w:p w14:paraId="4B244ADF" w14:textId="77777777" w:rsidR="00013463" w:rsidRPr="00013463" w:rsidRDefault="00013463" w:rsidP="00013463">
      <w:pPr>
        <w:pStyle w:val="Sinespaciado"/>
        <w:rPr>
          <w:rFonts w:eastAsia="Arial"/>
          <w:lang w:eastAsia="es-MX"/>
        </w:rPr>
      </w:pPr>
    </w:p>
    <w:p w14:paraId="4A592A39" w14:textId="77777777" w:rsidR="00013463" w:rsidRPr="00013463" w:rsidRDefault="00013463" w:rsidP="00013463">
      <w:pPr>
        <w:pStyle w:val="Sinespaciado"/>
        <w:rPr>
          <w:rFonts w:eastAsia="Arial"/>
          <w:lang w:eastAsia="es-MX"/>
        </w:rPr>
      </w:pPr>
      <w:r w:rsidRPr="00013463">
        <w:rPr>
          <w:rFonts w:eastAsia="Arial"/>
          <w:b/>
          <w:lang w:eastAsia="es-MX"/>
        </w:rPr>
        <w:t xml:space="preserve">PARÁGRAFO. </w:t>
      </w:r>
      <w:r w:rsidRPr="00013463">
        <w:rPr>
          <w:rFonts w:eastAsia="Arial"/>
          <w:lang w:eastAsia="es-MX"/>
        </w:rPr>
        <w:t>En febrero de cada anualidad, las entidades públicas del nivel nacional y territorial, en conjunto con las Instituciones educativas</w:t>
      </w:r>
      <w:r w:rsidRPr="00013463">
        <w:rPr>
          <w:rFonts w:eastAsia="Arial"/>
          <w:b/>
          <w:bCs/>
          <w:color w:val="FF0000"/>
          <w:lang w:eastAsia="es-MX"/>
        </w:rPr>
        <w:t xml:space="preserve"> </w:t>
      </w:r>
      <w:r w:rsidRPr="00013463">
        <w:rPr>
          <w:rFonts w:eastAsia="Arial"/>
          <w:lang w:eastAsia="es-MX"/>
        </w:rPr>
        <w:t>presentarán ante el Ministerio de Trabajo un informe sobre las plazas y necesidades presupuestales para cubrir la cofinanciación del Programa Estado Joven.</w:t>
      </w:r>
    </w:p>
    <w:p w14:paraId="59B5A50C" w14:textId="77777777" w:rsidR="00013463" w:rsidRPr="00013463" w:rsidRDefault="00013463" w:rsidP="00013463">
      <w:pPr>
        <w:pStyle w:val="Sinespaciado"/>
        <w:rPr>
          <w:rFonts w:eastAsia="Arial"/>
          <w:lang w:eastAsia="es-MX"/>
        </w:rPr>
      </w:pPr>
    </w:p>
    <w:p w14:paraId="28899D1F" w14:textId="77777777" w:rsidR="00013463" w:rsidRPr="00013463" w:rsidRDefault="00013463" w:rsidP="00013463">
      <w:pPr>
        <w:pStyle w:val="Sinespaciado"/>
        <w:rPr>
          <w:rFonts w:eastAsia="Arial"/>
          <w:lang w:eastAsia="es-CO"/>
        </w:rPr>
      </w:pPr>
      <w:r w:rsidRPr="00013463">
        <w:rPr>
          <w:rFonts w:eastAsia="Arial"/>
          <w:lang w:eastAsia="es-CO"/>
        </w:rPr>
        <w:t>A partir de estos informes, el Ministerio del Trabajo, aprobará el monto a reconocer en la partida presupuestal del presupuesto de inversión y lo incorporará en las solicitudes del Presupuesto General de la Nación de la siguiente vigencia. El presupuesto de cofinanciación del Programa Estado Joven no podrá ser inferior al monto reconocido y aprobado a través de este mecanismo.</w:t>
      </w:r>
    </w:p>
    <w:p w14:paraId="20484389" w14:textId="77777777" w:rsidR="00013463" w:rsidRDefault="00013463" w:rsidP="00013463">
      <w:pPr>
        <w:pStyle w:val="Sinespaciado"/>
        <w:rPr>
          <w:rFonts w:eastAsia="Arial"/>
          <w:b/>
          <w:lang w:eastAsia="es-MX"/>
        </w:rPr>
      </w:pPr>
    </w:p>
    <w:p w14:paraId="14449848" w14:textId="41DB974D" w:rsidR="00013463" w:rsidRPr="00013463" w:rsidRDefault="00013463" w:rsidP="00013463">
      <w:pPr>
        <w:pStyle w:val="Sinespaciado"/>
        <w:rPr>
          <w:rFonts w:eastAsia="Arial"/>
          <w:lang w:eastAsia="es-MX"/>
        </w:rPr>
      </w:pPr>
      <w:r w:rsidRPr="00013463">
        <w:rPr>
          <w:rFonts w:eastAsia="Arial"/>
          <w:b/>
          <w:lang w:eastAsia="es-MX"/>
        </w:rPr>
        <w:t>ARTÍCULO 9</w:t>
      </w:r>
      <w:r w:rsidRPr="00013463">
        <w:rPr>
          <w:rFonts w:eastAsia="Arial"/>
          <w:lang w:eastAsia="es-MX"/>
        </w:rPr>
        <w:t xml:space="preserve">. </w:t>
      </w:r>
      <w:r w:rsidRPr="00013463">
        <w:rPr>
          <w:rFonts w:eastAsia="Arial"/>
          <w:b/>
          <w:lang w:eastAsia="es-MX"/>
        </w:rPr>
        <w:t xml:space="preserve">VIGILANCIA, Y SEGUIMIENTO Y CONTROL. </w:t>
      </w:r>
      <w:r w:rsidRPr="00013463">
        <w:rPr>
          <w:rFonts w:eastAsia="Arial"/>
          <w:lang w:eastAsia="es-MX"/>
        </w:rPr>
        <w:t xml:space="preserve">El Ministerio de Trabajo, deberá realizar seguimiento y vigilancia al cumplimiento de lo dispuesto en la presente Ley y deberá remitir un informe anual de los avances de la implementación del Programa Estado Joven a las Comisiones Séptimas Constitucionales Permanentes del Senado de la República y la Cámara de Representantes. La entidad promoverá la participación efectiva con sus beneficiarios en la estructuración y socialización de estos informes anuales. </w:t>
      </w:r>
    </w:p>
    <w:p w14:paraId="2692C79E" w14:textId="77777777" w:rsidR="00013463" w:rsidRPr="00013463" w:rsidRDefault="00013463" w:rsidP="00013463">
      <w:pPr>
        <w:pStyle w:val="Sinespaciado"/>
        <w:rPr>
          <w:rFonts w:eastAsia="Arial"/>
          <w:lang w:eastAsia="es-MX"/>
        </w:rPr>
      </w:pPr>
    </w:p>
    <w:p w14:paraId="24578D40" w14:textId="6D505367" w:rsidR="00013463" w:rsidRDefault="00013463" w:rsidP="00013463">
      <w:pPr>
        <w:pStyle w:val="Sinespaciado"/>
        <w:rPr>
          <w:lang w:eastAsia="es-CO"/>
        </w:rPr>
      </w:pPr>
      <w:r w:rsidRPr="00013463">
        <w:rPr>
          <w:lang w:eastAsia="es-CO"/>
        </w:rPr>
        <w:t>El incumplimiento de las medidas contempladas en la presente Ley dará lugar a las faltas disciplinarias, fiscales y penales a que haya lugar, de conformidad con la normatividad vigente.</w:t>
      </w:r>
    </w:p>
    <w:p w14:paraId="3D9C80D1" w14:textId="77777777" w:rsidR="00013463" w:rsidRDefault="00013463" w:rsidP="00013463">
      <w:pPr>
        <w:pStyle w:val="Sinespaciado"/>
        <w:rPr>
          <w:lang w:eastAsia="es-CO"/>
        </w:rPr>
      </w:pPr>
    </w:p>
    <w:p w14:paraId="027A1575" w14:textId="1902886E" w:rsidR="00202596" w:rsidRPr="00202596" w:rsidRDefault="00013463" w:rsidP="00013463">
      <w:pPr>
        <w:pStyle w:val="Sinespaciado"/>
        <w:rPr>
          <w:lang w:eastAsia="es-CO"/>
        </w:rPr>
      </w:pPr>
      <w:r w:rsidRPr="00013463">
        <w:rPr>
          <w:b/>
          <w:lang w:eastAsia="es-MX"/>
        </w:rPr>
        <w:t>ARTÍCULO 10</w:t>
      </w:r>
      <w:r w:rsidRPr="00013463">
        <w:rPr>
          <w:lang w:eastAsia="es-MX"/>
        </w:rPr>
        <w:t xml:space="preserve">. </w:t>
      </w:r>
      <w:r w:rsidRPr="00013463">
        <w:rPr>
          <w:b/>
          <w:lang w:eastAsia="es-MX"/>
        </w:rPr>
        <w:t>VIGENCIAS Y DEROGATORIAS.</w:t>
      </w:r>
      <w:r w:rsidRPr="00013463">
        <w:rPr>
          <w:lang w:eastAsia="es-MX"/>
        </w:rPr>
        <w:t xml:space="preserve"> La presente Ley rige a partir de su promulgación y deroga las disposiciones que le sean contrarias.</w:t>
      </w:r>
    </w:p>
    <w:p w14:paraId="454954DE" w14:textId="0F539B17" w:rsidR="003206AC" w:rsidRDefault="003206AC" w:rsidP="00FE00C6">
      <w:pPr>
        <w:pStyle w:val="Sinespaciado"/>
        <w:spacing w:line="240" w:lineRule="atLeast"/>
        <w:rPr>
          <w:rFonts w:eastAsia="Arial" w:cs="Arial"/>
          <w:b/>
          <w:color w:val="000000"/>
        </w:rPr>
      </w:pPr>
    </w:p>
    <w:p w14:paraId="15717D4D" w14:textId="77777777" w:rsidR="00013463" w:rsidRDefault="00013463" w:rsidP="00FE00C6">
      <w:pPr>
        <w:pStyle w:val="Sinespaciado"/>
        <w:spacing w:line="240" w:lineRule="atLeast"/>
        <w:rPr>
          <w:rFonts w:eastAsia="Arial" w:cs="Arial"/>
          <w:b/>
          <w:color w:val="000000"/>
        </w:rPr>
      </w:pPr>
    </w:p>
    <w:p w14:paraId="755E327E" w14:textId="5C05A32A" w:rsidR="003F2B4A" w:rsidRDefault="003F2B4A" w:rsidP="00FE00C6">
      <w:pPr>
        <w:pStyle w:val="Sinespaciado"/>
        <w:spacing w:line="240" w:lineRule="atLeast"/>
        <w:rPr>
          <w:rFonts w:eastAsia="Arial" w:cs="Arial"/>
          <w:b/>
          <w:color w:val="000000"/>
        </w:rPr>
      </w:pPr>
    </w:p>
    <w:p w14:paraId="5F5174E6" w14:textId="77777777" w:rsidR="00413EED" w:rsidRPr="003206AC" w:rsidRDefault="00413EED"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0B6A49A2" w:rsidR="003206AC" w:rsidRPr="00206A5C" w:rsidRDefault="00206A5C" w:rsidP="00FE00C6">
      <w:pPr>
        <w:pStyle w:val="Sinespaciado"/>
        <w:spacing w:line="240" w:lineRule="atLeast"/>
        <w:jc w:val="center"/>
        <w:rPr>
          <w:rFonts w:cs="Arial"/>
          <w:b/>
          <w:bCs/>
        </w:rPr>
      </w:pPr>
      <w:r w:rsidRPr="00206A5C">
        <w:rPr>
          <w:rFonts w:cs="Arial"/>
          <w:b/>
          <w:bCs/>
        </w:rPr>
        <w:t>Martha Lisbeth Alfonso Jurado</w:t>
      </w:r>
      <w:r w:rsidR="00E73C2A" w:rsidRPr="00206A5C">
        <w:rPr>
          <w:rFonts w:cs="Arial"/>
          <w:b/>
          <w:bCs/>
        </w:rPr>
        <w:tab/>
      </w:r>
      <w:r w:rsidR="00E73C2A" w:rsidRPr="00206A5C">
        <w:rPr>
          <w:rFonts w:cs="Arial"/>
          <w:b/>
          <w:bCs/>
        </w:rPr>
        <w:tab/>
      </w:r>
      <w:r w:rsidR="00E73C2A" w:rsidRPr="00206A5C">
        <w:rPr>
          <w:rFonts w:cs="Arial"/>
          <w:b/>
          <w:bCs/>
        </w:rPr>
        <w:tab/>
      </w:r>
      <w:r w:rsidR="00E73C2A" w:rsidRPr="00206A5C">
        <w:rPr>
          <w:rFonts w:cs="Arial"/>
          <w:b/>
          <w:bCs/>
        </w:rPr>
        <w:tab/>
      </w:r>
      <w:r w:rsidR="00013463" w:rsidRPr="00206A5C">
        <w:rPr>
          <w:rFonts w:cs="Arial"/>
          <w:b/>
          <w:bCs/>
        </w:rPr>
        <w:t>Betsy Judith Pérez Arango</w:t>
      </w:r>
    </w:p>
    <w:p w14:paraId="41882B1F" w14:textId="5C380CD9" w:rsidR="003206AC" w:rsidRPr="00E73C2A" w:rsidRDefault="00013463" w:rsidP="00013463">
      <w:pPr>
        <w:pStyle w:val="Sinespaciado"/>
        <w:spacing w:line="240" w:lineRule="atLeast"/>
        <w:jc w:val="center"/>
        <w:rPr>
          <w:rFonts w:cs="Arial"/>
        </w:rPr>
      </w:pPr>
      <w:r w:rsidRPr="00206A5C">
        <w:rPr>
          <w:rFonts w:cs="Arial"/>
        </w:rPr>
        <w:t xml:space="preserve">             </w:t>
      </w:r>
      <w:r w:rsidR="00251AB4"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CF017C">
        <w:rPr>
          <w:rFonts w:cs="Arial"/>
        </w:rPr>
        <w:t>Coordinador</w:t>
      </w:r>
      <w:r w:rsidR="00C3005D">
        <w:rPr>
          <w:rFonts w:cs="Arial"/>
        </w:rPr>
        <w:t>a</w:t>
      </w:r>
      <w:r w:rsidR="00CF017C">
        <w:rPr>
          <w:rFonts w:cs="Arial"/>
        </w:rPr>
        <w:t xml:space="preserve"> ponente</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52FE71F2" w:rsidR="00E73C2A" w:rsidRDefault="00E73C2A" w:rsidP="00FE00C6">
      <w:pPr>
        <w:pStyle w:val="Sinespaciado"/>
        <w:spacing w:line="240" w:lineRule="atLeast"/>
        <w:jc w:val="center"/>
        <w:rPr>
          <w:rFonts w:cs="Arial"/>
          <w:b/>
          <w:bCs/>
        </w:rPr>
      </w:pPr>
    </w:p>
    <w:p w14:paraId="06663B51" w14:textId="77777777" w:rsidR="00413EED" w:rsidRPr="00E73C2A" w:rsidRDefault="00413EED" w:rsidP="00FE00C6">
      <w:pPr>
        <w:pStyle w:val="Sinespaciado"/>
        <w:spacing w:line="240" w:lineRule="atLeast"/>
        <w:jc w:val="center"/>
        <w:rPr>
          <w:rFonts w:cs="Arial"/>
          <w:b/>
          <w:bCs/>
        </w:rPr>
      </w:pPr>
    </w:p>
    <w:p w14:paraId="35A7B6CF" w14:textId="591E98B1" w:rsidR="004E40E9" w:rsidRDefault="004E40E9" w:rsidP="00FE00C6">
      <w:pPr>
        <w:pStyle w:val="Sinespaciado"/>
        <w:spacing w:line="240" w:lineRule="atLeast"/>
        <w:jc w:val="center"/>
        <w:rPr>
          <w:b/>
          <w:bCs/>
        </w:rPr>
      </w:pPr>
      <w:r>
        <w:rPr>
          <w:b/>
          <w:bCs/>
        </w:rPr>
        <w:t>Ricardo Alfonso Albornoz Barreto</w:t>
      </w:r>
    </w:p>
    <w:p w14:paraId="5F81C947" w14:textId="52576024" w:rsidR="00835180" w:rsidRPr="00835180" w:rsidRDefault="004E40E9" w:rsidP="00FE00C6">
      <w:pPr>
        <w:pStyle w:val="Sinespaciado"/>
        <w:spacing w:line="240" w:lineRule="atLeast"/>
        <w:jc w:val="center"/>
      </w:pPr>
      <w:r>
        <w:t>Secretario</w:t>
      </w:r>
    </w:p>
    <w:sectPr w:rsidR="00835180" w:rsidRPr="00835180"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16CC" w14:textId="77777777" w:rsidR="00D91CDB" w:rsidRDefault="00D91CDB">
      <w:pPr>
        <w:spacing w:after="0" w:line="240" w:lineRule="auto"/>
      </w:pPr>
      <w:r>
        <w:separator/>
      </w:r>
    </w:p>
  </w:endnote>
  <w:endnote w:type="continuationSeparator" w:id="0">
    <w:p w14:paraId="7EA1B09C" w14:textId="77777777" w:rsidR="00D91CDB" w:rsidRDefault="00D9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1C61593F"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0E3695">
      <w:rPr>
        <w:rFonts w:ascii="Arial" w:eastAsia="Arial MT" w:hAnsi="Arial" w:cs="Arial"/>
        <w:bCs/>
        <w:sz w:val="14"/>
        <w:szCs w:val="14"/>
        <w:lang w:val="es-ES" w:eastAsia="en-US"/>
      </w:rPr>
      <w:t xml:space="preserve">105 </w:t>
    </w:r>
    <w:r w:rsidR="00197D9B" w:rsidRPr="00202596">
      <w:rPr>
        <w:rFonts w:ascii="Arial" w:eastAsia="Arial MT" w:hAnsi="Arial" w:cs="Arial"/>
        <w:bCs/>
        <w:sz w:val="14"/>
        <w:szCs w:val="14"/>
        <w:lang w:val="es-ES" w:eastAsia="en-US"/>
      </w:rPr>
      <w:t>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EAF1" w14:textId="77777777" w:rsidR="00D91CDB" w:rsidRDefault="00D91CDB">
      <w:pPr>
        <w:spacing w:after="0" w:line="240" w:lineRule="auto"/>
      </w:pPr>
      <w:r>
        <w:separator/>
      </w:r>
    </w:p>
  </w:footnote>
  <w:footnote w:type="continuationSeparator" w:id="0">
    <w:p w14:paraId="429002A1" w14:textId="77777777" w:rsidR="00D91CDB" w:rsidRDefault="00D9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8A03636"/>
    <w:multiLevelType w:val="hybridMultilevel"/>
    <w:tmpl w:val="07A0E65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2"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24"/>
  </w:num>
  <w:num w:numId="5">
    <w:abstractNumId w:val="11"/>
  </w:num>
  <w:num w:numId="6">
    <w:abstractNumId w:val="14"/>
  </w:num>
  <w:num w:numId="7">
    <w:abstractNumId w:val="1"/>
  </w:num>
  <w:num w:numId="8">
    <w:abstractNumId w:val="9"/>
  </w:num>
  <w:num w:numId="9">
    <w:abstractNumId w:val="29"/>
  </w:num>
  <w:num w:numId="10">
    <w:abstractNumId w:val="17"/>
  </w:num>
  <w:num w:numId="11">
    <w:abstractNumId w:val="3"/>
  </w:num>
  <w:num w:numId="12">
    <w:abstractNumId w:val="30"/>
  </w:num>
  <w:num w:numId="13">
    <w:abstractNumId w:val="26"/>
  </w:num>
  <w:num w:numId="14">
    <w:abstractNumId w:val="28"/>
  </w:num>
  <w:num w:numId="15">
    <w:abstractNumId w:val="20"/>
  </w:num>
  <w:num w:numId="16">
    <w:abstractNumId w:val="7"/>
  </w:num>
  <w:num w:numId="17">
    <w:abstractNumId w:val="18"/>
  </w:num>
  <w:num w:numId="18">
    <w:abstractNumId w:val="4"/>
  </w:num>
  <w:num w:numId="19">
    <w:abstractNumId w:val="15"/>
  </w:num>
  <w:num w:numId="20">
    <w:abstractNumId w:val="31"/>
  </w:num>
  <w:num w:numId="21">
    <w:abstractNumId w:val="27"/>
  </w:num>
  <w:num w:numId="22">
    <w:abstractNumId w:val="0"/>
  </w:num>
  <w:num w:numId="23">
    <w:abstractNumId w:val="19"/>
  </w:num>
  <w:num w:numId="24">
    <w:abstractNumId w:val="13"/>
  </w:num>
  <w:num w:numId="25">
    <w:abstractNumId w:val="21"/>
  </w:num>
  <w:num w:numId="26">
    <w:abstractNumId w:val="8"/>
  </w:num>
  <w:num w:numId="27">
    <w:abstractNumId w:val="32"/>
  </w:num>
  <w:num w:numId="28">
    <w:abstractNumId w:val="23"/>
  </w:num>
  <w:num w:numId="29">
    <w:abstractNumId w:val="25"/>
  </w:num>
  <w:num w:numId="30">
    <w:abstractNumId w:val="16"/>
  </w:num>
  <w:num w:numId="31">
    <w:abstractNumId w:val="22"/>
  </w:num>
  <w:num w:numId="32">
    <w:abstractNumId w:val="1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13463"/>
    <w:rsid w:val="000218A0"/>
    <w:rsid w:val="00035A12"/>
    <w:rsid w:val="000D0321"/>
    <w:rsid w:val="000D4049"/>
    <w:rsid w:val="000D59FE"/>
    <w:rsid w:val="000D6D79"/>
    <w:rsid w:val="000E3695"/>
    <w:rsid w:val="000E596E"/>
    <w:rsid w:val="000F3249"/>
    <w:rsid w:val="000F3F41"/>
    <w:rsid w:val="00102AC9"/>
    <w:rsid w:val="00106067"/>
    <w:rsid w:val="00123872"/>
    <w:rsid w:val="001303C3"/>
    <w:rsid w:val="00134E23"/>
    <w:rsid w:val="00141A7E"/>
    <w:rsid w:val="00145732"/>
    <w:rsid w:val="00155AD7"/>
    <w:rsid w:val="00180E10"/>
    <w:rsid w:val="001826C3"/>
    <w:rsid w:val="00193E1C"/>
    <w:rsid w:val="00197D9B"/>
    <w:rsid w:val="001A3661"/>
    <w:rsid w:val="001A5585"/>
    <w:rsid w:val="001B1C28"/>
    <w:rsid w:val="001B48EE"/>
    <w:rsid w:val="001B6E7B"/>
    <w:rsid w:val="001C10AB"/>
    <w:rsid w:val="001C6DF6"/>
    <w:rsid w:val="001F177A"/>
    <w:rsid w:val="001F2842"/>
    <w:rsid w:val="001F7A2A"/>
    <w:rsid w:val="00202596"/>
    <w:rsid w:val="00206A5C"/>
    <w:rsid w:val="00217B1E"/>
    <w:rsid w:val="00223BDC"/>
    <w:rsid w:val="00227978"/>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4FCF"/>
    <w:rsid w:val="00375224"/>
    <w:rsid w:val="00392FE1"/>
    <w:rsid w:val="003B3F8A"/>
    <w:rsid w:val="003C3541"/>
    <w:rsid w:val="003C5D20"/>
    <w:rsid w:val="003D08DE"/>
    <w:rsid w:val="003D5D35"/>
    <w:rsid w:val="003F2B4A"/>
    <w:rsid w:val="003F3E4F"/>
    <w:rsid w:val="00401837"/>
    <w:rsid w:val="00413EED"/>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594C"/>
    <w:rsid w:val="00703BB5"/>
    <w:rsid w:val="00711B0E"/>
    <w:rsid w:val="00722B7D"/>
    <w:rsid w:val="00745DA4"/>
    <w:rsid w:val="00751A35"/>
    <w:rsid w:val="007576E4"/>
    <w:rsid w:val="00767847"/>
    <w:rsid w:val="00780935"/>
    <w:rsid w:val="00793F4D"/>
    <w:rsid w:val="007D2959"/>
    <w:rsid w:val="007D2F62"/>
    <w:rsid w:val="007D3C92"/>
    <w:rsid w:val="007F0D11"/>
    <w:rsid w:val="0080316C"/>
    <w:rsid w:val="0083265E"/>
    <w:rsid w:val="00835180"/>
    <w:rsid w:val="00842BD4"/>
    <w:rsid w:val="00856BE4"/>
    <w:rsid w:val="008571E9"/>
    <w:rsid w:val="00862DF1"/>
    <w:rsid w:val="00874E4E"/>
    <w:rsid w:val="008818F4"/>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34FB7"/>
    <w:rsid w:val="00A549FD"/>
    <w:rsid w:val="00A5673E"/>
    <w:rsid w:val="00A83A42"/>
    <w:rsid w:val="00AA5167"/>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162E"/>
    <w:rsid w:val="00C24F1B"/>
    <w:rsid w:val="00C25C47"/>
    <w:rsid w:val="00C25E24"/>
    <w:rsid w:val="00C3005D"/>
    <w:rsid w:val="00C64587"/>
    <w:rsid w:val="00C85EE9"/>
    <w:rsid w:val="00CA7A0C"/>
    <w:rsid w:val="00CC11B8"/>
    <w:rsid w:val="00CF017C"/>
    <w:rsid w:val="00CF241E"/>
    <w:rsid w:val="00D16302"/>
    <w:rsid w:val="00D410FE"/>
    <w:rsid w:val="00D65C9D"/>
    <w:rsid w:val="00D7060A"/>
    <w:rsid w:val="00D7787B"/>
    <w:rsid w:val="00D91CDB"/>
    <w:rsid w:val="00DC1FF5"/>
    <w:rsid w:val="00E02D4A"/>
    <w:rsid w:val="00E10837"/>
    <w:rsid w:val="00E2082D"/>
    <w:rsid w:val="00E27292"/>
    <w:rsid w:val="00E41EFE"/>
    <w:rsid w:val="00E73C2A"/>
    <w:rsid w:val="00EB3579"/>
    <w:rsid w:val="00ED4980"/>
    <w:rsid w:val="00EF5B1B"/>
    <w:rsid w:val="00F04E2C"/>
    <w:rsid w:val="00F25E2F"/>
    <w:rsid w:val="00F42CA9"/>
    <w:rsid w:val="00F451A7"/>
    <w:rsid w:val="00F50D3E"/>
    <w:rsid w:val="00F66F0B"/>
    <w:rsid w:val="00F67633"/>
    <w:rsid w:val="00F718B4"/>
    <w:rsid w:val="00F81F67"/>
    <w:rsid w:val="00F923A0"/>
    <w:rsid w:val="00F94622"/>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1642</Words>
  <Characters>9034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12</cp:revision>
  <cp:lastPrinted>2025-10-21T19:45:00Z</cp:lastPrinted>
  <dcterms:created xsi:type="dcterms:W3CDTF">2025-11-11T19:14:00Z</dcterms:created>
  <dcterms:modified xsi:type="dcterms:W3CDTF">2025-11-11T21:19:00Z</dcterms:modified>
</cp:coreProperties>
</file>