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FE00C6">
      <w:pPr>
        <w:pStyle w:val="Sinespaciado"/>
        <w:spacing w:line="240" w:lineRule="atLeast"/>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rsidP="00FE00C6">
      <w:pPr>
        <w:pBdr>
          <w:top w:val="nil"/>
          <w:left w:val="nil"/>
          <w:bottom w:val="nil"/>
          <w:right w:val="nil"/>
          <w:between w:val="nil"/>
        </w:pBdr>
        <w:spacing w:after="0" w:line="240" w:lineRule="atLeast"/>
        <w:jc w:val="center"/>
        <w:rPr>
          <w:rFonts w:ascii="Arial" w:eastAsia="Pinyon Script" w:hAnsi="Arial" w:cs="Arial"/>
          <w:b/>
          <w:color w:val="000000"/>
          <w:highlight w:val="yellow"/>
        </w:rPr>
      </w:pPr>
    </w:p>
    <w:p w14:paraId="662A9732" w14:textId="48AEB12D" w:rsidR="00900D93" w:rsidRPr="003206AC" w:rsidRDefault="000F3249" w:rsidP="00FE00C6">
      <w:pPr>
        <w:pStyle w:val="Sinespaciado"/>
        <w:spacing w:line="240" w:lineRule="atLeast"/>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884D43" w:rsidRPr="000F4836">
        <w:rPr>
          <w:rFonts w:ascii="Arial MT" w:eastAsia="Arial MT" w:hAnsi="Arial MT" w:cs="Arial MT"/>
          <w:b/>
          <w:bCs/>
          <w:lang w:val="es-ES" w:eastAsia="en-US"/>
        </w:rPr>
        <w:t xml:space="preserve">No. </w:t>
      </w:r>
      <w:r w:rsidR="00D840CE" w:rsidRPr="00B06509">
        <w:rPr>
          <w:rFonts w:eastAsia="Arial MT" w:cs="Arial"/>
          <w:b/>
          <w:bCs/>
          <w:lang w:val="es-ES" w:eastAsia="en-US"/>
        </w:rPr>
        <w:t>257 DE 2025 CÁMARA “POR MEDIO DEL CUAL SE REFUERZA LA PROTECCIÓN A L</w:t>
      </w:r>
      <w:r w:rsidR="00D840CE">
        <w:rPr>
          <w:rFonts w:eastAsia="Arial MT" w:cs="Arial"/>
          <w:b/>
          <w:bCs/>
          <w:lang w:val="es-ES" w:eastAsia="en-US"/>
        </w:rPr>
        <w:t>A</w:t>
      </w:r>
      <w:r w:rsidR="00D840CE" w:rsidRPr="00B06509">
        <w:rPr>
          <w:rFonts w:eastAsia="Arial MT" w:cs="Arial"/>
          <w:b/>
          <w:bCs/>
          <w:lang w:val="es-ES" w:eastAsia="en-US"/>
        </w:rPr>
        <w:t xml:space="preserve">S </w:t>
      </w:r>
      <w:r w:rsidR="00D840CE">
        <w:rPr>
          <w:rFonts w:eastAsia="Arial MT" w:cs="Arial"/>
          <w:b/>
          <w:bCs/>
          <w:lang w:val="es-ES" w:eastAsia="en-US"/>
        </w:rPr>
        <w:t xml:space="preserve">PERSONAS </w:t>
      </w:r>
      <w:r w:rsidR="00D840CE" w:rsidRPr="00B06509">
        <w:rPr>
          <w:rFonts w:eastAsia="Arial MT" w:cs="Arial"/>
          <w:b/>
          <w:bCs/>
          <w:lang w:val="es-ES" w:eastAsia="en-US"/>
        </w:rPr>
        <w:t>MENORES DE EDAD SOBRE EL CONSUMO DE ALCOHOL, TABACO Y OTRAS SUSTANCIAS TÓXICAS VENDIDOS POR CUALQUIER MEDIO DE DISTRIBUCIÓN O ENTREGA</w:t>
      </w:r>
      <w:r w:rsidR="006213A8">
        <w:rPr>
          <w:rFonts w:eastAsia="Arial MT" w:cs="Arial"/>
          <w:b/>
          <w:bCs/>
          <w:lang w:val="es-ES" w:eastAsia="en-US"/>
        </w:rPr>
        <w:t>,</w:t>
      </w:r>
      <w:r w:rsidR="00D840CE" w:rsidRPr="00B06509">
        <w:rPr>
          <w:rFonts w:eastAsia="Arial MT" w:cs="Arial"/>
          <w:b/>
          <w:bCs/>
          <w:lang w:val="es-ES" w:eastAsia="en-US"/>
        </w:rPr>
        <w:t xml:space="preserve"> Y SE </w:t>
      </w:r>
      <w:r w:rsidR="00D84087">
        <w:rPr>
          <w:rFonts w:eastAsia="Arial MT" w:cs="Arial"/>
          <w:b/>
          <w:bCs/>
          <w:lang w:val="es-ES" w:eastAsia="en-US"/>
        </w:rPr>
        <w:t xml:space="preserve">DICTAN </w:t>
      </w:r>
      <w:r w:rsidR="00D840CE" w:rsidRPr="00B06509">
        <w:rPr>
          <w:rFonts w:eastAsia="Arial MT" w:cs="Arial"/>
          <w:b/>
          <w:bCs/>
          <w:lang w:val="es-ES" w:eastAsia="en-US"/>
        </w:rPr>
        <w:t>OTRAS DISPOSICIONES”.</w:t>
      </w:r>
      <w:r w:rsidR="007E285C" w:rsidRPr="007E285C">
        <w:rPr>
          <w:rFonts w:cs="Arial"/>
          <w:b/>
          <w:bCs/>
        </w:rPr>
        <w:t xml:space="preserve"> </w:t>
      </w:r>
      <w:r w:rsidR="0080316C" w:rsidRPr="003206AC">
        <w:rPr>
          <w:rFonts w:cs="Arial"/>
          <w:b/>
        </w:rPr>
        <w:t xml:space="preserve"> </w:t>
      </w:r>
    </w:p>
    <w:p w14:paraId="0AF738A0" w14:textId="77777777" w:rsidR="00931B69" w:rsidRPr="003206AC" w:rsidRDefault="00931B69" w:rsidP="00FE00C6">
      <w:pPr>
        <w:pStyle w:val="Sinespaciado"/>
        <w:spacing w:line="240" w:lineRule="atLeast"/>
        <w:jc w:val="center"/>
        <w:rPr>
          <w:rFonts w:cs="Arial"/>
        </w:rPr>
      </w:pPr>
    </w:p>
    <w:p w14:paraId="49441556" w14:textId="1E267C49" w:rsidR="00900D93" w:rsidRPr="003206AC" w:rsidRDefault="000F3249" w:rsidP="00FE00C6">
      <w:pPr>
        <w:pStyle w:val="Sinespaciado"/>
        <w:spacing w:line="240" w:lineRule="atLeast"/>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D840CE">
        <w:rPr>
          <w:rFonts w:cs="Arial"/>
        </w:rPr>
        <w:t>2</w:t>
      </w:r>
      <w:r w:rsidR="00197D9B">
        <w:rPr>
          <w:rFonts w:cs="Arial"/>
        </w:rPr>
        <w:t xml:space="preserve"> de </w:t>
      </w:r>
      <w:r w:rsidR="00D840CE">
        <w:rPr>
          <w:rFonts w:cs="Arial"/>
        </w:rPr>
        <w:t xml:space="preserve">diciembre </w:t>
      </w:r>
      <w:r w:rsidR="004C3EB2">
        <w:rPr>
          <w:rFonts w:cs="Arial"/>
        </w:rPr>
        <w:t>d</w:t>
      </w:r>
      <w:r w:rsidR="00155AD7">
        <w:rPr>
          <w:rFonts w:cs="Arial"/>
        </w:rPr>
        <w:t>e</w:t>
      </w:r>
      <w:r w:rsidR="004C3EB2">
        <w:rPr>
          <w:rFonts w:cs="Arial"/>
        </w:rPr>
        <w:t xml:space="preserv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197D9B">
        <w:rPr>
          <w:rFonts w:cs="Arial"/>
        </w:rPr>
        <w:t>1</w:t>
      </w:r>
      <w:r w:rsidR="00D840CE">
        <w:rPr>
          <w:rFonts w:cs="Arial"/>
        </w:rPr>
        <w:t>8</w:t>
      </w:r>
      <w:r w:rsidRPr="003206AC">
        <w:rPr>
          <w:rFonts w:cs="Arial"/>
        </w:rPr>
        <w:t>)</w:t>
      </w:r>
    </w:p>
    <w:p w14:paraId="53F35B75"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FE00C6">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FE00C6">
      <w:pPr>
        <w:pStyle w:val="Sinespaciado"/>
        <w:spacing w:line="240" w:lineRule="atLeast"/>
        <w:rPr>
          <w:rFonts w:cs="Arial"/>
        </w:rPr>
      </w:pPr>
    </w:p>
    <w:p w14:paraId="1BAF58CC" w14:textId="77777777" w:rsidR="00995ADF" w:rsidRPr="00995ADF" w:rsidRDefault="00995ADF" w:rsidP="00995ADF">
      <w:pPr>
        <w:spacing w:after="0" w:line="240" w:lineRule="auto"/>
        <w:jc w:val="both"/>
        <w:rPr>
          <w:rFonts w:ascii="Arial" w:eastAsia="Arial" w:hAnsi="Arial" w:cs="Arial"/>
          <w:lang w:val="es" w:eastAsia="es-CO"/>
        </w:rPr>
      </w:pPr>
      <w:r w:rsidRPr="00995ADF">
        <w:rPr>
          <w:rFonts w:ascii="Arial" w:eastAsia="Arial" w:hAnsi="Arial" w:cs="Arial"/>
          <w:b/>
          <w:lang w:val="es" w:eastAsia="es-CO"/>
        </w:rPr>
        <w:t>Artículo 1.</w:t>
      </w:r>
      <w:r w:rsidRPr="00995ADF">
        <w:rPr>
          <w:rFonts w:ascii="Arial" w:eastAsia="Arial" w:hAnsi="Arial" w:cs="Arial"/>
          <w:lang w:val="es" w:eastAsia="es-CO"/>
        </w:rPr>
        <w:t xml:space="preserve"> Modifíquese el artículo 1 de la Ley 124 de 1994, el cual quedará así:</w:t>
      </w:r>
    </w:p>
    <w:p w14:paraId="30EE459B" w14:textId="77777777" w:rsidR="00995ADF" w:rsidRPr="00995ADF" w:rsidRDefault="00995ADF" w:rsidP="00995ADF">
      <w:pPr>
        <w:spacing w:after="0" w:line="240" w:lineRule="auto"/>
        <w:jc w:val="both"/>
        <w:rPr>
          <w:rFonts w:ascii="Arial" w:eastAsia="Arial" w:hAnsi="Arial" w:cs="Arial"/>
          <w:lang w:val="es" w:eastAsia="es-CO"/>
        </w:rPr>
      </w:pPr>
    </w:p>
    <w:p w14:paraId="459D8B16" w14:textId="77777777" w:rsidR="00995ADF" w:rsidRPr="00995ADF" w:rsidRDefault="00995ADF" w:rsidP="00995ADF">
      <w:pPr>
        <w:spacing w:after="0" w:line="240" w:lineRule="auto"/>
        <w:jc w:val="both"/>
        <w:rPr>
          <w:rFonts w:ascii="Arial" w:eastAsia="Arial" w:hAnsi="Arial" w:cs="Arial"/>
          <w:lang w:val="es" w:eastAsia="es-CO"/>
        </w:rPr>
      </w:pPr>
      <w:r w:rsidRPr="00995ADF">
        <w:rPr>
          <w:rFonts w:ascii="Arial" w:eastAsia="Arial" w:hAnsi="Arial" w:cs="Arial"/>
          <w:b/>
          <w:bCs/>
          <w:lang w:val="es" w:eastAsia="es-CO"/>
        </w:rPr>
        <w:t>Artículo 1º.</w:t>
      </w:r>
      <w:r w:rsidRPr="00995ADF">
        <w:rPr>
          <w:rFonts w:ascii="Arial" w:eastAsia="Arial" w:hAnsi="Arial" w:cs="Arial"/>
          <w:lang w:val="es" w:eastAsia="es-CO"/>
        </w:rPr>
        <w:t xml:space="preserve"> Prohíbase el expendio de bebidas embriagantes a</w:t>
      </w:r>
      <w:r w:rsidRPr="00995ADF">
        <w:rPr>
          <w:rFonts w:ascii="Arial" w:eastAsia="Arial" w:hAnsi="Arial" w:cs="Arial"/>
          <w:b/>
          <w:bCs/>
          <w:lang w:val="es" w:eastAsia="es-CO"/>
        </w:rPr>
        <w:t xml:space="preserve"> </w:t>
      </w:r>
      <w:r w:rsidRPr="00995ADF">
        <w:rPr>
          <w:rFonts w:ascii="Arial" w:eastAsia="Arial" w:hAnsi="Arial" w:cs="Arial"/>
          <w:lang w:val="es" w:eastAsia="es-CO"/>
        </w:rPr>
        <w:t>personas menores de edad, ya sea en establecimientos de comercio o por cualquier medio de distribución o entrega.</w:t>
      </w:r>
    </w:p>
    <w:p w14:paraId="47ED9CAA" w14:textId="77777777" w:rsidR="00995ADF" w:rsidRPr="00995ADF" w:rsidRDefault="00995ADF" w:rsidP="00995ADF">
      <w:pPr>
        <w:spacing w:after="0" w:line="240" w:lineRule="auto"/>
        <w:jc w:val="both"/>
        <w:rPr>
          <w:rFonts w:ascii="Arial" w:eastAsia="Arial" w:hAnsi="Arial" w:cs="Arial"/>
          <w:lang w:val="es" w:eastAsia="es-CO"/>
        </w:rPr>
      </w:pPr>
    </w:p>
    <w:p w14:paraId="019FFF27" w14:textId="77777777" w:rsidR="00995ADF" w:rsidRPr="00995ADF" w:rsidRDefault="00995ADF" w:rsidP="00995ADF">
      <w:pPr>
        <w:spacing w:after="0" w:line="240" w:lineRule="auto"/>
        <w:jc w:val="both"/>
        <w:rPr>
          <w:rFonts w:ascii="Arial" w:eastAsia="Arial" w:hAnsi="Arial" w:cs="Arial"/>
          <w:lang w:val="es" w:eastAsia="es-CO"/>
        </w:rPr>
      </w:pPr>
      <w:r w:rsidRPr="00995ADF">
        <w:rPr>
          <w:rFonts w:ascii="Arial" w:eastAsia="Arial" w:hAnsi="Arial" w:cs="Arial"/>
          <w:lang w:val="es" w:eastAsia="es-CO"/>
        </w:rPr>
        <w:t>Queda igualmente prohibida toda forma de comercialización dirigida a niños, niñas y adolescentes. La persona que facilite la venta o el suministro de bebidas embriagantes a personas menores de edad será sancionada conforme a lo dispuesto en los Códigos Nacional y Departamental de Policía y en la Ley 1801 de 2016.</w:t>
      </w:r>
    </w:p>
    <w:p w14:paraId="720C2307" w14:textId="77777777" w:rsidR="00995ADF" w:rsidRPr="00995ADF" w:rsidRDefault="00995ADF" w:rsidP="00995ADF">
      <w:pPr>
        <w:spacing w:after="0" w:line="240" w:lineRule="auto"/>
        <w:jc w:val="both"/>
        <w:rPr>
          <w:rFonts w:ascii="Arial" w:eastAsia="Arial" w:hAnsi="Arial" w:cs="Arial"/>
          <w:lang w:val="es" w:eastAsia="es-CO"/>
        </w:rPr>
      </w:pPr>
    </w:p>
    <w:p w14:paraId="56A8B5A9" w14:textId="77777777" w:rsidR="00995ADF" w:rsidRPr="00995ADF" w:rsidRDefault="00995ADF" w:rsidP="00995ADF">
      <w:pPr>
        <w:spacing w:after="0" w:line="240" w:lineRule="auto"/>
        <w:jc w:val="both"/>
        <w:rPr>
          <w:rFonts w:ascii="Arial" w:eastAsia="Arial" w:hAnsi="Arial" w:cs="Arial"/>
          <w:highlight w:val="white"/>
          <w:lang w:val="es" w:eastAsia="es-CO"/>
        </w:rPr>
      </w:pPr>
      <w:r w:rsidRPr="00995ADF">
        <w:rPr>
          <w:rFonts w:ascii="Arial" w:eastAsia="Arial" w:hAnsi="Arial" w:cs="Arial"/>
          <w:b/>
          <w:bCs/>
          <w:lang w:val="es" w:eastAsia="es-CO"/>
        </w:rPr>
        <w:t>Parágrafo.</w:t>
      </w:r>
      <w:r w:rsidRPr="00995ADF">
        <w:rPr>
          <w:rFonts w:ascii="Arial" w:eastAsia="Arial" w:hAnsi="Arial" w:cs="Arial"/>
          <w:lang w:val="es" w:eastAsia="es-CO"/>
        </w:rPr>
        <w:t xml:space="preserve"> </w:t>
      </w:r>
      <w:r w:rsidRPr="00995ADF">
        <w:rPr>
          <w:rFonts w:ascii="Arial" w:eastAsia="Arial" w:hAnsi="Arial" w:cs="Arial"/>
          <w:highlight w:val="white"/>
          <w:lang w:val="es" w:eastAsia="es-CO"/>
        </w:rPr>
        <w:t xml:space="preserve">Las Plataformas </w:t>
      </w:r>
      <w:r w:rsidRPr="00995ADF">
        <w:rPr>
          <w:rFonts w:ascii="Arial" w:eastAsia="Arial" w:hAnsi="Arial" w:cs="Arial"/>
          <w:lang w:val="es" w:eastAsia="es-CO"/>
        </w:rPr>
        <w:t>Ecommerce</w:t>
      </w:r>
      <w:r w:rsidRPr="00995ADF">
        <w:rPr>
          <w:rFonts w:ascii="Arial" w:eastAsia="Arial" w:hAnsi="Arial" w:cs="Arial"/>
          <w:highlight w:val="white"/>
          <w:lang w:val="es" w:eastAsia="es-CO"/>
        </w:rPr>
        <w:t xml:space="preserve"> a través de las cuales se presta el servicio de domicilio o de compras, deberán verificar que, si el usuario registrado es una persona menor de edad, este no podrá realizar pedidos de bebidas embriagantes, cigarrillos, cigarrillos electrónicos, o sustancias toxicas para menores de edad.</w:t>
      </w:r>
    </w:p>
    <w:p w14:paraId="214DEBFD" w14:textId="77777777" w:rsidR="00995ADF" w:rsidRPr="00995ADF" w:rsidRDefault="00995ADF" w:rsidP="00995ADF">
      <w:pPr>
        <w:spacing w:after="0" w:line="240" w:lineRule="auto"/>
        <w:jc w:val="both"/>
        <w:rPr>
          <w:rFonts w:ascii="Arial" w:eastAsia="Arial" w:hAnsi="Arial" w:cs="Arial"/>
          <w:highlight w:val="white"/>
          <w:lang w:val="es" w:eastAsia="es-CO"/>
        </w:rPr>
      </w:pPr>
    </w:p>
    <w:p w14:paraId="45630959" w14:textId="77777777" w:rsidR="00995ADF" w:rsidRPr="00995ADF" w:rsidRDefault="00995ADF" w:rsidP="00995ADF">
      <w:pPr>
        <w:spacing w:after="0" w:line="240" w:lineRule="auto"/>
        <w:jc w:val="both"/>
        <w:rPr>
          <w:rFonts w:ascii="Arial" w:eastAsia="Arial" w:hAnsi="Arial" w:cs="Arial"/>
          <w:highlight w:val="white"/>
          <w:lang w:val="es" w:eastAsia="es-CO"/>
        </w:rPr>
      </w:pPr>
      <w:r w:rsidRPr="00995ADF">
        <w:rPr>
          <w:rFonts w:ascii="Arial" w:eastAsia="Arial" w:hAnsi="Arial" w:cs="Arial"/>
          <w:highlight w:val="white"/>
          <w:lang w:val="es" w:eastAsia="es-CO"/>
        </w:rPr>
        <w:t>Si la persona que solicita el servicio de la plataforma no está registrada, ésta deberá indicar su número de cédula de ciudadanía para hacer el pedido de bebidas embriagantes, cigarrillos, cigarrillos electrónicos, o cualquier otro producto que contenga sustancias tóxicas</w:t>
      </w:r>
      <w:r w:rsidRPr="00995ADF">
        <w:rPr>
          <w:rFonts w:ascii="Arial" w:eastAsia="Arial" w:hAnsi="Arial" w:cs="Arial"/>
          <w:strike/>
          <w:highlight w:val="white"/>
          <w:lang w:val="es" w:eastAsia="es-CO"/>
        </w:rPr>
        <w:t>;</w:t>
      </w:r>
      <w:r w:rsidRPr="00995ADF">
        <w:rPr>
          <w:rFonts w:ascii="Arial" w:eastAsia="Arial" w:hAnsi="Arial" w:cs="Arial"/>
          <w:highlight w:val="white"/>
          <w:lang w:val="es" w:eastAsia="es-CO"/>
        </w:rPr>
        <w:t xml:space="preserve"> el repartidor que deba entregar cualquiera de los productos antes mencionados debe suministrarlo exclusivamente a un mayor de edad.</w:t>
      </w:r>
    </w:p>
    <w:p w14:paraId="1309CB7C" w14:textId="5ADC044B" w:rsidR="00995ADF" w:rsidRPr="00995ADF" w:rsidRDefault="00995ADF" w:rsidP="00995ADF">
      <w:pPr>
        <w:spacing w:after="0" w:line="240" w:lineRule="auto"/>
        <w:jc w:val="both"/>
        <w:rPr>
          <w:rFonts w:ascii="Arial" w:eastAsia="Arial" w:hAnsi="Arial" w:cs="Arial"/>
          <w:highlight w:val="white"/>
          <w:lang w:val="es" w:eastAsia="es-CO"/>
        </w:rPr>
      </w:pPr>
    </w:p>
    <w:p w14:paraId="3FD6CDA8" w14:textId="314B42F4" w:rsidR="00995ADF" w:rsidRPr="00995ADF" w:rsidRDefault="00995ADF" w:rsidP="00995ADF">
      <w:pPr>
        <w:spacing w:after="0" w:line="240" w:lineRule="auto"/>
        <w:jc w:val="both"/>
        <w:rPr>
          <w:rFonts w:ascii="Arial" w:eastAsia="Arial" w:hAnsi="Arial" w:cs="Arial"/>
          <w:lang w:val="es" w:eastAsia="es-CO"/>
        </w:rPr>
      </w:pPr>
      <w:r w:rsidRPr="00995ADF">
        <w:rPr>
          <w:rFonts w:ascii="Arial" w:eastAsia="Arial" w:hAnsi="Arial" w:cs="Arial"/>
          <w:b/>
          <w:lang w:val="es" w:eastAsia="es-CO"/>
        </w:rPr>
        <w:t>Artículo 2. Obligaciones de la Familia.</w:t>
      </w:r>
      <w:r w:rsidRPr="00995ADF">
        <w:rPr>
          <w:rFonts w:ascii="Arial" w:eastAsia="Arial" w:hAnsi="Arial" w:cs="Arial"/>
          <w:lang w:val="es" w:eastAsia="es-CO"/>
        </w:rPr>
        <w:t xml:space="preserve"> Los padres o en su defecto el representante legal tendrán la corresponsabilidad junto con las plataformas Ecommerce o de domicilio de verificar que no se comercialice productos prohibidos a </w:t>
      </w:r>
      <w:r w:rsidR="00D24E8E">
        <w:rPr>
          <w:rFonts w:ascii="Arial" w:eastAsia="Arial" w:hAnsi="Arial" w:cs="Arial"/>
          <w:lang w:val="es" w:eastAsia="es-CO"/>
        </w:rPr>
        <w:t xml:space="preserve">personas </w:t>
      </w:r>
      <w:r w:rsidRPr="00995ADF">
        <w:rPr>
          <w:rFonts w:ascii="Arial" w:eastAsia="Arial" w:hAnsi="Arial" w:cs="Arial"/>
          <w:lang w:val="es" w:eastAsia="es-CO"/>
        </w:rPr>
        <w:t>menores de edad; en este sentido, una vez se produzca la compra, la plataforma deberá verificar que el usuario registrado no sea  un</w:t>
      </w:r>
      <w:r w:rsidR="00D24E8E">
        <w:rPr>
          <w:rFonts w:ascii="Arial" w:eastAsia="Arial" w:hAnsi="Arial" w:cs="Arial"/>
          <w:lang w:val="es" w:eastAsia="es-CO"/>
        </w:rPr>
        <w:t>a persona</w:t>
      </w:r>
      <w:r w:rsidRPr="00995ADF">
        <w:rPr>
          <w:rFonts w:ascii="Arial" w:eastAsia="Arial" w:hAnsi="Arial" w:cs="Arial"/>
          <w:lang w:val="es" w:eastAsia="es-CO"/>
        </w:rPr>
        <w:t xml:space="preserve"> menor de edad, para que este no pueda realizar pedidos de bebidas embriagantes, cigarrillos, cigarrillos electrónicos, o cualquier otro producto con sustancias toxicas</w:t>
      </w:r>
      <w:r w:rsidR="00D24E8E">
        <w:rPr>
          <w:rFonts w:ascii="Arial" w:eastAsia="Arial" w:hAnsi="Arial" w:cs="Arial"/>
          <w:lang w:val="es" w:eastAsia="es-CO"/>
        </w:rPr>
        <w:t>.</w:t>
      </w:r>
    </w:p>
    <w:p w14:paraId="2E9C8D0F" w14:textId="77777777" w:rsidR="00995ADF" w:rsidRPr="00995ADF" w:rsidRDefault="00995ADF" w:rsidP="00995ADF">
      <w:pPr>
        <w:spacing w:after="0" w:line="240" w:lineRule="auto"/>
        <w:jc w:val="both"/>
        <w:rPr>
          <w:rFonts w:ascii="Arial" w:eastAsia="Arial" w:hAnsi="Arial" w:cs="Arial"/>
          <w:lang w:val="es" w:eastAsia="es-CO"/>
        </w:rPr>
      </w:pPr>
    </w:p>
    <w:p w14:paraId="46DC48EC" w14:textId="743E71CC" w:rsidR="00995ADF" w:rsidRDefault="00995ADF" w:rsidP="00995ADF">
      <w:pPr>
        <w:spacing w:after="0" w:line="240" w:lineRule="auto"/>
        <w:jc w:val="both"/>
        <w:rPr>
          <w:rFonts w:ascii="Arial" w:eastAsia="Arial" w:hAnsi="Arial" w:cs="Arial"/>
          <w:lang w:val="es" w:eastAsia="es-CO"/>
        </w:rPr>
      </w:pPr>
      <w:r w:rsidRPr="00995ADF">
        <w:rPr>
          <w:rFonts w:ascii="Arial" w:eastAsia="Arial" w:hAnsi="Arial" w:cs="Arial"/>
          <w:b/>
          <w:lang w:val="es" w:eastAsia="es-CO"/>
        </w:rPr>
        <w:t>Artículo 3. Sanciones.</w:t>
      </w:r>
      <w:r w:rsidRPr="00995ADF">
        <w:rPr>
          <w:rFonts w:ascii="Arial" w:eastAsia="Arial" w:hAnsi="Arial" w:cs="Arial"/>
          <w:lang w:val="es" w:eastAsia="es-CO"/>
        </w:rPr>
        <w:t xml:space="preserve"> Quien infrinja las prohibiciones establecidas en la presente ley incurrirá en sanciones administrativas. En particular, se impondrá multa equivalente a veinte (20) salarios mínimos diarios legales vigentes y/o el cierre temporal de la actividad comercial. Serán competentes para imponer dichas sanciones los inspectores de policía municipales o distritales, </w:t>
      </w:r>
      <w:r w:rsidRPr="00995ADF">
        <w:rPr>
          <w:rFonts w:ascii="Arial" w:eastAsia="Arial" w:hAnsi="Arial" w:cs="Arial"/>
          <w:lang w:val="es" w:eastAsia="es-CO"/>
        </w:rPr>
        <w:lastRenderedPageBreak/>
        <w:t>en el ejercicio de sus funciones de inspección, vigilancia y control, aplicando el procedimiento sancionatorio previsto en la Ley 1801 de 2016.</w:t>
      </w:r>
    </w:p>
    <w:p w14:paraId="630D9541" w14:textId="77777777" w:rsidR="00D24E8E" w:rsidRDefault="00D24E8E" w:rsidP="00D24E8E">
      <w:pPr>
        <w:spacing w:after="0" w:line="240" w:lineRule="auto"/>
        <w:jc w:val="both"/>
        <w:rPr>
          <w:rFonts w:ascii="Arial" w:eastAsia="Arial" w:hAnsi="Arial" w:cs="Arial"/>
          <w:b/>
          <w:bCs/>
          <w:lang w:val="es" w:eastAsia="es-CO"/>
        </w:rPr>
      </w:pPr>
    </w:p>
    <w:p w14:paraId="585CAFCD" w14:textId="7779BE6B" w:rsidR="00D24E8E" w:rsidRPr="00D24E8E" w:rsidRDefault="00D24E8E" w:rsidP="00D24E8E">
      <w:pPr>
        <w:pStyle w:val="Sinespaciado"/>
        <w:rPr>
          <w:lang w:val="es" w:eastAsia="es-CO"/>
        </w:rPr>
      </w:pPr>
      <w:r w:rsidRPr="00D24E8E">
        <w:rPr>
          <w:b/>
          <w:bCs/>
          <w:lang w:val="es" w:eastAsia="es-CO"/>
        </w:rPr>
        <w:t xml:space="preserve">Artículo </w:t>
      </w:r>
      <w:r>
        <w:rPr>
          <w:b/>
          <w:bCs/>
          <w:lang w:val="es" w:eastAsia="es-CO"/>
        </w:rPr>
        <w:t>4</w:t>
      </w:r>
      <w:r w:rsidRPr="00D24E8E">
        <w:rPr>
          <w:b/>
          <w:bCs/>
          <w:lang w:val="es" w:eastAsia="es-CO"/>
        </w:rPr>
        <w:t xml:space="preserve">. Campañas pedagógicas y de prevención por parte de las plataformas digitales. </w:t>
      </w:r>
      <w:r w:rsidRPr="00D24E8E">
        <w:rPr>
          <w:lang w:val="es" w:eastAsia="es-CO"/>
        </w:rPr>
        <w:t>Las plataformas digitales de comercio electrónico, aplicaciones de entrega a domicilio y cualquier sistema tecnológico que permita la compra, solicitud o distribución de bebidas embriagantes, tabaco, cigarrillos electrónicos, vapeadores o sustancias tóxicas deberán implementar de manera permanente campañas de prevención, información y pedagogía dirigidas a sus usuarios.</w:t>
      </w:r>
    </w:p>
    <w:p w14:paraId="76D13186" w14:textId="77777777" w:rsidR="00D24E8E" w:rsidRPr="00D24E8E" w:rsidRDefault="00D24E8E" w:rsidP="00D24E8E">
      <w:pPr>
        <w:pStyle w:val="Sinespaciado"/>
        <w:rPr>
          <w:lang w:val="es" w:eastAsia="es-CO"/>
        </w:rPr>
      </w:pPr>
    </w:p>
    <w:p w14:paraId="5265CAA7" w14:textId="77777777" w:rsidR="00D24E8E" w:rsidRPr="00D24E8E" w:rsidRDefault="00D24E8E" w:rsidP="00D24E8E">
      <w:pPr>
        <w:pStyle w:val="Sinespaciado"/>
        <w:rPr>
          <w:lang w:val="es" w:eastAsia="es-CO"/>
        </w:rPr>
      </w:pPr>
      <w:r w:rsidRPr="00D24E8E">
        <w:rPr>
          <w:lang w:val="es" w:eastAsia="es-CO"/>
        </w:rPr>
        <w:t>Estas campañas deberán:</w:t>
      </w:r>
    </w:p>
    <w:p w14:paraId="261C54F1" w14:textId="77777777" w:rsidR="00D24E8E" w:rsidRPr="00D24E8E" w:rsidRDefault="00D24E8E" w:rsidP="00D24E8E">
      <w:pPr>
        <w:pStyle w:val="Sinespaciado"/>
        <w:rPr>
          <w:lang w:val="es" w:eastAsia="es-CO"/>
        </w:rPr>
      </w:pPr>
    </w:p>
    <w:p w14:paraId="27F36716" w14:textId="1FB701AC" w:rsidR="00D24E8E" w:rsidRDefault="00D24E8E" w:rsidP="00D24E8E">
      <w:pPr>
        <w:pStyle w:val="Sinespaciado"/>
        <w:numPr>
          <w:ilvl w:val="0"/>
          <w:numId w:val="37"/>
        </w:numPr>
        <w:rPr>
          <w:lang w:val="es" w:eastAsia="es-CO"/>
        </w:rPr>
      </w:pPr>
      <w:r w:rsidRPr="00D24E8E">
        <w:rPr>
          <w:lang w:val="es" w:eastAsia="es-CO"/>
        </w:rPr>
        <w:t>Advertir sobre la prohibición de venta y entrega de estos productos a personas menores de edad.</w:t>
      </w:r>
    </w:p>
    <w:p w14:paraId="4AC7EE56" w14:textId="77777777" w:rsidR="00D24E8E" w:rsidRPr="00D24E8E" w:rsidRDefault="00D24E8E" w:rsidP="00D24E8E">
      <w:pPr>
        <w:pStyle w:val="Sinespaciado"/>
        <w:ind w:left="720"/>
        <w:rPr>
          <w:lang w:val="es" w:eastAsia="es-CO"/>
        </w:rPr>
      </w:pPr>
    </w:p>
    <w:p w14:paraId="3FC6800C" w14:textId="17DD4485" w:rsidR="00D24E8E" w:rsidRDefault="00D24E8E" w:rsidP="00D24E8E">
      <w:pPr>
        <w:pStyle w:val="Sinespaciado"/>
        <w:numPr>
          <w:ilvl w:val="0"/>
          <w:numId w:val="37"/>
        </w:numPr>
        <w:rPr>
          <w:lang w:val="es" w:eastAsia="es-CO"/>
        </w:rPr>
      </w:pPr>
      <w:r w:rsidRPr="00D24E8E">
        <w:rPr>
          <w:lang w:val="es" w:eastAsia="es-CO"/>
        </w:rPr>
        <w:t>Incluir mensajes visibles y obligatorios en las interfaces de compra, pago y entrega.</w:t>
      </w:r>
    </w:p>
    <w:p w14:paraId="1E9A715E" w14:textId="77777777" w:rsidR="00D24E8E" w:rsidRPr="00D24E8E" w:rsidRDefault="00D24E8E" w:rsidP="00D24E8E">
      <w:pPr>
        <w:pStyle w:val="Sinespaciado"/>
        <w:ind w:left="720"/>
        <w:rPr>
          <w:lang w:val="es" w:eastAsia="es-CO"/>
        </w:rPr>
      </w:pPr>
    </w:p>
    <w:p w14:paraId="3D2B2A05" w14:textId="4D060006" w:rsidR="00D24E8E" w:rsidRDefault="00D24E8E" w:rsidP="00D24E8E">
      <w:pPr>
        <w:pStyle w:val="Sinespaciado"/>
        <w:numPr>
          <w:ilvl w:val="0"/>
          <w:numId w:val="37"/>
        </w:numPr>
        <w:rPr>
          <w:lang w:val="es" w:eastAsia="es-CO"/>
        </w:rPr>
      </w:pPr>
      <w:r w:rsidRPr="00D24E8E">
        <w:rPr>
          <w:lang w:val="es" w:eastAsia="es-CO"/>
        </w:rPr>
        <w:t>Incorporar herramientas tecnológicas de filtro, recordatorios, validaciones en pantalla y alertas preventivas.</w:t>
      </w:r>
    </w:p>
    <w:p w14:paraId="7A3BCB2E" w14:textId="77777777" w:rsidR="00D24E8E" w:rsidRPr="00D24E8E" w:rsidRDefault="00D24E8E" w:rsidP="00D24E8E">
      <w:pPr>
        <w:pStyle w:val="Sinespaciado"/>
        <w:rPr>
          <w:lang w:val="es" w:eastAsia="es-CO"/>
        </w:rPr>
      </w:pPr>
    </w:p>
    <w:p w14:paraId="3BF7DD9B" w14:textId="52E871C8" w:rsidR="00D24E8E" w:rsidRDefault="00D24E8E" w:rsidP="00D24E8E">
      <w:pPr>
        <w:pStyle w:val="Sinespaciado"/>
        <w:numPr>
          <w:ilvl w:val="0"/>
          <w:numId w:val="37"/>
        </w:numPr>
        <w:rPr>
          <w:lang w:val="es" w:eastAsia="es-CO"/>
        </w:rPr>
      </w:pPr>
      <w:r w:rsidRPr="00D24E8E">
        <w:rPr>
          <w:lang w:val="es" w:eastAsia="es-CO"/>
        </w:rPr>
        <w:t>Promover información sobre riesgos para la salud asociados al consumo en personas menores de edad.</w:t>
      </w:r>
    </w:p>
    <w:p w14:paraId="3A61D9CD" w14:textId="77777777" w:rsidR="00D24E8E" w:rsidRPr="00D24E8E" w:rsidRDefault="00D24E8E" w:rsidP="00D24E8E">
      <w:pPr>
        <w:pStyle w:val="Sinespaciado"/>
        <w:rPr>
          <w:lang w:val="es" w:eastAsia="es-CO"/>
        </w:rPr>
      </w:pPr>
    </w:p>
    <w:p w14:paraId="2EFD4A58" w14:textId="2BCAFFE9" w:rsidR="00D24E8E" w:rsidRDefault="00D24E8E" w:rsidP="00D24E8E">
      <w:pPr>
        <w:pStyle w:val="Sinespaciado"/>
        <w:numPr>
          <w:ilvl w:val="0"/>
          <w:numId w:val="37"/>
        </w:numPr>
        <w:rPr>
          <w:lang w:val="es" w:eastAsia="es-CO"/>
        </w:rPr>
      </w:pPr>
      <w:r w:rsidRPr="00D24E8E">
        <w:rPr>
          <w:lang w:val="es" w:eastAsia="es-CO"/>
        </w:rPr>
        <w:t>Articularse con las campañas nacionales del Ministerio de Salud y Protección Social, y las campañas territoriales de prevención.</w:t>
      </w:r>
    </w:p>
    <w:p w14:paraId="25C85DBF" w14:textId="77777777" w:rsidR="00D24E8E" w:rsidRPr="00D24E8E" w:rsidRDefault="00D24E8E" w:rsidP="00D24E8E">
      <w:pPr>
        <w:pStyle w:val="Sinespaciado"/>
        <w:rPr>
          <w:lang w:val="es" w:eastAsia="es-CO"/>
        </w:rPr>
      </w:pPr>
    </w:p>
    <w:p w14:paraId="1AA08D1B" w14:textId="4619CCF0" w:rsidR="00D24E8E" w:rsidRDefault="00D24E8E" w:rsidP="00D24E8E">
      <w:pPr>
        <w:pStyle w:val="Sinespaciado"/>
        <w:rPr>
          <w:lang w:val="es" w:eastAsia="es-CO"/>
        </w:rPr>
      </w:pPr>
      <w:r w:rsidRPr="00D24E8E">
        <w:rPr>
          <w:b/>
          <w:bCs/>
          <w:lang w:val="es" w:eastAsia="es-CO"/>
        </w:rPr>
        <w:t>Parágrafo</w:t>
      </w:r>
      <w:r w:rsidRPr="00D24E8E">
        <w:rPr>
          <w:lang w:val="es" w:eastAsia="es-CO"/>
        </w:rPr>
        <w:t xml:space="preserve">. Las plataformas deberán reportar anualmente al Ministerio de Salud y Protección Social y al </w:t>
      </w:r>
      <w:r w:rsidRPr="00D24E8E">
        <w:rPr>
          <w:highlight w:val="white"/>
          <w:lang w:val="es" w:eastAsia="es-CO"/>
        </w:rPr>
        <w:t>Ministerio de Tecnologías de la Información y las Comunicaciones</w:t>
      </w:r>
      <w:r w:rsidRPr="00D24E8E">
        <w:rPr>
          <w:color w:val="474747"/>
          <w:highlight w:val="white"/>
          <w:lang w:val="es" w:eastAsia="es-CO"/>
        </w:rPr>
        <w:t>,</w:t>
      </w:r>
      <w:r w:rsidRPr="00D24E8E">
        <w:rPr>
          <w:lang w:val="es" w:eastAsia="es-CO"/>
        </w:rPr>
        <w:t xml:space="preserve"> las acciones pedagógicas implementadas y el alcance de sus campañas, para efectos de seguimiento, evaluación y control.</w:t>
      </w:r>
    </w:p>
    <w:p w14:paraId="13692F42" w14:textId="77777777" w:rsidR="00D24E8E" w:rsidRPr="00995ADF" w:rsidRDefault="00D24E8E" w:rsidP="00995ADF">
      <w:pPr>
        <w:spacing w:after="0" w:line="240" w:lineRule="auto"/>
        <w:jc w:val="both"/>
        <w:rPr>
          <w:rFonts w:ascii="Arial" w:eastAsia="Arial" w:hAnsi="Arial" w:cs="Arial"/>
          <w:b/>
          <w:lang w:val="es" w:eastAsia="es-CO"/>
        </w:rPr>
      </w:pPr>
    </w:p>
    <w:p w14:paraId="027A1575" w14:textId="16569373" w:rsidR="00202596" w:rsidRPr="00202596" w:rsidRDefault="00995ADF" w:rsidP="00995ADF">
      <w:pPr>
        <w:spacing w:after="240" w:line="240" w:lineRule="atLeast"/>
        <w:ind w:right="14"/>
        <w:jc w:val="both"/>
        <w:rPr>
          <w:rFonts w:ascii="Arial" w:eastAsia="Arial" w:hAnsi="Arial" w:cs="Arial"/>
          <w:lang w:eastAsia="es-CO"/>
        </w:rPr>
      </w:pPr>
      <w:r w:rsidRPr="00995ADF">
        <w:rPr>
          <w:rFonts w:ascii="Arial" w:eastAsia="Arial" w:hAnsi="Arial" w:cs="Arial"/>
          <w:b/>
          <w:lang w:val="es" w:eastAsia="es-CO"/>
        </w:rPr>
        <w:t xml:space="preserve">Artículo </w:t>
      </w:r>
      <w:r w:rsidR="00D24E8E">
        <w:rPr>
          <w:rFonts w:ascii="Arial" w:eastAsia="Arial" w:hAnsi="Arial" w:cs="Arial"/>
          <w:b/>
          <w:lang w:val="es" w:eastAsia="es-CO"/>
        </w:rPr>
        <w:t>5</w:t>
      </w:r>
      <w:r w:rsidRPr="00995ADF">
        <w:rPr>
          <w:rFonts w:ascii="Arial" w:eastAsia="Arial" w:hAnsi="Arial" w:cs="Arial"/>
          <w:b/>
          <w:lang w:val="es" w:eastAsia="es-CO"/>
        </w:rPr>
        <w:t xml:space="preserve">. Vigencia y derogatorias. </w:t>
      </w:r>
      <w:r w:rsidRPr="00995ADF">
        <w:rPr>
          <w:rFonts w:ascii="Arial" w:eastAsia="Arial" w:hAnsi="Arial" w:cs="Arial"/>
          <w:color w:val="000000"/>
          <w:lang w:val="es" w:eastAsia="es-CO"/>
        </w:rPr>
        <w:t>La presente Ley rige a partir de su sanción y promulgación y deroga todas las disposiciones que le sean contrarias.</w:t>
      </w:r>
    </w:p>
    <w:p w14:paraId="454954DE" w14:textId="48580FAD" w:rsidR="003206AC" w:rsidRDefault="003206AC" w:rsidP="00FE00C6">
      <w:pPr>
        <w:pStyle w:val="Sinespaciado"/>
        <w:spacing w:line="240" w:lineRule="atLeast"/>
        <w:rPr>
          <w:rFonts w:eastAsia="Arial" w:cs="Arial"/>
          <w:b/>
          <w:color w:val="000000"/>
        </w:rPr>
      </w:pPr>
    </w:p>
    <w:p w14:paraId="755E327E" w14:textId="77777777" w:rsidR="003F2B4A" w:rsidRPr="003206AC" w:rsidRDefault="003F2B4A" w:rsidP="00FE00C6">
      <w:pPr>
        <w:pStyle w:val="Sinespaciado"/>
        <w:spacing w:line="240" w:lineRule="atLeast"/>
        <w:rPr>
          <w:rFonts w:eastAsia="Arial" w:cs="Arial"/>
          <w:b/>
          <w:color w:val="000000"/>
        </w:rPr>
      </w:pPr>
    </w:p>
    <w:p w14:paraId="2949B4EC" w14:textId="77777777" w:rsidR="003206AC" w:rsidRPr="003206AC" w:rsidRDefault="003206AC" w:rsidP="00FE00C6">
      <w:pPr>
        <w:pStyle w:val="Sinespaciado"/>
        <w:spacing w:line="240" w:lineRule="atLeast"/>
        <w:rPr>
          <w:rFonts w:eastAsia="Arial" w:cs="Arial"/>
          <w:b/>
          <w:color w:val="000000"/>
        </w:rPr>
      </w:pPr>
    </w:p>
    <w:p w14:paraId="0BAE8745" w14:textId="3799D256" w:rsidR="003206AC" w:rsidRPr="00E73C2A" w:rsidRDefault="00251AB4" w:rsidP="00FE00C6">
      <w:pPr>
        <w:pStyle w:val="Sinespaciado"/>
        <w:spacing w:line="240" w:lineRule="atLeast"/>
        <w:jc w:val="center"/>
        <w:rPr>
          <w:rFonts w:cs="Arial"/>
          <w:b/>
          <w:bCs/>
        </w:rPr>
      </w:pPr>
      <w:r w:rsidRPr="00E73C2A">
        <w:rPr>
          <w:rFonts w:cs="Arial"/>
          <w:b/>
          <w:bCs/>
        </w:rPr>
        <w:t>Camilo Esteban Ávila Morales</w:t>
      </w:r>
      <w:r w:rsidR="00E73C2A" w:rsidRPr="00E73C2A">
        <w:rPr>
          <w:rFonts w:cs="Arial"/>
          <w:b/>
          <w:bCs/>
        </w:rPr>
        <w:tab/>
      </w:r>
      <w:r w:rsidR="00E73C2A" w:rsidRPr="00E73C2A">
        <w:rPr>
          <w:rFonts w:cs="Arial"/>
          <w:b/>
          <w:bCs/>
        </w:rPr>
        <w:tab/>
      </w:r>
      <w:r w:rsidR="00E73C2A" w:rsidRPr="00E73C2A">
        <w:rPr>
          <w:rFonts w:cs="Arial"/>
          <w:b/>
          <w:bCs/>
        </w:rPr>
        <w:tab/>
      </w:r>
      <w:r w:rsidR="00E73C2A" w:rsidRPr="00E73C2A">
        <w:rPr>
          <w:rFonts w:cs="Arial"/>
          <w:b/>
          <w:bCs/>
        </w:rPr>
        <w:tab/>
      </w:r>
      <w:r w:rsidR="0037017A">
        <w:rPr>
          <w:rFonts w:cs="Arial"/>
          <w:b/>
          <w:bCs/>
        </w:rPr>
        <w:t>Germán Rogelio Rozo Anís</w:t>
      </w:r>
    </w:p>
    <w:p w14:paraId="41882B1F" w14:textId="1B97C7D8" w:rsidR="003206AC" w:rsidRPr="00E73C2A" w:rsidRDefault="00251AB4" w:rsidP="00D24E8E">
      <w:pPr>
        <w:pStyle w:val="Sinespaciado"/>
        <w:spacing w:line="240" w:lineRule="atLeast"/>
        <w:jc w:val="center"/>
        <w:rPr>
          <w:rFonts w:cs="Arial"/>
        </w:rPr>
      </w:pPr>
      <w:r w:rsidRPr="00E73C2A">
        <w:rPr>
          <w:rFonts w:cs="Arial"/>
        </w:rPr>
        <w:t>Presidente</w:t>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E73C2A" w:rsidRPr="00E73C2A">
        <w:rPr>
          <w:rFonts w:cs="Arial"/>
        </w:rPr>
        <w:tab/>
      </w:r>
      <w:r w:rsidR="00CF017C">
        <w:rPr>
          <w:rFonts w:cs="Arial"/>
        </w:rPr>
        <w:t>Coordinador ponente</w:t>
      </w:r>
    </w:p>
    <w:p w14:paraId="1FEB21ED" w14:textId="331E58B9" w:rsidR="003206AC" w:rsidRDefault="003206AC" w:rsidP="00FE00C6">
      <w:pPr>
        <w:pStyle w:val="Sinespaciado"/>
        <w:spacing w:line="240" w:lineRule="atLeast"/>
        <w:jc w:val="center"/>
        <w:rPr>
          <w:rFonts w:cs="Arial"/>
          <w:b/>
          <w:bCs/>
        </w:rPr>
      </w:pPr>
    </w:p>
    <w:p w14:paraId="2E3E8DE5" w14:textId="77777777" w:rsidR="00E41EFE" w:rsidRPr="00E73C2A" w:rsidRDefault="00E41EFE" w:rsidP="00FE00C6">
      <w:pPr>
        <w:pStyle w:val="Sinespaciado"/>
        <w:spacing w:line="240" w:lineRule="atLeast"/>
        <w:jc w:val="center"/>
        <w:rPr>
          <w:rFonts w:cs="Arial"/>
          <w:b/>
          <w:bCs/>
        </w:rPr>
      </w:pPr>
    </w:p>
    <w:p w14:paraId="5E6A55CD" w14:textId="109A6D2B" w:rsidR="00E73C2A" w:rsidRDefault="00E73C2A" w:rsidP="00FE00C6">
      <w:pPr>
        <w:pStyle w:val="Sinespaciado"/>
        <w:spacing w:line="240" w:lineRule="atLeast"/>
        <w:jc w:val="center"/>
        <w:rPr>
          <w:rFonts w:cs="Arial"/>
          <w:b/>
          <w:bCs/>
        </w:rPr>
      </w:pPr>
    </w:p>
    <w:p w14:paraId="0F5ABEED" w14:textId="77777777" w:rsidR="00E73C2A" w:rsidRPr="00E73C2A" w:rsidRDefault="00E73C2A" w:rsidP="00FE00C6">
      <w:pPr>
        <w:pStyle w:val="Sinespaciado"/>
        <w:spacing w:line="240" w:lineRule="atLeast"/>
        <w:jc w:val="center"/>
        <w:rPr>
          <w:rFonts w:cs="Arial"/>
          <w:b/>
          <w:bCs/>
        </w:rPr>
      </w:pPr>
    </w:p>
    <w:p w14:paraId="35A7B6CF" w14:textId="2F7FED9F" w:rsidR="004E40E9" w:rsidRDefault="00995ADF" w:rsidP="00FE00C6">
      <w:pPr>
        <w:pStyle w:val="Sinespaciado"/>
        <w:spacing w:line="240" w:lineRule="atLeast"/>
        <w:jc w:val="center"/>
        <w:rPr>
          <w:b/>
          <w:bCs/>
        </w:rPr>
      </w:pPr>
      <w:r>
        <w:rPr>
          <w:b/>
          <w:bCs/>
        </w:rPr>
        <w:t>Ricardo Alfonso Albornoz Barreto</w:t>
      </w:r>
    </w:p>
    <w:p w14:paraId="69A2E9F8" w14:textId="7660C85F" w:rsidR="00884D43" w:rsidRDefault="004E40E9" w:rsidP="00C40226">
      <w:pPr>
        <w:pStyle w:val="Sinespaciado"/>
        <w:spacing w:line="240" w:lineRule="atLeast"/>
        <w:jc w:val="center"/>
      </w:pPr>
      <w:r>
        <w:t>S</w:t>
      </w:r>
      <w:r w:rsidR="0037017A">
        <w:t>e</w:t>
      </w:r>
      <w:r>
        <w:t>cretario</w:t>
      </w:r>
    </w:p>
    <w:p w14:paraId="79F3CB89" w14:textId="18D43DAF" w:rsidR="00D24E8E" w:rsidRPr="00D24E8E" w:rsidRDefault="00D24E8E" w:rsidP="00D24E8E"/>
    <w:p w14:paraId="214F203E" w14:textId="7394B0CE" w:rsidR="00D24E8E" w:rsidRPr="00D24E8E" w:rsidRDefault="00D24E8E" w:rsidP="00D24E8E"/>
    <w:p w14:paraId="2A4FB736" w14:textId="4F346D81" w:rsidR="00D24E8E" w:rsidRPr="00D24E8E" w:rsidRDefault="00D24E8E" w:rsidP="00D24E8E"/>
    <w:p w14:paraId="2959D45E" w14:textId="77777777" w:rsidR="00D24E8E" w:rsidRPr="00D24E8E" w:rsidRDefault="00D24E8E" w:rsidP="00D24E8E">
      <w:pPr>
        <w:jc w:val="center"/>
      </w:pPr>
    </w:p>
    <w:sectPr w:rsidR="00D24E8E" w:rsidRPr="00D24E8E" w:rsidSect="00507A9C">
      <w:headerReference w:type="default" r:id="rId9"/>
      <w:footerReference w:type="default" r:id="rId10"/>
      <w:type w:val="continuous"/>
      <w:pgSz w:w="12240" w:h="15840" w:code="1"/>
      <w:pgMar w:top="1701" w:right="102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E4BA" w14:textId="77777777" w:rsidR="004721CA" w:rsidRDefault="004721CA">
      <w:pPr>
        <w:spacing w:after="0" w:line="240" w:lineRule="auto"/>
      </w:pPr>
      <w:r>
        <w:separator/>
      </w:r>
    </w:p>
  </w:endnote>
  <w:endnote w:type="continuationSeparator" w:id="0">
    <w:p w14:paraId="42EFEB16" w14:textId="77777777" w:rsidR="004721CA" w:rsidRDefault="0047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E230" w14:textId="04ACE226" w:rsidR="00197D9B" w:rsidRPr="00202596" w:rsidRDefault="0083265E">
    <w:pPr>
      <w:pStyle w:val="Piedepgina"/>
      <w:jc w:val="center"/>
      <w:rPr>
        <w:rFonts w:ascii="Arial" w:hAnsi="Arial" w:cs="Arial"/>
        <w:sz w:val="14"/>
        <w:szCs w:val="14"/>
        <w:lang w:val="es-ES"/>
      </w:rPr>
    </w:pPr>
    <w:r w:rsidRPr="00202596">
      <w:rPr>
        <w:rFonts w:ascii="Arial" w:hAnsi="Arial" w:cs="Arial"/>
        <w:sz w:val="14"/>
        <w:szCs w:val="14"/>
        <w:lang w:val="es-ES"/>
      </w:rPr>
      <w:t xml:space="preserve">Texto definitivo del proyecto de ley </w:t>
    </w:r>
    <w:r w:rsidR="00197D9B" w:rsidRPr="00202596">
      <w:rPr>
        <w:rFonts w:ascii="Arial" w:hAnsi="Arial" w:cs="Arial"/>
        <w:sz w:val="14"/>
        <w:szCs w:val="14"/>
        <w:lang w:val="es-ES"/>
      </w:rPr>
      <w:t>N</w:t>
    </w:r>
    <w:r w:rsidR="00197D9B" w:rsidRPr="00202596">
      <w:rPr>
        <w:rFonts w:ascii="Arial" w:eastAsia="Arial MT" w:hAnsi="Arial" w:cs="Arial"/>
        <w:bCs/>
        <w:sz w:val="14"/>
        <w:szCs w:val="14"/>
        <w:lang w:val="es-ES" w:eastAsia="en-US"/>
      </w:rPr>
      <w:t xml:space="preserve">o. </w:t>
    </w:r>
    <w:r w:rsidR="00D24E8E">
      <w:rPr>
        <w:rFonts w:ascii="Arial" w:eastAsia="Arial MT" w:hAnsi="Arial" w:cs="Arial"/>
        <w:bCs/>
        <w:sz w:val="14"/>
        <w:szCs w:val="14"/>
        <w:lang w:val="es-ES" w:eastAsia="en-US"/>
      </w:rPr>
      <w:t>257</w:t>
    </w:r>
    <w:r w:rsidR="00197D9B" w:rsidRPr="00202596">
      <w:rPr>
        <w:rFonts w:ascii="Arial" w:eastAsia="Arial MT" w:hAnsi="Arial" w:cs="Arial"/>
        <w:bCs/>
        <w:sz w:val="14"/>
        <w:szCs w:val="14"/>
        <w:lang w:val="es-ES" w:eastAsia="en-US"/>
      </w:rPr>
      <w:t xml:space="preserve"> de 2025 Cámara</w:t>
    </w:r>
    <w:r w:rsidR="00197D9B" w:rsidRPr="00202596">
      <w:rPr>
        <w:rFonts w:ascii="Arial" w:hAnsi="Arial" w:cs="Arial"/>
        <w:sz w:val="14"/>
        <w:szCs w:val="14"/>
        <w:lang w:val="es-ES"/>
      </w:rPr>
      <w:t xml:space="preserve"> </w:t>
    </w:r>
    <w:r w:rsidRPr="00202596">
      <w:rPr>
        <w:rFonts w:ascii="Arial" w:hAnsi="Arial" w:cs="Arial"/>
        <w:sz w:val="14"/>
        <w:szCs w:val="14"/>
        <w:lang w:val="es-ES"/>
      </w:rPr>
      <w:t>aprobado en Comisión</w:t>
    </w:r>
  </w:p>
  <w:p w14:paraId="667BE7D8" w14:textId="5105B086" w:rsidR="0083265E" w:rsidRPr="00202596" w:rsidRDefault="0083265E">
    <w:pPr>
      <w:pStyle w:val="Piedepgina"/>
      <w:jc w:val="center"/>
      <w:rPr>
        <w:rFonts w:ascii="Arial" w:hAnsi="Arial" w:cs="Arial"/>
        <w:sz w:val="14"/>
        <w:szCs w:val="14"/>
      </w:rPr>
    </w:pPr>
    <w:r w:rsidRPr="00202596">
      <w:rPr>
        <w:rFonts w:ascii="Arial" w:hAnsi="Arial" w:cs="Arial"/>
        <w:sz w:val="14"/>
        <w:szCs w:val="14"/>
        <w:lang w:val="es-ES"/>
      </w:rPr>
      <w:t xml:space="preserve">Página </w:t>
    </w:r>
    <w:r w:rsidRPr="00202596">
      <w:rPr>
        <w:rFonts w:ascii="Arial" w:hAnsi="Arial" w:cs="Arial"/>
        <w:sz w:val="14"/>
        <w:szCs w:val="14"/>
      </w:rPr>
      <w:fldChar w:fldCharType="begin"/>
    </w:r>
    <w:r w:rsidRPr="00202596">
      <w:rPr>
        <w:rFonts w:ascii="Arial" w:hAnsi="Arial" w:cs="Arial"/>
        <w:sz w:val="14"/>
        <w:szCs w:val="14"/>
      </w:rPr>
      <w:instrText>PAGE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r w:rsidRPr="00202596">
      <w:rPr>
        <w:rFonts w:ascii="Arial" w:hAnsi="Arial" w:cs="Arial"/>
        <w:sz w:val="14"/>
        <w:szCs w:val="14"/>
        <w:lang w:val="es-ES"/>
      </w:rPr>
      <w:t xml:space="preserve"> de </w:t>
    </w:r>
    <w:r w:rsidRPr="00202596">
      <w:rPr>
        <w:rFonts w:ascii="Arial" w:hAnsi="Arial" w:cs="Arial"/>
        <w:sz w:val="14"/>
        <w:szCs w:val="14"/>
      </w:rPr>
      <w:fldChar w:fldCharType="begin"/>
    </w:r>
    <w:r w:rsidRPr="00202596">
      <w:rPr>
        <w:rFonts w:ascii="Arial" w:hAnsi="Arial" w:cs="Arial"/>
        <w:sz w:val="14"/>
        <w:szCs w:val="14"/>
      </w:rPr>
      <w:instrText>NUMPAGES  \* Arabic  \* MERGEFORMAT</w:instrText>
    </w:r>
    <w:r w:rsidRPr="00202596">
      <w:rPr>
        <w:rFonts w:ascii="Arial" w:hAnsi="Arial" w:cs="Arial"/>
        <w:sz w:val="14"/>
        <w:szCs w:val="14"/>
      </w:rPr>
      <w:fldChar w:fldCharType="separate"/>
    </w:r>
    <w:r w:rsidR="007D2F62" w:rsidRPr="00202596">
      <w:rPr>
        <w:rFonts w:ascii="Arial" w:hAnsi="Arial" w:cs="Arial"/>
        <w:noProof/>
        <w:sz w:val="14"/>
        <w:szCs w:val="14"/>
        <w:lang w:val="es-ES"/>
      </w:rPr>
      <w:t>1</w:t>
    </w:r>
    <w:r w:rsidRPr="00202596">
      <w:rPr>
        <w:rFonts w:ascii="Arial" w:hAnsi="Arial" w:cs="Arial"/>
        <w:sz w:val="14"/>
        <w:szCs w:val="14"/>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F982" w14:textId="77777777" w:rsidR="004721CA" w:rsidRDefault="004721CA">
      <w:pPr>
        <w:spacing w:after="0" w:line="240" w:lineRule="auto"/>
      </w:pPr>
      <w:r>
        <w:separator/>
      </w:r>
    </w:p>
  </w:footnote>
  <w:footnote w:type="continuationSeparator" w:id="0">
    <w:p w14:paraId="3151E863" w14:textId="77777777" w:rsidR="004721CA" w:rsidRDefault="0047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8662B8"/>
    <w:multiLevelType w:val="hybridMultilevel"/>
    <w:tmpl w:val="0D105E0C"/>
    <w:lvl w:ilvl="0" w:tplc="33E8D7D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9D291C"/>
    <w:multiLevelType w:val="hybridMultilevel"/>
    <w:tmpl w:val="C826F7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F12E1B"/>
    <w:multiLevelType w:val="hybridMultilevel"/>
    <w:tmpl w:val="F4F61E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7F455E5"/>
    <w:multiLevelType w:val="multilevel"/>
    <w:tmpl w:val="0076F9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6025E2"/>
    <w:multiLevelType w:val="hybridMultilevel"/>
    <w:tmpl w:val="1A42A682"/>
    <w:lvl w:ilvl="0" w:tplc="8D86C9E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CAE178D"/>
    <w:multiLevelType w:val="multilevel"/>
    <w:tmpl w:val="722A2A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694"/>
    <w:multiLevelType w:val="hybridMultilevel"/>
    <w:tmpl w:val="BF604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1F186A"/>
    <w:multiLevelType w:val="multilevel"/>
    <w:tmpl w:val="EDF465B8"/>
    <w:lvl w:ilvl="0">
      <w:start w:val="1"/>
      <w:numFmt w:val="upperRoman"/>
      <w:lvlText w:val="%1."/>
      <w:lvlJc w:val="left"/>
      <w:pPr>
        <w:ind w:left="0" w:firstLine="0"/>
      </w:pPr>
      <w:rPr>
        <w:rFonts w:hint="default"/>
        <w:b/>
        <w:i w:val="0"/>
        <w:sz w:val="22"/>
        <w:szCs w:val="28"/>
        <w:vertAlign w:val="baseline"/>
      </w:rPr>
    </w:lvl>
    <w:lvl w:ilvl="1">
      <w:start w:val="1"/>
      <w:numFmt w:val="decimal"/>
      <w:lvlText w:val="%2."/>
      <w:lvlJc w:val="left"/>
      <w:pPr>
        <w:ind w:left="454" w:hanging="454"/>
      </w:pPr>
      <w:rPr>
        <w:rFonts w:ascii="Arial" w:eastAsia="Arial" w:hAnsi="Arial" w:cs="Arial" w:hint="default"/>
        <w:b w:val="0"/>
        <w:i w:val="0"/>
        <w:sz w:val="22"/>
        <w:szCs w:val="24"/>
        <w:vertAlign w:val="baseline"/>
      </w:rPr>
    </w:lvl>
    <w:lvl w:ilvl="2">
      <w:start w:val="1"/>
      <w:numFmt w:val="bullet"/>
      <w:lvlText w:val="●"/>
      <w:lvlJc w:val="left"/>
      <w:pPr>
        <w:ind w:left="454" w:hanging="454"/>
      </w:pPr>
      <w:rPr>
        <w:rFonts w:ascii="Noto Sans" w:eastAsia="Noto Sans" w:hAnsi="Noto Sans" w:cs="Noto Sans" w:hint="default"/>
        <w:b w:val="0"/>
        <w:i w:val="0"/>
        <w:color w:val="000000"/>
        <w:vertAlign w:val="baseline"/>
      </w:rPr>
    </w:lvl>
    <w:lvl w:ilvl="3">
      <w:start w:val="1"/>
      <w:numFmt w:val="bullet"/>
      <w:lvlText w:val="−"/>
      <w:lvlJc w:val="left"/>
      <w:pPr>
        <w:ind w:left="454" w:hanging="454"/>
      </w:pPr>
      <w:rPr>
        <w:rFonts w:ascii="Noto Sans" w:eastAsia="Noto Sans" w:hAnsi="Noto Sans" w:cs="Noto Sans" w:hint="default"/>
        <w:b w:val="0"/>
        <w:i w:val="0"/>
        <w:color w:val="000000"/>
        <w:vertAlign w:val="baseline"/>
      </w:rPr>
    </w:lvl>
    <w:lvl w:ilvl="4">
      <w:start w:val="1"/>
      <w:numFmt w:val="upperLetter"/>
      <w:lvlText w:val="%5. "/>
      <w:lvlJc w:val="left"/>
      <w:pPr>
        <w:ind w:left="1134" w:hanging="567"/>
      </w:pPr>
      <w:rPr>
        <w:rFonts w:hint="default"/>
        <w:b/>
        <w:i w:val="0"/>
        <w:color w:val="000000"/>
        <w:vertAlign w:val="baseline"/>
      </w:rPr>
    </w:lvl>
    <w:lvl w:ilvl="5">
      <w:start w:val="1"/>
      <w:numFmt w:val="lowerLetter"/>
      <w:lvlText w:val="%6)"/>
      <w:lvlJc w:val="left"/>
      <w:pPr>
        <w:ind w:left="1588" w:hanging="454"/>
      </w:pPr>
      <w:rPr>
        <w:rFonts w:hint="default"/>
        <w:b/>
        <w:i w:val="0"/>
        <w:color w:val="000000"/>
        <w:vertAlign w:val="baseline"/>
      </w:rPr>
    </w:lvl>
    <w:lvl w:ilvl="6">
      <w:start w:val="1"/>
      <w:numFmt w:val="bullet"/>
      <w:lvlText w:val="●"/>
      <w:lvlJc w:val="left"/>
      <w:pPr>
        <w:ind w:left="2155" w:hanging="567"/>
      </w:pPr>
      <w:rPr>
        <w:rFonts w:ascii="Noto Sans" w:eastAsia="Noto Sans" w:hAnsi="Noto Sans" w:cs="Noto Sans" w:hint="default"/>
        <w:color w:val="000000"/>
        <w:vertAlign w:val="baseline"/>
      </w:rPr>
    </w:lvl>
    <w:lvl w:ilvl="7">
      <w:start w:val="1"/>
      <w:numFmt w:val="bullet"/>
      <w:lvlText w:val="−"/>
      <w:lvlJc w:val="left"/>
      <w:pPr>
        <w:ind w:left="2155" w:hanging="567"/>
      </w:pPr>
      <w:rPr>
        <w:rFonts w:ascii="Noto Sans" w:eastAsia="Noto Sans" w:hAnsi="Noto Sans" w:cs="Noto Sans" w:hint="default"/>
        <w:color w:val="000000"/>
        <w:vertAlign w:val="baseline"/>
      </w:rPr>
    </w:lvl>
    <w:lvl w:ilvl="8">
      <w:start w:val="1"/>
      <w:numFmt w:val="decimal"/>
      <w:lvlText w:val="NOTA:"/>
      <w:lvlJc w:val="left"/>
      <w:pPr>
        <w:ind w:left="0" w:firstLine="0"/>
      </w:pPr>
      <w:rPr>
        <w:rFonts w:hint="default"/>
        <w:b/>
        <w:i w:val="0"/>
        <w:vertAlign w:val="baseline"/>
      </w:rPr>
    </w:lvl>
  </w:abstractNum>
  <w:abstractNum w:abstractNumId="24" w15:restartNumberingAfterBreak="0">
    <w:nsid w:val="5A6227FF"/>
    <w:multiLevelType w:val="hybridMultilevel"/>
    <w:tmpl w:val="5AEEB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BB55D6A"/>
    <w:multiLevelType w:val="hybridMultilevel"/>
    <w:tmpl w:val="89BEB6CA"/>
    <w:lvl w:ilvl="0" w:tplc="240A000F">
      <w:start w:val="1"/>
      <w:numFmt w:val="decimal"/>
      <w:lvlText w:val="%1."/>
      <w:lvlJc w:val="left"/>
      <w:pPr>
        <w:ind w:left="720" w:hanging="360"/>
      </w:pPr>
    </w:lvl>
    <w:lvl w:ilvl="1" w:tplc="D7CA0348">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E476488"/>
    <w:multiLevelType w:val="hybridMultilevel"/>
    <w:tmpl w:val="5EB600B8"/>
    <w:lvl w:ilvl="0" w:tplc="240A000F">
      <w:start w:val="1"/>
      <w:numFmt w:val="decimal"/>
      <w:lvlText w:val="%1."/>
      <w:lvlJc w:val="left"/>
      <w:pPr>
        <w:ind w:left="720" w:hanging="360"/>
      </w:pPr>
    </w:lvl>
    <w:lvl w:ilvl="1" w:tplc="CC48612E">
      <w:numFmt w:val="bullet"/>
      <w:lvlText w:val=""/>
      <w:lvlJc w:val="left"/>
      <w:pPr>
        <w:ind w:left="1440" w:hanging="360"/>
      </w:pPr>
      <w:rPr>
        <w:rFonts w:ascii="Symbol" w:eastAsia="Calibri"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3CA6AD3"/>
    <w:multiLevelType w:val="multilevel"/>
    <w:tmpl w:val="C868F3F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1"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013171"/>
    <w:multiLevelType w:val="hybridMultilevel"/>
    <w:tmpl w:val="DF7AD9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205ABA"/>
    <w:multiLevelType w:val="hybridMultilevel"/>
    <w:tmpl w:val="ADE00F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26"/>
  </w:num>
  <w:num w:numId="5">
    <w:abstractNumId w:val="10"/>
  </w:num>
  <w:num w:numId="6">
    <w:abstractNumId w:val="15"/>
  </w:num>
  <w:num w:numId="7">
    <w:abstractNumId w:val="1"/>
  </w:num>
  <w:num w:numId="8">
    <w:abstractNumId w:val="8"/>
  </w:num>
  <w:num w:numId="9">
    <w:abstractNumId w:val="32"/>
  </w:num>
  <w:num w:numId="10">
    <w:abstractNumId w:val="19"/>
  </w:num>
  <w:num w:numId="11">
    <w:abstractNumId w:val="3"/>
  </w:num>
  <w:num w:numId="12">
    <w:abstractNumId w:val="33"/>
  </w:num>
  <w:num w:numId="13">
    <w:abstractNumId w:val="28"/>
  </w:num>
  <w:num w:numId="14">
    <w:abstractNumId w:val="31"/>
  </w:num>
  <w:num w:numId="15">
    <w:abstractNumId w:val="22"/>
  </w:num>
  <w:num w:numId="16">
    <w:abstractNumId w:val="6"/>
  </w:num>
  <w:num w:numId="17">
    <w:abstractNumId w:val="20"/>
  </w:num>
  <w:num w:numId="18">
    <w:abstractNumId w:val="4"/>
  </w:num>
  <w:num w:numId="19">
    <w:abstractNumId w:val="17"/>
  </w:num>
  <w:num w:numId="20">
    <w:abstractNumId w:val="34"/>
  </w:num>
  <w:num w:numId="21">
    <w:abstractNumId w:val="29"/>
  </w:num>
  <w:num w:numId="22">
    <w:abstractNumId w:val="0"/>
  </w:num>
  <w:num w:numId="23">
    <w:abstractNumId w:val="21"/>
  </w:num>
  <w:num w:numId="24">
    <w:abstractNumId w:val="14"/>
  </w:num>
  <w:num w:numId="25">
    <w:abstractNumId w:val="23"/>
  </w:num>
  <w:num w:numId="26">
    <w:abstractNumId w:val="7"/>
  </w:num>
  <w:num w:numId="27">
    <w:abstractNumId w:val="36"/>
  </w:num>
  <w:num w:numId="28">
    <w:abstractNumId w:val="25"/>
  </w:num>
  <w:num w:numId="29">
    <w:abstractNumId w:val="27"/>
  </w:num>
  <w:num w:numId="30">
    <w:abstractNumId w:val="18"/>
  </w:num>
  <w:num w:numId="31">
    <w:abstractNumId w:val="24"/>
  </w:num>
  <w:num w:numId="32">
    <w:abstractNumId w:val="9"/>
  </w:num>
  <w:num w:numId="33">
    <w:abstractNumId w:val="13"/>
  </w:num>
  <w:num w:numId="34">
    <w:abstractNumId w:val="16"/>
  </w:num>
  <w:num w:numId="35">
    <w:abstractNumId w:val="30"/>
  </w:num>
  <w:num w:numId="36">
    <w:abstractNumId w:val="3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D6D79"/>
    <w:rsid w:val="000E596E"/>
    <w:rsid w:val="000F3249"/>
    <w:rsid w:val="000F3F41"/>
    <w:rsid w:val="00102AC9"/>
    <w:rsid w:val="00106067"/>
    <w:rsid w:val="00123872"/>
    <w:rsid w:val="001303C3"/>
    <w:rsid w:val="00134E23"/>
    <w:rsid w:val="00141A7E"/>
    <w:rsid w:val="00145732"/>
    <w:rsid w:val="00155AD7"/>
    <w:rsid w:val="00180E10"/>
    <w:rsid w:val="001826C3"/>
    <w:rsid w:val="00193E1C"/>
    <w:rsid w:val="00197D9B"/>
    <w:rsid w:val="001A3661"/>
    <w:rsid w:val="001A5585"/>
    <w:rsid w:val="001B1C28"/>
    <w:rsid w:val="001B48EE"/>
    <w:rsid w:val="001B6E7B"/>
    <w:rsid w:val="001C10AB"/>
    <w:rsid w:val="001C6DF6"/>
    <w:rsid w:val="001F2842"/>
    <w:rsid w:val="001F7A2A"/>
    <w:rsid w:val="00202596"/>
    <w:rsid w:val="00217B1E"/>
    <w:rsid w:val="00223BDC"/>
    <w:rsid w:val="00227978"/>
    <w:rsid w:val="00245986"/>
    <w:rsid w:val="002461F5"/>
    <w:rsid w:val="0024670B"/>
    <w:rsid w:val="00251AB4"/>
    <w:rsid w:val="00273C01"/>
    <w:rsid w:val="00290644"/>
    <w:rsid w:val="002A1BAF"/>
    <w:rsid w:val="002C21DA"/>
    <w:rsid w:val="002E49B9"/>
    <w:rsid w:val="002E6C1D"/>
    <w:rsid w:val="003206AC"/>
    <w:rsid w:val="00330383"/>
    <w:rsid w:val="00332B24"/>
    <w:rsid w:val="003343A2"/>
    <w:rsid w:val="00344B4D"/>
    <w:rsid w:val="0037017A"/>
    <w:rsid w:val="00374FCF"/>
    <w:rsid w:val="00375224"/>
    <w:rsid w:val="00392FE1"/>
    <w:rsid w:val="003B3F8A"/>
    <w:rsid w:val="003C3541"/>
    <w:rsid w:val="003C5D20"/>
    <w:rsid w:val="003D08DE"/>
    <w:rsid w:val="003D5D35"/>
    <w:rsid w:val="003E5A7A"/>
    <w:rsid w:val="003F2B4A"/>
    <w:rsid w:val="003F3E4F"/>
    <w:rsid w:val="00401837"/>
    <w:rsid w:val="004721CA"/>
    <w:rsid w:val="00484475"/>
    <w:rsid w:val="0049721E"/>
    <w:rsid w:val="004B0124"/>
    <w:rsid w:val="004C3EB2"/>
    <w:rsid w:val="004D631D"/>
    <w:rsid w:val="004E060F"/>
    <w:rsid w:val="004E40E9"/>
    <w:rsid w:val="004F0BC8"/>
    <w:rsid w:val="005004BD"/>
    <w:rsid w:val="00507A9C"/>
    <w:rsid w:val="00523CF6"/>
    <w:rsid w:val="00533F5F"/>
    <w:rsid w:val="00545AF9"/>
    <w:rsid w:val="0057061D"/>
    <w:rsid w:val="00576AF4"/>
    <w:rsid w:val="00596752"/>
    <w:rsid w:val="005970FF"/>
    <w:rsid w:val="005A42A7"/>
    <w:rsid w:val="005B163A"/>
    <w:rsid w:val="005B79B2"/>
    <w:rsid w:val="005C4915"/>
    <w:rsid w:val="006020FC"/>
    <w:rsid w:val="0061013F"/>
    <w:rsid w:val="006213A8"/>
    <w:rsid w:val="00644D12"/>
    <w:rsid w:val="00645D96"/>
    <w:rsid w:val="0066551C"/>
    <w:rsid w:val="00676A02"/>
    <w:rsid w:val="006A6E00"/>
    <w:rsid w:val="006A6E52"/>
    <w:rsid w:val="006D531F"/>
    <w:rsid w:val="006E594C"/>
    <w:rsid w:val="00703BB5"/>
    <w:rsid w:val="00711B0E"/>
    <w:rsid w:val="00722B7D"/>
    <w:rsid w:val="00745DA4"/>
    <w:rsid w:val="00751A35"/>
    <w:rsid w:val="007576E4"/>
    <w:rsid w:val="00767847"/>
    <w:rsid w:val="00780935"/>
    <w:rsid w:val="00791833"/>
    <w:rsid w:val="00793F4D"/>
    <w:rsid w:val="007D2959"/>
    <w:rsid w:val="007D2F62"/>
    <w:rsid w:val="007D3C92"/>
    <w:rsid w:val="007E285C"/>
    <w:rsid w:val="007F0D11"/>
    <w:rsid w:val="0080316C"/>
    <w:rsid w:val="0083265E"/>
    <w:rsid w:val="00835180"/>
    <w:rsid w:val="00842BD4"/>
    <w:rsid w:val="00856BE4"/>
    <w:rsid w:val="008571E9"/>
    <w:rsid w:val="00862DF1"/>
    <w:rsid w:val="00874E4E"/>
    <w:rsid w:val="008818F4"/>
    <w:rsid w:val="00884D43"/>
    <w:rsid w:val="008A36E1"/>
    <w:rsid w:val="008A4907"/>
    <w:rsid w:val="008A4A9B"/>
    <w:rsid w:val="008C5481"/>
    <w:rsid w:val="008E2412"/>
    <w:rsid w:val="008E689B"/>
    <w:rsid w:val="008F1E88"/>
    <w:rsid w:val="008F518D"/>
    <w:rsid w:val="00900D93"/>
    <w:rsid w:val="00931B69"/>
    <w:rsid w:val="00980D46"/>
    <w:rsid w:val="00984A08"/>
    <w:rsid w:val="00995ADF"/>
    <w:rsid w:val="009A5477"/>
    <w:rsid w:val="009B189B"/>
    <w:rsid w:val="009B5502"/>
    <w:rsid w:val="009E1B8B"/>
    <w:rsid w:val="009E3F42"/>
    <w:rsid w:val="00A10DC4"/>
    <w:rsid w:val="00A16412"/>
    <w:rsid w:val="00A260C7"/>
    <w:rsid w:val="00A27D65"/>
    <w:rsid w:val="00A549FD"/>
    <w:rsid w:val="00A5673E"/>
    <w:rsid w:val="00AA5167"/>
    <w:rsid w:val="00AC09C4"/>
    <w:rsid w:val="00AC2952"/>
    <w:rsid w:val="00AF4493"/>
    <w:rsid w:val="00AF47C1"/>
    <w:rsid w:val="00AF667C"/>
    <w:rsid w:val="00AF7901"/>
    <w:rsid w:val="00B31264"/>
    <w:rsid w:val="00B41338"/>
    <w:rsid w:val="00B4204B"/>
    <w:rsid w:val="00B47081"/>
    <w:rsid w:val="00B57363"/>
    <w:rsid w:val="00B61831"/>
    <w:rsid w:val="00B94C52"/>
    <w:rsid w:val="00BA2504"/>
    <w:rsid w:val="00BA6354"/>
    <w:rsid w:val="00BA6CF0"/>
    <w:rsid w:val="00BD3B0E"/>
    <w:rsid w:val="00BF038C"/>
    <w:rsid w:val="00BF0C76"/>
    <w:rsid w:val="00BF32C7"/>
    <w:rsid w:val="00BF5872"/>
    <w:rsid w:val="00BF5DE4"/>
    <w:rsid w:val="00C04298"/>
    <w:rsid w:val="00C0783C"/>
    <w:rsid w:val="00C10A0F"/>
    <w:rsid w:val="00C2085A"/>
    <w:rsid w:val="00C2162E"/>
    <w:rsid w:val="00C24F1B"/>
    <w:rsid w:val="00C25C47"/>
    <w:rsid w:val="00C25E24"/>
    <w:rsid w:val="00C31B69"/>
    <w:rsid w:val="00C40226"/>
    <w:rsid w:val="00C64587"/>
    <w:rsid w:val="00C85EE9"/>
    <w:rsid w:val="00CA7A0C"/>
    <w:rsid w:val="00CF017C"/>
    <w:rsid w:val="00CF241E"/>
    <w:rsid w:val="00D16302"/>
    <w:rsid w:val="00D24E8E"/>
    <w:rsid w:val="00D410FE"/>
    <w:rsid w:val="00D65C9D"/>
    <w:rsid w:val="00D7060A"/>
    <w:rsid w:val="00D7787B"/>
    <w:rsid w:val="00D84087"/>
    <w:rsid w:val="00D840CE"/>
    <w:rsid w:val="00DA7279"/>
    <w:rsid w:val="00DC1FF5"/>
    <w:rsid w:val="00E02D4A"/>
    <w:rsid w:val="00E10837"/>
    <w:rsid w:val="00E2082D"/>
    <w:rsid w:val="00E27292"/>
    <w:rsid w:val="00E41EFE"/>
    <w:rsid w:val="00E73C2A"/>
    <w:rsid w:val="00E84909"/>
    <w:rsid w:val="00EB3579"/>
    <w:rsid w:val="00ED4980"/>
    <w:rsid w:val="00EF5B1B"/>
    <w:rsid w:val="00F04E2C"/>
    <w:rsid w:val="00F25E2F"/>
    <w:rsid w:val="00F42CA9"/>
    <w:rsid w:val="00F451A7"/>
    <w:rsid w:val="00F50D3E"/>
    <w:rsid w:val="00F66F0B"/>
    <w:rsid w:val="00F67633"/>
    <w:rsid w:val="00F718B4"/>
    <w:rsid w:val="00F81F67"/>
    <w:rsid w:val="00F923A0"/>
    <w:rsid w:val="00F94622"/>
    <w:rsid w:val="00FC1DEF"/>
    <w:rsid w:val="00FE00C6"/>
    <w:rsid w:val="00FE489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706</Words>
  <Characters>3888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10</cp:revision>
  <cp:lastPrinted>2025-10-21T19:45:00Z</cp:lastPrinted>
  <dcterms:created xsi:type="dcterms:W3CDTF">2025-12-02T22:17:00Z</dcterms:created>
  <dcterms:modified xsi:type="dcterms:W3CDTF">2025-12-03T16:03:00Z</dcterms:modified>
</cp:coreProperties>
</file>