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4DF80" w14:textId="36389B1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Bogotá D.C., 1</w:t>
      </w:r>
      <w:r w:rsidR="00965996">
        <w:rPr>
          <w:rFonts w:ascii="Georgia" w:eastAsia="Georgia" w:hAnsi="Georgia" w:cs="Georgia"/>
          <w:sz w:val="22"/>
          <w:szCs w:val="22"/>
        </w:rPr>
        <w:t>9</w:t>
      </w:r>
      <w:r>
        <w:rPr>
          <w:rFonts w:ascii="Georgia" w:eastAsia="Georgia" w:hAnsi="Georgia" w:cs="Georgia"/>
          <w:sz w:val="22"/>
          <w:szCs w:val="22"/>
        </w:rPr>
        <w:t xml:space="preserve"> de noviembre de 2025</w:t>
      </w:r>
    </w:p>
    <w:p w14:paraId="741F2A9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AB19222" w14:textId="77777777" w:rsidR="006B5EEB" w:rsidRDefault="006B5EEB">
      <w:pPr>
        <w:tabs>
          <w:tab w:val="left" w:pos="8740"/>
        </w:tabs>
        <w:spacing w:line="276" w:lineRule="auto"/>
        <w:ind w:right="-220"/>
        <w:jc w:val="both"/>
        <w:rPr>
          <w:rFonts w:ascii="Georgia" w:eastAsia="Georgia" w:hAnsi="Georgia" w:cs="Georgia"/>
          <w:sz w:val="22"/>
          <w:szCs w:val="22"/>
        </w:rPr>
      </w:pPr>
    </w:p>
    <w:p w14:paraId="394013DE" w14:textId="77777777" w:rsidR="006B5EEB" w:rsidRDefault="00C24176">
      <w:pPr>
        <w:shd w:val="clear" w:color="auto" w:fill="FFFFFF"/>
        <w:spacing w:before="280" w:line="276" w:lineRule="auto"/>
        <w:ind w:right="-220"/>
        <w:rPr>
          <w:rFonts w:ascii="Georgia" w:eastAsia="Georgia" w:hAnsi="Georgia" w:cs="Georgia"/>
          <w:b/>
          <w:bCs/>
          <w:sz w:val="22"/>
          <w:szCs w:val="22"/>
        </w:rPr>
      </w:pPr>
      <w:r>
        <w:rPr>
          <w:rFonts w:ascii="Georgia" w:eastAsia="Georgia" w:hAnsi="Georgia" w:cs="Georgia"/>
          <w:sz w:val="22"/>
          <w:szCs w:val="22"/>
        </w:rPr>
        <w:t>Doctor                                                                               Doctora</w:t>
      </w:r>
    </w:p>
    <w:p w14:paraId="6A470C9A" w14:textId="77777777" w:rsidR="006B5EEB" w:rsidRDefault="00C24176">
      <w:pPr>
        <w:shd w:val="clear" w:color="auto" w:fill="FFFFFF"/>
        <w:spacing w:line="276" w:lineRule="auto"/>
        <w:ind w:right="-220"/>
        <w:rPr>
          <w:rFonts w:ascii="Georgia" w:eastAsia="Georgia" w:hAnsi="Georgia" w:cs="Georgia"/>
          <w:b/>
          <w:bCs/>
          <w:sz w:val="22"/>
          <w:szCs w:val="22"/>
        </w:rPr>
      </w:pPr>
      <w:r>
        <w:rPr>
          <w:rFonts w:ascii="Georgia" w:eastAsia="Georgia" w:hAnsi="Georgia" w:cs="Georgia"/>
          <w:b/>
          <w:bCs/>
          <w:sz w:val="22"/>
          <w:szCs w:val="22"/>
        </w:rPr>
        <w:t>GABRIEL BECERRA YAÑEZ</w:t>
      </w:r>
      <w:r>
        <w:rPr>
          <w:rFonts w:ascii="Georgia" w:eastAsia="Georgia" w:hAnsi="Georgia" w:cs="Georgia"/>
          <w:b/>
          <w:bCs/>
          <w:sz w:val="22"/>
          <w:szCs w:val="22"/>
        </w:rPr>
        <w:tab/>
      </w:r>
      <w:r>
        <w:rPr>
          <w:rFonts w:ascii="Georgia" w:eastAsia="Georgia" w:hAnsi="Georgia" w:cs="Georgia"/>
          <w:b/>
          <w:bCs/>
          <w:sz w:val="22"/>
          <w:szCs w:val="22"/>
        </w:rPr>
        <w:tab/>
        <w:t xml:space="preserve">         AMPARO </w:t>
      </w:r>
      <w:r>
        <w:rPr>
          <w:rFonts w:ascii="Georgia" w:eastAsia="Georgia" w:hAnsi="Georgia" w:cs="Georgia"/>
          <w:b/>
          <w:bCs/>
          <w:sz w:val="22"/>
          <w:szCs w:val="22"/>
          <w:highlight w:val="white"/>
        </w:rPr>
        <w:t xml:space="preserve">YANETH CALDERÓN </w:t>
      </w:r>
    </w:p>
    <w:p w14:paraId="42BB71CC" w14:textId="77777777" w:rsidR="006B5EEB" w:rsidRDefault="00C24176">
      <w:pPr>
        <w:shd w:val="clear" w:color="auto" w:fill="FFFFFF"/>
        <w:spacing w:line="276" w:lineRule="auto"/>
        <w:ind w:right="-220"/>
        <w:rPr>
          <w:rFonts w:ascii="Georgia" w:eastAsia="Georgia" w:hAnsi="Georgia" w:cs="Georgia"/>
          <w:b/>
          <w:bCs/>
          <w:sz w:val="22"/>
          <w:szCs w:val="22"/>
        </w:rPr>
      </w:pPr>
      <w:r>
        <w:rPr>
          <w:rFonts w:ascii="Georgia" w:eastAsia="Georgia" w:hAnsi="Georgia" w:cs="Georgia"/>
          <w:b/>
          <w:bCs/>
          <w:sz w:val="22"/>
          <w:szCs w:val="22"/>
        </w:rPr>
        <w:t>Presidente Comisión Primera</w:t>
      </w:r>
      <w:r>
        <w:rPr>
          <w:rFonts w:ascii="Georgia" w:eastAsia="Georgia" w:hAnsi="Georgia" w:cs="Georgia"/>
          <w:b/>
          <w:bCs/>
          <w:sz w:val="22"/>
          <w:szCs w:val="22"/>
        </w:rPr>
        <w:tab/>
        <w:t xml:space="preserve">       </w:t>
      </w:r>
      <w:r>
        <w:rPr>
          <w:rFonts w:ascii="Georgia" w:eastAsia="Georgia" w:hAnsi="Georgia" w:cs="Georgia"/>
          <w:b/>
          <w:bCs/>
          <w:sz w:val="22"/>
          <w:szCs w:val="22"/>
        </w:rPr>
        <w:tab/>
      </w:r>
      <w:r>
        <w:rPr>
          <w:rFonts w:ascii="Georgia" w:eastAsia="Georgia" w:hAnsi="Georgia" w:cs="Georgia"/>
          <w:b/>
          <w:bCs/>
          <w:sz w:val="22"/>
          <w:szCs w:val="22"/>
        </w:rPr>
        <w:t xml:space="preserve">         </w:t>
      </w:r>
      <w:proofErr w:type="gramStart"/>
      <w:r>
        <w:rPr>
          <w:rFonts w:ascii="Georgia" w:eastAsia="Georgia" w:hAnsi="Georgia" w:cs="Georgia"/>
          <w:b/>
          <w:bCs/>
          <w:sz w:val="22"/>
          <w:szCs w:val="22"/>
        </w:rPr>
        <w:t>Secretaria</w:t>
      </w:r>
      <w:proofErr w:type="gramEnd"/>
      <w:r>
        <w:rPr>
          <w:rFonts w:ascii="Georgia" w:eastAsia="Georgia" w:hAnsi="Georgia" w:cs="Georgia"/>
          <w:b/>
          <w:bCs/>
          <w:sz w:val="22"/>
          <w:szCs w:val="22"/>
        </w:rPr>
        <w:t xml:space="preserve"> Comisión Primera</w:t>
      </w:r>
    </w:p>
    <w:p w14:paraId="2C0970A2" w14:textId="77777777" w:rsidR="006B5EEB" w:rsidRDefault="00C24176">
      <w:pPr>
        <w:shd w:val="clear" w:color="auto" w:fill="FFFFFF"/>
        <w:spacing w:line="276" w:lineRule="auto"/>
        <w:ind w:right="-220"/>
        <w:rPr>
          <w:rFonts w:ascii="Georgia" w:eastAsia="Georgia" w:hAnsi="Georgia" w:cs="Georgia"/>
          <w:b/>
          <w:bCs/>
          <w:sz w:val="22"/>
          <w:szCs w:val="22"/>
        </w:rPr>
      </w:pPr>
      <w:r>
        <w:rPr>
          <w:rFonts w:ascii="Georgia" w:eastAsia="Georgia" w:hAnsi="Georgia" w:cs="Georgia"/>
          <w:b/>
          <w:bCs/>
          <w:sz w:val="22"/>
          <w:szCs w:val="22"/>
        </w:rPr>
        <w:t xml:space="preserve">Cámara de Representantes </w:t>
      </w:r>
    </w:p>
    <w:p w14:paraId="0132C24F" w14:textId="77777777" w:rsidR="006B5EEB" w:rsidRDefault="00C24176">
      <w:pPr>
        <w:shd w:val="clear" w:color="auto" w:fill="FFFFFF"/>
        <w:spacing w:line="276" w:lineRule="auto"/>
        <w:ind w:right="-220"/>
        <w:rPr>
          <w:rFonts w:ascii="Georgia" w:eastAsia="Georgia" w:hAnsi="Georgia" w:cs="Georgia"/>
          <w:sz w:val="22"/>
          <w:szCs w:val="22"/>
        </w:rPr>
      </w:pPr>
      <w:r>
        <w:rPr>
          <w:rFonts w:ascii="Georgia" w:eastAsia="Georgia" w:hAnsi="Georgia" w:cs="Georgia"/>
          <w:sz w:val="22"/>
          <w:szCs w:val="22"/>
        </w:rPr>
        <w:t xml:space="preserve">Ciudad </w:t>
      </w:r>
    </w:p>
    <w:p w14:paraId="135500CE" w14:textId="77777777" w:rsidR="006B5EEB" w:rsidRDefault="006B5EEB">
      <w:pPr>
        <w:tabs>
          <w:tab w:val="left" w:pos="8740"/>
        </w:tabs>
        <w:spacing w:line="276" w:lineRule="auto"/>
        <w:ind w:right="-220"/>
        <w:jc w:val="both"/>
        <w:rPr>
          <w:rFonts w:ascii="Georgia" w:eastAsia="Georgia" w:hAnsi="Georgia" w:cs="Georgia"/>
          <w:sz w:val="22"/>
          <w:szCs w:val="22"/>
        </w:rPr>
      </w:pPr>
    </w:p>
    <w:p w14:paraId="3F0CA9D7" w14:textId="77777777" w:rsidR="006B5EEB" w:rsidRDefault="006B5EEB">
      <w:pPr>
        <w:tabs>
          <w:tab w:val="left" w:pos="8740"/>
        </w:tabs>
        <w:spacing w:line="276" w:lineRule="auto"/>
        <w:ind w:right="-220"/>
        <w:jc w:val="both"/>
        <w:rPr>
          <w:rFonts w:ascii="Georgia" w:eastAsia="Georgia" w:hAnsi="Georgia" w:cs="Georgia"/>
          <w:sz w:val="22"/>
          <w:szCs w:val="22"/>
        </w:rPr>
      </w:pPr>
    </w:p>
    <w:p w14:paraId="63DC7BA0"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C7F9B78" w14:textId="77777777" w:rsidR="006B5EEB" w:rsidRDefault="00C24176">
      <w:pPr>
        <w:tabs>
          <w:tab w:val="left" w:pos="8740"/>
        </w:tabs>
        <w:spacing w:line="276" w:lineRule="auto"/>
        <w:ind w:left="1560" w:right="-220"/>
        <w:jc w:val="both"/>
        <w:rPr>
          <w:rFonts w:ascii="Georgia" w:eastAsia="Georgia" w:hAnsi="Georgia" w:cs="Georgia"/>
          <w:sz w:val="22"/>
          <w:szCs w:val="22"/>
        </w:rPr>
      </w:pPr>
      <w:r>
        <w:rPr>
          <w:rFonts w:ascii="Georgia" w:eastAsia="Georgia" w:hAnsi="Georgia" w:cs="Georgia"/>
          <w:b/>
          <w:bCs/>
          <w:sz w:val="22"/>
          <w:szCs w:val="22"/>
        </w:rPr>
        <w:t>Asunto:</w:t>
      </w:r>
      <w:r>
        <w:rPr>
          <w:rFonts w:ascii="Georgia" w:eastAsia="Georgia" w:hAnsi="Georgia" w:cs="Georgia"/>
          <w:sz w:val="22"/>
          <w:szCs w:val="22"/>
        </w:rPr>
        <w:t xml:space="preserve"> Informe de Ponencia Negativa para primer debate del Proyecto de Ley Estatutaria 348 de 2025 Cámara “Por medio del cual se derogan los artículos 30, 32, 33 y se modifica el pa</w:t>
      </w:r>
      <w:r>
        <w:rPr>
          <w:rFonts w:ascii="Georgia" w:eastAsia="Georgia" w:hAnsi="Georgia" w:cs="Georgia"/>
          <w:sz w:val="22"/>
          <w:szCs w:val="22"/>
        </w:rPr>
        <w:t xml:space="preserve">rágrafo único del artículo 38 de la ley 996 de 2005, por medio de la cual se reglamenta la elección de Presidente de la República, de conformidad con el artículo 152 literal f) de la Constitución Política de Colombia, y de acuerdo con lo establecido en el </w:t>
      </w:r>
      <w:r>
        <w:rPr>
          <w:rFonts w:ascii="Georgia" w:eastAsia="Georgia" w:hAnsi="Georgia" w:cs="Georgia"/>
          <w:sz w:val="22"/>
          <w:szCs w:val="22"/>
        </w:rPr>
        <w:t>Acto Legislativo 02 de 2004, y se dictan otras disposiciones.”</w:t>
      </w:r>
    </w:p>
    <w:p w14:paraId="667C051C" w14:textId="77777777" w:rsidR="006B5EEB" w:rsidRDefault="006B5EEB">
      <w:pPr>
        <w:tabs>
          <w:tab w:val="left" w:pos="8740"/>
        </w:tabs>
        <w:spacing w:line="276" w:lineRule="auto"/>
        <w:ind w:right="-220"/>
        <w:jc w:val="both"/>
        <w:rPr>
          <w:rFonts w:ascii="Georgia" w:eastAsia="Georgia" w:hAnsi="Georgia" w:cs="Georgia"/>
          <w:sz w:val="22"/>
          <w:szCs w:val="22"/>
        </w:rPr>
      </w:pPr>
    </w:p>
    <w:p w14:paraId="3EDCFE0E" w14:textId="77777777" w:rsidR="006B5EEB" w:rsidRDefault="006B5EEB">
      <w:pPr>
        <w:tabs>
          <w:tab w:val="left" w:pos="8740"/>
        </w:tabs>
        <w:spacing w:line="276" w:lineRule="auto"/>
        <w:ind w:right="-220"/>
        <w:jc w:val="both"/>
        <w:rPr>
          <w:rFonts w:ascii="Georgia" w:eastAsia="Georgia" w:hAnsi="Georgia" w:cs="Georgia"/>
          <w:sz w:val="22"/>
          <w:szCs w:val="22"/>
        </w:rPr>
      </w:pPr>
    </w:p>
    <w:p w14:paraId="3F0B34BB"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Cordial saludo,</w:t>
      </w:r>
    </w:p>
    <w:p w14:paraId="2BF2B503" w14:textId="77777777" w:rsidR="006B5EEB" w:rsidRDefault="006B5EEB">
      <w:pPr>
        <w:tabs>
          <w:tab w:val="left" w:pos="8740"/>
        </w:tabs>
        <w:spacing w:line="276" w:lineRule="auto"/>
        <w:ind w:right="-220"/>
        <w:jc w:val="both"/>
        <w:rPr>
          <w:rFonts w:ascii="Georgia" w:eastAsia="Georgia" w:hAnsi="Georgia" w:cs="Georgia"/>
          <w:sz w:val="22"/>
          <w:szCs w:val="22"/>
        </w:rPr>
      </w:pPr>
    </w:p>
    <w:p w14:paraId="19170E15"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En cumplimiento de la designación hecha por la Mesa Directiva de la Comisión Primera Constitucional Permanente de la Cámara de Representantes, y siguiendo los dispuesto en el</w:t>
      </w:r>
      <w:r>
        <w:rPr>
          <w:rFonts w:ascii="Georgia" w:eastAsia="Georgia" w:hAnsi="Georgia" w:cs="Georgia"/>
          <w:sz w:val="22"/>
          <w:szCs w:val="22"/>
        </w:rPr>
        <w:t xml:space="preserve"> artículo 174 de la Ley 5 de 1992, ponemos en consideración el siguiente informe de ponencia negativa para primer debate del Proyecto de Ley Estatutaria de la referencia.</w:t>
      </w:r>
    </w:p>
    <w:p w14:paraId="2483F4E0" w14:textId="77777777" w:rsidR="006B5EEB" w:rsidRDefault="006B5EEB">
      <w:pPr>
        <w:tabs>
          <w:tab w:val="left" w:pos="8740"/>
        </w:tabs>
        <w:spacing w:line="276" w:lineRule="auto"/>
        <w:ind w:right="-220"/>
        <w:jc w:val="both"/>
        <w:rPr>
          <w:rFonts w:ascii="Georgia" w:eastAsia="Georgia" w:hAnsi="Georgia" w:cs="Georgia"/>
          <w:sz w:val="22"/>
          <w:szCs w:val="22"/>
        </w:rPr>
      </w:pPr>
    </w:p>
    <w:p w14:paraId="75560685" w14:textId="77777777" w:rsidR="006B5EEB" w:rsidRDefault="006B5EEB">
      <w:pPr>
        <w:tabs>
          <w:tab w:val="left" w:pos="8740"/>
        </w:tabs>
        <w:spacing w:line="276" w:lineRule="auto"/>
        <w:ind w:right="-220"/>
        <w:jc w:val="both"/>
        <w:rPr>
          <w:rFonts w:ascii="Georgia" w:eastAsia="Georgia" w:hAnsi="Georgia" w:cs="Georgia"/>
          <w:sz w:val="22"/>
          <w:szCs w:val="22"/>
        </w:rPr>
      </w:pPr>
    </w:p>
    <w:p w14:paraId="004511A9" w14:textId="77777777" w:rsidR="006B5EEB" w:rsidRDefault="00C24176">
      <w:pPr>
        <w:tabs>
          <w:tab w:val="left" w:pos="8740"/>
        </w:tabs>
        <w:spacing w:line="276" w:lineRule="auto"/>
        <w:ind w:right="-220"/>
        <w:rPr>
          <w:rFonts w:ascii="Georgia" w:eastAsia="Georgia" w:hAnsi="Georgia" w:cs="Georgia"/>
          <w:sz w:val="22"/>
          <w:szCs w:val="22"/>
        </w:rPr>
      </w:pPr>
      <w:r>
        <w:rPr>
          <w:rFonts w:ascii="Georgia" w:eastAsia="Georgia" w:hAnsi="Georgia" w:cs="Georgia"/>
          <w:sz w:val="22"/>
          <w:szCs w:val="22"/>
        </w:rPr>
        <w:t>Atentamente,</w:t>
      </w:r>
    </w:p>
    <w:p w14:paraId="74C31EE3" w14:textId="77777777" w:rsidR="006B5EEB" w:rsidRDefault="006B5EEB">
      <w:pPr>
        <w:tabs>
          <w:tab w:val="left" w:pos="8740"/>
        </w:tabs>
        <w:spacing w:line="276" w:lineRule="auto"/>
        <w:ind w:right="-220"/>
        <w:rPr>
          <w:rFonts w:ascii="Georgia" w:eastAsia="Georgia" w:hAnsi="Georgia" w:cs="Georgia"/>
          <w:sz w:val="22"/>
          <w:szCs w:val="22"/>
        </w:rPr>
      </w:pPr>
    </w:p>
    <w:p w14:paraId="7C84E7E5" w14:textId="77777777" w:rsidR="006B5EEB" w:rsidRDefault="006B5EEB">
      <w:pPr>
        <w:tabs>
          <w:tab w:val="left" w:pos="8740"/>
        </w:tabs>
        <w:spacing w:line="276" w:lineRule="auto"/>
        <w:ind w:right="-220"/>
        <w:jc w:val="both"/>
        <w:rPr>
          <w:rFonts w:ascii="Georgia" w:eastAsia="Georgia" w:hAnsi="Georgia" w:cs="Georgia"/>
          <w:sz w:val="22"/>
          <w:szCs w:val="22"/>
        </w:rPr>
      </w:pPr>
    </w:p>
    <w:p w14:paraId="11C126F8" w14:textId="77777777" w:rsidR="006B5EEB" w:rsidRDefault="006B5EEB">
      <w:pPr>
        <w:tabs>
          <w:tab w:val="left" w:pos="8740"/>
        </w:tabs>
        <w:spacing w:line="276" w:lineRule="auto"/>
        <w:ind w:right="-220"/>
        <w:jc w:val="both"/>
        <w:rPr>
          <w:rFonts w:ascii="Georgia" w:eastAsia="Georgia" w:hAnsi="Georgia" w:cs="Georgia"/>
          <w:sz w:val="22"/>
          <w:szCs w:val="22"/>
        </w:rPr>
      </w:pPr>
    </w:p>
    <w:p w14:paraId="3A00A56D"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ALIRIO URIBE MUÑOZ </w:t>
      </w:r>
      <w:r>
        <w:rPr>
          <w:rFonts w:ascii="Georgia" w:eastAsia="Georgia" w:hAnsi="Georgia" w:cs="Georgia"/>
          <w:b/>
          <w:bCs/>
          <w:sz w:val="22"/>
          <w:szCs w:val="22"/>
        </w:rPr>
        <w:t xml:space="preserve">                                       SANTIAGO OSORIO MARÍN                               </w:t>
      </w:r>
    </w:p>
    <w:p w14:paraId="45D71C51"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Representante a la Cámara                                 Representante a la Cámara </w:t>
      </w:r>
    </w:p>
    <w:p w14:paraId="68662178"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w:t>
      </w:r>
      <w:r>
        <w:rPr>
          <w:rFonts w:ascii="Georgia" w:eastAsia="Georgia" w:hAnsi="Georgia" w:cs="Georgia"/>
          <w:b/>
          <w:bCs/>
          <w:sz w:val="22"/>
          <w:szCs w:val="22"/>
        </w:rPr>
        <w:t>onente</w:t>
      </w:r>
      <w:proofErr w:type="spellEnd"/>
      <w:r>
        <w:rPr>
          <w:rFonts w:ascii="Georgia" w:eastAsia="Georgia" w:hAnsi="Georgia" w:cs="Georgia"/>
          <w:b/>
          <w:bCs/>
          <w:sz w:val="22"/>
          <w:szCs w:val="22"/>
        </w:rPr>
        <w:t xml:space="preserve"> </w:t>
      </w:r>
    </w:p>
    <w:p w14:paraId="311EF4D3"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8A7DA92" w14:textId="77777777" w:rsidR="00965996" w:rsidRDefault="00965996">
      <w:pPr>
        <w:tabs>
          <w:tab w:val="left" w:pos="8740"/>
        </w:tabs>
        <w:spacing w:line="276" w:lineRule="auto"/>
        <w:ind w:right="-220"/>
        <w:jc w:val="both"/>
        <w:rPr>
          <w:rFonts w:ascii="Georgia" w:eastAsia="Georgia" w:hAnsi="Georgia" w:cs="Georgia"/>
          <w:b/>
          <w:bCs/>
          <w:sz w:val="22"/>
          <w:szCs w:val="22"/>
        </w:rPr>
      </w:pPr>
    </w:p>
    <w:p w14:paraId="0C7494D8"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F7EDCD6"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0EAEAAF"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LUIS ALBERTO ALBÁN                                        ANA PAOLA GARCIA</w:t>
      </w:r>
    </w:p>
    <w:p w14:paraId="7F3A3FF8"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Representante a la Cámara                                 Representante a la Cámara</w:t>
      </w:r>
    </w:p>
    <w:p w14:paraId="78B50BCB"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Ponente</w:t>
      </w:r>
      <w:proofErr w:type="spellEnd"/>
    </w:p>
    <w:p w14:paraId="549270F1"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103B3AE"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610E3CA"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0FFA47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4A5501CF"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HERNÁN DARÍO CADAVID                                JULIO CÉSAR TRIANA QUINTERO</w:t>
      </w:r>
    </w:p>
    <w:p w14:paraId="3A332BDB"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Representante a la Cámara                                 Representante a la Cámara </w:t>
      </w:r>
    </w:p>
    <w:p w14:paraId="5826393D"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Ponente</w:t>
      </w:r>
      <w:proofErr w:type="spellEnd"/>
    </w:p>
    <w:p w14:paraId="4D6EBA57"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BEF8C00"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FDAA129"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1656E79"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4B4BE3D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97148D6"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MARELEN CASTILLO TORRES                        JUAN CARLOS WILLS OSPINA</w:t>
      </w:r>
    </w:p>
    <w:p w14:paraId="4A041262" w14:textId="77777777" w:rsidR="006B5EEB" w:rsidRDefault="00C24176">
      <w:pPr>
        <w:tabs>
          <w:tab w:val="left" w:pos="8740"/>
        </w:tabs>
        <w:spacing w:line="276" w:lineRule="auto"/>
        <w:ind w:right="-220"/>
        <w:jc w:val="both"/>
      </w:pPr>
      <w:r>
        <w:rPr>
          <w:rFonts w:ascii="Georgia" w:eastAsia="Georgia" w:hAnsi="Georgia" w:cs="Georgia"/>
          <w:b/>
          <w:bCs/>
          <w:sz w:val="22"/>
          <w:szCs w:val="22"/>
        </w:rPr>
        <w:t xml:space="preserve">Representante a la Cámara                                Representante a la Cámara </w:t>
      </w:r>
    </w:p>
    <w:p w14:paraId="19420EDF"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Ponente</w:t>
      </w:r>
      <w:proofErr w:type="spellEnd"/>
    </w:p>
    <w:p w14:paraId="16414F9D"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2980244"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C9BC86F"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F655371"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D3EFF79"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4DBB4AD"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ORLANDO CASTILLO ADVÍNCULA               ÓSCAR HERNÁN SÁNCHEZ LEÓN</w:t>
      </w:r>
    </w:p>
    <w:p w14:paraId="1BAF2418"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Representante a la Cámara                                Representante a la Cámara </w:t>
      </w:r>
    </w:p>
    <w:p w14:paraId="29087EFE"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r>
        <w:rPr>
          <w:rFonts w:ascii="Georgia" w:eastAsia="Georgia" w:hAnsi="Georgia" w:cs="Georgia"/>
          <w:b/>
          <w:bCs/>
          <w:sz w:val="22"/>
          <w:szCs w:val="22"/>
        </w:rPr>
        <w:t xml:space="preserve">                                                              </w:t>
      </w:r>
      <w:proofErr w:type="spellStart"/>
      <w:r>
        <w:rPr>
          <w:rFonts w:ascii="Georgia" w:eastAsia="Georgia" w:hAnsi="Georgia" w:cs="Georgia"/>
          <w:b/>
          <w:bCs/>
          <w:sz w:val="22"/>
          <w:szCs w:val="22"/>
        </w:rPr>
        <w:t>Ponente</w:t>
      </w:r>
      <w:proofErr w:type="spellEnd"/>
    </w:p>
    <w:p w14:paraId="45FC9AAF"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06C6FF33"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B38EFEB"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258BA2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0EB25D7"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8178CAF"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A7CFEC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846CCAB"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F2694B0"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622F23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5B3E0E2"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0C705F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E3C6942"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E9F0056"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4DCCAB7"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0559C8D8"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07AAB5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D0BC3CE"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7638D34"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12CD5CA" w14:textId="77777777" w:rsidR="006B5EEB" w:rsidRDefault="00C24176">
      <w:pPr>
        <w:tabs>
          <w:tab w:val="left" w:pos="8740"/>
        </w:tabs>
        <w:spacing w:line="276" w:lineRule="auto"/>
        <w:ind w:right="-220"/>
        <w:jc w:val="center"/>
        <w:rPr>
          <w:rFonts w:ascii="Georgia" w:eastAsia="Georgia" w:hAnsi="Georgia" w:cs="Georgia"/>
          <w:b/>
          <w:bCs/>
          <w:sz w:val="22"/>
          <w:szCs w:val="22"/>
        </w:rPr>
      </w:pPr>
      <w:r>
        <w:rPr>
          <w:rFonts w:ascii="Georgia" w:eastAsia="Georgia" w:hAnsi="Georgia" w:cs="Georgia"/>
          <w:b/>
          <w:bCs/>
          <w:sz w:val="22"/>
          <w:szCs w:val="22"/>
        </w:rPr>
        <w:lastRenderedPageBreak/>
        <w:t>INFORME DE PONENCIA NEGATIVA AL PROYECTO DE LEY ESTATUTARIA No. 348 DE 2025 CÁMARA</w:t>
      </w:r>
    </w:p>
    <w:p w14:paraId="20126E51" w14:textId="77777777" w:rsidR="006B5EEB" w:rsidRDefault="006B5EEB">
      <w:pPr>
        <w:tabs>
          <w:tab w:val="left" w:pos="8740"/>
        </w:tabs>
        <w:spacing w:line="276" w:lineRule="auto"/>
        <w:ind w:right="-220"/>
        <w:jc w:val="center"/>
        <w:rPr>
          <w:rFonts w:ascii="Georgia" w:eastAsia="Georgia" w:hAnsi="Georgia" w:cs="Georgia"/>
          <w:b/>
          <w:bCs/>
          <w:sz w:val="22"/>
          <w:szCs w:val="22"/>
        </w:rPr>
      </w:pPr>
    </w:p>
    <w:p w14:paraId="7E1EDB49" w14:textId="77777777" w:rsidR="006B5EEB" w:rsidRDefault="00C24176">
      <w:pPr>
        <w:tabs>
          <w:tab w:val="left" w:pos="8740"/>
        </w:tabs>
        <w:spacing w:line="276" w:lineRule="auto"/>
        <w:ind w:right="-220"/>
        <w:jc w:val="center"/>
        <w:rPr>
          <w:rFonts w:ascii="Georgia" w:eastAsia="Georgia" w:hAnsi="Georgia" w:cs="Georgia"/>
          <w:b/>
          <w:bCs/>
          <w:i/>
          <w:iCs/>
          <w:sz w:val="22"/>
          <w:szCs w:val="22"/>
        </w:rPr>
      </w:pPr>
      <w:r>
        <w:rPr>
          <w:rFonts w:ascii="Georgia" w:eastAsia="Georgia" w:hAnsi="Georgia" w:cs="Georgia"/>
          <w:b/>
          <w:bCs/>
          <w:i/>
          <w:iCs/>
          <w:sz w:val="22"/>
          <w:szCs w:val="22"/>
        </w:rPr>
        <w:t xml:space="preserve">“Por medio del cual se derogan los artículos 30, 32, 33 y se modifica el parágrafo único del artículo 38 de la ley 996 de 2005, por medio de la cual se reglamenta la elección de </w:t>
      </w:r>
      <w:proofErr w:type="gramStart"/>
      <w:r>
        <w:rPr>
          <w:rFonts w:ascii="Georgia" w:eastAsia="Georgia" w:hAnsi="Georgia" w:cs="Georgia"/>
          <w:b/>
          <w:bCs/>
          <w:i/>
          <w:iCs/>
          <w:sz w:val="22"/>
          <w:szCs w:val="22"/>
        </w:rPr>
        <w:t>Presidente</w:t>
      </w:r>
      <w:proofErr w:type="gramEnd"/>
      <w:r>
        <w:rPr>
          <w:rFonts w:ascii="Georgia" w:eastAsia="Georgia" w:hAnsi="Georgia" w:cs="Georgia"/>
          <w:b/>
          <w:bCs/>
          <w:i/>
          <w:iCs/>
          <w:sz w:val="22"/>
          <w:szCs w:val="22"/>
        </w:rPr>
        <w:t xml:space="preserve"> de la República, de conformidad con el artículo 152 literal f) de l</w:t>
      </w:r>
      <w:r>
        <w:rPr>
          <w:rFonts w:ascii="Georgia" w:eastAsia="Georgia" w:hAnsi="Georgia" w:cs="Georgia"/>
          <w:b/>
          <w:bCs/>
          <w:i/>
          <w:iCs/>
          <w:sz w:val="22"/>
          <w:szCs w:val="22"/>
        </w:rPr>
        <w:t>a Constitución Política de Colombia, y de acuerdo con lo establecido en el Acto Legislativo 02 de 2004, y se dictan otras disposiciones.”</w:t>
      </w:r>
    </w:p>
    <w:p w14:paraId="00CF72C3" w14:textId="77777777" w:rsidR="006B5EEB" w:rsidRDefault="006B5EEB">
      <w:pPr>
        <w:tabs>
          <w:tab w:val="left" w:pos="8740"/>
        </w:tabs>
        <w:spacing w:line="276" w:lineRule="auto"/>
        <w:ind w:right="-220"/>
        <w:rPr>
          <w:rFonts w:ascii="Georgia" w:eastAsia="Georgia" w:hAnsi="Georgia" w:cs="Georgia"/>
          <w:b/>
          <w:bCs/>
          <w:sz w:val="22"/>
          <w:szCs w:val="22"/>
        </w:rPr>
      </w:pPr>
    </w:p>
    <w:p w14:paraId="31726467" w14:textId="77777777" w:rsidR="006B5EEB" w:rsidRDefault="006B5EEB">
      <w:pPr>
        <w:tabs>
          <w:tab w:val="left" w:pos="8740"/>
        </w:tabs>
        <w:spacing w:line="276" w:lineRule="auto"/>
        <w:ind w:right="-220"/>
        <w:rPr>
          <w:rFonts w:ascii="Georgia" w:eastAsia="Georgia" w:hAnsi="Georgia" w:cs="Georgia"/>
          <w:b/>
          <w:bCs/>
          <w:sz w:val="22"/>
          <w:szCs w:val="22"/>
        </w:rPr>
      </w:pPr>
    </w:p>
    <w:p w14:paraId="0C829ACA" w14:textId="77777777" w:rsidR="006B5EEB" w:rsidRDefault="00C24176">
      <w:pPr>
        <w:numPr>
          <w:ilvl w:val="0"/>
          <w:numId w:val="2"/>
        </w:numPr>
        <w:tabs>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Antecedentes del Proyecto de Ley</w:t>
      </w:r>
    </w:p>
    <w:p w14:paraId="0978EE6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F5F5572" w14:textId="77777777" w:rsidR="006B5EEB" w:rsidRDefault="00C24176">
      <w:pPr>
        <w:tabs>
          <w:tab w:val="left" w:pos="8740"/>
        </w:tabs>
        <w:spacing w:after="160" w:line="276" w:lineRule="auto"/>
        <w:ind w:right="-220"/>
        <w:jc w:val="both"/>
        <w:rPr>
          <w:rFonts w:ascii="Georgia" w:eastAsia="Georgia" w:hAnsi="Georgia" w:cs="Georgia"/>
          <w:sz w:val="22"/>
          <w:szCs w:val="22"/>
        </w:rPr>
      </w:pPr>
      <w:r>
        <w:rPr>
          <w:rFonts w:ascii="Georgia" w:eastAsia="Georgia" w:hAnsi="Georgia" w:cs="Georgia"/>
          <w:sz w:val="22"/>
          <w:szCs w:val="22"/>
        </w:rPr>
        <w:t>El 17 de septiembre de 2025 se radicó en la Cámara de Representantes el Proyecto d</w:t>
      </w:r>
      <w:r>
        <w:rPr>
          <w:rFonts w:ascii="Georgia" w:eastAsia="Georgia" w:hAnsi="Georgia" w:cs="Georgia"/>
          <w:sz w:val="22"/>
          <w:szCs w:val="22"/>
        </w:rPr>
        <w:t xml:space="preserve">e Ley 348 de 2025 </w:t>
      </w:r>
      <w:proofErr w:type="spellStart"/>
      <w:r>
        <w:rPr>
          <w:rFonts w:ascii="Georgia" w:eastAsia="Georgia" w:hAnsi="Georgia" w:cs="Georgia"/>
          <w:sz w:val="22"/>
          <w:szCs w:val="22"/>
        </w:rPr>
        <w:t>Cámara,“Por</w:t>
      </w:r>
      <w:proofErr w:type="spellEnd"/>
      <w:r>
        <w:rPr>
          <w:rFonts w:ascii="Georgia" w:eastAsia="Georgia" w:hAnsi="Georgia" w:cs="Georgia"/>
          <w:sz w:val="22"/>
          <w:szCs w:val="22"/>
        </w:rPr>
        <w:t xml:space="preserve"> medio del cual se derogan los artículos 30, 32, 33 y se modifica el parágrafo único del artículo 38 de la ley 996 de 2005, por medio de la cual se reglamenta la elección de Presidente de la República, de conformidad con el art</w:t>
      </w:r>
      <w:r>
        <w:rPr>
          <w:rFonts w:ascii="Georgia" w:eastAsia="Georgia" w:hAnsi="Georgia" w:cs="Georgia"/>
          <w:sz w:val="22"/>
          <w:szCs w:val="22"/>
        </w:rPr>
        <w:t xml:space="preserve">ículo 152 literal f) de la Constitución Política de Colombia, y de acuerdo con lo establecido en el Acto Legislativo 02 de 2004, y se dictan otras disposiciones.”. </w:t>
      </w:r>
    </w:p>
    <w:p w14:paraId="075E056B" w14:textId="77777777" w:rsidR="006B5EEB" w:rsidRDefault="00C24176">
      <w:pPr>
        <w:tabs>
          <w:tab w:val="left" w:pos="8740"/>
        </w:tabs>
        <w:spacing w:after="160" w:line="276" w:lineRule="auto"/>
        <w:ind w:right="-220"/>
        <w:jc w:val="both"/>
        <w:rPr>
          <w:rFonts w:ascii="Georgia" w:eastAsia="Georgia" w:hAnsi="Georgia" w:cs="Georgia"/>
          <w:b/>
          <w:bCs/>
          <w:sz w:val="22"/>
          <w:szCs w:val="22"/>
        </w:rPr>
      </w:pPr>
      <w:r>
        <w:rPr>
          <w:rFonts w:ascii="Georgia" w:eastAsia="Georgia" w:hAnsi="Georgia" w:cs="Georgia"/>
          <w:sz w:val="22"/>
          <w:szCs w:val="22"/>
        </w:rPr>
        <w:t xml:space="preserve">La iniciativa fue presentada por los Honorables Representantes: </w:t>
      </w:r>
      <w:hyperlink r:id="rId8">
        <w:r>
          <w:rPr>
            <w:rFonts w:ascii="Georgia" w:eastAsia="Georgia" w:hAnsi="Georgia" w:cs="Georgia"/>
            <w:sz w:val="22"/>
            <w:szCs w:val="22"/>
          </w:rPr>
          <w:t>Aníbal Gustavo Hoyos Franco</w:t>
        </w:r>
      </w:hyperlink>
      <w:r>
        <w:rPr>
          <w:rFonts w:ascii="Georgia" w:eastAsia="Georgia" w:hAnsi="Georgia" w:cs="Georgia"/>
          <w:sz w:val="22"/>
          <w:szCs w:val="22"/>
        </w:rPr>
        <w:t xml:space="preserve">, </w:t>
      </w:r>
      <w:hyperlink r:id="rId9">
        <w:r>
          <w:rPr>
            <w:rFonts w:ascii="Georgia" w:eastAsia="Georgia" w:hAnsi="Georgia" w:cs="Georgia"/>
            <w:sz w:val="22"/>
            <w:szCs w:val="22"/>
          </w:rPr>
          <w:t>Flora Perdomo Andrade</w:t>
        </w:r>
      </w:hyperlink>
      <w:r>
        <w:rPr>
          <w:rFonts w:ascii="Georgia" w:eastAsia="Georgia" w:hAnsi="Georgia" w:cs="Georgia"/>
          <w:sz w:val="22"/>
          <w:szCs w:val="22"/>
        </w:rPr>
        <w:t xml:space="preserve">, </w:t>
      </w:r>
      <w:hyperlink r:id="rId10">
        <w:r>
          <w:rPr>
            <w:rFonts w:ascii="Georgia" w:eastAsia="Georgia" w:hAnsi="Georgia" w:cs="Georgia"/>
            <w:sz w:val="22"/>
            <w:szCs w:val="22"/>
          </w:rPr>
          <w:t>Germán Rogelio Rozo Anís</w:t>
        </w:r>
      </w:hyperlink>
      <w:r>
        <w:rPr>
          <w:rFonts w:ascii="Georgia" w:eastAsia="Georgia" w:hAnsi="Georgia" w:cs="Georgia"/>
          <w:sz w:val="22"/>
          <w:szCs w:val="22"/>
        </w:rPr>
        <w:t xml:space="preserve">, </w:t>
      </w:r>
      <w:hyperlink r:id="rId11">
        <w:r>
          <w:rPr>
            <w:rFonts w:ascii="Georgia" w:eastAsia="Georgia" w:hAnsi="Georgia" w:cs="Georgia"/>
            <w:sz w:val="22"/>
            <w:szCs w:val="22"/>
          </w:rPr>
          <w:t>Gilma Díaz Arias</w:t>
        </w:r>
      </w:hyperlink>
      <w:r>
        <w:rPr>
          <w:rFonts w:ascii="Georgia" w:eastAsia="Georgia" w:hAnsi="Georgia" w:cs="Georgia"/>
          <w:sz w:val="22"/>
          <w:szCs w:val="22"/>
        </w:rPr>
        <w:t xml:space="preserve">, </w:t>
      </w:r>
      <w:hyperlink r:id="rId12">
        <w:r>
          <w:rPr>
            <w:rFonts w:ascii="Georgia" w:eastAsia="Georgia" w:hAnsi="Georgia" w:cs="Georgia"/>
            <w:sz w:val="22"/>
            <w:szCs w:val="22"/>
          </w:rPr>
          <w:t>José Octavio Cardona</w:t>
        </w:r>
        <w:r>
          <w:rPr>
            <w:rFonts w:ascii="Georgia" w:eastAsia="Georgia" w:hAnsi="Georgia" w:cs="Georgia"/>
            <w:sz w:val="22"/>
            <w:szCs w:val="22"/>
          </w:rPr>
          <w:t xml:space="preserve"> León</w:t>
        </w:r>
      </w:hyperlink>
      <w:r>
        <w:rPr>
          <w:rFonts w:ascii="Georgia" w:eastAsia="Georgia" w:hAnsi="Georgia" w:cs="Georgia"/>
          <w:sz w:val="22"/>
          <w:szCs w:val="22"/>
        </w:rPr>
        <w:t xml:space="preserve">, </w:t>
      </w:r>
      <w:hyperlink r:id="rId13">
        <w:r>
          <w:rPr>
            <w:rFonts w:ascii="Georgia" w:eastAsia="Georgia" w:hAnsi="Georgia" w:cs="Georgia"/>
            <w:sz w:val="22"/>
            <w:szCs w:val="22"/>
          </w:rPr>
          <w:t>Olga Lucía Velásquez Nieto</w:t>
        </w:r>
      </w:hyperlink>
      <w:r>
        <w:rPr>
          <w:rFonts w:ascii="Georgia" w:eastAsia="Georgia" w:hAnsi="Georgia" w:cs="Georgia"/>
          <w:sz w:val="22"/>
          <w:szCs w:val="22"/>
        </w:rPr>
        <w:t xml:space="preserve"> y se remitió a la Comisión Primera Constitucional de la Cámara de Representantes para su debate. Posteriormente, mediante el oficio CP</w:t>
      </w:r>
      <w:r>
        <w:rPr>
          <w:rFonts w:ascii="Georgia" w:eastAsia="Georgia" w:hAnsi="Georgia" w:cs="Georgia"/>
          <w:sz w:val="22"/>
          <w:szCs w:val="22"/>
        </w:rPr>
        <w:t xml:space="preserve">CP 3.1-494-2025 del 29 de octubre de 2025, la Mesa Directiva de la Comisión Primera de Cámara de Representantes designó como ponentes a los Representantes: Óscar Hernán Sánchez León, Alirio Uribe Muñoz, Juan Carlos </w:t>
      </w:r>
      <w:proofErr w:type="spellStart"/>
      <w:r>
        <w:rPr>
          <w:rFonts w:ascii="Georgia" w:eastAsia="Georgia" w:hAnsi="Georgia" w:cs="Georgia"/>
          <w:sz w:val="22"/>
          <w:szCs w:val="22"/>
        </w:rPr>
        <w:t>Wills</w:t>
      </w:r>
      <w:proofErr w:type="spellEnd"/>
      <w:r>
        <w:rPr>
          <w:rFonts w:ascii="Georgia" w:eastAsia="Georgia" w:hAnsi="Georgia" w:cs="Georgia"/>
          <w:sz w:val="22"/>
          <w:szCs w:val="22"/>
        </w:rPr>
        <w:t xml:space="preserve"> Ospina, Santiago Osorio Marín, Juli</w:t>
      </w:r>
      <w:r>
        <w:rPr>
          <w:rFonts w:ascii="Georgia" w:eastAsia="Georgia" w:hAnsi="Georgia" w:cs="Georgia"/>
          <w:sz w:val="22"/>
          <w:szCs w:val="22"/>
        </w:rPr>
        <w:t xml:space="preserve">o Cesar Triana Quintero, Ana Paola García Soto, Hernán Darío Cadavid Márquez, Orlando Castillo Advíncula, </w:t>
      </w:r>
      <w:proofErr w:type="spellStart"/>
      <w:r>
        <w:rPr>
          <w:rFonts w:ascii="Georgia" w:eastAsia="Georgia" w:hAnsi="Georgia" w:cs="Georgia"/>
          <w:sz w:val="22"/>
          <w:szCs w:val="22"/>
        </w:rPr>
        <w:t>Marelen</w:t>
      </w:r>
      <w:proofErr w:type="spellEnd"/>
      <w:r>
        <w:rPr>
          <w:rFonts w:ascii="Georgia" w:eastAsia="Georgia" w:hAnsi="Georgia" w:cs="Georgia"/>
          <w:sz w:val="22"/>
          <w:szCs w:val="22"/>
        </w:rPr>
        <w:t xml:space="preserve"> Castillo Torres y Luis Alberto Alban Urbano. </w:t>
      </w:r>
    </w:p>
    <w:p w14:paraId="3D0293A4" w14:textId="77777777" w:rsidR="006B5EEB" w:rsidRDefault="006B5EEB">
      <w:pPr>
        <w:tabs>
          <w:tab w:val="left" w:pos="8740"/>
        </w:tabs>
        <w:spacing w:line="276" w:lineRule="auto"/>
        <w:ind w:right="-220"/>
        <w:jc w:val="both"/>
        <w:rPr>
          <w:rFonts w:ascii="Georgia" w:eastAsia="Georgia" w:hAnsi="Georgia" w:cs="Georgia"/>
          <w:sz w:val="22"/>
          <w:szCs w:val="22"/>
        </w:rPr>
      </w:pPr>
    </w:p>
    <w:p w14:paraId="26E6D624" w14:textId="77777777" w:rsidR="006B5EEB" w:rsidRDefault="00C24176">
      <w:pPr>
        <w:numPr>
          <w:ilvl w:val="0"/>
          <w:numId w:val="2"/>
        </w:numPr>
        <w:tabs>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Objeto del Proyecto de Ley </w:t>
      </w:r>
    </w:p>
    <w:p w14:paraId="00B1FB93" w14:textId="77777777" w:rsidR="006B5EEB" w:rsidRDefault="006B5EEB">
      <w:pPr>
        <w:tabs>
          <w:tab w:val="left" w:pos="8740"/>
        </w:tabs>
        <w:spacing w:line="276" w:lineRule="auto"/>
        <w:ind w:left="60" w:right="-220"/>
        <w:jc w:val="both"/>
        <w:rPr>
          <w:rFonts w:ascii="Georgia" w:eastAsia="Georgia" w:hAnsi="Georgia" w:cs="Georgia"/>
          <w:b/>
          <w:bCs/>
          <w:sz w:val="22"/>
          <w:szCs w:val="22"/>
        </w:rPr>
      </w:pPr>
    </w:p>
    <w:p w14:paraId="470CD75F"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El Proyecto de Ley Estatutaria tiene por objeto amparar el cumplim</w:t>
      </w:r>
      <w:r>
        <w:rPr>
          <w:rFonts w:ascii="Georgia" w:eastAsia="Georgia" w:hAnsi="Georgia" w:cs="Georgia"/>
          <w:sz w:val="22"/>
          <w:szCs w:val="22"/>
        </w:rPr>
        <w:t xml:space="preserve">iento de los fines y cometidos estatales, a través del ejercicio habitual y corriente de la función pública en condiciones de eficiencia, y eficacia, en tiempos en donde el Estado no puede ser inoperante y pausado. </w:t>
      </w:r>
    </w:p>
    <w:p w14:paraId="52AF2E5B" w14:textId="77777777" w:rsidR="006B5EEB" w:rsidRDefault="006B5EEB">
      <w:pPr>
        <w:tabs>
          <w:tab w:val="left" w:pos="8740"/>
        </w:tabs>
        <w:spacing w:line="276" w:lineRule="auto"/>
        <w:ind w:right="-220"/>
        <w:jc w:val="both"/>
        <w:rPr>
          <w:rFonts w:ascii="Georgia" w:eastAsia="Georgia" w:hAnsi="Georgia" w:cs="Georgia"/>
          <w:sz w:val="22"/>
          <w:szCs w:val="22"/>
        </w:rPr>
      </w:pPr>
    </w:p>
    <w:p w14:paraId="25922C02" w14:textId="77777777" w:rsidR="006B5EEB" w:rsidRDefault="00C24176">
      <w:pPr>
        <w:numPr>
          <w:ilvl w:val="0"/>
          <w:numId w:val="2"/>
        </w:numPr>
        <w:tabs>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Contenido del Proyecto de Ley </w:t>
      </w:r>
    </w:p>
    <w:p w14:paraId="73AEFF1F"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El proyecto de ley está compuesto por tres artículos:</w:t>
      </w:r>
    </w:p>
    <w:p w14:paraId="1B7E4385"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lastRenderedPageBreak/>
        <w:t>El artículo 1 establece el objeto de la iniciativa, señalando que la finalidad es garantizar que la función pública pueda ejercerse de manera habitual, eficiente y eficaz,</w:t>
      </w:r>
      <w:r>
        <w:rPr>
          <w:rFonts w:ascii="Georgia" w:eastAsia="Georgia" w:hAnsi="Georgia" w:cs="Georgia"/>
          <w:sz w:val="22"/>
          <w:szCs w:val="22"/>
        </w:rPr>
        <w:t xml:space="preserve"> evitando que el Estado se vea limitado o paralizado durante los periodos preelectorales.</w:t>
      </w:r>
    </w:p>
    <w:p w14:paraId="55F11783"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El artículo 2 modifica el artículo 38 de la Ley 996 de 2005, manteniendo las prohibiciones generales para los servidores públicos frente a la participación en polític</w:t>
      </w:r>
      <w:r>
        <w:rPr>
          <w:rFonts w:ascii="Georgia" w:eastAsia="Georgia" w:hAnsi="Georgia" w:cs="Georgia"/>
          <w:sz w:val="22"/>
          <w:szCs w:val="22"/>
        </w:rPr>
        <w:t>a, pero introduciendo ajustes en el parágrafo. Entre ellos, conserva la restricción para que gobernadores, alcaldes y directivos de entidades territoriales no destinen recursos públicos para actividades proselitistas en los cuatro meses anteriores a las el</w:t>
      </w:r>
      <w:r>
        <w:rPr>
          <w:rFonts w:ascii="Georgia" w:eastAsia="Georgia" w:hAnsi="Georgia" w:cs="Georgia"/>
          <w:sz w:val="22"/>
          <w:szCs w:val="22"/>
        </w:rPr>
        <w:t xml:space="preserve">ecciones, pero elimina de las prohibiciones la realización de convenios interadministrativos. </w:t>
      </w:r>
    </w:p>
    <w:p w14:paraId="1D1FE066"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Además, agrega una excepción que permite autorizar el uso de bienes inmuebles públicos para actos políticos, bajo la modalidad de alquiler y mediante la expedici</w:t>
      </w:r>
      <w:r>
        <w:rPr>
          <w:rFonts w:ascii="Georgia" w:eastAsia="Georgia" w:hAnsi="Georgia" w:cs="Georgia"/>
          <w:sz w:val="22"/>
          <w:szCs w:val="22"/>
        </w:rPr>
        <w:t xml:space="preserve">ón previa de acuerdos municipales u ordenanzas departamentales. </w:t>
      </w:r>
    </w:p>
    <w:p w14:paraId="6AF05A6E"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 xml:space="preserve">Finalmente, el artículo 3 establece la vigencia. </w:t>
      </w:r>
    </w:p>
    <w:p w14:paraId="21CA22B4" w14:textId="77777777" w:rsidR="006B5EEB" w:rsidRDefault="00C24176">
      <w:pPr>
        <w:numPr>
          <w:ilvl w:val="0"/>
          <w:numId w:val="2"/>
        </w:numPr>
        <w:tabs>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Consideraciones de la iniciativa </w:t>
      </w:r>
    </w:p>
    <w:p w14:paraId="62A206DD" w14:textId="77777777" w:rsidR="006B5EEB" w:rsidRDefault="006B5EEB">
      <w:pPr>
        <w:tabs>
          <w:tab w:val="left" w:pos="8740"/>
        </w:tabs>
        <w:spacing w:line="276" w:lineRule="auto"/>
        <w:ind w:left="780" w:right="-220"/>
        <w:jc w:val="both"/>
        <w:rPr>
          <w:rFonts w:ascii="Georgia" w:eastAsia="Georgia" w:hAnsi="Georgia" w:cs="Georgia"/>
          <w:sz w:val="22"/>
          <w:szCs w:val="22"/>
        </w:rPr>
      </w:pPr>
    </w:p>
    <w:p w14:paraId="7CEE4451"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los autores de esta iniciativa, el legislador estableció un marco legal, básicamente para las campaña</w:t>
      </w:r>
      <w:r>
        <w:rPr>
          <w:rFonts w:ascii="Georgia" w:eastAsia="Georgia" w:hAnsi="Georgia" w:cs="Georgia"/>
          <w:sz w:val="22"/>
          <w:szCs w:val="22"/>
        </w:rPr>
        <w:t xml:space="preserve">s presidenciales, el cual se extendió a otros cargos de elección popular a través de la ley 996 de 2005 que fue inspirada en el Acto Legislativo 02 de 2004, con el fin de garantizar la igualdad de condiciones entre candidatos, impedir la influencia de los </w:t>
      </w:r>
      <w:r>
        <w:rPr>
          <w:rFonts w:ascii="Georgia" w:eastAsia="Georgia" w:hAnsi="Georgia" w:cs="Georgia"/>
          <w:sz w:val="22"/>
          <w:szCs w:val="22"/>
        </w:rPr>
        <w:t>servidores públicos y asegurar la transparencia del proceso electoral. Esta norma por demás, impone restricciones a la contratación pública, la vinculación de personal a la nómina estatal y el uso de bienes públicos durante los periodos previos a las elecc</w:t>
      </w:r>
      <w:r>
        <w:rPr>
          <w:rFonts w:ascii="Georgia" w:eastAsia="Georgia" w:hAnsi="Georgia" w:cs="Georgia"/>
          <w:sz w:val="22"/>
          <w:szCs w:val="22"/>
        </w:rPr>
        <w:t xml:space="preserve">iones. </w:t>
      </w:r>
    </w:p>
    <w:p w14:paraId="5BBFD72D" w14:textId="77777777" w:rsidR="006B5EEB" w:rsidRDefault="006B5EEB">
      <w:pPr>
        <w:tabs>
          <w:tab w:val="left" w:pos="8740"/>
        </w:tabs>
        <w:spacing w:line="276" w:lineRule="auto"/>
        <w:ind w:right="-220"/>
        <w:jc w:val="both"/>
        <w:rPr>
          <w:rFonts w:ascii="Georgia" w:eastAsia="Georgia" w:hAnsi="Georgia" w:cs="Georgia"/>
          <w:sz w:val="22"/>
          <w:szCs w:val="22"/>
        </w:rPr>
      </w:pPr>
    </w:p>
    <w:p w14:paraId="69AECE02"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El periodo de garantías electorales consagrado en la mencionada ley, actualmente no conserva la impronta que lo inspiró (Acto Legislativo 2 de 2004, hoy derogado). Sin embargo, para los autores, esto establece un periodo de letargo y parálisis adm</w:t>
      </w:r>
      <w:r>
        <w:rPr>
          <w:rFonts w:ascii="Georgia" w:eastAsia="Georgia" w:hAnsi="Georgia" w:cs="Georgia"/>
          <w:sz w:val="22"/>
          <w:szCs w:val="22"/>
        </w:rPr>
        <w:t>inistrativa que soslaya los cometidos y fines estatales, establecidos por el constituyente primario en la Carta Política de 1991.</w:t>
      </w:r>
    </w:p>
    <w:p w14:paraId="72221BCF" w14:textId="77777777" w:rsidR="006B5EEB" w:rsidRDefault="006B5EEB">
      <w:pPr>
        <w:tabs>
          <w:tab w:val="left" w:pos="8740"/>
        </w:tabs>
        <w:spacing w:line="276" w:lineRule="auto"/>
        <w:ind w:right="-220"/>
        <w:jc w:val="both"/>
        <w:rPr>
          <w:rFonts w:ascii="Georgia" w:eastAsia="Georgia" w:hAnsi="Georgia" w:cs="Georgia"/>
          <w:sz w:val="22"/>
          <w:szCs w:val="22"/>
        </w:rPr>
      </w:pPr>
    </w:p>
    <w:p w14:paraId="2191C26C"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Este periodo de hibernación administrativa, denominada así por los autores, impide que el Estado en todos sus niveles, pueda realizar procesos contractuales directos, cuando lo pretendido era que el Candidato – </w:t>
      </w:r>
      <w:proofErr w:type="gramStart"/>
      <w:r>
        <w:rPr>
          <w:rFonts w:ascii="Georgia" w:eastAsia="Georgia" w:hAnsi="Georgia" w:cs="Georgia"/>
          <w:sz w:val="22"/>
          <w:szCs w:val="22"/>
        </w:rPr>
        <w:t>Presidente</w:t>
      </w:r>
      <w:proofErr w:type="gramEnd"/>
      <w:r>
        <w:rPr>
          <w:rFonts w:ascii="Georgia" w:eastAsia="Georgia" w:hAnsi="Georgia" w:cs="Georgia"/>
          <w:sz w:val="22"/>
          <w:szCs w:val="22"/>
        </w:rPr>
        <w:t xml:space="preserve"> tuviese limitadas sus facultades p</w:t>
      </w:r>
      <w:r>
        <w:rPr>
          <w:rFonts w:ascii="Georgia" w:eastAsia="Georgia" w:hAnsi="Georgia" w:cs="Georgia"/>
          <w:sz w:val="22"/>
          <w:szCs w:val="22"/>
        </w:rPr>
        <w:t xml:space="preserve">ara adelantar procesos directos de contratación. </w:t>
      </w:r>
    </w:p>
    <w:p w14:paraId="6FDC6433" w14:textId="77777777" w:rsidR="006B5EEB" w:rsidRDefault="006B5EEB">
      <w:pPr>
        <w:tabs>
          <w:tab w:val="left" w:pos="8740"/>
        </w:tabs>
        <w:spacing w:line="276" w:lineRule="auto"/>
        <w:ind w:right="-220"/>
        <w:jc w:val="both"/>
        <w:rPr>
          <w:rFonts w:ascii="Georgia" w:eastAsia="Georgia" w:hAnsi="Georgia" w:cs="Georgia"/>
          <w:sz w:val="22"/>
          <w:szCs w:val="22"/>
        </w:rPr>
      </w:pPr>
    </w:p>
    <w:p w14:paraId="74FCF6DB"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Ahora bien, en reiterada jurisprudencia la Honorable Corte Constitucional ha expresado que, el test de proporcionalidad permite determinar sí en un estudio hermenéutico existe una finalidad legítima, si la</w:t>
      </w:r>
      <w:r>
        <w:rPr>
          <w:rFonts w:ascii="Georgia" w:eastAsia="Georgia" w:hAnsi="Georgia" w:cs="Georgia"/>
          <w:sz w:val="22"/>
          <w:szCs w:val="22"/>
        </w:rPr>
        <w:t xml:space="preserve"> medida es idónea, necesaria y proporcional en sentido estricto, buscando equilibrar la restricción de un derecho con el beneficio que genera, y evitando afectaciones desproporcionadas a otros principios o derechos constitucionales. </w:t>
      </w:r>
    </w:p>
    <w:p w14:paraId="279712FE"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69C04F3F" w14:textId="77777777" w:rsidR="006B5EEB" w:rsidRDefault="00C24176">
      <w:pPr>
        <w:tabs>
          <w:tab w:val="left" w:pos="8740"/>
        </w:tabs>
        <w:spacing w:line="276" w:lineRule="auto"/>
        <w:ind w:right="-220"/>
        <w:jc w:val="both"/>
        <w:rPr>
          <w:rFonts w:ascii="Georgia" w:eastAsia="Georgia" w:hAnsi="Georgia" w:cs="Georgia"/>
          <w:i/>
          <w:iCs/>
          <w:sz w:val="22"/>
          <w:szCs w:val="22"/>
        </w:rPr>
      </w:pPr>
      <w:r>
        <w:rPr>
          <w:rFonts w:ascii="Georgia" w:eastAsia="Georgia" w:hAnsi="Georgia" w:cs="Georgia"/>
          <w:sz w:val="22"/>
          <w:szCs w:val="22"/>
        </w:rPr>
        <w:lastRenderedPageBreak/>
        <w:t>Dicho ello, para los</w:t>
      </w:r>
      <w:r>
        <w:rPr>
          <w:rFonts w:ascii="Georgia" w:eastAsia="Georgia" w:hAnsi="Georgia" w:cs="Georgia"/>
          <w:sz w:val="22"/>
          <w:szCs w:val="22"/>
        </w:rPr>
        <w:t xml:space="preserve"> autores, no es ajustado al mencionado test de proporcionalidad que la prohibición de contratación directa sea trasladada a los niveles más complejos de la administración pública como departamentos y municipios; cuando en dicho periodo </w:t>
      </w:r>
      <w:proofErr w:type="spellStart"/>
      <w:r>
        <w:rPr>
          <w:rFonts w:ascii="Georgia" w:eastAsia="Georgia" w:hAnsi="Georgia" w:cs="Georgia"/>
          <w:sz w:val="22"/>
          <w:szCs w:val="22"/>
        </w:rPr>
        <w:t>pre-electoral</w:t>
      </w:r>
      <w:proofErr w:type="spellEnd"/>
      <w:r>
        <w:rPr>
          <w:rFonts w:ascii="Georgia" w:eastAsia="Georgia" w:hAnsi="Georgia" w:cs="Georgia"/>
          <w:sz w:val="22"/>
          <w:szCs w:val="22"/>
        </w:rPr>
        <w:t>, tiene</w:t>
      </w:r>
      <w:r>
        <w:rPr>
          <w:rFonts w:ascii="Georgia" w:eastAsia="Georgia" w:hAnsi="Georgia" w:cs="Georgia"/>
          <w:sz w:val="22"/>
          <w:szCs w:val="22"/>
        </w:rPr>
        <w:t>n proscrita la contratación directa indistintamente de la fuente de financiación. En otras palabras, refiere que no pueden ni siquiera contratar directamente con recursos propios de los entes territoriales. Luego entonces, resulta para estas entidades terr</w:t>
      </w:r>
      <w:r>
        <w:rPr>
          <w:rFonts w:ascii="Georgia" w:eastAsia="Georgia" w:hAnsi="Georgia" w:cs="Georgia"/>
          <w:sz w:val="22"/>
          <w:szCs w:val="22"/>
        </w:rPr>
        <w:t xml:space="preserve">itoriales y para sus comunidades un periodo que limita el goce efectivo de sus derechos, incluso más allá de lo que pretendió el legislador, cuando vislumbró que el candidato - </w:t>
      </w:r>
      <w:proofErr w:type="gramStart"/>
      <w:r>
        <w:rPr>
          <w:rFonts w:ascii="Georgia" w:eastAsia="Georgia" w:hAnsi="Georgia" w:cs="Georgia"/>
          <w:sz w:val="22"/>
          <w:szCs w:val="22"/>
        </w:rPr>
        <w:t>Presidente</w:t>
      </w:r>
      <w:proofErr w:type="gramEnd"/>
      <w:r>
        <w:rPr>
          <w:rFonts w:ascii="Georgia" w:eastAsia="Georgia" w:hAnsi="Georgia" w:cs="Georgia"/>
          <w:sz w:val="22"/>
          <w:szCs w:val="22"/>
        </w:rPr>
        <w:t xml:space="preserve"> no se valiera de la contratación directa para eventualmente alterar </w:t>
      </w:r>
      <w:r>
        <w:rPr>
          <w:rFonts w:ascii="Georgia" w:eastAsia="Georgia" w:hAnsi="Georgia" w:cs="Georgia"/>
          <w:sz w:val="22"/>
          <w:szCs w:val="22"/>
        </w:rPr>
        <w:t xml:space="preserve">los procesos eleccionarios, en los que incluso éste podía participar activamente. </w:t>
      </w:r>
      <w:r>
        <w:rPr>
          <w:rFonts w:ascii="Georgia" w:eastAsia="Georgia" w:hAnsi="Georgia" w:cs="Georgia"/>
          <w:i/>
          <w:iCs/>
          <w:sz w:val="22"/>
          <w:szCs w:val="22"/>
        </w:rPr>
        <w:t>(en términos del acto legislativo 2 de 2004, hoy derogado).</w:t>
      </w:r>
    </w:p>
    <w:p w14:paraId="11AD0DD7" w14:textId="77777777" w:rsidR="006B5EEB" w:rsidRDefault="00C24176">
      <w:pPr>
        <w:tabs>
          <w:tab w:val="left" w:pos="8740"/>
        </w:tabs>
        <w:spacing w:line="276" w:lineRule="auto"/>
        <w:ind w:right="-220"/>
        <w:jc w:val="both"/>
        <w:rPr>
          <w:rFonts w:ascii="Georgia" w:eastAsia="Georgia" w:hAnsi="Georgia" w:cs="Georgia"/>
          <w:i/>
          <w:iCs/>
          <w:sz w:val="22"/>
          <w:szCs w:val="22"/>
        </w:rPr>
      </w:pPr>
      <w:r>
        <w:rPr>
          <w:rFonts w:ascii="Georgia" w:eastAsia="Georgia" w:hAnsi="Georgia" w:cs="Georgia"/>
          <w:i/>
          <w:iCs/>
          <w:sz w:val="22"/>
          <w:szCs w:val="22"/>
        </w:rPr>
        <w:t xml:space="preserve"> </w:t>
      </w:r>
    </w:p>
    <w:p w14:paraId="36F89E70"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Adviértase además, que las restricciones en la contratación pueden afectar la ejecución de proyectos y la presta</w:t>
      </w:r>
      <w:r>
        <w:rPr>
          <w:rFonts w:ascii="Georgia" w:eastAsia="Georgia" w:hAnsi="Georgia" w:cs="Georgia"/>
          <w:sz w:val="22"/>
          <w:szCs w:val="22"/>
        </w:rPr>
        <w:t>ción de servicios públicos esenciales, obligando a una planificación que aunque sea cuidadosa y eficiente por las entidades territoriales, en gran medida dependen de transferencias que alteran la planeación financiera de decenas de municipios, que posterio</w:t>
      </w:r>
      <w:r>
        <w:rPr>
          <w:rFonts w:ascii="Georgia" w:eastAsia="Georgia" w:hAnsi="Georgia" w:cs="Georgia"/>
          <w:sz w:val="22"/>
          <w:szCs w:val="22"/>
        </w:rPr>
        <w:t xml:space="preserve">rmente se ven enfrentados a un periodo de prohibición de los procesos contractuales; adicional que como se advirtió líneas arriba, en muchas ocasiones los procesos contractuales, no relacionan fuente de financiación del gobierno central. </w:t>
      </w:r>
    </w:p>
    <w:p w14:paraId="7AE30467"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722CDBD3"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Recordemos la definición de convenio interadministrativo nos brinda la MOE “(…) Acuerdo celebrado entre dos o más entidades estatales para cumplir funciones propias, sin fines comerciales ni ánimo de lucro. No requiere licitación y se basa en el principio </w:t>
      </w:r>
      <w:r>
        <w:rPr>
          <w:rFonts w:ascii="Georgia" w:eastAsia="Georgia" w:hAnsi="Georgia" w:cs="Georgia"/>
          <w:sz w:val="22"/>
          <w:szCs w:val="22"/>
        </w:rPr>
        <w:t>de colaboración entre entidades públicas, siempre que la entidad contratada tenga capacidad técnica y operativa para ejecutar el objeto del contrato (Ley 489 de 1998, art. 95) (…)”.</w:t>
      </w:r>
    </w:p>
    <w:p w14:paraId="3DFA29F5"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41288308"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A su vez Colombia compra eficiente nos dice que “(…) el contrato o el co</w:t>
      </w:r>
      <w:r>
        <w:rPr>
          <w:rFonts w:ascii="Georgia" w:eastAsia="Georgia" w:hAnsi="Georgia" w:cs="Georgia"/>
          <w:sz w:val="22"/>
          <w:szCs w:val="22"/>
        </w:rPr>
        <w:t>nvenio interadministrativo es el acuerdo donde concurre la voluntad de dos o más personas jurídicas de derecho público con la finalidad de cumplir, en el marco de sus objetivos misionales y sus competencias, con los fines del Estado (..)”</w:t>
      </w:r>
    </w:p>
    <w:p w14:paraId="4A379A61"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522A5839"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los autore</w:t>
      </w:r>
      <w:r>
        <w:rPr>
          <w:rFonts w:ascii="Georgia" w:eastAsia="Georgia" w:hAnsi="Georgia" w:cs="Georgia"/>
          <w:sz w:val="22"/>
          <w:szCs w:val="22"/>
        </w:rPr>
        <w:t>s, resulta muy a lugar recordar que, en su momento, la ley 2159 de 2021 estableció la posibilidad de celebrar convenios interadministrativos en época electoral, la del 2022, lo cual plasmó en su artículo 124, el cual quedó así:  ARTÍCULO 124°. Con el propó</w:t>
      </w:r>
      <w:r>
        <w:rPr>
          <w:rFonts w:ascii="Georgia" w:eastAsia="Georgia" w:hAnsi="Georgia" w:cs="Georgia"/>
          <w:sz w:val="22"/>
          <w:szCs w:val="22"/>
        </w:rPr>
        <w:t>sito de promover la reactivación económica y la generación de empleo en las regiones, a partir de la publicación de la presente ley y durante la vigencia fiscal 2022, la Nación podrá celebrar convenios interadministrativos con las entidades territoriales p</w:t>
      </w:r>
      <w:r>
        <w:rPr>
          <w:rFonts w:ascii="Georgia" w:eastAsia="Georgia" w:hAnsi="Georgia" w:cs="Georgia"/>
          <w:sz w:val="22"/>
          <w:szCs w:val="22"/>
        </w:rPr>
        <w:t>ara ejecutar programas y proyectos correspondientes al Presupuesto General de la Nación.</w:t>
      </w:r>
    </w:p>
    <w:p w14:paraId="3D876C82"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0F5A7CFD"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La presente disposición modifica únicamente en la parte pertinente el inciso primero del parágrafo del artículo 38 de la Ley 996 de 2005. </w:t>
      </w:r>
    </w:p>
    <w:p w14:paraId="1D79AD82"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484ED8A0" w14:textId="0E3F3520" w:rsidR="00965996"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lastRenderedPageBreak/>
        <w:t>Esta norma fue demandada</w:t>
      </w:r>
      <w:r>
        <w:rPr>
          <w:rFonts w:ascii="Georgia" w:eastAsia="Georgia" w:hAnsi="Georgia" w:cs="Georgia"/>
          <w:sz w:val="22"/>
          <w:szCs w:val="22"/>
        </w:rPr>
        <w:t xml:space="preserve"> ante la corte constitucional y fue declarada inexequible según Sentencia C-153 de 22, por vicios de procedimiento, especialmente la unidad de materia, toda vez que fue incluida en el contexto de la aprobación de la ley de presupuesto y además porque su tr</w:t>
      </w:r>
      <w:r>
        <w:rPr>
          <w:rFonts w:ascii="Georgia" w:eastAsia="Georgia" w:hAnsi="Georgia" w:cs="Georgia"/>
          <w:sz w:val="22"/>
          <w:szCs w:val="22"/>
        </w:rPr>
        <w:t>ámite fue el propio de una ley ordinaria cuando debió dársele trámite como si fuera una ley estatutaria, lo cual la magistrada y la corte dijeron de esta manera</w:t>
      </w:r>
      <w:r w:rsidR="00965996">
        <w:rPr>
          <w:rFonts w:ascii="Georgia" w:eastAsia="Georgia" w:hAnsi="Georgia" w:cs="Georgia"/>
          <w:sz w:val="22"/>
          <w:szCs w:val="22"/>
        </w:rPr>
        <w:t xml:space="preserve"> </w:t>
      </w:r>
      <w:r>
        <w:rPr>
          <w:rFonts w:ascii="Georgia" w:eastAsia="Georgia" w:hAnsi="Georgia" w:cs="Georgia"/>
          <w:sz w:val="22"/>
          <w:szCs w:val="22"/>
        </w:rPr>
        <w:t>(…).</w:t>
      </w:r>
      <w:r w:rsidR="00965996">
        <w:rPr>
          <w:rFonts w:ascii="Georgia" w:eastAsia="Georgia" w:hAnsi="Georgia" w:cs="Georgia"/>
          <w:sz w:val="22"/>
          <w:szCs w:val="22"/>
        </w:rPr>
        <w:t>”</w:t>
      </w:r>
    </w:p>
    <w:p w14:paraId="4D666297" w14:textId="77777777" w:rsidR="006B5EEB" w:rsidRDefault="006B5EEB">
      <w:pPr>
        <w:tabs>
          <w:tab w:val="left" w:pos="8740"/>
        </w:tabs>
        <w:spacing w:line="276" w:lineRule="auto"/>
        <w:ind w:right="-220"/>
        <w:jc w:val="both"/>
        <w:rPr>
          <w:rFonts w:ascii="Georgia" w:eastAsia="Georgia" w:hAnsi="Georgia" w:cs="Georgia"/>
          <w:sz w:val="22"/>
          <w:szCs w:val="22"/>
        </w:rPr>
      </w:pPr>
    </w:p>
    <w:p w14:paraId="6BE11DAF"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la Sala el parágrafo del artículo 38 de la Ley 996 de 2005, y en particular la pr</w:t>
      </w:r>
      <w:r>
        <w:rPr>
          <w:rFonts w:ascii="Georgia" w:eastAsia="Georgia" w:hAnsi="Georgia" w:cs="Georgia"/>
          <w:sz w:val="22"/>
          <w:szCs w:val="22"/>
        </w:rPr>
        <w:t>ohibición de celebrar convenios interadministrativos para la ejecución de recursos públicos dentro de los cuatro (4) meses anteriores a las elecciones, tiene contenido estatutario. Ello es así a partir del análisis sobre su génesis y de la comprensión de l</w:t>
      </w:r>
      <w:r>
        <w:rPr>
          <w:rFonts w:ascii="Georgia" w:eastAsia="Georgia" w:hAnsi="Georgia" w:cs="Georgia"/>
          <w:sz w:val="22"/>
          <w:szCs w:val="22"/>
        </w:rPr>
        <w:t>as razones que a dicha configuración subyacen. Además de lo anterior, es necesario destacar que tal condición estatutaria no es un asunto novedoso para esta Corte, pues ello ya había sido materia de decisiones previas, como a continuación se expone (…)” Si</w:t>
      </w:r>
      <w:r>
        <w:rPr>
          <w:rFonts w:ascii="Georgia" w:eastAsia="Georgia" w:hAnsi="Georgia" w:cs="Georgia"/>
          <w:sz w:val="22"/>
          <w:szCs w:val="22"/>
        </w:rPr>
        <w:t>gnifica lo dicho que este congreso ha entendido el daño profundo que genera en las entidades territoriales la imposibilidad de celebrar convenios interadministrativos.</w:t>
      </w:r>
    </w:p>
    <w:p w14:paraId="363CB2D1"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51A4D9A9"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En la jurisprudencia antes citada, también se dijo que algunos intervinientes del proc</w:t>
      </w:r>
      <w:r>
        <w:rPr>
          <w:rFonts w:ascii="Georgia" w:eastAsia="Georgia" w:hAnsi="Georgia" w:cs="Georgia"/>
          <w:sz w:val="22"/>
          <w:szCs w:val="22"/>
        </w:rPr>
        <w:t>eso manifestaron que los convenios interadministrativos en época electoral no alteran las condiciones del proceso, pues “(…) suponer en abstracto que la disposición normativa acusada será mal utilizada para generar actos de corrupción, atenta contra el pri</w:t>
      </w:r>
      <w:r>
        <w:rPr>
          <w:rFonts w:ascii="Georgia" w:eastAsia="Georgia" w:hAnsi="Georgia" w:cs="Georgia"/>
          <w:sz w:val="22"/>
          <w:szCs w:val="22"/>
        </w:rPr>
        <w:t>ncipio de presunción de buena fe que rige la conducta de autoridades y particulares (Art. 83 superior (…)”.</w:t>
      </w:r>
    </w:p>
    <w:p w14:paraId="3C3F0B27"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599B9A14"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los autores, la prohibición no afecta realmente a los municipios de primera categoría y ni siquiera a las gobernaciones, pero si golpea a los</w:t>
      </w:r>
      <w:r>
        <w:rPr>
          <w:rFonts w:ascii="Georgia" w:eastAsia="Georgia" w:hAnsi="Georgia" w:cs="Georgia"/>
          <w:sz w:val="22"/>
          <w:szCs w:val="22"/>
        </w:rPr>
        <w:t xml:space="preserve"> municipios de sexta y quinta categoría, incluso a los de cuarta y tercera, que en gran medida dependen del giro de recursos que hacen las gobernaciones y la nación.</w:t>
      </w:r>
    </w:p>
    <w:p w14:paraId="4172D2F9"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6D146EE6"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En medio de esta discusión, para los autores, no puede dejarse de lado las afectaciones </w:t>
      </w:r>
      <w:r>
        <w:rPr>
          <w:rFonts w:ascii="Georgia" w:eastAsia="Georgia" w:hAnsi="Georgia" w:cs="Georgia"/>
          <w:sz w:val="22"/>
          <w:szCs w:val="22"/>
        </w:rPr>
        <w:t>que sufren las entidades adscritas que se ven impedidas para celebrar convenios incluso con el ente al cual pertenecen, lo que resulta inexplicable, pues eso lleva a concluir que la ley considera que un secretario de despacho adscrito a la alcaldía x no pu</w:t>
      </w:r>
      <w:r>
        <w:rPr>
          <w:rFonts w:ascii="Georgia" w:eastAsia="Georgia" w:hAnsi="Georgia" w:cs="Georgia"/>
          <w:sz w:val="22"/>
          <w:szCs w:val="22"/>
        </w:rPr>
        <w:t xml:space="preserve">ede celebrar un convenio interadministrativo con un gerente de una entidad descentralizada adscrita a la misma alcaldía x por temor a que hagan trampa electoral siendo ambos dependientes del alcalde x. </w:t>
      </w:r>
    </w:p>
    <w:p w14:paraId="43EF6298"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51A63091"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De igual manera, el proyecto de ley plantea que se </w:t>
      </w:r>
      <w:r>
        <w:rPr>
          <w:rFonts w:ascii="Georgia" w:eastAsia="Georgia" w:hAnsi="Georgia" w:cs="Georgia"/>
          <w:sz w:val="22"/>
          <w:szCs w:val="22"/>
        </w:rPr>
        <w:t>pueda "prestar" o autorizar el uso de instalaciones públicas, mediante el esquema o modelo de alquiler de espacios tales como colegios, cuando no estén en clases o actividades, lo mismo que coliseos, polideportivos, canchas, salones y otros espacios en los</w:t>
      </w:r>
      <w:r>
        <w:rPr>
          <w:rFonts w:ascii="Georgia" w:eastAsia="Georgia" w:hAnsi="Georgia" w:cs="Georgia"/>
          <w:sz w:val="22"/>
          <w:szCs w:val="22"/>
        </w:rPr>
        <w:t xml:space="preserve"> que se puedan realizar las reuniones, fijando reglas claras de equilibrio e imparcialidad, con cobro de los espacios de ser necesario.</w:t>
      </w:r>
    </w:p>
    <w:p w14:paraId="6FA21239"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37A215F6"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los autores, la democracia y la seguridad de los candidatos y comodidad de los ciudadanos merecen esta modificaci</w:t>
      </w:r>
      <w:r>
        <w:rPr>
          <w:rFonts w:ascii="Georgia" w:eastAsia="Georgia" w:hAnsi="Georgia" w:cs="Georgia"/>
          <w:sz w:val="22"/>
          <w:szCs w:val="22"/>
        </w:rPr>
        <w:t xml:space="preserve">ón, pues el modelo actual lo impide y por eso los ciudadanos que asisten se mojan, se quedan bajo el sol ardiente, deben permanecer de pie, etc., pero lo más </w:t>
      </w:r>
      <w:r>
        <w:rPr>
          <w:rFonts w:ascii="Georgia" w:eastAsia="Georgia" w:hAnsi="Georgia" w:cs="Georgia"/>
          <w:sz w:val="22"/>
          <w:szCs w:val="22"/>
        </w:rPr>
        <w:lastRenderedPageBreak/>
        <w:t xml:space="preserve">grave, les toca presenciar temas tan dolorosos como el atentado a Miguel Uribe, pues es más fácil </w:t>
      </w:r>
      <w:r>
        <w:rPr>
          <w:rFonts w:ascii="Georgia" w:eastAsia="Georgia" w:hAnsi="Georgia" w:cs="Georgia"/>
          <w:sz w:val="22"/>
          <w:szCs w:val="22"/>
        </w:rPr>
        <w:t>proteger un candidato en espacios cerrados que en mitad de la calle.</w:t>
      </w:r>
    </w:p>
    <w:p w14:paraId="60313E94"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 xml:space="preserve"> </w:t>
      </w:r>
    </w:p>
    <w:p w14:paraId="5C3AA727"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Para los autores, en un país con altos niveles de abstención debe procurarse todo tipo de soluciones que permitan e incentiven que los ciudadanos escuchen las propuestas de los candidat</w:t>
      </w:r>
      <w:r>
        <w:rPr>
          <w:rFonts w:ascii="Georgia" w:eastAsia="Georgia" w:hAnsi="Georgia" w:cs="Georgia"/>
          <w:sz w:val="22"/>
          <w:szCs w:val="22"/>
        </w:rPr>
        <w:t xml:space="preserve">os de cara a obtener y lograr que en lo posible la decisión plasmada en el tarjetón esté prevalida de suficiente información para que la opinión prevalezca sobre la dádiva o la oferta, buscando en todo caso que el voto sea cada vez más informado, y eso es </w:t>
      </w:r>
      <w:r>
        <w:rPr>
          <w:rFonts w:ascii="Georgia" w:eastAsia="Georgia" w:hAnsi="Georgia" w:cs="Georgia"/>
          <w:sz w:val="22"/>
          <w:szCs w:val="22"/>
        </w:rPr>
        <w:t>en parte lo que se podría solucionar con la iniciativa planteada.</w:t>
      </w:r>
    </w:p>
    <w:p w14:paraId="512B78E1" w14:textId="77777777" w:rsidR="006B5EEB" w:rsidRDefault="006B5EEB">
      <w:pPr>
        <w:tabs>
          <w:tab w:val="left" w:pos="8740"/>
        </w:tabs>
        <w:spacing w:line="276" w:lineRule="auto"/>
        <w:ind w:right="-220"/>
        <w:jc w:val="both"/>
        <w:rPr>
          <w:rFonts w:ascii="Georgia" w:eastAsia="Georgia" w:hAnsi="Georgia" w:cs="Georgia"/>
          <w:sz w:val="22"/>
          <w:szCs w:val="22"/>
        </w:rPr>
      </w:pPr>
    </w:p>
    <w:p w14:paraId="0BC9374B" w14:textId="77777777" w:rsidR="006B5EEB" w:rsidRDefault="00C24176">
      <w:pPr>
        <w:tabs>
          <w:tab w:val="left" w:pos="8740"/>
        </w:tabs>
        <w:spacing w:line="276" w:lineRule="auto"/>
        <w:ind w:right="-220"/>
        <w:jc w:val="both"/>
        <w:rPr>
          <w:rFonts w:ascii="Georgia" w:eastAsia="Georgia" w:hAnsi="Georgia" w:cs="Georgia"/>
          <w:sz w:val="22"/>
          <w:szCs w:val="22"/>
        </w:rPr>
      </w:pPr>
      <w:r>
        <w:rPr>
          <w:rFonts w:ascii="Georgia" w:eastAsia="Georgia" w:hAnsi="Georgia" w:cs="Georgia"/>
          <w:sz w:val="22"/>
          <w:szCs w:val="22"/>
        </w:rPr>
        <w:t>De esa forma, para los autores, Colombia no puede seguir siendo un modelo democrático en el que cada vez haya más dificultades para el ejercicio de la actividad proselitista, pues lo que se</w:t>
      </w:r>
      <w:r>
        <w:rPr>
          <w:rFonts w:ascii="Georgia" w:eastAsia="Georgia" w:hAnsi="Georgia" w:cs="Georgia"/>
          <w:sz w:val="22"/>
          <w:szCs w:val="22"/>
        </w:rPr>
        <w:t xml:space="preserve"> ha buscado y lo que se ha querido no es ahuyentar al elector, sino más bien atraerlo y acercarlo al candidato. Ningún sentido tiene que los candidatos encuentren serios impedimentos para la realización de reuniones masivas, básicamente por falta de espaci</w:t>
      </w:r>
      <w:r>
        <w:rPr>
          <w:rFonts w:ascii="Georgia" w:eastAsia="Georgia" w:hAnsi="Georgia" w:cs="Georgia"/>
          <w:sz w:val="22"/>
          <w:szCs w:val="22"/>
        </w:rPr>
        <w:t>os y adicionalmente ninguna explicación suficiente se puede dar al hecho de promover un modelo proselitista que solo pueda desarrollarse en las calles, con serias afectaciones a la movilidad, contaminaciones por ruido, exposiciones innecesarias de los cand</w:t>
      </w:r>
      <w:r>
        <w:rPr>
          <w:rFonts w:ascii="Georgia" w:eastAsia="Georgia" w:hAnsi="Georgia" w:cs="Georgia"/>
          <w:sz w:val="22"/>
          <w:szCs w:val="22"/>
        </w:rPr>
        <w:t>idatos en temas de seguridad, incomodidades permanentes para los electores.</w:t>
      </w:r>
    </w:p>
    <w:p w14:paraId="415AECC5" w14:textId="77777777" w:rsidR="006B5EEB" w:rsidRDefault="006B5EEB">
      <w:pPr>
        <w:tabs>
          <w:tab w:val="left" w:pos="8740"/>
        </w:tabs>
        <w:spacing w:line="276" w:lineRule="auto"/>
        <w:ind w:right="-220"/>
        <w:jc w:val="both"/>
        <w:rPr>
          <w:rFonts w:ascii="Georgia" w:eastAsia="Georgia" w:hAnsi="Georgia" w:cs="Georgia"/>
          <w:sz w:val="22"/>
          <w:szCs w:val="22"/>
        </w:rPr>
      </w:pPr>
    </w:p>
    <w:p w14:paraId="583A2811"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sz w:val="22"/>
          <w:szCs w:val="22"/>
        </w:rPr>
        <w:t>Así las cosas, para los autores, con el presente proyecto de ley se pretende conceder eficiencia al Estado en sus diferentes niveles administrativos, de tal suerte que se privileg</w:t>
      </w:r>
      <w:r>
        <w:rPr>
          <w:rFonts w:ascii="Georgia" w:eastAsia="Georgia" w:hAnsi="Georgia" w:cs="Georgia"/>
          <w:sz w:val="22"/>
          <w:szCs w:val="22"/>
        </w:rPr>
        <w:t>ien principios de raigambre constitucional y máximas de estricto cumplimiento.</w:t>
      </w:r>
    </w:p>
    <w:p w14:paraId="4A200099" w14:textId="77777777" w:rsidR="006B5EEB" w:rsidRDefault="006B5EEB">
      <w:pPr>
        <w:tabs>
          <w:tab w:val="left" w:pos="8740"/>
        </w:tabs>
        <w:spacing w:line="276" w:lineRule="auto"/>
        <w:ind w:left="780" w:right="-220"/>
        <w:jc w:val="both"/>
        <w:rPr>
          <w:rFonts w:ascii="Georgia" w:eastAsia="Georgia" w:hAnsi="Georgia" w:cs="Georgia"/>
          <w:b/>
          <w:bCs/>
          <w:sz w:val="22"/>
          <w:szCs w:val="22"/>
        </w:rPr>
      </w:pPr>
    </w:p>
    <w:p w14:paraId="48C3C10D" w14:textId="77777777" w:rsidR="006B5EEB" w:rsidRDefault="00C24176">
      <w:pPr>
        <w:numPr>
          <w:ilvl w:val="0"/>
          <w:numId w:val="2"/>
        </w:num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Razones de la inconveniencia del proyecto de ley</w:t>
      </w:r>
    </w:p>
    <w:p w14:paraId="18D1F6E7"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Tras el estudio del proyecto de ley que pretende modificar el régimen de garantías electorales contenido en el artículo 38 de la Ley 996 de 2005, se recomienda archivar la iniciativa por razones de orden constitucional, jurisprudencial y de conveniencia de</w:t>
      </w:r>
      <w:r>
        <w:rPr>
          <w:rFonts w:ascii="Georgia" w:eastAsia="Georgia" w:hAnsi="Georgia" w:cs="Georgia"/>
          <w:sz w:val="22"/>
          <w:szCs w:val="22"/>
        </w:rPr>
        <w:t>mocrática. En ese orden de ideas, se estudiarán los siguientes aspectos: (i) La prohibición de realizar convenios interadministrativos; (</w:t>
      </w:r>
      <w:proofErr w:type="spellStart"/>
      <w:r>
        <w:rPr>
          <w:rFonts w:ascii="Georgia" w:eastAsia="Georgia" w:hAnsi="Georgia" w:cs="Georgia"/>
          <w:sz w:val="22"/>
          <w:szCs w:val="22"/>
        </w:rPr>
        <w:t>ii</w:t>
      </w:r>
      <w:proofErr w:type="spellEnd"/>
      <w:r>
        <w:rPr>
          <w:rFonts w:ascii="Georgia" w:eastAsia="Georgia" w:hAnsi="Georgia" w:cs="Georgia"/>
          <w:sz w:val="22"/>
          <w:szCs w:val="22"/>
        </w:rPr>
        <w:t>) El uso de bienes públicos en reuniones de carácter proselitista; y (</w:t>
      </w:r>
      <w:proofErr w:type="spellStart"/>
      <w:r>
        <w:rPr>
          <w:rFonts w:ascii="Georgia" w:eastAsia="Georgia" w:hAnsi="Georgia" w:cs="Georgia"/>
          <w:sz w:val="22"/>
          <w:szCs w:val="22"/>
        </w:rPr>
        <w:t>iii</w:t>
      </w:r>
      <w:proofErr w:type="spellEnd"/>
      <w:r>
        <w:rPr>
          <w:rFonts w:ascii="Georgia" w:eastAsia="Georgia" w:hAnsi="Georgia" w:cs="Georgia"/>
          <w:sz w:val="22"/>
          <w:szCs w:val="22"/>
        </w:rPr>
        <w:t>) Vulneración del Principio de Unidad de Mat</w:t>
      </w:r>
      <w:r>
        <w:rPr>
          <w:rFonts w:ascii="Georgia" w:eastAsia="Georgia" w:hAnsi="Georgia" w:cs="Georgia"/>
          <w:sz w:val="22"/>
          <w:szCs w:val="22"/>
        </w:rPr>
        <w:t>eria.</w:t>
      </w:r>
    </w:p>
    <w:p w14:paraId="49F9B3F7" w14:textId="77777777" w:rsidR="006B5EEB" w:rsidRDefault="00C24176">
      <w:pPr>
        <w:numPr>
          <w:ilvl w:val="0"/>
          <w:numId w:val="1"/>
        </w:numPr>
        <w:tabs>
          <w:tab w:val="left" w:pos="8740"/>
        </w:tabs>
        <w:spacing w:before="240" w:after="240" w:line="276" w:lineRule="auto"/>
        <w:ind w:right="-220"/>
        <w:jc w:val="both"/>
        <w:rPr>
          <w:rFonts w:ascii="Georgia" w:eastAsia="Georgia" w:hAnsi="Georgia" w:cs="Georgia"/>
          <w:b/>
          <w:bCs/>
          <w:sz w:val="22"/>
          <w:szCs w:val="22"/>
        </w:rPr>
      </w:pPr>
      <w:r>
        <w:rPr>
          <w:rFonts w:ascii="Georgia" w:eastAsia="Georgia" w:hAnsi="Georgia" w:cs="Georgia"/>
          <w:b/>
          <w:bCs/>
          <w:sz w:val="22"/>
          <w:szCs w:val="22"/>
        </w:rPr>
        <w:t>La prohibición de realizar convenios interadministrativos</w:t>
      </w:r>
    </w:p>
    <w:p w14:paraId="0B79DF7A" w14:textId="29E5B8E9"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El Proyecto de Ley</w:t>
      </w:r>
      <w:r>
        <w:rPr>
          <w:rFonts w:ascii="Georgia" w:eastAsia="Georgia" w:hAnsi="Georgia" w:cs="Georgia"/>
          <w:sz w:val="22"/>
          <w:szCs w:val="22"/>
        </w:rPr>
        <w:t xml:space="preserve"> elimina la prohibición de celebrar convenios interadministrativos durante los cuatro meses previos a las elecciones y habilita, bajo ciertas condiciones, el uso excepcional</w:t>
      </w:r>
      <w:r>
        <w:rPr>
          <w:rFonts w:ascii="Georgia" w:eastAsia="Georgia" w:hAnsi="Georgia" w:cs="Georgia"/>
          <w:sz w:val="22"/>
          <w:szCs w:val="22"/>
        </w:rPr>
        <w:t xml:space="preserve"> de bienes inmuebles públicos para actividades de carácter proselitista. Ambas modificaciones constituyen un retroceso frente a las garantías de transparencia e igualdad que gobiernan la contienda electoral en Colombia y desconocen precedentes claros de la</w:t>
      </w:r>
      <w:r>
        <w:rPr>
          <w:rFonts w:ascii="Georgia" w:eastAsia="Georgia" w:hAnsi="Georgia" w:cs="Georgia"/>
          <w:sz w:val="22"/>
          <w:szCs w:val="22"/>
        </w:rPr>
        <w:t xml:space="preserve"> Corte Constitucional sobre la materia.</w:t>
      </w:r>
    </w:p>
    <w:p w14:paraId="5D7F0F81"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 xml:space="preserve">En primer lugar, la prohibición de celebrar convenios interadministrativos en época preelectoral ha sido reconocida por la Corte Constitucional como un instrumento legítimo y </w:t>
      </w:r>
      <w:r>
        <w:rPr>
          <w:rFonts w:ascii="Georgia" w:eastAsia="Georgia" w:hAnsi="Georgia" w:cs="Georgia"/>
          <w:sz w:val="22"/>
          <w:szCs w:val="22"/>
        </w:rPr>
        <w:lastRenderedPageBreak/>
        <w:t>necesario para asegurar la neutralidad de</w:t>
      </w:r>
      <w:r>
        <w:rPr>
          <w:rFonts w:ascii="Georgia" w:eastAsia="Georgia" w:hAnsi="Georgia" w:cs="Georgia"/>
          <w:sz w:val="22"/>
          <w:szCs w:val="22"/>
        </w:rPr>
        <w:t>l Estado frente a la competencia política. Al estudiar la Ley 996 de 2005, la Corte avaló expresamente estas restricciones y concluyó que el legislador puede limitar la contratación estatal en momentos sensibles del ciclo electoral y no se verán contrariad</w:t>
      </w:r>
      <w:r>
        <w:rPr>
          <w:rFonts w:ascii="Georgia" w:eastAsia="Georgia" w:hAnsi="Georgia" w:cs="Georgia"/>
          <w:sz w:val="22"/>
          <w:szCs w:val="22"/>
        </w:rPr>
        <w:t xml:space="preserve">os los principios de la función administrativa. </w:t>
      </w:r>
    </w:p>
    <w:p w14:paraId="6E82ACF0" w14:textId="77777777" w:rsidR="006B5EEB" w:rsidRDefault="00C24176">
      <w:pPr>
        <w:tabs>
          <w:tab w:val="left" w:pos="8740"/>
        </w:tabs>
        <w:spacing w:before="240" w:after="240"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“La Sala observa que todas las limitaciones previstas en el artículo 38 están claramente encaminadas a garantizar los principios de la función administrativa previstos en el artículo 209 de la Constitución, </w:t>
      </w:r>
      <w:r>
        <w:rPr>
          <w:rFonts w:ascii="Georgia" w:eastAsia="Georgia" w:hAnsi="Georgia" w:cs="Georgia"/>
          <w:sz w:val="22"/>
          <w:szCs w:val="22"/>
          <w:highlight w:val="white"/>
        </w:rPr>
        <w:t>en particular la moralidad, la imparcialidad y la eficacia en el cumplimiento de las funciones. En esa medida, en términos generales, el artículo 38 no contraría disposición alguna de la Carta, sino que la desarrolla.” (Corte Constitucional, C- 1153 de 200</w:t>
      </w:r>
      <w:r>
        <w:rPr>
          <w:rFonts w:ascii="Georgia" w:eastAsia="Georgia" w:hAnsi="Georgia" w:cs="Georgia"/>
          <w:sz w:val="22"/>
          <w:szCs w:val="22"/>
          <w:highlight w:val="white"/>
        </w:rPr>
        <w:t>5).</w:t>
      </w:r>
    </w:p>
    <w:p w14:paraId="263174AA" w14:textId="77777777" w:rsidR="006B5EEB" w:rsidRDefault="00C24176">
      <w:pP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 xml:space="preserve">Por otra parte, si bien es cierto que mediante la Sentencia C-153 de 2022 la Corte Constitucional declaró inexequible el artículo 124 de la Ley 2159 de 2021 (el cual modifica de manera transitoria el inciso primero del parágrafo del artículo </w:t>
      </w:r>
      <w:proofErr w:type="gramStart"/>
      <w:r>
        <w:rPr>
          <w:rFonts w:ascii="Georgia" w:eastAsia="Georgia" w:hAnsi="Georgia" w:cs="Georgia"/>
          <w:sz w:val="22"/>
          <w:szCs w:val="22"/>
          <w:highlight w:val="white"/>
        </w:rPr>
        <w:t>38  de</w:t>
      </w:r>
      <w:proofErr w:type="gramEnd"/>
      <w:r>
        <w:rPr>
          <w:rFonts w:ascii="Georgia" w:eastAsia="Georgia" w:hAnsi="Georgia" w:cs="Georgia"/>
          <w:sz w:val="22"/>
          <w:szCs w:val="22"/>
          <w:highlight w:val="white"/>
        </w:rPr>
        <w:t xml:space="preserve"> la </w:t>
      </w:r>
      <w:r>
        <w:rPr>
          <w:rFonts w:ascii="Georgia" w:eastAsia="Georgia" w:hAnsi="Georgia" w:cs="Georgia"/>
          <w:sz w:val="22"/>
          <w:szCs w:val="22"/>
          <w:highlight w:val="white"/>
        </w:rPr>
        <w:t xml:space="preserve">Ley 996 de 2025, respecto de la celebración de convenios interadministrativos en época preelectoral), por el desconocimiento de la reserva de ley estatutaria de la ley 996 de 2005 y el principio de unidad de materia. Dicha corporación si mencionó aspectos </w:t>
      </w:r>
      <w:r>
        <w:rPr>
          <w:rFonts w:ascii="Georgia" w:eastAsia="Georgia" w:hAnsi="Georgia" w:cs="Georgia"/>
          <w:sz w:val="22"/>
          <w:szCs w:val="22"/>
          <w:highlight w:val="white"/>
        </w:rPr>
        <w:t>relacionados con la realización de convenios interadministrativos:</w:t>
      </w:r>
    </w:p>
    <w:p w14:paraId="525572CD"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b/>
          <w:bCs/>
          <w:sz w:val="22"/>
          <w:szCs w:val="22"/>
          <w:highlight w:val="white"/>
        </w:rPr>
      </w:pPr>
      <w:r>
        <w:rPr>
          <w:rFonts w:ascii="Georgia" w:eastAsia="Georgia" w:hAnsi="Georgia" w:cs="Georgia"/>
          <w:sz w:val="22"/>
          <w:szCs w:val="22"/>
          <w:highlight w:val="white"/>
        </w:rPr>
        <w:t xml:space="preserve">“121. (...) </w:t>
      </w:r>
      <w:r>
        <w:rPr>
          <w:rFonts w:ascii="Georgia" w:eastAsia="Georgia" w:hAnsi="Georgia" w:cs="Georgia"/>
          <w:i/>
          <w:iCs/>
          <w:sz w:val="22"/>
          <w:szCs w:val="22"/>
          <w:highlight w:val="white"/>
        </w:rPr>
        <w:t>(iv.1)</w:t>
      </w:r>
      <w:r>
        <w:rPr>
          <w:rFonts w:ascii="Georgia" w:eastAsia="Georgia" w:hAnsi="Georgia" w:cs="Georgia"/>
          <w:sz w:val="22"/>
          <w:szCs w:val="22"/>
          <w:highlight w:val="white"/>
        </w:rPr>
        <w:t xml:space="preserve"> los destinatarios de la medida son empleados del Estado que pueden participar en política, </w:t>
      </w:r>
      <w:r>
        <w:rPr>
          <w:rFonts w:ascii="Georgia" w:eastAsia="Georgia" w:hAnsi="Georgia" w:cs="Georgia"/>
          <w:i/>
          <w:iCs/>
          <w:sz w:val="22"/>
          <w:szCs w:val="22"/>
          <w:highlight w:val="white"/>
        </w:rPr>
        <w:t>solamente</w:t>
      </w:r>
      <w:r>
        <w:rPr>
          <w:rFonts w:ascii="Georgia" w:eastAsia="Georgia" w:hAnsi="Georgia" w:cs="Georgia"/>
          <w:sz w:val="22"/>
          <w:szCs w:val="22"/>
          <w:highlight w:val="white"/>
        </w:rPr>
        <w:t xml:space="preserve"> en las </w:t>
      </w:r>
      <w:r>
        <w:rPr>
          <w:rFonts w:ascii="Georgia" w:eastAsia="Georgia" w:hAnsi="Georgia" w:cs="Georgia"/>
          <w:i/>
          <w:iCs/>
          <w:sz w:val="22"/>
          <w:szCs w:val="22"/>
          <w:highlight w:val="white"/>
        </w:rPr>
        <w:t xml:space="preserve">condiciones </w:t>
      </w:r>
      <w:r>
        <w:rPr>
          <w:rFonts w:ascii="Georgia" w:eastAsia="Georgia" w:hAnsi="Georgia" w:cs="Georgia"/>
          <w:sz w:val="22"/>
          <w:szCs w:val="22"/>
          <w:highlight w:val="white"/>
        </w:rPr>
        <w:t xml:space="preserve">de una ley </w:t>
      </w:r>
      <w:r>
        <w:rPr>
          <w:rFonts w:ascii="Georgia" w:eastAsia="Georgia" w:hAnsi="Georgia" w:cs="Georgia"/>
          <w:i/>
          <w:iCs/>
          <w:sz w:val="22"/>
          <w:szCs w:val="22"/>
          <w:highlight w:val="white"/>
        </w:rPr>
        <w:t xml:space="preserve">estatutaria; </w:t>
      </w:r>
      <w:r>
        <w:rPr>
          <w:rFonts w:ascii="Georgia" w:eastAsia="Georgia" w:hAnsi="Georgia" w:cs="Georgia"/>
          <w:sz w:val="22"/>
          <w:szCs w:val="22"/>
          <w:highlight w:val="white"/>
        </w:rPr>
        <w:t xml:space="preserve">y que, </w:t>
      </w:r>
      <w:r>
        <w:rPr>
          <w:rFonts w:ascii="Georgia" w:eastAsia="Georgia" w:hAnsi="Georgia" w:cs="Georgia"/>
          <w:i/>
          <w:iCs/>
          <w:sz w:val="22"/>
          <w:szCs w:val="22"/>
          <w:highlight w:val="white"/>
        </w:rPr>
        <w:t>(iv.2)</w:t>
      </w:r>
      <w:r>
        <w:rPr>
          <w:rFonts w:ascii="Georgia" w:eastAsia="Georgia" w:hAnsi="Georgia" w:cs="Georgia"/>
          <w:sz w:val="22"/>
          <w:szCs w:val="22"/>
          <w:highlight w:val="white"/>
        </w:rPr>
        <w:t xml:space="preserve"> ordinariamen</w:t>
      </w:r>
      <w:r>
        <w:rPr>
          <w:rFonts w:ascii="Georgia" w:eastAsia="Georgia" w:hAnsi="Georgia" w:cs="Georgia"/>
          <w:sz w:val="22"/>
          <w:szCs w:val="22"/>
          <w:highlight w:val="white"/>
        </w:rPr>
        <w:t>te, en ejercicio de sus atribuciones pueden suscribir convenios interadministrativos. Por supuesto, el que lo puedan hacer no los habilita en momento alguno a desviar los fines del buen servicio en su celebración y, por tanto, nunca podrían suscribirlos pa</w:t>
      </w:r>
      <w:r>
        <w:rPr>
          <w:rFonts w:ascii="Georgia" w:eastAsia="Georgia" w:hAnsi="Georgia" w:cs="Georgia"/>
          <w:sz w:val="22"/>
          <w:szCs w:val="22"/>
          <w:highlight w:val="white"/>
        </w:rPr>
        <w:t xml:space="preserve">ra favorecer políticamente, por ejemplo, a organizaciones políticas o eventuales candidatos. </w:t>
      </w:r>
      <w:r>
        <w:rPr>
          <w:rFonts w:ascii="Georgia" w:eastAsia="Georgia" w:hAnsi="Georgia" w:cs="Georgia"/>
          <w:b/>
          <w:bCs/>
          <w:sz w:val="22"/>
          <w:szCs w:val="22"/>
          <w:highlight w:val="white"/>
        </w:rPr>
        <w:t xml:space="preserve">No </w:t>
      </w:r>
      <w:proofErr w:type="gramStart"/>
      <w:r>
        <w:rPr>
          <w:rFonts w:ascii="Georgia" w:eastAsia="Georgia" w:hAnsi="Georgia" w:cs="Georgia"/>
          <w:b/>
          <w:bCs/>
          <w:sz w:val="22"/>
          <w:szCs w:val="22"/>
          <w:highlight w:val="white"/>
        </w:rPr>
        <w:t>obstante</w:t>
      </w:r>
      <w:proofErr w:type="gramEnd"/>
      <w:r>
        <w:rPr>
          <w:rFonts w:ascii="Georgia" w:eastAsia="Georgia" w:hAnsi="Georgia" w:cs="Georgia"/>
          <w:b/>
          <w:bCs/>
          <w:sz w:val="22"/>
          <w:szCs w:val="22"/>
          <w:highlight w:val="white"/>
        </w:rPr>
        <w:t xml:space="preserve"> lo anterior, </w:t>
      </w:r>
      <w:r>
        <w:rPr>
          <w:rFonts w:ascii="Georgia" w:eastAsia="Georgia" w:hAnsi="Georgia" w:cs="Georgia"/>
          <w:b/>
          <w:bCs/>
          <w:i/>
          <w:iCs/>
          <w:sz w:val="22"/>
          <w:szCs w:val="22"/>
          <w:highlight w:val="white"/>
        </w:rPr>
        <w:t xml:space="preserve">(iv.3) </w:t>
      </w:r>
      <w:r>
        <w:rPr>
          <w:rFonts w:ascii="Georgia" w:eastAsia="Georgia" w:hAnsi="Georgia" w:cs="Georgia"/>
          <w:b/>
          <w:bCs/>
          <w:sz w:val="22"/>
          <w:szCs w:val="22"/>
          <w:highlight w:val="white"/>
        </w:rPr>
        <w:t xml:space="preserve">como una medida dirigida a </w:t>
      </w:r>
      <w:r>
        <w:rPr>
          <w:rFonts w:ascii="Georgia" w:eastAsia="Georgia" w:hAnsi="Georgia" w:cs="Georgia"/>
          <w:b/>
          <w:bCs/>
          <w:i/>
          <w:iCs/>
          <w:sz w:val="22"/>
          <w:szCs w:val="22"/>
          <w:highlight w:val="white"/>
        </w:rPr>
        <w:t xml:space="preserve">garantizar </w:t>
      </w:r>
      <w:r>
        <w:rPr>
          <w:rFonts w:ascii="Georgia" w:eastAsia="Georgia" w:hAnsi="Georgia" w:cs="Georgia"/>
          <w:b/>
          <w:bCs/>
          <w:sz w:val="22"/>
          <w:szCs w:val="22"/>
          <w:highlight w:val="white"/>
        </w:rPr>
        <w:t>la transparencia y equilibrio en las contiendas electorales, el Legislador estatutario consid</w:t>
      </w:r>
      <w:r>
        <w:rPr>
          <w:rFonts w:ascii="Georgia" w:eastAsia="Georgia" w:hAnsi="Georgia" w:cs="Georgia"/>
          <w:b/>
          <w:bCs/>
          <w:sz w:val="22"/>
          <w:szCs w:val="22"/>
          <w:highlight w:val="white"/>
        </w:rPr>
        <w:t xml:space="preserve">eró que en época preelectoral esta competencia estaría proscrita; no porque se presuma la mala fe de tales funcionarios, sino porque la valoró como una regla importante para la </w:t>
      </w:r>
      <w:r>
        <w:rPr>
          <w:rFonts w:ascii="Georgia" w:eastAsia="Georgia" w:hAnsi="Georgia" w:cs="Georgia"/>
          <w:b/>
          <w:bCs/>
          <w:i/>
          <w:iCs/>
          <w:sz w:val="22"/>
          <w:szCs w:val="22"/>
          <w:highlight w:val="white"/>
        </w:rPr>
        <w:t>democracia representativa</w:t>
      </w:r>
      <w:r>
        <w:rPr>
          <w:rFonts w:ascii="Georgia" w:eastAsia="Georgia" w:hAnsi="Georgia" w:cs="Georgia"/>
          <w:b/>
          <w:bCs/>
          <w:sz w:val="22"/>
          <w:szCs w:val="22"/>
          <w:highlight w:val="white"/>
        </w:rPr>
        <w:t xml:space="preserve">. </w:t>
      </w:r>
    </w:p>
    <w:p w14:paraId="33220288"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 </w:t>
      </w:r>
    </w:p>
    <w:p w14:paraId="3AC7F000"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b/>
          <w:bCs/>
          <w:sz w:val="22"/>
          <w:szCs w:val="22"/>
          <w:highlight w:val="white"/>
        </w:rPr>
      </w:pPr>
      <w:r>
        <w:rPr>
          <w:rFonts w:ascii="Georgia" w:eastAsia="Georgia" w:hAnsi="Georgia" w:cs="Georgia"/>
          <w:sz w:val="22"/>
          <w:szCs w:val="22"/>
          <w:highlight w:val="white"/>
        </w:rPr>
        <w:t xml:space="preserve">122. En estos términos, </w:t>
      </w:r>
      <w:r>
        <w:rPr>
          <w:rFonts w:ascii="Georgia" w:eastAsia="Georgia" w:hAnsi="Georgia" w:cs="Georgia"/>
          <w:i/>
          <w:iCs/>
          <w:sz w:val="22"/>
          <w:szCs w:val="22"/>
          <w:highlight w:val="white"/>
        </w:rPr>
        <w:t xml:space="preserve">(iv.4) </w:t>
      </w:r>
      <w:r>
        <w:rPr>
          <w:rFonts w:ascii="Georgia" w:eastAsia="Georgia" w:hAnsi="Georgia" w:cs="Georgia"/>
          <w:sz w:val="22"/>
          <w:szCs w:val="22"/>
          <w:highlight w:val="white"/>
        </w:rPr>
        <w:t xml:space="preserve">aunque el régimen integral que debe contener la </w:t>
      </w:r>
      <w:r>
        <w:rPr>
          <w:rFonts w:ascii="Georgia" w:eastAsia="Georgia" w:hAnsi="Georgia" w:cs="Georgia"/>
          <w:i/>
          <w:iCs/>
          <w:sz w:val="22"/>
          <w:szCs w:val="22"/>
          <w:highlight w:val="white"/>
        </w:rPr>
        <w:t xml:space="preserve">ley estatutaria </w:t>
      </w:r>
      <w:r>
        <w:rPr>
          <w:rFonts w:ascii="Georgia" w:eastAsia="Georgia" w:hAnsi="Georgia" w:cs="Georgia"/>
          <w:sz w:val="22"/>
          <w:szCs w:val="22"/>
          <w:highlight w:val="white"/>
        </w:rPr>
        <w:t xml:space="preserve">prevista en el artículo 127 no se ha proferido, </w:t>
      </w:r>
      <w:r>
        <w:rPr>
          <w:rFonts w:ascii="Georgia" w:eastAsia="Georgia" w:hAnsi="Georgia" w:cs="Georgia"/>
          <w:b/>
          <w:bCs/>
          <w:sz w:val="22"/>
          <w:szCs w:val="22"/>
          <w:highlight w:val="white"/>
        </w:rPr>
        <w:t>la prohibición de celebrar convenios interadministrativos en los términos del parágrafo del artículo 38 de la Ley 996 de 2005 tiene como fundame</w:t>
      </w:r>
      <w:r>
        <w:rPr>
          <w:rFonts w:ascii="Georgia" w:eastAsia="Georgia" w:hAnsi="Georgia" w:cs="Georgia"/>
          <w:b/>
          <w:bCs/>
          <w:sz w:val="22"/>
          <w:szCs w:val="22"/>
          <w:highlight w:val="white"/>
        </w:rPr>
        <w:t xml:space="preserve">nto esta cláusula constitucional, en tanto prevé prohibiciones particulares </w:t>
      </w:r>
      <w:r>
        <w:rPr>
          <w:rFonts w:ascii="Georgia" w:eastAsia="Georgia" w:hAnsi="Georgia" w:cs="Georgia"/>
          <w:b/>
          <w:bCs/>
          <w:i/>
          <w:iCs/>
          <w:sz w:val="22"/>
          <w:szCs w:val="22"/>
          <w:highlight w:val="white"/>
        </w:rPr>
        <w:t>dirigidas a salvaguardar todos los fines asociados a una ley de garantías</w:t>
      </w:r>
      <w:r>
        <w:rPr>
          <w:rFonts w:ascii="Georgia" w:eastAsia="Georgia" w:hAnsi="Georgia" w:cs="Georgia"/>
          <w:b/>
          <w:bCs/>
          <w:sz w:val="22"/>
          <w:szCs w:val="22"/>
          <w:highlight w:val="white"/>
        </w:rPr>
        <w:t xml:space="preserve">, en un momento de especial </w:t>
      </w:r>
      <w:r>
        <w:rPr>
          <w:rFonts w:ascii="Georgia" w:eastAsia="Georgia" w:hAnsi="Georgia" w:cs="Georgia"/>
          <w:b/>
          <w:bCs/>
          <w:sz w:val="22"/>
          <w:szCs w:val="22"/>
          <w:highlight w:val="white"/>
        </w:rPr>
        <w:lastRenderedPageBreak/>
        <w:t xml:space="preserve">relevancia para el juego democrático; y, por lo tanto, su estatus </w:t>
      </w:r>
      <w:r>
        <w:rPr>
          <w:rFonts w:ascii="Georgia" w:eastAsia="Georgia" w:hAnsi="Georgia" w:cs="Georgia"/>
          <w:b/>
          <w:bCs/>
          <w:i/>
          <w:iCs/>
          <w:sz w:val="22"/>
          <w:szCs w:val="22"/>
          <w:highlight w:val="white"/>
        </w:rPr>
        <w:t>cualificado</w:t>
      </w:r>
      <w:r>
        <w:rPr>
          <w:rFonts w:ascii="Georgia" w:eastAsia="Georgia" w:hAnsi="Georgia" w:cs="Georgia"/>
          <w:b/>
          <w:bCs/>
          <w:sz w:val="22"/>
          <w:szCs w:val="22"/>
          <w:highlight w:val="white"/>
        </w:rPr>
        <w:t xml:space="preserve"> e</w:t>
      </w:r>
      <w:r>
        <w:rPr>
          <w:rFonts w:ascii="Georgia" w:eastAsia="Georgia" w:hAnsi="Georgia" w:cs="Georgia"/>
          <w:b/>
          <w:bCs/>
          <w:sz w:val="22"/>
          <w:szCs w:val="22"/>
          <w:highlight w:val="white"/>
        </w:rPr>
        <w:t xml:space="preserve">s incuestionable. </w:t>
      </w:r>
    </w:p>
    <w:p w14:paraId="234F0C9D"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 </w:t>
      </w:r>
    </w:p>
    <w:p w14:paraId="2AA3A9FE"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 </w:t>
      </w:r>
    </w:p>
    <w:p w14:paraId="63BD4FA3"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 </w:t>
      </w:r>
    </w:p>
    <w:p w14:paraId="70A4FC4D"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highlight w:val="white"/>
        </w:rPr>
        <w:t xml:space="preserve">124. Según esto último, </w:t>
      </w:r>
      <w:r>
        <w:rPr>
          <w:rFonts w:ascii="Georgia" w:eastAsia="Georgia" w:hAnsi="Georgia" w:cs="Georgia"/>
          <w:b/>
          <w:bCs/>
          <w:sz w:val="22"/>
          <w:szCs w:val="22"/>
          <w:highlight w:val="white"/>
        </w:rPr>
        <w:t xml:space="preserve">en opinión de la Sala Plena la </w:t>
      </w:r>
      <w:r>
        <w:rPr>
          <w:rFonts w:ascii="Georgia" w:eastAsia="Georgia" w:hAnsi="Georgia" w:cs="Georgia"/>
          <w:b/>
          <w:bCs/>
          <w:i/>
          <w:iCs/>
          <w:sz w:val="22"/>
          <w:szCs w:val="22"/>
          <w:highlight w:val="white"/>
        </w:rPr>
        <w:t>prohibición prevista para los empleados del Estado</w:t>
      </w:r>
      <w:r>
        <w:rPr>
          <w:rFonts w:ascii="Georgia" w:eastAsia="Georgia" w:hAnsi="Georgia" w:cs="Georgia"/>
          <w:b/>
          <w:bCs/>
          <w:sz w:val="22"/>
          <w:szCs w:val="22"/>
          <w:highlight w:val="white"/>
        </w:rPr>
        <w:t xml:space="preserve"> en el parágrafo 38 de la Ley 996 de 2005 objeto de análisis tiene además una relación inescindible y estrecha con la det</w:t>
      </w:r>
      <w:r>
        <w:rPr>
          <w:rFonts w:ascii="Georgia" w:eastAsia="Georgia" w:hAnsi="Georgia" w:cs="Georgia"/>
          <w:b/>
          <w:bCs/>
          <w:sz w:val="22"/>
          <w:szCs w:val="22"/>
          <w:highlight w:val="white"/>
        </w:rPr>
        <w:t xml:space="preserve">erminación de las reglas del juego democrático y, en consecuencia, su comprensión se inscribe también en el escenario de las garantías de la </w:t>
      </w:r>
      <w:r>
        <w:rPr>
          <w:rFonts w:ascii="Georgia" w:eastAsia="Georgia" w:hAnsi="Georgia" w:cs="Georgia"/>
          <w:b/>
          <w:bCs/>
          <w:i/>
          <w:iCs/>
          <w:sz w:val="22"/>
          <w:szCs w:val="22"/>
          <w:highlight w:val="white"/>
        </w:rPr>
        <w:t>igualdad electoral</w:t>
      </w:r>
      <w:r>
        <w:rPr>
          <w:rFonts w:ascii="Georgia" w:eastAsia="Georgia" w:hAnsi="Georgia" w:cs="Georgia"/>
          <w:b/>
          <w:bCs/>
          <w:sz w:val="22"/>
          <w:szCs w:val="22"/>
          <w:highlight w:val="white"/>
        </w:rPr>
        <w:t xml:space="preserve">, en los términos del artículo 152.f), </w:t>
      </w:r>
      <w:r>
        <w:rPr>
          <w:rFonts w:ascii="Georgia" w:eastAsia="Georgia" w:hAnsi="Georgia" w:cs="Georgia"/>
          <w:sz w:val="22"/>
          <w:szCs w:val="22"/>
          <w:highlight w:val="white"/>
        </w:rPr>
        <w:t>y en el más amplio que se propone también por vía estatuta</w:t>
      </w:r>
      <w:r>
        <w:rPr>
          <w:rFonts w:ascii="Georgia" w:eastAsia="Georgia" w:hAnsi="Georgia" w:cs="Georgia"/>
          <w:sz w:val="22"/>
          <w:szCs w:val="22"/>
          <w:highlight w:val="white"/>
        </w:rPr>
        <w:t xml:space="preserve">ria regular la materia electoral para proteger, por ejemplo, los derechos de la oposición. </w:t>
      </w:r>
      <w:r>
        <w:rPr>
          <w:rFonts w:ascii="Georgia" w:eastAsia="Georgia" w:hAnsi="Georgia" w:cs="Georgia"/>
          <w:b/>
          <w:bCs/>
          <w:sz w:val="22"/>
          <w:szCs w:val="22"/>
          <w:highlight w:val="white"/>
        </w:rPr>
        <w:t xml:space="preserve">De otra manera no podría juzgarse el hecho de que la ley de garantías electorales surgiera a partir de la necesidad de blindar los comicios electorales de una serie </w:t>
      </w:r>
      <w:r>
        <w:rPr>
          <w:rFonts w:ascii="Georgia" w:eastAsia="Georgia" w:hAnsi="Georgia" w:cs="Georgia"/>
          <w:b/>
          <w:bCs/>
          <w:sz w:val="22"/>
          <w:szCs w:val="22"/>
          <w:highlight w:val="white"/>
        </w:rPr>
        <w:t>de riesgos que, desde un punto de vista, pudieran incidir en el equilibrio de candidatos y organizaciones políticas, y, desde otro, en la libertad misma del votante. La prohibición analizada, entonces, en la medida en que protege la destinación de recursos</w:t>
      </w:r>
      <w:r>
        <w:rPr>
          <w:rFonts w:ascii="Georgia" w:eastAsia="Georgia" w:hAnsi="Georgia" w:cs="Georgia"/>
          <w:b/>
          <w:bCs/>
          <w:sz w:val="22"/>
          <w:szCs w:val="22"/>
          <w:highlight w:val="white"/>
        </w:rPr>
        <w:t xml:space="preserve"> públicos para evitar un desbalance en el contexto de elecciones, es una medida dirigida a proteger el principio democrático del Estado.</w:t>
      </w:r>
      <w:r>
        <w:rPr>
          <w:rFonts w:ascii="Georgia" w:eastAsia="Georgia" w:hAnsi="Georgia" w:cs="Georgia"/>
          <w:sz w:val="22"/>
          <w:szCs w:val="22"/>
          <w:highlight w:val="white"/>
        </w:rPr>
        <w:t>” (Corte Constitucional, C-153 de 2022) (negrillas fuera del texto)</w:t>
      </w:r>
    </w:p>
    <w:p w14:paraId="046FF8E2"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 xml:space="preserve">En este sentido, la Corte señala que la prohibición </w:t>
      </w:r>
      <w:r>
        <w:rPr>
          <w:rFonts w:ascii="Georgia" w:eastAsia="Georgia" w:hAnsi="Georgia" w:cs="Georgia"/>
          <w:sz w:val="22"/>
          <w:szCs w:val="22"/>
          <w:highlight w:val="white"/>
        </w:rPr>
        <w:t>de celebrar convenios interadministrativos se dirige a los funcionarios que manejan recursos públicos y que pueden incidir en el gasto en el nivel local. Esta restricción opera durante los cuatro meses previos a cualquier elección, no solo las presidencial</w:t>
      </w:r>
      <w:r>
        <w:rPr>
          <w:rFonts w:ascii="Georgia" w:eastAsia="Georgia" w:hAnsi="Georgia" w:cs="Georgia"/>
          <w:sz w:val="22"/>
          <w:szCs w:val="22"/>
          <w:highlight w:val="white"/>
        </w:rPr>
        <w:t xml:space="preserve">es, porque ese periodo es especialmente delicado para la integridad del proceso democrático. En condiciones normales, estos servidores sí están facultados para suscribir convenios, siempre y cuando lo hagan dentro de los fines del servicio y sin favorecer </w:t>
      </w:r>
      <w:r>
        <w:rPr>
          <w:rFonts w:ascii="Georgia" w:eastAsia="Georgia" w:hAnsi="Georgia" w:cs="Georgia"/>
          <w:sz w:val="22"/>
          <w:szCs w:val="22"/>
          <w:highlight w:val="white"/>
        </w:rPr>
        <w:t>intereses políticos.</w:t>
      </w:r>
    </w:p>
    <w:p w14:paraId="56ABA096"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Sin embargo, el legislador estatutario decidió suspender esta competencia en época preelectoral como una medida preventiva destinada a proteger la transparencia y el equilibrio entre candidatos y organizaciones políticas. No se trata d</w:t>
      </w:r>
      <w:r>
        <w:rPr>
          <w:rFonts w:ascii="Georgia" w:eastAsia="Georgia" w:hAnsi="Georgia" w:cs="Georgia"/>
          <w:sz w:val="22"/>
          <w:szCs w:val="22"/>
          <w:highlight w:val="white"/>
        </w:rPr>
        <w:t>e asumir mala fe en los funcionarios, sino de reconocer que la posibilidad de ejecutar recursos en este periodo puede influir en la percepción ciudadana, alterar la igualdad en la contienda o generar ventajas indebidas. Por esa razón, la restricción fue in</w:t>
      </w:r>
      <w:r>
        <w:rPr>
          <w:rFonts w:ascii="Georgia" w:eastAsia="Georgia" w:hAnsi="Georgia" w:cs="Georgia"/>
          <w:sz w:val="22"/>
          <w:szCs w:val="22"/>
          <w:highlight w:val="white"/>
        </w:rPr>
        <w:t>corporada como una regla estructural del sistema de garantías electorales.</w:t>
      </w:r>
    </w:p>
    <w:p w14:paraId="113C73F6"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En consecuencia, la norma adquiere un carácter especialmente cualificado dentro del régimen estatutario, ya que su objetivo es impedir que los recursos públicos incidan en la compet</w:t>
      </w:r>
      <w:r>
        <w:rPr>
          <w:rFonts w:ascii="Georgia" w:eastAsia="Georgia" w:hAnsi="Georgia" w:cs="Georgia"/>
          <w:sz w:val="22"/>
          <w:szCs w:val="22"/>
          <w:highlight w:val="white"/>
        </w:rPr>
        <w:t xml:space="preserve">encia electoral y asegurar que todas las fuerzas políticas participen en condiciones de equilibrio. </w:t>
      </w:r>
    </w:p>
    <w:p w14:paraId="57395332" w14:textId="77777777" w:rsidR="006B5EEB" w:rsidRDefault="00C24176">
      <w:pPr>
        <w:pBdr>
          <w:top w:val="none" w:sz="0" w:space="0" w:color="000000"/>
          <w:left w:val="none" w:sz="0" w:space="0" w:color="000000"/>
          <w:bottom w:val="none" w:sz="0" w:space="0" w:color="000000"/>
          <w:right w:val="none" w:sz="0" w:space="0" w:color="000000"/>
          <w:between w:val="none" w:sz="0" w:space="0" w:color="000000"/>
        </w:pBd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lastRenderedPageBreak/>
        <w:t xml:space="preserve">La medida protege principios esenciales para la democracia representativa, como la igualdad electoral, la neutralidad del Estado y la correcta destinación </w:t>
      </w:r>
      <w:r>
        <w:rPr>
          <w:rFonts w:ascii="Georgia" w:eastAsia="Georgia" w:hAnsi="Georgia" w:cs="Georgia"/>
          <w:sz w:val="22"/>
          <w:szCs w:val="22"/>
          <w:highlight w:val="white"/>
        </w:rPr>
        <w:t>de los recursos públicos durante un momento decisivo del proceso democrático. Por este motivo, la promoción de una iniciativa legislativa que tenga como objetivo eliminar dicha prohibición iría en contravía de la constitución y las decisiones adoptadas por</w:t>
      </w:r>
      <w:r>
        <w:rPr>
          <w:rFonts w:ascii="Georgia" w:eastAsia="Georgia" w:hAnsi="Georgia" w:cs="Georgia"/>
          <w:sz w:val="22"/>
          <w:szCs w:val="22"/>
          <w:highlight w:val="white"/>
        </w:rPr>
        <w:t xml:space="preserve"> la Corte Constitucional. </w:t>
      </w:r>
    </w:p>
    <w:p w14:paraId="4D399329" w14:textId="77777777" w:rsidR="006B5EEB" w:rsidRDefault="00C24176">
      <w:pPr>
        <w:numPr>
          <w:ilvl w:val="0"/>
          <w:numId w:val="1"/>
        </w:numPr>
        <w:tabs>
          <w:tab w:val="left" w:pos="8740"/>
        </w:tabs>
        <w:spacing w:before="240" w:after="240" w:line="276" w:lineRule="auto"/>
        <w:ind w:right="-220"/>
        <w:jc w:val="both"/>
        <w:rPr>
          <w:rFonts w:ascii="Georgia" w:eastAsia="Georgia" w:hAnsi="Georgia" w:cs="Georgia"/>
          <w:b/>
          <w:bCs/>
          <w:sz w:val="22"/>
          <w:szCs w:val="22"/>
        </w:rPr>
      </w:pPr>
      <w:r>
        <w:rPr>
          <w:rFonts w:ascii="Georgia" w:eastAsia="Georgia" w:hAnsi="Georgia" w:cs="Georgia"/>
          <w:b/>
          <w:bCs/>
          <w:sz w:val="22"/>
          <w:szCs w:val="22"/>
        </w:rPr>
        <w:t>El uso de bienes públicos en reuniones de carácter proselitista</w:t>
      </w:r>
    </w:p>
    <w:p w14:paraId="34CF583F"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En segundo lugar, el proyecto introduce una excepción para permitir el uso de bienes inmuebles públicos en actividades proselitistas, bajo la figura del alquiler y con ciertas condiciones, como la situación de seguridad. Esta disposición supone un cambio s</w:t>
      </w:r>
      <w:r>
        <w:rPr>
          <w:rFonts w:ascii="Georgia" w:eastAsia="Georgia" w:hAnsi="Georgia" w:cs="Georgia"/>
          <w:sz w:val="22"/>
          <w:szCs w:val="22"/>
        </w:rPr>
        <w:t>ustancial frente al régimen de garantías vigente, pues abre la puerta a que la infraestructura estatal sea puesta al servicio de campañas políticas, incluso cuando se invoquen reglas formales de igualdad o mecanismos de pago por el uso de esos bienes.</w:t>
      </w:r>
    </w:p>
    <w:p w14:paraId="11794640" w14:textId="6CF38388"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De a</w:t>
      </w:r>
      <w:r>
        <w:rPr>
          <w:rFonts w:ascii="Georgia" w:eastAsia="Georgia" w:hAnsi="Georgia" w:cs="Georgia"/>
          <w:sz w:val="22"/>
          <w:szCs w:val="22"/>
        </w:rPr>
        <w:t xml:space="preserve">cuerdo con la jurisprudencia constitucional que ha desarrollado el alcance de las garantías electorales, el uso de bienes públicos con fines electorales no está acorde con los </w:t>
      </w:r>
      <w:r>
        <w:rPr>
          <w:rFonts w:ascii="Georgia" w:eastAsia="Georgia" w:hAnsi="Georgia" w:cs="Georgia"/>
          <w:sz w:val="22"/>
          <w:szCs w:val="22"/>
        </w:rPr>
        <w:t>principios como la moralidad, la imparcialidad y la igualdad, y termina convirt</w:t>
      </w:r>
      <w:r>
        <w:rPr>
          <w:rFonts w:ascii="Georgia" w:eastAsia="Georgia" w:hAnsi="Georgia" w:cs="Georgia"/>
          <w:sz w:val="22"/>
          <w:szCs w:val="22"/>
        </w:rPr>
        <w:t xml:space="preserve">iendo a las autoridades territoriales en actores que facilitan intereses partidistas, lo cual es incompatible con la exigencia de neutralidad que recae sobre el Estado en contextos electorales. </w:t>
      </w:r>
    </w:p>
    <w:p w14:paraId="7488C529"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 xml:space="preserve">Como se ha indicado con anterioridad la Corte ha establecido </w:t>
      </w:r>
      <w:r>
        <w:rPr>
          <w:rFonts w:ascii="Georgia" w:eastAsia="Georgia" w:hAnsi="Georgia" w:cs="Georgia"/>
          <w:sz w:val="22"/>
          <w:szCs w:val="22"/>
        </w:rPr>
        <w:t>que lo dispuesto en el artículo 38 de la Ley 996 de 2005 tiene por finalidad garantizar los principios de la función administrativa, pero específicamente frente al inciso tercero del parágrafo del dicho artículo menciona</w:t>
      </w:r>
    </w:p>
    <w:p w14:paraId="3E00B3C6" w14:textId="77777777" w:rsidR="006B5EEB" w:rsidRDefault="00C24176">
      <w:pPr>
        <w:tabs>
          <w:tab w:val="left" w:pos="8740"/>
        </w:tabs>
        <w:spacing w:before="240" w:after="240" w:line="276" w:lineRule="auto"/>
        <w:ind w:left="566" w:right="629"/>
        <w:jc w:val="both"/>
        <w:rPr>
          <w:rFonts w:ascii="Georgia" w:eastAsia="Georgia" w:hAnsi="Georgia" w:cs="Georgia"/>
          <w:sz w:val="22"/>
          <w:szCs w:val="22"/>
          <w:highlight w:val="white"/>
        </w:rPr>
      </w:pPr>
      <w:r>
        <w:rPr>
          <w:rFonts w:ascii="Georgia" w:eastAsia="Georgia" w:hAnsi="Georgia" w:cs="Georgia"/>
          <w:sz w:val="22"/>
          <w:szCs w:val="22"/>
        </w:rPr>
        <w:t>“</w:t>
      </w:r>
      <w:r>
        <w:rPr>
          <w:rFonts w:ascii="Georgia" w:eastAsia="Georgia" w:hAnsi="Georgia" w:cs="Georgia"/>
          <w:sz w:val="22"/>
          <w:szCs w:val="22"/>
          <w:highlight w:val="white"/>
        </w:rPr>
        <w:t>La Corte encuentra ajustado a la C</w:t>
      </w:r>
      <w:r>
        <w:rPr>
          <w:rFonts w:ascii="Georgia" w:eastAsia="Georgia" w:hAnsi="Georgia" w:cs="Georgia"/>
          <w:sz w:val="22"/>
          <w:szCs w:val="22"/>
          <w:highlight w:val="white"/>
        </w:rPr>
        <w:t>onstitución el inciso tercero, porque, como las demás previsiones del artículo 38, tiende a proteger la moralidad administrativa. (...)” (Corte Constitucional, C- 1153 de 2005).</w:t>
      </w:r>
    </w:p>
    <w:p w14:paraId="3BFD92C3" w14:textId="77777777" w:rsidR="006B5EEB" w:rsidRDefault="00C24176">
      <w:pP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Adicionalmente, los criterios propuestos por el proyecto de ley resultan indet</w:t>
      </w:r>
      <w:r>
        <w:rPr>
          <w:rFonts w:ascii="Georgia" w:eastAsia="Georgia" w:hAnsi="Georgia" w:cs="Georgia"/>
          <w:sz w:val="22"/>
          <w:szCs w:val="22"/>
          <w:highlight w:val="white"/>
        </w:rPr>
        <w:t>erminados y de difícil aplicación real. Expresiones como “razones de orden público” o “atendiendo a la necesaria seguridad” no cuentan con parámetros suficientemente delimitados, lo que abre un margen amplio para interpretaciones discrecionales por parte d</w:t>
      </w:r>
      <w:r>
        <w:rPr>
          <w:rFonts w:ascii="Georgia" w:eastAsia="Georgia" w:hAnsi="Georgia" w:cs="Georgia"/>
          <w:sz w:val="22"/>
          <w:szCs w:val="22"/>
          <w:highlight w:val="white"/>
        </w:rPr>
        <w:t>e las autoridades territoriales. En la práctica, estos conceptos sin definición normativa clara permiten que la administración pueda justificar la habilitación de bienes públicos para eventos proselitistas con base en apreciaciones subjetivas, sin mecanism</w:t>
      </w:r>
      <w:r>
        <w:rPr>
          <w:rFonts w:ascii="Georgia" w:eastAsia="Georgia" w:hAnsi="Georgia" w:cs="Georgia"/>
          <w:sz w:val="22"/>
          <w:szCs w:val="22"/>
          <w:highlight w:val="white"/>
        </w:rPr>
        <w:t>os de control efectivos que impidan potenciales arbitrariedades.</w:t>
      </w:r>
    </w:p>
    <w:p w14:paraId="09F428E5" w14:textId="77777777" w:rsidR="006B5EEB" w:rsidRDefault="00C24176">
      <w:pP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 xml:space="preserve">Por otro lado, la supuesta “igualdad de condiciones” en el acceso a los bienes públicos es, en la mayoría de los casos, meramente formal. No existe un parámetro objetivo para identificar qué </w:t>
      </w:r>
      <w:r>
        <w:rPr>
          <w:rFonts w:ascii="Georgia" w:eastAsia="Georgia" w:hAnsi="Georgia" w:cs="Georgia"/>
          <w:sz w:val="22"/>
          <w:szCs w:val="22"/>
          <w:highlight w:val="white"/>
        </w:rPr>
        <w:t xml:space="preserve">bienes pueden ser ofrecidos en igualdad de oportunidades, ni procedimientos uniformes que garanticen que todos los actores políticos puedan acceder a ellos en las mismas circunstancias. En muchos municipios, la disponibilidad de infraestructura pública es </w:t>
      </w:r>
      <w:r>
        <w:rPr>
          <w:rFonts w:ascii="Georgia" w:eastAsia="Georgia" w:hAnsi="Georgia" w:cs="Georgia"/>
          <w:sz w:val="22"/>
          <w:szCs w:val="22"/>
          <w:highlight w:val="white"/>
        </w:rPr>
        <w:t xml:space="preserve">limitada y, por tanto, </w:t>
      </w:r>
      <w:r>
        <w:rPr>
          <w:rFonts w:ascii="Georgia" w:eastAsia="Georgia" w:hAnsi="Georgia" w:cs="Georgia"/>
          <w:sz w:val="22"/>
          <w:szCs w:val="22"/>
          <w:highlight w:val="white"/>
        </w:rPr>
        <w:lastRenderedPageBreak/>
        <w:t>difícilmente replicable. Bajo estas condiciones, la igualdad deja de ser material y se reduce a un enunciado difícil de garantizar, dado que quien obtenga primero la autorización, o quien tenga mayor cercanía con la administración lo</w:t>
      </w:r>
      <w:r>
        <w:rPr>
          <w:rFonts w:ascii="Georgia" w:eastAsia="Georgia" w:hAnsi="Georgia" w:cs="Georgia"/>
          <w:sz w:val="22"/>
          <w:szCs w:val="22"/>
          <w:highlight w:val="white"/>
        </w:rPr>
        <w:t>cal, obtendría una ventaja evidente sobre los demás competidores.</w:t>
      </w:r>
    </w:p>
    <w:p w14:paraId="76D19BCD" w14:textId="77777777" w:rsidR="006B5EEB" w:rsidRDefault="00C24176">
      <w:pPr>
        <w:tabs>
          <w:tab w:val="left" w:pos="8740"/>
        </w:tabs>
        <w:spacing w:before="240" w:after="240" w:line="276" w:lineRule="auto"/>
        <w:ind w:right="-220"/>
        <w:jc w:val="both"/>
        <w:rPr>
          <w:rFonts w:ascii="Georgia" w:eastAsia="Georgia" w:hAnsi="Georgia" w:cs="Georgia"/>
          <w:sz w:val="22"/>
          <w:szCs w:val="22"/>
          <w:highlight w:val="white"/>
        </w:rPr>
      </w:pPr>
      <w:r>
        <w:rPr>
          <w:rFonts w:ascii="Georgia" w:eastAsia="Georgia" w:hAnsi="Georgia" w:cs="Georgia"/>
          <w:sz w:val="22"/>
          <w:szCs w:val="22"/>
          <w:highlight w:val="white"/>
        </w:rPr>
        <w:t>Finalmente, el proyecto no prevé mecanismos reales para evitar que estas autorizaciones se conviertan en instrumentos de favorecimiento político. No se establecen criterios de publicidad suf</w:t>
      </w:r>
      <w:r>
        <w:rPr>
          <w:rFonts w:ascii="Georgia" w:eastAsia="Georgia" w:hAnsi="Georgia" w:cs="Georgia"/>
          <w:sz w:val="22"/>
          <w:szCs w:val="22"/>
          <w:highlight w:val="white"/>
        </w:rPr>
        <w:t xml:space="preserve">icientes, ni reglas sobre priorización, ni garantías procedimentales independientes que minimicen el riesgo de captura administrativa. </w:t>
      </w:r>
    </w:p>
    <w:p w14:paraId="6252F3AB"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Por estas razones, se concluye que el proyecto de ley no solo desconoce precedentes claros y reiterados de la Corte Cons</w:t>
      </w:r>
      <w:r>
        <w:rPr>
          <w:rFonts w:ascii="Georgia" w:eastAsia="Georgia" w:hAnsi="Georgia" w:cs="Georgia"/>
          <w:sz w:val="22"/>
          <w:szCs w:val="22"/>
        </w:rPr>
        <w:t>titucional, sino que reabre espacios para la politización de la contratación y de la infraestructura pública, afectando de manera directa la imparcialidad administrativa y la igualdad de condiciones entre las campañas electorales. En consecuencia, se recom</w:t>
      </w:r>
      <w:r>
        <w:rPr>
          <w:rFonts w:ascii="Georgia" w:eastAsia="Georgia" w:hAnsi="Georgia" w:cs="Georgia"/>
          <w:sz w:val="22"/>
          <w:szCs w:val="22"/>
        </w:rPr>
        <w:t>ienda archivar la iniciativa, en defensa del principio democrático, la integridad del sistema electoral y la neutralidad del Estado en época preelectoral.</w:t>
      </w:r>
    </w:p>
    <w:p w14:paraId="235ACC0D" w14:textId="77777777" w:rsidR="006B5EEB" w:rsidRDefault="00C24176">
      <w:pPr>
        <w:numPr>
          <w:ilvl w:val="0"/>
          <w:numId w:val="1"/>
        </w:numPr>
        <w:tabs>
          <w:tab w:val="left" w:pos="8740"/>
        </w:tabs>
        <w:spacing w:before="240" w:after="240" w:line="276" w:lineRule="auto"/>
        <w:ind w:right="-220"/>
        <w:jc w:val="both"/>
        <w:rPr>
          <w:rFonts w:ascii="Georgia" w:eastAsia="Georgia" w:hAnsi="Georgia" w:cs="Georgia"/>
          <w:b/>
          <w:bCs/>
          <w:sz w:val="22"/>
          <w:szCs w:val="22"/>
        </w:rPr>
      </w:pPr>
      <w:r>
        <w:rPr>
          <w:rFonts w:ascii="Georgia" w:eastAsia="Georgia" w:hAnsi="Georgia" w:cs="Georgia"/>
          <w:b/>
          <w:bCs/>
          <w:sz w:val="22"/>
          <w:szCs w:val="22"/>
        </w:rPr>
        <w:t>Vulneración del Principio de Unidad de Materia</w:t>
      </w:r>
    </w:p>
    <w:p w14:paraId="6D52DBE5"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 xml:space="preserve">El título del proyecto de ley es: “Por medio del cual </w:t>
      </w:r>
      <w:r>
        <w:rPr>
          <w:rFonts w:ascii="Georgia" w:eastAsia="Georgia" w:hAnsi="Georgia" w:cs="Georgia"/>
          <w:sz w:val="22"/>
          <w:szCs w:val="22"/>
        </w:rPr>
        <w:t xml:space="preserve">se derogan los artículos 30, 32, 33 y se modifica el parágrafo único del artículo 38 de la Ley 996 de 2005, por medio de la cual se reglamenta la elección de </w:t>
      </w:r>
      <w:proofErr w:type="gramStart"/>
      <w:r>
        <w:rPr>
          <w:rFonts w:ascii="Georgia" w:eastAsia="Georgia" w:hAnsi="Georgia" w:cs="Georgia"/>
          <w:sz w:val="22"/>
          <w:szCs w:val="22"/>
        </w:rPr>
        <w:t>Presidente</w:t>
      </w:r>
      <w:proofErr w:type="gramEnd"/>
      <w:r>
        <w:rPr>
          <w:rFonts w:ascii="Georgia" w:eastAsia="Georgia" w:hAnsi="Georgia" w:cs="Georgia"/>
          <w:sz w:val="22"/>
          <w:szCs w:val="22"/>
        </w:rPr>
        <w:t xml:space="preserve"> de la República, de conformidad con el artículo 152 literal f) de la Constitución Polít</w:t>
      </w:r>
      <w:r>
        <w:rPr>
          <w:rFonts w:ascii="Georgia" w:eastAsia="Georgia" w:hAnsi="Georgia" w:cs="Georgia"/>
          <w:sz w:val="22"/>
          <w:szCs w:val="22"/>
        </w:rPr>
        <w:t>ica de Colombia, y de acuerdo con lo establecido en el Acto Legislativo 02 de 2004, y se dictan otras disposiciones.”</w:t>
      </w:r>
    </w:p>
    <w:p w14:paraId="1ECAE3D8"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Con este título, se anuncia que la iniciativa derogará los artículos 30, 32 y 33, y que modificará únicamente el parágrafo del artículo 38</w:t>
      </w:r>
      <w:r>
        <w:rPr>
          <w:rFonts w:ascii="Georgia" w:eastAsia="Georgia" w:hAnsi="Georgia" w:cs="Georgia"/>
          <w:sz w:val="22"/>
          <w:szCs w:val="22"/>
        </w:rPr>
        <w:t xml:space="preserve"> de la Ley 996 de 2005.</w:t>
      </w:r>
    </w:p>
    <w:p w14:paraId="68938E7D"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No obstante, del análisis del articulado se evidencia que el proyecto no deroga los artículos 30, 32 y 33, y que modifica el numeral 2 del artículo 38, además del parágrafo, lo cual no corresponde con lo anunciado en el título. Esta</w:t>
      </w:r>
      <w:r>
        <w:rPr>
          <w:rFonts w:ascii="Georgia" w:eastAsia="Georgia" w:hAnsi="Georgia" w:cs="Georgia"/>
          <w:sz w:val="22"/>
          <w:szCs w:val="22"/>
        </w:rPr>
        <w:t xml:space="preserve"> discrepancia significa una vulneración del principio de unidad de materia, establecido en el artículo 169 de la Constitución Política, el cual dispone “El título de las leyes deberá corresponder precisamente a su contenido (…)”.</w:t>
      </w:r>
    </w:p>
    <w:p w14:paraId="24AE58CB" w14:textId="4922B65F"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En igual sentido, la Corte</w:t>
      </w:r>
      <w:r>
        <w:rPr>
          <w:rFonts w:ascii="Georgia" w:eastAsia="Georgia" w:hAnsi="Georgia" w:cs="Georgia"/>
          <w:sz w:val="22"/>
          <w:szCs w:val="22"/>
        </w:rPr>
        <w:t xml:space="preserve"> Constitucional, en la sentencia C-133 de 2012, estableció las reglas para la aplicación de este principio en los procesos legislativos, señalando que:</w:t>
      </w:r>
    </w:p>
    <w:p w14:paraId="4F912768" w14:textId="768E38B7" w:rsidR="006B5EEB" w:rsidRDefault="00965996">
      <w:pPr>
        <w:tabs>
          <w:tab w:val="left" w:pos="8740"/>
        </w:tabs>
        <w:spacing w:before="240" w:after="240" w:line="276" w:lineRule="auto"/>
        <w:ind w:left="720" w:right="629"/>
        <w:jc w:val="both"/>
        <w:rPr>
          <w:rFonts w:ascii="Georgia" w:eastAsia="Georgia" w:hAnsi="Georgia" w:cs="Georgia"/>
          <w:sz w:val="22"/>
          <w:szCs w:val="22"/>
        </w:rPr>
      </w:pPr>
      <w:r>
        <w:rPr>
          <w:rFonts w:ascii="Georgia" w:eastAsia="Georgia" w:hAnsi="Georgia" w:cs="Georgia"/>
          <w:sz w:val="22"/>
          <w:szCs w:val="22"/>
        </w:rPr>
        <w:t>“(...)</w:t>
      </w:r>
      <w:r w:rsidR="00C24176">
        <w:rPr>
          <w:rFonts w:ascii="Georgia" w:eastAsia="Georgia" w:hAnsi="Georgia" w:cs="Georgia"/>
          <w:sz w:val="22"/>
          <w:szCs w:val="22"/>
        </w:rPr>
        <w:t xml:space="preserve"> la Corte ha destacado que el principio de unidad de materia se traduce en la exigencia de que e</w:t>
      </w:r>
      <w:r w:rsidR="00C24176">
        <w:rPr>
          <w:rFonts w:ascii="Georgia" w:eastAsia="Georgia" w:hAnsi="Georgia" w:cs="Georgia"/>
          <w:sz w:val="22"/>
          <w:szCs w:val="22"/>
        </w:rPr>
        <w:t>n toda ley debe existir correspondencia lógica entre el título y su contenido normativo, así como también, una relación de conexidad interna entre las distintas normas que la integran. Con ello, la propia Constitución Política le está fijando al Congreso d</w:t>
      </w:r>
      <w:r w:rsidR="00C24176">
        <w:rPr>
          <w:rFonts w:ascii="Georgia" w:eastAsia="Georgia" w:hAnsi="Georgia" w:cs="Georgia"/>
          <w:sz w:val="22"/>
          <w:szCs w:val="22"/>
        </w:rPr>
        <w:t xml:space="preserve">os condiciones específicas para el ejercicio de la función legislativa: (i) definir con  precisión, desde el mismo título del proyecto, cuáles habrán de ser las materias de que se va a </w:t>
      </w:r>
      <w:r w:rsidR="00C24176">
        <w:rPr>
          <w:rFonts w:ascii="Georgia" w:eastAsia="Georgia" w:hAnsi="Georgia" w:cs="Georgia"/>
          <w:sz w:val="22"/>
          <w:szCs w:val="22"/>
        </w:rPr>
        <w:lastRenderedPageBreak/>
        <w:t>ocupar al expedir la ley, y, simultáneamente, (</w:t>
      </w:r>
      <w:proofErr w:type="spellStart"/>
      <w:r w:rsidR="00C24176">
        <w:rPr>
          <w:rFonts w:ascii="Georgia" w:eastAsia="Georgia" w:hAnsi="Georgia" w:cs="Georgia"/>
          <w:sz w:val="22"/>
          <w:szCs w:val="22"/>
        </w:rPr>
        <w:t>ii</w:t>
      </w:r>
      <w:proofErr w:type="spellEnd"/>
      <w:r w:rsidR="00C24176">
        <w:rPr>
          <w:rFonts w:ascii="Georgia" w:eastAsia="Georgia" w:hAnsi="Georgia" w:cs="Georgia"/>
          <w:sz w:val="22"/>
          <w:szCs w:val="22"/>
        </w:rPr>
        <w:t>) mantener una estrict</w:t>
      </w:r>
      <w:r w:rsidR="00C24176">
        <w:rPr>
          <w:rFonts w:ascii="Georgia" w:eastAsia="Georgia" w:hAnsi="Georgia" w:cs="Georgia"/>
          <w:sz w:val="22"/>
          <w:szCs w:val="22"/>
        </w:rPr>
        <w:t>a relación interna, desde una perspectiva sustancial, entre las normas que harán parte de la ley, de manera que exista entre ellas coherencia temática y una clara correspondencia lógica con la materia general de la misma, resultando inadmisibles las modifi</w:t>
      </w:r>
      <w:r w:rsidR="00C24176">
        <w:rPr>
          <w:rFonts w:ascii="Georgia" w:eastAsia="Georgia" w:hAnsi="Georgia" w:cs="Georgia"/>
          <w:sz w:val="22"/>
          <w:szCs w:val="22"/>
        </w:rPr>
        <w:t>caciones respecto de las cuales no sea posible establecer esa relación de conexidad. Consecuencia de tales condiciones, sería, entonces, que el Congreso actúa en contravía del principio constitucional de unidad de materia, “cuando incluye cánones específic</w:t>
      </w:r>
      <w:r w:rsidR="00C24176">
        <w:rPr>
          <w:rFonts w:ascii="Georgia" w:eastAsia="Georgia" w:hAnsi="Georgia" w:cs="Georgia"/>
          <w:sz w:val="22"/>
          <w:szCs w:val="22"/>
        </w:rPr>
        <w:t>os que, o bien [no] encajan dentro del título que delimita la materia objeto de legislación, o bien no guardan relación interna con el contenido global del articulado”.</w:t>
      </w:r>
    </w:p>
    <w:p w14:paraId="0EA19B73"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De esta manera, se evidencia claramente una vulneración al principio de unidad de mater</w:t>
      </w:r>
      <w:r>
        <w:rPr>
          <w:rFonts w:ascii="Georgia" w:eastAsia="Georgia" w:hAnsi="Georgia" w:cs="Georgia"/>
          <w:sz w:val="22"/>
          <w:szCs w:val="22"/>
        </w:rPr>
        <w:t>ia debido a que el título de la iniciativa legislativa no es concordante con lo establecido en el contenido normativo de la misma. En este sentido, el proyecto de ley vulnera la primera condición establecida por la Corte Constitucional en la cual se debe d</w:t>
      </w:r>
      <w:r>
        <w:rPr>
          <w:rFonts w:ascii="Georgia" w:eastAsia="Georgia" w:hAnsi="Georgia" w:cs="Georgia"/>
          <w:sz w:val="22"/>
          <w:szCs w:val="22"/>
        </w:rPr>
        <w:t xml:space="preserve">efinir con precisión desde el título del proyecto las materias que se van a trabajar en la iniciativa. </w:t>
      </w:r>
    </w:p>
    <w:p w14:paraId="68D53602" w14:textId="77777777" w:rsidR="006B5EEB" w:rsidRDefault="00C24176">
      <w:pPr>
        <w:keepNext/>
        <w:keepLines/>
        <w:numPr>
          <w:ilvl w:val="0"/>
          <w:numId w:val="2"/>
        </w:numPr>
        <w:tabs>
          <w:tab w:val="left" w:pos="1500"/>
          <w:tab w:val="left" w:pos="1501"/>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Conclusiones </w:t>
      </w:r>
    </w:p>
    <w:p w14:paraId="5685E383"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El proyecto de ley resulta inconveniente porque elimina pilares que la Ley 996 de 2005 y la Corte Constitucional han considerado esenciales para proteger la transparencia y la igualdad electoral. La reforma propuesta pretende suprimir la prohibición de cel</w:t>
      </w:r>
      <w:r>
        <w:rPr>
          <w:rFonts w:ascii="Georgia" w:eastAsia="Georgia" w:hAnsi="Georgia" w:cs="Georgia"/>
          <w:sz w:val="22"/>
          <w:szCs w:val="22"/>
        </w:rPr>
        <w:t>ebrar convenios interadministrativos en los cuatro meses anteriores a cualquier elección, a pesar de que esta restricción ha sido reconocida como una medida necesaria para garantizar la neutralidad del Estado y evitar que los recursos públicos sean utiliza</w:t>
      </w:r>
      <w:r>
        <w:rPr>
          <w:rFonts w:ascii="Georgia" w:eastAsia="Georgia" w:hAnsi="Georgia" w:cs="Georgia"/>
          <w:sz w:val="22"/>
          <w:szCs w:val="22"/>
        </w:rPr>
        <w:t>dos de forma que alteren el equilibrio democrático. La propia Corte ha resaltado que esta prohibición tiene un estatus cualificado dentro del régimen estatutario, pues resguarda fines asociados a la ley de garantías y previene riesgos que pueden incidir ta</w:t>
      </w:r>
      <w:r>
        <w:rPr>
          <w:rFonts w:ascii="Georgia" w:eastAsia="Georgia" w:hAnsi="Georgia" w:cs="Georgia"/>
          <w:sz w:val="22"/>
          <w:szCs w:val="22"/>
        </w:rPr>
        <w:t xml:space="preserve">nto en la competencia entre candidatos como en la libertad del votante. </w:t>
      </w:r>
    </w:p>
    <w:p w14:paraId="6975EAEF"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Asimismo, el proyecto plantea permitir de manera excepcional el uso de bienes inmuebles públicos para actividades proselitistas mediante acuerdos u ordenanzas locales. No obstante, es</w:t>
      </w:r>
      <w:r>
        <w:rPr>
          <w:rFonts w:ascii="Georgia" w:eastAsia="Georgia" w:hAnsi="Georgia" w:cs="Georgia"/>
          <w:sz w:val="22"/>
          <w:szCs w:val="22"/>
        </w:rPr>
        <w:t xml:space="preserve">ta medida desconoce que la Corte Constitucional ha sido enfática en prohibir que la infraestructura estatal se utilice para favorecer intereses políticos, incluso bajo condiciones formales de igualdad. Al habilitar este tipo de usos, la iniciativa no solo </w:t>
      </w:r>
      <w:r>
        <w:rPr>
          <w:rFonts w:ascii="Georgia" w:eastAsia="Georgia" w:hAnsi="Georgia" w:cs="Georgia"/>
          <w:sz w:val="22"/>
          <w:szCs w:val="22"/>
        </w:rPr>
        <w:t>contradice el carácter estatutario del régimen de garantías, sino que abre la puerta a prácticas que comprometen la moralidad, la imparcialidad y la neutralidad con la que debe actuar la administración pública durante los periodos electorales.</w:t>
      </w:r>
    </w:p>
    <w:p w14:paraId="6BC2C490"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En conjunto,</w:t>
      </w:r>
      <w:r>
        <w:rPr>
          <w:rFonts w:ascii="Georgia" w:eastAsia="Georgia" w:hAnsi="Georgia" w:cs="Georgia"/>
          <w:sz w:val="22"/>
          <w:szCs w:val="22"/>
        </w:rPr>
        <w:t xml:space="preserve"> las modificaciones propuestas representan un retroceso injustificado en las garantías diseñadas para asegurar contiendas equilibradas y evitar la instrumentalización del poder público. La exposición de motivos del proyecto no ofrece argumentos que justifi</w:t>
      </w:r>
      <w:r>
        <w:rPr>
          <w:rFonts w:ascii="Georgia" w:eastAsia="Georgia" w:hAnsi="Georgia" w:cs="Georgia"/>
          <w:sz w:val="22"/>
          <w:szCs w:val="22"/>
        </w:rPr>
        <w:t xml:space="preserve">quen debilitar estas salvaguardas, y su aprobación generaría riesgos que la jurisprudencia ha identificado de manera reiterada. Por estas razones, y en atención a la protección del principio </w:t>
      </w:r>
      <w:r>
        <w:rPr>
          <w:rFonts w:ascii="Georgia" w:eastAsia="Georgia" w:hAnsi="Georgia" w:cs="Georgia"/>
          <w:sz w:val="22"/>
          <w:szCs w:val="22"/>
        </w:rPr>
        <w:lastRenderedPageBreak/>
        <w:t>democrático, la igualdad entre campañas y la confianza en la neut</w:t>
      </w:r>
      <w:r>
        <w:rPr>
          <w:rFonts w:ascii="Georgia" w:eastAsia="Georgia" w:hAnsi="Georgia" w:cs="Georgia"/>
          <w:sz w:val="22"/>
          <w:szCs w:val="22"/>
        </w:rPr>
        <w:t>ralidad del Estado, se recomienda archivar la iniciativa.</w:t>
      </w:r>
    </w:p>
    <w:p w14:paraId="29FBBE2D" w14:textId="77777777" w:rsidR="006B5EEB" w:rsidRDefault="00C24176">
      <w:pPr>
        <w:tabs>
          <w:tab w:val="left" w:pos="8740"/>
        </w:tabs>
        <w:spacing w:before="240" w:after="240" w:line="276" w:lineRule="auto"/>
        <w:ind w:right="-220"/>
        <w:jc w:val="both"/>
        <w:rPr>
          <w:rFonts w:ascii="Georgia" w:eastAsia="Georgia" w:hAnsi="Georgia" w:cs="Georgia"/>
          <w:sz w:val="22"/>
          <w:szCs w:val="22"/>
        </w:rPr>
      </w:pPr>
      <w:r>
        <w:rPr>
          <w:rFonts w:ascii="Georgia" w:eastAsia="Georgia" w:hAnsi="Georgia" w:cs="Georgia"/>
          <w:sz w:val="22"/>
          <w:szCs w:val="22"/>
        </w:rPr>
        <w:t>Finalmente, se evidencia claramente una vulneración al principio de unidad de materia debido a que el título de la iniciativa legislativa no es concordante con lo establecido en el contenido normati</w:t>
      </w:r>
      <w:r>
        <w:rPr>
          <w:rFonts w:ascii="Georgia" w:eastAsia="Georgia" w:hAnsi="Georgia" w:cs="Georgia"/>
          <w:sz w:val="22"/>
          <w:szCs w:val="22"/>
        </w:rPr>
        <w:t>vo del mismo.</w:t>
      </w:r>
    </w:p>
    <w:p w14:paraId="39BB938C" w14:textId="77777777" w:rsidR="006B5EEB" w:rsidRDefault="00C24176">
      <w:pPr>
        <w:keepNext/>
        <w:keepLines/>
        <w:numPr>
          <w:ilvl w:val="0"/>
          <w:numId w:val="2"/>
        </w:numPr>
        <w:tabs>
          <w:tab w:val="left" w:pos="1500"/>
          <w:tab w:val="left" w:pos="1501"/>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Conflicto de intereses </w:t>
      </w:r>
    </w:p>
    <w:p w14:paraId="6C183B79" w14:textId="77777777" w:rsidR="006B5EEB" w:rsidRDefault="006B5EEB">
      <w:pPr>
        <w:widowControl w:val="0"/>
        <w:tabs>
          <w:tab w:val="left" w:pos="8740"/>
        </w:tabs>
        <w:spacing w:line="276" w:lineRule="auto"/>
        <w:ind w:right="-220"/>
        <w:jc w:val="both"/>
        <w:rPr>
          <w:rFonts w:ascii="Georgia" w:eastAsia="Georgia" w:hAnsi="Georgia" w:cs="Georgia"/>
          <w:b/>
          <w:bCs/>
          <w:sz w:val="22"/>
          <w:szCs w:val="22"/>
        </w:rPr>
      </w:pPr>
    </w:p>
    <w:p w14:paraId="78AE7416" w14:textId="77777777" w:rsidR="006B5EEB" w:rsidRDefault="00C24176">
      <w:pPr>
        <w:shd w:val="clear" w:color="auto" w:fill="FFFFFF"/>
        <w:tabs>
          <w:tab w:val="left" w:pos="8740"/>
        </w:tabs>
        <w:spacing w:line="276" w:lineRule="auto"/>
        <w:jc w:val="both"/>
        <w:rPr>
          <w:rFonts w:ascii="Georgia" w:eastAsia="Georgia" w:hAnsi="Georgia" w:cs="Georgia"/>
          <w:sz w:val="22"/>
          <w:szCs w:val="22"/>
        </w:rPr>
      </w:pPr>
      <w:r>
        <w:rPr>
          <w:rFonts w:ascii="Georgia" w:eastAsia="Georgia" w:hAnsi="Georgia" w:cs="Georgia"/>
          <w:sz w:val="22"/>
          <w:szCs w:val="22"/>
        </w:rPr>
        <w:t xml:space="preserve">Dando alcance a lo establecido en el artículo 3 de la Ley 2003 de 2019, </w:t>
      </w:r>
      <w:r>
        <w:rPr>
          <w:rFonts w:ascii="Georgia" w:eastAsia="Georgia" w:hAnsi="Georgia" w:cs="Georgia"/>
          <w:i/>
          <w:iCs/>
          <w:sz w:val="22"/>
          <w:szCs w:val="22"/>
        </w:rPr>
        <w:t>“Por la cual se modifica parcialmente la Ley 5 de 1992”</w:t>
      </w:r>
      <w:r>
        <w:rPr>
          <w:rFonts w:ascii="Georgia" w:eastAsia="Georgia" w:hAnsi="Georgia" w:cs="Georgia"/>
          <w:sz w:val="22"/>
          <w:szCs w:val="22"/>
        </w:rPr>
        <w:t>, se hacen las siguientes consideraciones de conformidad con el artículo 286 de la Ley 5 d</w:t>
      </w:r>
      <w:r>
        <w:rPr>
          <w:rFonts w:ascii="Georgia" w:eastAsia="Georgia" w:hAnsi="Georgia" w:cs="Georgia"/>
          <w:sz w:val="22"/>
          <w:szCs w:val="22"/>
        </w:rPr>
        <w:t>e 1992, modificado por el artículo 1 de la Ley 2003 de 2019, que establece:</w:t>
      </w:r>
    </w:p>
    <w:p w14:paraId="57A855D2" w14:textId="77777777" w:rsidR="006B5EEB" w:rsidRDefault="00C24176">
      <w:pPr>
        <w:shd w:val="clear" w:color="auto" w:fill="FFFFFF"/>
        <w:tabs>
          <w:tab w:val="left" w:pos="8740"/>
        </w:tabs>
        <w:spacing w:line="276" w:lineRule="auto"/>
        <w:jc w:val="both"/>
        <w:rPr>
          <w:rFonts w:ascii="Georgia" w:eastAsia="Georgia" w:hAnsi="Georgia" w:cs="Georgia"/>
          <w:sz w:val="22"/>
          <w:szCs w:val="22"/>
        </w:rPr>
      </w:pPr>
      <w:r>
        <w:rPr>
          <w:rFonts w:ascii="Georgia" w:eastAsia="Georgia" w:hAnsi="Georgia" w:cs="Georgia"/>
          <w:sz w:val="22"/>
          <w:szCs w:val="22"/>
        </w:rPr>
        <w:t xml:space="preserve"> </w:t>
      </w:r>
    </w:p>
    <w:p w14:paraId="6FF12D6E"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w:t>
      </w:r>
      <w:r>
        <w:rPr>
          <w:rFonts w:ascii="Georgia" w:eastAsia="Georgia" w:hAnsi="Georgia" w:cs="Georgia"/>
          <w:b/>
          <w:bCs/>
          <w:i/>
          <w:iCs/>
          <w:sz w:val="22"/>
          <w:szCs w:val="22"/>
        </w:rPr>
        <w:t>Artículo 286. Régimen de conflicto de interés de los congresistas.</w:t>
      </w:r>
      <w:r>
        <w:rPr>
          <w:rFonts w:ascii="Georgia" w:eastAsia="Georgia" w:hAnsi="Georgia" w:cs="Georgia"/>
          <w:i/>
          <w:iCs/>
          <w:sz w:val="22"/>
          <w:szCs w:val="22"/>
        </w:rPr>
        <w:t xml:space="preserve"> Todos los congresistas deberán declarar los conflictos de intereses que pudieran surgir en ejercicio de sus funciones.</w:t>
      </w:r>
    </w:p>
    <w:p w14:paraId="1268D47E"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 xml:space="preserve"> </w:t>
      </w:r>
    </w:p>
    <w:p w14:paraId="5AAC9F3E"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Se entiende como conflicto de interés una situación donde la discusión o votación de un proyecto de ley o acto legislativo o artículo,</w:t>
      </w:r>
      <w:r>
        <w:rPr>
          <w:rFonts w:ascii="Georgia" w:eastAsia="Georgia" w:hAnsi="Georgia" w:cs="Georgia"/>
          <w:i/>
          <w:iCs/>
          <w:sz w:val="22"/>
          <w:szCs w:val="22"/>
        </w:rPr>
        <w:t xml:space="preserve"> pueda resultar en un beneficio particular, actual y directo a favor del congresista.</w:t>
      </w:r>
    </w:p>
    <w:p w14:paraId="2B65F394"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 xml:space="preserve">a)        Beneficio particular: aquel que otorga un privilegio o genera ganancias o crea indemnizaciones económicas o elimina obligaciones a favor del congresista de las </w:t>
      </w:r>
      <w:r>
        <w:rPr>
          <w:rFonts w:ascii="Georgia" w:eastAsia="Georgia" w:hAnsi="Georgia" w:cs="Georgia"/>
          <w:i/>
          <w:iCs/>
          <w:sz w:val="22"/>
          <w:szCs w:val="22"/>
        </w:rPr>
        <w:t>que no gozan el resto de los ciudadanos. Modifique normas que afecten investigaciones penales, disciplinarias, fiscales o administrativas a las que se encuentre formalmente vinculado.</w:t>
      </w:r>
    </w:p>
    <w:p w14:paraId="013E3762"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 xml:space="preserve">b)        Beneficio actual: aquel que efectivamente se configura en las </w:t>
      </w:r>
      <w:r>
        <w:rPr>
          <w:rFonts w:ascii="Georgia" w:eastAsia="Georgia" w:hAnsi="Georgia" w:cs="Georgia"/>
          <w:i/>
          <w:iCs/>
          <w:sz w:val="22"/>
          <w:szCs w:val="22"/>
        </w:rPr>
        <w:t>circunstancias presentes y existentes al momento en el que el congresista participa de la decisión.</w:t>
      </w:r>
    </w:p>
    <w:p w14:paraId="4ADF4A12"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c)         Beneficio directo: aquel que se produzca de forma específica respecto del congresista, de su cónyuge, compañero o compañera permanente, o parient</w:t>
      </w:r>
      <w:r>
        <w:rPr>
          <w:rFonts w:ascii="Georgia" w:eastAsia="Georgia" w:hAnsi="Georgia" w:cs="Georgia"/>
          <w:i/>
          <w:iCs/>
          <w:sz w:val="22"/>
          <w:szCs w:val="22"/>
        </w:rPr>
        <w:t>es dentro del segundo grado de consanguinidad, segundo de afinidad o primero civil.</w:t>
      </w:r>
    </w:p>
    <w:p w14:paraId="73297977"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w:t>
      </w:r>
    </w:p>
    <w:p w14:paraId="1925C93D" w14:textId="77777777" w:rsidR="006B5EEB" w:rsidRDefault="00C24176">
      <w:pPr>
        <w:shd w:val="clear" w:color="auto" w:fill="FFFFFF"/>
        <w:tabs>
          <w:tab w:val="left" w:pos="8740"/>
        </w:tabs>
        <w:spacing w:line="276" w:lineRule="auto"/>
        <w:ind w:left="720"/>
        <w:jc w:val="both"/>
        <w:rPr>
          <w:rFonts w:ascii="Georgia" w:eastAsia="Georgia" w:hAnsi="Georgia" w:cs="Georgia"/>
          <w:sz w:val="22"/>
          <w:szCs w:val="22"/>
        </w:rPr>
      </w:pPr>
      <w:r>
        <w:rPr>
          <w:rFonts w:ascii="Georgia" w:eastAsia="Georgia" w:hAnsi="Georgia" w:cs="Georgia"/>
          <w:sz w:val="22"/>
          <w:szCs w:val="22"/>
        </w:rPr>
        <w:t xml:space="preserve">                                                                                                   </w:t>
      </w:r>
    </w:p>
    <w:p w14:paraId="59A5D824" w14:textId="77777777" w:rsidR="006B5EEB" w:rsidRDefault="00C24176">
      <w:pPr>
        <w:shd w:val="clear" w:color="auto" w:fill="FFFFFF"/>
        <w:tabs>
          <w:tab w:val="left" w:pos="8740"/>
        </w:tabs>
        <w:spacing w:line="276" w:lineRule="auto"/>
        <w:jc w:val="both"/>
        <w:rPr>
          <w:rFonts w:ascii="Georgia" w:eastAsia="Georgia" w:hAnsi="Georgia" w:cs="Georgia"/>
          <w:sz w:val="22"/>
          <w:szCs w:val="22"/>
        </w:rPr>
      </w:pPr>
      <w:r>
        <w:rPr>
          <w:rFonts w:ascii="Georgia" w:eastAsia="Georgia" w:hAnsi="Georgia" w:cs="Georgia"/>
          <w:sz w:val="22"/>
          <w:szCs w:val="22"/>
        </w:rPr>
        <w:t>Sobre este asunto la Sala Plena Contenciosa Administrativa del Honorable Consejo de Estado en su sentencia 02830 del 16 de julio de 2019, M.P. Carlos Enrique Moreno Rubio, señaló que:</w:t>
      </w:r>
    </w:p>
    <w:p w14:paraId="4A61B2A5" w14:textId="77777777" w:rsidR="006B5EEB" w:rsidRDefault="00C24176">
      <w:pPr>
        <w:shd w:val="clear" w:color="auto" w:fill="FFFFFF"/>
        <w:tabs>
          <w:tab w:val="left" w:pos="8740"/>
        </w:tabs>
        <w:spacing w:line="276" w:lineRule="auto"/>
        <w:ind w:left="720"/>
        <w:jc w:val="both"/>
        <w:rPr>
          <w:rFonts w:ascii="Georgia" w:eastAsia="Georgia" w:hAnsi="Georgia" w:cs="Georgia"/>
          <w:sz w:val="22"/>
          <w:szCs w:val="22"/>
        </w:rPr>
      </w:pPr>
      <w:r>
        <w:rPr>
          <w:rFonts w:ascii="Georgia" w:eastAsia="Georgia" w:hAnsi="Georgia" w:cs="Georgia"/>
          <w:sz w:val="22"/>
          <w:szCs w:val="22"/>
        </w:rPr>
        <w:t xml:space="preserve"> </w:t>
      </w:r>
    </w:p>
    <w:p w14:paraId="210F4E6B" w14:textId="77777777" w:rsidR="006B5EEB" w:rsidRDefault="00C24176">
      <w:pPr>
        <w:shd w:val="clear" w:color="auto" w:fill="FFFFFF"/>
        <w:tabs>
          <w:tab w:val="left" w:pos="8740"/>
        </w:tabs>
        <w:spacing w:line="276" w:lineRule="auto"/>
        <w:ind w:left="720"/>
        <w:jc w:val="both"/>
        <w:rPr>
          <w:rFonts w:ascii="Georgia" w:eastAsia="Georgia" w:hAnsi="Georgia" w:cs="Georgia"/>
          <w:i/>
          <w:iCs/>
          <w:sz w:val="22"/>
          <w:szCs w:val="22"/>
        </w:rPr>
      </w:pPr>
      <w:r>
        <w:rPr>
          <w:rFonts w:ascii="Georgia" w:eastAsia="Georgia" w:hAnsi="Georgia" w:cs="Georgia"/>
          <w:i/>
          <w:iCs/>
          <w:sz w:val="22"/>
          <w:szCs w:val="22"/>
        </w:rPr>
        <w:t>“No cualquier interés configura la causal de desinvestidura en comento</w:t>
      </w:r>
      <w:r>
        <w:rPr>
          <w:rFonts w:ascii="Georgia" w:eastAsia="Georgia" w:hAnsi="Georgia" w:cs="Georgia"/>
          <w:i/>
          <w:iCs/>
          <w:sz w:val="22"/>
          <w:szCs w:val="22"/>
        </w:rPr>
        <w:t xml:space="preserve">, pues se sabe que sólo lo será aquél del que se pueda predicar que es directo, esto es, que per se </w:t>
      </w:r>
      <w:proofErr w:type="spellStart"/>
      <w:r>
        <w:rPr>
          <w:rFonts w:ascii="Georgia" w:eastAsia="Georgia" w:hAnsi="Georgia" w:cs="Georgia"/>
          <w:i/>
          <w:iCs/>
          <w:sz w:val="22"/>
          <w:szCs w:val="22"/>
        </w:rPr>
        <w:t>el</w:t>
      </w:r>
      <w:proofErr w:type="spellEnd"/>
      <w:r>
        <w:rPr>
          <w:rFonts w:ascii="Georgia" w:eastAsia="Georgia" w:hAnsi="Georgia" w:cs="Georgia"/>
          <w:i/>
          <w:iCs/>
          <w:sz w:val="22"/>
          <w:szCs w:val="22"/>
        </w:rPr>
        <w:t xml:space="preserve"> alegado beneficio, provecho o utilidad encuentre su fuente en el asunto que fue conocido por el legislador; particular, que el mismo sea específico o per</w:t>
      </w:r>
      <w:r>
        <w:rPr>
          <w:rFonts w:ascii="Georgia" w:eastAsia="Georgia" w:hAnsi="Georgia" w:cs="Georgia"/>
          <w:i/>
          <w:iCs/>
          <w:sz w:val="22"/>
          <w:szCs w:val="22"/>
        </w:rPr>
        <w:t xml:space="preserve">sonal, bien para el congresista o quienes se encuentren relacionados con él; y actual o inmediato, que concurra para el momento en que ocurrió la participación o </w:t>
      </w:r>
      <w:r>
        <w:rPr>
          <w:rFonts w:ascii="Georgia" w:eastAsia="Georgia" w:hAnsi="Georgia" w:cs="Georgia"/>
          <w:i/>
          <w:iCs/>
          <w:sz w:val="22"/>
          <w:szCs w:val="22"/>
        </w:rPr>
        <w:lastRenderedPageBreak/>
        <w:t>votación del congresista, lo que excluye sucesos contingentes, futuros o imprevisibles. Tambié</w:t>
      </w:r>
      <w:r>
        <w:rPr>
          <w:rFonts w:ascii="Georgia" w:eastAsia="Georgia" w:hAnsi="Georgia" w:cs="Georgia"/>
          <w:i/>
          <w:iCs/>
          <w:sz w:val="22"/>
          <w:szCs w:val="22"/>
        </w:rPr>
        <w:t>n se tiene noticia que el interés puede ser de cualquier naturaleza, esto es, económico o moral, sin distinción alguna”.</w:t>
      </w:r>
    </w:p>
    <w:p w14:paraId="6340169E" w14:textId="77777777" w:rsidR="006B5EEB" w:rsidRDefault="00C24176">
      <w:pPr>
        <w:shd w:val="clear" w:color="auto" w:fill="FFFFFF"/>
        <w:tabs>
          <w:tab w:val="left" w:pos="8740"/>
        </w:tabs>
        <w:spacing w:line="276" w:lineRule="auto"/>
        <w:jc w:val="both"/>
        <w:rPr>
          <w:rFonts w:ascii="Georgia" w:eastAsia="Georgia" w:hAnsi="Georgia" w:cs="Georgia"/>
          <w:sz w:val="22"/>
          <w:szCs w:val="22"/>
        </w:rPr>
      </w:pPr>
      <w:r>
        <w:rPr>
          <w:rFonts w:ascii="Georgia" w:eastAsia="Georgia" w:hAnsi="Georgia" w:cs="Georgia"/>
          <w:sz w:val="22"/>
          <w:szCs w:val="22"/>
        </w:rPr>
        <w:t xml:space="preserve"> </w:t>
      </w:r>
    </w:p>
    <w:p w14:paraId="2CB08AA2" w14:textId="77777777" w:rsidR="006B5EEB" w:rsidRDefault="00C24176">
      <w:pPr>
        <w:shd w:val="clear" w:color="auto" w:fill="FFFFFF"/>
        <w:tabs>
          <w:tab w:val="left" w:pos="8740"/>
        </w:tabs>
        <w:spacing w:line="276" w:lineRule="auto"/>
        <w:jc w:val="both"/>
        <w:rPr>
          <w:rFonts w:ascii="Georgia" w:eastAsia="Georgia" w:hAnsi="Georgia" w:cs="Georgia"/>
          <w:sz w:val="22"/>
          <w:szCs w:val="22"/>
        </w:rPr>
      </w:pPr>
      <w:r>
        <w:rPr>
          <w:rFonts w:ascii="Georgia" w:eastAsia="Georgia" w:hAnsi="Georgia" w:cs="Georgia"/>
          <w:sz w:val="22"/>
          <w:szCs w:val="22"/>
        </w:rPr>
        <w:t>En cumplimiento de lo acordado por el artículo 291 de la Ley 5 de 1992, no se encuentran circunstancias de impedimento al no evidenci</w:t>
      </w:r>
      <w:r>
        <w:rPr>
          <w:rFonts w:ascii="Georgia" w:eastAsia="Georgia" w:hAnsi="Georgia" w:cs="Georgia"/>
          <w:sz w:val="22"/>
          <w:szCs w:val="22"/>
        </w:rPr>
        <w:t xml:space="preserve">arse beneficios particulares, actuales y directos con relación a las disposiciones del presente proyecto de ley. </w:t>
      </w:r>
    </w:p>
    <w:p w14:paraId="0BC33D86" w14:textId="77777777" w:rsidR="006B5EEB" w:rsidRDefault="006B5EEB">
      <w:pPr>
        <w:shd w:val="clear" w:color="auto" w:fill="FFFFFF"/>
        <w:tabs>
          <w:tab w:val="left" w:pos="8740"/>
        </w:tabs>
        <w:spacing w:line="276" w:lineRule="auto"/>
        <w:ind w:right="-220"/>
        <w:jc w:val="both"/>
        <w:rPr>
          <w:rFonts w:ascii="Georgia" w:eastAsia="Georgia" w:hAnsi="Georgia" w:cs="Georgia"/>
          <w:sz w:val="22"/>
          <w:szCs w:val="22"/>
        </w:rPr>
      </w:pPr>
    </w:p>
    <w:p w14:paraId="5C1BFAE5" w14:textId="77777777" w:rsidR="006B5EEB" w:rsidRDefault="00C24176">
      <w:pPr>
        <w:keepNext/>
        <w:keepLines/>
        <w:pBdr>
          <w:top w:val="nil"/>
          <w:left w:val="nil"/>
          <w:bottom w:val="nil"/>
          <w:right w:val="nil"/>
          <w:between w:val="nil"/>
        </w:pBdr>
        <w:tabs>
          <w:tab w:val="left" w:pos="1500"/>
          <w:tab w:val="left" w:pos="1501"/>
          <w:tab w:val="left" w:pos="8740"/>
        </w:tabs>
        <w:spacing w:line="276" w:lineRule="auto"/>
        <w:ind w:right="-220"/>
        <w:jc w:val="both"/>
        <w:rPr>
          <w:rFonts w:ascii="Georgia" w:eastAsia="Georgia" w:hAnsi="Georgia" w:cs="Georgia"/>
          <w:sz w:val="22"/>
          <w:szCs w:val="22"/>
        </w:rPr>
      </w:pPr>
      <w:r>
        <w:rPr>
          <w:rFonts w:ascii="Georgia" w:eastAsia="Georgia" w:hAnsi="Georgia" w:cs="Georgia"/>
          <w:b/>
          <w:bCs/>
          <w:sz w:val="22"/>
          <w:szCs w:val="22"/>
        </w:rPr>
        <w:t xml:space="preserve">VIII. </w:t>
      </w:r>
      <w:r>
        <w:rPr>
          <w:rFonts w:ascii="Georgia" w:eastAsia="Georgia" w:hAnsi="Georgia" w:cs="Georgia"/>
          <w:b/>
          <w:bCs/>
          <w:sz w:val="22"/>
          <w:szCs w:val="22"/>
        </w:rPr>
        <w:t xml:space="preserve">Proposición </w:t>
      </w:r>
    </w:p>
    <w:p w14:paraId="38750C64" w14:textId="77777777" w:rsidR="006B5EEB" w:rsidRDefault="006B5EEB">
      <w:pPr>
        <w:keepNext/>
        <w:keepLines/>
        <w:tabs>
          <w:tab w:val="left" w:pos="1500"/>
          <w:tab w:val="left" w:pos="1501"/>
          <w:tab w:val="left" w:pos="8740"/>
        </w:tabs>
        <w:spacing w:line="276" w:lineRule="auto"/>
        <w:ind w:right="-220"/>
        <w:jc w:val="both"/>
        <w:rPr>
          <w:rFonts w:ascii="Georgia" w:eastAsia="Georgia" w:hAnsi="Georgia" w:cs="Georgia"/>
          <w:b/>
          <w:bCs/>
          <w:sz w:val="22"/>
          <w:szCs w:val="22"/>
        </w:rPr>
      </w:pPr>
    </w:p>
    <w:p w14:paraId="7D693310" w14:textId="77777777" w:rsidR="006B5EEB" w:rsidRDefault="00C24176">
      <w:pPr>
        <w:keepNext/>
        <w:keepLines/>
        <w:tabs>
          <w:tab w:val="left" w:pos="1500"/>
          <w:tab w:val="left" w:pos="1501"/>
          <w:tab w:val="left" w:pos="8740"/>
        </w:tabs>
        <w:spacing w:line="276" w:lineRule="auto"/>
        <w:ind w:right="-220"/>
        <w:jc w:val="both"/>
        <w:rPr>
          <w:rFonts w:ascii="Georgia" w:eastAsia="Georgia" w:hAnsi="Georgia" w:cs="Georgia"/>
          <w:i/>
          <w:iCs/>
          <w:sz w:val="22"/>
          <w:szCs w:val="22"/>
        </w:rPr>
      </w:pPr>
      <w:r>
        <w:rPr>
          <w:rFonts w:ascii="Georgia" w:eastAsia="Georgia" w:hAnsi="Georgia" w:cs="Georgia"/>
          <w:sz w:val="22"/>
          <w:szCs w:val="22"/>
        </w:rPr>
        <w:t>En virtud de las consideraciones anteriormente expuestas, se rinde ponencia negativa para primer debate, y en consecuenci</w:t>
      </w:r>
      <w:r>
        <w:rPr>
          <w:rFonts w:ascii="Georgia" w:eastAsia="Georgia" w:hAnsi="Georgia" w:cs="Georgia"/>
          <w:sz w:val="22"/>
          <w:szCs w:val="22"/>
        </w:rPr>
        <w:t xml:space="preserve">a, solicitamos a los miembros de la Comisión Primera de la Cámara de Representantes </w:t>
      </w:r>
      <w:r>
        <w:rPr>
          <w:rFonts w:ascii="Georgia" w:eastAsia="Georgia" w:hAnsi="Georgia" w:cs="Georgia"/>
          <w:b/>
          <w:bCs/>
          <w:sz w:val="22"/>
          <w:szCs w:val="22"/>
          <w:u w:val="single"/>
        </w:rPr>
        <w:t>ARCHIVAR</w:t>
      </w:r>
      <w:r>
        <w:rPr>
          <w:rFonts w:ascii="Georgia" w:eastAsia="Georgia" w:hAnsi="Georgia" w:cs="Georgia"/>
          <w:sz w:val="22"/>
          <w:szCs w:val="22"/>
        </w:rPr>
        <w:t xml:space="preserve">  el Proyecto de Ley Estatutaria 348 de 2025 Cámara </w:t>
      </w:r>
      <w:r>
        <w:rPr>
          <w:rFonts w:ascii="Georgia" w:eastAsia="Georgia" w:hAnsi="Georgia" w:cs="Georgia"/>
          <w:i/>
          <w:iCs/>
          <w:sz w:val="22"/>
          <w:szCs w:val="22"/>
        </w:rPr>
        <w:t>“Por medio del cual se derogan los artículos 30, 32, 33 y se modifica el parágrafo único del artículo 38 de la ley 996 de 2005, por medio de la cual se reglamenta la elección de Presidente de la República, de conformidad con el artículo 152 literal f) de l</w:t>
      </w:r>
      <w:r>
        <w:rPr>
          <w:rFonts w:ascii="Georgia" w:eastAsia="Georgia" w:hAnsi="Georgia" w:cs="Georgia"/>
          <w:i/>
          <w:iCs/>
          <w:sz w:val="22"/>
          <w:szCs w:val="22"/>
        </w:rPr>
        <w:t>a Constitución Política de Colombia, y de acuerdo con lo establecido en el Acto Legislativo 02 de 2004, y se dictan otras disposiciones.”.</w:t>
      </w:r>
    </w:p>
    <w:p w14:paraId="47D8EBBE" w14:textId="77777777" w:rsidR="006B5EEB" w:rsidRDefault="006B5EEB">
      <w:pPr>
        <w:keepNext/>
        <w:keepLines/>
        <w:tabs>
          <w:tab w:val="left" w:pos="1500"/>
          <w:tab w:val="left" w:pos="1501"/>
          <w:tab w:val="left" w:pos="8740"/>
        </w:tabs>
        <w:spacing w:line="276" w:lineRule="auto"/>
        <w:ind w:right="-220"/>
        <w:jc w:val="both"/>
        <w:rPr>
          <w:rFonts w:ascii="Georgia" w:eastAsia="Georgia" w:hAnsi="Georgia" w:cs="Georgia"/>
          <w:sz w:val="22"/>
          <w:szCs w:val="22"/>
        </w:rPr>
      </w:pPr>
    </w:p>
    <w:p w14:paraId="67D8A679" w14:textId="77777777" w:rsidR="006B5EEB" w:rsidRDefault="00C24176">
      <w:pPr>
        <w:tabs>
          <w:tab w:val="left" w:pos="8740"/>
        </w:tabs>
        <w:spacing w:line="276" w:lineRule="auto"/>
        <w:ind w:right="-220"/>
        <w:rPr>
          <w:rFonts w:ascii="Georgia" w:eastAsia="Georgia" w:hAnsi="Georgia" w:cs="Georgia"/>
          <w:sz w:val="22"/>
          <w:szCs w:val="22"/>
        </w:rPr>
      </w:pPr>
      <w:r>
        <w:rPr>
          <w:rFonts w:ascii="Georgia" w:eastAsia="Georgia" w:hAnsi="Georgia" w:cs="Georgia"/>
          <w:sz w:val="22"/>
          <w:szCs w:val="22"/>
        </w:rPr>
        <w:t>Atentamente,</w:t>
      </w:r>
    </w:p>
    <w:p w14:paraId="7D77509C" w14:textId="77777777" w:rsidR="006B5EEB" w:rsidRDefault="006B5EEB">
      <w:pPr>
        <w:tabs>
          <w:tab w:val="left" w:pos="8740"/>
        </w:tabs>
        <w:spacing w:line="276" w:lineRule="auto"/>
        <w:ind w:right="-220"/>
        <w:rPr>
          <w:rFonts w:ascii="Georgia" w:eastAsia="Georgia" w:hAnsi="Georgia" w:cs="Georgia"/>
          <w:sz w:val="22"/>
          <w:szCs w:val="22"/>
        </w:rPr>
      </w:pPr>
    </w:p>
    <w:p w14:paraId="655C7D03" w14:textId="34A2A3E3" w:rsidR="006B5EEB" w:rsidRDefault="006B5EEB">
      <w:pPr>
        <w:tabs>
          <w:tab w:val="left" w:pos="8740"/>
        </w:tabs>
        <w:spacing w:line="276" w:lineRule="auto"/>
        <w:ind w:right="-220"/>
        <w:jc w:val="both"/>
        <w:rPr>
          <w:rFonts w:ascii="Georgia" w:eastAsia="Georgia" w:hAnsi="Georgia" w:cs="Georgia"/>
          <w:sz w:val="22"/>
          <w:szCs w:val="22"/>
        </w:rPr>
      </w:pPr>
    </w:p>
    <w:p w14:paraId="5E760FD5" w14:textId="77777777" w:rsidR="00965996" w:rsidRDefault="00965996">
      <w:pPr>
        <w:tabs>
          <w:tab w:val="left" w:pos="8740"/>
        </w:tabs>
        <w:spacing w:line="276" w:lineRule="auto"/>
        <w:ind w:right="-220"/>
        <w:jc w:val="both"/>
        <w:rPr>
          <w:rFonts w:ascii="Georgia" w:eastAsia="Georgia" w:hAnsi="Georgia" w:cs="Georgia"/>
          <w:sz w:val="22"/>
          <w:szCs w:val="22"/>
        </w:rPr>
      </w:pPr>
    </w:p>
    <w:p w14:paraId="2834BE2C" w14:textId="77777777" w:rsidR="006B5EEB" w:rsidRDefault="006B5EEB">
      <w:pPr>
        <w:tabs>
          <w:tab w:val="left" w:pos="8740"/>
        </w:tabs>
        <w:spacing w:line="276" w:lineRule="auto"/>
        <w:ind w:right="-220"/>
        <w:jc w:val="both"/>
        <w:rPr>
          <w:rFonts w:ascii="Georgia" w:eastAsia="Georgia" w:hAnsi="Georgia" w:cs="Georgia"/>
          <w:sz w:val="22"/>
          <w:szCs w:val="22"/>
        </w:rPr>
      </w:pPr>
    </w:p>
    <w:p w14:paraId="0A706EE9"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ALIRIO URIBE MUÑOZ                                        SANTIAGO OSORIO MARÍN                               </w:t>
      </w:r>
    </w:p>
    <w:p w14:paraId="165B9AB8"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Representante a la Cámara                                 Representante a la Cámara </w:t>
      </w:r>
    </w:p>
    <w:p w14:paraId="534B2F8D"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r>
        <w:rPr>
          <w:rFonts w:ascii="Georgia" w:eastAsia="Georgia" w:hAnsi="Georgia" w:cs="Georgia"/>
          <w:b/>
          <w:bCs/>
          <w:sz w:val="22"/>
          <w:szCs w:val="22"/>
        </w:rPr>
        <w:t xml:space="preserve">                  </w:t>
      </w:r>
      <w:proofErr w:type="spellStart"/>
      <w:r>
        <w:rPr>
          <w:rFonts w:ascii="Georgia" w:eastAsia="Georgia" w:hAnsi="Georgia" w:cs="Georgia"/>
          <w:b/>
          <w:bCs/>
          <w:sz w:val="22"/>
          <w:szCs w:val="22"/>
        </w:rPr>
        <w:t>Ponente</w:t>
      </w:r>
      <w:proofErr w:type="spellEnd"/>
      <w:r>
        <w:rPr>
          <w:rFonts w:ascii="Georgia" w:eastAsia="Georgia" w:hAnsi="Georgia" w:cs="Georgia"/>
          <w:b/>
          <w:bCs/>
          <w:sz w:val="22"/>
          <w:szCs w:val="22"/>
        </w:rPr>
        <w:t xml:space="preserve"> </w:t>
      </w:r>
    </w:p>
    <w:p w14:paraId="066C2299"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D77EA0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C5ABD7A"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4023D98C"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A5D9CD0"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LUIS ALBERTO ALBÁN                                        ANA PAOLA GARCIA</w:t>
      </w:r>
    </w:p>
    <w:p w14:paraId="34559FF2"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Representante a la Cámara                                 Representante a la Cámara</w:t>
      </w:r>
    </w:p>
    <w:p w14:paraId="53E5CC39"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r>
        <w:rPr>
          <w:rFonts w:ascii="Georgia" w:eastAsia="Georgia" w:hAnsi="Georgia" w:cs="Georgia"/>
          <w:b/>
          <w:bCs/>
          <w:sz w:val="22"/>
          <w:szCs w:val="22"/>
        </w:rPr>
        <w:t xml:space="preserve">            </w:t>
      </w:r>
      <w:proofErr w:type="spellStart"/>
      <w:r>
        <w:rPr>
          <w:rFonts w:ascii="Georgia" w:eastAsia="Georgia" w:hAnsi="Georgia" w:cs="Georgia"/>
          <w:b/>
          <w:bCs/>
          <w:sz w:val="22"/>
          <w:szCs w:val="22"/>
        </w:rPr>
        <w:t>Ponente</w:t>
      </w:r>
      <w:proofErr w:type="spellEnd"/>
    </w:p>
    <w:p w14:paraId="31D88139"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9E22B5E"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4A68FD0"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4E7F02A"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7F220C5"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HERNÁN DARÍO CADAVID                                JULIO CÉSAR TRIANA QUINTERO</w:t>
      </w:r>
    </w:p>
    <w:p w14:paraId="1EE0174F"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Representante a la Cámara                                 Representante a la Cámara </w:t>
      </w:r>
    </w:p>
    <w:p w14:paraId="15EB015A"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r>
        <w:rPr>
          <w:rFonts w:ascii="Georgia" w:eastAsia="Georgia" w:hAnsi="Georgia" w:cs="Georgia"/>
          <w:b/>
          <w:bCs/>
          <w:sz w:val="22"/>
          <w:szCs w:val="22"/>
        </w:rPr>
        <w:t xml:space="preserve">            </w:t>
      </w:r>
      <w:proofErr w:type="spellStart"/>
      <w:r>
        <w:rPr>
          <w:rFonts w:ascii="Georgia" w:eastAsia="Georgia" w:hAnsi="Georgia" w:cs="Georgia"/>
          <w:b/>
          <w:bCs/>
          <w:sz w:val="22"/>
          <w:szCs w:val="22"/>
        </w:rPr>
        <w:t>Ponente</w:t>
      </w:r>
      <w:proofErr w:type="spellEnd"/>
    </w:p>
    <w:p w14:paraId="739F9064"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4B733D18"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EFBA9CC" w14:textId="53BB37F2" w:rsidR="006B5EEB" w:rsidRDefault="006B5EEB">
      <w:pPr>
        <w:tabs>
          <w:tab w:val="left" w:pos="8740"/>
        </w:tabs>
        <w:spacing w:line="276" w:lineRule="auto"/>
        <w:ind w:right="-220"/>
        <w:jc w:val="both"/>
        <w:rPr>
          <w:rFonts w:ascii="Georgia" w:eastAsia="Georgia" w:hAnsi="Georgia" w:cs="Georgia"/>
          <w:b/>
          <w:bCs/>
          <w:sz w:val="22"/>
          <w:szCs w:val="22"/>
        </w:rPr>
      </w:pPr>
    </w:p>
    <w:p w14:paraId="505E2C29" w14:textId="77777777" w:rsidR="00965996" w:rsidRDefault="00965996">
      <w:pPr>
        <w:tabs>
          <w:tab w:val="left" w:pos="8740"/>
        </w:tabs>
        <w:spacing w:line="276" w:lineRule="auto"/>
        <w:ind w:right="-220"/>
        <w:jc w:val="both"/>
        <w:rPr>
          <w:rFonts w:ascii="Georgia" w:eastAsia="Georgia" w:hAnsi="Georgia" w:cs="Georgia"/>
          <w:b/>
          <w:bCs/>
          <w:sz w:val="22"/>
          <w:szCs w:val="22"/>
        </w:rPr>
      </w:pPr>
    </w:p>
    <w:p w14:paraId="37ADB60D"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E2DDA61"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01F83EB"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MARELEN CASTILLO TORRES                        JUAN CARLOS WILLS OSPINA</w:t>
      </w:r>
    </w:p>
    <w:p w14:paraId="3414AF8E" w14:textId="77777777" w:rsidR="006B5EEB" w:rsidRDefault="00C24176">
      <w:pPr>
        <w:tabs>
          <w:tab w:val="left" w:pos="8740"/>
        </w:tabs>
        <w:spacing w:line="276" w:lineRule="auto"/>
        <w:ind w:right="-220"/>
        <w:jc w:val="both"/>
      </w:pPr>
      <w:r>
        <w:rPr>
          <w:rFonts w:ascii="Georgia" w:eastAsia="Georgia" w:hAnsi="Georgia" w:cs="Georgia"/>
          <w:b/>
          <w:bCs/>
          <w:sz w:val="22"/>
          <w:szCs w:val="22"/>
        </w:rPr>
        <w:t xml:space="preserve">Representante a la Cámara                                Representante a la Cámara </w:t>
      </w:r>
    </w:p>
    <w:p w14:paraId="189FA49E"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Ponente</w:t>
      </w:r>
      <w:proofErr w:type="spellEnd"/>
    </w:p>
    <w:p w14:paraId="3F7B068F"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DB76886"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031CEF2"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01DCF3E8"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1485C488"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6AD14031"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ORLANDO CASTILLO ADVÍNCULA               ÓSCAR HERNÁN SÁNCHEZ LEÓN</w:t>
      </w:r>
    </w:p>
    <w:p w14:paraId="78987DC6"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Representante a</w:t>
      </w:r>
      <w:r>
        <w:rPr>
          <w:rFonts w:ascii="Georgia" w:eastAsia="Georgia" w:hAnsi="Georgia" w:cs="Georgia"/>
          <w:b/>
          <w:bCs/>
          <w:sz w:val="22"/>
          <w:szCs w:val="22"/>
        </w:rPr>
        <w:t xml:space="preserve"> la Cámara                                Representante a la Cámara </w:t>
      </w:r>
    </w:p>
    <w:p w14:paraId="0D1E1D61" w14:textId="77777777" w:rsidR="006B5EEB" w:rsidRDefault="00C24176">
      <w:pPr>
        <w:tabs>
          <w:tab w:val="left" w:pos="8740"/>
        </w:tabs>
        <w:spacing w:line="276" w:lineRule="auto"/>
        <w:ind w:right="-220"/>
        <w:jc w:val="both"/>
        <w:rPr>
          <w:rFonts w:ascii="Georgia" w:eastAsia="Georgia" w:hAnsi="Georgia" w:cs="Georgia"/>
          <w:b/>
          <w:bCs/>
          <w:sz w:val="22"/>
          <w:szCs w:val="22"/>
        </w:rPr>
      </w:pPr>
      <w:r>
        <w:rPr>
          <w:rFonts w:ascii="Georgia" w:eastAsia="Georgia" w:hAnsi="Georgia" w:cs="Georgia"/>
          <w:b/>
          <w:bCs/>
          <w:sz w:val="22"/>
          <w:szCs w:val="22"/>
        </w:rPr>
        <w:t xml:space="preserve">Ponente                                                                      </w:t>
      </w:r>
      <w:proofErr w:type="spellStart"/>
      <w:r>
        <w:rPr>
          <w:rFonts w:ascii="Georgia" w:eastAsia="Georgia" w:hAnsi="Georgia" w:cs="Georgia"/>
          <w:b/>
          <w:bCs/>
          <w:sz w:val="22"/>
          <w:szCs w:val="22"/>
        </w:rPr>
        <w:t>Ponente</w:t>
      </w:r>
      <w:proofErr w:type="spellEnd"/>
    </w:p>
    <w:p w14:paraId="5759BCDF"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8AF9E6A"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745D157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20D1840"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3B6814B6"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22EF4C35" w14:textId="77777777" w:rsidR="006B5EEB" w:rsidRDefault="006B5EEB">
      <w:pPr>
        <w:tabs>
          <w:tab w:val="left" w:pos="8740"/>
        </w:tabs>
        <w:spacing w:line="276" w:lineRule="auto"/>
        <w:ind w:right="-220"/>
        <w:jc w:val="both"/>
        <w:rPr>
          <w:rFonts w:ascii="Georgia" w:eastAsia="Georgia" w:hAnsi="Georgia" w:cs="Georgia"/>
          <w:b/>
          <w:bCs/>
          <w:sz w:val="22"/>
          <w:szCs w:val="22"/>
        </w:rPr>
      </w:pPr>
    </w:p>
    <w:p w14:paraId="514B48AC" w14:textId="77777777" w:rsidR="006B5EEB" w:rsidRDefault="006B5EEB">
      <w:pPr>
        <w:tabs>
          <w:tab w:val="left" w:pos="8740"/>
        </w:tabs>
        <w:spacing w:line="276" w:lineRule="auto"/>
        <w:ind w:right="-220"/>
        <w:rPr>
          <w:rFonts w:ascii="Georgia" w:eastAsia="Georgia" w:hAnsi="Georgia" w:cs="Georgia"/>
          <w:sz w:val="22"/>
          <w:szCs w:val="22"/>
        </w:rPr>
      </w:pPr>
    </w:p>
    <w:sectPr w:rsidR="006B5EEB">
      <w:headerReference w:type="default" r:id="rId14"/>
      <w:footerReference w:type="default" r:id="rId15"/>
      <w:pgSz w:w="12240" w:h="15840"/>
      <w:pgMar w:top="1843"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1EA35" w14:textId="77777777" w:rsidR="00000000" w:rsidRDefault="00C24176">
      <w:r>
        <w:separator/>
      </w:r>
    </w:p>
  </w:endnote>
  <w:endnote w:type="continuationSeparator" w:id="0">
    <w:p w14:paraId="2313D710" w14:textId="77777777" w:rsidR="00000000" w:rsidRDefault="00C2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9223F14-3F1A-4FA9-973D-4A8AAD535A36}"/>
    <w:embedBold r:id="rId2" w:fontKey="{54B65D60-808B-4867-BCC8-1257F500036C}"/>
  </w:font>
  <w:font w:name="Segoe UI">
    <w:panose1 w:val="020B0502040204020203"/>
    <w:charset w:val="00"/>
    <w:family w:val="roman"/>
    <w:pitch w:val="default"/>
    <w:embedRegular r:id="rId3" w:fontKey="{BCF43AE2-CA57-43A2-8586-784B5FE59050}"/>
  </w:font>
  <w:font w:name="Georgia">
    <w:panose1 w:val="02040502050405020303"/>
    <w:charset w:val="00"/>
    <w:family w:val="roman"/>
    <w:pitch w:val="variable"/>
    <w:sig w:usb0="00000287" w:usb1="00000000" w:usb2="00000000" w:usb3="00000000" w:csb0="0000009F" w:csb1="00000000"/>
    <w:embedRegular r:id="rId4" w:fontKey="{022E6785-96E1-4E05-B1D9-0BFBF3DF355D}"/>
    <w:embedBold r:id="rId5" w:fontKey="{71394679-CD87-4D1B-9661-4D8E3CDBD01B}"/>
    <w:embedItalic r:id="rId6" w:fontKey="{BC12673B-E64E-4373-B90B-5109109B9BA9}"/>
    <w:embedBoldItalic r:id="rId7" w:fontKey="{20F47988-246D-4706-B44E-7AA2A1500E0F}"/>
  </w:font>
  <w:font w:name="Constantia">
    <w:panose1 w:val="02030602050306030303"/>
    <w:charset w:val="00"/>
    <w:family w:val="roman"/>
    <w:pitch w:val="variable"/>
    <w:sig w:usb0="A00002EF" w:usb1="4000204B" w:usb2="00000000" w:usb3="00000000" w:csb0="0000019F" w:csb1="00000000"/>
    <w:embedRegular r:id="rId8" w:fontKey="{CBDD5A92-0A30-4436-BCF1-CCCE21AA47C8}"/>
  </w:font>
  <w:font w:name="Calibri Light">
    <w:panose1 w:val="020F0302020204030204"/>
    <w:charset w:val="00"/>
    <w:family w:val="swiss"/>
    <w:pitch w:val="variable"/>
    <w:sig w:usb0="E4002EFF" w:usb1="C200247B" w:usb2="00000009" w:usb3="00000000" w:csb0="000001FF" w:csb1="00000000"/>
    <w:embedRegular r:id="rId9" w:fontKey="{0F6009C4-5D14-42FB-99B6-6021DA6357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4278" w14:textId="77777777" w:rsidR="006B5EEB" w:rsidRDefault="006B5EEB">
    <w:pPr>
      <w:tabs>
        <w:tab w:val="center" w:pos="4419"/>
        <w:tab w:val="right" w:pos="8838"/>
      </w:tabs>
      <w:jc w:val="center"/>
      <w:rPr>
        <w:rFonts w:ascii="Georgia" w:eastAsia="Georgia" w:hAnsi="Georgia" w:cs="Georgia"/>
        <w:sz w:val="22"/>
        <w:szCs w:val="22"/>
      </w:rPr>
    </w:pPr>
  </w:p>
  <w:p w14:paraId="64BCA8C5" w14:textId="77777777" w:rsidR="006B5EEB" w:rsidRDefault="00C24176">
    <w:pPr>
      <w:tabs>
        <w:tab w:val="center" w:pos="4419"/>
        <w:tab w:val="right" w:pos="8838"/>
      </w:tabs>
      <w:jc w:val="center"/>
      <w:rPr>
        <w:rFonts w:ascii="Constantia" w:eastAsia="Constantia" w:hAnsi="Constantia" w:cs="Constantia"/>
        <w:sz w:val="16"/>
        <w:szCs w:val="16"/>
      </w:rPr>
    </w:pPr>
    <w:r>
      <w:rPr>
        <w:rFonts w:ascii="Constantia" w:eastAsia="Constantia" w:hAnsi="Constantia" w:cs="Constantia"/>
        <w:noProof/>
        <w:sz w:val="16"/>
        <w:szCs w:val="16"/>
      </w:rPr>
      <w:drawing>
        <wp:inline distT="0" distB="0" distL="0" distR="0" wp14:anchorId="06D0A70C" wp14:editId="0DA52A64">
          <wp:extent cx="3124200" cy="381000"/>
          <wp:effectExtent l="0" t="0" r="0" b="0"/>
          <wp:docPr id="1101" name="image1.png" descr="https://lh3.googleusercontent.com/iWYeqffH2WOjFnF4L-LJcYAA-r3ZyotypFlt4YQex5t7qgH0ttb_wHm0Hw4ozK4jw-lY1d1J0HjSFA2U8L2g79cVjymvLb82pFGfD_EdMSIValYOX_U2f3LIwo1-AwYUt0NYjjF_MpMwEAnLFA"/>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iWYeqffH2WOjFnF4L-LJcYAA-r3ZyotypFlt4YQex5t7qgH0ttb_wHm0Hw4ozK4jw-lY1d1J0HjSFA2U8L2g79cVjymvLb82pFGfD_EdMSIValYOX_U2f3LIwo1-AwYUt0NYjjF_MpMwEAnLFA"/>
                  <pic:cNvPicPr preferRelativeResize="0"/>
                </pic:nvPicPr>
                <pic:blipFill>
                  <a:blip r:embed="rId1"/>
                  <a:srcRect/>
                  <a:stretch>
                    <a:fillRect/>
                  </a:stretch>
                </pic:blipFill>
                <pic:spPr>
                  <a:xfrm>
                    <a:off x="0" y="0"/>
                    <a:ext cx="3124200" cy="3810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FC9E5" w14:textId="77777777" w:rsidR="00000000" w:rsidRDefault="00C24176">
      <w:r>
        <w:separator/>
      </w:r>
    </w:p>
  </w:footnote>
  <w:footnote w:type="continuationSeparator" w:id="0">
    <w:p w14:paraId="32F1CCBF" w14:textId="77777777" w:rsidR="00000000" w:rsidRDefault="00C24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BA6" w14:textId="77777777" w:rsidR="006B5EEB" w:rsidRDefault="00C24176">
    <w:pPr>
      <w:pBdr>
        <w:top w:val="nil"/>
        <w:left w:val="nil"/>
        <w:bottom w:val="nil"/>
        <w:right w:val="nil"/>
        <w:between w:val="nil"/>
      </w:pBdr>
      <w:tabs>
        <w:tab w:val="center" w:pos="4419"/>
        <w:tab w:val="right" w:pos="8838"/>
      </w:tabs>
      <w:jc w:val="center"/>
      <w:rPr>
        <w:color w:val="000000"/>
      </w:rPr>
    </w:pPr>
    <w:r>
      <w:rPr>
        <w:noProof/>
      </w:rPr>
      <w:drawing>
        <wp:anchor distT="0" distB="0" distL="0" distR="0" simplePos="0" relativeHeight="251658240" behindDoc="1" locked="0" layoutInCell="1" hidden="0" allowOverlap="1" wp14:anchorId="56975824" wp14:editId="071D36EC">
          <wp:simplePos x="0" y="0"/>
          <wp:positionH relativeFrom="column">
            <wp:posOffset>1539875</wp:posOffset>
          </wp:positionH>
          <wp:positionV relativeFrom="paragraph">
            <wp:posOffset>-276224</wp:posOffset>
          </wp:positionV>
          <wp:extent cx="2532062" cy="1081402"/>
          <wp:effectExtent l="0" t="0" r="0" b="0"/>
          <wp:wrapNone/>
          <wp:docPr id="11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2062" cy="10814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76062"/>
    <w:multiLevelType w:val="multilevel"/>
    <w:tmpl w:val="C3566410"/>
    <w:lvl w:ilvl="0">
      <w:start w:val="1"/>
      <w:numFmt w:val="upperRoman"/>
      <w:lvlText w:val="%1."/>
      <w:lvlJc w:val="left"/>
      <w:pPr>
        <w:ind w:left="780" w:hanging="720"/>
      </w:pPr>
      <w:rPr>
        <w:b/>
        <w:bCs/>
        <w:color w:val="000000"/>
      </w:rPr>
    </w:lvl>
    <w:lvl w:ilvl="1">
      <w:start w:val="1"/>
      <w:numFmt w:val="decimal"/>
      <w:lvlText w:val="%1.%2."/>
      <w:lvlJc w:val="left"/>
      <w:pPr>
        <w:ind w:left="780" w:hanging="720"/>
      </w:pPr>
      <w:rPr>
        <w:b/>
        <w:bCs/>
      </w:rPr>
    </w:lvl>
    <w:lvl w:ilvl="2">
      <w:start w:val="1"/>
      <w:numFmt w:val="decimal"/>
      <w:lvlText w:val="%1.%2.%3."/>
      <w:lvlJc w:val="left"/>
      <w:pPr>
        <w:ind w:left="780" w:hanging="720"/>
      </w:pPr>
      <w:rPr>
        <w:b/>
        <w:bCs/>
      </w:rPr>
    </w:lvl>
    <w:lvl w:ilvl="3">
      <w:start w:val="1"/>
      <w:numFmt w:val="decimal"/>
      <w:lvlText w:val="%1.%2.%3.%4."/>
      <w:lvlJc w:val="left"/>
      <w:pPr>
        <w:ind w:left="1140" w:hanging="1080"/>
      </w:pPr>
      <w:rPr>
        <w:b/>
        <w:bCs/>
      </w:rPr>
    </w:lvl>
    <w:lvl w:ilvl="4">
      <w:start w:val="1"/>
      <w:numFmt w:val="decimal"/>
      <w:lvlText w:val="%1.%2.%3.%4.%5."/>
      <w:lvlJc w:val="left"/>
      <w:pPr>
        <w:ind w:left="1140" w:hanging="1080"/>
      </w:pPr>
      <w:rPr>
        <w:b/>
        <w:bCs/>
      </w:rPr>
    </w:lvl>
    <w:lvl w:ilvl="5">
      <w:start w:val="1"/>
      <w:numFmt w:val="decimal"/>
      <w:lvlText w:val="%1.%2.%3.%4.%5.%6."/>
      <w:lvlJc w:val="left"/>
      <w:pPr>
        <w:ind w:left="1500" w:hanging="1440"/>
      </w:pPr>
      <w:rPr>
        <w:b/>
        <w:bCs/>
      </w:rPr>
    </w:lvl>
    <w:lvl w:ilvl="6">
      <w:start w:val="1"/>
      <w:numFmt w:val="decimal"/>
      <w:lvlText w:val="%1.%2.%3.%4.%5.%6.%7."/>
      <w:lvlJc w:val="left"/>
      <w:pPr>
        <w:ind w:left="1500" w:hanging="1440"/>
      </w:pPr>
      <w:rPr>
        <w:b/>
        <w:bCs/>
      </w:rPr>
    </w:lvl>
    <w:lvl w:ilvl="7">
      <w:start w:val="1"/>
      <w:numFmt w:val="decimal"/>
      <w:lvlText w:val="%1.%2.%3.%4.%5.%6.%7.%8."/>
      <w:lvlJc w:val="left"/>
      <w:pPr>
        <w:ind w:left="1860" w:hanging="1800"/>
      </w:pPr>
      <w:rPr>
        <w:b/>
        <w:bCs/>
      </w:rPr>
    </w:lvl>
    <w:lvl w:ilvl="8">
      <w:start w:val="1"/>
      <w:numFmt w:val="decimal"/>
      <w:lvlText w:val="%1.%2.%3.%4.%5.%6.%7.%8.%9."/>
      <w:lvlJc w:val="left"/>
      <w:pPr>
        <w:ind w:left="1860" w:hanging="1800"/>
      </w:pPr>
      <w:rPr>
        <w:b/>
        <w:bCs/>
      </w:rPr>
    </w:lvl>
  </w:abstractNum>
  <w:abstractNum w:abstractNumId="1" w15:restartNumberingAfterBreak="0">
    <w:nsid w:val="4EE318B1"/>
    <w:multiLevelType w:val="multilevel"/>
    <w:tmpl w:val="D3EC8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EEB"/>
    <w:rsid w:val="006B5EEB"/>
    <w:rsid w:val="00965996"/>
    <w:rsid w:val="00AE3FFE"/>
    <w:rsid w:val="00C24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B18F"/>
  <w15:docId w15:val="{131032BB-5EA3-46AA-9DA9-4DD8BB1F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7B3BDD"/>
    <w:pPr>
      <w:tabs>
        <w:tab w:val="center" w:pos="4419"/>
        <w:tab w:val="right" w:pos="8838"/>
      </w:tabs>
    </w:pPr>
  </w:style>
  <w:style w:type="character" w:customStyle="1" w:styleId="EncabezadoCar">
    <w:name w:val="Encabezado Car"/>
    <w:basedOn w:val="Fuentedeprrafopredeter"/>
    <w:link w:val="Encabezado"/>
    <w:uiPriority w:val="99"/>
    <w:rsid w:val="007B3BDD"/>
  </w:style>
  <w:style w:type="paragraph" w:styleId="Piedepgina">
    <w:name w:val="footer"/>
    <w:basedOn w:val="Normal"/>
    <w:link w:val="PiedepginaCar"/>
    <w:uiPriority w:val="99"/>
    <w:unhideWhenUsed/>
    <w:rsid w:val="007B3BDD"/>
    <w:pPr>
      <w:tabs>
        <w:tab w:val="center" w:pos="4419"/>
        <w:tab w:val="right" w:pos="8838"/>
      </w:tabs>
    </w:pPr>
  </w:style>
  <w:style w:type="character" w:customStyle="1" w:styleId="PiedepginaCar">
    <w:name w:val="Pie de página Car"/>
    <w:basedOn w:val="Fuentedeprrafopredeter"/>
    <w:link w:val="Piedepgina"/>
    <w:uiPriority w:val="99"/>
    <w:rsid w:val="007B3BDD"/>
  </w:style>
  <w:style w:type="paragraph" w:styleId="NormalWeb">
    <w:name w:val="Normal (Web)"/>
    <w:basedOn w:val="Normal"/>
    <w:uiPriority w:val="99"/>
    <w:semiHidden/>
    <w:unhideWhenUsed/>
    <w:rsid w:val="003B39BB"/>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Fuentedeprrafopredeter"/>
    <w:rsid w:val="000E0D93"/>
  </w:style>
  <w:style w:type="paragraph" w:styleId="Textodeglobo">
    <w:name w:val="Balloon Text"/>
    <w:basedOn w:val="Normal"/>
    <w:link w:val="TextodegloboCar"/>
    <w:uiPriority w:val="99"/>
    <w:semiHidden/>
    <w:unhideWhenUsed/>
    <w:rsid w:val="00B955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559E"/>
    <w:rPr>
      <w:rFonts w:ascii="Segoe UI" w:hAnsi="Segoe UI" w:cs="Segoe UI"/>
      <w:sz w:val="18"/>
      <w:szCs w:val="18"/>
    </w:rPr>
  </w:style>
  <w:style w:type="paragraph" w:styleId="Prrafodelista">
    <w:name w:val="List Paragraph"/>
    <w:basedOn w:val="Normal"/>
    <w:uiPriority w:val="34"/>
    <w:qFormat/>
    <w:rsid w:val="00724724"/>
    <w:pPr>
      <w:ind w:left="720"/>
      <w:contextualSpacing/>
    </w:pPr>
  </w:style>
  <w:style w:type="character" w:styleId="Hipervnculo">
    <w:name w:val="Hyperlink"/>
    <w:basedOn w:val="Fuentedeprrafopredeter"/>
    <w:uiPriority w:val="99"/>
    <w:unhideWhenUsed/>
    <w:rsid w:val="00024B19"/>
    <w:rPr>
      <w:color w:val="0563C1" w:themeColor="hyperlink"/>
      <w:u w:val="single"/>
    </w:rPr>
  </w:style>
  <w:style w:type="table" w:styleId="Tablaconcuadrcula">
    <w:name w:val="Table Grid"/>
    <w:basedOn w:val="Tablanormal"/>
    <w:uiPriority w:val="39"/>
    <w:rsid w:val="0076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6"/>
    <w:tblPr>
      <w:tblStyleRowBandSize w:val="1"/>
      <w:tblStyleColBandSize w:val="1"/>
      <w:tblCellMar>
        <w:top w:w="100" w:type="dxa"/>
        <w:left w:w="100" w:type="dxa"/>
        <w:bottom w:w="100" w:type="dxa"/>
        <w:right w:w="100"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100" w:type="dxa"/>
        <w:left w:w="100" w:type="dxa"/>
        <w:bottom w:w="100" w:type="dxa"/>
        <w:right w:w="100" w:type="dxa"/>
      </w:tblCellMar>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character" w:styleId="Mencinsinresolver">
    <w:name w:val="Unresolved Mention"/>
    <w:basedOn w:val="Fuentedeprrafopredeter"/>
    <w:uiPriority w:val="99"/>
    <w:semiHidden/>
    <w:unhideWhenUsed/>
    <w:rsid w:val="00D65176"/>
    <w:rPr>
      <w:color w:val="605E5C"/>
      <w:shd w:val="clear" w:color="auto" w:fill="E1DFDD"/>
    </w:r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mara.gov.co/representantes/anibal-gustavo-hoyos-franco/" TargetMode="External"/><Relationship Id="rId13" Type="http://schemas.openxmlformats.org/officeDocument/2006/relationships/hyperlink" Target="https://www.camara.gov.co/representantes/olga-lucia-velasquez-nie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mara.gov.co/representantes/jose-octavio-cardona-le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ara.gov.co/representantes/gilma-diaz-aria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mara.gov.co/representantes/german-rogelio-rozo-anis/" TargetMode="External"/><Relationship Id="rId4" Type="http://schemas.openxmlformats.org/officeDocument/2006/relationships/settings" Target="settings.xml"/><Relationship Id="rId9" Type="http://schemas.openxmlformats.org/officeDocument/2006/relationships/hyperlink" Target="https://www.camara.gov.co/representantes/flora-perdomo-andrad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AMRSl29cy3rrQu6/Nm7FHcUBw==">CgMxLjA4AHIhMTMzMWoyaHFvYWN3c1c2QzJzb0RHS1k0NjQzRFZrSnRB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5711</Words>
  <Characters>31413</Characters>
  <Application>Microsoft Office Word</Application>
  <DocSecurity>0</DocSecurity>
  <Lines>261</Lines>
  <Paragraphs>74</Paragraphs>
  <ScaleCrop>false</ScaleCrop>
  <Company/>
  <LinksUpToDate>false</LinksUpToDate>
  <CharactersWithSpaces>37050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Teufel</dc:creator>
  <cp:lastModifiedBy>Juan David Santamaria Marín</cp:lastModifiedBy>
  <cp:revision>2</cp:revision>
  <cp:lastPrinted>2025-11-18T22:53:00Z</cp:lastPrinted>
  <dcterms:created xsi:type="dcterms:W3CDTF">2025-11-18T22:54:00Z</dcterms:created>
  <dcterms:modified xsi:type="dcterms:W3CDTF">2025-11-18T22:54:00Z</dcterms:modified>
</cp:coreProperties>
</file>