
<file path=[Content_Types].xml><?xml version="1.0" encoding="utf-8"?>
<Types xmlns="http://schemas.openxmlformats.org/package/2006/content-types">
  <Default Extension="png" ContentType="image/png"/>
  <Default Extension="svg" ContentType="image/svg+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6A0" w:rsidRDefault="006236A0" w:rsidP="006236A0">
      <w:pPr>
        <w:ind w:left="-284" w:right="-285"/>
        <w:jc w:val="center"/>
        <w:rPr>
          <w:rFonts w:ascii="Arial" w:hAnsi="Arial" w:cs="Arial"/>
          <w:b/>
          <w:sz w:val="28"/>
          <w:szCs w:val="28"/>
        </w:rPr>
      </w:pPr>
      <w:r>
        <w:rPr>
          <w:rFonts w:ascii="Arial" w:hAnsi="Arial" w:cs="Arial"/>
          <w:b/>
          <w:sz w:val="28"/>
          <w:szCs w:val="28"/>
        </w:rPr>
        <w:t>CAPITULO 3</w:t>
      </w:r>
    </w:p>
    <w:p w:rsidR="006236A0" w:rsidRDefault="006236A0" w:rsidP="006236A0">
      <w:pPr>
        <w:ind w:left="-284" w:right="-285"/>
        <w:rPr>
          <w:rFonts w:ascii="Arial" w:hAnsi="Arial" w:cs="Arial"/>
          <w:b/>
          <w:sz w:val="28"/>
          <w:szCs w:val="28"/>
        </w:rPr>
      </w:pPr>
    </w:p>
    <w:p w:rsidR="006236A0" w:rsidRDefault="006236A0" w:rsidP="006236A0">
      <w:pPr>
        <w:jc w:val="center"/>
        <w:rPr>
          <w:rFonts w:ascii="Arial" w:hAnsi="Arial" w:cs="Arial"/>
          <w:b/>
          <w:sz w:val="28"/>
          <w:szCs w:val="28"/>
        </w:rPr>
      </w:pPr>
      <w:r>
        <w:rPr>
          <w:rFonts w:ascii="Arial" w:hAnsi="Arial" w:cs="Arial"/>
          <w:b/>
          <w:sz w:val="28"/>
          <w:szCs w:val="28"/>
        </w:rPr>
        <w:t>SITUACIÓN FINANCIERA Y RESULTADOS CONSOLIDADOS (BALANCE GENERAL) DEL NIVEL NACIONAL A 31 DE DCIEMBRE DE 2022</w:t>
      </w:r>
    </w:p>
    <w:p w:rsidR="006236A0" w:rsidRDefault="006236A0" w:rsidP="006236A0">
      <w:pPr>
        <w:jc w:val="center"/>
        <w:rPr>
          <w:rFonts w:ascii="Arial" w:hAnsi="Arial" w:cs="Arial"/>
          <w:b/>
          <w:sz w:val="28"/>
          <w:szCs w:val="28"/>
        </w:rPr>
      </w:pPr>
      <w:r>
        <w:rPr>
          <w:rFonts w:ascii="Arial" w:hAnsi="Arial" w:cs="Arial"/>
          <w:b/>
          <w:sz w:val="28"/>
          <w:szCs w:val="28"/>
        </w:rPr>
        <w:t>Fuente: Contaduría General de la Nación</w:t>
      </w:r>
    </w:p>
    <w:p w:rsidR="006236A0" w:rsidRDefault="006236A0" w:rsidP="006236A0">
      <w:pPr>
        <w:rPr>
          <w:rFonts w:ascii="Arial" w:hAnsi="Arial" w:cs="Arial"/>
          <w:b/>
          <w:sz w:val="28"/>
          <w:szCs w:val="28"/>
        </w:rPr>
      </w:pPr>
    </w:p>
    <w:p w:rsidR="006236A0" w:rsidRDefault="006236A0" w:rsidP="00867869">
      <w:pPr>
        <w:ind w:left="-142" w:right="-518"/>
        <w:jc w:val="both"/>
        <w:rPr>
          <w:rFonts w:ascii="Arial" w:hAnsi="Arial" w:cs="Arial"/>
          <w:b/>
          <w:sz w:val="28"/>
          <w:szCs w:val="28"/>
        </w:rPr>
      </w:pPr>
      <w:r>
        <w:rPr>
          <w:rFonts w:ascii="Arial" w:hAnsi="Arial" w:cs="Arial"/>
          <w:b/>
          <w:sz w:val="28"/>
          <w:szCs w:val="28"/>
        </w:rPr>
        <w:t xml:space="preserve">El Gobierno Nacional por intermedio de la Comisión Legal de Cuentas de la Cámara de Representantes en cumplimiento de lo dispuesto en el parágrafo único del artículo 354 de la Constitución Nacional, presentó el día </w:t>
      </w:r>
      <w:r w:rsidR="001268B4">
        <w:rPr>
          <w:rFonts w:ascii="Arial" w:hAnsi="Arial" w:cs="Arial"/>
          <w:b/>
          <w:sz w:val="28"/>
          <w:szCs w:val="28"/>
        </w:rPr>
        <w:t>30</w:t>
      </w:r>
      <w:r>
        <w:rPr>
          <w:rFonts w:ascii="Arial" w:hAnsi="Arial" w:cs="Arial"/>
          <w:b/>
          <w:sz w:val="28"/>
          <w:szCs w:val="28"/>
        </w:rPr>
        <w:t xml:space="preserve"> </w:t>
      </w:r>
      <w:r w:rsidRPr="008B2F85">
        <w:rPr>
          <w:rFonts w:ascii="Arial" w:hAnsi="Arial" w:cs="Arial"/>
          <w:b/>
          <w:sz w:val="28"/>
          <w:szCs w:val="28"/>
        </w:rPr>
        <w:t>de junio de 202</w:t>
      </w:r>
      <w:r>
        <w:rPr>
          <w:rFonts w:ascii="Arial" w:hAnsi="Arial" w:cs="Arial"/>
          <w:b/>
          <w:sz w:val="28"/>
          <w:szCs w:val="28"/>
        </w:rPr>
        <w:t>3</w:t>
      </w:r>
      <w:r w:rsidRPr="008B2F85">
        <w:rPr>
          <w:rFonts w:ascii="Arial" w:hAnsi="Arial" w:cs="Arial"/>
          <w:b/>
          <w:sz w:val="28"/>
          <w:szCs w:val="28"/>
        </w:rPr>
        <w:t xml:space="preserve"> </w:t>
      </w:r>
      <w:r w:rsidRPr="00CC6B96">
        <w:rPr>
          <w:rFonts w:ascii="Arial" w:hAnsi="Arial" w:cs="Arial"/>
          <w:b/>
          <w:sz w:val="28"/>
          <w:szCs w:val="28"/>
        </w:rPr>
        <w:t>a co</w:t>
      </w:r>
      <w:r>
        <w:rPr>
          <w:rFonts w:ascii="Arial" w:hAnsi="Arial" w:cs="Arial"/>
          <w:b/>
          <w:sz w:val="28"/>
          <w:szCs w:val="28"/>
        </w:rPr>
        <w:t>nsideración del Congreso de la República la Situación Financiera (Balance General) y Resultados Consolidados del Nivel Nacional a 31 de diciembre de 2022, elaborada por la Contaduría General de la Nación.</w:t>
      </w:r>
    </w:p>
    <w:p w:rsidR="006236A0" w:rsidRDefault="006236A0" w:rsidP="00867869">
      <w:pPr>
        <w:ind w:left="-142" w:right="-518"/>
        <w:jc w:val="both"/>
        <w:rPr>
          <w:rFonts w:ascii="Arial" w:hAnsi="Arial" w:cs="Arial"/>
          <w:b/>
          <w:sz w:val="28"/>
          <w:szCs w:val="28"/>
        </w:rPr>
      </w:pPr>
    </w:p>
    <w:p w:rsidR="006236A0" w:rsidRDefault="006236A0" w:rsidP="00867869">
      <w:pPr>
        <w:ind w:left="-142" w:right="-518"/>
        <w:jc w:val="both"/>
        <w:rPr>
          <w:rFonts w:ascii="Arial" w:hAnsi="Arial" w:cs="Arial"/>
          <w:sz w:val="28"/>
          <w:szCs w:val="28"/>
        </w:rPr>
      </w:pPr>
      <w:r>
        <w:rPr>
          <w:rFonts w:ascii="Arial" w:hAnsi="Arial" w:cs="Arial"/>
          <w:sz w:val="28"/>
          <w:szCs w:val="28"/>
        </w:rPr>
        <w:t>Teniendo en cuenta</w:t>
      </w:r>
      <w:r w:rsidRPr="00703EA3">
        <w:rPr>
          <w:rFonts w:ascii="Arial" w:hAnsi="Arial" w:cs="Arial"/>
          <w:sz w:val="28"/>
          <w:szCs w:val="28"/>
        </w:rPr>
        <w:t xml:space="preserve"> la importancia del citado informe para el cumplimiento de las funciones propias de la Comisión Legal de Cuentas y de la Plenaria de la Cámara de Representantes, se retoma apartes del texto así:</w:t>
      </w:r>
    </w:p>
    <w:p w:rsidR="006236A0" w:rsidRDefault="006236A0" w:rsidP="00867869">
      <w:pPr>
        <w:ind w:left="-142" w:right="-518"/>
        <w:jc w:val="both"/>
        <w:rPr>
          <w:rFonts w:ascii="Arial" w:hAnsi="Arial" w:cs="Arial"/>
          <w:sz w:val="28"/>
          <w:szCs w:val="28"/>
        </w:rPr>
      </w:pPr>
    </w:p>
    <w:p w:rsidR="006236A0" w:rsidRDefault="006236A0" w:rsidP="00867869">
      <w:pPr>
        <w:ind w:left="-142" w:right="-518"/>
        <w:jc w:val="both"/>
        <w:rPr>
          <w:rFonts w:ascii="Arial" w:hAnsi="Arial" w:cs="Arial"/>
          <w:sz w:val="28"/>
          <w:szCs w:val="28"/>
        </w:rPr>
      </w:pPr>
      <w:r w:rsidRPr="006304EA">
        <w:rPr>
          <w:rFonts w:ascii="Arial" w:hAnsi="Arial" w:cs="Arial"/>
          <w:sz w:val="28"/>
          <w:szCs w:val="28"/>
        </w:rPr>
        <w:t>Para efectos del análisis de las cifras reflejadas en el presente informe</w:t>
      </w:r>
      <w:r>
        <w:rPr>
          <w:rFonts w:ascii="Arial" w:hAnsi="Arial" w:cs="Arial"/>
          <w:sz w:val="28"/>
          <w:szCs w:val="28"/>
        </w:rPr>
        <w:t xml:space="preserve"> y</w:t>
      </w:r>
      <w:r w:rsidRPr="006304EA">
        <w:rPr>
          <w:rFonts w:ascii="Arial" w:hAnsi="Arial" w:cs="Arial"/>
          <w:sz w:val="28"/>
          <w:szCs w:val="28"/>
        </w:rPr>
        <w:t xml:space="preserve"> de acuerdo con información suministrada por el </w:t>
      </w:r>
      <w:r w:rsidR="002E5EE8">
        <w:rPr>
          <w:rFonts w:ascii="Arial" w:hAnsi="Arial" w:cs="Arial"/>
          <w:sz w:val="28"/>
          <w:szCs w:val="28"/>
        </w:rPr>
        <w:t xml:space="preserve">Departamento Nacional de Estadística - </w:t>
      </w:r>
      <w:r w:rsidRPr="006304EA">
        <w:rPr>
          <w:rFonts w:ascii="Arial" w:hAnsi="Arial" w:cs="Arial"/>
          <w:sz w:val="28"/>
          <w:szCs w:val="28"/>
        </w:rPr>
        <w:t xml:space="preserve">DANE, se tiene que para la vigencia </w:t>
      </w:r>
      <w:r>
        <w:rPr>
          <w:rFonts w:ascii="Arial" w:hAnsi="Arial" w:cs="Arial"/>
          <w:sz w:val="28"/>
          <w:szCs w:val="28"/>
        </w:rPr>
        <w:t>2022</w:t>
      </w:r>
      <w:r w:rsidRPr="006304EA">
        <w:rPr>
          <w:rFonts w:ascii="Arial" w:hAnsi="Arial" w:cs="Arial"/>
          <w:sz w:val="28"/>
          <w:szCs w:val="28"/>
        </w:rPr>
        <w:t xml:space="preserve">, </w:t>
      </w:r>
      <w:r w:rsidRPr="006304EA">
        <w:rPr>
          <w:rFonts w:ascii="Arial" w:hAnsi="Arial" w:cs="Arial"/>
          <w:b/>
          <w:sz w:val="28"/>
          <w:szCs w:val="28"/>
          <w:u w:val="single"/>
        </w:rPr>
        <w:t xml:space="preserve">el PIB </w:t>
      </w:r>
      <w:r w:rsidRPr="00DC74E0">
        <w:rPr>
          <w:rFonts w:ascii="Arial" w:hAnsi="Arial" w:cs="Arial"/>
          <w:b/>
          <w:sz w:val="28"/>
          <w:szCs w:val="28"/>
          <w:u w:val="single"/>
        </w:rPr>
        <w:t xml:space="preserve">(preliminar) </w:t>
      </w:r>
      <w:r w:rsidRPr="006304EA">
        <w:rPr>
          <w:rFonts w:ascii="Arial" w:hAnsi="Arial" w:cs="Arial"/>
          <w:b/>
          <w:sz w:val="28"/>
          <w:szCs w:val="28"/>
          <w:u w:val="single"/>
        </w:rPr>
        <w:t xml:space="preserve">de Colombia es por valor de $ </w:t>
      </w:r>
      <w:r w:rsidR="002E5EE8">
        <w:rPr>
          <w:rFonts w:ascii="Arial" w:hAnsi="Arial" w:cs="Arial"/>
          <w:b/>
          <w:sz w:val="28"/>
          <w:szCs w:val="28"/>
          <w:u w:val="single"/>
        </w:rPr>
        <w:t>1.463.873</w:t>
      </w:r>
      <w:r>
        <w:rPr>
          <w:rFonts w:ascii="Arial" w:hAnsi="Arial" w:cs="Arial"/>
          <w:b/>
          <w:sz w:val="28"/>
          <w:szCs w:val="28"/>
          <w:u w:val="single"/>
        </w:rPr>
        <w:t xml:space="preserve"> </w:t>
      </w:r>
      <w:r w:rsidRPr="006304EA">
        <w:rPr>
          <w:rFonts w:ascii="Arial" w:hAnsi="Arial" w:cs="Arial"/>
          <w:b/>
          <w:sz w:val="28"/>
          <w:szCs w:val="28"/>
          <w:u w:val="single"/>
        </w:rPr>
        <w:t>miles de millones</w:t>
      </w:r>
      <w:r>
        <w:rPr>
          <w:rFonts w:ascii="Arial" w:hAnsi="Arial" w:cs="Arial"/>
          <w:sz w:val="28"/>
          <w:szCs w:val="28"/>
        </w:rPr>
        <w:t>.</w:t>
      </w:r>
    </w:p>
    <w:p w:rsidR="006236A0" w:rsidRDefault="006236A0" w:rsidP="00867869">
      <w:pPr>
        <w:ind w:left="-142" w:right="-518"/>
        <w:jc w:val="both"/>
        <w:rPr>
          <w:rFonts w:ascii="Arial" w:hAnsi="Arial" w:cs="Arial"/>
          <w:sz w:val="28"/>
          <w:szCs w:val="28"/>
        </w:rPr>
      </w:pPr>
    </w:p>
    <w:p w:rsidR="006236A0" w:rsidRDefault="006236A0" w:rsidP="00867869">
      <w:pPr>
        <w:ind w:left="-142" w:right="-518"/>
        <w:jc w:val="both"/>
        <w:rPr>
          <w:rFonts w:ascii="Arial" w:hAnsi="Arial" w:cs="Arial"/>
          <w:b/>
          <w:sz w:val="28"/>
          <w:szCs w:val="28"/>
        </w:rPr>
      </w:pPr>
      <w:r>
        <w:rPr>
          <w:rFonts w:ascii="Arial" w:hAnsi="Arial" w:cs="Arial"/>
          <w:b/>
          <w:sz w:val="28"/>
          <w:szCs w:val="28"/>
        </w:rPr>
        <w:t>“</w:t>
      </w:r>
      <w:r w:rsidRPr="00BB77CA">
        <w:rPr>
          <w:rFonts w:ascii="Arial" w:hAnsi="Arial" w:cs="Arial"/>
          <w:b/>
          <w:sz w:val="28"/>
          <w:szCs w:val="28"/>
        </w:rPr>
        <w:t>PRESENTACIÓN:</w:t>
      </w:r>
    </w:p>
    <w:p w:rsidR="00FC691D" w:rsidRDefault="00FC691D" w:rsidP="00867869">
      <w:pPr>
        <w:ind w:left="-142" w:right="-518"/>
        <w:rPr>
          <w:rFonts w:ascii="Arial" w:hAnsi="Arial" w:cs="Arial"/>
        </w:rPr>
      </w:pPr>
    </w:p>
    <w:p w:rsidR="00867869" w:rsidRPr="00867869" w:rsidRDefault="00867869" w:rsidP="00867869">
      <w:pPr>
        <w:tabs>
          <w:tab w:val="left" w:pos="709"/>
        </w:tabs>
        <w:ind w:left="-142" w:right="-518"/>
        <w:contextualSpacing/>
        <w:jc w:val="both"/>
        <w:rPr>
          <w:rFonts w:ascii="Arial" w:hAnsi="Arial" w:cs="Arial"/>
        </w:rPr>
      </w:pPr>
      <w:r w:rsidRPr="00867869">
        <w:rPr>
          <w:rFonts w:ascii="Arial" w:hAnsi="Arial" w:cs="Arial"/>
        </w:rPr>
        <w:t>La Ley 298 de 1996, reglamentaria del artículo 354 de la Constitución Política, creó la Unidad Administrativa Especial Contaduría General de la Nación (CGN), como el organismo rector de la contabilidad pública en Colombia, asignándole al Contador General de la Nación la función de elaborar el Balance General, someterlo a la auditoría de la Contraloría General de la República y presentarlo al Congreso de la República, por intermedio de la Comisión Legal de Cuentas de la Cámara de Representantes, seis meses después de concluido el respectivo año fiscal.</w:t>
      </w:r>
    </w:p>
    <w:p w:rsidR="00867869" w:rsidRPr="00867869" w:rsidRDefault="00867869" w:rsidP="00867869">
      <w:pPr>
        <w:tabs>
          <w:tab w:val="left" w:pos="709"/>
        </w:tabs>
        <w:ind w:left="-142" w:right="-518"/>
        <w:contextualSpacing/>
        <w:jc w:val="both"/>
        <w:rPr>
          <w:rFonts w:ascii="Arial" w:hAnsi="Arial" w:cs="Arial"/>
          <w:color w:val="4B4949"/>
        </w:rPr>
      </w:pPr>
    </w:p>
    <w:p w:rsidR="00867869" w:rsidRPr="00867869" w:rsidRDefault="00867869" w:rsidP="00867869">
      <w:pPr>
        <w:tabs>
          <w:tab w:val="left" w:pos="709"/>
        </w:tabs>
        <w:ind w:left="-142" w:right="-518"/>
        <w:contextualSpacing/>
        <w:jc w:val="both"/>
        <w:rPr>
          <w:rFonts w:ascii="Arial" w:hAnsi="Arial" w:cs="Arial"/>
        </w:rPr>
      </w:pPr>
      <w:r w:rsidRPr="00867869">
        <w:rPr>
          <w:rFonts w:ascii="Arial" w:hAnsi="Arial" w:cs="Arial"/>
        </w:rPr>
        <w:t>Para realizar esta función de preparar y presentar los estados financieros consolidados de las entidades públicas que conforman el nivel nacional colombiano al Congreso de la República y a los distintos usuarios de la información, es necesario que cada entidad elabore y presente periódicamente la información contable, con el debido cumplimiento de la regulación expedida por la CGN.</w:t>
      </w:r>
    </w:p>
    <w:p w:rsidR="00867869" w:rsidRPr="00867869" w:rsidRDefault="00867869" w:rsidP="00867869">
      <w:pPr>
        <w:tabs>
          <w:tab w:val="left" w:pos="709"/>
        </w:tabs>
        <w:ind w:left="-142" w:right="-518"/>
        <w:contextualSpacing/>
        <w:jc w:val="both"/>
        <w:rPr>
          <w:rFonts w:ascii="Arial" w:hAnsi="Arial" w:cs="Arial"/>
        </w:rPr>
      </w:pPr>
    </w:p>
    <w:p w:rsidR="00867869" w:rsidRPr="00867869" w:rsidRDefault="00867869" w:rsidP="00867869">
      <w:pPr>
        <w:tabs>
          <w:tab w:val="left" w:pos="709"/>
        </w:tabs>
        <w:ind w:left="-142" w:right="-518"/>
        <w:contextualSpacing/>
        <w:jc w:val="both"/>
        <w:rPr>
          <w:rFonts w:ascii="Arial" w:hAnsi="Arial" w:cs="Arial"/>
        </w:rPr>
      </w:pPr>
      <w:r w:rsidRPr="00867869">
        <w:rPr>
          <w:rFonts w:ascii="Arial" w:hAnsi="Arial" w:cs="Arial"/>
        </w:rPr>
        <w:t xml:space="preserve">La actividad de consolidación de la información contable se realiza en la CGN a través de un proceso técnico, debidamente organizado y desarrollado en aplicación de estándares internacionales, que le permite obtener las cifras contables de activos, pasivos, patrimonio, ingresos, costos, gastos y los resultados del nivel nacional en su conjunto, presentados como si se tratara de una sola entidad. A partir de estos datos se estructuran los estados financieros consolidados con las respectivas revelaciones, los cuales se presentan inicialmente a la Contraloría General de la República (CGR), </w:t>
      </w:r>
      <w:r w:rsidRPr="00867869">
        <w:rPr>
          <w:rFonts w:ascii="Arial" w:hAnsi="Arial" w:cs="Arial"/>
        </w:rPr>
        <w:lastRenderedPageBreak/>
        <w:t xml:space="preserve">para el proceso de auditoría financiera y la obtención del respectivo dictamen y, posteriormente, al Congreso de la República. </w:t>
      </w:r>
    </w:p>
    <w:p w:rsidR="00867869" w:rsidRPr="00867869" w:rsidRDefault="00867869" w:rsidP="00867869">
      <w:pPr>
        <w:tabs>
          <w:tab w:val="left" w:pos="709"/>
        </w:tabs>
        <w:ind w:left="-142" w:right="-518"/>
        <w:contextualSpacing/>
        <w:jc w:val="both"/>
        <w:rPr>
          <w:rFonts w:ascii="Arial" w:hAnsi="Arial" w:cs="Arial"/>
        </w:rPr>
      </w:pPr>
    </w:p>
    <w:p w:rsidR="00867869" w:rsidRPr="00867869" w:rsidRDefault="00867869" w:rsidP="00867869">
      <w:pPr>
        <w:tabs>
          <w:tab w:val="left" w:pos="709"/>
        </w:tabs>
        <w:ind w:left="-142" w:right="-518"/>
        <w:contextualSpacing/>
        <w:jc w:val="both"/>
        <w:rPr>
          <w:rFonts w:ascii="Arial" w:hAnsi="Arial" w:cs="Arial"/>
        </w:rPr>
      </w:pPr>
      <w:r w:rsidRPr="00867869">
        <w:rPr>
          <w:rFonts w:ascii="Arial" w:hAnsi="Arial" w:cs="Arial"/>
        </w:rPr>
        <w:t>Los estados financieros consolidados permiten realizar análisis comparativos de la gestión financiera institucional, la situación patrimonial, los resultados consolidados y los cambios acaecidos en el conjunto de entidades del orden nacional, entre un periodo y otro. Adicionalmente, la información consolidada sirve como medio de rendición de cuentas sobre el manejo de los recursos públicos y como insumo básico en la elaboración de las Estadísticas Fiscales y las Cuentas Nacionales, que son necesarias para la toma de decisiones y el control de la gestión pública.</w:t>
      </w:r>
    </w:p>
    <w:p w:rsidR="00867869" w:rsidRPr="00867869" w:rsidRDefault="00867869" w:rsidP="00867869">
      <w:pPr>
        <w:tabs>
          <w:tab w:val="left" w:pos="709"/>
        </w:tabs>
        <w:ind w:left="-142" w:right="-518"/>
        <w:contextualSpacing/>
        <w:jc w:val="both"/>
        <w:rPr>
          <w:rFonts w:ascii="Arial" w:hAnsi="Arial" w:cs="Arial"/>
        </w:rPr>
      </w:pPr>
    </w:p>
    <w:p w:rsidR="00867869" w:rsidRPr="00867869" w:rsidRDefault="00867869" w:rsidP="00867869">
      <w:pPr>
        <w:ind w:left="-142" w:right="-518"/>
        <w:jc w:val="both"/>
        <w:rPr>
          <w:rFonts w:ascii="Arial" w:hAnsi="Arial" w:cs="Arial"/>
        </w:rPr>
      </w:pPr>
      <w:r w:rsidRPr="00867869">
        <w:rPr>
          <w:rFonts w:ascii="Arial" w:hAnsi="Arial" w:cs="Arial"/>
        </w:rPr>
        <w:t>El presente informe, que presenta las cifras consolidas del nivel nacional colombiano, fue preparado con información de 343 entidades contables públicas que representan el 100,0% del universo de entidades registradas en las bases de datos de la CGN y que están clasificadas según el marco normativo contable que cada una aplica.</w:t>
      </w:r>
    </w:p>
    <w:p w:rsidR="00867869" w:rsidRPr="00867869" w:rsidRDefault="00867869" w:rsidP="00867869">
      <w:pPr>
        <w:ind w:left="-142" w:right="-518"/>
        <w:jc w:val="both"/>
        <w:rPr>
          <w:rFonts w:ascii="Arial" w:hAnsi="Arial" w:cs="Arial"/>
        </w:rPr>
      </w:pPr>
    </w:p>
    <w:p w:rsidR="00867869" w:rsidRPr="00867869" w:rsidRDefault="00867869" w:rsidP="00867869">
      <w:pPr>
        <w:ind w:left="-142" w:right="-518"/>
        <w:jc w:val="both"/>
        <w:rPr>
          <w:rFonts w:ascii="Arial" w:hAnsi="Arial" w:cs="Arial"/>
        </w:rPr>
      </w:pPr>
      <w:r w:rsidRPr="00867869">
        <w:rPr>
          <w:rFonts w:ascii="Arial" w:hAnsi="Arial" w:cs="Arial"/>
        </w:rPr>
        <w:t>El informe consta de cinco capítulos. En el primer capítulo se incluyen los estados financieros consolidados del año 2022, comparativos con el 2021, en el siguiente orden: el Estado de Resultados, el Estado de Situación Financiera y el Estado de Cambios en el Patrimonio; el segundo capítulo presenta una descripción del entorno institucional de la regulación contable pública y de la metodología del proceso de consolidación; en el tercer capítulo se hace un análisis general de las cifras consolidadas; en el capítulo cuarto se presentan las diferentes notas o revelaciones a los estados financieros consolidados, con el detalle suficiente para la interpretación de las cifras que representan lo sucedido en las entidades nacionales durante el 2022. Finalmente, en el capítulo quinto, se presentan las cifras de los estados financieros consolidados convertidos a dólares americanos, dado el interés por esta información manifestado por usuarios en el entorno internacional.</w:t>
      </w:r>
    </w:p>
    <w:p w:rsidR="00867869" w:rsidRPr="00867869" w:rsidRDefault="00867869" w:rsidP="00867869">
      <w:pPr>
        <w:ind w:left="-142" w:right="-518"/>
        <w:jc w:val="both"/>
        <w:rPr>
          <w:rFonts w:ascii="Arial" w:hAnsi="Arial" w:cs="Arial"/>
        </w:rPr>
      </w:pPr>
    </w:p>
    <w:p w:rsidR="00867869" w:rsidRPr="00867869" w:rsidRDefault="00867869" w:rsidP="00867869">
      <w:pPr>
        <w:ind w:left="-142" w:right="-518"/>
        <w:jc w:val="both"/>
        <w:rPr>
          <w:rFonts w:ascii="Arial" w:hAnsi="Arial" w:cs="Arial"/>
        </w:rPr>
      </w:pPr>
      <w:r w:rsidRPr="00867869">
        <w:rPr>
          <w:rFonts w:ascii="Arial" w:hAnsi="Arial" w:cs="Arial"/>
        </w:rPr>
        <w:t>Se debe anotar que, aunque existen marcos normativos contables para entidades de gobierno, para empresas que cotizan en el mercado de valores y captan o administran ahorro del público, para empresas que no cotizan en el mercado de valores y no captan ni administran ahorro del público y para entidades en liquidación, no se efectúan ajustes por homogenización de políticas contables a nivel del consolidado, debido a la similitud de los criterios contables que existe entre dichos marcos y a la ausencia de materialidad de los posibles ajustes a realizar individualmente, en función de las cifras consolidadas. Las cifras de los estados financieros y de las notas se presentan en miles de millones de pesos (MM), excepto cuando, en particular, se señale lo contrario.</w:t>
      </w:r>
    </w:p>
    <w:p w:rsidR="00867869" w:rsidRPr="00867869" w:rsidRDefault="00867869" w:rsidP="00867869">
      <w:pPr>
        <w:ind w:left="-142" w:right="-518"/>
        <w:jc w:val="both"/>
        <w:rPr>
          <w:rFonts w:ascii="Arial" w:hAnsi="Arial" w:cs="Arial"/>
        </w:rPr>
      </w:pPr>
    </w:p>
    <w:p w:rsidR="00867869" w:rsidRPr="00867869" w:rsidRDefault="00867869" w:rsidP="00867869">
      <w:pPr>
        <w:ind w:left="-142" w:right="-518"/>
        <w:jc w:val="both"/>
        <w:rPr>
          <w:rFonts w:ascii="Arial" w:hAnsi="Arial" w:cs="Arial"/>
        </w:rPr>
      </w:pPr>
      <w:r w:rsidRPr="00867869">
        <w:rPr>
          <w:rFonts w:ascii="Arial" w:hAnsi="Arial" w:cs="Arial"/>
        </w:rPr>
        <w:t>El Estado de Resultados Consolidado, para el periodo comprendido entre el 1° de enero y el 31 de diciembre de 2022, presenta un resultado negativo de ($116.616,8). Este resultado deficitario se presenta producto de unos ingresos consolidados de $630.060,8, (43,0% del Producto Interno Bruto - PIB 2022</w:t>
      </w:r>
      <w:r w:rsidRPr="00867869">
        <w:rPr>
          <w:rStyle w:val="Refdenotaalpie"/>
          <w:rFonts w:ascii="Arial" w:hAnsi="Arial" w:cs="Arial"/>
          <w:sz w:val="24"/>
        </w:rPr>
        <w:footnoteReference w:id="1"/>
      </w:r>
      <w:r w:rsidRPr="00867869">
        <w:rPr>
          <w:rFonts w:ascii="Arial" w:hAnsi="Arial" w:cs="Arial"/>
        </w:rPr>
        <w:t>), menos Costos de Ventas por $135.978,1, (9,29% del PIB 2022), menos Gastos de $610.482,2 (41,7% del PIB 2022) y menos el efecto neto de las operaciones recíprocas en resultados por $217,3. De estas cifras, se observa que el resultado del ejercicio consolidado fue deficitario y su valor alcanzó el 7,9% del PIB 2022, lo que implica un mayor porcentaje con relación al 2021, año en el cual se alcanzó un déficit de ($90.802,8) que equivale al 7,6% del PIB 2021</w:t>
      </w:r>
      <w:r w:rsidRPr="00867869">
        <w:rPr>
          <w:rStyle w:val="Refdenotaalpie"/>
          <w:rFonts w:ascii="Arial" w:hAnsi="Arial" w:cs="Arial"/>
          <w:sz w:val="24"/>
        </w:rPr>
        <w:footnoteReference w:id="2"/>
      </w:r>
      <w:r w:rsidRPr="00867869">
        <w:rPr>
          <w:rFonts w:ascii="Arial" w:hAnsi="Arial" w:cs="Arial"/>
        </w:rPr>
        <w:t>.</w:t>
      </w:r>
    </w:p>
    <w:p w:rsidR="00867869" w:rsidRPr="00867869" w:rsidRDefault="00867869" w:rsidP="00867869">
      <w:pPr>
        <w:ind w:left="-142" w:right="-518"/>
        <w:jc w:val="both"/>
        <w:rPr>
          <w:rFonts w:ascii="Arial" w:hAnsi="Arial" w:cs="Arial"/>
        </w:rPr>
      </w:pPr>
    </w:p>
    <w:p w:rsidR="00867869" w:rsidRPr="00867869" w:rsidRDefault="00867869" w:rsidP="00867869">
      <w:pPr>
        <w:ind w:left="-142" w:right="-518"/>
        <w:jc w:val="both"/>
        <w:rPr>
          <w:rFonts w:ascii="Arial" w:hAnsi="Arial" w:cs="Arial"/>
          <w:lang w:eastAsia="es-MX"/>
        </w:rPr>
      </w:pPr>
      <w:r w:rsidRPr="00867869">
        <w:rPr>
          <w:rFonts w:ascii="Arial" w:hAnsi="Arial" w:cs="Arial"/>
        </w:rPr>
        <w:lastRenderedPageBreak/>
        <w:t>El Estado de Situación Financiera Consolidado del nivel nacional a 31 de diciembre de 2022 registra activos por valor de $923.753,0 que equivalen al 63,1% del PIB 2022, pasivos por $2.014.333,1, que equivalen al 137,62% del PIB 2022, y un patrimonio negativo de ($1.090.580,1), que equivale al 74,5% del PIB 2022, del cual $18.020,3, que equivalen al 1,2% del PIB 2022 y al 1,6% del total del patrimonio, corresponden a inversionistas privados por su participación patrimonial en empresas de economía mixta. De las cifras presentadas, se observa un incremento de los pasivos del nivel nacional en un 14,7% frente al año anterior y de los activos del 26,0%, así como una disminución del patrimonio del 6,5%.</w:t>
      </w:r>
    </w:p>
    <w:p w:rsidR="00867869" w:rsidRPr="00867869" w:rsidRDefault="00867869" w:rsidP="00867869">
      <w:pPr>
        <w:ind w:left="-142" w:right="-518"/>
        <w:jc w:val="both"/>
        <w:rPr>
          <w:rFonts w:ascii="Arial" w:hAnsi="Arial" w:cs="Arial"/>
        </w:rPr>
      </w:pPr>
    </w:p>
    <w:p w:rsidR="00867869" w:rsidRDefault="00867869" w:rsidP="00867869">
      <w:pPr>
        <w:ind w:left="-142" w:right="-518"/>
        <w:jc w:val="both"/>
        <w:rPr>
          <w:rFonts w:ascii="Arial" w:hAnsi="Arial" w:cs="Arial"/>
        </w:rPr>
      </w:pPr>
      <w:r w:rsidRPr="00867869">
        <w:rPr>
          <w:rFonts w:ascii="Arial" w:hAnsi="Arial" w:cs="Arial"/>
        </w:rPr>
        <w:t xml:space="preserve">En las notas o revelaciones, se hace referencia a aspectos generales como la cobertura; las bases de medición y presentación; los juicios, estimaciones y riesgos; y el resumen de los principales criterios contables utilizados sobre cada uno de los elementos de los estados financieros, de acuerdo con las normas contables expedidas por la CGN. </w:t>
      </w:r>
    </w:p>
    <w:p w:rsidR="00867869" w:rsidRPr="00867869" w:rsidRDefault="00867869" w:rsidP="00867869">
      <w:pPr>
        <w:ind w:left="-142" w:right="-518"/>
        <w:jc w:val="both"/>
        <w:rPr>
          <w:rFonts w:ascii="Arial" w:hAnsi="Arial" w:cs="Arial"/>
        </w:rPr>
      </w:pPr>
    </w:p>
    <w:p w:rsidR="00867869" w:rsidRPr="00867869" w:rsidRDefault="00867869" w:rsidP="00867869">
      <w:pPr>
        <w:ind w:left="-142" w:right="-518"/>
        <w:jc w:val="both"/>
        <w:rPr>
          <w:rFonts w:ascii="Arial" w:hAnsi="Arial" w:cs="Arial"/>
        </w:rPr>
      </w:pPr>
      <w:r w:rsidRPr="00867869">
        <w:rPr>
          <w:rFonts w:ascii="Arial" w:hAnsi="Arial" w:cs="Arial"/>
        </w:rPr>
        <w:t xml:space="preserve">Adicional a este documento, en los “Informes complementarios y Anexos al Estado de Situación Financiera y Resultados Consolidados” se presenta información contable agrupada </w:t>
      </w:r>
      <w:r w:rsidRPr="00867869">
        <w:rPr>
          <w:rFonts w:ascii="Arial" w:hAnsi="Arial" w:cs="Arial"/>
          <w:noProof/>
        </w:rPr>
        <w:t>por sectores o niveles y marcos normativos,</w:t>
      </w:r>
      <w:r w:rsidRPr="00867869">
        <w:rPr>
          <w:rFonts w:ascii="Arial" w:hAnsi="Arial" w:cs="Arial"/>
        </w:rPr>
        <w:t xml:space="preserve"> así como un conjunto de anexos que muestran el resumen de las cifras contables de las entidades según diferentes clasificaciones comunes a estas, que pueden resultar de interés para diferentes usuarios estratégicos de la información contable pública y, por ello, complementan la información de los estados financieros consolidados.</w:t>
      </w:r>
    </w:p>
    <w:p w:rsidR="00867869" w:rsidRPr="00867869" w:rsidRDefault="00867869" w:rsidP="00867869">
      <w:pPr>
        <w:ind w:left="-142" w:right="-518"/>
        <w:jc w:val="both"/>
        <w:rPr>
          <w:rFonts w:ascii="Arial" w:hAnsi="Arial" w:cs="Arial"/>
        </w:rPr>
      </w:pPr>
    </w:p>
    <w:p w:rsidR="00867869" w:rsidRPr="00867869" w:rsidRDefault="00867869" w:rsidP="00867869">
      <w:pPr>
        <w:ind w:left="-142" w:right="-518"/>
        <w:jc w:val="both"/>
        <w:rPr>
          <w:rFonts w:ascii="Arial" w:hAnsi="Arial" w:cs="Arial"/>
        </w:rPr>
      </w:pPr>
      <w:r w:rsidRPr="00867869">
        <w:rPr>
          <w:rFonts w:ascii="Arial" w:hAnsi="Arial" w:cs="Arial"/>
        </w:rPr>
        <w:t>Los estados financieros consolidados de la nación constituyen un importante instrumento de información financiera y económica del sector público colombiano, que tienen como propósito apoyar la definición de políticas públicas para la toma de decisiones económicas por parte del gobierno nacional, viabilizar el control político y fiscal por parte de los organismos pertinentes, y aportar al logro de los objetivos del Plan Nacional de Desarrollo y de los Objetivos de Desarrollo Sostenible, consiguiendo la rendición de cuentas en cumplimiento del lema institucional “cuentas claras, Estado transparente”.</w:t>
      </w:r>
    </w:p>
    <w:p w:rsidR="00867869" w:rsidRPr="00867869" w:rsidRDefault="00867869" w:rsidP="00867869">
      <w:pPr>
        <w:ind w:left="-284" w:right="-376"/>
        <w:jc w:val="both"/>
        <w:rPr>
          <w:rFonts w:ascii="Arial" w:hAnsi="Arial" w:cs="Arial"/>
        </w:rPr>
      </w:pPr>
    </w:p>
    <w:p w:rsidR="00867869" w:rsidRPr="00867869" w:rsidRDefault="00867869" w:rsidP="00867869">
      <w:pPr>
        <w:ind w:left="-284" w:right="-376"/>
        <w:jc w:val="center"/>
        <w:rPr>
          <w:rFonts w:ascii="Arial" w:hAnsi="Arial" w:cs="Arial"/>
          <w:bCs/>
          <w:sz w:val="16"/>
          <w:szCs w:val="16"/>
        </w:rPr>
      </w:pPr>
      <w:r w:rsidRPr="00867869">
        <w:rPr>
          <w:rFonts w:ascii="Arial" w:hAnsi="Arial" w:cs="Arial"/>
          <w:bCs/>
          <w:sz w:val="16"/>
          <w:szCs w:val="16"/>
        </w:rPr>
        <w:t>MAURICIO GÓMEZ VILLEGAS</w:t>
      </w:r>
    </w:p>
    <w:p w:rsidR="00867869" w:rsidRPr="00867869" w:rsidRDefault="00867869" w:rsidP="00867869">
      <w:pPr>
        <w:ind w:left="-284" w:right="-376"/>
        <w:jc w:val="center"/>
        <w:rPr>
          <w:rFonts w:ascii="Arial" w:hAnsi="Arial" w:cs="Arial"/>
          <w:sz w:val="16"/>
          <w:szCs w:val="16"/>
        </w:rPr>
      </w:pPr>
      <w:r w:rsidRPr="00867869">
        <w:rPr>
          <w:rFonts w:ascii="Arial" w:hAnsi="Arial" w:cs="Arial"/>
          <w:sz w:val="16"/>
          <w:szCs w:val="16"/>
        </w:rPr>
        <w:t>Contador General de la Nación</w:t>
      </w:r>
    </w:p>
    <w:p w:rsidR="00867869" w:rsidRPr="00867869" w:rsidRDefault="00867869" w:rsidP="00867869">
      <w:pPr>
        <w:ind w:left="-284" w:right="-376"/>
        <w:rPr>
          <w:rFonts w:ascii="Arial" w:hAnsi="Arial" w:cs="Arial"/>
          <w:b/>
          <w:bCs/>
          <w:sz w:val="16"/>
          <w:szCs w:val="16"/>
        </w:rPr>
      </w:pPr>
    </w:p>
    <w:p w:rsidR="005965C1" w:rsidRDefault="005965C1" w:rsidP="009E45FB">
      <w:pPr>
        <w:ind w:left="-284" w:right="-376"/>
        <w:jc w:val="center"/>
        <w:rPr>
          <w:rFonts w:ascii="Arial" w:hAnsi="Arial" w:cs="Arial"/>
          <w:b/>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F84B6F" w:rsidRDefault="00F84B6F" w:rsidP="009E45FB">
      <w:pPr>
        <w:ind w:left="-284" w:right="-376"/>
        <w:jc w:val="center"/>
        <w:rPr>
          <w:rFonts w:ascii="Arial" w:hAnsi="Arial" w:cs="Arial"/>
          <w:b/>
          <w:sz w:val="28"/>
          <w:szCs w:val="28"/>
        </w:rPr>
      </w:pPr>
    </w:p>
    <w:p w:rsidR="00366532" w:rsidRPr="00F84B6F" w:rsidRDefault="009E45FB" w:rsidP="009E45FB">
      <w:pPr>
        <w:ind w:left="-284" w:right="-376"/>
        <w:jc w:val="center"/>
        <w:rPr>
          <w:rFonts w:ascii="Arial" w:hAnsi="Arial" w:cs="Arial"/>
          <w:b/>
          <w:sz w:val="28"/>
          <w:szCs w:val="28"/>
        </w:rPr>
      </w:pPr>
      <w:r w:rsidRPr="00F84B6F">
        <w:rPr>
          <w:rFonts w:ascii="Arial" w:hAnsi="Arial" w:cs="Arial"/>
          <w:b/>
          <w:sz w:val="28"/>
          <w:szCs w:val="28"/>
        </w:rPr>
        <w:lastRenderedPageBreak/>
        <w:t>I.- ESTADOS FINANCIEROS CONSOLIDADOS DEL NIVEL NACIONAL.</w:t>
      </w:r>
    </w:p>
    <w:p w:rsidR="009E45FB" w:rsidRPr="009E45FB" w:rsidRDefault="009E45FB" w:rsidP="009E45FB">
      <w:pPr>
        <w:ind w:left="-284" w:right="-376"/>
        <w:jc w:val="center"/>
        <w:rPr>
          <w:rFonts w:ascii="Arial" w:hAnsi="Arial" w:cs="Arial"/>
          <w:b/>
        </w:rPr>
      </w:pPr>
    </w:p>
    <w:p w:rsidR="005965C1" w:rsidRDefault="005965C1" w:rsidP="005965C1">
      <w:pPr>
        <w:jc w:val="center"/>
        <w:rPr>
          <w:rFonts w:ascii="Arial" w:hAnsi="Arial" w:cs="Arial"/>
          <w:b/>
          <w:bCs/>
          <w:sz w:val="28"/>
          <w:szCs w:val="28"/>
        </w:rPr>
      </w:pPr>
    </w:p>
    <w:p w:rsidR="009E45FB" w:rsidRPr="00F84B6F" w:rsidRDefault="009E45FB" w:rsidP="005965C1">
      <w:pPr>
        <w:jc w:val="center"/>
        <w:rPr>
          <w:rFonts w:ascii="Arial" w:hAnsi="Arial" w:cs="Arial"/>
          <w:b/>
          <w:bCs/>
          <w:sz w:val="56"/>
          <w:szCs w:val="56"/>
        </w:rPr>
      </w:pPr>
      <w:r w:rsidRPr="00F84B6F">
        <w:rPr>
          <w:rFonts w:ascii="Arial" w:hAnsi="Arial" w:cs="Arial"/>
          <w:b/>
          <w:bCs/>
          <w:sz w:val="56"/>
          <w:szCs w:val="56"/>
        </w:rPr>
        <w:t>Nivel Nacional</w:t>
      </w:r>
    </w:p>
    <w:p w:rsidR="009E45FB" w:rsidRPr="00F84B6F" w:rsidRDefault="009E45FB" w:rsidP="005965C1">
      <w:pPr>
        <w:jc w:val="center"/>
        <w:rPr>
          <w:rFonts w:ascii="Arial" w:hAnsi="Arial" w:cs="Arial"/>
          <w:b/>
          <w:bCs/>
          <w:sz w:val="56"/>
          <w:szCs w:val="56"/>
        </w:rPr>
      </w:pPr>
      <w:r w:rsidRPr="00F84B6F">
        <w:rPr>
          <w:rFonts w:ascii="Arial" w:hAnsi="Arial" w:cs="Arial"/>
          <w:b/>
          <w:bCs/>
          <w:sz w:val="56"/>
          <w:szCs w:val="56"/>
        </w:rPr>
        <w:t>Estado de Resultados Consolidado</w:t>
      </w:r>
    </w:p>
    <w:p w:rsidR="009E45FB" w:rsidRPr="00F84B6F" w:rsidRDefault="009E45FB" w:rsidP="005965C1">
      <w:pPr>
        <w:jc w:val="center"/>
        <w:rPr>
          <w:rFonts w:ascii="Arial" w:hAnsi="Arial" w:cs="Arial"/>
          <w:b/>
          <w:bCs/>
          <w:sz w:val="56"/>
          <w:szCs w:val="56"/>
        </w:rPr>
      </w:pPr>
      <w:r w:rsidRPr="00F84B6F">
        <w:rPr>
          <w:rFonts w:ascii="Arial" w:hAnsi="Arial" w:cs="Arial"/>
          <w:b/>
          <w:bCs/>
          <w:sz w:val="56"/>
          <w:szCs w:val="56"/>
        </w:rPr>
        <w:t>Del 1 enero al 31 de diciembre de 2022</w:t>
      </w:r>
    </w:p>
    <w:p w:rsidR="009E45FB" w:rsidRPr="00F84B6F" w:rsidRDefault="00F84B6F" w:rsidP="005965C1">
      <w:pPr>
        <w:jc w:val="center"/>
        <w:rPr>
          <w:rFonts w:ascii="Arial" w:hAnsi="Arial" w:cs="Arial"/>
          <w:sz w:val="56"/>
          <w:szCs w:val="56"/>
        </w:rPr>
      </w:pPr>
      <w:r>
        <w:rPr>
          <w:rFonts w:ascii="Arial" w:hAnsi="Arial" w:cs="Arial"/>
          <w:sz w:val="56"/>
          <w:szCs w:val="56"/>
        </w:rPr>
        <w:t>c</w:t>
      </w:r>
      <w:r w:rsidR="009E45FB" w:rsidRPr="00F84B6F">
        <w:rPr>
          <w:rFonts w:ascii="Arial" w:hAnsi="Arial" w:cs="Arial"/>
          <w:sz w:val="56"/>
          <w:szCs w:val="56"/>
        </w:rPr>
        <w:t>ifras expresadas en miles de millones de pesos,</w:t>
      </w:r>
    </w:p>
    <w:p w:rsidR="009E45FB" w:rsidRPr="00F84B6F" w:rsidRDefault="009E45FB" w:rsidP="005965C1">
      <w:pPr>
        <w:jc w:val="center"/>
        <w:rPr>
          <w:rFonts w:ascii="Arial" w:hAnsi="Arial" w:cs="Arial"/>
          <w:sz w:val="56"/>
          <w:szCs w:val="56"/>
        </w:rPr>
      </w:pPr>
      <w:r w:rsidRPr="00F84B6F">
        <w:rPr>
          <w:rFonts w:ascii="Arial" w:hAnsi="Arial" w:cs="Arial"/>
          <w:sz w:val="56"/>
          <w:szCs w:val="56"/>
        </w:rPr>
        <w:t>excepto cuando, en particular, se señale lo contrario)</w:t>
      </w:r>
    </w:p>
    <w:p w:rsidR="005965C1" w:rsidRPr="00F84B6F" w:rsidRDefault="005965C1" w:rsidP="005965C1">
      <w:pPr>
        <w:jc w:val="center"/>
        <w:rPr>
          <w:rFonts w:ascii="Arial" w:hAnsi="Arial" w:cs="Arial"/>
          <w:sz w:val="56"/>
          <w:szCs w:val="56"/>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336EF" w:rsidP="00F336EF">
      <w:pPr>
        <w:rPr>
          <w:rFonts w:ascii="Arial" w:hAnsi="Arial" w:cs="Arial"/>
          <w:sz w:val="28"/>
          <w:szCs w:val="28"/>
        </w:rPr>
      </w:pPr>
      <w:r w:rsidRPr="007A28F2">
        <w:rPr>
          <w:noProof/>
          <w:lang w:val="es-CO" w:eastAsia="es-CO"/>
        </w:rPr>
        <w:lastRenderedPageBreak/>
        <w:drawing>
          <wp:inline distT="0" distB="0" distL="0" distR="0" wp14:anchorId="4599A5F9" wp14:editId="32810F62">
            <wp:extent cx="5943600" cy="8004175"/>
            <wp:effectExtent l="0" t="0" r="0" b="0"/>
            <wp:docPr id="5962267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04175"/>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336EF" w:rsidP="00F336EF">
      <w:pPr>
        <w:rPr>
          <w:rFonts w:ascii="Arial" w:hAnsi="Arial" w:cs="Arial"/>
          <w:sz w:val="28"/>
          <w:szCs w:val="28"/>
        </w:rPr>
      </w:pPr>
      <w:r w:rsidRPr="006269EA">
        <w:rPr>
          <w:noProof/>
          <w:lang w:val="es-CO" w:eastAsia="es-CO"/>
        </w:rPr>
        <w:lastRenderedPageBreak/>
        <w:drawing>
          <wp:inline distT="0" distB="0" distL="0" distR="0" wp14:anchorId="334453D9" wp14:editId="5F516813">
            <wp:extent cx="5943600" cy="8199755"/>
            <wp:effectExtent l="0" t="0" r="0" b="0"/>
            <wp:docPr id="70000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199755"/>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F336EF" w:rsidP="00F336EF">
      <w:pPr>
        <w:rPr>
          <w:rFonts w:ascii="Arial" w:hAnsi="Arial" w:cs="Arial"/>
          <w:sz w:val="28"/>
          <w:szCs w:val="28"/>
        </w:rPr>
      </w:pPr>
      <w:r w:rsidRPr="006269EA">
        <w:rPr>
          <w:noProof/>
          <w:lang w:val="es-CO" w:eastAsia="es-CO"/>
        </w:rPr>
        <w:lastRenderedPageBreak/>
        <w:drawing>
          <wp:inline distT="0" distB="0" distL="0" distR="0" wp14:anchorId="093777DF" wp14:editId="2FFE555E">
            <wp:extent cx="5870575" cy="8229600"/>
            <wp:effectExtent l="0" t="0" r="0" b="0"/>
            <wp:docPr id="7317855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0575" cy="822960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F336EF" w:rsidP="00F336EF">
      <w:pPr>
        <w:rPr>
          <w:rFonts w:ascii="Arial" w:hAnsi="Arial" w:cs="Arial"/>
          <w:sz w:val="28"/>
          <w:szCs w:val="28"/>
        </w:rPr>
      </w:pPr>
      <w:r w:rsidRPr="006269EA">
        <w:rPr>
          <w:noProof/>
          <w:lang w:val="es-CO" w:eastAsia="es-CO"/>
        </w:rPr>
        <w:lastRenderedPageBreak/>
        <w:drawing>
          <wp:inline distT="0" distB="0" distL="0" distR="0" wp14:anchorId="1E675222" wp14:editId="7CC697C6">
            <wp:extent cx="5943600" cy="8100060"/>
            <wp:effectExtent l="0" t="0" r="0" b="0"/>
            <wp:docPr id="3949545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10006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336EF" w:rsidP="00F336EF">
      <w:pPr>
        <w:rPr>
          <w:rFonts w:ascii="Arial" w:hAnsi="Arial" w:cs="Arial"/>
          <w:sz w:val="28"/>
          <w:szCs w:val="28"/>
        </w:rPr>
      </w:pPr>
      <w:r w:rsidRPr="006269EA">
        <w:rPr>
          <w:noProof/>
          <w:lang w:val="es-CO" w:eastAsia="es-CO"/>
        </w:rPr>
        <w:lastRenderedPageBreak/>
        <w:drawing>
          <wp:inline distT="0" distB="0" distL="0" distR="0" wp14:anchorId="2E97EE04" wp14:editId="1592CC5F">
            <wp:extent cx="5885815" cy="8229600"/>
            <wp:effectExtent l="0" t="0" r="635" b="0"/>
            <wp:docPr id="10543863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5815" cy="822960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F336EF" w:rsidP="00F336EF">
      <w:pPr>
        <w:rPr>
          <w:rFonts w:ascii="Arial" w:hAnsi="Arial" w:cs="Arial"/>
          <w:sz w:val="28"/>
          <w:szCs w:val="28"/>
        </w:rPr>
      </w:pPr>
      <w:r w:rsidRPr="006269EA">
        <w:rPr>
          <w:noProof/>
          <w:lang w:val="es-CO" w:eastAsia="es-CO"/>
        </w:rPr>
        <w:lastRenderedPageBreak/>
        <w:drawing>
          <wp:inline distT="0" distB="0" distL="0" distR="0" wp14:anchorId="5C0E73CC" wp14:editId="317D35A6">
            <wp:extent cx="5943600" cy="8204835"/>
            <wp:effectExtent l="0" t="0" r="0" b="0"/>
            <wp:docPr id="4648291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204835"/>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336EF" w:rsidP="00F336EF">
      <w:pPr>
        <w:rPr>
          <w:rFonts w:ascii="Arial" w:hAnsi="Arial" w:cs="Arial"/>
          <w:sz w:val="28"/>
          <w:szCs w:val="28"/>
        </w:rPr>
      </w:pPr>
      <w:r w:rsidRPr="006269EA">
        <w:rPr>
          <w:noProof/>
          <w:lang w:val="es-CO" w:eastAsia="es-CO"/>
        </w:rPr>
        <w:drawing>
          <wp:inline distT="0" distB="0" distL="0" distR="0" wp14:anchorId="767159A5" wp14:editId="7588F55E">
            <wp:extent cx="5943600" cy="8000365"/>
            <wp:effectExtent l="0" t="0" r="0" b="0"/>
            <wp:docPr id="19984130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000365"/>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EB32E2" w:rsidRPr="00F84B6F" w:rsidRDefault="00EB32E2" w:rsidP="00EB32E2">
      <w:pPr>
        <w:jc w:val="center"/>
        <w:rPr>
          <w:rFonts w:ascii="Arial" w:hAnsi="Arial" w:cs="Arial"/>
          <w:b/>
          <w:bCs/>
          <w:sz w:val="56"/>
          <w:szCs w:val="56"/>
        </w:rPr>
      </w:pPr>
      <w:r w:rsidRPr="00F84B6F">
        <w:rPr>
          <w:rFonts w:ascii="Arial" w:hAnsi="Arial" w:cs="Arial"/>
          <w:b/>
          <w:bCs/>
          <w:sz w:val="56"/>
          <w:szCs w:val="56"/>
        </w:rPr>
        <w:lastRenderedPageBreak/>
        <w:t>Nivel Nacional</w:t>
      </w:r>
    </w:p>
    <w:p w:rsidR="00EB32E2" w:rsidRPr="00F84B6F" w:rsidRDefault="00EB32E2" w:rsidP="00EB32E2">
      <w:pPr>
        <w:jc w:val="center"/>
        <w:rPr>
          <w:rFonts w:ascii="Arial" w:hAnsi="Arial" w:cs="Arial"/>
          <w:b/>
          <w:bCs/>
          <w:sz w:val="56"/>
          <w:szCs w:val="56"/>
        </w:rPr>
      </w:pPr>
      <w:r w:rsidRPr="00F84B6F">
        <w:rPr>
          <w:rFonts w:ascii="Arial" w:hAnsi="Arial" w:cs="Arial"/>
          <w:b/>
          <w:bCs/>
          <w:sz w:val="56"/>
          <w:szCs w:val="56"/>
        </w:rPr>
        <w:t>Estado de Situación Financiera Consolidado</w:t>
      </w:r>
    </w:p>
    <w:p w:rsidR="00EB32E2" w:rsidRPr="00F84B6F" w:rsidRDefault="00EB32E2" w:rsidP="00EB32E2">
      <w:pPr>
        <w:jc w:val="center"/>
        <w:rPr>
          <w:rFonts w:ascii="Arial" w:hAnsi="Arial" w:cs="Arial"/>
          <w:b/>
          <w:bCs/>
          <w:sz w:val="56"/>
          <w:szCs w:val="56"/>
        </w:rPr>
      </w:pPr>
      <w:r w:rsidRPr="00F84B6F">
        <w:rPr>
          <w:rFonts w:ascii="Arial" w:hAnsi="Arial" w:cs="Arial"/>
          <w:b/>
          <w:bCs/>
          <w:sz w:val="56"/>
          <w:szCs w:val="56"/>
        </w:rPr>
        <w:t>a 31 de diciembre de 2022</w:t>
      </w:r>
    </w:p>
    <w:p w:rsidR="00EB32E2" w:rsidRPr="00F84B6F" w:rsidRDefault="00EB32E2" w:rsidP="00EB32E2">
      <w:pPr>
        <w:jc w:val="center"/>
        <w:rPr>
          <w:rFonts w:ascii="Arial" w:hAnsi="Arial" w:cs="Arial"/>
          <w:sz w:val="56"/>
          <w:szCs w:val="56"/>
        </w:rPr>
      </w:pPr>
    </w:p>
    <w:p w:rsidR="00EB32E2" w:rsidRPr="00F84B6F" w:rsidRDefault="00EB32E2" w:rsidP="00EB32E2">
      <w:pPr>
        <w:jc w:val="center"/>
        <w:rPr>
          <w:rFonts w:ascii="Arial" w:hAnsi="Arial" w:cs="Arial"/>
          <w:sz w:val="56"/>
          <w:szCs w:val="56"/>
        </w:rPr>
      </w:pPr>
      <w:r w:rsidRPr="00F84B6F">
        <w:rPr>
          <w:rFonts w:ascii="Arial" w:hAnsi="Arial" w:cs="Arial"/>
          <w:sz w:val="56"/>
          <w:szCs w:val="56"/>
        </w:rPr>
        <w:t>(Cifras expresadas en miles de millones de pesos,</w:t>
      </w:r>
    </w:p>
    <w:p w:rsidR="00EB32E2" w:rsidRPr="00F84B6F" w:rsidRDefault="00EB32E2" w:rsidP="00EB32E2">
      <w:pPr>
        <w:jc w:val="center"/>
        <w:rPr>
          <w:rFonts w:ascii="Arial" w:hAnsi="Arial" w:cs="Arial"/>
          <w:sz w:val="56"/>
          <w:szCs w:val="56"/>
        </w:rPr>
      </w:pPr>
      <w:r w:rsidRPr="00F84B6F">
        <w:rPr>
          <w:rFonts w:ascii="Arial" w:hAnsi="Arial" w:cs="Arial"/>
          <w:sz w:val="56"/>
          <w:szCs w:val="56"/>
        </w:rPr>
        <w:t>excepto cuando, en particular, se señale lo contrario)</w:t>
      </w:r>
    </w:p>
    <w:p w:rsidR="005965C1" w:rsidRPr="00F84B6F" w:rsidRDefault="005965C1" w:rsidP="00EB32E2">
      <w:pPr>
        <w:jc w:val="center"/>
        <w:rPr>
          <w:rFonts w:ascii="Arial" w:hAnsi="Arial" w:cs="Arial"/>
          <w:sz w:val="56"/>
          <w:szCs w:val="56"/>
        </w:rPr>
      </w:pPr>
    </w:p>
    <w:p w:rsidR="005965C1" w:rsidRPr="00EB32E2" w:rsidRDefault="005965C1" w:rsidP="00EB32E2">
      <w:pPr>
        <w:jc w:val="center"/>
        <w:rPr>
          <w:rFonts w:ascii="Arial" w:hAnsi="Arial" w:cs="Arial"/>
          <w:sz w:val="28"/>
          <w:szCs w:val="28"/>
        </w:rPr>
      </w:pPr>
    </w:p>
    <w:p w:rsidR="005965C1" w:rsidRPr="00EB32E2" w:rsidRDefault="005965C1" w:rsidP="00EB32E2">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C3D15" w:rsidP="00EB32E2">
      <w:pPr>
        <w:rPr>
          <w:rFonts w:ascii="Arial" w:hAnsi="Arial" w:cs="Arial"/>
          <w:sz w:val="28"/>
          <w:szCs w:val="28"/>
        </w:rPr>
      </w:pPr>
      <w:r w:rsidRPr="002D2B1B">
        <w:rPr>
          <w:noProof/>
          <w:lang w:val="es-CO" w:eastAsia="es-CO"/>
        </w:rPr>
        <w:lastRenderedPageBreak/>
        <w:drawing>
          <wp:inline distT="0" distB="0" distL="0" distR="0" wp14:anchorId="5EC69431" wp14:editId="03301051">
            <wp:extent cx="5943600" cy="8129270"/>
            <wp:effectExtent l="0" t="0" r="0" b="0"/>
            <wp:docPr id="108910020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12927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C3D15" w:rsidP="00FC3D15">
      <w:pPr>
        <w:rPr>
          <w:rFonts w:ascii="Arial" w:hAnsi="Arial" w:cs="Arial"/>
          <w:sz w:val="28"/>
          <w:szCs w:val="28"/>
        </w:rPr>
      </w:pPr>
      <w:r w:rsidRPr="00EF3B3F">
        <w:rPr>
          <w:noProof/>
          <w:lang w:val="es-CO" w:eastAsia="es-CO"/>
        </w:rPr>
        <w:lastRenderedPageBreak/>
        <w:drawing>
          <wp:inline distT="0" distB="0" distL="0" distR="0" wp14:anchorId="1A50C6FE" wp14:editId="27EECD40">
            <wp:extent cx="5828665" cy="8229600"/>
            <wp:effectExtent l="0" t="0" r="635" b="0"/>
            <wp:docPr id="8850152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8665" cy="822960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C3D15" w:rsidP="00FC3D15">
      <w:pPr>
        <w:rPr>
          <w:rFonts w:ascii="Arial" w:hAnsi="Arial" w:cs="Arial"/>
          <w:sz w:val="28"/>
          <w:szCs w:val="28"/>
        </w:rPr>
      </w:pPr>
      <w:r w:rsidRPr="00EF3B3F">
        <w:rPr>
          <w:noProof/>
          <w:lang w:val="es-CO" w:eastAsia="es-CO"/>
        </w:rPr>
        <w:drawing>
          <wp:inline distT="0" distB="0" distL="0" distR="0" wp14:anchorId="545BAEC4" wp14:editId="5C4C6CDE">
            <wp:extent cx="5943600" cy="8185150"/>
            <wp:effectExtent l="0" t="0" r="0" b="6350"/>
            <wp:docPr id="177248994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185150"/>
                    </a:xfrm>
                    <a:prstGeom prst="rect">
                      <a:avLst/>
                    </a:prstGeom>
                    <a:noFill/>
                    <a:ln>
                      <a:noFill/>
                    </a:ln>
                  </pic:spPr>
                </pic:pic>
              </a:graphicData>
            </a:graphic>
          </wp:inline>
        </w:drawing>
      </w:r>
    </w:p>
    <w:p w:rsidR="005965C1" w:rsidRDefault="00FC3D15" w:rsidP="00FC3D15">
      <w:pPr>
        <w:rPr>
          <w:rFonts w:ascii="Arial" w:hAnsi="Arial" w:cs="Arial"/>
          <w:sz w:val="28"/>
          <w:szCs w:val="28"/>
        </w:rPr>
      </w:pPr>
      <w:r w:rsidRPr="00EF3B3F">
        <w:rPr>
          <w:noProof/>
          <w:lang w:val="es-CO" w:eastAsia="es-CO"/>
        </w:rPr>
        <w:lastRenderedPageBreak/>
        <w:drawing>
          <wp:inline distT="0" distB="0" distL="0" distR="0" wp14:anchorId="04D7E8F0" wp14:editId="6A0FFDFA">
            <wp:extent cx="5943600" cy="8122920"/>
            <wp:effectExtent l="0" t="0" r="0" b="0"/>
            <wp:docPr id="17265698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12292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C3D15" w:rsidP="00FC3D15">
      <w:pPr>
        <w:rPr>
          <w:rFonts w:ascii="Arial" w:hAnsi="Arial" w:cs="Arial"/>
          <w:sz w:val="28"/>
          <w:szCs w:val="28"/>
        </w:rPr>
      </w:pPr>
      <w:r w:rsidRPr="00EF3B3F">
        <w:rPr>
          <w:noProof/>
          <w:lang w:val="es-CO" w:eastAsia="es-CO"/>
        </w:rPr>
        <w:lastRenderedPageBreak/>
        <w:drawing>
          <wp:inline distT="0" distB="0" distL="0" distR="0" wp14:anchorId="4A33178A" wp14:editId="251AF136">
            <wp:extent cx="5922010" cy="8229600"/>
            <wp:effectExtent l="0" t="0" r="2540" b="0"/>
            <wp:docPr id="8860804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2010" cy="822960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FC3D15" w:rsidP="00FC3D15">
      <w:pPr>
        <w:rPr>
          <w:rFonts w:ascii="Arial" w:hAnsi="Arial" w:cs="Arial"/>
          <w:sz w:val="28"/>
          <w:szCs w:val="28"/>
        </w:rPr>
      </w:pPr>
      <w:r w:rsidRPr="00EF3B3F">
        <w:rPr>
          <w:noProof/>
          <w:lang w:val="es-CO" w:eastAsia="es-CO"/>
        </w:rPr>
        <w:lastRenderedPageBreak/>
        <w:drawing>
          <wp:inline distT="0" distB="0" distL="0" distR="0" wp14:anchorId="42E4B8FD" wp14:editId="5B99A317">
            <wp:extent cx="5902325" cy="8229600"/>
            <wp:effectExtent l="0" t="0" r="3175" b="0"/>
            <wp:docPr id="165697985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2325" cy="822960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FC3D15" w:rsidP="00FC3D15">
      <w:pPr>
        <w:rPr>
          <w:rFonts w:ascii="Arial" w:hAnsi="Arial" w:cs="Arial"/>
          <w:sz w:val="28"/>
          <w:szCs w:val="28"/>
        </w:rPr>
      </w:pPr>
      <w:r w:rsidRPr="00EF3B3F">
        <w:rPr>
          <w:noProof/>
          <w:lang w:val="es-CO" w:eastAsia="es-CO"/>
        </w:rPr>
        <w:lastRenderedPageBreak/>
        <w:drawing>
          <wp:inline distT="0" distB="0" distL="0" distR="0" wp14:anchorId="4451FA39" wp14:editId="17F9289D">
            <wp:extent cx="5943600" cy="8110855"/>
            <wp:effectExtent l="0" t="0" r="0" b="4445"/>
            <wp:docPr id="205681610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110855"/>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C3D15" w:rsidP="00FC3D15">
      <w:pPr>
        <w:rPr>
          <w:rFonts w:ascii="Arial" w:hAnsi="Arial" w:cs="Arial"/>
          <w:sz w:val="28"/>
          <w:szCs w:val="28"/>
        </w:rPr>
      </w:pPr>
      <w:r w:rsidRPr="00EF3B3F">
        <w:rPr>
          <w:noProof/>
          <w:lang w:val="es-CO" w:eastAsia="es-CO"/>
        </w:rPr>
        <w:lastRenderedPageBreak/>
        <w:drawing>
          <wp:inline distT="0" distB="0" distL="0" distR="0" wp14:anchorId="209A669F" wp14:editId="5E5FB083">
            <wp:extent cx="5943600" cy="5566410"/>
            <wp:effectExtent l="0" t="0" r="0" b="0"/>
            <wp:docPr id="127906657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556641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FC3D15" w:rsidRPr="005E4CF3" w:rsidRDefault="00FC3D15" w:rsidP="00FC3D15">
      <w:pPr>
        <w:jc w:val="center"/>
        <w:rPr>
          <w:rFonts w:ascii="Arial" w:hAnsi="Arial" w:cs="Arial"/>
          <w:b/>
          <w:bCs/>
          <w:sz w:val="56"/>
          <w:szCs w:val="56"/>
        </w:rPr>
      </w:pPr>
      <w:r w:rsidRPr="005E4CF3">
        <w:rPr>
          <w:rFonts w:ascii="Arial" w:hAnsi="Arial" w:cs="Arial"/>
          <w:b/>
          <w:bCs/>
          <w:sz w:val="56"/>
          <w:szCs w:val="56"/>
        </w:rPr>
        <w:lastRenderedPageBreak/>
        <w:t>Nivel Nacional</w:t>
      </w:r>
    </w:p>
    <w:p w:rsidR="00FC3D15" w:rsidRPr="005E4CF3" w:rsidRDefault="00FC3D15" w:rsidP="00FC3D15">
      <w:pPr>
        <w:jc w:val="center"/>
        <w:rPr>
          <w:rFonts w:ascii="Arial" w:hAnsi="Arial" w:cs="Arial"/>
          <w:b/>
          <w:bCs/>
          <w:sz w:val="56"/>
          <w:szCs w:val="56"/>
        </w:rPr>
      </w:pPr>
      <w:r w:rsidRPr="005E4CF3">
        <w:rPr>
          <w:rFonts w:ascii="Arial" w:hAnsi="Arial" w:cs="Arial"/>
          <w:b/>
          <w:bCs/>
          <w:sz w:val="56"/>
          <w:szCs w:val="56"/>
        </w:rPr>
        <w:t>Estado de Cambios en el</w:t>
      </w:r>
    </w:p>
    <w:p w:rsidR="00FC3D15" w:rsidRPr="005E4CF3" w:rsidRDefault="00FC3D15" w:rsidP="00FC3D15">
      <w:pPr>
        <w:jc w:val="center"/>
        <w:rPr>
          <w:rFonts w:ascii="Arial" w:hAnsi="Arial" w:cs="Arial"/>
          <w:b/>
          <w:bCs/>
          <w:sz w:val="56"/>
          <w:szCs w:val="56"/>
        </w:rPr>
      </w:pPr>
      <w:r w:rsidRPr="005E4CF3">
        <w:rPr>
          <w:rFonts w:ascii="Arial" w:hAnsi="Arial" w:cs="Arial"/>
          <w:b/>
          <w:bCs/>
          <w:sz w:val="56"/>
          <w:szCs w:val="56"/>
        </w:rPr>
        <w:t>Patrimonio Consolidado</w:t>
      </w:r>
    </w:p>
    <w:p w:rsidR="00FC3D15" w:rsidRPr="005E4CF3" w:rsidRDefault="00FC3D15" w:rsidP="00FC3D15">
      <w:pPr>
        <w:jc w:val="center"/>
        <w:rPr>
          <w:rFonts w:ascii="Arial" w:hAnsi="Arial" w:cs="Arial"/>
          <w:b/>
          <w:bCs/>
          <w:sz w:val="56"/>
          <w:szCs w:val="56"/>
        </w:rPr>
      </w:pPr>
      <w:r w:rsidRPr="005E4CF3">
        <w:rPr>
          <w:rFonts w:ascii="Arial" w:hAnsi="Arial" w:cs="Arial"/>
          <w:b/>
          <w:bCs/>
          <w:sz w:val="56"/>
          <w:szCs w:val="56"/>
        </w:rPr>
        <w:t>a 31 de diciembre de 2022</w:t>
      </w:r>
    </w:p>
    <w:p w:rsidR="00FC3D15" w:rsidRPr="005E4CF3" w:rsidRDefault="00FC3D15" w:rsidP="00FC3D15">
      <w:pPr>
        <w:jc w:val="center"/>
        <w:rPr>
          <w:rFonts w:ascii="Arial" w:hAnsi="Arial" w:cs="Arial"/>
          <w:sz w:val="56"/>
          <w:szCs w:val="56"/>
        </w:rPr>
      </w:pPr>
    </w:p>
    <w:p w:rsidR="00FC3D15" w:rsidRPr="005E4CF3" w:rsidRDefault="00FC3D15" w:rsidP="00FC3D15">
      <w:pPr>
        <w:jc w:val="center"/>
        <w:rPr>
          <w:rFonts w:ascii="Arial" w:hAnsi="Arial" w:cs="Arial"/>
          <w:sz w:val="56"/>
          <w:szCs w:val="56"/>
        </w:rPr>
      </w:pPr>
      <w:r w:rsidRPr="005E4CF3">
        <w:rPr>
          <w:rFonts w:ascii="Arial" w:hAnsi="Arial" w:cs="Arial"/>
          <w:sz w:val="56"/>
          <w:szCs w:val="56"/>
        </w:rPr>
        <w:t>(Cifras expresadas en miles de millones de pesos,</w:t>
      </w:r>
    </w:p>
    <w:p w:rsidR="00FC3D15" w:rsidRPr="005E4CF3" w:rsidRDefault="00FC3D15" w:rsidP="00FC3D15">
      <w:pPr>
        <w:jc w:val="center"/>
        <w:rPr>
          <w:rFonts w:ascii="Arial" w:hAnsi="Arial" w:cs="Arial"/>
          <w:sz w:val="56"/>
          <w:szCs w:val="56"/>
        </w:rPr>
      </w:pPr>
      <w:r w:rsidRPr="005E4CF3">
        <w:rPr>
          <w:rFonts w:ascii="Arial" w:hAnsi="Arial" w:cs="Arial"/>
          <w:sz w:val="56"/>
          <w:szCs w:val="56"/>
        </w:rPr>
        <w:t>excepto cuando, en particular, se señale lo contrario)</w:t>
      </w:r>
    </w:p>
    <w:p w:rsidR="00FC3D15" w:rsidRPr="005E4CF3" w:rsidRDefault="00FC3D15" w:rsidP="00FC3D15">
      <w:pPr>
        <w:jc w:val="center"/>
        <w:rPr>
          <w:rFonts w:cstheme="majorBidi"/>
          <w:color w:val="5B9BD5" w:themeColor="accent1"/>
          <w:sz w:val="56"/>
          <w:szCs w:val="56"/>
        </w:rPr>
      </w:pPr>
    </w:p>
    <w:p w:rsidR="00FC3D15" w:rsidRPr="005E4CF3" w:rsidRDefault="00FC3D15" w:rsidP="00FC3D15">
      <w:pPr>
        <w:jc w:val="center"/>
        <w:rPr>
          <w:rFonts w:cstheme="majorBidi"/>
          <w:color w:val="5B9BD5" w:themeColor="accent1"/>
          <w:sz w:val="56"/>
          <w:szCs w:val="56"/>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C3D15" w:rsidP="00FC3D15">
      <w:pPr>
        <w:rPr>
          <w:rFonts w:ascii="Arial" w:hAnsi="Arial" w:cs="Arial"/>
          <w:sz w:val="28"/>
          <w:szCs w:val="28"/>
        </w:rPr>
      </w:pPr>
      <w:r w:rsidRPr="00A90355">
        <w:rPr>
          <w:noProof/>
          <w:lang w:val="es-CO" w:eastAsia="es-CO"/>
        </w:rPr>
        <w:lastRenderedPageBreak/>
        <w:drawing>
          <wp:inline distT="0" distB="0" distL="0" distR="0" wp14:anchorId="51E6E9E7" wp14:editId="22A820E1">
            <wp:extent cx="5943600" cy="5416550"/>
            <wp:effectExtent l="0" t="0" r="0" b="0"/>
            <wp:docPr id="91626017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416550"/>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FC3D15" w:rsidP="00FC3D15">
      <w:pPr>
        <w:rPr>
          <w:rFonts w:ascii="Arial" w:hAnsi="Arial" w:cs="Arial"/>
          <w:sz w:val="28"/>
          <w:szCs w:val="28"/>
        </w:rPr>
      </w:pPr>
      <w:r w:rsidRPr="00A90355">
        <w:rPr>
          <w:noProof/>
          <w:lang w:val="es-CO" w:eastAsia="es-CO"/>
        </w:rPr>
        <w:lastRenderedPageBreak/>
        <w:drawing>
          <wp:inline distT="0" distB="0" distL="0" distR="0" wp14:anchorId="5B38968A" wp14:editId="24F41C61">
            <wp:extent cx="5943600" cy="5521325"/>
            <wp:effectExtent l="0" t="0" r="0" b="0"/>
            <wp:docPr id="148739314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521325"/>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525E08" w:rsidRPr="0067220D" w:rsidRDefault="00525E08" w:rsidP="00525E08">
      <w:pPr>
        <w:spacing w:after="4"/>
        <w:ind w:left="-142"/>
        <w:rPr>
          <w:rFonts w:ascii="Arial" w:hAnsi="Arial" w:cs="Arial"/>
          <w:b/>
          <w:sz w:val="28"/>
          <w:szCs w:val="28"/>
          <w:lang w:eastAsia="es-CO"/>
        </w:rPr>
      </w:pPr>
      <w:bookmarkStart w:id="0" w:name="_Hlk133423015"/>
      <w:bookmarkStart w:id="1" w:name="_Toc135044678"/>
      <w:r w:rsidRPr="0067220D">
        <w:rPr>
          <w:rFonts w:ascii="Arial" w:hAnsi="Arial" w:cs="Arial"/>
          <w:b/>
          <w:sz w:val="28"/>
          <w:szCs w:val="28"/>
          <w:lang w:eastAsia="es-CO"/>
        </w:rPr>
        <w:lastRenderedPageBreak/>
        <w:t>1.1.- ENTIDAD CONSOLIDADA.</w:t>
      </w:r>
    </w:p>
    <w:p w:rsidR="00525E08" w:rsidRPr="00A320BE" w:rsidRDefault="00525E08" w:rsidP="00525E08">
      <w:pPr>
        <w:rPr>
          <w:lang w:eastAsia="es-CO"/>
        </w:rPr>
      </w:pPr>
    </w:p>
    <w:p w:rsidR="00525E08" w:rsidRPr="0067220D" w:rsidRDefault="00525E08" w:rsidP="00525E08">
      <w:pPr>
        <w:spacing w:after="4"/>
        <w:ind w:left="-142" w:right="-518"/>
        <w:jc w:val="both"/>
        <w:rPr>
          <w:rFonts w:ascii="Arial" w:hAnsi="Arial" w:cs="Arial"/>
        </w:rPr>
      </w:pPr>
      <w:r w:rsidRPr="0067220D">
        <w:rPr>
          <w:rFonts w:ascii="Arial" w:hAnsi="Arial" w:cs="Arial"/>
        </w:rPr>
        <w:t>Los estados financieros consolidados del nivel nacional se preparan a partir del universo de entidades públicas que lo conforman, las cuales se encuentran registradas en la base de datos de la Contaduría General de la Nación (CGN) como entidades activas al cierre del periodo contable; están identificadas a través del código de consolidación que sirve de base para el reporte periódico de la información y del Código Único de Identificación Económica (CUIN) que permite realizar las agrupaciones o centros de consolidación respectivos.</w:t>
      </w:r>
    </w:p>
    <w:p w:rsidR="00525E08" w:rsidRPr="0067220D" w:rsidRDefault="00525E08" w:rsidP="00525E08">
      <w:pPr>
        <w:spacing w:after="4"/>
        <w:ind w:left="-142" w:right="-518"/>
        <w:jc w:val="both"/>
        <w:rPr>
          <w:rFonts w:ascii="Arial" w:hAnsi="Arial" w:cs="Arial"/>
        </w:rPr>
      </w:pPr>
    </w:p>
    <w:p w:rsidR="00525E08" w:rsidRPr="0067220D" w:rsidRDefault="00525E08" w:rsidP="00525E08">
      <w:pPr>
        <w:spacing w:after="4"/>
        <w:ind w:left="-142" w:right="-518"/>
        <w:jc w:val="both"/>
        <w:rPr>
          <w:rFonts w:ascii="Arial" w:hAnsi="Arial" w:cs="Arial"/>
        </w:rPr>
      </w:pPr>
      <w:r w:rsidRPr="0067220D">
        <w:rPr>
          <w:rFonts w:ascii="Arial" w:hAnsi="Arial" w:cs="Arial"/>
        </w:rPr>
        <w:t>Es importante señalar que una entidad pública registrada en la base de datos de la CGN con su respectivo código de identificación también puede agregar a otras entidades públicas, fondos o unidades, en un ejercicio de simplificación del proceso de consolidación y como una fase previa del mismo. Tal es el caso de algunos ministerios que incluyen fondos o patrimonios autónomos, o información de sus seccionales o regionales, a pesar de manejarse separadamente la información contable.</w:t>
      </w:r>
    </w:p>
    <w:p w:rsidR="00525E08" w:rsidRPr="0067220D" w:rsidRDefault="00525E08" w:rsidP="00525E08">
      <w:pPr>
        <w:spacing w:after="4"/>
        <w:ind w:left="-142" w:right="-518"/>
        <w:jc w:val="both"/>
        <w:rPr>
          <w:rFonts w:ascii="Arial" w:hAnsi="Arial" w:cs="Arial"/>
        </w:rPr>
      </w:pPr>
    </w:p>
    <w:p w:rsidR="00525E08" w:rsidRPr="0067220D" w:rsidRDefault="00525E08" w:rsidP="00525E08">
      <w:pPr>
        <w:spacing w:after="4"/>
        <w:ind w:left="-142" w:right="-518"/>
        <w:jc w:val="both"/>
        <w:rPr>
          <w:rFonts w:ascii="Arial" w:hAnsi="Arial" w:cs="Arial"/>
        </w:rPr>
      </w:pPr>
      <w:r w:rsidRPr="0067220D">
        <w:rPr>
          <w:rFonts w:ascii="Arial" w:hAnsi="Arial" w:cs="Arial"/>
        </w:rPr>
        <w:t>El nivel nacional es la estructura principal de los estados financieros consolidados, en este nivel se encuentran las autoridades y entidades más representativas administrativamente, entre las cuales se destacan el Congreso de la República, la Rama Ejecutiva con el Presidente de la República y los ministros; la Rama Judicial con las cortes Constitucional y Suprema de justicia, el Consejo Superior de la Judicatura, el Consejo de Estado, la Fiscalía General; y organismos de control, entre ellos la Procuraduría General de la Nación, la Contraloría General de la República y la Organización Electoral. También hacen parte de este nivel entidades autónomas como las universidades y corporaciones autónomas, al igual que empresas como Ecopetrol e Isa, empresas de economía mixta con la participación accionaria de los Ministerios de Minas y Energía y Hacienda y Crédito Público.</w:t>
      </w:r>
    </w:p>
    <w:p w:rsidR="00525E08" w:rsidRPr="0067220D" w:rsidRDefault="00525E08" w:rsidP="00525E08">
      <w:pPr>
        <w:spacing w:after="4"/>
        <w:ind w:left="-142" w:right="-518"/>
        <w:jc w:val="both"/>
        <w:rPr>
          <w:rFonts w:ascii="Arial" w:hAnsi="Arial" w:cs="Arial"/>
        </w:rPr>
      </w:pPr>
    </w:p>
    <w:p w:rsidR="00525E08" w:rsidRPr="0067220D" w:rsidRDefault="00525E08" w:rsidP="00525E08">
      <w:pPr>
        <w:spacing w:after="4"/>
        <w:ind w:left="-142" w:right="-518"/>
        <w:jc w:val="both"/>
        <w:rPr>
          <w:rFonts w:ascii="Arial" w:hAnsi="Arial" w:cs="Arial"/>
        </w:rPr>
      </w:pPr>
      <w:r w:rsidRPr="0067220D">
        <w:rPr>
          <w:rFonts w:ascii="Arial" w:hAnsi="Arial" w:cs="Arial"/>
        </w:rPr>
        <w:t>La clasificación del nivel nacional para efectos de la elaboración de los informes consolidados atiende criterios tanto jurídicos y económicos, como de los marcos normativos aplicables a cada entidad. Los criterios económicos siguen las recomendaciones del Fondo Monetario Internacional (FMI), los cuales han sido concertados con el Banco de la República y el Departamento Administrativo Nacional de Estadísticas (DANE), orientados a presentar información financiera que permita la comparación entre países. Esta clasificación se realiza en la Mesa de Entidades de la Comisión Intersectorial de Información para la Gestión Financiera Pública (CIIGFP).</w:t>
      </w:r>
    </w:p>
    <w:p w:rsidR="00525E08" w:rsidRPr="0067220D" w:rsidRDefault="00525E08" w:rsidP="00525E08">
      <w:pPr>
        <w:spacing w:after="4"/>
        <w:ind w:left="-142" w:right="-518"/>
        <w:jc w:val="both"/>
        <w:rPr>
          <w:rFonts w:ascii="Arial" w:hAnsi="Arial" w:cs="Arial"/>
        </w:rPr>
      </w:pPr>
    </w:p>
    <w:p w:rsidR="00525E08" w:rsidRPr="0067220D" w:rsidRDefault="00525E08" w:rsidP="00525E08">
      <w:pPr>
        <w:spacing w:after="4"/>
        <w:ind w:left="-142" w:right="-518"/>
        <w:jc w:val="both"/>
        <w:rPr>
          <w:rFonts w:ascii="Arial" w:hAnsi="Arial" w:cs="Arial"/>
        </w:rPr>
      </w:pPr>
      <w:r w:rsidRPr="0067220D">
        <w:rPr>
          <w:rFonts w:ascii="Arial" w:hAnsi="Arial" w:cs="Arial"/>
        </w:rPr>
        <w:t>Es así como el universo de entidades que conforman este nivel son 343, de las cuales 249 son entidades de gobierno</w:t>
      </w:r>
      <w:r w:rsidRPr="0067220D">
        <w:rPr>
          <w:rStyle w:val="Refdenotaalpie"/>
          <w:rFonts w:ascii="Arial" w:hAnsi="Arial" w:cs="Arial"/>
          <w:sz w:val="24"/>
        </w:rPr>
        <w:footnoteReference w:id="3"/>
      </w:r>
      <w:r w:rsidRPr="0067220D">
        <w:rPr>
          <w:rFonts w:ascii="Arial" w:hAnsi="Arial" w:cs="Arial"/>
        </w:rPr>
        <w:t>; 36 son empresas que cotizan en el mercado de valores o que captan o administran ahorro del público</w:t>
      </w:r>
      <w:r w:rsidRPr="0067220D">
        <w:rPr>
          <w:rStyle w:val="Refdenotaalpie"/>
          <w:rFonts w:ascii="Arial" w:hAnsi="Arial" w:cs="Arial"/>
          <w:sz w:val="24"/>
        </w:rPr>
        <w:footnoteReference w:id="4"/>
      </w:r>
      <w:r w:rsidRPr="0067220D">
        <w:rPr>
          <w:rFonts w:ascii="Arial" w:hAnsi="Arial" w:cs="Arial"/>
        </w:rPr>
        <w:t xml:space="preserve"> ; 37 son empresas que no cotizan o que no captan ni administran</w:t>
      </w:r>
      <w:bookmarkEnd w:id="0"/>
      <w:r w:rsidRPr="0067220D">
        <w:rPr>
          <w:rFonts w:ascii="Arial" w:hAnsi="Arial" w:cs="Arial"/>
        </w:rPr>
        <w:t xml:space="preserve"> ahorro del público</w:t>
      </w:r>
      <w:r w:rsidRPr="0067220D">
        <w:rPr>
          <w:rStyle w:val="Refdenotaalpie"/>
          <w:rFonts w:ascii="Arial" w:hAnsi="Arial" w:cs="Arial"/>
          <w:sz w:val="24"/>
        </w:rPr>
        <w:footnoteReference w:id="5"/>
      </w:r>
      <w:r w:rsidRPr="0067220D">
        <w:rPr>
          <w:rFonts w:ascii="Arial" w:hAnsi="Arial" w:cs="Arial"/>
        </w:rPr>
        <w:t xml:space="preserve"> ; y 21 son entidades que se encuentran en procesos especiales, de las cuales 17 están en liquidación</w:t>
      </w:r>
      <w:r w:rsidRPr="0067220D">
        <w:rPr>
          <w:rStyle w:val="Refdenotaalpie"/>
          <w:rFonts w:ascii="Arial" w:hAnsi="Arial" w:cs="Arial"/>
          <w:sz w:val="24"/>
        </w:rPr>
        <w:footnoteReference w:id="6"/>
      </w:r>
      <w:r w:rsidRPr="0067220D">
        <w:rPr>
          <w:rFonts w:ascii="Arial" w:hAnsi="Arial" w:cs="Arial"/>
        </w:rPr>
        <w:t xml:space="preserve"> y 4 son fondos y patrimonios autónomos.</w:t>
      </w:r>
    </w:p>
    <w:p w:rsidR="00525E08" w:rsidRPr="0067220D" w:rsidRDefault="00525E08" w:rsidP="00525E08">
      <w:pPr>
        <w:spacing w:after="4"/>
        <w:ind w:left="-142" w:right="-518"/>
        <w:jc w:val="both"/>
        <w:rPr>
          <w:rFonts w:ascii="Arial" w:hAnsi="Arial" w:cs="Arial"/>
        </w:rPr>
      </w:pPr>
    </w:p>
    <w:p w:rsidR="00525E08" w:rsidRPr="0067220D" w:rsidRDefault="00525E08" w:rsidP="00525E08">
      <w:pPr>
        <w:spacing w:after="4"/>
        <w:ind w:left="-142" w:right="-518"/>
        <w:jc w:val="both"/>
        <w:rPr>
          <w:rFonts w:ascii="Arial" w:hAnsi="Arial" w:cs="Arial"/>
        </w:rPr>
      </w:pPr>
      <w:r w:rsidRPr="0067220D">
        <w:rPr>
          <w:rFonts w:ascii="Arial" w:hAnsi="Arial" w:cs="Arial"/>
          <w:b/>
          <w:sz w:val="28"/>
          <w:szCs w:val="28"/>
          <w:u w:val="single"/>
        </w:rPr>
        <w:t>Los estados financieros consolidados del nivel nacional del año 2022 incluyen las 343 entidades, es decir, el 100% del universo de entidades registradas en la base de datos de la CGN para este nivel</w:t>
      </w:r>
      <w:r w:rsidRPr="0067220D">
        <w:rPr>
          <w:rFonts w:ascii="Arial" w:hAnsi="Arial" w:cs="Arial"/>
        </w:rPr>
        <w:t>.</w:t>
      </w:r>
      <w:r>
        <w:rPr>
          <w:rFonts w:ascii="Arial" w:hAnsi="Arial" w:cs="Arial"/>
        </w:rPr>
        <w:t xml:space="preserve"> (Subrayado y resaltado fuera de texto).</w:t>
      </w:r>
    </w:p>
    <w:p w:rsidR="00525E08" w:rsidRDefault="00525E08" w:rsidP="00575C35">
      <w:pPr>
        <w:pStyle w:val="Ttulo3"/>
      </w:pPr>
      <w:bookmarkStart w:id="2" w:name="_Toc135044668"/>
      <w:r w:rsidRPr="00153C76">
        <w:lastRenderedPageBreak/>
        <w:t>Referente Teórico y Metodológico de la Regulación Contable Pública</w:t>
      </w:r>
      <w:bookmarkEnd w:id="2"/>
      <w:r w:rsidR="00153C76">
        <w:t>.</w:t>
      </w:r>
    </w:p>
    <w:p w:rsidR="00153C76" w:rsidRPr="00153C76" w:rsidRDefault="00153C76" w:rsidP="00153C76">
      <w:pPr>
        <w:rPr>
          <w:lang w:val="es-CO" w:eastAsia="en-US"/>
        </w:rPr>
      </w:pPr>
    </w:p>
    <w:p w:rsidR="00525E08" w:rsidRDefault="00525E08" w:rsidP="00153C76">
      <w:pPr>
        <w:ind w:left="-142" w:right="-518"/>
        <w:jc w:val="both"/>
        <w:rPr>
          <w:rFonts w:ascii="Arial" w:hAnsi="Arial" w:cs="Arial"/>
        </w:rPr>
      </w:pPr>
      <w:bookmarkStart w:id="3" w:name="_Hlk133571757"/>
      <w:r w:rsidRPr="00153C76">
        <w:rPr>
          <w:rFonts w:ascii="Arial" w:hAnsi="Arial" w:cs="Arial"/>
        </w:rPr>
        <w:t>El Referente Teórico y Metodológico de la Regulación Contable Pública sirve a la CGN para definir el alcance del RCP y desarrollar este instrumento de normalización y regulación de la contabilidad pública, en el contexto de la convergencia hacia estándares internacionales de información financiera. Este Referente se incorpora al RCP mediante la Resolución 628 de 2015, y se modifica con la Resolución 456 de 2017</w:t>
      </w:r>
      <w:bookmarkEnd w:id="3"/>
      <w:r w:rsidRPr="00153C76">
        <w:rPr>
          <w:rFonts w:ascii="Arial" w:hAnsi="Arial" w:cs="Arial"/>
        </w:rPr>
        <w:t>.</w:t>
      </w:r>
    </w:p>
    <w:p w:rsidR="00153C76" w:rsidRPr="00153C76" w:rsidRDefault="00153C76" w:rsidP="00153C76">
      <w:pPr>
        <w:ind w:left="-142" w:right="-518"/>
        <w:jc w:val="both"/>
        <w:rPr>
          <w:rFonts w:ascii="Arial" w:hAnsi="Arial" w:cs="Arial"/>
        </w:rPr>
      </w:pPr>
    </w:p>
    <w:p w:rsidR="00525E08" w:rsidRDefault="00525E08" w:rsidP="00575C35">
      <w:pPr>
        <w:pStyle w:val="Ttulo3"/>
        <w:rPr>
          <w:lang w:eastAsia="es-ES"/>
        </w:rPr>
      </w:pPr>
      <w:bookmarkStart w:id="4" w:name="_Toc135044669"/>
      <w:r w:rsidRPr="00A320BE">
        <w:t>Marco Normativo para Empresas que Cotizan en el Mercado de Valores, o que Captan o Administran Ahorro del Público</w:t>
      </w:r>
      <w:bookmarkEnd w:id="4"/>
      <w:r>
        <w:t xml:space="preserve">. </w:t>
      </w:r>
      <w:r w:rsidRPr="00A320BE">
        <w:rPr>
          <w:lang w:eastAsia="es-ES"/>
        </w:rPr>
        <w:t>Resolución 037 del 7 de febrero de 2017</w:t>
      </w:r>
      <w:r>
        <w:rPr>
          <w:lang w:eastAsia="es-ES"/>
        </w:rPr>
        <w:t xml:space="preserve"> y sus modificaciones.</w:t>
      </w:r>
    </w:p>
    <w:p w:rsidR="00153C76" w:rsidRPr="00153C76" w:rsidRDefault="00153C76" w:rsidP="00153C76">
      <w:pPr>
        <w:ind w:right="-518"/>
        <w:jc w:val="both"/>
        <w:rPr>
          <w:lang w:val="es-CO"/>
        </w:rPr>
      </w:pPr>
    </w:p>
    <w:p w:rsidR="00525E08" w:rsidRPr="00153C76" w:rsidRDefault="00525E08" w:rsidP="00153C76">
      <w:pPr>
        <w:ind w:left="-142" w:right="-518"/>
        <w:jc w:val="both"/>
        <w:rPr>
          <w:rFonts w:ascii="Arial" w:hAnsi="Arial" w:cs="Arial"/>
        </w:rPr>
      </w:pPr>
      <w:bookmarkStart w:id="5" w:name="_Hlk133571763"/>
      <w:r w:rsidRPr="00153C76">
        <w:rPr>
          <w:rFonts w:ascii="Arial" w:hAnsi="Arial" w:cs="Arial"/>
        </w:rPr>
        <w:t>El Marco Normativo para Empresas que Cotizan en el Mercado de Valores, o que Captan o Administran Ahorro del Público es aplicable a las empresas que se encuentran bajo el ámbito del RCP y a los negocios fiduciarios de empresas públicas que se relacionan a continuación, siempre que estas se consideren negocio en marcha</w:t>
      </w:r>
      <w:bookmarkEnd w:id="5"/>
      <w:r w:rsidRPr="00153C76">
        <w:rPr>
          <w:rFonts w:ascii="Arial" w:hAnsi="Arial" w:cs="Arial"/>
        </w:rPr>
        <w:t>:</w:t>
      </w:r>
    </w:p>
    <w:p w:rsidR="00525E08" w:rsidRPr="00153C76" w:rsidRDefault="00525E08" w:rsidP="00153C76">
      <w:pPr>
        <w:jc w:val="both"/>
        <w:rPr>
          <w:rFonts w:ascii="Arial" w:hAnsi="Arial" w:cs="Arial"/>
        </w:rPr>
      </w:pPr>
    </w:p>
    <w:p w:rsidR="00525E08" w:rsidRPr="00153C76" w:rsidRDefault="00525E08" w:rsidP="00153C76">
      <w:pPr>
        <w:pStyle w:val="Textoindependiente"/>
        <w:widowControl/>
        <w:numPr>
          <w:ilvl w:val="0"/>
          <w:numId w:val="3"/>
        </w:numPr>
        <w:autoSpaceDE/>
        <w:autoSpaceDN/>
        <w:ind w:right="-518"/>
        <w:jc w:val="both"/>
        <w:rPr>
          <w:rFonts w:ascii="Arial" w:hAnsi="Arial" w:cs="Arial"/>
          <w:sz w:val="24"/>
          <w:lang w:val="es-CO"/>
        </w:rPr>
      </w:pPr>
      <w:r w:rsidRPr="00153C76">
        <w:rPr>
          <w:rFonts w:ascii="Arial" w:hAnsi="Arial" w:cs="Arial"/>
          <w:sz w:val="24"/>
          <w:lang w:val="es-CO"/>
        </w:rPr>
        <w:t>Empresas que sean emisoras de valores y cuyos valores se encuentren inscritos en el Registro Nacional de Valores y Emisores (RNVE).</w:t>
      </w:r>
    </w:p>
    <w:p w:rsidR="00525E08" w:rsidRPr="00153C76" w:rsidRDefault="00525E08" w:rsidP="00153C76">
      <w:pPr>
        <w:pStyle w:val="Textoindependiente"/>
        <w:widowControl/>
        <w:numPr>
          <w:ilvl w:val="0"/>
          <w:numId w:val="3"/>
        </w:numPr>
        <w:autoSpaceDE/>
        <w:autoSpaceDN/>
        <w:ind w:right="-518"/>
        <w:jc w:val="both"/>
        <w:rPr>
          <w:rFonts w:ascii="Arial" w:hAnsi="Arial" w:cs="Arial"/>
          <w:sz w:val="24"/>
          <w:lang w:val="es-CO"/>
        </w:rPr>
      </w:pPr>
      <w:r w:rsidRPr="00153C76">
        <w:rPr>
          <w:rFonts w:ascii="Arial" w:hAnsi="Arial" w:cs="Arial"/>
          <w:sz w:val="24"/>
          <w:lang w:val="es-CO"/>
        </w:rPr>
        <w:t>Empresas que hagan parte de un grupo económico cuya matriz sea emisora de valores y esta tenga sus valores inscritos en el RNVE.</w:t>
      </w:r>
    </w:p>
    <w:p w:rsidR="00525E08" w:rsidRPr="00153C76" w:rsidRDefault="00525E08" w:rsidP="00153C76">
      <w:pPr>
        <w:pStyle w:val="Textoindependiente"/>
        <w:widowControl/>
        <w:numPr>
          <w:ilvl w:val="0"/>
          <w:numId w:val="3"/>
        </w:numPr>
        <w:autoSpaceDE/>
        <w:autoSpaceDN/>
        <w:ind w:right="-518"/>
        <w:jc w:val="both"/>
        <w:rPr>
          <w:rFonts w:ascii="Arial" w:hAnsi="Arial" w:cs="Arial"/>
          <w:sz w:val="24"/>
          <w:lang w:val="es-CO"/>
        </w:rPr>
      </w:pPr>
      <w:r w:rsidRPr="00153C76">
        <w:rPr>
          <w:rFonts w:ascii="Arial" w:hAnsi="Arial" w:cs="Arial"/>
          <w:sz w:val="24"/>
          <w:lang w:val="es-CO"/>
        </w:rPr>
        <w:t>Sociedades fiduciarias.</w:t>
      </w:r>
    </w:p>
    <w:p w:rsidR="00525E08" w:rsidRPr="00153C76" w:rsidRDefault="00525E08" w:rsidP="00153C76">
      <w:pPr>
        <w:pStyle w:val="Textoindependiente"/>
        <w:widowControl/>
        <w:numPr>
          <w:ilvl w:val="0"/>
          <w:numId w:val="3"/>
        </w:numPr>
        <w:autoSpaceDE/>
        <w:autoSpaceDN/>
        <w:ind w:right="-518"/>
        <w:jc w:val="both"/>
        <w:rPr>
          <w:rFonts w:ascii="Arial" w:hAnsi="Arial" w:cs="Arial"/>
          <w:sz w:val="24"/>
          <w:lang w:val="es-CO"/>
        </w:rPr>
      </w:pPr>
      <w:r w:rsidRPr="00153C76">
        <w:rPr>
          <w:rFonts w:ascii="Arial" w:hAnsi="Arial" w:cs="Arial"/>
          <w:sz w:val="24"/>
          <w:lang w:val="es-CO"/>
        </w:rPr>
        <w:t>Negocios fiduciarios cuyo fideicomitente sea una empresa pública que cumpla las condiciones establecidas en los literales a), b), f), g) y h).</w:t>
      </w:r>
    </w:p>
    <w:p w:rsidR="00525E08" w:rsidRPr="00153C76" w:rsidRDefault="00525E08" w:rsidP="00153C76">
      <w:pPr>
        <w:pStyle w:val="Textoindependiente"/>
        <w:widowControl/>
        <w:numPr>
          <w:ilvl w:val="0"/>
          <w:numId w:val="3"/>
        </w:numPr>
        <w:autoSpaceDE/>
        <w:autoSpaceDN/>
        <w:ind w:right="-518"/>
        <w:jc w:val="both"/>
        <w:rPr>
          <w:rFonts w:ascii="Arial" w:hAnsi="Arial" w:cs="Arial"/>
          <w:sz w:val="24"/>
          <w:lang w:val="es-CO"/>
        </w:rPr>
      </w:pPr>
      <w:r w:rsidRPr="00153C76">
        <w:rPr>
          <w:rFonts w:ascii="Arial" w:hAnsi="Arial" w:cs="Arial"/>
          <w:sz w:val="24"/>
          <w:lang w:val="es-CO"/>
        </w:rPr>
        <w:t>Negocios fiduciarios cuyos títulos estén inscritos en el RNVE y su fideicomitente sea, directa o indirectamente, una o más empresas públicas.</w:t>
      </w:r>
    </w:p>
    <w:p w:rsidR="00525E08" w:rsidRPr="00153C76" w:rsidRDefault="00525E08" w:rsidP="00153C76">
      <w:pPr>
        <w:pStyle w:val="Textoindependiente"/>
        <w:widowControl/>
        <w:numPr>
          <w:ilvl w:val="0"/>
          <w:numId w:val="3"/>
        </w:numPr>
        <w:autoSpaceDE/>
        <w:autoSpaceDN/>
        <w:ind w:right="-518"/>
        <w:jc w:val="both"/>
        <w:rPr>
          <w:rFonts w:ascii="Arial" w:hAnsi="Arial" w:cs="Arial"/>
          <w:sz w:val="24"/>
          <w:lang w:val="es-CO"/>
        </w:rPr>
      </w:pPr>
      <w:r w:rsidRPr="00153C76">
        <w:rPr>
          <w:rFonts w:ascii="Arial" w:hAnsi="Arial" w:cs="Arial"/>
          <w:sz w:val="24"/>
          <w:lang w:val="es-CO"/>
        </w:rPr>
        <w:t>Establecimientos bancarios y entidades aseguradoras.</w:t>
      </w:r>
    </w:p>
    <w:p w:rsidR="00525E08" w:rsidRPr="00153C76" w:rsidRDefault="00525E08" w:rsidP="00153C76">
      <w:pPr>
        <w:pStyle w:val="Textoindependiente"/>
        <w:widowControl/>
        <w:numPr>
          <w:ilvl w:val="0"/>
          <w:numId w:val="3"/>
        </w:numPr>
        <w:autoSpaceDE/>
        <w:autoSpaceDN/>
        <w:ind w:right="-518"/>
        <w:jc w:val="both"/>
        <w:rPr>
          <w:rFonts w:ascii="Arial" w:hAnsi="Arial" w:cs="Arial"/>
          <w:sz w:val="24"/>
          <w:lang w:val="es-CO"/>
        </w:rPr>
      </w:pPr>
      <w:r w:rsidRPr="00153C76">
        <w:rPr>
          <w:rFonts w:ascii="Arial" w:hAnsi="Arial" w:cs="Arial"/>
          <w:sz w:val="24"/>
          <w:lang w:val="es-CO"/>
        </w:rPr>
        <w:t>Fondos de garantías y entidades financieras con regímenes especiales, sean o no emisores de valores.</w:t>
      </w:r>
    </w:p>
    <w:p w:rsidR="00525E08" w:rsidRPr="00153C76" w:rsidRDefault="00525E08" w:rsidP="00153C76">
      <w:pPr>
        <w:pStyle w:val="Textoindependiente"/>
        <w:widowControl/>
        <w:numPr>
          <w:ilvl w:val="0"/>
          <w:numId w:val="3"/>
        </w:numPr>
        <w:autoSpaceDE/>
        <w:autoSpaceDN/>
        <w:jc w:val="both"/>
        <w:rPr>
          <w:rFonts w:ascii="Arial" w:hAnsi="Arial" w:cs="Arial"/>
          <w:sz w:val="24"/>
          <w:lang w:val="es-CO"/>
        </w:rPr>
      </w:pPr>
      <w:r w:rsidRPr="00153C76">
        <w:rPr>
          <w:rFonts w:ascii="Arial" w:hAnsi="Arial" w:cs="Arial"/>
          <w:sz w:val="24"/>
          <w:lang w:val="es-CO"/>
        </w:rPr>
        <w:t>Banco de la República.</w:t>
      </w:r>
    </w:p>
    <w:p w:rsidR="00525E08" w:rsidRPr="00153C76" w:rsidRDefault="00525E08" w:rsidP="00153C76">
      <w:pPr>
        <w:pStyle w:val="Textoindependiente"/>
        <w:widowControl/>
        <w:autoSpaceDE/>
        <w:autoSpaceDN/>
        <w:ind w:left="720"/>
        <w:jc w:val="both"/>
        <w:rPr>
          <w:rFonts w:ascii="Arial" w:hAnsi="Arial" w:cs="Arial"/>
          <w:sz w:val="24"/>
          <w:lang w:val="es-CO"/>
        </w:rPr>
      </w:pPr>
    </w:p>
    <w:p w:rsidR="00525E08" w:rsidRPr="00153C76" w:rsidRDefault="00525E08" w:rsidP="00575C35">
      <w:pPr>
        <w:pStyle w:val="Ttulo3"/>
      </w:pPr>
      <w:bookmarkStart w:id="6" w:name="_Toc135044670"/>
      <w:bookmarkStart w:id="7" w:name="_GoBack"/>
      <w:r w:rsidRPr="00153C76">
        <w:t>Marco Normativo para Empresas que no Cotizan en el Mercado de Valores, y que no Captan ni Administran Ahorro del Público</w:t>
      </w:r>
      <w:bookmarkEnd w:id="6"/>
      <w:r w:rsidRPr="00153C76">
        <w:t xml:space="preserve">. </w:t>
      </w:r>
      <w:r w:rsidRPr="00153C76">
        <w:rPr>
          <w:lang w:eastAsia="es-ES"/>
        </w:rPr>
        <w:t>Resolución 414 de 2014</w:t>
      </w:r>
      <w:r w:rsidR="00153C76">
        <w:rPr>
          <w:lang w:eastAsia="es-ES"/>
        </w:rPr>
        <w:t xml:space="preserve"> y sus modificaciones.</w:t>
      </w:r>
    </w:p>
    <w:p w:rsidR="00153C76" w:rsidRDefault="00153C76" w:rsidP="00525E08">
      <w:pPr>
        <w:jc w:val="both"/>
        <w:rPr>
          <w:rFonts w:ascii="Arial" w:hAnsi="Arial" w:cs="Arial"/>
        </w:rPr>
      </w:pPr>
      <w:bookmarkStart w:id="8" w:name="_Hlk133571821"/>
      <w:bookmarkEnd w:id="7"/>
    </w:p>
    <w:p w:rsidR="00525E08" w:rsidRPr="00153C76" w:rsidRDefault="00525E08" w:rsidP="007B5F16">
      <w:pPr>
        <w:ind w:left="-142" w:right="-518"/>
        <w:jc w:val="both"/>
        <w:rPr>
          <w:rFonts w:ascii="Arial" w:hAnsi="Arial" w:cs="Arial"/>
        </w:rPr>
      </w:pPr>
      <w:r w:rsidRPr="00153C76">
        <w:rPr>
          <w:rFonts w:ascii="Arial" w:hAnsi="Arial" w:cs="Arial"/>
        </w:rPr>
        <w:t>El Marco Normativo para Empresas que no Cotizan en el Mercado de Valores, y que no Captan ni Administran Ahorro del Público es aplicable a las empresas que se encuentran bajo el ámbito del RCP, que se consideran negocio en marcha, que no cotizan en el mercado de valores, que no captan ni administran ahorro del público y que, de acuerdo con la función económica que cumplen, se clasifican como empresa.</w:t>
      </w:r>
    </w:p>
    <w:p w:rsidR="00525E08" w:rsidRPr="00153C76" w:rsidRDefault="00525E08" w:rsidP="00525E08">
      <w:pPr>
        <w:jc w:val="both"/>
        <w:rPr>
          <w:rFonts w:ascii="Arial" w:hAnsi="Arial" w:cs="Arial"/>
        </w:rPr>
      </w:pPr>
    </w:p>
    <w:p w:rsidR="007B5F16" w:rsidRDefault="00525E08" w:rsidP="00575C35">
      <w:pPr>
        <w:pStyle w:val="Ttulo3"/>
      </w:pPr>
      <w:bookmarkStart w:id="9" w:name="_Toc135044671"/>
      <w:bookmarkEnd w:id="8"/>
      <w:r w:rsidRPr="00153C76">
        <w:lastRenderedPageBreak/>
        <w:t>Marco Normativo para Entidades de Gobierno</w:t>
      </w:r>
      <w:bookmarkEnd w:id="9"/>
      <w:r w:rsidR="007B5F16">
        <w:t>. Resolución 533 de 2015 y sus modificaciones.</w:t>
      </w:r>
    </w:p>
    <w:p w:rsidR="00525E08" w:rsidRPr="00153C76" w:rsidRDefault="007B5F16" w:rsidP="00575C35">
      <w:pPr>
        <w:pStyle w:val="Ttulo3"/>
      </w:pPr>
      <w:r>
        <w:t xml:space="preserve"> </w:t>
      </w:r>
    </w:p>
    <w:p w:rsidR="00525E08" w:rsidRDefault="00525E08" w:rsidP="007B5F16">
      <w:pPr>
        <w:ind w:left="-142" w:right="-518"/>
        <w:jc w:val="both"/>
        <w:rPr>
          <w:rFonts w:ascii="Arial" w:hAnsi="Arial" w:cs="Arial"/>
        </w:rPr>
      </w:pPr>
      <w:bookmarkStart w:id="10" w:name="_Hlk133571848"/>
      <w:r w:rsidRPr="00153C76">
        <w:rPr>
          <w:rFonts w:ascii="Arial" w:hAnsi="Arial" w:cs="Arial"/>
        </w:rPr>
        <w:t>El Marco Normativo para Entidades de Gobierno es aplicable a las entidades que se encuentran bajo el ámbito del RCP, que se consideran entidades en marcha y que, según su función económica, se clasifican como entidades de gobierno.</w:t>
      </w:r>
    </w:p>
    <w:p w:rsidR="007B5F16" w:rsidRPr="00153C76" w:rsidRDefault="007B5F16" w:rsidP="00525E08">
      <w:pPr>
        <w:jc w:val="both"/>
        <w:rPr>
          <w:rFonts w:ascii="Arial" w:hAnsi="Arial" w:cs="Arial"/>
        </w:rPr>
      </w:pPr>
    </w:p>
    <w:p w:rsidR="00525E08" w:rsidRPr="00153C76" w:rsidRDefault="00525E08" w:rsidP="00575C35">
      <w:pPr>
        <w:pStyle w:val="Ttulo3"/>
      </w:pPr>
      <w:bookmarkStart w:id="11" w:name="_Toc135044672"/>
      <w:bookmarkEnd w:id="10"/>
      <w:r w:rsidRPr="00153C76">
        <w:t>Marco Normativo para Entidades en Liquidación</w:t>
      </w:r>
      <w:bookmarkEnd w:id="11"/>
      <w:r w:rsidRPr="00153C76">
        <w:t xml:space="preserve">. </w:t>
      </w:r>
      <w:r w:rsidRPr="00153C76">
        <w:rPr>
          <w:lang w:eastAsia="es-ES"/>
        </w:rPr>
        <w:t>Resolución 461 de 2017</w:t>
      </w:r>
      <w:r w:rsidR="007B5F16">
        <w:rPr>
          <w:lang w:eastAsia="es-ES"/>
        </w:rPr>
        <w:t xml:space="preserve"> y sus modificaciones</w:t>
      </w:r>
      <w:r w:rsidRPr="00153C76">
        <w:t xml:space="preserve">. </w:t>
      </w:r>
    </w:p>
    <w:p w:rsidR="007B5F16" w:rsidRDefault="007B5F16" w:rsidP="00525E08">
      <w:pPr>
        <w:jc w:val="both"/>
        <w:rPr>
          <w:rFonts w:ascii="Arial" w:hAnsi="Arial" w:cs="Arial"/>
        </w:rPr>
      </w:pPr>
    </w:p>
    <w:p w:rsidR="00525E08" w:rsidRPr="00153C76" w:rsidRDefault="00525E08" w:rsidP="007B5F16">
      <w:pPr>
        <w:ind w:left="-142" w:right="-518"/>
        <w:jc w:val="both"/>
        <w:rPr>
          <w:rFonts w:ascii="Arial" w:hAnsi="Arial" w:cs="Arial"/>
        </w:rPr>
      </w:pPr>
      <w:r w:rsidRPr="00153C76">
        <w:rPr>
          <w:rFonts w:ascii="Arial" w:hAnsi="Arial" w:cs="Arial"/>
        </w:rPr>
        <w:t>El Marco Normativo para Entidades en Liquidación es aplicable a las entidades que se encuentran bajo el ámbito del RCP sobre las cuales exista un acto que ordene su supresión o disolución con fines de liquidación.</w:t>
      </w:r>
    </w:p>
    <w:p w:rsidR="00525E08" w:rsidRPr="00153C76" w:rsidRDefault="00525E08" w:rsidP="00525E08">
      <w:pPr>
        <w:jc w:val="both"/>
        <w:rPr>
          <w:rFonts w:ascii="Arial" w:hAnsi="Arial" w:cs="Arial"/>
        </w:rPr>
      </w:pPr>
    </w:p>
    <w:p w:rsidR="00381FA2" w:rsidRPr="00381FA2" w:rsidRDefault="00381FA2" w:rsidP="00575C35">
      <w:pPr>
        <w:pStyle w:val="Ttulo3"/>
      </w:pPr>
      <w:r w:rsidRPr="00381FA2">
        <w:t>2.4.2.- El proceso de consolidación</w:t>
      </w:r>
      <w:bookmarkEnd w:id="1"/>
      <w:r w:rsidRPr="00381FA2">
        <w:t>.</w:t>
      </w:r>
    </w:p>
    <w:p w:rsidR="00381FA2" w:rsidRDefault="00381FA2" w:rsidP="00381FA2">
      <w:pPr>
        <w:jc w:val="both"/>
        <w:rPr>
          <w:rFonts w:ascii="Arial" w:hAnsi="Arial" w:cs="Arial"/>
          <w:b/>
        </w:rPr>
      </w:pPr>
    </w:p>
    <w:p w:rsidR="00381FA2" w:rsidRPr="00381FA2" w:rsidRDefault="00381FA2" w:rsidP="00381FA2">
      <w:pPr>
        <w:ind w:left="-142" w:right="-518"/>
        <w:jc w:val="both"/>
        <w:rPr>
          <w:rFonts w:ascii="Arial" w:hAnsi="Arial" w:cs="Arial"/>
          <w:b/>
        </w:rPr>
      </w:pPr>
      <w:r w:rsidRPr="00381FA2">
        <w:rPr>
          <w:rFonts w:ascii="Arial" w:hAnsi="Arial" w:cs="Arial"/>
          <w:b/>
        </w:rPr>
        <w:t xml:space="preserve">El siguiente diagrama ilustra el proceso de consolidación de la información contable pública: </w:t>
      </w:r>
    </w:p>
    <w:p w:rsidR="00381FA2" w:rsidRPr="00381FA2" w:rsidRDefault="00381FA2" w:rsidP="00381FA2">
      <w:pPr>
        <w:rPr>
          <w:rFonts w:ascii="Arial" w:hAnsi="Arial" w:cs="Arial"/>
          <w:b/>
          <w:shd w:val="clear" w:color="auto" w:fill="FFFFFF"/>
          <w:lang w:eastAsia="es-CO"/>
        </w:rPr>
      </w:pPr>
      <w:bookmarkStart w:id="12" w:name="_Toc513813207"/>
    </w:p>
    <w:p w:rsidR="00381FA2" w:rsidRPr="00381FA2" w:rsidRDefault="00381FA2" w:rsidP="00381FA2">
      <w:pPr>
        <w:pStyle w:val="Descripcin"/>
        <w:jc w:val="center"/>
        <w:rPr>
          <w:rFonts w:ascii="Arial" w:hAnsi="Arial" w:cs="Arial"/>
          <w:b/>
          <w:color w:val="auto"/>
          <w:sz w:val="24"/>
          <w:szCs w:val="24"/>
          <w:shd w:val="clear" w:color="auto" w:fill="FFFFFF"/>
          <w:lang w:eastAsia="es-CO"/>
        </w:rPr>
      </w:pPr>
      <w:bookmarkStart w:id="13" w:name="_Toc135044932"/>
      <w:r w:rsidRPr="00381FA2">
        <w:rPr>
          <w:rFonts w:ascii="Arial" w:hAnsi="Arial" w:cs="Arial"/>
          <w:b/>
          <w:color w:val="auto"/>
          <w:sz w:val="24"/>
          <w:szCs w:val="24"/>
        </w:rPr>
        <w:t xml:space="preserve">Gráfico </w:t>
      </w:r>
      <w:r w:rsidRPr="00381FA2">
        <w:rPr>
          <w:rFonts w:ascii="Arial" w:hAnsi="Arial" w:cs="Arial"/>
          <w:b/>
          <w:color w:val="auto"/>
          <w:sz w:val="24"/>
          <w:szCs w:val="24"/>
        </w:rPr>
        <w:fldChar w:fldCharType="begin"/>
      </w:r>
      <w:r w:rsidRPr="00381FA2">
        <w:rPr>
          <w:rFonts w:ascii="Arial" w:hAnsi="Arial" w:cs="Arial"/>
          <w:b/>
          <w:color w:val="auto"/>
          <w:sz w:val="24"/>
          <w:szCs w:val="24"/>
        </w:rPr>
        <w:instrText xml:space="preserve"> STYLEREF 1 \s </w:instrText>
      </w:r>
      <w:r w:rsidRPr="00381FA2">
        <w:rPr>
          <w:rFonts w:ascii="Arial" w:hAnsi="Arial" w:cs="Arial"/>
          <w:b/>
          <w:color w:val="auto"/>
          <w:sz w:val="24"/>
          <w:szCs w:val="24"/>
        </w:rPr>
        <w:fldChar w:fldCharType="separate"/>
      </w:r>
      <w:r w:rsidRPr="00381FA2">
        <w:rPr>
          <w:rFonts w:ascii="Arial" w:hAnsi="Arial" w:cs="Arial"/>
          <w:b/>
          <w:noProof/>
          <w:color w:val="auto"/>
          <w:sz w:val="24"/>
          <w:szCs w:val="24"/>
        </w:rPr>
        <w:t>2</w:t>
      </w:r>
      <w:r w:rsidRPr="00381FA2">
        <w:rPr>
          <w:rFonts w:ascii="Arial" w:hAnsi="Arial" w:cs="Arial"/>
          <w:b/>
          <w:noProof/>
          <w:color w:val="auto"/>
          <w:sz w:val="24"/>
          <w:szCs w:val="24"/>
        </w:rPr>
        <w:fldChar w:fldCharType="end"/>
      </w:r>
      <w:r w:rsidRPr="00381FA2">
        <w:rPr>
          <w:rFonts w:ascii="Arial" w:hAnsi="Arial" w:cs="Arial"/>
          <w:b/>
          <w:color w:val="auto"/>
          <w:sz w:val="24"/>
          <w:szCs w:val="24"/>
        </w:rPr>
        <w:noBreakHyphen/>
      </w:r>
      <w:r w:rsidRPr="00381FA2">
        <w:rPr>
          <w:rFonts w:ascii="Arial" w:hAnsi="Arial" w:cs="Arial"/>
          <w:b/>
          <w:color w:val="auto"/>
          <w:sz w:val="24"/>
          <w:szCs w:val="24"/>
        </w:rPr>
        <w:fldChar w:fldCharType="begin"/>
      </w:r>
      <w:r w:rsidRPr="00381FA2">
        <w:rPr>
          <w:rFonts w:ascii="Arial" w:hAnsi="Arial" w:cs="Arial"/>
          <w:b/>
          <w:color w:val="auto"/>
          <w:sz w:val="24"/>
          <w:szCs w:val="24"/>
        </w:rPr>
        <w:instrText xml:space="preserve"> SEQ Gráfico \* ARABIC \s 1 </w:instrText>
      </w:r>
      <w:r w:rsidRPr="00381FA2">
        <w:rPr>
          <w:rFonts w:ascii="Arial" w:hAnsi="Arial" w:cs="Arial"/>
          <w:b/>
          <w:color w:val="auto"/>
          <w:sz w:val="24"/>
          <w:szCs w:val="24"/>
        </w:rPr>
        <w:fldChar w:fldCharType="separate"/>
      </w:r>
      <w:r w:rsidRPr="00381FA2">
        <w:rPr>
          <w:rFonts w:ascii="Arial" w:hAnsi="Arial" w:cs="Arial"/>
          <w:b/>
          <w:noProof/>
          <w:color w:val="auto"/>
          <w:sz w:val="24"/>
          <w:szCs w:val="24"/>
        </w:rPr>
        <w:t>1</w:t>
      </w:r>
      <w:r w:rsidRPr="00381FA2">
        <w:rPr>
          <w:rFonts w:ascii="Arial" w:hAnsi="Arial" w:cs="Arial"/>
          <w:b/>
          <w:noProof/>
          <w:color w:val="auto"/>
          <w:sz w:val="24"/>
          <w:szCs w:val="24"/>
        </w:rPr>
        <w:fldChar w:fldCharType="end"/>
      </w:r>
      <w:r w:rsidRPr="00381FA2">
        <w:rPr>
          <w:rFonts w:ascii="Arial" w:hAnsi="Arial" w:cs="Arial"/>
          <w:b/>
          <w:color w:val="auto"/>
          <w:sz w:val="24"/>
          <w:szCs w:val="24"/>
        </w:rPr>
        <w:t xml:space="preserve"> Consolidación de la información</w:t>
      </w:r>
      <w:bookmarkEnd w:id="13"/>
      <w:r w:rsidRPr="00381FA2">
        <w:rPr>
          <w:rFonts w:ascii="Arial" w:hAnsi="Arial" w:cs="Arial"/>
          <w:b/>
          <w:color w:val="auto"/>
          <w:sz w:val="24"/>
          <w:szCs w:val="24"/>
        </w:rPr>
        <w:t>.</w:t>
      </w:r>
    </w:p>
    <w:bookmarkEnd w:id="12"/>
    <w:p w:rsidR="00381FA2" w:rsidRPr="00A320BE" w:rsidRDefault="00381FA2" w:rsidP="00381FA2">
      <w:pPr>
        <w:spacing w:before="240"/>
        <w:jc w:val="center"/>
      </w:pPr>
      <w:r w:rsidRPr="00A320BE">
        <w:rPr>
          <w:noProof/>
          <w:lang w:val="es-CO" w:eastAsia="es-CO"/>
        </w:rPr>
        <w:drawing>
          <wp:inline distT="0" distB="0" distL="0" distR="0" wp14:anchorId="06BC2CCA" wp14:editId="7C0F0291">
            <wp:extent cx="5857875" cy="3198940"/>
            <wp:effectExtent l="0" t="0" r="0" b="1905"/>
            <wp:docPr id="297159085" name="Gráfico 29715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0"/>
                        </a:ext>
                      </a:extLst>
                    </a:blip>
                    <a:srcRect b="2855"/>
                    <a:stretch/>
                  </pic:blipFill>
                  <pic:spPr bwMode="auto">
                    <a:xfrm>
                      <a:off x="0" y="0"/>
                      <a:ext cx="5869192" cy="3205120"/>
                    </a:xfrm>
                    <a:prstGeom prst="rect">
                      <a:avLst/>
                    </a:prstGeom>
                    <a:ln>
                      <a:noFill/>
                    </a:ln>
                    <a:extLst>
                      <a:ext uri="{53640926-AAD7-44D8-BBD7-CCE9431645EC}">
                        <a14:shadowObscured xmlns:a14="http://schemas.microsoft.com/office/drawing/2010/main"/>
                      </a:ext>
                    </a:extLst>
                  </pic:spPr>
                </pic:pic>
              </a:graphicData>
            </a:graphic>
          </wp:inline>
        </w:drawing>
      </w:r>
    </w:p>
    <w:p w:rsidR="00381FA2" w:rsidRDefault="00381FA2" w:rsidP="00381FA2">
      <w:pPr>
        <w:jc w:val="both"/>
      </w:pPr>
    </w:p>
    <w:p w:rsidR="00381FA2" w:rsidRPr="00381FA2" w:rsidRDefault="00381FA2" w:rsidP="007B5F16">
      <w:pPr>
        <w:ind w:left="-142" w:right="-518"/>
        <w:jc w:val="both"/>
        <w:rPr>
          <w:rFonts w:ascii="Arial" w:hAnsi="Arial" w:cs="Arial"/>
        </w:rPr>
      </w:pPr>
      <w:r w:rsidRPr="00381FA2">
        <w:rPr>
          <w:rFonts w:ascii="Arial" w:hAnsi="Arial" w:cs="Arial"/>
        </w:rPr>
        <w:t xml:space="preserve">La consolidación contable es un proceso sistémico, configurado para disponer de unos elementos de entrada, un procesamiento de la información y unas salidas o productos generados. </w:t>
      </w:r>
    </w:p>
    <w:p w:rsidR="00381FA2" w:rsidRPr="00381FA2" w:rsidRDefault="00381FA2" w:rsidP="007B5F16">
      <w:pPr>
        <w:ind w:left="-142" w:right="-518"/>
        <w:jc w:val="both"/>
        <w:rPr>
          <w:rFonts w:ascii="Arial" w:hAnsi="Arial" w:cs="Arial"/>
        </w:rPr>
      </w:pPr>
    </w:p>
    <w:p w:rsidR="00381FA2" w:rsidRPr="00381FA2" w:rsidRDefault="00381FA2" w:rsidP="007B5F16">
      <w:pPr>
        <w:ind w:left="-142" w:right="-518"/>
        <w:jc w:val="both"/>
        <w:rPr>
          <w:rFonts w:ascii="Arial" w:hAnsi="Arial" w:cs="Arial"/>
        </w:rPr>
      </w:pPr>
      <w:r w:rsidRPr="00381FA2">
        <w:rPr>
          <w:rFonts w:ascii="Arial" w:hAnsi="Arial" w:cs="Arial"/>
        </w:rPr>
        <w:t xml:space="preserve">El Manual Funcional del Proceso de Consolidación, es el documento oficial de la CGN sobre la forma como se ejecuta el proceso, en el cual se detallan las actividades a realizar, las reglas técnicas de ejecución del proceso, su secuencia y los informes básicos que se generan como resultado del proceso. Este manual contiene las especificaciones y requisitos del proceso, define los diferentes </w:t>
      </w:r>
      <w:r w:rsidRPr="00381FA2">
        <w:rPr>
          <w:rFonts w:ascii="Arial" w:hAnsi="Arial" w:cs="Arial"/>
        </w:rPr>
        <w:lastRenderedPageBreak/>
        <w:t>algoritmos o funcionalidades a ejecutar a través del Sistema Consolidador de Hacienda e Información Pública (CHIP consolidación).</w:t>
      </w:r>
    </w:p>
    <w:p w:rsidR="00381FA2" w:rsidRPr="00381FA2" w:rsidRDefault="00381FA2" w:rsidP="00381FA2">
      <w:pPr>
        <w:ind w:left="-142" w:right="-376"/>
        <w:jc w:val="both"/>
        <w:rPr>
          <w:rFonts w:ascii="Arial" w:hAnsi="Arial" w:cs="Arial"/>
        </w:rPr>
      </w:pPr>
    </w:p>
    <w:p w:rsidR="000A3179" w:rsidRDefault="000A3179" w:rsidP="000A3179">
      <w:pPr>
        <w:ind w:left="-142" w:right="-518"/>
        <w:jc w:val="both"/>
        <w:rPr>
          <w:rFonts w:ascii="Arial" w:hAnsi="Arial" w:cs="Arial"/>
        </w:rPr>
      </w:pPr>
      <w:r w:rsidRPr="000A3179">
        <w:rPr>
          <w:rFonts w:ascii="Arial" w:hAnsi="Arial" w:cs="Arial"/>
        </w:rPr>
        <w:t>Las entradas al proceso se clasifican en fuentes externas e internas. Las fuentes externas corresponden en su orden a: 1) Catálogo General de Cuentas, como herramienta utilizada para el registro y reporte de información financiera, que contiene los códigos y conceptos utilizados por las entidades en aplicación de la normatividad contable específica; 2) Información Contable Básica que preparan y reportan cada una de las entidades que conforman el sector público; 3) Aplicativo CHIP - WEB, software a través del cual las entidades realizan el envío de la información contable básica a la CGN, y a través del cual se realiza el proceso de consolidación. Por otra parte, las fuentes internas corresponden a las actividades que deben realizarse en la CGN, especialmente en el aplicativo CHIP, para asegurar la recepción de la información, su clasificación y el procesamiento posterior de la misma. Estas fuentes internas corresponden a: 1) parametrización de la categoría información contable pública convergencia, 2) Definición de atributos extensibles de entidades, 3) Definición del catálogo de cuentas de consolidación, 4) Definición de los parámetros de consolidación y 5) Estructuración y mantenimiento de reglas de eliminación.</w:t>
      </w:r>
    </w:p>
    <w:p w:rsidR="007B5F16" w:rsidRPr="000A3179" w:rsidRDefault="007B5F16" w:rsidP="000A3179">
      <w:pPr>
        <w:ind w:left="-142" w:right="-518"/>
        <w:jc w:val="both"/>
        <w:rPr>
          <w:rFonts w:ascii="Arial" w:hAnsi="Arial" w:cs="Arial"/>
        </w:rPr>
      </w:pPr>
    </w:p>
    <w:p w:rsidR="000A3179" w:rsidRDefault="000A3179" w:rsidP="000A3179">
      <w:pPr>
        <w:ind w:left="-142" w:right="-518"/>
        <w:jc w:val="both"/>
        <w:rPr>
          <w:rFonts w:ascii="Arial" w:hAnsi="Arial" w:cs="Arial"/>
        </w:rPr>
      </w:pPr>
      <w:r w:rsidRPr="000A3179">
        <w:rPr>
          <w:rFonts w:ascii="Arial" w:hAnsi="Arial" w:cs="Arial"/>
        </w:rPr>
        <w:t>El procesamiento se refiere a las funcionalidades técnicas incorporadas al aplicativo CHIP consolidación, definidas en forma secuencial para adelantar el proceso de consolidación, las cuales están suficientemente descritas en el Manual funcional del proceso de consolidación y se encuentran a disposición de los interesados y de organismos o instancias auditoras. Estas funcionalidades son: 1) Agregación de saldos; 2) Reversión del cierre y resultados reportados; 3) Agregación de operaciones recíprocas; 4) Estimación y generación de operaciones recíprocas; 5) Eliminación Inversión/Patrimonio y Ajuste saldos método de participación; 6) Aplicación regla general de conciliación y ajustes; 7) Cálculo y registro de la participación no controladora del patrimonio; 8) Determinación del resultado del ejercicio consolidado; 9) Cálculo y registro de la participación no controladora en el resultado del ejercicio consolidado; y 10) Determinación de las cifras consolidadas.</w:t>
      </w:r>
    </w:p>
    <w:p w:rsidR="000A3179" w:rsidRPr="000A3179" w:rsidRDefault="000A3179" w:rsidP="000A3179">
      <w:pPr>
        <w:ind w:left="-142" w:right="-518"/>
        <w:jc w:val="both"/>
        <w:rPr>
          <w:rFonts w:ascii="Arial" w:hAnsi="Arial" w:cs="Arial"/>
        </w:rPr>
      </w:pPr>
    </w:p>
    <w:p w:rsidR="000A3179" w:rsidRPr="000A3179" w:rsidRDefault="000A3179" w:rsidP="000A3179">
      <w:pPr>
        <w:ind w:left="-142" w:right="-518"/>
        <w:jc w:val="both"/>
        <w:rPr>
          <w:rFonts w:ascii="Arial" w:hAnsi="Arial" w:cs="Arial"/>
        </w:rPr>
      </w:pPr>
      <w:r w:rsidRPr="000A3179">
        <w:rPr>
          <w:rFonts w:ascii="Arial" w:hAnsi="Arial" w:cs="Arial"/>
        </w:rPr>
        <w:t>Las salidas son el conjunto de reportes que permiten revisar y asegurar la consistencia del proceso y de las cifras consolidadas. Igualmente, el sistema permite consultar la información contable individual de cada entidad pública, su historial de reportes y la información consolidada, para realizar la gestión de valores y conceptos reportados y de saldos por conciliar que el proceso identifica. De la misma manera, el sistema permite la construcción de los Estados Financieros consolidados.</w:t>
      </w:r>
    </w:p>
    <w:p w:rsidR="000A3179" w:rsidRPr="000A3179" w:rsidRDefault="000A3179" w:rsidP="000A3179">
      <w:pPr>
        <w:autoSpaceDE w:val="0"/>
        <w:autoSpaceDN w:val="0"/>
        <w:adjustRightInd w:val="0"/>
        <w:ind w:left="-142" w:right="-518"/>
        <w:rPr>
          <w:rFonts w:ascii="Arial" w:hAnsi="Arial" w:cs="Arial"/>
        </w:rPr>
      </w:pPr>
    </w:p>
    <w:p w:rsidR="000A3179" w:rsidRPr="000A3179" w:rsidRDefault="000A3179" w:rsidP="000A3179">
      <w:pPr>
        <w:autoSpaceDE w:val="0"/>
        <w:autoSpaceDN w:val="0"/>
        <w:adjustRightInd w:val="0"/>
        <w:ind w:left="-142" w:right="-518"/>
        <w:jc w:val="both"/>
        <w:rPr>
          <w:rFonts w:ascii="Arial" w:hAnsi="Arial" w:cs="Arial"/>
        </w:rPr>
      </w:pPr>
      <w:r w:rsidRPr="000A3179">
        <w:rPr>
          <w:rFonts w:ascii="Arial" w:hAnsi="Arial" w:cs="Arial"/>
        </w:rPr>
        <w:t>Algunos de estos reportes son: 1) Hoja de Trabajo, 2) Reportes de gestión, entre los que se encuentran los Saldos por conciliar, la Ecuación patrimonial y los Saldos reportados por cuenta; 3) Estados contables consolidados; 4) Publicación de información en la WEB.</w:t>
      </w:r>
    </w:p>
    <w:p w:rsidR="000A3179" w:rsidRPr="000A3179" w:rsidRDefault="000A3179" w:rsidP="000A3179">
      <w:pPr>
        <w:autoSpaceDE w:val="0"/>
        <w:autoSpaceDN w:val="0"/>
        <w:adjustRightInd w:val="0"/>
        <w:ind w:left="-142" w:right="-518"/>
        <w:jc w:val="both"/>
        <w:rPr>
          <w:rFonts w:ascii="Arial" w:hAnsi="Arial" w:cs="Arial"/>
        </w:rPr>
      </w:pPr>
    </w:p>
    <w:p w:rsidR="000A3179" w:rsidRDefault="000A3179" w:rsidP="000A3179">
      <w:pPr>
        <w:ind w:left="-142" w:right="-518"/>
        <w:jc w:val="both"/>
        <w:rPr>
          <w:rFonts w:ascii="Arial" w:hAnsi="Arial" w:cs="Arial"/>
        </w:rPr>
      </w:pPr>
      <w:r w:rsidRPr="000A3179">
        <w:rPr>
          <w:rFonts w:ascii="Arial" w:hAnsi="Arial" w:cs="Arial"/>
        </w:rPr>
        <w:t xml:space="preserve">Los procesos enunciados, están acompañados de una gestión a la calidad de la información reportada como pasos previos a la consolidación y que son los soportes correspondientes que lo respaldan. </w:t>
      </w:r>
    </w:p>
    <w:p w:rsidR="00525E08" w:rsidRDefault="00525E08" w:rsidP="0067220D">
      <w:pPr>
        <w:spacing w:after="4"/>
        <w:ind w:left="-142"/>
        <w:jc w:val="both"/>
        <w:rPr>
          <w:rFonts w:ascii="Arial" w:hAnsi="Arial" w:cs="Arial"/>
          <w:b/>
          <w:bCs/>
          <w:sz w:val="28"/>
          <w:szCs w:val="28"/>
        </w:rPr>
      </w:pPr>
    </w:p>
    <w:p w:rsidR="0067220D" w:rsidRPr="0067220D" w:rsidRDefault="0067220D" w:rsidP="0067220D">
      <w:pPr>
        <w:spacing w:after="4"/>
        <w:ind w:left="-142"/>
        <w:jc w:val="both"/>
        <w:rPr>
          <w:rFonts w:ascii="Arial" w:hAnsi="Arial" w:cs="Arial"/>
          <w:b/>
          <w:bCs/>
          <w:sz w:val="28"/>
          <w:szCs w:val="28"/>
        </w:rPr>
      </w:pPr>
      <w:r w:rsidRPr="0067220D">
        <w:rPr>
          <w:rFonts w:ascii="Arial" w:hAnsi="Arial" w:cs="Arial"/>
          <w:b/>
          <w:bCs/>
          <w:sz w:val="28"/>
          <w:szCs w:val="28"/>
        </w:rPr>
        <w:t xml:space="preserve">1.2.- COBERTURA. </w:t>
      </w:r>
    </w:p>
    <w:p w:rsidR="005965C1" w:rsidRPr="0067220D" w:rsidRDefault="005965C1" w:rsidP="0067220D">
      <w:pPr>
        <w:ind w:left="-142" w:right="-518"/>
        <w:rPr>
          <w:rFonts w:ascii="Arial" w:hAnsi="Arial" w:cs="Arial"/>
        </w:rPr>
      </w:pPr>
    </w:p>
    <w:p w:rsidR="005965C1" w:rsidRPr="0067220D" w:rsidRDefault="005965C1" w:rsidP="0067220D">
      <w:pPr>
        <w:ind w:left="-142" w:right="-518"/>
        <w:jc w:val="center"/>
        <w:rPr>
          <w:rFonts w:ascii="Arial" w:hAnsi="Arial" w:cs="Arial"/>
        </w:rPr>
      </w:pPr>
    </w:p>
    <w:p w:rsidR="005965C1" w:rsidRDefault="005965C1" w:rsidP="005965C1">
      <w:pPr>
        <w:jc w:val="center"/>
        <w:rPr>
          <w:rFonts w:ascii="Arial" w:hAnsi="Arial" w:cs="Arial"/>
          <w:sz w:val="28"/>
          <w:szCs w:val="28"/>
        </w:rPr>
      </w:pPr>
    </w:p>
    <w:p w:rsidR="005965C1" w:rsidRDefault="005965C1" w:rsidP="005965C1">
      <w:pPr>
        <w:jc w:val="center"/>
        <w:rPr>
          <w:rFonts w:ascii="Arial" w:hAnsi="Arial" w:cs="Arial"/>
          <w:sz w:val="28"/>
          <w:szCs w:val="28"/>
        </w:rPr>
      </w:pPr>
    </w:p>
    <w:p w:rsidR="007B5F16" w:rsidRDefault="007B5F16" w:rsidP="0067220D">
      <w:pPr>
        <w:pStyle w:val="Descripcin"/>
        <w:jc w:val="center"/>
        <w:rPr>
          <w:rFonts w:ascii="Arial" w:hAnsi="Arial" w:cs="Arial"/>
          <w:b/>
          <w:color w:val="auto"/>
          <w:sz w:val="24"/>
          <w:szCs w:val="24"/>
        </w:rPr>
      </w:pPr>
      <w:bookmarkStart w:id="14" w:name="_Toc135044940"/>
    </w:p>
    <w:p w:rsidR="0067220D" w:rsidRDefault="0067220D" w:rsidP="0067220D">
      <w:pPr>
        <w:pStyle w:val="Descripcin"/>
        <w:jc w:val="center"/>
        <w:rPr>
          <w:rFonts w:ascii="Arial" w:hAnsi="Arial" w:cs="Arial"/>
          <w:b/>
          <w:color w:val="auto"/>
          <w:sz w:val="24"/>
          <w:szCs w:val="24"/>
        </w:rPr>
      </w:pPr>
      <w:r w:rsidRPr="0067220D">
        <w:rPr>
          <w:rFonts w:ascii="Arial" w:hAnsi="Arial" w:cs="Arial"/>
          <w:b/>
          <w:color w:val="auto"/>
          <w:sz w:val="24"/>
          <w:szCs w:val="24"/>
        </w:rPr>
        <w:lastRenderedPageBreak/>
        <w:t xml:space="preserve">Gráfico </w:t>
      </w:r>
      <w:r w:rsidRPr="0067220D">
        <w:rPr>
          <w:rFonts w:ascii="Arial" w:hAnsi="Arial" w:cs="Arial"/>
          <w:b/>
          <w:color w:val="auto"/>
          <w:sz w:val="24"/>
          <w:szCs w:val="24"/>
        </w:rPr>
        <w:fldChar w:fldCharType="begin"/>
      </w:r>
      <w:r w:rsidRPr="0067220D">
        <w:rPr>
          <w:rFonts w:ascii="Arial" w:hAnsi="Arial" w:cs="Arial"/>
          <w:b/>
          <w:color w:val="auto"/>
          <w:sz w:val="24"/>
          <w:szCs w:val="24"/>
        </w:rPr>
        <w:instrText xml:space="preserve"> STYLEREF 1 \s </w:instrText>
      </w:r>
      <w:r w:rsidRPr="0067220D">
        <w:rPr>
          <w:rFonts w:ascii="Arial" w:hAnsi="Arial" w:cs="Arial"/>
          <w:b/>
          <w:color w:val="auto"/>
          <w:sz w:val="24"/>
          <w:szCs w:val="24"/>
        </w:rPr>
        <w:fldChar w:fldCharType="separate"/>
      </w:r>
      <w:r w:rsidRPr="0067220D">
        <w:rPr>
          <w:rFonts w:ascii="Arial" w:hAnsi="Arial" w:cs="Arial"/>
          <w:b/>
          <w:noProof/>
          <w:color w:val="auto"/>
          <w:sz w:val="24"/>
          <w:szCs w:val="24"/>
        </w:rPr>
        <w:t>4</w:t>
      </w:r>
      <w:r w:rsidRPr="0067220D">
        <w:rPr>
          <w:rFonts w:ascii="Arial" w:hAnsi="Arial" w:cs="Arial"/>
          <w:b/>
          <w:noProof/>
          <w:color w:val="auto"/>
          <w:sz w:val="24"/>
          <w:szCs w:val="24"/>
        </w:rPr>
        <w:fldChar w:fldCharType="end"/>
      </w:r>
      <w:r w:rsidRPr="0067220D">
        <w:rPr>
          <w:rFonts w:ascii="Arial" w:hAnsi="Arial" w:cs="Arial"/>
          <w:b/>
          <w:color w:val="auto"/>
          <w:sz w:val="24"/>
          <w:szCs w:val="24"/>
        </w:rPr>
        <w:noBreakHyphen/>
      </w:r>
      <w:r w:rsidRPr="0067220D">
        <w:rPr>
          <w:rFonts w:ascii="Arial" w:hAnsi="Arial" w:cs="Arial"/>
          <w:b/>
          <w:color w:val="auto"/>
          <w:sz w:val="24"/>
          <w:szCs w:val="24"/>
        </w:rPr>
        <w:fldChar w:fldCharType="begin"/>
      </w:r>
      <w:r w:rsidRPr="0067220D">
        <w:rPr>
          <w:rFonts w:ascii="Arial" w:hAnsi="Arial" w:cs="Arial"/>
          <w:b/>
          <w:color w:val="auto"/>
          <w:sz w:val="24"/>
          <w:szCs w:val="24"/>
        </w:rPr>
        <w:instrText xml:space="preserve"> SEQ Gráfico \* ARABIC \s 1 </w:instrText>
      </w:r>
      <w:r w:rsidRPr="0067220D">
        <w:rPr>
          <w:rFonts w:ascii="Arial" w:hAnsi="Arial" w:cs="Arial"/>
          <w:b/>
          <w:color w:val="auto"/>
          <w:sz w:val="24"/>
          <w:szCs w:val="24"/>
        </w:rPr>
        <w:fldChar w:fldCharType="separate"/>
      </w:r>
      <w:r w:rsidRPr="0067220D">
        <w:rPr>
          <w:rFonts w:ascii="Arial" w:hAnsi="Arial" w:cs="Arial"/>
          <w:b/>
          <w:noProof/>
          <w:color w:val="auto"/>
          <w:sz w:val="24"/>
          <w:szCs w:val="24"/>
        </w:rPr>
        <w:t>1</w:t>
      </w:r>
      <w:r w:rsidRPr="0067220D">
        <w:rPr>
          <w:rFonts w:ascii="Arial" w:hAnsi="Arial" w:cs="Arial"/>
          <w:b/>
          <w:noProof/>
          <w:color w:val="auto"/>
          <w:sz w:val="24"/>
          <w:szCs w:val="24"/>
        </w:rPr>
        <w:fldChar w:fldCharType="end"/>
      </w:r>
      <w:r w:rsidRPr="0067220D">
        <w:rPr>
          <w:rFonts w:ascii="Arial" w:hAnsi="Arial" w:cs="Arial"/>
          <w:b/>
          <w:color w:val="auto"/>
          <w:sz w:val="24"/>
          <w:szCs w:val="24"/>
        </w:rPr>
        <w:t xml:space="preserve"> Cobertura</w:t>
      </w:r>
      <w:bookmarkEnd w:id="14"/>
    </w:p>
    <w:p w:rsidR="0067220D" w:rsidRDefault="0067220D" w:rsidP="0067220D">
      <w:pPr>
        <w:rPr>
          <w:lang w:val="es-CO" w:eastAsia="en-US"/>
        </w:rPr>
      </w:pPr>
    </w:p>
    <w:p w:rsidR="0067220D" w:rsidRPr="0067220D" w:rsidRDefault="0067220D" w:rsidP="0067220D">
      <w:pPr>
        <w:rPr>
          <w:lang w:val="es-CO" w:eastAsia="en-US"/>
        </w:rPr>
      </w:pPr>
    </w:p>
    <w:p w:rsidR="0067220D" w:rsidRPr="00A320BE" w:rsidRDefault="0067220D" w:rsidP="0067220D">
      <w:pPr>
        <w:spacing w:after="4"/>
        <w:jc w:val="center"/>
        <w:rPr>
          <w:rFonts w:eastAsia="Calibri" w:cs="Calibri"/>
          <w:b/>
          <w:color w:val="3494BA"/>
          <w:lang w:eastAsia="es-CO"/>
        </w:rPr>
      </w:pPr>
      <w:r w:rsidRPr="00A320BE">
        <w:rPr>
          <w:noProof/>
          <w:lang w:val="es-CO" w:eastAsia="es-CO"/>
        </w:rPr>
        <w:drawing>
          <wp:inline distT="0" distB="0" distL="0" distR="0" wp14:anchorId="66E275ED" wp14:editId="18D2EBAD">
            <wp:extent cx="3718144" cy="3939540"/>
            <wp:effectExtent l="0" t="0" r="0" b="3810"/>
            <wp:docPr id="519113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13706" name=""/>
                    <pic:cNvPicPr/>
                  </pic:nvPicPr>
                  <pic:blipFill>
                    <a:blip r:embed="rId31"/>
                    <a:stretch>
                      <a:fillRect/>
                    </a:stretch>
                  </pic:blipFill>
                  <pic:spPr>
                    <a:xfrm>
                      <a:off x="0" y="0"/>
                      <a:ext cx="3723729" cy="3945458"/>
                    </a:xfrm>
                    <a:prstGeom prst="rect">
                      <a:avLst/>
                    </a:prstGeom>
                  </pic:spPr>
                </pic:pic>
              </a:graphicData>
            </a:graphic>
          </wp:inline>
        </w:drawing>
      </w:r>
    </w:p>
    <w:p w:rsidR="005965C1" w:rsidRDefault="005965C1" w:rsidP="0067220D">
      <w:pPr>
        <w:rPr>
          <w:rFonts w:ascii="Arial" w:hAnsi="Arial" w:cs="Arial"/>
          <w:sz w:val="28"/>
          <w:szCs w:val="28"/>
        </w:rPr>
      </w:pPr>
    </w:p>
    <w:p w:rsidR="003B3DC3" w:rsidRPr="003B3DC3" w:rsidRDefault="003B3DC3" w:rsidP="00CE7ABC">
      <w:pPr>
        <w:pStyle w:val="Ttulo2"/>
      </w:pPr>
      <w:bookmarkStart w:id="15" w:name="_Toc8656136"/>
      <w:bookmarkStart w:id="16" w:name="_Toc40337867"/>
      <w:bookmarkStart w:id="17" w:name="_Toc135044683"/>
      <w:r w:rsidRPr="003B3DC3">
        <w:t>3.1.- GENERALIDADES DE LA HACIENDA PÚBLICA</w:t>
      </w:r>
      <w:bookmarkEnd w:id="15"/>
      <w:bookmarkEnd w:id="16"/>
      <w:bookmarkEnd w:id="17"/>
      <w:r w:rsidRPr="003B3DC3">
        <w:t>.</w:t>
      </w:r>
    </w:p>
    <w:p w:rsidR="003B3DC3" w:rsidRPr="003B3DC3" w:rsidRDefault="003B3DC3" w:rsidP="003B3DC3">
      <w:pPr>
        <w:rPr>
          <w:lang w:val="es-CO" w:eastAsia="es-CO"/>
        </w:rPr>
      </w:pPr>
    </w:p>
    <w:p w:rsidR="003B3DC3" w:rsidRPr="003B3DC3" w:rsidRDefault="003B3DC3" w:rsidP="003B3DC3">
      <w:pPr>
        <w:ind w:left="-142" w:right="-518"/>
        <w:jc w:val="both"/>
        <w:rPr>
          <w:rFonts w:ascii="Arial" w:hAnsi="Arial" w:cs="Arial"/>
        </w:rPr>
      </w:pPr>
      <w:bookmarkStart w:id="18" w:name="_Hlk134458589"/>
      <w:r w:rsidRPr="003B3DC3">
        <w:rPr>
          <w:rFonts w:ascii="Arial" w:hAnsi="Arial" w:cs="Arial"/>
        </w:rPr>
        <w:t xml:space="preserve">La Hacienda Pública, como una disciplina, tiene como objetivo estudiar el sector público a través de los ingresos y el gasto público; es decir, concibe al Estado como receptor de recursos fiscales y como ejecutor de estos, por medio de la inversión o el gasto; para conseguir su propósito, se interrelaciona con otras ciencias como la economía, la política, la administración, el derecho público y la contabilidad. </w:t>
      </w:r>
    </w:p>
    <w:p w:rsidR="003B3DC3" w:rsidRPr="003B3DC3" w:rsidRDefault="003B3DC3" w:rsidP="003B3DC3">
      <w:pPr>
        <w:ind w:left="-142" w:right="-518"/>
        <w:jc w:val="both"/>
        <w:rPr>
          <w:rFonts w:ascii="Arial" w:hAnsi="Arial" w:cs="Arial"/>
        </w:rPr>
      </w:pPr>
    </w:p>
    <w:p w:rsidR="003B3DC3" w:rsidRPr="003B3DC3" w:rsidRDefault="003B3DC3" w:rsidP="003B3DC3">
      <w:pPr>
        <w:ind w:left="-142" w:right="-518"/>
        <w:jc w:val="both"/>
        <w:rPr>
          <w:rFonts w:ascii="Arial" w:hAnsi="Arial" w:cs="Arial"/>
        </w:rPr>
      </w:pPr>
      <w:r w:rsidRPr="003B3DC3">
        <w:rPr>
          <w:rFonts w:ascii="Arial" w:hAnsi="Arial" w:cs="Arial"/>
        </w:rPr>
        <w:t>Dada la complejidad de la administración del sector público y la necesidad de responder y rendir cuentas a la sociedad, son indispensables y exigibles los análisis y estudios de la forma en que se financia la acción estatal y la manera como los recursos obtenidos se invierten para conseguir el bienestar colectivo, aspecto que requiere de una participación multidisciplinaria, dentro de las cuales la contabilidad tiene un papel importante que cumplir.</w:t>
      </w:r>
    </w:p>
    <w:p w:rsidR="003B3DC3" w:rsidRPr="003B3DC3" w:rsidRDefault="003B3DC3" w:rsidP="003B3DC3">
      <w:pPr>
        <w:ind w:left="-142" w:right="-518"/>
        <w:jc w:val="both"/>
        <w:rPr>
          <w:rFonts w:ascii="Arial" w:hAnsi="Arial" w:cs="Arial"/>
        </w:rPr>
      </w:pPr>
    </w:p>
    <w:p w:rsidR="003B3DC3" w:rsidRPr="003B3DC3" w:rsidRDefault="003B3DC3" w:rsidP="003B3DC3">
      <w:pPr>
        <w:ind w:left="-142" w:right="-518"/>
        <w:jc w:val="both"/>
        <w:rPr>
          <w:rFonts w:ascii="Arial" w:hAnsi="Arial" w:cs="Arial"/>
        </w:rPr>
      </w:pPr>
      <w:r w:rsidRPr="003B3DC3">
        <w:rPr>
          <w:rFonts w:ascii="Arial" w:hAnsi="Arial" w:cs="Arial"/>
        </w:rPr>
        <w:t xml:space="preserve">Las entidades públicas, principalmente aquellas que desempeñan funciones de gobierno o de beneficio social, no están buscando una rentabilidad económica, sino satisfacer necesidades colectivas de los colombianos. Sus ingresos provienen principalmente de la facultad impositiva del Estado. El éxito de la gestión debe medirse por el incremento en el bienestar y no tanto por los beneficios económicos generados. Asimismo, los recursos utilizados están sometidos a la disciplina del presupuesto, cuya ejecución es base para representar la situación financiera y los resultados alcanzados en el periodo. No obstante, también hacen parte de la nación o del sector público </w:t>
      </w:r>
      <w:r w:rsidRPr="003B3DC3">
        <w:rPr>
          <w:rFonts w:ascii="Arial" w:hAnsi="Arial" w:cs="Arial"/>
        </w:rPr>
        <w:lastRenderedPageBreak/>
        <w:t xml:space="preserve">empresas estatales que pueden generar excedentes económicos, los cuales finalmente son reinvertidos a través del presupuesto público para el beneficio general. </w:t>
      </w:r>
      <w:bookmarkEnd w:id="18"/>
    </w:p>
    <w:p w:rsidR="003B3DC3" w:rsidRPr="003B3DC3" w:rsidRDefault="003B3DC3" w:rsidP="003B3DC3">
      <w:pPr>
        <w:jc w:val="both"/>
        <w:rPr>
          <w:rFonts w:ascii="Arial" w:hAnsi="Arial" w:cs="Arial"/>
        </w:rPr>
      </w:pPr>
    </w:p>
    <w:p w:rsidR="003B3DC3" w:rsidRPr="003B3DC3" w:rsidRDefault="003B3DC3" w:rsidP="003B3DC3">
      <w:pPr>
        <w:ind w:left="-142" w:right="-518"/>
        <w:jc w:val="both"/>
        <w:rPr>
          <w:rFonts w:ascii="Arial" w:hAnsi="Arial" w:cs="Arial"/>
        </w:rPr>
      </w:pPr>
      <w:bookmarkStart w:id="19" w:name="_Hlk134458674"/>
      <w:r w:rsidRPr="003B3DC3">
        <w:rPr>
          <w:rFonts w:ascii="Arial" w:hAnsi="Arial" w:cs="Arial"/>
        </w:rPr>
        <w:t>Las actividades económicas y financieras que las entidades públicas realizan son representadas y consignadas en la contabilidad pública, sistema que permite la producción de estados financieros, importes y reportes, los cuales se remiten a la Contaduría General de la Nación (CGN) para su consolidación y publicación. Entre estos informes tenemos: el Estado de Resultados, el Estado de Situación Financiera y el Estado de Cambios en el Patrimonio, los cuales van acompañados de sus revelaciones y notas explicativas.</w:t>
      </w:r>
    </w:p>
    <w:bookmarkEnd w:id="19"/>
    <w:p w:rsidR="003B3DC3" w:rsidRPr="003B3DC3" w:rsidRDefault="003B3DC3" w:rsidP="003B3DC3">
      <w:pPr>
        <w:ind w:left="-142" w:right="-518"/>
        <w:jc w:val="both"/>
        <w:rPr>
          <w:rFonts w:ascii="Arial" w:hAnsi="Arial" w:cs="Arial"/>
        </w:rPr>
      </w:pPr>
    </w:p>
    <w:p w:rsidR="003B3DC3" w:rsidRPr="003B3DC3" w:rsidRDefault="003B3DC3" w:rsidP="003B3DC3">
      <w:pPr>
        <w:ind w:left="-142" w:right="-518"/>
        <w:jc w:val="both"/>
        <w:rPr>
          <w:rFonts w:ascii="Arial" w:hAnsi="Arial" w:cs="Arial"/>
        </w:rPr>
      </w:pPr>
      <w:bookmarkStart w:id="20" w:name="_Hlk134458865"/>
      <w:r w:rsidRPr="003B3DC3">
        <w:rPr>
          <w:rFonts w:ascii="Arial" w:hAnsi="Arial" w:cs="Arial"/>
        </w:rPr>
        <w:t>La Constitución Política le asigna al Contador General de la Nación la función de consolidar la contabilidad pública para poner la información y las cifras consolidadas a disposición de la ciudadanía, de los organismos de control político y fiscal, y de los demás usuarios de la información contable pública. La Ley 298 de 1996 definió que la Contaduría General de la Nación será la instancia que permita el cumplimiento de la responsabilidad constitucional asignada al Contador General. Esta entidad, año tras año cumple con esta importante tarea preparando el informe de “Situación Financiera y de Resultados del nivel nacional”. En esta oportunidad correspondiente al periodo comprendido entre el 1º de enero y el 31 de diciembre del año 2022, comparativo con el año 2021.</w:t>
      </w:r>
    </w:p>
    <w:bookmarkEnd w:id="20"/>
    <w:p w:rsidR="003B3DC3" w:rsidRPr="003B3DC3" w:rsidRDefault="003B3DC3" w:rsidP="003B3DC3">
      <w:pPr>
        <w:ind w:left="-142" w:right="-518"/>
        <w:jc w:val="both"/>
        <w:rPr>
          <w:rFonts w:ascii="Arial" w:hAnsi="Arial" w:cs="Arial"/>
        </w:rPr>
      </w:pPr>
    </w:p>
    <w:p w:rsidR="003B3DC3" w:rsidRPr="003B3DC3" w:rsidRDefault="003B3DC3" w:rsidP="003B3DC3">
      <w:pPr>
        <w:ind w:left="-142" w:right="-518"/>
        <w:jc w:val="both"/>
        <w:rPr>
          <w:rFonts w:ascii="Arial" w:hAnsi="Arial" w:cs="Arial"/>
        </w:rPr>
      </w:pPr>
      <w:r w:rsidRPr="003B3DC3">
        <w:rPr>
          <w:rFonts w:ascii="Arial" w:hAnsi="Arial" w:cs="Arial"/>
        </w:rPr>
        <w:t xml:space="preserve">Los estados financieros consolidados del nivel nacional los prepara la CGN con base en la información individual que reportan las entidades contables públicas que lo conforman, las cuales deben observar las normas contables establecidas en los respectivos marcos normativos aplicables a cada entidad, e incorporadas en el Régimen de Contabilidad Pública (RCP). </w:t>
      </w:r>
    </w:p>
    <w:p w:rsidR="003B3DC3" w:rsidRPr="003B3DC3" w:rsidRDefault="003B3DC3" w:rsidP="003B3DC3">
      <w:pPr>
        <w:ind w:right="-518"/>
        <w:jc w:val="both"/>
        <w:rPr>
          <w:rFonts w:ascii="Arial" w:hAnsi="Arial" w:cs="Arial"/>
        </w:rPr>
      </w:pPr>
    </w:p>
    <w:p w:rsidR="003B3DC3" w:rsidRPr="003B3DC3" w:rsidRDefault="003B3DC3" w:rsidP="003B3DC3">
      <w:pPr>
        <w:ind w:left="-142" w:right="-518"/>
        <w:jc w:val="both"/>
        <w:rPr>
          <w:rFonts w:ascii="Arial" w:hAnsi="Arial" w:cs="Arial"/>
        </w:rPr>
      </w:pPr>
      <w:r w:rsidRPr="003B3DC3">
        <w:rPr>
          <w:rFonts w:ascii="Arial" w:hAnsi="Arial" w:cs="Arial"/>
        </w:rPr>
        <w:t xml:space="preserve">El Consolidado del nivel nacional comprende el conjunto de 343 entidades contables que reportaron su información a la CGN, con corte al 31 de diciembre de 2022, en oportunidad y con las cuales se consolidó la información y se preparó este informe. La cobertura de entidades fue del 100%, es decir, la totalidad de entidades del nivel nacional cumplieron con la obligación de reportar su información. </w:t>
      </w:r>
    </w:p>
    <w:p w:rsidR="003B3DC3" w:rsidRPr="003B3DC3" w:rsidRDefault="003B3DC3" w:rsidP="003B3DC3">
      <w:pPr>
        <w:ind w:left="-142" w:right="-518"/>
        <w:jc w:val="both"/>
        <w:rPr>
          <w:rFonts w:ascii="Arial" w:hAnsi="Arial" w:cs="Arial"/>
        </w:rPr>
      </w:pPr>
    </w:p>
    <w:p w:rsidR="003B3DC3" w:rsidRPr="003B3DC3" w:rsidRDefault="003B3DC3" w:rsidP="003B3DC3">
      <w:pPr>
        <w:ind w:left="-142" w:right="-518"/>
        <w:jc w:val="both"/>
        <w:rPr>
          <w:rFonts w:ascii="Arial" w:hAnsi="Arial" w:cs="Arial"/>
        </w:rPr>
      </w:pPr>
      <w:r w:rsidRPr="003B3DC3">
        <w:rPr>
          <w:rFonts w:ascii="Arial" w:hAnsi="Arial" w:cs="Arial"/>
        </w:rPr>
        <w:t>Para la lectura y comprensión del presente informe, se deben tener presente algunos aspectos importantes: la información contable se expresa en miles de millones de pesos colombianos ($MM), tanto en los estados financieros como en las diferentes tablas y gráficos utilizados en las revelaciones presentadas, excepto cuando se enuncie expresamente que las cifras se presentan en otra denominación. Las tablas y gráficos no hacen referencia a la fuente, en el entendido que todas corresponden a información tomada de la base de datos de la CGN y es una elaboración propia.</w:t>
      </w:r>
    </w:p>
    <w:p w:rsidR="000830DF" w:rsidRDefault="000830DF" w:rsidP="00CE7ABC">
      <w:pPr>
        <w:pStyle w:val="Ttulo2"/>
      </w:pPr>
      <w:bookmarkStart w:id="21" w:name="_Toc8656141"/>
      <w:bookmarkStart w:id="22" w:name="_Toc40337868"/>
      <w:bookmarkStart w:id="23" w:name="_Toc135044684"/>
    </w:p>
    <w:p w:rsidR="000830DF" w:rsidRPr="000830DF" w:rsidRDefault="000830DF" w:rsidP="00CE7ABC">
      <w:pPr>
        <w:pStyle w:val="Ttulo2"/>
      </w:pPr>
      <w:r w:rsidRPr="000830DF">
        <w:t>3.2.- ESTADO DE RESULTADOS CONSOLIDADO</w:t>
      </w:r>
      <w:bookmarkEnd w:id="21"/>
      <w:bookmarkEnd w:id="22"/>
      <w:bookmarkEnd w:id="23"/>
      <w:r w:rsidRPr="000830DF">
        <w:t>.</w:t>
      </w:r>
    </w:p>
    <w:p w:rsidR="000830DF" w:rsidRDefault="000830DF" w:rsidP="000830DF">
      <w:pPr>
        <w:jc w:val="both"/>
        <w:rPr>
          <w:rFonts w:ascii="Arial" w:hAnsi="Arial" w:cs="Arial"/>
        </w:rPr>
      </w:pPr>
    </w:p>
    <w:p w:rsidR="000830DF" w:rsidRPr="000830DF" w:rsidRDefault="000830DF" w:rsidP="000830DF">
      <w:pPr>
        <w:ind w:left="-142" w:right="-518"/>
        <w:jc w:val="both"/>
        <w:rPr>
          <w:rFonts w:ascii="Arial" w:hAnsi="Arial" w:cs="Arial"/>
        </w:rPr>
      </w:pPr>
      <w:r w:rsidRPr="000830DF">
        <w:rPr>
          <w:rFonts w:ascii="Arial" w:hAnsi="Arial" w:cs="Arial"/>
        </w:rPr>
        <w:t xml:space="preserve">Presenta el total de ingresos menos los gastos y los costos del consolidado, con base en los ingresos causados y las erogaciones reconocidas durante el periodo, llevando al resultado del ejercicio. </w:t>
      </w:r>
    </w:p>
    <w:p w:rsidR="000830DF" w:rsidRDefault="000830DF" w:rsidP="00575C35">
      <w:pPr>
        <w:pStyle w:val="Ttulo3"/>
      </w:pPr>
      <w:bookmarkStart w:id="24" w:name="_Toc8656144"/>
      <w:bookmarkStart w:id="25" w:name="_Toc40337869"/>
      <w:bookmarkStart w:id="26" w:name="_Toc135044685"/>
      <w:bookmarkStart w:id="27" w:name="_Toc261427639"/>
      <w:bookmarkStart w:id="28" w:name="_Toc324494014"/>
      <w:bookmarkStart w:id="29" w:name="_Toc393462541"/>
      <w:bookmarkStart w:id="30" w:name="_Toc444766118"/>
      <w:bookmarkStart w:id="31" w:name="_Toc513810853"/>
    </w:p>
    <w:p w:rsidR="000830DF" w:rsidRPr="000830DF" w:rsidRDefault="000830DF" w:rsidP="00575C35">
      <w:pPr>
        <w:pStyle w:val="Ttulo3"/>
      </w:pPr>
      <w:r w:rsidRPr="000830DF">
        <w:t>3.2.1.- Análisis general del Estado de Resultados Consolidado</w:t>
      </w:r>
      <w:bookmarkEnd w:id="24"/>
      <w:bookmarkEnd w:id="25"/>
      <w:bookmarkEnd w:id="26"/>
      <w:r>
        <w:t>.</w:t>
      </w:r>
    </w:p>
    <w:bookmarkEnd w:id="27"/>
    <w:bookmarkEnd w:id="28"/>
    <w:bookmarkEnd w:id="29"/>
    <w:bookmarkEnd w:id="30"/>
    <w:bookmarkEnd w:id="31"/>
    <w:p w:rsidR="000830DF" w:rsidRDefault="000830DF" w:rsidP="000830DF">
      <w:pPr>
        <w:jc w:val="both"/>
        <w:rPr>
          <w:rFonts w:ascii="Arial" w:hAnsi="Arial" w:cs="Arial"/>
        </w:rPr>
      </w:pPr>
    </w:p>
    <w:p w:rsidR="000830DF" w:rsidRPr="000830DF" w:rsidRDefault="000830DF" w:rsidP="000830DF">
      <w:pPr>
        <w:ind w:left="-142" w:right="-518"/>
        <w:jc w:val="both"/>
        <w:rPr>
          <w:rFonts w:ascii="Arial" w:hAnsi="Arial" w:cs="Arial"/>
        </w:rPr>
      </w:pPr>
      <w:r w:rsidRPr="000830DF">
        <w:rPr>
          <w:rFonts w:ascii="Arial" w:hAnsi="Arial" w:cs="Arial"/>
        </w:rPr>
        <w:t>Se realiza un análisis general a partir de las cifras del Estado de Resultados Consolidado del nivel nacional, con el propósito de describir los saldos a nivel de clase y grupos y su participación en el total y en el PIB. A partir de allí, en el capítulo 4 se presentan las notas o revelaciones específicas para cada grupo de conceptos.</w:t>
      </w:r>
    </w:p>
    <w:p w:rsidR="000830DF" w:rsidRPr="00A320BE" w:rsidRDefault="000830DF" w:rsidP="000830DF">
      <w:pPr>
        <w:pStyle w:val="Descripcin"/>
      </w:pPr>
      <w:bookmarkStart w:id="32" w:name="_Toc450825290"/>
      <w:bookmarkStart w:id="33" w:name="_Toc513812956"/>
      <w:bookmarkStart w:id="34" w:name="_Toc8656286"/>
    </w:p>
    <w:p w:rsidR="000830DF" w:rsidRPr="000830DF" w:rsidRDefault="000830DF" w:rsidP="000830DF">
      <w:pPr>
        <w:pStyle w:val="Descripcin"/>
        <w:jc w:val="center"/>
        <w:rPr>
          <w:rFonts w:ascii="Arial" w:hAnsi="Arial" w:cs="Arial"/>
          <w:color w:val="auto"/>
          <w:sz w:val="24"/>
          <w:szCs w:val="24"/>
        </w:rPr>
      </w:pPr>
      <w:bookmarkStart w:id="35" w:name="_Toc135044753"/>
      <w:r w:rsidRPr="000830DF">
        <w:rPr>
          <w:rFonts w:ascii="Arial" w:hAnsi="Arial" w:cs="Arial"/>
          <w:color w:val="auto"/>
          <w:sz w:val="24"/>
          <w:szCs w:val="24"/>
        </w:rPr>
        <w:lastRenderedPageBreak/>
        <w:t xml:space="preserve">Tabla </w:t>
      </w:r>
      <w:r w:rsidRPr="000830DF">
        <w:rPr>
          <w:rFonts w:ascii="Arial" w:hAnsi="Arial" w:cs="Arial"/>
          <w:color w:val="auto"/>
          <w:sz w:val="24"/>
          <w:szCs w:val="24"/>
        </w:rPr>
        <w:fldChar w:fldCharType="begin"/>
      </w:r>
      <w:r w:rsidRPr="000830DF">
        <w:rPr>
          <w:rFonts w:ascii="Arial" w:hAnsi="Arial" w:cs="Arial"/>
          <w:color w:val="auto"/>
          <w:sz w:val="24"/>
          <w:szCs w:val="24"/>
        </w:rPr>
        <w:instrText xml:space="preserve"> STYLEREF 1 \s </w:instrText>
      </w:r>
      <w:r w:rsidRPr="000830DF">
        <w:rPr>
          <w:rFonts w:ascii="Arial" w:hAnsi="Arial" w:cs="Arial"/>
          <w:color w:val="auto"/>
          <w:sz w:val="24"/>
          <w:szCs w:val="24"/>
        </w:rPr>
        <w:fldChar w:fldCharType="separate"/>
      </w:r>
      <w:r w:rsidRPr="000830DF">
        <w:rPr>
          <w:rFonts w:ascii="Arial" w:hAnsi="Arial" w:cs="Arial"/>
          <w:noProof/>
          <w:color w:val="auto"/>
          <w:sz w:val="24"/>
          <w:szCs w:val="24"/>
        </w:rPr>
        <w:t>3</w:t>
      </w:r>
      <w:r w:rsidRPr="000830DF">
        <w:rPr>
          <w:rFonts w:ascii="Arial" w:hAnsi="Arial" w:cs="Arial"/>
          <w:noProof/>
          <w:color w:val="auto"/>
          <w:sz w:val="24"/>
          <w:szCs w:val="24"/>
        </w:rPr>
        <w:fldChar w:fldCharType="end"/>
      </w:r>
      <w:r w:rsidRPr="000830DF">
        <w:rPr>
          <w:rFonts w:ascii="Arial" w:hAnsi="Arial" w:cs="Arial"/>
          <w:color w:val="auto"/>
          <w:sz w:val="24"/>
          <w:szCs w:val="24"/>
        </w:rPr>
        <w:noBreakHyphen/>
      </w:r>
      <w:r w:rsidRPr="000830DF">
        <w:rPr>
          <w:rFonts w:ascii="Arial" w:hAnsi="Arial" w:cs="Arial"/>
          <w:color w:val="auto"/>
          <w:sz w:val="24"/>
          <w:szCs w:val="24"/>
        </w:rPr>
        <w:fldChar w:fldCharType="begin"/>
      </w:r>
      <w:r w:rsidRPr="000830DF">
        <w:rPr>
          <w:rFonts w:ascii="Arial" w:hAnsi="Arial" w:cs="Arial"/>
          <w:color w:val="auto"/>
          <w:sz w:val="24"/>
          <w:szCs w:val="24"/>
        </w:rPr>
        <w:instrText xml:space="preserve"> SEQ Tabla \* ARABIC \s 1 </w:instrText>
      </w:r>
      <w:r w:rsidRPr="000830DF">
        <w:rPr>
          <w:rFonts w:ascii="Arial" w:hAnsi="Arial" w:cs="Arial"/>
          <w:color w:val="auto"/>
          <w:sz w:val="24"/>
          <w:szCs w:val="24"/>
        </w:rPr>
        <w:fldChar w:fldCharType="separate"/>
      </w:r>
      <w:r w:rsidRPr="000830DF">
        <w:rPr>
          <w:rFonts w:ascii="Arial" w:hAnsi="Arial" w:cs="Arial"/>
          <w:noProof/>
          <w:color w:val="auto"/>
          <w:sz w:val="24"/>
          <w:szCs w:val="24"/>
        </w:rPr>
        <w:t>1</w:t>
      </w:r>
      <w:r w:rsidRPr="000830DF">
        <w:rPr>
          <w:rFonts w:ascii="Arial" w:hAnsi="Arial" w:cs="Arial"/>
          <w:noProof/>
          <w:color w:val="auto"/>
          <w:sz w:val="24"/>
          <w:szCs w:val="24"/>
        </w:rPr>
        <w:fldChar w:fldCharType="end"/>
      </w:r>
      <w:r w:rsidRPr="000830DF">
        <w:rPr>
          <w:rFonts w:ascii="Arial" w:hAnsi="Arial" w:cs="Arial"/>
          <w:color w:val="auto"/>
          <w:sz w:val="24"/>
          <w:szCs w:val="24"/>
        </w:rPr>
        <w:t xml:space="preserve"> Estado de resultados consolidados del nivel nacional</w:t>
      </w:r>
      <w:bookmarkEnd w:id="35"/>
    </w:p>
    <w:p w:rsidR="000830DF" w:rsidRPr="000830DF" w:rsidRDefault="000830DF" w:rsidP="000830DF">
      <w:pPr>
        <w:rPr>
          <w:rFonts w:ascii="Arial" w:hAnsi="Arial" w:cs="Arial"/>
          <w:lang w:val="es-CO" w:eastAsia="en-US"/>
        </w:rPr>
      </w:pPr>
    </w:p>
    <w:p w:rsidR="000830DF" w:rsidRPr="00A320BE" w:rsidRDefault="000830DF" w:rsidP="000830DF">
      <w:pPr>
        <w:jc w:val="center"/>
        <w:rPr>
          <w:iCs/>
        </w:rPr>
      </w:pPr>
      <w:r w:rsidRPr="00A320BE">
        <w:rPr>
          <w:noProof/>
          <w:lang w:val="es-CO" w:eastAsia="es-CO"/>
        </w:rPr>
        <w:drawing>
          <wp:inline distT="0" distB="0" distL="0" distR="0" wp14:anchorId="6EA818DF" wp14:editId="41CF18B9">
            <wp:extent cx="5625885" cy="2769666"/>
            <wp:effectExtent l="0" t="0" r="0" b="0"/>
            <wp:docPr id="1806645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7876" cy="2770646"/>
                    </a:xfrm>
                    <a:prstGeom prst="rect">
                      <a:avLst/>
                    </a:prstGeom>
                    <a:noFill/>
                    <a:ln>
                      <a:noFill/>
                    </a:ln>
                  </pic:spPr>
                </pic:pic>
              </a:graphicData>
            </a:graphic>
          </wp:inline>
        </w:drawing>
      </w:r>
    </w:p>
    <w:p w:rsidR="000830DF" w:rsidRDefault="000830DF" w:rsidP="000830DF">
      <w:pPr>
        <w:pStyle w:val="Descripcin"/>
      </w:pPr>
      <w:bookmarkStart w:id="36" w:name="_Toc135044933"/>
      <w:bookmarkEnd w:id="32"/>
      <w:bookmarkEnd w:id="33"/>
      <w:bookmarkEnd w:id="34"/>
    </w:p>
    <w:p w:rsidR="000830DF" w:rsidRDefault="000830DF" w:rsidP="000830DF">
      <w:pPr>
        <w:pStyle w:val="Descripcin"/>
      </w:pPr>
    </w:p>
    <w:p w:rsidR="000830DF" w:rsidRPr="000830DF" w:rsidRDefault="000830DF" w:rsidP="000830DF">
      <w:pPr>
        <w:pStyle w:val="Descripcin"/>
        <w:jc w:val="center"/>
        <w:rPr>
          <w:rFonts w:ascii="Arial" w:hAnsi="Arial" w:cs="Arial"/>
          <w:noProof/>
          <w:color w:val="auto"/>
          <w:sz w:val="24"/>
          <w:szCs w:val="24"/>
        </w:rPr>
      </w:pPr>
      <w:r w:rsidRPr="000830DF">
        <w:rPr>
          <w:rFonts w:ascii="Arial" w:hAnsi="Arial" w:cs="Arial"/>
          <w:color w:val="auto"/>
          <w:sz w:val="24"/>
          <w:szCs w:val="24"/>
        </w:rPr>
        <w:t xml:space="preserve">Gráfico </w:t>
      </w:r>
      <w:r w:rsidRPr="000830DF">
        <w:rPr>
          <w:rFonts w:ascii="Arial" w:hAnsi="Arial" w:cs="Arial"/>
          <w:color w:val="auto"/>
          <w:sz w:val="24"/>
          <w:szCs w:val="24"/>
        </w:rPr>
        <w:fldChar w:fldCharType="begin"/>
      </w:r>
      <w:r w:rsidRPr="000830DF">
        <w:rPr>
          <w:rFonts w:ascii="Arial" w:hAnsi="Arial" w:cs="Arial"/>
          <w:color w:val="auto"/>
          <w:sz w:val="24"/>
          <w:szCs w:val="24"/>
        </w:rPr>
        <w:instrText xml:space="preserve"> STYLEREF 1 \s </w:instrText>
      </w:r>
      <w:r w:rsidRPr="000830DF">
        <w:rPr>
          <w:rFonts w:ascii="Arial" w:hAnsi="Arial" w:cs="Arial"/>
          <w:color w:val="auto"/>
          <w:sz w:val="24"/>
          <w:szCs w:val="24"/>
        </w:rPr>
        <w:fldChar w:fldCharType="separate"/>
      </w:r>
      <w:r w:rsidRPr="000830DF">
        <w:rPr>
          <w:rFonts w:ascii="Arial" w:hAnsi="Arial" w:cs="Arial"/>
          <w:noProof/>
          <w:color w:val="auto"/>
          <w:sz w:val="24"/>
          <w:szCs w:val="24"/>
        </w:rPr>
        <w:t>3</w:t>
      </w:r>
      <w:r w:rsidRPr="000830DF">
        <w:rPr>
          <w:rFonts w:ascii="Arial" w:hAnsi="Arial" w:cs="Arial"/>
          <w:noProof/>
          <w:color w:val="auto"/>
          <w:sz w:val="24"/>
          <w:szCs w:val="24"/>
        </w:rPr>
        <w:fldChar w:fldCharType="end"/>
      </w:r>
      <w:r w:rsidRPr="000830DF">
        <w:rPr>
          <w:rFonts w:ascii="Arial" w:hAnsi="Arial" w:cs="Arial"/>
          <w:color w:val="auto"/>
          <w:sz w:val="24"/>
          <w:szCs w:val="24"/>
        </w:rPr>
        <w:noBreakHyphen/>
      </w:r>
      <w:r w:rsidRPr="000830DF">
        <w:rPr>
          <w:rFonts w:ascii="Arial" w:hAnsi="Arial" w:cs="Arial"/>
          <w:color w:val="auto"/>
          <w:sz w:val="24"/>
          <w:szCs w:val="24"/>
        </w:rPr>
        <w:fldChar w:fldCharType="begin"/>
      </w:r>
      <w:r w:rsidRPr="000830DF">
        <w:rPr>
          <w:rFonts w:ascii="Arial" w:hAnsi="Arial" w:cs="Arial"/>
          <w:color w:val="auto"/>
          <w:sz w:val="24"/>
          <w:szCs w:val="24"/>
        </w:rPr>
        <w:instrText xml:space="preserve"> SEQ Gráfico \* ARABIC \s 1 </w:instrText>
      </w:r>
      <w:r w:rsidRPr="000830DF">
        <w:rPr>
          <w:rFonts w:ascii="Arial" w:hAnsi="Arial" w:cs="Arial"/>
          <w:color w:val="auto"/>
          <w:sz w:val="24"/>
          <w:szCs w:val="24"/>
        </w:rPr>
        <w:fldChar w:fldCharType="separate"/>
      </w:r>
      <w:r w:rsidRPr="000830DF">
        <w:rPr>
          <w:rFonts w:ascii="Arial" w:hAnsi="Arial" w:cs="Arial"/>
          <w:noProof/>
          <w:color w:val="auto"/>
          <w:sz w:val="24"/>
          <w:szCs w:val="24"/>
        </w:rPr>
        <w:t>1</w:t>
      </w:r>
      <w:r w:rsidRPr="000830DF">
        <w:rPr>
          <w:rFonts w:ascii="Arial" w:hAnsi="Arial" w:cs="Arial"/>
          <w:noProof/>
          <w:color w:val="auto"/>
          <w:sz w:val="24"/>
          <w:szCs w:val="24"/>
        </w:rPr>
        <w:fldChar w:fldCharType="end"/>
      </w:r>
      <w:r w:rsidRPr="000830DF">
        <w:rPr>
          <w:rFonts w:ascii="Arial" w:hAnsi="Arial" w:cs="Arial"/>
          <w:noProof/>
          <w:color w:val="auto"/>
          <w:sz w:val="24"/>
          <w:szCs w:val="24"/>
        </w:rPr>
        <w:t xml:space="preserve"> Estado de Resultados Consolidado del nivel nacional</w:t>
      </w:r>
      <w:bookmarkEnd w:id="36"/>
    </w:p>
    <w:p w:rsidR="000830DF" w:rsidRPr="000830DF" w:rsidRDefault="000830DF" w:rsidP="000830DF">
      <w:pPr>
        <w:jc w:val="center"/>
        <w:rPr>
          <w:rFonts w:ascii="Arial" w:hAnsi="Arial" w:cs="Arial"/>
          <w:lang w:val="es-CO" w:eastAsia="en-US"/>
        </w:rPr>
      </w:pPr>
    </w:p>
    <w:p w:rsidR="000830DF" w:rsidRPr="00A320BE" w:rsidRDefault="000830DF" w:rsidP="000830DF">
      <w:r w:rsidRPr="00A320BE">
        <w:rPr>
          <w:noProof/>
          <w:lang w:val="es-CO" w:eastAsia="es-CO"/>
        </w:rPr>
        <w:drawing>
          <wp:inline distT="0" distB="0" distL="0" distR="0" wp14:anchorId="40F458D5" wp14:editId="7900C53B">
            <wp:extent cx="5943600" cy="2240280"/>
            <wp:effectExtent l="0" t="0" r="0" b="0"/>
            <wp:docPr id="14261860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179"/>
                    <a:stretch/>
                  </pic:blipFill>
                  <pic:spPr bwMode="auto">
                    <a:xfrm>
                      <a:off x="0" y="0"/>
                      <a:ext cx="5943600" cy="2240280"/>
                    </a:xfrm>
                    <a:prstGeom prst="rect">
                      <a:avLst/>
                    </a:prstGeom>
                    <a:noFill/>
                    <a:ln>
                      <a:noFill/>
                    </a:ln>
                    <a:extLst>
                      <a:ext uri="{53640926-AAD7-44D8-BBD7-CCE9431645EC}">
                        <a14:shadowObscured xmlns:a14="http://schemas.microsoft.com/office/drawing/2010/main"/>
                      </a:ext>
                    </a:extLst>
                  </pic:spPr>
                </pic:pic>
              </a:graphicData>
            </a:graphic>
          </wp:inline>
        </w:drawing>
      </w:r>
    </w:p>
    <w:p w:rsidR="000830DF" w:rsidRPr="000830DF" w:rsidRDefault="000830DF" w:rsidP="000830DF">
      <w:pPr>
        <w:pStyle w:val="Prrafodelista"/>
        <w:numPr>
          <w:ilvl w:val="0"/>
          <w:numId w:val="4"/>
        </w:numPr>
        <w:spacing w:before="0" w:after="0" w:line="240" w:lineRule="auto"/>
        <w:rPr>
          <w:rFonts w:ascii="Arial" w:hAnsi="Arial" w:cs="Arial"/>
          <w:b/>
          <w:sz w:val="28"/>
          <w:szCs w:val="28"/>
          <w:lang w:eastAsia="es-CO"/>
        </w:rPr>
      </w:pPr>
      <w:bookmarkStart w:id="37" w:name="_Toc261427632"/>
      <w:bookmarkStart w:id="38" w:name="_Toc324494007"/>
      <w:bookmarkStart w:id="39" w:name="_Toc393462534"/>
      <w:bookmarkStart w:id="40" w:name="_Toc444766111"/>
      <w:bookmarkStart w:id="41" w:name="_Toc513810845"/>
      <w:r w:rsidRPr="000830DF">
        <w:rPr>
          <w:rFonts w:ascii="Arial" w:hAnsi="Arial" w:cs="Arial"/>
          <w:b/>
          <w:sz w:val="28"/>
          <w:szCs w:val="28"/>
          <w:lang w:eastAsia="es-CO"/>
        </w:rPr>
        <w:t>Resultado del ejercicio</w:t>
      </w:r>
      <w:bookmarkEnd w:id="37"/>
      <w:bookmarkEnd w:id="38"/>
      <w:bookmarkEnd w:id="39"/>
      <w:bookmarkEnd w:id="40"/>
      <w:bookmarkEnd w:id="41"/>
      <w:r w:rsidRPr="000830DF">
        <w:rPr>
          <w:rFonts w:ascii="Arial" w:hAnsi="Arial" w:cs="Arial"/>
          <w:b/>
          <w:sz w:val="28"/>
          <w:szCs w:val="28"/>
          <w:lang w:eastAsia="es-CO"/>
        </w:rPr>
        <w:t xml:space="preserve"> consolidado.</w:t>
      </w:r>
    </w:p>
    <w:p w:rsidR="000830DF" w:rsidRPr="000830DF" w:rsidRDefault="000830DF" w:rsidP="000830DF">
      <w:pPr>
        <w:pStyle w:val="Prrafodelista"/>
        <w:spacing w:before="0" w:after="0" w:line="240" w:lineRule="auto"/>
        <w:ind w:left="720"/>
        <w:rPr>
          <w:rFonts w:ascii="Arial" w:hAnsi="Arial" w:cs="Arial"/>
          <w:b/>
          <w:sz w:val="28"/>
          <w:szCs w:val="28"/>
          <w:lang w:eastAsia="es-CO"/>
        </w:rPr>
      </w:pPr>
    </w:p>
    <w:p w:rsidR="000830DF" w:rsidRPr="000830DF" w:rsidRDefault="000830DF" w:rsidP="000830DF">
      <w:pPr>
        <w:ind w:left="-142" w:right="-518"/>
        <w:jc w:val="both"/>
        <w:rPr>
          <w:rFonts w:ascii="Arial" w:hAnsi="Arial" w:cs="Arial"/>
        </w:rPr>
      </w:pPr>
      <w:r w:rsidRPr="00D3135F">
        <w:rPr>
          <w:rFonts w:ascii="Arial" w:hAnsi="Arial" w:cs="Arial"/>
          <w:b/>
          <w:u w:val="single"/>
        </w:rPr>
        <w:t>El resultado del ejercicio consolidado de las entidades contables que conforman el nivel nacional, durante el año 2022, registra un saldo negativo o déficit de ($116.616,8) que representa el 8,0% del PIB</w:t>
      </w:r>
      <w:r w:rsidRPr="000830DF">
        <w:rPr>
          <w:rStyle w:val="Refdenotaalpie"/>
          <w:rFonts w:ascii="Arial" w:hAnsi="Arial" w:cs="Arial"/>
          <w:sz w:val="24"/>
        </w:rPr>
        <w:footnoteReference w:id="7"/>
      </w:r>
      <w:r w:rsidRPr="000830DF">
        <w:rPr>
          <w:rFonts w:ascii="Arial" w:hAnsi="Arial" w:cs="Arial"/>
        </w:rPr>
        <w:t>. De este resultado, se presenta separadamente el valor que le corresponde al resultado positivo de la participación no controladora o inversionistas privados y de la participación por fuera del centro de consolidación, esta última, que corresponde al resultado derivado de las entidades que no se consolidan dentro del nivel nacional, el cual asciende a $6.141,7, mientras que la participación controladora del nivel nacional llega a un valor de ($122.758,5).</w:t>
      </w:r>
      <w:r w:rsidR="00D3135F">
        <w:rPr>
          <w:rFonts w:ascii="Arial" w:hAnsi="Arial" w:cs="Arial"/>
        </w:rPr>
        <w:t xml:space="preserve"> (Subrayado y resaltado fuera de texto).</w:t>
      </w:r>
    </w:p>
    <w:p w:rsidR="000830DF" w:rsidRPr="000830DF" w:rsidRDefault="000830DF" w:rsidP="00D3135F">
      <w:pPr>
        <w:ind w:left="-142"/>
        <w:jc w:val="both"/>
        <w:rPr>
          <w:rFonts w:ascii="Arial" w:hAnsi="Arial" w:cs="Arial"/>
        </w:rPr>
      </w:pPr>
    </w:p>
    <w:p w:rsidR="000830DF" w:rsidRPr="00D3135F" w:rsidRDefault="000830DF" w:rsidP="007F1B75">
      <w:pPr>
        <w:ind w:left="-142" w:right="-518"/>
        <w:jc w:val="both"/>
        <w:rPr>
          <w:rFonts w:ascii="Arial" w:hAnsi="Arial" w:cs="Arial"/>
        </w:rPr>
      </w:pPr>
      <w:r w:rsidRPr="00D3135F">
        <w:rPr>
          <w:rFonts w:ascii="Arial" w:hAnsi="Arial" w:cs="Arial"/>
          <w:b/>
          <w:u w:val="single"/>
        </w:rPr>
        <w:lastRenderedPageBreak/>
        <w:t>Comparado el resultado del ejercicio 2022 con el del periodo 2021, se observa un aumento del déficit en ($25.814,0), lo que representa una variación porcentual del 28,4%</w:t>
      </w:r>
      <w:r w:rsidRPr="00D3135F">
        <w:rPr>
          <w:rFonts w:ascii="Arial" w:hAnsi="Arial" w:cs="Arial"/>
        </w:rPr>
        <w:t>, si se tiene en cuenta que en el año 2021 el resultado fue un déficit de ($90.802,8), que representó un 7,7% del PIB</w:t>
      </w:r>
      <w:r w:rsidRPr="00D3135F">
        <w:rPr>
          <w:rStyle w:val="Refdenotaalpie"/>
          <w:rFonts w:ascii="Arial" w:hAnsi="Arial" w:cs="Arial"/>
          <w:sz w:val="24"/>
        </w:rPr>
        <w:footnoteReference w:id="8"/>
      </w:r>
      <w:r w:rsidRPr="00D3135F">
        <w:rPr>
          <w:rFonts w:ascii="Arial" w:hAnsi="Arial" w:cs="Arial"/>
        </w:rPr>
        <w:t xml:space="preserve"> de dicha vigencia. </w:t>
      </w:r>
      <w:r w:rsidR="00D3135F">
        <w:rPr>
          <w:rFonts w:ascii="Arial" w:hAnsi="Arial" w:cs="Arial"/>
        </w:rPr>
        <w:t>(Subrayado y resaltado fuera de texto).</w:t>
      </w:r>
    </w:p>
    <w:p w:rsidR="000830DF" w:rsidRPr="00D3135F" w:rsidRDefault="000830DF" w:rsidP="007F1B75">
      <w:pPr>
        <w:ind w:left="-142" w:right="-518"/>
        <w:jc w:val="both"/>
        <w:rPr>
          <w:rFonts w:ascii="Arial" w:hAnsi="Arial" w:cs="Arial"/>
        </w:rPr>
      </w:pPr>
    </w:p>
    <w:p w:rsidR="00D3135F" w:rsidRDefault="000830DF" w:rsidP="007F1B75">
      <w:pPr>
        <w:ind w:left="-142" w:right="-518"/>
        <w:jc w:val="both"/>
        <w:rPr>
          <w:rFonts w:ascii="Arial" w:hAnsi="Arial" w:cs="Arial"/>
        </w:rPr>
      </w:pPr>
      <w:r w:rsidRPr="00D3135F">
        <w:rPr>
          <w:rFonts w:ascii="Arial" w:hAnsi="Arial" w:cs="Arial"/>
          <w:b/>
          <w:u w:val="single"/>
        </w:rPr>
        <w:t>Este resultado contable deficitario del ejercicio de 2022 por un total de ($116.616,8), obedece al crecimiento de los gastos y los costos consolidados del nivel nacional que, en 2022, ascendieron a $746.460,3, frente al ingreso consolidado que alcanzó la cifra de $630.060,8, más el efecto neto de las operaciones recíprocas de ($217,3</w:t>
      </w:r>
      <w:r w:rsidRPr="00D3135F">
        <w:rPr>
          <w:rFonts w:ascii="Arial" w:hAnsi="Arial" w:cs="Arial"/>
        </w:rPr>
        <w:t>).</w:t>
      </w:r>
      <w:r w:rsidR="00D3135F">
        <w:rPr>
          <w:rFonts w:ascii="Arial" w:hAnsi="Arial" w:cs="Arial"/>
        </w:rPr>
        <w:t xml:space="preserve"> (Subrayado y resaltado fuera de texto).</w:t>
      </w:r>
    </w:p>
    <w:p w:rsidR="007F1B75" w:rsidRPr="00D3135F" w:rsidRDefault="007F1B75" w:rsidP="00D3135F">
      <w:pPr>
        <w:jc w:val="both"/>
        <w:rPr>
          <w:rFonts w:ascii="Arial" w:hAnsi="Arial" w:cs="Arial"/>
        </w:rPr>
      </w:pPr>
    </w:p>
    <w:p w:rsidR="007F1B75" w:rsidRPr="007F1B75" w:rsidRDefault="007F1B75" w:rsidP="007F1B75">
      <w:pPr>
        <w:pStyle w:val="Prrafodelista"/>
        <w:numPr>
          <w:ilvl w:val="0"/>
          <w:numId w:val="4"/>
        </w:numPr>
        <w:spacing w:before="0" w:after="0" w:line="240" w:lineRule="auto"/>
        <w:rPr>
          <w:rFonts w:ascii="Arial" w:hAnsi="Arial" w:cs="Arial"/>
          <w:b/>
          <w:sz w:val="28"/>
          <w:szCs w:val="28"/>
          <w:lang w:eastAsia="es-CO"/>
        </w:rPr>
      </w:pPr>
      <w:r w:rsidRPr="007F1B75">
        <w:rPr>
          <w:rFonts w:ascii="Arial" w:hAnsi="Arial" w:cs="Arial"/>
          <w:b/>
          <w:sz w:val="28"/>
          <w:szCs w:val="28"/>
          <w:lang w:eastAsia="es-CO"/>
        </w:rPr>
        <w:t>Ingresos consolidados</w:t>
      </w:r>
      <w:r>
        <w:rPr>
          <w:rFonts w:ascii="Arial" w:hAnsi="Arial" w:cs="Arial"/>
          <w:b/>
          <w:sz w:val="28"/>
          <w:szCs w:val="28"/>
          <w:lang w:eastAsia="es-CO"/>
        </w:rPr>
        <w:t>.</w:t>
      </w:r>
    </w:p>
    <w:p w:rsidR="007F1B75" w:rsidRDefault="007F1B75" w:rsidP="007F1B75">
      <w:pPr>
        <w:jc w:val="both"/>
      </w:pPr>
    </w:p>
    <w:p w:rsidR="007F1B75" w:rsidRPr="00D3135F" w:rsidRDefault="007F1B75" w:rsidP="007F1B75">
      <w:pPr>
        <w:ind w:left="-142" w:right="-518"/>
        <w:jc w:val="both"/>
        <w:rPr>
          <w:rFonts w:ascii="Arial" w:hAnsi="Arial" w:cs="Arial"/>
        </w:rPr>
      </w:pPr>
      <w:r w:rsidRPr="007F1B75">
        <w:rPr>
          <w:rFonts w:ascii="Arial" w:hAnsi="Arial" w:cs="Arial"/>
          <w:b/>
          <w:u w:val="single"/>
        </w:rPr>
        <w:t>Los ingresos consolidados durante 2022 ascienden a $630.060,8, lo que representa un incremento de $156.948,3, es decir del 33,2%, frente al año 2021</w:t>
      </w:r>
      <w:r w:rsidRPr="007F1B75">
        <w:rPr>
          <w:rFonts w:ascii="Arial" w:hAnsi="Arial" w:cs="Arial"/>
        </w:rPr>
        <w:t xml:space="preserve">. </w:t>
      </w:r>
      <w:r w:rsidRPr="007F1B75">
        <w:rPr>
          <w:rFonts w:ascii="Arial" w:hAnsi="Arial" w:cs="Arial"/>
          <w:b/>
          <w:u w:val="single"/>
        </w:rPr>
        <w:t>Si se compara los ingresos consolidados del nivel nacional en 2022 frente al PIB, representan el 43,0%</w:t>
      </w:r>
      <w:r w:rsidRPr="007F1B75">
        <w:rPr>
          <w:rFonts w:ascii="Arial" w:hAnsi="Arial" w:cs="Arial"/>
        </w:rPr>
        <w:t xml:space="preserve">, observándose un incremento frente a la participación de dicha partida en el PIB del año anterior, variación del 2,8%. Los diferentes conceptos de ingresos y su participación en los ingresos consolidados se detallan en la tabla siguiente: </w:t>
      </w:r>
      <w:r>
        <w:rPr>
          <w:rFonts w:ascii="Arial" w:hAnsi="Arial" w:cs="Arial"/>
        </w:rPr>
        <w:t>(Subrayado y resaltado fuera de texto).</w:t>
      </w:r>
    </w:p>
    <w:p w:rsidR="007F1B75" w:rsidRPr="00D3135F" w:rsidRDefault="007F1B75" w:rsidP="007F1B75">
      <w:pPr>
        <w:ind w:left="-142" w:right="-518"/>
        <w:jc w:val="both"/>
        <w:rPr>
          <w:rFonts w:ascii="Arial" w:hAnsi="Arial" w:cs="Arial"/>
        </w:rPr>
      </w:pPr>
    </w:p>
    <w:p w:rsidR="007F1B75" w:rsidRPr="007F1B75" w:rsidRDefault="007F1B75" w:rsidP="007F1B75">
      <w:pPr>
        <w:pStyle w:val="Descripcin"/>
        <w:jc w:val="center"/>
        <w:rPr>
          <w:rFonts w:ascii="Arial" w:hAnsi="Arial" w:cs="Arial"/>
          <w:color w:val="auto"/>
          <w:sz w:val="24"/>
          <w:szCs w:val="24"/>
          <w:lang w:eastAsia="es-CO"/>
        </w:rPr>
      </w:pPr>
      <w:bookmarkStart w:id="42" w:name="_Toc135044754"/>
      <w:r w:rsidRPr="007F1B75">
        <w:rPr>
          <w:rFonts w:ascii="Arial" w:hAnsi="Arial" w:cs="Arial"/>
          <w:color w:val="auto"/>
          <w:sz w:val="24"/>
          <w:szCs w:val="24"/>
        </w:rPr>
        <w:t xml:space="preserve">Tabla </w:t>
      </w:r>
      <w:r w:rsidRPr="007F1B75">
        <w:rPr>
          <w:rFonts w:ascii="Arial" w:hAnsi="Arial" w:cs="Arial"/>
          <w:color w:val="auto"/>
          <w:sz w:val="24"/>
          <w:szCs w:val="24"/>
        </w:rPr>
        <w:fldChar w:fldCharType="begin"/>
      </w:r>
      <w:r w:rsidRPr="007F1B75">
        <w:rPr>
          <w:rFonts w:ascii="Arial" w:hAnsi="Arial" w:cs="Arial"/>
          <w:color w:val="auto"/>
          <w:sz w:val="24"/>
          <w:szCs w:val="24"/>
        </w:rPr>
        <w:instrText xml:space="preserve"> STYLEREF 1 \s </w:instrText>
      </w:r>
      <w:r w:rsidRPr="007F1B75">
        <w:rPr>
          <w:rFonts w:ascii="Arial" w:hAnsi="Arial" w:cs="Arial"/>
          <w:color w:val="auto"/>
          <w:sz w:val="24"/>
          <w:szCs w:val="24"/>
        </w:rPr>
        <w:fldChar w:fldCharType="separate"/>
      </w:r>
      <w:r w:rsidRPr="007F1B75">
        <w:rPr>
          <w:rFonts w:ascii="Arial" w:hAnsi="Arial" w:cs="Arial"/>
          <w:noProof/>
          <w:color w:val="auto"/>
          <w:sz w:val="24"/>
          <w:szCs w:val="24"/>
        </w:rPr>
        <w:t>3</w:t>
      </w:r>
      <w:r w:rsidRPr="007F1B75">
        <w:rPr>
          <w:rFonts w:ascii="Arial" w:hAnsi="Arial" w:cs="Arial"/>
          <w:noProof/>
          <w:color w:val="auto"/>
          <w:sz w:val="24"/>
          <w:szCs w:val="24"/>
        </w:rPr>
        <w:fldChar w:fldCharType="end"/>
      </w:r>
      <w:r w:rsidRPr="007F1B75">
        <w:rPr>
          <w:rFonts w:ascii="Arial" w:hAnsi="Arial" w:cs="Arial"/>
          <w:color w:val="auto"/>
          <w:sz w:val="24"/>
          <w:szCs w:val="24"/>
        </w:rPr>
        <w:noBreakHyphen/>
      </w:r>
      <w:r w:rsidRPr="007F1B75">
        <w:rPr>
          <w:rFonts w:ascii="Arial" w:hAnsi="Arial" w:cs="Arial"/>
          <w:color w:val="auto"/>
          <w:sz w:val="24"/>
          <w:szCs w:val="24"/>
        </w:rPr>
        <w:fldChar w:fldCharType="begin"/>
      </w:r>
      <w:r w:rsidRPr="007F1B75">
        <w:rPr>
          <w:rFonts w:ascii="Arial" w:hAnsi="Arial" w:cs="Arial"/>
          <w:color w:val="auto"/>
          <w:sz w:val="24"/>
          <w:szCs w:val="24"/>
        </w:rPr>
        <w:instrText xml:space="preserve"> SEQ Tabla \* ARABIC \s 1 </w:instrText>
      </w:r>
      <w:r w:rsidRPr="007F1B75">
        <w:rPr>
          <w:rFonts w:ascii="Arial" w:hAnsi="Arial" w:cs="Arial"/>
          <w:color w:val="auto"/>
          <w:sz w:val="24"/>
          <w:szCs w:val="24"/>
        </w:rPr>
        <w:fldChar w:fldCharType="separate"/>
      </w:r>
      <w:r w:rsidRPr="007F1B75">
        <w:rPr>
          <w:rFonts w:ascii="Arial" w:hAnsi="Arial" w:cs="Arial"/>
          <w:noProof/>
          <w:color w:val="auto"/>
          <w:sz w:val="24"/>
          <w:szCs w:val="24"/>
        </w:rPr>
        <w:t>2</w:t>
      </w:r>
      <w:r w:rsidRPr="007F1B75">
        <w:rPr>
          <w:rFonts w:ascii="Arial" w:hAnsi="Arial" w:cs="Arial"/>
          <w:noProof/>
          <w:color w:val="auto"/>
          <w:sz w:val="24"/>
          <w:szCs w:val="24"/>
        </w:rPr>
        <w:fldChar w:fldCharType="end"/>
      </w:r>
      <w:r w:rsidRPr="007F1B75">
        <w:rPr>
          <w:rFonts w:ascii="Arial" w:hAnsi="Arial" w:cs="Arial"/>
          <w:color w:val="auto"/>
          <w:sz w:val="24"/>
          <w:szCs w:val="24"/>
        </w:rPr>
        <w:t xml:space="preserve"> Ingresos consolidados del nivel nacional</w:t>
      </w:r>
      <w:bookmarkEnd w:id="42"/>
    </w:p>
    <w:p w:rsidR="000830DF" w:rsidRPr="00D3135F" w:rsidRDefault="000830DF" w:rsidP="000830DF">
      <w:pPr>
        <w:jc w:val="both"/>
        <w:rPr>
          <w:rFonts w:ascii="Arial" w:hAnsi="Arial" w:cs="Arial"/>
        </w:rPr>
      </w:pPr>
    </w:p>
    <w:p w:rsidR="005965C1" w:rsidRPr="003B3DC3" w:rsidRDefault="007F1B75" w:rsidP="007F1B75">
      <w:pPr>
        <w:ind w:left="-142"/>
        <w:jc w:val="center"/>
        <w:rPr>
          <w:rFonts w:ascii="Arial" w:hAnsi="Arial" w:cs="Arial"/>
        </w:rPr>
      </w:pPr>
      <w:r w:rsidRPr="00A320BE">
        <w:rPr>
          <w:noProof/>
          <w:lang w:val="es-CO" w:eastAsia="es-CO"/>
        </w:rPr>
        <w:drawing>
          <wp:inline distT="0" distB="0" distL="0" distR="0" wp14:anchorId="2D9B712E" wp14:editId="3F51B838">
            <wp:extent cx="5943600" cy="1951355"/>
            <wp:effectExtent l="0" t="0" r="0" b="0"/>
            <wp:docPr id="15389798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951355"/>
                    </a:xfrm>
                    <a:prstGeom prst="rect">
                      <a:avLst/>
                    </a:prstGeom>
                    <a:noFill/>
                    <a:ln>
                      <a:noFill/>
                    </a:ln>
                  </pic:spPr>
                </pic:pic>
              </a:graphicData>
            </a:graphic>
          </wp:inline>
        </w:drawing>
      </w:r>
    </w:p>
    <w:p w:rsidR="005965C1" w:rsidRDefault="005965C1" w:rsidP="005965C1">
      <w:pPr>
        <w:jc w:val="center"/>
        <w:rPr>
          <w:rFonts w:ascii="Arial" w:hAnsi="Arial" w:cs="Arial"/>
          <w:sz w:val="28"/>
          <w:szCs w:val="28"/>
        </w:rPr>
      </w:pPr>
    </w:p>
    <w:p w:rsidR="007C4E65" w:rsidRPr="00D3135F" w:rsidRDefault="007C4E65" w:rsidP="007C4E65">
      <w:pPr>
        <w:ind w:left="-142" w:right="-518"/>
        <w:jc w:val="both"/>
        <w:rPr>
          <w:rFonts w:ascii="Arial" w:hAnsi="Arial" w:cs="Arial"/>
        </w:rPr>
      </w:pPr>
      <w:r w:rsidRPr="007C4E65">
        <w:rPr>
          <w:rFonts w:ascii="Arial" w:hAnsi="Arial" w:cs="Arial"/>
          <w:b/>
          <w:u w:val="single"/>
        </w:rPr>
        <w:t>Como se observa en la tabla anterior, los Ingresos fiscales, con un monto de $239.151,7, son los que mayor valor registran y representan el 38,0% del total</w:t>
      </w:r>
      <w:r w:rsidRPr="007C4E65">
        <w:rPr>
          <w:rFonts w:ascii="Arial" w:hAnsi="Arial" w:cs="Arial"/>
        </w:rPr>
        <w:t xml:space="preserve">. Le siguen en su orden, Otros ingresos con el 26,6%, Venta de bienes con el 26,6% y Venta de Servicios el 6,4%. Los demás conceptos de ingresos representan un porcentaje tan solo del 2,4%, entre transferencias y subvenciones, y Operaciones interinstitucionales. </w:t>
      </w:r>
      <w:r>
        <w:rPr>
          <w:rFonts w:ascii="Arial" w:hAnsi="Arial" w:cs="Arial"/>
        </w:rPr>
        <w:t>(Subrayado y resaltado fuera de texto).</w:t>
      </w:r>
    </w:p>
    <w:p w:rsidR="007C4E65" w:rsidRPr="007C4E65" w:rsidRDefault="007C4E65" w:rsidP="007C4E65">
      <w:pPr>
        <w:ind w:left="-142" w:right="-518"/>
        <w:jc w:val="both"/>
        <w:rPr>
          <w:rFonts w:ascii="Arial" w:hAnsi="Arial" w:cs="Arial"/>
        </w:rPr>
      </w:pPr>
    </w:p>
    <w:p w:rsidR="007C4E65" w:rsidRPr="00D3135F" w:rsidRDefault="007C4E65" w:rsidP="007C4E65">
      <w:pPr>
        <w:ind w:left="-142" w:right="-518"/>
        <w:jc w:val="both"/>
        <w:rPr>
          <w:rFonts w:ascii="Arial" w:hAnsi="Arial" w:cs="Arial"/>
        </w:rPr>
      </w:pPr>
      <w:r w:rsidRPr="007C4E65">
        <w:rPr>
          <w:rFonts w:ascii="Arial" w:hAnsi="Arial" w:cs="Arial"/>
          <w:b/>
          <w:u w:val="single"/>
        </w:rPr>
        <w:t>La variación de los ingresos consolidados entre 2022 y 2021, por un monto total de $156.948,3, es decir un incremento del 33,2%, se explica mayoritariamente por los incrementos en los grupos Ingresos fiscales por $47.796,0, Otros ingresos por $34.896,1 y Venta de bienes por $68.017,3</w:t>
      </w:r>
      <w:r w:rsidRPr="007C4E65">
        <w:rPr>
          <w:rFonts w:ascii="Arial" w:hAnsi="Arial" w:cs="Arial"/>
        </w:rPr>
        <w:t xml:space="preserve">. </w:t>
      </w:r>
      <w:r>
        <w:rPr>
          <w:rFonts w:ascii="Arial" w:hAnsi="Arial" w:cs="Arial"/>
        </w:rPr>
        <w:t>(Subrayado y resaltado fuera de texto).</w:t>
      </w:r>
    </w:p>
    <w:p w:rsidR="007C4E65" w:rsidRPr="007C4E65" w:rsidRDefault="007C4E65" w:rsidP="007C4E65">
      <w:pPr>
        <w:ind w:left="-142" w:right="-518"/>
        <w:jc w:val="both"/>
        <w:rPr>
          <w:rFonts w:ascii="Arial" w:hAnsi="Arial" w:cs="Arial"/>
        </w:rPr>
      </w:pPr>
    </w:p>
    <w:p w:rsidR="007C4E65" w:rsidRPr="007C4E65" w:rsidRDefault="007C4E65" w:rsidP="007C4E65">
      <w:pPr>
        <w:ind w:left="720"/>
        <w:jc w:val="both"/>
        <w:rPr>
          <w:rFonts w:ascii="Arial" w:hAnsi="Arial" w:cs="Arial"/>
        </w:rPr>
      </w:pPr>
    </w:p>
    <w:p w:rsidR="009421AF" w:rsidRPr="009421AF" w:rsidRDefault="009421AF" w:rsidP="009421AF">
      <w:pPr>
        <w:pStyle w:val="Prrafodelista"/>
        <w:numPr>
          <w:ilvl w:val="0"/>
          <w:numId w:val="4"/>
        </w:numPr>
        <w:spacing w:before="0" w:after="0" w:line="240" w:lineRule="auto"/>
        <w:rPr>
          <w:rFonts w:ascii="Arial" w:hAnsi="Arial" w:cs="Arial"/>
          <w:b/>
          <w:sz w:val="28"/>
          <w:szCs w:val="28"/>
          <w:lang w:eastAsia="es-CO"/>
        </w:rPr>
      </w:pPr>
      <w:r w:rsidRPr="009421AF">
        <w:rPr>
          <w:rFonts w:ascii="Arial" w:hAnsi="Arial" w:cs="Arial"/>
          <w:b/>
          <w:sz w:val="28"/>
          <w:szCs w:val="28"/>
          <w:lang w:eastAsia="es-CO"/>
        </w:rPr>
        <w:lastRenderedPageBreak/>
        <w:t>Costos de ventas consolidado.</w:t>
      </w:r>
    </w:p>
    <w:p w:rsidR="009421AF" w:rsidRPr="009421AF" w:rsidRDefault="009421AF" w:rsidP="009421AF">
      <w:pPr>
        <w:pStyle w:val="Prrafodelista"/>
        <w:spacing w:before="0" w:after="0" w:line="240" w:lineRule="auto"/>
        <w:ind w:left="720"/>
        <w:rPr>
          <w:rFonts w:ascii="Arial" w:hAnsi="Arial" w:cs="Arial"/>
          <w:color w:val="5B9BD5" w:themeColor="accent1"/>
          <w:sz w:val="24"/>
          <w:szCs w:val="24"/>
          <w:lang w:eastAsia="es-CO"/>
        </w:rPr>
      </w:pPr>
    </w:p>
    <w:p w:rsidR="009421AF" w:rsidRPr="00D3135F" w:rsidRDefault="009421AF" w:rsidP="009421AF">
      <w:pPr>
        <w:ind w:left="-142" w:right="-518"/>
        <w:jc w:val="both"/>
        <w:rPr>
          <w:rFonts w:ascii="Arial" w:hAnsi="Arial" w:cs="Arial"/>
        </w:rPr>
      </w:pPr>
      <w:r w:rsidRPr="009421AF">
        <w:rPr>
          <w:rFonts w:ascii="Arial" w:hAnsi="Arial" w:cs="Arial"/>
          <w:b/>
          <w:u w:val="single"/>
        </w:rPr>
        <w:t>Los costos de ventas consolidados del nivel nacional ascienden a $135.978,1, equivalentes al 9,3% del PIB</w:t>
      </w:r>
      <w:r w:rsidRPr="009421AF">
        <w:rPr>
          <w:rFonts w:ascii="Arial" w:hAnsi="Arial" w:cs="Arial"/>
        </w:rPr>
        <w:t>, observándose un importante incremento del 50,5% con relación a dichos costos en el año 2021. Los conceptos de costos de ventas y su participación se detallan en la tabla siguiente:</w:t>
      </w:r>
      <w:r>
        <w:rPr>
          <w:rFonts w:ascii="Arial" w:hAnsi="Arial" w:cs="Arial"/>
        </w:rPr>
        <w:t xml:space="preserve"> (Subrayado y resaltado fuera de texto).</w:t>
      </w:r>
    </w:p>
    <w:p w:rsidR="009421AF" w:rsidRPr="007C4E65" w:rsidRDefault="009421AF" w:rsidP="009421AF">
      <w:pPr>
        <w:ind w:left="-142" w:right="-518"/>
        <w:jc w:val="both"/>
        <w:rPr>
          <w:rFonts w:ascii="Arial" w:hAnsi="Arial" w:cs="Arial"/>
        </w:rPr>
      </w:pPr>
    </w:p>
    <w:p w:rsidR="009421AF" w:rsidRDefault="009421AF" w:rsidP="009421AF">
      <w:pPr>
        <w:pStyle w:val="Descripcin"/>
        <w:jc w:val="center"/>
        <w:rPr>
          <w:rFonts w:ascii="Arial" w:hAnsi="Arial" w:cs="Arial"/>
          <w:color w:val="auto"/>
          <w:sz w:val="24"/>
          <w:szCs w:val="24"/>
        </w:rPr>
      </w:pPr>
      <w:bookmarkStart w:id="43" w:name="_Toc135044756"/>
      <w:r w:rsidRPr="009421AF">
        <w:rPr>
          <w:rFonts w:ascii="Arial" w:hAnsi="Arial" w:cs="Arial"/>
          <w:color w:val="auto"/>
          <w:sz w:val="24"/>
          <w:szCs w:val="24"/>
        </w:rPr>
        <w:t xml:space="preserve">Tabla </w:t>
      </w:r>
      <w:r w:rsidRPr="009421AF">
        <w:rPr>
          <w:rFonts w:ascii="Arial" w:hAnsi="Arial" w:cs="Arial"/>
          <w:color w:val="auto"/>
          <w:sz w:val="24"/>
          <w:szCs w:val="24"/>
        </w:rPr>
        <w:fldChar w:fldCharType="begin"/>
      </w:r>
      <w:r w:rsidRPr="009421AF">
        <w:rPr>
          <w:rFonts w:ascii="Arial" w:hAnsi="Arial" w:cs="Arial"/>
          <w:color w:val="auto"/>
          <w:sz w:val="24"/>
          <w:szCs w:val="24"/>
        </w:rPr>
        <w:instrText xml:space="preserve"> STYLEREF 1 \s </w:instrText>
      </w:r>
      <w:r w:rsidRPr="009421AF">
        <w:rPr>
          <w:rFonts w:ascii="Arial" w:hAnsi="Arial" w:cs="Arial"/>
          <w:color w:val="auto"/>
          <w:sz w:val="24"/>
          <w:szCs w:val="24"/>
        </w:rPr>
        <w:fldChar w:fldCharType="separate"/>
      </w:r>
      <w:r w:rsidRPr="009421AF">
        <w:rPr>
          <w:rFonts w:ascii="Arial" w:hAnsi="Arial" w:cs="Arial"/>
          <w:noProof/>
          <w:color w:val="auto"/>
          <w:sz w:val="24"/>
          <w:szCs w:val="24"/>
        </w:rPr>
        <w:t>3</w:t>
      </w:r>
      <w:r w:rsidRPr="009421AF">
        <w:rPr>
          <w:rFonts w:ascii="Arial" w:hAnsi="Arial" w:cs="Arial"/>
          <w:noProof/>
          <w:color w:val="auto"/>
          <w:sz w:val="24"/>
          <w:szCs w:val="24"/>
        </w:rPr>
        <w:fldChar w:fldCharType="end"/>
      </w:r>
      <w:r w:rsidRPr="009421AF">
        <w:rPr>
          <w:rFonts w:ascii="Arial" w:hAnsi="Arial" w:cs="Arial"/>
          <w:color w:val="auto"/>
          <w:sz w:val="24"/>
          <w:szCs w:val="24"/>
        </w:rPr>
        <w:noBreakHyphen/>
      </w:r>
      <w:r w:rsidRPr="009421AF">
        <w:rPr>
          <w:rFonts w:ascii="Arial" w:hAnsi="Arial" w:cs="Arial"/>
          <w:color w:val="auto"/>
          <w:sz w:val="24"/>
          <w:szCs w:val="24"/>
        </w:rPr>
        <w:fldChar w:fldCharType="begin"/>
      </w:r>
      <w:r w:rsidRPr="009421AF">
        <w:rPr>
          <w:rFonts w:ascii="Arial" w:hAnsi="Arial" w:cs="Arial"/>
          <w:color w:val="auto"/>
          <w:sz w:val="24"/>
          <w:szCs w:val="24"/>
        </w:rPr>
        <w:instrText xml:space="preserve"> SEQ Tabla \* ARABIC \s 1 </w:instrText>
      </w:r>
      <w:r w:rsidRPr="009421AF">
        <w:rPr>
          <w:rFonts w:ascii="Arial" w:hAnsi="Arial" w:cs="Arial"/>
          <w:color w:val="auto"/>
          <w:sz w:val="24"/>
          <w:szCs w:val="24"/>
        </w:rPr>
        <w:fldChar w:fldCharType="separate"/>
      </w:r>
      <w:r w:rsidRPr="009421AF">
        <w:rPr>
          <w:rFonts w:ascii="Arial" w:hAnsi="Arial" w:cs="Arial"/>
          <w:noProof/>
          <w:color w:val="auto"/>
          <w:sz w:val="24"/>
          <w:szCs w:val="24"/>
        </w:rPr>
        <w:t>4</w:t>
      </w:r>
      <w:r w:rsidRPr="009421AF">
        <w:rPr>
          <w:rFonts w:ascii="Arial" w:hAnsi="Arial" w:cs="Arial"/>
          <w:noProof/>
          <w:color w:val="auto"/>
          <w:sz w:val="24"/>
          <w:szCs w:val="24"/>
        </w:rPr>
        <w:fldChar w:fldCharType="end"/>
      </w:r>
      <w:r w:rsidRPr="009421AF">
        <w:rPr>
          <w:rFonts w:ascii="Arial" w:hAnsi="Arial" w:cs="Arial"/>
          <w:color w:val="auto"/>
          <w:sz w:val="24"/>
          <w:szCs w:val="24"/>
        </w:rPr>
        <w:t xml:space="preserve"> Grupos de Costos de ventas del nivel nacional</w:t>
      </w:r>
      <w:bookmarkEnd w:id="43"/>
    </w:p>
    <w:p w:rsidR="009421AF" w:rsidRPr="009421AF" w:rsidRDefault="009421AF" w:rsidP="009421AF">
      <w:pPr>
        <w:rPr>
          <w:lang w:val="es-CO" w:eastAsia="en-US"/>
        </w:rPr>
      </w:pPr>
    </w:p>
    <w:p w:rsidR="009421AF" w:rsidRPr="00A320BE" w:rsidRDefault="009421AF" w:rsidP="009421AF">
      <w:pPr>
        <w:jc w:val="center"/>
      </w:pPr>
      <w:r w:rsidRPr="00A320BE">
        <w:rPr>
          <w:noProof/>
          <w:lang w:val="es-CO" w:eastAsia="es-CO"/>
        </w:rPr>
        <w:drawing>
          <wp:inline distT="0" distB="0" distL="0" distR="0" wp14:anchorId="3D151343" wp14:editId="6C90BFCA">
            <wp:extent cx="5943600" cy="1271270"/>
            <wp:effectExtent l="0" t="0" r="0" b="0"/>
            <wp:docPr id="8150374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271270"/>
                    </a:xfrm>
                    <a:prstGeom prst="rect">
                      <a:avLst/>
                    </a:prstGeom>
                    <a:noFill/>
                    <a:ln>
                      <a:noFill/>
                    </a:ln>
                  </pic:spPr>
                </pic:pic>
              </a:graphicData>
            </a:graphic>
          </wp:inline>
        </w:drawing>
      </w:r>
    </w:p>
    <w:p w:rsidR="009421AF" w:rsidRPr="00A320BE" w:rsidRDefault="009421AF" w:rsidP="009421AF"/>
    <w:p w:rsidR="009421AF" w:rsidRPr="009421AF" w:rsidRDefault="009421AF" w:rsidP="009421AF">
      <w:pPr>
        <w:ind w:left="-142" w:right="-518"/>
        <w:jc w:val="both"/>
        <w:rPr>
          <w:rFonts w:ascii="Arial" w:hAnsi="Arial" w:cs="Arial"/>
        </w:rPr>
      </w:pPr>
      <w:r w:rsidRPr="009421AF">
        <w:rPr>
          <w:rFonts w:ascii="Arial" w:hAnsi="Arial" w:cs="Arial"/>
        </w:rPr>
        <w:t xml:space="preserve">El concepto de Costo de ventas de bienes por valor de $118.472,7, es el que mayor valor registra y corresponde al 87,1% del total, mientras que el Costo de ventas de servicios por $17.505,4, representa el 12,9% del total de la clase. </w:t>
      </w:r>
    </w:p>
    <w:p w:rsidR="009421AF" w:rsidRPr="009421AF" w:rsidRDefault="009421AF" w:rsidP="009421AF">
      <w:pPr>
        <w:jc w:val="both"/>
        <w:rPr>
          <w:rFonts w:ascii="Arial" w:hAnsi="Arial" w:cs="Arial"/>
        </w:rPr>
      </w:pPr>
    </w:p>
    <w:p w:rsidR="009421AF" w:rsidRPr="00D3135F" w:rsidRDefault="009421AF" w:rsidP="009421AF">
      <w:pPr>
        <w:ind w:left="-142" w:right="-518"/>
        <w:jc w:val="both"/>
        <w:rPr>
          <w:rFonts w:ascii="Arial" w:hAnsi="Arial" w:cs="Arial"/>
        </w:rPr>
      </w:pPr>
      <w:r w:rsidRPr="009421AF">
        <w:rPr>
          <w:rFonts w:ascii="Arial" w:hAnsi="Arial" w:cs="Arial"/>
          <w:b/>
          <w:u w:val="single"/>
        </w:rPr>
        <w:t>Al comparar las cifras de los Costos de ventas de 2022 por valor de $135.978,1, frente a 2021 por $90.366,4, se observa un incremento de $45.611,6, especialmente en el concepto de costo de ventas de bienes</w:t>
      </w:r>
      <w:r w:rsidRPr="009421AF">
        <w:rPr>
          <w:rFonts w:ascii="Arial" w:hAnsi="Arial" w:cs="Arial"/>
        </w:rPr>
        <w:t>.</w:t>
      </w:r>
      <w:r>
        <w:rPr>
          <w:rFonts w:ascii="Arial" w:hAnsi="Arial" w:cs="Arial"/>
        </w:rPr>
        <w:t xml:space="preserve"> (Subrayado y resaltado fuera de texto).</w:t>
      </w:r>
    </w:p>
    <w:p w:rsidR="009421AF" w:rsidRPr="007C4E65" w:rsidRDefault="009421AF" w:rsidP="00CE7ABC">
      <w:pPr>
        <w:ind w:left="-142" w:right="-518"/>
        <w:jc w:val="both"/>
        <w:rPr>
          <w:rFonts w:ascii="Arial" w:hAnsi="Arial" w:cs="Arial"/>
        </w:rPr>
      </w:pPr>
    </w:p>
    <w:p w:rsidR="00CE7ABC" w:rsidRPr="00CE7ABC" w:rsidRDefault="00CE7ABC" w:rsidP="00CE7ABC">
      <w:pPr>
        <w:pStyle w:val="Ttulo2"/>
      </w:pPr>
      <w:bookmarkStart w:id="44" w:name="_Toc40337870"/>
      <w:bookmarkStart w:id="45" w:name="_Toc135044686"/>
      <w:r>
        <w:t xml:space="preserve">3.3.- </w:t>
      </w:r>
      <w:r w:rsidRPr="00CE7ABC">
        <w:t>ESTADO DE SITUACIÓN FINANCIERA CONSOLIDADO</w:t>
      </w:r>
      <w:bookmarkEnd w:id="44"/>
      <w:bookmarkEnd w:id="45"/>
      <w:r>
        <w:t>.</w:t>
      </w:r>
    </w:p>
    <w:p w:rsidR="00CE7ABC" w:rsidRPr="00CE7ABC" w:rsidRDefault="00CE7ABC" w:rsidP="00CE7ABC">
      <w:pPr>
        <w:jc w:val="both"/>
        <w:rPr>
          <w:rFonts w:ascii="Arial" w:hAnsi="Arial" w:cs="Arial"/>
        </w:rPr>
      </w:pPr>
    </w:p>
    <w:p w:rsidR="00CE7ABC" w:rsidRPr="00CE7ABC" w:rsidRDefault="00CE7ABC" w:rsidP="00CE7ABC">
      <w:pPr>
        <w:ind w:left="-142" w:right="-518"/>
        <w:jc w:val="both"/>
        <w:rPr>
          <w:rFonts w:ascii="Arial" w:hAnsi="Arial" w:cs="Arial"/>
        </w:rPr>
      </w:pPr>
      <w:r w:rsidRPr="00CE7ABC">
        <w:rPr>
          <w:rFonts w:ascii="Arial" w:hAnsi="Arial" w:cs="Arial"/>
        </w:rPr>
        <w:t>El Estado de Situación Financiera Consolidado del nivel nacional, presenta en forma clasificada, resumida y consistente, la situación financiera de estas entidades a una fecha determinada y revela la totalidad de los bienes, derechos y obligaciones, así como la situación del patrimonio, como si se tratara de una sola entidad.</w:t>
      </w:r>
    </w:p>
    <w:p w:rsidR="00CE7ABC" w:rsidRDefault="00CE7ABC" w:rsidP="00575C35">
      <w:pPr>
        <w:pStyle w:val="Ttulo3"/>
      </w:pPr>
      <w:bookmarkStart w:id="46" w:name="_Toc8656140"/>
      <w:bookmarkStart w:id="47" w:name="_Toc40337871"/>
      <w:bookmarkStart w:id="48" w:name="_Toc135044687"/>
    </w:p>
    <w:p w:rsidR="00CE7ABC" w:rsidRPr="00CE7ABC" w:rsidRDefault="00CE7ABC" w:rsidP="00575C35">
      <w:pPr>
        <w:pStyle w:val="Ttulo3"/>
      </w:pPr>
      <w:r w:rsidRPr="00CE7ABC">
        <w:t>Análisis de las cifras consolidadas</w:t>
      </w:r>
      <w:bookmarkEnd w:id="46"/>
      <w:bookmarkEnd w:id="47"/>
      <w:bookmarkEnd w:id="48"/>
      <w:r>
        <w:t>.</w:t>
      </w:r>
    </w:p>
    <w:p w:rsidR="00CE7ABC" w:rsidRDefault="00CE7ABC" w:rsidP="00CE7ABC">
      <w:pPr>
        <w:jc w:val="both"/>
        <w:rPr>
          <w:rFonts w:ascii="Arial" w:hAnsi="Arial" w:cs="Arial"/>
        </w:rPr>
      </w:pPr>
      <w:bookmarkStart w:id="49" w:name="_Toc450825288"/>
      <w:bookmarkStart w:id="50" w:name="_Toc513812954"/>
    </w:p>
    <w:p w:rsidR="00CE7ABC" w:rsidRPr="00CE7ABC" w:rsidRDefault="00CE7ABC" w:rsidP="00CE7ABC">
      <w:pPr>
        <w:ind w:left="-142" w:right="-518"/>
        <w:jc w:val="both"/>
        <w:rPr>
          <w:rFonts w:ascii="Arial" w:hAnsi="Arial" w:cs="Arial"/>
        </w:rPr>
      </w:pPr>
      <w:r w:rsidRPr="00CE7ABC">
        <w:rPr>
          <w:rFonts w:ascii="Arial" w:hAnsi="Arial" w:cs="Arial"/>
        </w:rPr>
        <w:t xml:space="preserve">Se realiza un análisis general a partir de las cifras consolidadas que conforman el Estado de Situación Financiera Consolidado del nivel nacional, con el propósito de describir los saldos a nivel de clase y grupos, y su participación en el total de los bienes, derechos, obligaciones, así como en el PIB. </w:t>
      </w:r>
    </w:p>
    <w:p w:rsidR="00CE7ABC" w:rsidRPr="00A320BE" w:rsidRDefault="00CE7ABC" w:rsidP="00CE7ABC">
      <w:pPr>
        <w:jc w:val="both"/>
      </w:pPr>
    </w:p>
    <w:p w:rsidR="00CE7ABC" w:rsidRPr="00CE7ABC" w:rsidRDefault="00CE7ABC" w:rsidP="00CE7ABC">
      <w:pPr>
        <w:pStyle w:val="Descripcin"/>
        <w:jc w:val="center"/>
        <w:rPr>
          <w:rFonts w:ascii="Arial" w:eastAsia="Times New Roman" w:hAnsi="Arial" w:cs="Arial"/>
          <w:color w:val="auto"/>
          <w:sz w:val="24"/>
          <w:szCs w:val="24"/>
          <w:lang w:eastAsia="es-ES"/>
        </w:rPr>
      </w:pPr>
      <w:bookmarkStart w:id="51" w:name="_Toc135044757"/>
      <w:r w:rsidRPr="00CE7ABC">
        <w:rPr>
          <w:rFonts w:ascii="Arial" w:hAnsi="Arial" w:cs="Arial"/>
          <w:color w:val="auto"/>
          <w:sz w:val="24"/>
          <w:szCs w:val="24"/>
        </w:rPr>
        <w:t xml:space="preserve">Tabla </w:t>
      </w:r>
      <w:r w:rsidRPr="00CE7ABC">
        <w:rPr>
          <w:rFonts w:ascii="Arial" w:hAnsi="Arial" w:cs="Arial"/>
          <w:color w:val="auto"/>
          <w:sz w:val="24"/>
          <w:szCs w:val="24"/>
        </w:rPr>
        <w:fldChar w:fldCharType="begin"/>
      </w:r>
      <w:r w:rsidRPr="00CE7ABC">
        <w:rPr>
          <w:rFonts w:ascii="Arial" w:hAnsi="Arial" w:cs="Arial"/>
          <w:color w:val="auto"/>
          <w:sz w:val="24"/>
          <w:szCs w:val="24"/>
        </w:rPr>
        <w:instrText xml:space="preserve"> STYLEREF 1 \s </w:instrText>
      </w:r>
      <w:r w:rsidRPr="00CE7ABC">
        <w:rPr>
          <w:rFonts w:ascii="Arial" w:hAnsi="Arial" w:cs="Arial"/>
          <w:color w:val="auto"/>
          <w:sz w:val="24"/>
          <w:szCs w:val="24"/>
        </w:rPr>
        <w:fldChar w:fldCharType="separate"/>
      </w:r>
      <w:r w:rsidRPr="00CE7ABC">
        <w:rPr>
          <w:rFonts w:ascii="Arial" w:hAnsi="Arial" w:cs="Arial"/>
          <w:noProof/>
          <w:color w:val="auto"/>
          <w:sz w:val="24"/>
          <w:szCs w:val="24"/>
        </w:rPr>
        <w:t>3</w:t>
      </w:r>
      <w:r w:rsidRPr="00CE7ABC">
        <w:rPr>
          <w:rFonts w:ascii="Arial" w:hAnsi="Arial" w:cs="Arial"/>
          <w:noProof/>
          <w:color w:val="auto"/>
          <w:sz w:val="24"/>
          <w:szCs w:val="24"/>
        </w:rPr>
        <w:fldChar w:fldCharType="end"/>
      </w:r>
      <w:r w:rsidRPr="00CE7ABC">
        <w:rPr>
          <w:rFonts w:ascii="Arial" w:hAnsi="Arial" w:cs="Arial"/>
          <w:color w:val="auto"/>
          <w:sz w:val="24"/>
          <w:szCs w:val="24"/>
        </w:rPr>
        <w:noBreakHyphen/>
      </w:r>
      <w:r w:rsidRPr="00CE7ABC">
        <w:rPr>
          <w:rFonts w:ascii="Arial" w:hAnsi="Arial" w:cs="Arial"/>
          <w:color w:val="auto"/>
          <w:sz w:val="24"/>
          <w:szCs w:val="24"/>
        </w:rPr>
        <w:fldChar w:fldCharType="begin"/>
      </w:r>
      <w:r w:rsidRPr="00CE7ABC">
        <w:rPr>
          <w:rFonts w:ascii="Arial" w:hAnsi="Arial" w:cs="Arial"/>
          <w:color w:val="auto"/>
          <w:sz w:val="24"/>
          <w:szCs w:val="24"/>
        </w:rPr>
        <w:instrText xml:space="preserve"> SEQ Tabla \* ARABIC \s 1 </w:instrText>
      </w:r>
      <w:r w:rsidRPr="00CE7ABC">
        <w:rPr>
          <w:rFonts w:ascii="Arial" w:hAnsi="Arial" w:cs="Arial"/>
          <w:color w:val="auto"/>
          <w:sz w:val="24"/>
          <w:szCs w:val="24"/>
        </w:rPr>
        <w:fldChar w:fldCharType="separate"/>
      </w:r>
      <w:r w:rsidRPr="00CE7ABC">
        <w:rPr>
          <w:rFonts w:ascii="Arial" w:hAnsi="Arial" w:cs="Arial"/>
          <w:noProof/>
          <w:color w:val="auto"/>
          <w:sz w:val="24"/>
          <w:szCs w:val="24"/>
        </w:rPr>
        <w:t>5</w:t>
      </w:r>
      <w:r w:rsidRPr="00CE7ABC">
        <w:rPr>
          <w:rFonts w:ascii="Arial" w:hAnsi="Arial" w:cs="Arial"/>
          <w:noProof/>
          <w:color w:val="auto"/>
          <w:sz w:val="24"/>
          <w:szCs w:val="24"/>
        </w:rPr>
        <w:fldChar w:fldCharType="end"/>
      </w:r>
      <w:r w:rsidRPr="00CE7ABC">
        <w:rPr>
          <w:rFonts w:ascii="Arial" w:hAnsi="Arial" w:cs="Arial"/>
          <w:color w:val="auto"/>
          <w:sz w:val="24"/>
          <w:szCs w:val="24"/>
        </w:rPr>
        <w:t xml:space="preserve"> Estado de situación financiera consolidado del nivel nacional</w:t>
      </w:r>
      <w:bookmarkEnd w:id="51"/>
    </w:p>
    <w:p w:rsidR="00CE7ABC" w:rsidRPr="00A320BE" w:rsidRDefault="00CE7ABC" w:rsidP="00CE7ABC">
      <w:pPr>
        <w:jc w:val="center"/>
        <w:rPr>
          <w:iCs/>
        </w:rPr>
      </w:pPr>
      <w:bookmarkStart w:id="52" w:name="_Toc8656279"/>
      <w:r w:rsidRPr="00A320BE">
        <w:rPr>
          <w:noProof/>
          <w:lang w:val="es-CO" w:eastAsia="es-CO"/>
        </w:rPr>
        <w:lastRenderedPageBreak/>
        <w:drawing>
          <wp:inline distT="0" distB="0" distL="0" distR="0" wp14:anchorId="081A890B" wp14:editId="7D082AC2">
            <wp:extent cx="5943600" cy="2033905"/>
            <wp:effectExtent l="0" t="0" r="0" b="4445"/>
            <wp:docPr id="1506175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033905"/>
                    </a:xfrm>
                    <a:prstGeom prst="rect">
                      <a:avLst/>
                    </a:prstGeom>
                    <a:noFill/>
                    <a:ln>
                      <a:noFill/>
                    </a:ln>
                  </pic:spPr>
                </pic:pic>
              </a:graphicData>
            </a:graphic>
          </wp:inline>
        </w:drawing>
      </w:r>
    </w:p>
    <w:bookmarkEnd w:id="49"/>
    <w:bookmarkEnd w:id="50"/>
    <w:bookmarkEnd w:id="52"/>
    <w:p w:rsidR="009421AF" w:rsidRPr="009421AF" w:rsidRDefault="009421AF" w:rsidP="009421AF">
      <w:pPr>
        <w:ind w:left="-142"/>
        <w:jc w:val="both"/>
        <w:rPr>
          <w:rFonts w:ascii="Arial" w:hAnsi="Arial" w:cs="Arial"/>
        </w:rPr>
      </w:pPr>
    </w:p>
    <w:p w:rsidR="00582BB5" w:rsidRDefault="00582BB5" w:rsidP="00E1076C">
      <w:pPr>
        <w:pStyle w:val="Prrafodelista"/>
        <w:numPr>
          <w:ilvl w:val="0"/>
          <w:numId w:val="4"/>
        </w:numPr>
        <w:spacing w:before="0" w:after="0" w:line="240" w:lineRule="auto"/>
        <w:rPr>
          <w:rFonts w:ascii="Arial" w:hAnsi="Arial" w:cs="Arial"/>
          <w:b/>
          <w:sz w:val="28"/>
          <w:szCs w:val="28"/>
          <w:lang w:eastAsia="es-CO"/>
        </w:rPr>
      </w:pPr>
      <w:bookmarkStart w:id="53" w:name="_Toc393462525"/>
      <w:bookmarkStart w:id="54" w:name="_Toc444766103"/>
      <w:bookmarkStart w:id="55" w:name="_Toc513810837"/>
      <w:r w:rsidRPr="00E1076C">
        <w:rPr>
          <w:rFonts w:ascii="Arial" w:hAnsi="Arial" w:cs="Arial"/>
          <w:b/>
          <w:sz w:val="28"/>
          <w:szCs w:val="28"/>
          <w:lang w:eastAsia="es-CO"/>
        </w:rPr>
        <w:t>Activo</w:t>
      </w:r>
      <w:bookmarkEnd w:id="53"/>
      <w:bookmarkEnd w:id="54"/>
      <w:bookmarkEnd w:id="55"/>
      <w:r w:rsidRPr="00E1076C">
        <w:rPr>
          <w:rFonts w:ascii="Arial" w:hAnsi="Arial" w:cs="Arial"/>
          <w:b/>
          <w:sz w:val="28"/>
          <w:szCs w:val="28"/>
          <w:lang w:eastAsia="es-CO"/>
        </w:rPr>
        <w:t>s consolidados</w:t>
      </w:r>
      <w:r w:rsidR="00E1076C">
        <w:rPr>
          <w:rFonts w:ascii="Arial" w:hAnsi="Arial" w:cs="Arial"/>
          <w:b/>
          <w:sz w:val="28"/>
          <w:szCs w:val="28"/>
          <w:lang w:eastAsia="es-CO"/>
        </w:rPr>
        <w:t>.</w:t>
      </w:r>
    </w:p>
    <w:p w:rsidR="00E1076C" w:rsidRPr="00E1076C" w:rsidRDefault="00E1076C" w:rsidP="00E1076C">
      <w:pPr>
        <w:pStyle w:val="Prrafodelista"/>
        <w:spacing w:before="0" w:after="0" w:line="240" w:lineRule="auto"/>
        <w:ind w:left="720"/>
        <w:rPr>
          <w:rFonts w:ascii="Arial" w:hAnsi="Arial" w:cs="Arial"/>
          <w:b/>
          <w:sz w:val="28"/>
          <w:szCs w:val="28"/>
          <w:lang w:eastAsia="es-CO"/>
        </w:rPr>
      </w:pPr>
    </w:p>
    <w:p w:rsidR="00582BB5" w:rsidRPr="00E1076C" w:rsidRDefault="00582BB5" w:rsidP="00E1076C">
      <w:pPr>
        <w:ind w:left="-142" w:right="-518"/>
        <w:jc w:val="both"/>
        <w:rPr>
          <w:rFonts w:ascii="Arial" w:hAnsi="Arial" w:cs="Arial"/>
        </w:rPr>
      </w:pPr>
      <w:r w:rsidRPr="00E1076C">
        <w:rPr>
          <w:rFonts w:ascii="Arial" w:hAnsi="Arial" w:cs="Arial"/>
        </w:rPr>
        <w:t xml:space="preserve">El activo incluye los recursos controlados por la entidad como resultado de un evento pasado, de los cuales se espera obtener un potencial de servicio o generar beneficios económicos futuros, en desarrollo de las funciones de cometido estatal. Estos bienes y derechos se originan en las disposiciones legales, en los negocios jurídicos y en los actos o hechos económicos que los generan. </w:t>
      </w:r>
    </w:p>
    <w:p w:rsidR="00582BB5" w:rsidRPr="00E1076C" w:rsidRDefault="00582BB5" w:rsidP="00E1076C">
      <w:pPr>
        <w:ind w:left="-142" w:right="-518"/>
        <w:jc w:val="both"/>
        <w:rPr>
          <w:rFonts w:ascii="Arial" w:hAnsi="Arial" w:cs="Arial"/>
        </w:rPr>
      </w:pPr>
    </w:p>
    <w:p w:rsidR="00E1076C" w:rsidRPr="00D3135F" w:rsidRDefault="00582BB5" w:rsidP="00E1076C">
      <w:pPr>
        <w:ind w:left="-142" w:right="-518"/>
        <w:jc w:val="both"/>
        <w:rPr>
          <w:rFonts w:ascii="Arial" w:hAnsi="Arial" w:cs="Arial"/>
        </w:rPr>
      </w:pPr>
      <w:r w:rsidRPr="00E1076C">
        <w:rPr>
          <w:rFonts w:ascii="Arial" w:hAnsi="Arial" w:cs="Arial"/>
          <w:b/>
          <w:u w:val="single"/>
        </w:rPr>
        <w:t>Los Activos consolidados de las entidades del nivel nacional al 31 de diciembre de 2022, registraron un monto de $923.753,0, lo que equivale al 63,1% del PIB de 2022</w:t>
      </w:r>
      <w:r w:rsidRPr="00E1076C">
        <w:rPr>
          <w:rFonts w:ascii="Arial" w:hAnsi="Arial" w:cs="Arial"/>
        </w:rPr>
        <w:t>. Del total de los Activos consolidados, el 27,4%, es decir $252.906,0, están representados en activos corrientes o de fácil liquidez; mientras que el 72,6% corresponden a activos no corrientes por $670.847,0. En la composición de los activos consolidado del nivel nacional se destacan los siguientes grupos</w:t>
      </w:r>
      <w:r w:rsidR="00E1076C">
        <w:rPr>
          <w:rFonts w:ascii="Arial" w:hAnsi="Arial" w:cs="Arial"/>
        </w:rPr>
        <w:t>. (Subrayado y resaltado fuera de texto).</w:t>
      </w:r>
    </w:p>
    <w:p w:rsidR="00E1076C" w:rsidRPr="007C4E65" w:rsidRDefault="00E1076C" w:rsidP="00E1076C">
      <w:pPr>
        <w:ind w:left="-142" w:right="-518"/>
        <w:jc w:val="both"/>
        <w:rPr>
          <w:rFonts w:ascii="Arial" w:hAnsi="Arial" w:cs="Arial"/>
        </w:rPr>
      </w:pPr>
    </w:p>
    <w:p w:rsidR="00582BB5" w:rsidRDefault="00582BB5" w:rsidP="00E1076C">
      <w:pPr>
        <w:pStyle w:val="Descripcin"/>
        <w:jc w:val="center"/>
        <w:rPr>
          <w:rFonts w:ascii="Arial" w:hAnsi="Arial" w:cs="Arial"/>
          <w:color w:val="auto"/>
          <w:sz w:val="24"/>
          <w:szCs w:val="24"/>
        </w:rPr>
      </w:pPr>
      <w:bookmarkStart w:id="56" w:name="_Toc135044758"/>
      <w:r w:rsidRPr="00E1076C">
        <w:rPr>
          <w:rFonts w:ascii="Arial" w:hAnsi="Arial" w:cs="Arial"/>
          <w:color w:val="auto"/>
          <w:sz w:val="24"/>
          <w:szCs w:val="24"/>
        </w:rPr>
        <w:t xml:space="preserve">Tabla </w:t>
      </w:r>
      <w:r w:rsidRPr="00E1076C">
        <w:rPr>
          <w:rFonts w:ascii="Arial" w:hAnsi="Arial" w:cs="Arial"/>
          <w:color w:val="auto"/>
          <w:sz w:val="24"/>
          <w:szCs w:val="24"/>
        </w:rPr>
        <w:fldChar w:fldCharType="begin"/>
      </w:r>
      <w:r w:rsidRPr="00E1076C">
        <w:rPr>
          <w:rFonts w:ascii="Arial" w:hAnsi="Arial" w:cs="Arial"/>
          <w:color w:val="auto"/>
          <w:sz w:val="24"/>
          <w:szCs w:val="24"/>
        </w:rPr>
        <w:instrText xml:space="preserve"> STYLEREF 1 \s </w:instrText>
      </w:r>
      <w:r w:rsidRPr="00E1076C">
        <w:rPr>
          <w:rFonts w:ascii="Arial" w:hAnsi="Arial" w:cs="Arial"/>
          <w:color w:val="auto"/>
          <w:sz w:val="24"/>
          <w:szCs w:val="24"/>
        </w:rPr>
        <w:fldChar w:fldCharType="separate"/>
      </w:r>
      <w:r w:rsidRPr="00E1076C">
        <w:rPr>
          <w:rFonts w:ascii="Arial" w:hAnsi="Arial" w:cs="Arial"/>
          <w:noProof/>
          <w:color w:val="auto"/>
          <w:sz w:val="24"/>
          <w:szCs w:val="24"/>
        </w:rPr>
        <w:t>3</w:t>
      </w:r>
      <w:r w:rsidRPr="00E1076C">
        <w:rPr>
          <w:rFonts w:ascii="Arial" w:hAnsi="Arial" w:cs="Arial"/>
          <w:noProof/>
          <w:color w:val="auto"/>
          <w:sz w:val="24"/>
          <w:szCs w:val="24"/>
        </w:rPr>
        <w:fldChar w:fldCharType="end"/>
      </w:r>
      <w:r w:rsidRPr="00E1076C">
        <w:rPr>
          <w:rFonts w:ascii="Arial" w:hAnsi="Arial" w:cs="Arial"/>
          <w:color w:val="auto"/>
          <w:sz w:val="24"/>
          <w:szCs w:val="24"/>
        </w:rPr>
        <w:noBreakHyphen/>
      </w:r>
      <w:r w:rsidRPr="00E1076C">
        <w:rPr>
          <w:rFonts w:ascii="Arial" w:hAnsi="Arial" w:cs="Arial"/>
          <w:color w:val="auto"/>
          <w:sz w:val="24"/>
          <w:szCs w:val="24"/>
        </w:rPr>
        <w:fldChar w:fldCharType="begin"/>
      </w:r>
      <w:r w:rsidRPr="00E1076C">
        <w:rPr>
          <w:rFonts w:ascii="Arial" w:hAnsi="Arial" w:cs="Arial"/>
          <w:color w:val="auto"/>
          <w:sz w:val="24"/>
          <w:szCs w:val="24"/>
        </w:rPr>
        <w:instrText xml:space="preserve"> SEQ Tabla \* ARABIC \s 1 </w:instrText>
      </w:r>
      <w:r w:rsidRPr="00E1076C">
        <w:rPr>
          <w:rFonts w:ascii="Arial" w:hAnsi="Arial" w:cs="Arial"/>
          <w:color w:val="auto"/>
          <w:sz w:val="24"/>
          <w:szCs w:val="24"/>
        </w:rPr>
        <w:fldChar w:fldCharType="separate"/>
      </w:r>
      <w:r w:rsidRPr="00E1076C">
        <w:rPr>
          <w:rFonts w:ascii="Arial" w:hAnsi="Arial" w:cs="Arial"/>
          <w:noProof/>
          <w:color w:val="auto"/>
          <w:sz w:val="24"/>
          <w:szCs w:val="24"/>
        </w:rPr>
        <w:t>6</w:t>
      </w:r>
      <w:r w:rsidRPr="00E1076C">
        <w:rPr>
          <w:rFonts w:ascii="Arial" w:hAnsi="Arial" w:cs="Arial"/>
          <w:noProof/>
          <w:color w:val="auto"/>
          <w:sz w:val="24"/>
          <w:szCs w:val="24"/>
        </w:rPr>
        <w:fldChar w:fldCharType="end"/>
      </w:r>
      <w:r w:rsidRPr="00E1076C">
        <w:rPr>
          <w:rFonts w:ascii="Arial" w:hAnsi="Arial" w:cs="Arial"/>
          <w:color w:val="auto"/>
          <w:sz w:val="24"/>
          <w:szCs w:val="24"/>
        </w:rPr>
        <w:t xml:space="preserve"> Activos consolidados del nivel nacional</w:t>
      </w:r>
      <w:bookmarkEnd w:id="56"/>
    </w:p>
    <w:p w:rsidR="00E1076C" w:rsidRPr="00E1076C" w:rsidRDefault="00E1076C" w:rsidP="00E1076C">
      <w:pPr>
        <w:rPr>
          <w:lang w:val="es-CO" w:eastAsia="en-US"/>
        </w:rPr>
      </w:pPr>
    </w:p>
    <w:p w:rsidR="00582BB5" w:rsidRPr="00A320BE" w:rsidRDefault="00582BB5" w:rsidP="00066E56">
      <w:pPr>
        <w:jc w:val="center"/>
      </w:pPr>
      <w:r w:rsidRPr="00A320BE">
        <w:rPr>
          <w:noProof/>
          <w:lang w:val="es-CO" w:eastAsia="es-CO"/>
        </w:rPr>
        <w:drawing>
          <wp:inline distT="0" distB="0" distL="0" distR="0" wp14:anchorId="3D5D446C" wp14:editId="3E16A519">
            <wp:extent cx="5943600" cy="2154555"/>
            <wp:effectExtent l="0" t="0" r="0" b="0"/>
            <wp:docPr id="108694230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28A0092B-C50C-407E-A947-70E740481C1C}">
                          <a14:useLocalDpi xmlns:a14="http://schemas.microsoft.com/office/drawing/2010/main" val="0"/>
                        </a:ext>
                      </a:extLst>
                    </a:blip>
                    <a:srcRect t="6606"/>
                    <a:stretch/>
                  </pic:blipFill>
                  <pic:spPr bwMode="auto">
                    <a:xfrm>
                      <a:off x="0" y="0"/>
                      <a:ext cx="5943600" cy="2154555"/>
                    </a:xfrm>
                    <a:prstGeom prst="rect">
                      <a:avLst/>
                    </a:prstGeom>
                    <a:noFill/>
                    <a:ln>
                      <a:noFill/>
                    </a:ln>
                    <a:extLst>
                      <a:ext uri="{53640926-AAD7-44D8-BBD7-CCE9431645EC}">
                        <a14:shadowObscured xmlns:a14="http://schemas.microsoft.com/office/drawing/2010/main"/>
                      </a:ext>
                    </a:extLst>
                  </pic:spPr>
                </pic:pic>
              </a:graphicData>
            </a:graphic>
          </wp:inline>
        </w:drawing>
      </w:r>
    </w:p>
    <w:p w:rsidR="00582BB5" w:rsidRPr="00A320BE" w:rsidRDefault="00582BB5" w:rsidP="00582BB5">
      <w:pPr>
        <w:jc w:val="both"/>
      </w:pPr>
    </w:p>
    <w:p w:rsidR="00582BB5" w:rsidRPr="00E1076C" w:rsidRDefault="00582BB5" w:rsidP="00E1076C">
      <w:pPr>
        <w:ind w:left="-142" w:right="-518"/>
        <w:jc w:val="both"/>
        <w:rPr>
          <w:rFonts w:ascii="Arial" w:hAnsi="Arial" w:cs="Arial"/>
        </w:rPr>
      </w:pPr>
      <w:r w:rsidRPr="00E1076C">
        <w:rPr>
          <w:rFonts w:ascii="Arial" w:hAnsi="Arial" w:cs="Arial"/>
        </w:rPr>
        <w:t>Como se observa en la tabla anterior, las Propiedades, planta y equipo con $190.328,1, los Recursos Naturales no Renovables con $163.983,9, las Inversiones e instrumentos derivados $116.376,7 y los Otros activos con $115.161,0, son los activos que mayor valor registran con el 20,6%, el 17,7%, el 12,6% y el 12,5% respectivamente. Los demás conceptos, estructurados de acuerdo con el catálogo general de cuentas, en conjunto representan el 36,6%.</w:t>
      </w:r>
    </w:p>
    <w:p w:rsidR="009421AF" w:rsidRDefault="009421AF" w:rsidP="009421AF">
      <w:pPr>
        <w:jc w:val="both"/>
      </w:pPr>
    </w:p>
    <w:p w:rsidR="00E1076C" w:rsidRDefault="00582BB5" w:rsidP="00E1076C">
      <w:pPr>
        <w:ind w:left="-142" w:right="-518"/>
        <w:jc w:val="both"/>
        <w:rPr>
          <w:rFonts w:ascii="Arial" w:hAnsi="Arial" w:cs="Arial"/>
        </w:rPr>
      </w:pPr>
      <w:r w:rsidRPr="00E1076C">
        <w:rPr>
          <w:rFonts w:ascii="Arial" w:hAnsi="Arial" w:cs="Arial"/>
          <w:b/>
          <w:u w:val="single"/>
        </w:rPr>
        <w:lastRenderedPageBreak/>
        <w:t>Al comparar el valor de los Activos consolidados de 2022 por $923.753,0, frente al de 2021 por $732.860,2, se observa un incremento de $190.892,5, es decir del 26,0%</w:t>
      </w:r>
      <w:r w:rsidRPr="00A320BE">
        <w:t>.</w:t>
      </w:r>
      <w:r w:rsidR="00E1076C">
        <w:t xml:space="preserve"> </w:t>
      </w:r>
      <w:r w:rsidR="00E1076C">
        <w:rPr>
          <w:rFonts w:ascii="Arial" w:hAnsi="Arial" w:cs="Arial"/>
        </w:rPr>
        <w:t>(Subrayado y resaltado fuera de texto).</w:t>
      </w:r>
    </w:p>
    <w:p w:rsidR="00066E56" w:rsidRPr="00D3135F" w:rsidRDefault="00066E56" w:rsidP="00E1076C">
      <w:pPr>
        <w:ind w:left="-142" w:right="-518"/>
        <w:jc w:val="both"/>
        <w:rPr>
          <w:rFonts w:ascii="Arial" w:hAnsi="Arial" w:cs="Arial"/>
        </w:rPr>
      </w:pPr>
    </w:p>
    <w:p w:rsidR="00066E56" w:rsidRDefault="00066E56" w:rsidP="00066E56">
      <w:pPr>
        <w:pStyle w:val="Prrafodelista"/>
        <w:numPr>
          <w:ilvl w:val="0"/>
          <w:numId w:val="4"/>
        </w:numPr>
        <w:spacing w:before="0" w:after="0" w:line="240" w:lineRule="auto"/>
        <w:rPr>
          <w:rFonts w:ascii="Arial" w:hAnsi="Arial" w:cs="Arial"/>
          <w:b/>
          <w:sz w:val="28"/>
          <w:szCs w:val="28"/>
          <w:lang w:eastAsia="es-CO"/>
        </w:rPr>
      </w:pPr>
      <w:bookmarkStart w:id="57" w:name="_Toc261427625"/>
      <w:bookmarkStart w:id="58" w:name="_Toc268775928"/>
      <w:bookmarkStart w:id="59" w:name="_Toc273536947"/>
      <w:bookmarkStart w:id="60" w:name="_Toc393462526"/>
      <w:bookmarkStart w:id="61" w:name="_Toc444766104"/>
      <w:bookmarkStart w:id="62" w:name="_Toc513810838"/>
      <w:r w:rsidRPr="00066E56">
        <w:rPr>
          <w:rFonts w:ascii="Arial" w:hAnsi="Arial" w:cs="Arial"/>
          <w:b/>
          <w:sz w:val="28"/>
          <w:szCs w:val="28"/>
          <w:lang w:eastAsia="es-CO"/>
        </w:rPr>
        <w:t>Pasivo</w:t>
      </w:r>
      <w:bookmarkEnd w:id="57"/>
      <w:bookmarkEnd w:id="58"/>
      <w:bookmarkEnd w:id="59"/>
      <w:bookmarkEnd w:id="60"/>
      <w:bookmarkEnd w:id="61"/>
      <w:bookmarkEnd w:id="62"/>
      <w:r w:rsidRPr="00066E56">
        <w:rPr>
          <w:rFonts w:ascii="Arial" w:hAnsi="Arial" w:cs="Arial"/>
          <w:b/>
          <w:sz w:val="28"/>
          <w:szCs w:val="28"/>
          <w:lang w:eastAsia="es-CO"/>
        </w:rPr>
        <w:t>s consolidados.</w:t>
      </w:r>
    </w:p>
    <w:p w:rsidR="00066E56" w:rsidRDefault="00066E56" w:rsidP="00066E56">
      <w:pPr>
        <w:rPr>
          <w:rFonts w:ascii="Arial" w:hAnsi="Arial" w:cs="Arial"/>
          <w:b/>
          <w:sz w:val="28"/>
          <w:szCs w:val="28"/>
          <w:lang w:eastAsia="es-CO"/>
        </w:rPr>
      </w:pPr>
    </w:p>
    <w:p w:rsidR="00066E56" w:rsidRPr="00066E56" w:rsidRDefault="00066E56" w:rsidP="00066E56">
      <w:pPr>
        <w:ind w:left="-142" w:right="-518"/>
        <w:jc w:val="both"/>
        <w:rPr>
          <w:rFonts w:ascii="Arial" w:hAnsi="Arial" w:cs="Arial"/>
        </w:rPr>
      </w:pPr>
      <w:r w:rsidRPr="00066E56">
        <w:rPr>
          <w:rFonts w:ascii="Arial" w:hAnsi="Arial" w:cs="Arial"/>
        </w:rPr>
        <w:t xml:space="preserve">Los pasivos representan las obligaciones presentes que tiene la entidad como producto de sucesos pasados para cuya cancelación, una vez vencidas, espera desprenderse de recursos que incorporan beneficios económicos o un potencial de servicios, en desarrollo de funciones de cometido estatal. </w:t>
      </w:r>
    </w:p>
    <w:p w:rsidR="00066E56" w:rsidRPr="00066E56" w:rsidRDefault="00066E56" w:rsidP="00066E56">
      <w:pPr>
        <w:ind w:left="-142" w:right="-518"/>
        <w:jc w:val="both"/>
        <w:rPr>
          <w:rFonts w:ascii="Arial" w:hAnsi="Arial" w:cs="Arial"/>
        </w:rPr>
      </w:pPr>
    </w:p>
    <w:p w:rsidR="00066E56" w:rsidRPr="00066E56" w:rsidRDefault="00066E56" w:rsidP="00066E56">
      <w:pPr>
        <w:ind w:left="-142" w:right="-518"/>
        <w:jc w:val="both"/>
        <w:rPr>
          <w:rFonts w:ascii="Arial" w:hAnsi="Arial" w:cs="Arial"/>
        </w:rPr>
      </w:pPr>
      <w:r w:rsidRPr="00066E56">
        <w:rPr>
          <w:rFonts w:ascii="Arial" w:hAnsi="Arial" w:cs="Arial"/>
        </w:rPr>
        <w:t xml:space="preserve">El pasivo consolidado del nivel nacional al 31 de diciembre de 2022 asciende a $2.014.333,1, valor equivalente al 137,6% del PIB preliminar de 2022. El pasivo consolidado del nivel nacional, teniendo en cuenta su exigibilidad, se clasifica en obligaciones corrientes, exigibles dentro del año siguiente por un monto de $608.683,7, representando el 30,2%, de los pasivos; mientras que el 69,8%, es decir, $1.405.649,4, representan obligaciones no corrientes, cuyo vencimiento es superior a un año. La composición de los pasivos consolidados se indica en la siguiente tabla: </w:t>
      </w:r>
      <w:bookmarkStart w:id="63" w:name="_Toc8656281"/>
    </w:p>
    <w:p w:rsidR="00066E56" w:rsidRPr="00066E56" w:rsidRDefault="00066E56" w:rsidP="00066E56">
      <w:pPr>
        <w:jc w:val="both"/>
        <w:rPr>
          <w:rFonts w:ascii="Arial" w:hAnsi="Arial" w:cs="Arial"/>
        </w:rPr>
      </w:pPr>
    </w:p>
    <w:p w:rsidR="00066E56" w:rsidRDefault="00066E56" w:rsidP="00066E56">
      <w:pPr>
        <w:pStyle w:val="Descripcin"/>
        <w:jc w:val="center"/>
        <w:rPr>
          <w:rFonts w:ascii="Arial" w:hAnsi="Arial" w:cs="Arial"/>
          <w:color w:val="auto"/>
          <w:sz w:val="24"/>
          <w:szCs w:val="24"/>
        </w:rPr>
      </w:pPr>
      <w:bookmarkStart w:id="64" w:name="_Toc135044759"/>
      <w:r w:rsidRPr="00066E56">
        <w:rPr>
          <w:rFonts w:ascii="Arial" w:hAnsi="Arial" w:cs="Arial"/>
          <w:color w:val="auto"/>
          <w:sz w:val="24"/>
          <w:szCs w:val="24"/>
        </w:rPr>
        <w:t xml:space="preserve">Tabla </w:t>
      </w:r>
      <w:r w:rsidRPr="00066E56">
        <w:rPr>
          <w:rFonts w:ascii="Arial" w:hAnsi="Arial" w:cs="Arial"/>
          <w:color w:val="auto"/>
          <w:sz w:val="24"/>
          <w:szCs w:val="24"/>
        </w:rPr>
        <w:fldChar w:fldCharType="begin"/>
      </w:r>
      <w:r w:rsidRPr="00066E56">
        <w:rPr>
          <w:rFonts w:ascii="Arial" w:hAnsi="Arial" w:cs="Arial"/>
          <w:color w:val="auto"/>
          <w:sz w:val="24"/>
          <w:szCs w:val="24"/>
        </w:rPr>
        <w:instrText xml:space="preserve"> STYLEREF 1 \s </w:instrText>
      </w:r>
      <w:r w:rsidRPr="00066E56">
        <w:rPr>
          <w:rFonts w:ascii="Arial" w:hAnsi="Arial" w:cs="Arial"/>
          <w:color w:val="auto"/>
          <w:sz w:val="24"/>
          <w:szCs w:val="24"/>
        </w:rPr>
        <w:fldChar w:fldCharType="separate"/>
      </w:r>
      <w:r w:rsidRPr="00066E56">
        <w:rPr>
          <w:rFonts w:ascii="Arial" w:hAnsi="Arial" w:cs="Arial"/>
          <w:noProof/>
          <w:color w:val="auto"/>
          <w:sz w:val="24"/>
          <w:szCs w:val="24"/>
        </w:rPr>
        <w:t>3</w:t>
      </w:r>
      <w:r w:rsidRPr="00066E56">
        <w:rPr>
          <w:rFonts w:ascii="Arial" w:hAnsi="Arial" w:cs="Arial"/>
          <w:noProof/>
          <w:color w:val="auto"/>
          <w:sz w:val="24"/>
          <w:szCs w:val="24"/>
        </w:rPr>
        <w:fldChar w:fldCharType="end"/>
      </w:r>
      <w:r w:rsidRPr="00066E56">
        <w:rPr>
          <w:rFonts w:ascii="Arial" w:hAnsi="Arial" w:cs="Arial"/>
          <w:color w:val="auto"/>
          <w:sz w:val="24"/>
          <w:szCs w:val="24"/>
        </w:rPr>
        <w:noBreakHyphen/>
      </w:r>
      <w:r w:rsidRPr="00066E56">
        <w:rPr>
          <w:rFonts w:ascii="Arial" w:hAnsi="Arial" w:cs="Arial"/>
          <w:color w:val="auto"/>
          <w:sz w:val="24"/>
          <w:szCs w:val="24"/>
        </w:rPr>
        <w:fldChar w:fldCharType="begin"/>
      </w:r>
      <w:r w:rsidRPr="00066E56">
        <w:rPr>
          <w:rFonts w:ascii="Arial" w:hAnsi="Arial" w:cs="Arial"/>
          <w:color w:val="auto"/>
          <w:sz w:val="24"/>
          <w:szCs w:val="24"/>
        </w:rPr>
        <w:instrText xml:space="preserve"> SEQ Tabla \* ARABIC \s 1 </w:instrText>
      </w:r>
      <w:r w:rsidRPr="00066E56">
        <w:rPr>
          <w:rFonts w:ascii="Arial" w:hAnsi="Arial" w:cs="Arial"/>
          <w:color w:val="auto"/>
          <w:sz w:val="24"/>
          <w:szCs w:val="24"/>
        </w:rPr>
        <w:fldChar w:fldCharType="separate"/>
      </w:r>
      <w:r w:rsidRPr="00066E56">
        <w:rPr>
          <w:rFonts w:ascii="Arial" w:hAnsi="Arial" w:cs="Arial"/>
          <w:noProof/>
          <w:color w:val="auto"/>
          <w:sz w:val="24"/>
          <w:szCs w:val="24"/>
        </w:rPr>
        <w:t>7</w:t>
      </w:r>
      <w:r w:rsidRPr="00066E56">
        <w:rPr>
          <w:rFonts w:ascii="Arial" w:hAnsi="Arial" w:cs="Arial"/>
          <w:noProof/>
          <w:color w:val="auto"/>
          <w:sz w:val="24"/>
          <w:szCs w:val="24"/>
        </w:rPr>
        <w:fldChar w:fldCharType="end"/>
      </w:r>
      <w:r w:rsidRPr="00066E56">
        <w:rPr>
          <w:rFonts w:ascii="Arial" w:hAnsi="Arial" w:cs="Arial"/>
          <w:color w:val="auto"/>
          <w:sz w:val="24"/>
          <w:szCs w:val="24"/>
        </w:rPr>
        <w:t xml:space="preserve"> Pasivos del nivel nacional</w:t>
      </w:r>
      <w:bookmarkEnd w:id="64"/>
    </w:p>
    <w:p w:rsidR="00066E56" w:rsidRPr="00066E56" w:rsidRDefault="00066E56" w:rsidP="00066E56">
      <w:pPr>
        <w:rPr>
          <w:lang w:val="es-CO" w:eastAsia="en-US"/>
        </w:rPr>
      </w:pPr>
    </w:p>
    <w:bookmarkEnd w:id="63"/>
    <w:p w:rsidR="00066E56" w:rsidRPr="00A320BE" w:rsidRDefault="00066E56" w:rsidP="00066E56">
      <w:pPr>
        <w:jc w:val="center"/>
      </w:pPr>
      <w:r w:rsidRPr="00A320BE">
        <w:rPr>
          <w:noProof/>
          <w:lang w:val="es-CO" w:eastAsia="es-CO"/>
        </w:rPr>
        <w:drawing>
          <wp:inline distT="0" distB="0" distL="0" distR="0" wp14:anchorId="05C87CF6" wp14:editId="776EAAC7">
            <wp:extent cx="5943600" cy="2119630"/>
            <wp:effectExtent l="0" t="0" r="0" b="0"/>
            <wp:docPr id="17045995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a:extLst>
                        <a:ext uri="{28A0092B-C50C-407E-A947-70E740481C1C}">
                          <a14:useLocalDpi xmlns:a14="http://schemas.microsoft.com/office/drawing/2010/main" val="0"/>
                        </a:ext>
                      </a:extLst>
                    </a:blip>
                    <a:srcRect t="7020"/>
                    <a:stretch/>
                  </pic:blipFill>
                  <pic:spPr bwMode="auto">
                    <a:xfrm>
                      <a:off x="0" y="0"/>
                      <a:ext cx="5943600" cy="2119630"/>
                    </a:xfrm>
                    <a:prstGeom prst="rect">
                      <a:avLst/>
                    </a:prstGeom>
                    <a:noFill/>
                    <a:ln>
                      <a:noFill/>
                    </a:ln>
                    <a:extLst>
                      <a:ext uri="{53640926-AAD7-44D8-BBD7-CCE9431645EC}">
                        <a14:shadowObscured xmlns:a14="http://schemas.microsoft.com/office/drawing/2010/main"/>
                      </a:ext>
                    </a:extLst>
                  </pic:spPr>
                </pic:pic>
              </a:graphicData>
            </a:graphic>
          </wp:inline>
        </w:drawing>
      </w:r>
    </w:p>
    <w:p w:rsidR="00066E56" w:rsidRPr="00A320BE" w:rsidRDefault="00066E56" w:rsidP="00066E56">
      <w:pPr>
        <w:jc w:val="both"/>
      </w:pPr>
    </w:p>
    <w:p w:rsidR="00066E56" w:rsidRDefault="00066E56" w:rsidP="00066E56">
      <w:pPr>
        <w:ind w:left="-142" w:right="-518"/>
        <w:jc w:val="both"/>
        <w:rPr>
          <w:rFonts w:ascii="Arial" w:hAnsi="Arial" w:cs="Arial"/>
        </w:rPr>
      </w:pPr>
      <w:r w:rsidRPr="00066E56">
        <w:rPr>
          <w:rFonts w:ascii="Arial" w:hAnsi="Arial" w:cs="Arial"/>
          <w:b/>
          <w:u w:val="single"/>
        </w:rPr>
        <w:t>El pasivo por la Emisión y colocación de títulos de deuda, cuyo monto es de $689.842,8 es el concepto más representativo con el 34,3% del total</w:t>
      </w:r>
      <w:r w:rsidRPr="00066E56">
        <w:rPr>
          <w:rFonts w:ascii="Arial" w:hAnsi="Arial" w:cs="Arial"/>
        </w:rPr>
        <w:t>. Le siguen en su orden, las obligaciones por Beneficios a los empleados con $577.581,4, representando el 28,7%; Préstamos por pagar el 14,0%; y Otros pasivos el 11,8%. Los demás conceptos del pasivo, estructurados de acuerdo con el catálogo general de cuentas, en conjunto representan el 11,2%.</w:t>
      </w:r>
      <w:r>
        <w:rPr>
          <w:rFonts w:ascii="Arial" w:hAnsi="Arial" w:cs="Arial"/>
        </w:rPr>
        <w:t xml:space="preserve"> (Subrayado y resaltado fuera de texto).</w:t>
      </w:r>
    </w:p>
    <w:p w:rsidR="00066E56" w:rsidRDefault="00066E56" w:rsidP="00066E56">
      <w:pPr>
        <w:ind w:left="-142" w:right="-518"/>
        <w:jc w:val="both"/>
        <w:rPr>
          <w:rFonts w:ascii="Arial" w:hAnsi="Arial" w:cs="Arial"/>
        </w:rPr>
      </w:pPr>
    </w:p>
    <w:p w:rsidR="00812B97" w:rsidRDefault="00066E56" w:rsidP="00812B97">
      <w:pPr>
        <w:ind w:left="-142" w:right="-518"/>
        <w:jc w:val="both"/>
        <w:rPr>
          <w:rFonts w:ascii="Arial" w:hAnsi="Arial" w:cs="Arial"/>
        </w:rPr>
      </w:pPr>
      <w:r w:rsidRPr="00812B97">
        <w:rPr>
          <w:rFonts w:ascii="Arial" w:hAnsi="Arial" w:cs="Arial"/>
          <w:b/>
          <w:u w:val="single"/>
        </w:rPr>
        <w:t>Al comparar el valor de los pasivos consolidados de 2022, por $2.014.333,1, frente al monto de dicha clase en 2021, por $1.756.073,1, se observa una variación del 14,7%, explicado principalmente por los incrementos en Emisión y colocación de títulos de deuda, beneficios a los empleados y los préstamos por pagar</w:t>
      </w:r>
      <w:r w:rsidRPr="00066E56">
        <w:rPr>
          <w:rFonts w:ascii="Arial" w:hAnsi="Arial" w:cs="Arial"/>
        </w:rPr>
        <w:t>.</w:t>
      </w:r>
      <w:r w:rsidR="00812B97">
        <w:rPr>
          <w:rFonts w:ascii="Arial" w:hAnsi="Arial" w:cs="Arial"/>
        </w:rPr>
        <w:t xml:space="preserve"> (Subrayado y resaltado fuera de texto).</w:t>
      </w:r>
    </w:p>
    <w:p w:rsidR="00066E56" w:rsidRDefault="00066E56" w:rsidP="00066E56">
      <w:pPr>
        <w:ind w:left="-142" w:right="-518"/>
        <w:jc w:val="both"/>
        <w:rPr>
          <w:rFonts w:ascii="Arial" w:hAnsi="Arial" w:cs="Arial"/>
        </w:rPr>
      </w:pPr>
    </w:p>
    <w:p w:rsidR="00812B97" w:rsidRDefault="00812B97" w:rsidP="00812B97">
      <w:pPr>
        <w:pStyle w:val="Prrafodelista"/>
        <w:numPr>
          <w:ilvl w:val="0"/>
          <w:numId w:val="4"/>
        </w:numPr>
        <w:spacing w:before="0" w:after="0" w:line="240" w:lineRule="auto"/>
        <w:rPr>
          <w:rFonts w:ascii="Arial" w:hAnsi="Arial" w:cs="Arial"/>
          <w:b/>
          <w:sz w:val="28"/>
          <w:szCs w:val="28"/>
          <w:lang w:eastAsia="es-CO"/>
        </w:rPr>
      </w:pPr>
      <w:bookmarkStart w:id="65" w:name="_Toc513810839"/>
      <w:r w:rsidRPr="00812B97">
        <w:rPr>
          <w:rFonts w:ascii="Arial" w:hAnsi="Arial" w:cs="Arial"/>
          <w:b/>
          <w:sz w:val="28"/>
          <w:szCs w:val="28"/>
          <w:lang w:eastAsia="es-CO"/>
        </w:rPr>
        <w:t>Patrimonio consolidado</w:t>
      </w:r>
      <w:r>
        <w:rPr>
          <w:rFonts w:ascii="Arial" w:hAnsi="Arial" w:cs="Arial"/>
          <w:b/>
          <w:sz w:val="28"/>
          <w:szCs w:val="28"/>
          <w:lang w:eastAsia="es-CO"/>
        </w:rPr>
        <w:t>.</w:t>
      </w:r>
    </w:p>
    <w:p w:rsidR="00812B97" w:rsidRPr="00812B97" w:rsidRDefault="00812B97" w:rsidP="00812B97">
      <w:pPr>
        <w:ind w:left="360"/>
        <w:rPr>
          <w:rFonts w:ascii="Arial" w:hAnsi="Arial" w:cs="Arial"/>
          <w:b/>
          <w:sz w:val="28"/>
          <w:szCs w:val="28"/>
          <w:lang w:eastAsia="es-CO"/>
        </w:rPr>
      </w:pPr>
    </w:p>
    <w:p w:rsidR="00812B97" w:rsidRPr="00CA143E" w:rsidRDefault="00812B97" w:rsidP="00CA143E">
      <w:pPr>
        <w:ind w:left="-142" w:right="-518"/>
        <w:jc w:val="both"/>
        <w:rPr>
          <w:rFonts w:ascii="Arial" w:hAnsi="Arial" w:cs="Arial"/>
        </w:rPr>
      </w:pPr>
      <w:bookmarkStart w:id="66" w:name="_Toc368661287"/>
      <w:bookmarkStart w:id="67" w:name="_Toc393462529"/>
      <w:bookmarkEnd w:id="65"/>
      <w:r w:rsidRPr="00CA143E">
        <w:rPr>
          <w:rFonts w:ascii="Arial" w:hAnsi="Arial" w:cs="Arial"/>
        </w:rPr>
        <w:t xml:space="preserve">El patrimonio representa los bienes y derechos de la entidad contable pública, una vez deducidas las obligaciones, para cumplir las funciones de cometido estatal; está conformado por los grupos de </w:t>
      </w:r>
      <w:r w:rsidRPr="00CA143E">
        <w:rPr>
          <w:rFonts w:ascii="Arial" w:hAnsi="Arial" w:cs="Arial"/>
        </w:rPr>
        <w:lastRenderedPageBreak/>
        <w:t>Patrimonio de entidades de gobierno, Patrimonio de empresas y los Resultados consolidados del ejercicio.</w:t>
      </w:r>
      <w:bookmarkEnd w:id="66"/>
      <w:bookmarkEnd w:id="67"/>
      <w:r w:rsidRPr="00CA143E">
        <w:rPr>
          <w:rFonts w:ascii="Arial" w:hAnsi="Arial" w:cs="Arial"/>
        </w:rPr>
        <w:t xml:space="preserve"> De igual forma, se presenta en forma separada la participación, atribuible a controladores y no controladores, en el patrimonio y en los resultados.</w:t>
      </w:r>
    </w:p>
    <w:p w:rsidR="00812B97" w:rsidRPr="00A320BE" w:rsidRDefault="00812B97" w:rsidP="00812B97">
      <w:pPr>
        <w:jc w:val="both"/>
      </w:pPr>
    </w:p>
    <w:p w:rsidR="00CA143E" w:rsidRDefault="00812B97" w:rsidP="00CA143E">
      <w:pPr>
        <w:ind w:left="-142" w:right="-518"/>
        <w:jc w:val="both"/>
        <w:rPr>
          <w:rFonts w:ascii="Arial" w:hAnsi="Arial" w:cs="Arial"/>
        </w:rPr>
      </w:pPr>
      <w:r w:rsidRPr="00CA143E">
        <w:rPr>
          <w:rFonts w:ascii="Arial" w:hAnsi="Arial" w:cs="Arial"/>
          <w:b/>
          <w:u w:val="single"/>
        </w:rPr>
        <w:t>El Patrimonio consolidado del nivel nacional al 31 de diciembre de 2022, registra un saldo negativo de ($1.090.580,1), presentando una disminución patrimonial del 6,6% con relación al valor de 2021</w:t>
      </w:r>
      <w:r w:rsidRPr="00CA143E">
        <w:rPr>
          <w:rFonts w:ascii="Arial" w:hAnsi="Arial" w:cs="Arial"/>
        </w:rPr>
        <w:t xml:space="preserve">. La estructura del patrimonio consolidado del nivel nacional por los diferentes grupos que lo conforman presenta los siguientes saldos comparativos: </w:t>
      </w:r>
      <w:r w:rsidR="00CA143E">
        <w:rPr>
          <w:rFonts w:ascii="Arial" w:hAnsi="Arial" w:cs="Arial"/>
        </w:rPr>
        <w:t>(Subrayado y resaltado fuera de texto).</w:t>
      </w:r>
    </w:p>
    <w:p w:rsidR="00CA143E" w:rsidRDefault="00CA143E" w:rsidP="00CA143E">
      <w:pPr>
        <w:ind w:left="-142" w:right="-518"/>
        <w:jc w:val="both"/>
        <w:rPr>
          <w:rFonts w:ascii="Arial" w:hAnsi="Arial" w:cs="Arial"/>
        </w:rPr>
      </w:pPr>
    </w:p>
    <w:p w:rsidR="00812B97" w:rsidRPr="00CA143E" w:rsidRDefault="00812B97" w:rsidP="00CA143E">
      <w:pPr>
        <w:pStyle w:val="Descripcin"/>
        <w:jc w:val="center"/>
        <w:rPr>
          <w:rFonts w:ascii="Arial" w:hAnsi="Arial" w:cs="Arial"/>
          <w:color w:val="auto"/>
          <w:sz w:val="24"/>
          <w:szCs w:val="24"/>
        </w:rPr>
      </w:pPr>
      <w:bookmarkStart w:id="68" w:name="_Toc135044760"/>
      <w:r w:rsidRPr="00CA143E">
        <w:rPr>
          <w:rFonts w:ascii="Arial" w:hAnsi="Arial" w:cs="Arial"/>
          <w:color w:val="auto"/>
          <w:sz w:val="24"/>
          <w:szCs w:val="24"/>
        </w:rPr>
        <w:t xml:space="preserve">Tabla </w:t>
      </w:r>
      <w:r w:rsidRPr="00CA143E">
        <w:rPr>
          <w:rFonts w:ascii="Arial" w:hAnsi="Arial" w:cs="Arial"/>
          <w:color w:val="auto"/>
          <w:sz w:val="24"/>
          <w:szCs w:val="24"/>
        </w:rPr>
        <w:fldChar w:fldCharType="begin"/>
      </w:r>
      <w:r w:rsidRPr="00CA143E">
        <w:rPr>
          <w:rFonts w:ascii="Arial" w:hAnsi="Arial" w:cs="Arial"/>
          <w:color w:val="auto"/>
          <w:sz w:val="24"/>
          <w:szCs w:val="24"/>
        </w:rPr>
        <w:instrText xml:space="preserve"> STYLEREF 1 \s </w:instrText>
      </w:r>
      <w:r w:rsidRPr="00CA143E">
        <w:rPr>
          <w:rFonts w:ascii="Arial" w:hAnsi="Arial" w:cs="Arial"/>
          <w:color w:val="auto"/>
          <w:sz w:val="24"/>
          <w:szCs w:val="24"/>
        </w:rPr>
        <w:fldChar w:fldCharType="separate"/>
      </w:r>
      <w:r w:rsidRPr="00CA143E">
        <w:rPr>
          <w:rFonts w:ascii="Arial" w:hAnsi="Arial" w:cs="Arial"/>
          <w:noProof/>
          <w:color w:val="auto"/>
          <w:sz w:val="24"/>
          <w:szCs w:val="24"/>
        </w:rPr>
        <w:t>3</w:t>
      </w:r>
      <w:r w:rsidRPr="00CA143E">
        <w:rPr>
          <w:rFonts w:ascii="Arial" w:hAnsi="Arial" w:cs="Arial"/>
          <w:noProof/>
          <w:color w:val="auto"/>
          <w:sz w:val="24"/>
          <w:szCs w:val="24"/>
        </w:rPr>
        <w:fldChar w:fldCharType="end"/>
      </w:r>
      <w:r w:rsidRPr="00CA143E">
        <w:rPr>
          <w:rFonts w:ascii="Arial" w:hAnsi="Arial" w:cs="Arial"/>
          <w:color w:val="auto"/>
          <w:sz w:val="24"/>
          <w:szCs w:val="24"/>
        </w:rPr>
        <w:noBreakHyphen/>
      </w:r>
      <w:r w:rsidRPr="00CA143E">
        <w:rPr>
          <w:rFonts w:ascii="Arial" w:hAnsi="Arial" w:cs="Arial"/>
          <w:color w:val="auto"/>
          <w:sz w:val="24"/>
          <w:szCs w:val="24"/>
        </w:rPr>
        <w:fldChar w:fldCharType="begin"/>
      </w:r>
      <w:r w:rsidRPr="00CA143E">
        <w:rPr>
          <w:rFonts w:ascii="Arial" w:hAnsi="Arial" w:cs="Arial"/>
          <w:color w:val="auto"/>
          <w:sz w:val="24"/>
          <w:szCs w:val="24"/>
        </w:rPr>
        <w:instrText xml:space="preserve"> SEQ Tabla \* ARABIC \s 1 </w:instrText>
      </w:r>
      <w:r w:rsidRPr="00CA143E">
        <w:rPr>
          <w:rFonts w:ascii="Arial" w:hAnsi="Arial" w:cs="Arial"/>
          <w:color w:val="auto"/>
          <w:sz w:val="24"/>
          <w:szCs w:val="24"/>
        </w:rPr>
        <w:fldChar w:fldCharType="separate"/>
      </w:r>
      <w:r w:rsidRPr="00CA143E">
        <w:rPr>
          <w:rFonts w:ascii="Arial" w:hAnsi="Arial" w:cs="Arial"/>
          <w:noProof/>
          <w:color w:val="auto"/>
          <w:sz w:val="24"/>
          <w:szCs w:val="24"/>
        </w:rPr>
        <w:t>8</w:t>
      </w:r>
      <w:r w:rsidRPr="00CA143E">
        <w:rPr>
          <w:rFonts w:ascii="Arial" w:hAnsi="Arial" w:cs="Arial"/>
          <w:noProof/>
          <w:color w:val="auto"/>
          <w:sz w:val="24"/>
          <w:szCs w:val="24"/>
        </w:rPr>
        <w:fldChar w:fldCharType="end"/>
      </w:r>
      <w:r w:rsidRPr="00CA143E">
        <w:rPr>
          <w:rFonts w:ascii="Arial" w:hAnsi="Arial" w:cs="Arial"/>
          <w:color w:val="auto"/>
          <w:sz w:val="24"/>
          <w:szCs w:val="24"/>
        </w:rPr>
        <w:t xml:space="preserve"> Patrimonio consolidado del nivel nacional</w:t>
      </w:r>
      <w:bookmarkEnd w:id="68"/>
    </w:p>
    <w:p w:rsidR="00812B97" w:rsidRDefault="00812B97" w:rsidP="00066E56">
      <w:pPr>
        <w:ind w:left="-142" w:right="-518"/>
        <w:jc w:val="both"/>
        <w:rPr>
          <w:rFonts w:ascii="Arial" w:hAnsi="Arial" w:cs="Arial"/>
        </w:rPr>
      </w:pPr>
    </w:p>
    <w:p w:rsidR="00812B97" w:rsidRPr="00066E56" w:rsidRDefault="00812B97" w:rsidP="00812B97">
      <w:pPr>
        <w:ind w:left="-142" w:right="-518"/>
        <w:jc w:val="center"/>
        <w:rPr>
          <w:rFonts w:ascii="Arial" w:hAnsi="Arial" w:cs="Arial"/>
        </w:rPr>
      </w:pPr>
      <w:r w:rsidRPr="00A320BE">
        <w:rPr>
          <w:noProof/>
          <w:lang w:val="es-CO" w:eastAsia="es-CO"/>
        </w:rPr>
        <w:drawing>
          <wp:inline distT="0" distB="0" distL="0" distR="0" wp14:anchorId="6B9A8415" wp14:editId="21CA1A22">
            <wp:extent cx="5943600" cy="1474470"/>
            <wp:effectExtent l="0" t="0" r="0" b="0"/>
            <wp:docPr id="192301298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a:extLst>
                        <a:ext uri="{28A0092B-C50C-407E-A947-70E740481C1C}">
                          <a14:useLocalDpi xmlns:a14="http://schemas.microsoft.com/office/drawing/2010/main" val="0"/>
                        </a:ext>
                      </a:extLst>
                    </a:blip>
                    <a:srcRect t="8076"/>
                    <a:stretch/>
                  </pic:blipFill>
                  <pic:spPr bwMode="auto">
                    <a:xfrm>
                      <a:off x="0" y="0"/>
                      <a:ext cx="5943600" cy="1474470"/>
                    </a:xfrm>
                    <a:prstGeom prst="rect">
                      <a:avLst/>
                    </a:prstGeom>
                    <a:noFill/>
                    <a:ln>
                      <a:noFill/>
                    </a:ln>
                    <a:extLst>
                      <a:ext uri="{53640926-AAD7-44D8-BBD7-CCE9431645EC}">
                        <a14:shadowObscured xmlns:a14="http://schemas.microsoft.com/office/drawing/2010/main"/>
                      </a:ext>
                    </a:extLst>
                  </pic:spPr>
                </pic:pic>
              </a:graphicData>
            </a:graphic>
          </wp:inline>
        </w:drawing>
      </w:r>
    </w:p>
    <w:p w:rsidR="00066E56" w:rsidRDefault="00066E56" w:rsidP="00066E56">
      <w:pPr>
        <w:ind w:left="-142" w:right="-518"/>
        <w:jc w:val="both"/>
        <w:rPr>
          <w:rFonts w:ascii="Arial" w:hAnsi="Arial" w:cs="Arial"/>
        </w:rPr>
      </w:pPr>
    </w:p>
    <w:p w:rsidR="00812B97" w:rsidRPr="00CA143E" w:rsidRDefault="00812B97" w:rsidP="00CA143E">
      <w:pPr>
        <w:ind w:left="-142" w:right="-518"/>
        <w:jc w:val="both"/>
        <w:rPr>
          <w:rFonts w:ascii="Arial" w:hAnsi="Arial" w:cs="Arial"/>
        </w:rPr>
      </w:pPr>
      <w:r w:rsidRPr="00CA143E">
        <w:rPr>
          <w:rFonts w:ascii="Arial" w:hAnsi="Arial" w:cs="Arial"/>
        </w:rPr>
        <w:t xml:space="preserve">Como se observa, el patrimonio de las empresas registra un valor positivo de $39.216,0, al igual que la participación de no controladores o inversionistas privados o por fuera de este centro de consolidación, que alcanza la suma de $18.020,3. Los valores negativos están representados en el Patrimonio de entidades de gobierno ($1.026.365,5), en el Resultado consolidado del ejercicio deficitario por ($116.616,8) y por el saldo de operaciones recíprocas de ($4.834,1). </w:t>
      </w:r>
    </w:p>
    <w:p w:rsidR="00066E56" w:rsidRPr="00CA143E" w:rsidRDefault="00066E56" w:rsidP="00CA143E">
      <w:pPr>
        <w:ind w:left="-142" w:right="-518"/>
        <w:jc w:val="both"/>
        <w:rPr>
          <w:rFonts w:ascii="Arial" w:hAnsi="Arial" w:cs="Arial"/>
        </w:rPr>
      </w:pPr>
    </w:p>
    <w:p w:rsidR="00066E56" w:rsidRDefault="00812B97" w:rsidP="00CA143E">
      <w:pPr>
        <w:ind w:left="-142" w:right="-518"/>
        <w:jc w:val="both"/>
        <w:rPr>
          <w:rFonts w:ascii="Arial" w:hAnsi="Arial" w:cs="Arial"/>
        </w:rPr>
      </w:pPr>
      <w:r w:rsidRPr="00CA143E">
        <w:rPr>
          <w:rFonts w:ascii="Arial" w:hAnsi="Arial" w:cs="Arial"/>
        </w:rPr>
        <w:t>La participación de no controladores corresponde a los derechos patrimoniales que pertenecen al sector privado por la propiedad que tienen en las empresas de economía mixta que fueron consolidadas en este informe, así como inversionistas del sector público del nivel territorial. El ajuste al patrimonio realizado por los saldos de operaciones recíprocas alcanzó la suma de ($4.834,1)</w:t>
      </w:r>
      <w:r w:rsidR="00287A21">
        <w:rPr>
          <w:rFonts w:ascii="Arial" w:hAnsi="Arial" w:cs="Arial"/>
        </w:rPr>
        <w:t>.</w:t>
      </w:r>
    </w:p>
    <w:p w:rsidR="00287A21" w:rsidRPr="00CA143E" w:rsidRDefault="00287A21" w:rsidP="00CA143E">
      <w:pPr>
        <w:ind w:left="-142" w:right="-518"/>
        <w:jc w:val="both"/>
        <w:rPr>
          <w:rFonts w:ascii="Arial" w:hAnsi="Arial" w:cs="Arial"/>
          <w:b/>
          <w:sz w:val="28"/>
          <w:szCs w:val="28"/>
          <w:lang w:eastAsia="es-CO"/>
        </w:rPr>
      </w:pPr>
    </w:p>
    <w:p w:rsidR="00287A21" w:rsidRDefault="00287A21" w:rsidP="00287A21">
      <w:pPr>
        <w:pStyle w:val="Prrafodelista"/>
        <w:numPr>
          <w:ilvl w:val="0"/>
          <w:numId w:val="4"/>
        </w:numPr>
        <w:spacing w:before="0" w:after="0" w:line="240" w:lineRule="auto"/>
        <w:rPr>
          <w:rFonts w:ascii="Arial" w:hAnsi="Arial" w:cs="Arial"/>
          <w:b/>
          <w:sz w:val="28"/>
          <w:szCs w:val="28"/>
          <w:lang w:eastAsia="es-CO"/>
        </w:rPr>
      </w:pPr>
      <w:bookmarkStart w:id="69" w:name="_Toc393462530"/>
      <w:bookmarkStart w:id="70" w:name="_Toc444766107"/>
      <w:bookmarkStart w:id="71" w:name="_Toc513810841"/>
      <w:r w:rsidRPr="00287A21">
        <w:rPr>
          <w:rFonts w:ascii="Arial" w:hAnsi="Arial" w:cs="Arial"/>
          <w:b/>
          <w:sz w:val="28"/>
          <w:szCs w:val="28"/>
          <w:lang w:eastAsia="es-CO"/>
        </w:rPr>
        <w:t>Cuentas de orden</w:t>
      </w:r>
      <w:bookmarkEnd w:id="69"/>
      <w:bookmarkEnd w:id="70"/>
      <w:bookmarkEnd w:id="71"/>
      <w:r>
        <w:rPr>
          <w:rFonts w:ascii="Arial" w:hAnsi="Arial" w:cs="Arial"/>
          <w:b/>
          <w:sz w:val="28"/>
          <w:szCs w:val="28"/>
          <w:lang w:eastAsia="es-CO"/>
        </w:rPr>
        <w:t>.</w:t>
      </w:r>
    </w:p>
    <w:p w:rsidR="00287A21" w:rsidRPr="00287A21" w:rsidRDefault="00287A21" w:rsidP="00287A21">
      <w:pPr>
        <w:pStyle w:val="Prrafodelista"/>
        <w:spacing w:before="0" w:after="0" w:line="240" w:lineRule="auto"/>
        <w:ind w:left="720"/>
        <w:rPr>
          <w:rFonts w:ascii="Arial" w:hAnsi="Arial" w:cs="Arial"/>
          <w:b/>
          <w:sz w:val="28"/>
          <w:szCs w:val="28"/>
          <w:lang w:eastAsia="es-CO"/>
        </w:rPr>
      </w:pPr>
    </w:p>
    <w:p w:rsidR="00287A21" w:rsidRPr="00287A21" w:rsidRDefault="00287A21" w:rsidP="00287A21">
      <w:pPr>
        <w:ind w:left="-142" w:right="-518"/>
        <w:jc w:val="both"/>
        <w:rPr>
          <w:rFonts w:ascii="Arial" w:hAnsi="Arial" w:cs="Arial"/>
        </w:rPr>
      </w:pPr>
      <w:r w:rsidRPr="00287A21">
        <w:rPr>
          <w:rFonts w:ascii="Arial" w:hAnsi="Arial" w:cs="Arial"/>
        </w:rPr>
        <w:t>Representan hechos o circunstancias de las cuales pueden surgir derechos a favor de la entidad o, en su caso, obligaciones a su cargo. Estas cuentas revelan activos y pasivos contingentes o cuentas fiscales y de control, en cuentas de orden deudoras y cuentas de orden acreedoras, cuando es posible realizar una medición fiable.</w:t>
      </w:r>
    </w:p>
    <w:p w:rsidR="00287A21" w:rsidRPr="00287A21" w:rsidRDefault="00287A21" w:rsidP="00287A21">
      <w:pPr>
        <w:ind w:left="-142" w:right="-518"/>
        <w:jc w:val="both"/>
        <w:rPr>
          <w:rFonts w:ascii="Arial" w:hAnsi="Arial" w:cs="Arial"/>
        </w:rPr>
      </w:pPr>
    </w:p>
    <w:p w:rsidR="00287A21" w:rsidRPr="00287A21" w:rsidRDefault="00287A21" w:rsidP="00287A21">
      <w:pPr>
        <w:ind w:left="-142" w:right="-518"/>
        <w:jc w:val="both"/>
        <w:rPr>
          <w:rFonts w:ascii="Arial" w:hAnsi="Arial" w:cs="Arial"/>
        </w:rPr>
      </w:pPr>
      <w:r w:rsidRPr="00287A21">
        <w:rPr>
          <w:rFonts w:ascii="Arial" w:hAnsi="Arial" w:cs="Arial"/>
        </w:rPr>
        <w:t>Los activos y pasivos contingentes representan activos u obligaciones de naturaleza posible, surgidos a raíz de sucesos pasados, cuya existencia se confirmará solo por la ocurrencia o, en su caso, por la no ocurrencia de uno o más eventos inciertos en el futuro que no estén enteramente bajo el control de la entidad.</w:t>
      </w:r>
    </w:p>
    <w:p w:rsidR="00287A21" w:rsidRPr="00287A21" w:rsidRDefault="00287A21" w:rsidP="00287A21">
      <w:pPr>
        <w:ind w:left="-142" w:right="-518"/>
        <w:jc w:val="both"/>
        <w:rPr>
          <w:rFonts w:ascii="Arial" w:hAnsi="Arial" w:cs="Arial"/>
        </w:rPr>
      </w:pPr>
    </w:p>
    <w:p w:rsidR="00287A21" w:rsidRPr="00287A21" w:rsidRDefault="00287A21" w:rsidP="00287A21">
      <w:pPr>
        <w:ind w:left="-142" w:right="-518"/>
        <w:jc w:val="both"/>
        <w:rPr>
          <w:rFonts w:ascii="Arial" w:hAnsi="Arial" w:cs="Arial"/>
        </w:rPr>
      </w:pPr>
      <w:r w:rsidRPr="00287A21">
        <w:rPr>
          <w:rFonts w:ascii="Arial" w:hAnsi="Arial" w:cs="Arial"/>
        </w:rPr>
        <w:t xml:space="preserve">Un pasivo contingente también corresponde a una obligación presente, surgida a raíz de sucesos pasados, pero no reconocida en los estados financieros, bien sea porque no es probable que, por la existencia de esta y para satisfacerla, se requiera que la entidad tenga que desprenderse de recursos </w:t>
      </w:r>
      <w:r w:rsidRPr="00287A21">
        <w:rPr>
          <w:rFonts w:ascii="Arial" w:hAnsi="Arial" w:cs="Arial"/>
        </w:rPr>
        <w:lastRenderedPageBreak/>
        <w:t>que incorporen beneficios económicos o potencial de servicio en el futuro, o bien sea porque no puede estimarse el valor de la obligación con la suficiente fiabilidad.</w:t>
      </w:r>
    </w:p>
    <w:p w:rsidR="00287A21" w:rsidRPr="00287A21" w:rsidRDefault="00287A21" w:rsidP="00287A21">
      <w:pPr>
        <w:ind w:left="-142" w:right="-518"/>
        <w:jc w:val="both"/>
        <w:rPr>
          <w:rFonts w:ascii="Arial" w:hAnsi="Arial" w:cs="Arial"/>
        </w:rPr>
      </w:pPr>
    </w:p>
    <w:p w:rsidR="00287A21" w:rsidRPr="00287A21" w:rsidRDefault="00287A21" w:rsidP="00287A21">
      <w:pPr>
        <w:ind w:left="-142" w:right="-518"/>
        <w:jc w:val="both"/>
        <w:rPr>
          <w:rFonts w:ascii="Arial" w:hAnsi="Arial" w:cs="Arial"/>
        </w:rPr>
      </w:pPr>
      <w:r w:rsidRPr="00287A21">
        <w:rPr>
          <w:rFonts w:ascii="Arial" w:hAnsi="Arial" w:cs="Arial"/>
        </w:rPr>
        <w:t>Adicionalmente, estas cuentas incluyen conceptos que representan las diferencias entre el valor de los activos, gastos y costos, y los pasivos, patrimonio e ingresos registrados en la contabilidad y los determinados para propósitos de información tributaria.</w:t>
      </w:r>
    </w:p>
    <w:p w:rsidR="00287A21" w:rsidRPr="00287A21" w:rsidRDefault="00287A21" w:rsidP="00287A21">
      <w:pPr>
        <w:ind w:left="-142" w:right="-518"/>
        <w:jc w:val="both"/>
        <w:rPr>
          <w:rFonts w:ascii="Arial" w:hAnsi="Arial" w:cs="Arial"/>
        </w:rPr>
      </w:pPr>
    </w:p>
    <w:p w:rsidR="00287A21" w:rsidRPr="00287A21" w:rsidRDefault="00287A21" w:rsidP="00287A21">
      <w:pPr>
        <w:ind w:left="-142" w:right="-518"/>
        <w:jc w:val="both"/>
        <w:rPr>
          <w:rFonts w:ascii="Arial" w:hAnsi="Arial" w:cs="Arial"/>
        </w:rPr>
      </w:pPr>
      <w:r w:rsidRPr="00287A21">
        <w:rPr>
          <w:rFonts w:ascii="Arial" w:hAnsi="Arial" w:cs="Arial"/>
        </w:rPr>
        <w:t xml:space="preserve">Hacen parte de las cuentas de orden partidas que permiten controlar las operaciones que la entidad realiza con terceros y que, por su naturaleza, no afectan su situación financiera ni su rendimiento, y los que permiten ejercer control administrativo sobre bienes, derechos y obligaciones. </w:t>
      </w:r>
    </w:p>
    <w:p w:rsidR="00287A21" w:rsidRPr="00287A21" w:rsidRDefault="00287A21" w:rsidP="00287A21">
      <w:pPr>
        <w:ind w:left="-142" w:right="-518"/>
        <w:jc w:val="both"/>
        <w:rPr>
          <w:rFonts w:ascii="Arial" w:hAnsi="Arial" w:cs="Arial"/>
        </w:rPr>
      </w:pPr>
    </w:p>
    <w:p w:rsidR="00287A21" w:rsidRPr="00287A21" w:rsidRDefault="00287A21" w:rsidP="00287A21">
      <w:pPr>
        <w:ind w:left="-142" w:right="-518"/>
        <w:jc w:val="both"/>
        <w:rPr>
          <w:rFonts w:ascii="Arial" w:hAnsi="Arial" w:cs="Arial"/>
        </w:rPr>
      </w:pPr>
      <w:r w:rsidRPr="00287A21">
        <w:rPr>
          <w:rFonts w:ascii="Arial" w:hAnsi="Arial" w:cs="Arial"/>
        </w:rPr>
        <w:t xml:space="preserve">Al 31 de diciembre de 2022, el detalle de los conceptos que conforman las Cuentas de orden consolidadas se muestra en la siguiente tabla: </w:t>
      </w:r>
    </w:p>
    <w:p w:rsidR="00287A21" w:rsidRPr="00A320BE" w:rsidRDefault="00287A21" w:rsidP="00287A21"/>
    <w:p w:rsidR="00287A21" w:rsidRDefault="00287A21" w:rsidP="00287A21">
      <w:pPr>
        <w:pStyle w:val="Descripcin"/>
        <w:jc w:val="center"/>
        <w:rPr>
          <w:rFonts w:ascii="Arial" w:hAnsi="Arial" w:cs="Arial"/>
          <w:color w:val="auto"/>
          <w:sz w:val="24"/>
          <w:szCs w:val="24"/>
        </w:rPr>
      </w:pPr>
      <w:bookmarkStart w:id="72" w:name="_Toc135044761"/>
      <w:r w:rsidRPr="00287A21">
        <w:rPr>
          <w:rFonts w:ascii="Arial" w:hAnsi="Arial" w:cs="Arial"/>
          <w:color w:val="auto"/>
          <w:sz w:val="24"/>
          <w:szCs w:val="24"/>
        </w:rPr>
        <w:t xml:space="preserve">Tabla </w:t>
      </w:r>
      <w:r w:rsidRPr="00287A21">
        <w:rPr>
          <w:rFonts w:ascii="Arial" w:hAnsi="Arial" w:cs="Arial"/>
          <w:color w:val="auto"/>
          <w:sz w:val="24"/>
          <w:szCs w:val="24"/>
        </w:rPr>
        <w:fldChar w:fldCharType="begin"/>
      </w:r>
      <w:r w:rsidRPr="00287A21">
        <w:rPr>
          <w:rFonts w:ascii="Arial" w:hAnsi="Arial" w:cs="Arial"/>
          <w:color w:val="auto"/>
          <w:sz w:val="24"/>
          <w:szCs w:val="24"/>
        </w:rPr>
        <w:instrText xml:space="preserve"> STYLEREF 1 \s </w:instrText>
      </w:r>
      <w:r w:rsidRPr="00287A21">
        <w:rPr>
          <w:rFonts w:ascii="Arial" w:hAnsi="Arial" w:cs="Arial"/>
          <w:color w:val="auto"/>
          <w:sz w:val="24"/>
          <w:szCs w:val="24"/>
        </w:rPr>
        <w:fldChar w:fldCharType="separate"/>
      </w:r>
      <w:r w:rsidRPr="00287A21">
        <w:rPr>
          <w:rFonts w:ascii="Arial" w:hAnsi="Arial" w:cs="Arial"/>
          <w:noProof/>
          <w:color w:val="auto"/>
          <w:sz w:val="24"/>
          <w:szCs w:val="24"/>
        </w:rPr>
        <w:t>3</w:t>
      </w:r>
      <w:r w:rsidRPr="00287A21">
        <w:rPr>
          <w:rFonts w:ascii="Arial" w:hAnsi="Arial" w:cs="Arial"/>
          <w:noProof/>
          <w:color w:val="auto"/>
          <w:sz w:val="24"/>
          <w:szCs w:val="24"/>
        </w:rPr>
        <w:fldChar w:fldCharType="end"/>
      </w:r>
      <w:r w:rsidRPr="00287A21">
        <w:rPr>
          <w:rFonts w:ascii="Arial" w:hAnsi="Arial" w:cs="Arial"/>
          <w:color w:val="auto"/>
          <w:sz w:val="24"/>
          <w:szCs w:val="24"/>
        </w:rPr>
        <w:noBreakHyphen/>
      </w:r>
      <w:r w:rsidRPr="00287A21">
        <w:rPr>
          <w:rFonts w:ascii="Arial" w:hAnsi="Arial" w:cs="Arial"/>
          <w:color w:val="auto"/>
          <w:sz w:val="24"/>
          <w:szCs w:val="24"/>
        </w:rPr>
        <w:fldChar w:fldCharType="begin"/>
      </w:r>
      <w:r w:rsidRPr="00287A21">
        <w:rPr>
          <w:rFonts w:ascii="Arial" w:hAnsi="Arial" w:cs="Arial"/>
          <w:color w:val="auto"/>
          <w:sz w:val="24"/>
          <w:szCs w:val="24"/>
        </w:rPr>
        <w:instrText xml:space="preserve"> SEQ Tabla \* ARABIC \s 1 </w:instrText>
      </w:r>
      <w:r w:rsidRPr="00287A21">
        <w:rPr>
          <w:rFonts w:ascii="Arial" w:hAnsi="Arial" w:cs="Arial"/>
          <w:color w:val="auto"/>
          <w:sz w:val="24"/>
          <w:szCs w:val="24"/>
        </w:rPr>
        <w:fldChar w:fldCharType="separate"/>
      </w:r>
      <w:r w:rsidRPr="00287A21">
        <w:rPr>
          <w:rFonts w:ascii="Arial" w:hAnsi="Arial" w:cs="Arial"/>
          <w:noProof/>
          <w:color w:val="auto"/>
          <w:sz w:val="24"/>
          <w:szCs w:val="24"/>
        </w:rPr>
        <w:t>9</w:t>
      </w:r>
      <w:r w:rsidRPr="00287A21">
        <w:rPr>
          <w:rFonts w:ascii="Arial" w:hAnsi="Arial" w:cs="Arial"/>
          <w:noProof/>
          <w:color w:val="auto"/>
          <w:sz w:val="24"/>
          <w:szCs w:val="24"/>
        </w:rPr>
        <w:fldChar w:fldCharType="end"/>
      </w:r>
      <w:r w:rsidRPr="00287A21">
        <w:rPr>
          <w:rFonts w:ascii="Arial" w:hAnsi="Arial" w:cs="Arial"/>
          <w:color w:val="auto"/>
          <w:sz w:val="24"/>
          <w:szCs w:val="24"/>
        </w:rPr>
        <w:t xml:space="preserve"> Cuentas de orden consolidadas del nivel nacional</w:t>
      </w:r>
      <w:bookmarkEnd w:id="72"/>
    </w:p>
    <w:p w:rsidR="00287A21" w:rsidRPr="00287A21" w:rsidRDefault="00287A21" w:rsidP="00287A21">
      <w:pPr>
        <w:rPr>
          <w:lang w:val="es-CO" w:eastAsia="en-US"/>
        </w:rPr>
      </w:pPr>
    </w:p>
    <w:p w:rsidR="00287A21" w:rsidRPr="00A320BE" w:rsidRDefault="00287A21" w:rsidP="00287A21">
      <w:pPr>
        <w:jc w:val="center"/>
      </w:pPr>
      <w:r w:rsidRPr="00A320BE">
        <w:rPr>
          <w:noProof/>
          <w:lang w:val="es-CO" w:eastAsia="es-CO"/>
        </w:rPr>
        <w:drawing>
          <wp:inline distT="0" distB="0" distL="0" distR="0" wp14:anchorId="6159519B" wp14:editId="3A9C9D8C">
            <wp:extent cx="5943600" cy="1671320"/>
            <wp:effectExtent l="0" t="0" r="0" b="5080"/>
            <wp:docPr id="127055760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671320"/>
                    </a:xfrm>
                    <a:prstGeom prst="rect">
                      <a:avLst/>
                    </a:prstGeom>
                    <a:noFill/>
                    <a:ln>
                      <a:noFill/>
                    </a:ln>
                  </pic:spPr>
                </pic:pic>
              </a:graphicData>
            </a:graphic>
          </wp:inline>
        </w:drawing>
      </w:r>
    </w:p>
    <w:p w:rsidR="00287A21" w:rsidRPr="00A320BE" w:rsidRDefault="00287A21" w:rsidP="00287A21">
      <w:pPr>
        <w:jc w:val="both"/>
      </w:pPr>
    </w:p>
    <w:p w:rsidR="00287A21" w:rsidRDefault="00287A21" w:rsidP="00287A21">
      <w:pPr>
        <w:ind w:left="-142" w:right="-518"/>
        <w:jc w:val="both"/>
        <w:rPr>
          <w:rFonts w:ascii="Arial" w:hAnsi="Arial" w:cs="Arial"/>
        </w:rPr>
      </w:pPr>
      <w:r w:rsidRPr="00287A21">
        <w:rPr>
          <w:rFonts w:ascii="Arial" w:hAnsi="Arial" w:cs="Arial"/>
          <w:b/>
          <w:u w:val="single"/>
        </w:rPr>
        <w:t>A diciembre 31 de 2022, las Cuentas de orden Deudoras revelan un valor de $1.848.927,9, lo que representa el 126,3% del PIB para el 2022</w:t>
      </w:r>
      <w:r w:rsidRPr="00287A21">
        <w:rPr>
          <w:rFonts w:ascii="Arial" w:hAnsi="Arial" w:cs="Arial"/>
        </w:rPr>
        <w:t>. El 73,1% de las cuentas de orden deudoras corresponde a Derechos contingentes, el 23,1% a Deudoras de control y el 3,8% a Deudoras fiscales. En comparación con el año anterior las cuentas de orden deudoras presentaron un incremento del 12,2%.</w:t>
      </w:r>
      <w:r>
        <w:rPr>
          <w:rFonts w:ascii="Arial" w:hAnsi="Arial" w:cs="Arial"/>
        </w:rPr>
        <w:t xml:space="preserve"> (Subrayado y resaltado fuera de texto).</w:t>
      </w:r>
    </w:p>
    <w:p w:rsidR="00287A21" w:rsidRPr="00287A21" w:rsidRDefault="00287A21" w:rsidP="00287A21">
      <w:pPr>
        <w:ind w:left="-142" w:right="-518"/>
        <w:jc w:val="both"/>
        <w:rPr>
          <w:rFonts w:ascii="Arial" w:hAnsi="Arial" w:cs="Arial"/>
        </w:rPr>
      </w:pPr>
      <w:r>
        <w:rPr>
          <w:rFonts w:ascii="Arial" w:hAnsi="Arial" w:cs="Arial"/>
        </w:rPr>
        <w:t xml:space="preserve"> </w:t>
      </w:r>
    </w:p>
    <w:p w:rsidR="00287A21" w:rsidRDefault="00287A21" w:rsidP="00287A21">
      <w:pPr>
        <w:ind w:left="-142" w:right="-518"/>
        <w:jc w:val="both"/>
        <w:rPr>
          <w:rFonts w:ascii="Arial" w:hAnsi="Arial" w:cs="Arial"/>
        </w:rPr>
      </w:pPr>
      <w:r w:rsidRPr="00287A21">
        <w:rPr>
          <w:rFonts w:ascii="Arial" w:hAnsi="Arial" w:cs="Arial"/>
          <w:b/>
          <w:u w:val="single"/>
        </w:rPr>
        <w:t>Las Cuentas de orden Acreedoras totalizan un valor de $13.306.914,1, lo que representa un 909,0% del PIB del 2022</w:t>
      </w:r>
      <w:r w:rsidRPr="00287A21">
        <w:rPr>
          <w:rFonts w:ascii="Arial" w:hAnsi="Arial" w:cs="Arial"/>
        </w:rPr>
        <w:t>. El 95,5% corresponde a responsabilidades contingentes, el 4,5% son acreedoras de control y menos del 0,1% a acreedoras fiscales. En comparación con el año anterior las cuentas de orden acreedoras presentaron un incremento del 72,7%.</w:t>
      </w:r>
      <w:r>
        <w:rPr>
          <w:rFonts w:ascii="Arial" w:hAnsi="Arial" w:cs="Arial"/>
        </w:rPr>
        <w:t xml:space="preserve"> (Subrayado y resaltado fuera de texto).</w:t>
      </w:r>
    </w:p>
    <w:p w:rsidR="00287A21" w:rsidRPr="00287A21" w:rsidRDefault="00287A21" w:rsidP="00287A21">
      <w:pPr>
        <w:ind w:left="-142" w:right="-518"/>
        <w:jc w:val="both"/>
        <w:rPr>
          <w:rFonts w:ascii="Arial" w:hAnsi="Arial" w:cs="Arial"/>
        </w:rPr>
      </w:pPr>
    </w:p>
    <w:p w:rsidR="00663220" w:rsidRDefault="00663220" w:rsidP="00663220">
      <w:pPr>
        <w:pStyle w:val="Ttulo2"/>
      </w:pPr>
      <w:bookmarkStart w:id="73" w:name="_Toc8656145"/>
      <w:bookmarkStart w:id="74" w:name="_Toc40337872"/>
      <w:bookmarkStart w:id="75" w:name="_Toc135044688"/>
      <w:r>
        <w:t xml:space="preserve">3.4.- </w:t>
      </w:r>
      <w:r w:rsidRPr="00A320BE">
        <w:t>ESTADO DE CAMBIOS EN EL PATRIMONIO</w:t>
      </w:r>
      <w:bookmarkEnd w:id="73"/>
      <w:bookmarkEnd w:id="74"/>
      <w:r w:rsidRPr="00A320BE">
        <w:t xml:space="preserve"> CONSOLIDADO</w:t>
      </w:r>
      <w:bookmarkEnd w:id="75"/>
      <w:r>
        <w:t>.</w:t>
      </w:r>
    </w:p>
    <w:p w:rsidR="00663220" w:rsidRPr="00663220" w:rsidRDefault="00663220" w:rsidP="00663220">
      <w:pPr>
        <w:rPr>
          <w:lang w:val="es-CO" w:eastAsia="es-CO"/>
        </w:rPr>
      </w:pPr>
    </w:p>
    <w:p w:rsidR="00663220" w:rsidRPr="00663220" w:rsidRDefault="00663220" w:rsidP="00663220">
      <w:pPr>
        <w:ind w:left="-142" w:right="-518"/>
        <w:jc w:val="both"/>
        <w:rPr>
          <w:rFonts w:ascii="Arial" w:hAnsi="Arial" w:cs="Arial"/>
        </w:rPr>
      </w:pPr>
      <w:r w:rsidRPr="00663220">
        <w:rPr>
          <w:rFonts w:ascii="Arial" w:hAnsi="Arial" w:cs="Arial"/>
        </w:rPr>
        <w:t>El Estado de Cambios en el Patrimonio Consolidado presenta las variaciones de las partidas del patrimonio en forma detallada, clasificada y comparativa entre un periodo y otro</w:t>
      </w:r>
      <w:r w:rsidRPr="00663220">
        <w:rPr>
          <w:rStyle w:val="Refdenotaalpie"/>
          <w:rFonts w:ascii="Arial" w:hAnsi="Arial" w:cs="Arial"/>
          <w:sz w:val="24"/>
        </w:rPr>
        <w:footnoteReference w:id="9"/>
      </w:r>
      <w:r w:rsidRPr="00663220">
        <w:rPr>
          <w:rFonts w:ascii="Arial" w:hAnsi="Arial" w:cs="Arial"/>
        </w:rPr>
        <w:t>.</w:t>
      </w:r>
    </w:p>
    <w:p w:rsidR="00663220" w:rsidRDefault="00663220" w:rsidP="00575C35">
      <w:pPr>
        <w:pStyle w:val="Ttulo3"/>
      </w:pPr>
      <w:bookmarkStart w:id="76" w:name="_Toc40337874"/>
      <w:bookmarkStart w:id="77" w:name="_Toc135044689"/>
    </w:p>
    <w:p w:rsidR="00663220" w:rsidRPr="00A320BE" w:rsidRDefault="00663220" w:rsidP="00575C35">
      <w:pPr>
        <w:pStyle w:val="Ttulo3"/>
      </w:pPr>
      <w:r w:rsidRPr="00A320BE">
        <w:t>Cambios en el patrimonio por tipo de entidades</w:t>
      </w:r>
      <w:bookmarkEnd w:id="76"/>
      <w:bookmarkEnd w:id="77"/>
      <w:r>
        <w:t>.</w:t>
      </w:r>
    </w:p>
    <w:p w:rsidR="00663220" w:rsidRDefault="00663220" w:rsidP="00663220">
      <w:pPr>
        <w:jc w:val="both"/>
      </w:pPr>
    </w:p>
    <w:p w:rsidR="00C40D40" w:rsidRDefault="00663220" w:rsidP="00C40D40">
      <w:pPr>
        <w:ind w:left="-142" w:right="-518"/>
        <w:jc w:val="both"/>
        <w:rPr>
          <w:rFonts w:ascii="Arial" w:hAnsi="Arial" w:cs="Arial"/>
        </w:rPr>
      </w:pPr>
      <w:r w:rsidRPr="00C40D40">
        <w:rPr>
          <w:rFonts w:ascii="Arial" w:hAnsi="Arial" w:cs="Arial"/>
          <w:b/>
          <w:u w:val="single"/>
        </w:rPr>
        <w:lastRenderedPageBreak/>
        <w:t>El Patrimonio consolidado del nivel nacional al 31 de diciembre de 2022 registra un valor negativo de ($1.090.580,1), distribuido en: ($1.026.365,5) para las entidades de gobierno; $39.216,0 de las empresas; ($116.616,8) del resultado consolidado; $18.020,3 de las participaciones de no controladores y ($4.834,1) del efecto de las operaciones recíprocas de activos y pasivos</w:t>
      </w:r>
      <w:r w:rsidRPr="00C40D40">
        <w:rPr>
          <w:rFonts w:ascii="Arial" w:hAnsi="Arial" w:cs="Arial"/>
        </w:rPr>
        <w:t>.</w:t>
      </w:r>
      <w:r w:rsidR="00C40D40">
        <w:rPr>
          <w:rFonts w:ascii="Arial" w:hAnsi="Arial" w:cs="Arial"/>
        </w:rPr>
        <w:t xml:space="preserve"> (Subrayado y resaltado fuera de texto).</w:t>
      </w:r>
    </w:p>
    <w:p w:rsidR="00663220" w:rsidRPr="00C40D40" w:rsidRDefault="00663220" w:rsidP="00C40D40">
      <w:pPr>
        <w:ind w:left="-142"/>
        <w:jc w:val="both"/>
        <w:rPr>
          <w:rFonts w:ascii="Arial" w:hAnsi="Arial" w:cs="Arial"/>
        </w:rPr>
      </w:pPr>
    </w:p>
    <w:p w:rsidR="00663220" w:rsidRDefault="00663220" w:rsidP="00C40D40">
      <w:pPr>
        <w:pStyle w:val="Descripcin"/>
        <w:jc w:val="center"/>
        <w:rPr>
          <w:rFonts w:ascii="Arial" w:hAnsi="Arial" w:cs="Arial"/>
          <w:color w:val="auto"/>
          <w:sz w:val="24"/>
          <w:szCs w:val="24"/>
        </w:rPr>
      </w:pPr>
      <w:bookmarkStart w:id="78" w:name="_Toc135044762"/>
      <w:r w:rsidRPr="00C40D40">
        <w:rPr>
          <w:rFonts w:ascii="Arial" w:hAnsi="Arial" w:cs="Arial"/>
          <w:color w:val="auto"/>
          <w:sz w:val="24"/>
          <w:szCs w:val="24"/>
        </w:rPr>
        <w:t xml:space="preserve">Tabla </w:t>
      </w:r>
      <w:r w:rsidRPr="00C40D40">
        <w:rPr>
          <w:rFonts w:ascii="Arial" w:hAnsi="Arial" w:cs="Arial"/>
          <w:color w:val="auto"/>
          <w:sz w:val="24"/>
          <w:szCs w:val="24"/>
        </w:rPr>
        <w:fldChar w:fldCharType="begin"/>
      </w:r>
      <w:r w:rsidRPr="00C40D40">
        <w:rPr>
          <w:rFonts w:ascii="Arial" w:hAnsi="Arial" w:cs="Arial"/>
          <w:color w:val="auto"/>
          <w:sz w:val="24"/>
          <w:szCs w:val="24"/>
        </w:rPr>
        <w:instrText xml:space="preserve"> STYLEREF 1 \s </w:instrText>
      </w:r>
      <w:r w:rsidRPr="00C40D40">
        <w:rPr>
          <w:rFonts w:ascii="Arial" w:hAnsi="Arial" w:cs="Arial"/>
          <w:color w:val="auto"/>
          <w:sz w:val="24"/>
          <w:szCs w:val="24"/>
        </w:rPr>
        <w:fldChar w:fldCharType="separate"/>
      </w:r>
      <w:r w:rsidRPr="00C40D40">
        <w:rPr>
          <w:rFonts w:ascii="Arial" w:hAnsi="Arial" w:cs="Arial"/>
          <w:noProof/>
          <w:color w:val="auto"/>
          <w:sz w:val="24"/>
          <w:szCs w:val="24"/>
        </w:rPr>
        <w:t>3</w:t>
      </w:r>
      <w:r w:rsidRPr="00C40D40">
        <w:rPr>
          <w:rFonts w:ascii="Arial" w:hAnsi="Arial" w:cs="Arial"/>
          <w:noProof/>
          <w:color w:val="auto"/>
          <w:sz w:val="24"/>
          <w:szCs w:val="24"/>
        </w:rPr>
        <w:fldChar w:fldCharType="end"/>
      </w:r>
      <w:r w:rsidRPr="00C40D40">
        <w:rPr>
          <w:rFonts w:ascii="Arial" w:hAnsi="Arial" w:cs="Arial"/>
          <w:color w:val="auto"/>
          <w:sz w:val="24"/>
          <w:szCs w:val="24"/>
        </w:rPr>
        <w:noBreakHyphen/>
      </w:r>
      <w:r w:rsidRPr="00C40D40">
        <w:rPr>
          <w:rFonts w:ascii="Arial" w:hAnsi="Arial" w:cs="Arial"/>
          <w:color w:val="auto"/>
          <w:sz w:val="24"/>
          <w:szCs w:val="24"/>
        </w:rPr>
        <w:fldChar w:fldCharType="begin"/>
      </w:r>
      <w:r w:rsidRPr="00C40D40">
        <w:rPr>
          <w:rFonts w:ascii="Arial" w:hAnsi="Arial" w:cs="Arial"/>
          <w:color w:val="auto"/>
          <w:sz w:val="24"/>
          <w:szCs w:val="24"/>
        </w:rPr>
        <w:instrText xml:space="preserve"> SEQ Tabla \* ARABIC \s 1 </w:instrText>
      </w:r>
      <w:r w:rsidRPr="00C40D40">
        <w:rPr>
          <w:rFonts w:ascii="Arial" w:hAnsi="Arial" w:cs="Arial"/>
          <w:color w:val="auto"/>
          <w:sz w:val="24"/>
          <w:szCs w:val="24"/>
        </w:rPr>
        <w:fldChar w:fldCharType="separate"/>
      </w:r>
      <w:r w:rsidRPr="00C40D40">
        <w:rPr>
          <w:rFonts w:ascii="Arial" w:hAnsi="Arial" w:cs="Arial"/>
          <w:noProof/>
          <w:color w:val="auto"/>
          <w:sz w:val="24"/>
          <w:szCs w:val="24"/>
        </w:rPr>
        <w:t>10</w:t>
      </w:r>
      <w:r w:rsidRPr="00C40D40">
        <w:rPr>
          <w:rFonts w:ascii="Arial" w:hAnsi="Arial" w:cs="Arial"/>
          <w:noProof/>
          <w:color w:val="auto"/>
          <w:sz w:val="24"/>
          <w:szCs w:val="24"/>
        </w:rPr>
        <w:fldChar w:fldCharType="end"/>
      </w:r>
      <w:r w:rsidRPr="00C40D40">
        <w:rPr>
          <w:rFonts w:ascii="Arial" w:hAnsi="Arial" w:cs="Arial"/>
          <w:color w:val="auto"/>
          <w:sz w:val="24"/>
          <w:szCs w:val="24"/>
        </w:rPr>
        <w:t xml:space="preserve"> Estado de cambios en el patrimonio consolidado</w:t>
      </w:r>
      <w:bookmarkEnd w:id="78"/>
    </w:p>
    <w:p w:rsidR="00C40D40" w:rsidRPr="00C40D40" w:rsidRDefault="00C40D40" w:rsidP="00C40D40">
      <w:pPr>
        <w:rPr>
          <w:lang w:val="es-CO" w:eastAsia="en-US"/>
        </w:rPr>
      </w:pPr>
    </w:p>
    <w:p w:rsidR="00663220" w:rsidRDefault="00663220" w:rsidP="00C40D40">
      <w:pPr>
        <w:jc w:val="center"/>
      </w:pPr>
      <w:r w:rsidRPr="00A320BE">
        <w:rPr>
          <w:noProof/>
          <w:lang w:val="es-CO" w:eastAsia="es-CO"/>
        </w:rPr>
        <w:drawing>
          <wp:inline distT="0" distB="0" distL="0" distR="0" wp14:anchorId="25A89DC0" wp14:editId="50B8878C">
            <wp:extent cx="5943600" cy="3020695"/>
            <wp:effectExtent l="0" t="0" r="0" b="8255"/>
            <wp:docPr id="109914323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a:extLst>
                        <a:ext uri="{28A0092B-C50C-407E-A947-70E740481C1C}">
                          <a14:useLocalDpi xmlns:a14="http://schemas.microsoft.com/office/drawing/2010/main" val="0"/>
                        </a:ext>
                      </a:extLst>
                    </a:blip>
                    <a:srcRect t="7469"/>
                    <a:stretch/>
                  </pic:blipFill>
                  <pic:spPr bwMode="auto">
                    <a:xfrm>
                      <a:off x="0" y="0"/>
                      <a:ext cx="5943600" cy="3020695"/>
                    </a:xfrm>
                    <a:prstGeom prst="rect">
                      <a:avLst/>
                    </a:prstGeom>
                    <a:noFill/>
                    <a:ln>
                      <a:noFill/>
                    </a:ln>
                    <a:extLst>
                      <a:ext uri="{53640926-AAD7-44D8-BBD7-CCE9431645EC}">
                        <a14:shadowObscured xmlns:a14="http://schemas.microsoft.com/office/drawing/2010/main"/>
                      </a:ext>
                    </a:extLst>
                  </pic:spPr>
                </pic:pic>
              </a:graphicData>
            </a:graphic>
          </wp:inline>
        </w:drawing>
      </w:r>
    </w:p>
    <w:p w:rsidR="00663220" w:rsidRPr="00A320BE" w:rsidRDefault="00663220" w:rsidP="00663220"/>
    <w:p w:rsidR="00663220" w:rsidRPr="00C40D40" w:rsidRDefault="00663220" w:rsidP="00C40D40">
      <w:pPr>
        <w:ind w:left="-142" w:right="-518"/>
        <w:jc w:val="both"/>
        <w:rPr>
          <w:rFonts w:ascii="Arial" w:hAnsi="Arial" w:cs="Arial"/>
        </w:rPr>
      </w:pPr>
      <w:r w:rsidRPr="00C40D40">
        <w:rPr>
          <w:rFonts w:ascii="Arial" w:hAnsi="Arial" w:cs="Arial"/>
        </w:rPr>
        <w:t>Al analizar las variaciones del patrimonio durante 2022 por tipo de entidad, entre gobierno y empresas, se observa una disminución neta del patrimonio de las entidades de gobierno de ($51.080,4), explicada por la disminución en aportes y capitalizaciones por ($311.171,5), los incrementos en el resultado de ejercicios anteriores por $199.767,1, y la variación positiva en las reservas probadas de recursos naturales por $100.245,9. Por su parte, la variación neta en el patrimonio de las empresas representó un incremento de $4.233,7.</w:t>
      </w:r>
    </w:p>
    <w:p w:rsidR="00C40D40" w:rsidRPr="00C40D40" w:rsidRDefault="00C40D40" w:rsidP="00663220">
      <w:pPr>
        <w:jc w:val="both"/>
        <w:rPr>
          <w:rFonts w:ascii="Arial" w:hAnsi="Arial" w:cs="Arial"/>
        </w:rPr>
      </w:pPr>
    </w:p>
    <w:p w:rsidR="00663220" w:rsidRPr="00C40D40" w:rsidRDefault="00663220" w:rsidP="00575C35">
      <w:pPr>
        <w:pStyle w:val="Ttulo3"/>
      </w:pPr>
      <w:bookmarkStart w:id="79" w:name="_Toc8656146"/>
      <w:bookmarkStart w:id="80" w:name="_Toc40337873"/>
      <w:bookmarkStart w:id="81" w:name="_Toc135044690"/>
      <w:r w:rsidRPr="00C40D40">
        <w:t>Análisis de las variaciones patrimoniales</w:t>
      </w:r>
      <w:bookmarkEnd w:id="79"/>
      <w:bookmarkEnd w:id="80"/>
      <w:bookmarkEnd w:id="81"/>
      <w:r w:rsidR="00C40D40" w:rsidRPr="00C40D40">
        <w:t>.</w:t>
      </w:r>
    </w:p>
    <w:p w:rsidR="00C40D40" w:rsidRPr="00C40D40" w:rsidRDefault="00C40D40" w:rsidP="00C40D40">
      <w:pPr>
        <w:rPr>
          <w:rFonts w:ascii="Arial" w:hAnsi="Arial" w:cs="Arial"/>
          <w:sz w:val="28"/>
          <w:szCs w:val="28"/>
          <w:lang w:val="es-CO" w:eastAsia="es-CO"/>
        </w:rPr>
      </w:pPr>
    </w:p>
    <w:p w:rsidR="00663220" w:rsidRDefault="00663220" w:rsidP="00C40D40">
      <w:pPr>
        <w:ind w:left="-142" w:right="-518"/>
        <w:jc w:val="both"/>
        <w:rPr>
          <w:rFonts w:ascii="Arial" w:hAnsi="Arial" w:cs="Arial"/>
        </w:rPr>
      </w:pPr>
      <w:r w:rsidRPr="00C40D40">
        <w:rPr>
          <w:rFonts w:ascii="Arial" w:hAnsi="Arial" w:cs="Arial"/>
        </w:rPr>
        <w:t xml:space="preserve">A continuación, se realiza un análisis general a partir de los saldos obtenidos en el Estado de Cambios en el Patrimonio consolidado del nivel nacional, con el propósito de describir las variaciones de estos saldos a nivel de clase y grupos. </w:t>
      </w:r>
    </w:p>
    <w:p w:rsidR="00C40D40" w:rsidRPr="00C40D40" w:rsidRDefault="00C40D40" w:rsidP="00C40D40">
      <w:pPr>
        <w:ind w:left="-142" w:right="-518"/>
        <w:jc w:val="both"/>
        <w:rPr>
          <w:rFonts w:ascii="Arial" w:hAnsi="Arial" w:cs="Arial"/>
        </w:rPr>
      </w:pPr>
    </w:p>
    <w:p w:rsidR="00663220" w:rsidRPr="00C40D40" w:rsidRDefault="00663220" w:rsidP="00C40D40">
      <w:pPr>
        <w:ind w:left="-142" w:right="-518"/>
        <w:jc w:val="both"/>
        <w:rPr>
          <w:rFonts w:ascii="Arial" w:hAnsi="Arial" w:cs="Arial"/>
        </w:rPr>
      </w:pPr>
      <w:r w:rsidRPr="00C40D40">
        <w:rPr>
          <w:rFonts w:ascii="Arial" w:hAnsi="Arial" w:cs="Arial"/>
        </w:rPr>
        <w:t xml:space="preserve">La siguiente tabla presenta las variaciones en el patrimonio del nivel nacional al inicio y final del año 2021 y de 2022, clasificado en los diferentes conceptos que identifican el tipo de entidad que registra valores en esta clase. </w:t>
      </w:r>
    </w:p>
    <w:p w:rsidR="00663220" w:rsidRPr="00C40D40" w:rsidRDefault="00663220" w:rsidP="00663220">
      <w:pPr>
        <w:jc w:val="both"/>
        <w:rPr>
          <w:rFonts w:ascii="Arial" w:hAnsi="Arial" w:cs="Arial"/>
        </w:rPr>
      </w:pPr>
    </w:p>
    <w:p w:rsidR="00663220" w:rsidRPr="00C40D40" w:rsidRDefault="00663220" w:rsidP="00C40D40">
      <w:pPr>
        <w:pStyle w:val="Descripcin"/>
        <w:jc w:val="center"/>
        <w:rPr>
          <w:rFonts w:ascii="Arial" w:eastAsia="Times New Roman" w:hAnsi="Arial" w:cs="Arial"/>
          <w:color w:val="auto"/>
          <w:sz w:val="24"/>
          <w:szCs w:val="24"/>
          <w:lang w:eastAsia="es-ES"/>
        </w:rPr>
      </w:pPr>
      <w:bookmarkStart w:id="82" w:name="_Toc135044763"/>
      <w:r w:rsidRPr="00C40D40">
        <w:rPr>
          <w:rFonts w:ascii="Arial" w:hAnsi="Arial" w:cs="Arial"/>
          <w:color w:val="auto"/>
          <w:sz w:val="24"/>
          <w:szCs w:val="24"/>
        </w:rPr>
        <w:t xml:space="preserve">Tabla </w:t>
      </w:r>
      <w:r w:rsidRPr="00C40D40">
        <w:rPr>
          <w:rFonts w:ascii="Arial" w:hAnsi="Arial" w:cs="Arial"/>
          <w:color w:val="auto"/>
          <w:sz w:val="24"/>
          <w:szCs w:val="24"/>
        </w:rPr>
        <w:fldChar w:fldCharType="begin"/>
      </w:r>
      <w:r w:rsidRPr="00C40D40">
        <w:rPr>
          <w:rFonts w:ascii="Arial" w:hAnsi="Arial" w:cs="Arial"/>
          <w:color w:val="auto"/>
          <w:sz w:val="24"/>
          <w:szCs w:val="24"/>
        </w:rPr>
        <w:instrText xml:space="preserve"> STYLEREF 1 \s </w:instrText>
      </w:r>
      <w:r w:rsidRPr="00C40D40">
        <w:rPr>
          <w:rFonts w:ascii="Arial" w:hAnsi="Arial" w:cs="Arial"/>
          <w:color w:val="auto"/>
          <w:sz w:val="24"/>
          <w:szCs w:val="24"/>
        </w:rPr>
        <w:fldChar w:fldCharType="separate"/>
      </w:r>
      <w:r w:rsidRPr="00C40D40">
        <w:rPr>
          <w:rFonts w:ascii="Arial" w:hAnsi="Arial" w:cs="Arial"/>
          <w:noProof/>
          <w:color w:val="auto"/>
          <w:sz w:val="24"/>
          <w:szCs w:val="24"/>
        </w:rPr>
        <w:t>3</w:t>
      </w:r>
      <w:r w:rsidRPr="00C40D40">
        <w:rPr>
          <w:rFonts w:ascii="Arial" w:hAnsi="Arial" w:cs="Arial"/>
          <w:noProof/>
          <w:color w:val="auto"/>
          <w:sz w:val="24"/>
          <w:szCs w:val="24"/>
        </w:rPr>
        <w:fldChar w:fldCharType="end"/>
      </w:r>
      <w:r w:rsidRPr="00C40D40">
        <w:rPr>
          <w:rFonts w:ascii="Arial" w:hAnsi="Arial" w:cs="Arial"/>
          <w:color w:val="auto"/>
          <w:sz w:val="24"/>
          <w:szCs w:val="24"/>
        </w:rPr>
        <w:noBreakHyphen/>
      </w:r>
      <w:r w:rsidRPr="00C40D40">
        <w:rPr>
          <w:rFonts w:ascii="Arial" w:hAnsi="Arial" w:cs="Arial"/>
          <w:color w:val="auto"/>
          <w:sz w:val="24"/>
          <w:szCs w:val="24"/>
        </w:rPr>
        <w:fldChar w:fldCharType="begin"/>
      </w:r>
      <w:r w:rsidRPr="00C40D40">
        <w:rPr>
          <w:rFonts w:ascii="Arial" w:hAnsi="Arial" w:cs="Arial"/>
          <w:color w:val="auto"/>
          <w:sz w:val="24"/>
          <w:szCs w:val="24"/>
        </w:rPr>
        <w:instrText xml:space="preserve"> SEQ Tabla \* ARABIC \s 1 </w:instrText>
      </w:r>
      <w:r w:rsidRPr="00C40D40">
        <w:rPr>
          <w:rFonts w:ascii="Arial" w:hAnsi="Arial" w:cs="Arial"/>
          <w:color w:val="auto"/>
          <w:sz w:val="24"/>
          <w:szCs w:val="24"/>
        </w:rPr>
        <w:fldChar w:fldCharType="separate"/>
      </w:r>
      <w:r w:rsidRPr="00C40D40">
        <w:rPr>
          <w:rFonts w:ascii="Arial" w:hAnsi="Arial" w:cs="Arial"/>
          <w:noProof/>
          <w:color w:val="auto"/>
          <w:sz w:val="24"/>
          <w:szCs w:val="24"/>
        </w:rPr>
        <w:t>11</w:t>
      </w:r>
      <w:r w:rsidRPr="00C40D40">
        <w:rPr>
          <w:rFonts w:ascii="Arial" w:hAnsi="Arial" w:cs="Arial"/>
          <w:noProof/>
          <w:color w:val="auto"/>
          <w:sz w:val="24"/>
          <w:szCs w:val="24"/>
        </w:rPr>
        <w:fldChar w:fldCharType="end"/>
      </w:r>
      <w:r w:rsidRPr="00C40D40">
        <w:rPr>
          <w:rFonts w:ascii="Arial" w:hAnsi="Arial" w:cs="Arial"/>
          <w:color w:val="auto"/>
          <w:sz w:val="24"/>
          <w:szCs w:val="24"/>
        </w:rPr>
        <w:t xml:space="preserve"> Estado de cambios en el patrimonio consolidado del nivel nacional - Variaciones patrimoniales</w:t>
      </w:r>
      <w:bookmarkEnd w:id="82"/>
    </w:p>
    <w:p w:rsidR="00663220" w:rsidRPr="00A320BE" w:rsidRDefault="00663220" w:rsidP="00C40D40">
      <w:pPr>
        <w:jc w:val="center"/>
      </w:pPr>
      <w:r w:rsidRPr="00A320BE">
        <w:rPr>
          <w:noProof/>
          <w:lang w:val="es-CO" w:eastAsia="es-CO"/>
        </w:rPr>
        <w:lastRenderedPageBreak/>
        <w:drawing>
          <wp:inline distT="0" distB="0" distL="0" distR="0" wp14:anchorId="5234D38F" wp14:editId="4FA4FCA6">
            <wp:extent cx="5943600" cy="3575050"/>
            <wp:effectExtent l="0" t="0" r="0" b="0"/>
            <wp:docPr id="192755568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a:extLst>
                        <a:ext uri="{28A0092B-C50C-407E-A947-70E740481C1C}">
                          <a14:useLocalDpi xmlns:a14="http://schemas.microsoft.com/office/drawing/2010/main" val="0"/>
                        </a:ext>
                      </a:extLst>
                    </a:blip>
                    <a:srcRect t="9456"/>
                    <a:stretch/>
                  </pic:blipFill>
                  <pic:spPr bwMode="auto">
                    <a:xfrm>
                      <a:off x="0" y="0"/>
                      <a:ext cx="5943600" cy="3575050"/>
                    </a:xfrm>
                    <a:prstGeom prst="rect">
                      <a:avLst/>
                    </a:prstGeom>
                    <a:noFill/>
                    <a:ln>
                      <a:noFill/>
                    </a:ln>
                    <a:extLst>
                      <a:ext uri="{53640926-AAD7-44D8-BBD7-CCE9431645EC}">
                        <a14:shadowObscured xmlns:a14="http://schemas.microsoft.com/office/drawing/2010/main"/>
                      </a:ext>
                    </a:extLst>
                  </pic:spPr>
                </pic:pic>
              </a:graphicData>
            </a:graphic>
          </wp:inline>
        </w:drawing>
      </w:r>
    </w:p>
    <w:p w:rsidR="00663220" w:rsidRPr="00A320BE" w:rsidRDefault="00663220" w:rsidP="00663220">
      <w:pPr>
        <w:jc w:val="both"/>
      </w:pPr>
    </w:p>
    <w:p w:rsidR="00C40D40" w:rsidRDefault="00663220" w:rsidP="00C40D40">
      <w:pPr>
        <w:ind w:left="-142" w:right="-518"/>
        <w:jc w:val="both"/>
        <w:rPr>
          <w:rFonts w:ascii="Arial" w:hAnsi="Arial" w:cs="Arial"/>
        </w:rPr>
      </w:pPr>
      <w:r w:rsidRPr="00C40D40">
        <w:rPr>
          <w:rFonts w:ascii="Arial" w:hAnsi="Arial" w:cs="Arial"/>
          <w:b/>
          <w:u w:val="single"/>
        </w:rPr>
        <w:t>Al 31 de diciembre de 2022 el Patrimonio consolidado del nivel nacional es negativo en ($1.090.580,1) y presentó una variación neta que lo disminuye en ($67.367,2,) teniendo en cuenta que al 31 de diciembre del año 2021 el patrimonio presentaba un valor negativo de ($1.023.212,9</w:t>
      </w:r>
      <w:r w:rsidRPr="00C40D40">
        <w:rPr>
          <w:rFonts w:ascii="Arial" w:hAnsi="Arial" w:cs="Arial"/>
        </w:rPr>
        <w:t>).</w:t>
      </w:r>
      <w:r w:rsidR="00C40D40">
        <w:rPr>
          <w:rFonts w:ascii="Arial" w:hAnsi="Arial" w:cs="Arial"/>
        </w:rPr>
        <w:t xml:space="preserve"> (Subrayado y resaltado fuera de texto).</w:t>
      </w:r>
    </w:p>
    <w:p w:rsidR="00C40D40" w:rsidRPr="00C40D40" w:rsidRDefault="00C40D40" w:rsidP="00C40D40">
      <w:pPr>
        <w:ind w:left="-142"/>
        <w:jc w:val="both"/>
        <w:rPr>
          <w:rFonts w:ascii="Arial" w:hAnsi="Arial" w:cs="Arial"/>
        </w:rPr>
      </w:pPr>
    </w:p>
    <w:p w:rsidR="00663220" w:rsidRPr="00C40D40" w:rsidRDefault="00663220" w:rsidP="00C40D40">
      <w:pPr>
        <w:ind w:left="-142" w:right="-376"/>
        <w:jc w:val="both"/>
        <w:rPr>
          <w:rFonts w:ascii="Arial" w:hAnsi="Arial" w:cs="Arial"/>
        </w:rPr>
      </w:pPr>
      <w:r w:rsidRPr="00C40D40">
        <w:rPr>
          <w:rFonts w:ascii="Arial" w:hAnsi="Arial" w:cs="Arial"/>
        </w:rPr>
        <w:t xml:space="preserve">La tabla anterior permite visualizar estas variaciones por los diferentes conceptos, resaltando que las mayores variaciones están dadas por los aportes y capitalizaciones ($310.506,0), el cual recoge el efecto de la pérdida del periodo anterior y los ajustes patrimoniales del periodo; también se destaca el resultado del ejercicio que implicó un déficit por ($116.616,8). </w:t>
      </w:r>
    </w:p>
    <w:p w:rsidR="00663220" w:rsidRPr="00C40D40" w:rsidRDefault="00663220" w:rsidP="00C40D40">
      <w:pPr>
        <w:ind w:left="-142" w:right="-376"/>
        <w:jc w:val="both"/>
        <w:rPr>
          <w:rFonts w:ascii="Arial" w:hAnsi="Arial" w:cs="Arial"/>
        </w:rPr>
      </w:pPr>
    </w:p>
    <w:p w:rsidR="00CB0E39" w:rsidRDefault="00663220" w:rsidP="00CB0E39">
      <w:pPr>
        <w:ind w:left="-142" w:right="-518"/>
        <w:jc w:val="both"/>
        <w:rPr>
          <w:rFonts w:ascii="Arial" w:hAnsi="Arial" w:cs="Arial"/>
        </w:rPr>
      </w:pPr>
      <w:r w:rsidRPr="00C40D40">
        <w:rPr>
          <w:rFonts w:ascii="Arial" w:hAnsi="Arial" w:cs="Arial"/>
          <w:b/>
          <w:u w:val="single"/>
        </w:rPr>
        <w:t>Dentro de las variaciones que disminuyen el patrimonio se destacan, adicionalmente, las correspondientes a los conceptos de ganancias o pérdidas por revaluaciones ($885,0) para 2021, frente a ($1.193,2) en 2022</w:t>
      </w:r>
      <w:r w:rsidRPr="00C40D40">
        <w:rPr>
          <w:rFonts w:ascii="Arial" w:hAnsi="Arial" w:cs="Arial"/>
        </w:rPr>
        <w:t>.</w:t>
      </w:r>
      <w:r w:rsidR="00C40D40">
        <w:rPr>
          <w:rFonts w:ascii="Arial" w:hAnsi="Arial" w:cs="Arial"/>
        </w:rPr>
        <w:t xml:space="preserve"> (Subrayado y resaltado fuera de texto).</w:t>
      </w:r>
      <w:bookmarkStart w:id="83" w:name="_Toc135044691"/>
    </w:p>
    <w:p w:rsidR="00CB0E39" w:rsidRDefault="00CB0E39" w:rsidP="00CB0E39">
      <w:pPr>
        <w:ind w:left="-142" w:right="-518"/>
        <w:jc w:val="both"/>
        <w:rPr>
          <w:rFonts w:ascii="Arial" w:hAnsi="Arial" w:cs="Arial"/>
          <w:sz w:val="28"/>
          <w:szCs w:val="28"/>
        </w:rPr>
      </w:pPr>
    </w:p>
    <w:p w:rsidR="00CB0E39" w:rsidRDefault="00CB0E39" w:rsidP="00CB0E39">
      <w:pPr>
        <w:ind w:left="-142" w:right="-518"/>
        <w:jc w:val="both"/>
        <w:rPr>
          <w:rFonts w:ascii="Arial" w:hAnsi="Arial" w:cs="Arial"/>
          <w:b/>
          <w:sz w:val="28"/>
          <w:szCs w:val="28"/>
        </w:rPr>
      </w:pPr>
      <w:r w:rsidRPr="00CB0E39">
        <w:rPr>
          <w:rFonts w:ascii="Arial" w:hAnsi="Arial" w:cs="Arial"/>
          <w:b/>
          <w:sz w:val="28"/>
          <w:szCs w:val="28"/>
        </w:rPr>
        <w:t>4.- NOTAS A LOS ESTADOS FINANCIEROS CONSOLIDADOS</w:t>
      </w:r>
      <w:bookmarkEnd w:id="83"/>
      <w:r w:rsidRPr="00CB0E39">
        <w:rPr>
          <w:rFonts w:ascii="Arial" w:hAnsi="Arial" w:cs="Arial"/>
          <w:b/>
          <w:sz w:val="28"/>
          <w:szCs w:val="28"/>
        </w:rPr>
        <w:t>.</w:t>
      </w:r>
      <w:r>
        <w:rPr>
          <w:rFonts w:ascii="Arial" w:hAnsi="Arial" w:cs="Arial"/>
          <w:b/>
          <w:sz w:val="28"/>
          <w:szCs w:val="28"/>
        </w:rPr>
        <w:t xml:space="preserve"> </w:t>
      </w:r>
    </w:p>
    <w:p w:rsidR="00CB0E39" w:rsidRDefault="00CB0E39" w:rsidP="00CB0E39">
      <w:pPr>
        <w:ind w:left="-142" w:right="-518"/>
        <w:jc w:val="both"/>
        <w:rPr>
          <w:rFonts w:ascii="Arial" w:hAnsi="Arial" w:cs="Arial"/>
          <w:b/>
          <w:sz w:val="28"/>
          <w:szCs w:val="28"/>
        </w:rPr>
      </w:pPr>
    </w:p>
    <w:p w:rsidR="00CB0E39" w:rsidRPr="00CB0E39" w:rsidRDefault="00CB0E39" w:rsidP="00CB0E39">
      <w:pPr>
        <w:ind w:left="-142" w:right="-518"/>
        <w:jc w:val="both"/>
        <w:rPr>
          <w:rFonts w:ascii="Arial" w:hAnsi="Arial" w:cs="Arial"/>
          <w:b/>
          <w:bCs/>
          <w:sz w:val="28"/>
          <w:szCs w:val="28"/>
        </w:rPr>
      </w:pPr>
      <w:r w:rsidRPr="00CB0E39">
        <w:rPr>
          <w:rFonts w:ascii="Arial" w:hAnsi="Arial" w:cs="Arial"/>
          <w:b/>
          <w:sz w:val="28"/>
          <w:szCs w:val="28"/>
        </w:rPr>
        <w:t>De las notas a los estados financieros consolidados del nivel nacional a 31 de diciembre de 2022, retomamos lo siguiente:</w:t>
      </w:r>
    </w:p>
    <w:p w:rsidR="00663220" w:rsidRPr="00CB0E39" w:rsidRDefault="00663220" w:rsidP="00CB0E39">
      <w:pPr>
        <w:ind w:left="-142" w:right="-376"/>
        <w:jc w:val="both"/>
        <w:rPr>
          <w:rFonts w:ascii="Arial" w:hAnsi="Arial" w:cs="Arial"/>
          <w:b/>
          <w:sz w:val="28"/>
          <w:szCs w:val="28"/>
        </w:rPr>
      </w:pPr>
    </w:p>
    <w:p w:rsidR="00947DFB" w:rsidRPr="00947DFB" w:rsidRDefault="00947DFB" w:rsidP="00947DFB">
      <w:pPr>
        <w:ind w:left="-142"/>
        <w:rPr>
          <w:rFonts w:ascii="Arial" w:hAnsi="Arial" w:cs="Arial"/>
          <w:b/>
          <w:sz w:val="28"/>
          <w:szCs w:val="28"/>
          <w:lang w:eastAsia="es-CO"/>
        </w:rPr>
      </w:pPr>
      <w:r w:rsidRPr="00947DFB">
        <w:rPr>
          <w:rFonts w:ascii="Arial" w:hAnsi="Arial" w:cs="Arial"/>
          <w:b/>
          <w:sz w:val="28"/>
          <w:szCs w:val="28"/>
          <w:lang w:eastAsia="es-CO"/>
        </w:rPr>
        <w:t>2.3.3</w:t>
      </w:r>
      <w:r>
        <w:rPr>
          <w:rFonts w:ascii="Arial" w:hAnsi="Arial" w:cs="Arial"/>
          <w:b/>
          <w:sz w:val="28"/>
          <w:szCs w:val="28"/>
          <w:lang w:eastAsia="es-CO"/>
        </w:rPr>
        <w:t xml:space="preserve">.- </w:t>
      </w:r>
      <w:r w:rsidRPr="00947DFB">
        <w:rPr>
          <w:rFonts w:ascii="Arial" w:hAnsi="Arial" w:cs="Arial"/>
          <w:b/>
          <w:sz w:val="28"/>
          <w:szCs w:val="28"/>
          <w:lang w:eastAsia="es-CO"/>
        </w:rPr>
        <w:t>Indicadores financieros y económicos utilizados para la medición</w:t>
      </w:r>
      <w:r>
        <w:rPr>
          <w:rFonts w:ascii="Arial" w:hAnsi="Arial" w:cs="Arial"/>
          <w:b/>
          <w:sz w:val="28"/>
          <w:szCs w:val="28"/>
          <w:lang w:eastAsia="es-CO"/>
        </w:rPr>
        <w:t>.</w:t>
      </w:r>
    </w:p>
    <w:p w:rsidR="00947DFB" w:rsidRPr="00947DFB" w:rsidRDefault="00947DFB" w:rsidP="00947DFB">
      <w:pPr>
        <w:jc w:val="both"/>
        <w:rPr>
          <w:rFonts w:ascii="Arial" w:eastAsia="Calibri" w:hAnsi="Arial" w:cs="Arial"/>
          <w:b/>
          <w:sz w:val="28"/>
          <w:szCs w:val="28"/>
        </w:rPr>
      </w:pPr>
    </w:p>
    <w:p w:rsidR="00947DFB" w:rsidRDefault="00947DFB" w:rsidP="00947DFB">
      <w:pPr>
        <w:ind w:left="-142" w:right="-518"/>
        <w:jc w:val="both"/>
        <w:rPr>
          <w:rFonts w:ascii="Arial" w:eastAsia="Calibri" w:hAnsi="Arial" w:cs="Arial"/>
        </w:rPr>
      </w:pPr>
      <w:r w:rsidRPr="00947DFB">
        <w:rPr>
          <w:rFonts w:ascii="Arial" w:eastAsia="Calibri" w:hAnsi="Arial" w:cs="Arial"/>
        </w:rPr>
        <w:t xml:space="preserve">En el proceso de medición inicial o posterior de diferentes operaciones contables y financieras, tanto en moneda nacional como extranjera, se hace necesaria la utilización de indicadores financieros y económicos para el reconocimiento y la medición de los diferentes elementos que conforman los estados financieros, especialmente para la base de medición del costo reexpresado. Estos </w:t>
      </w:r>
      <w:r w:rsidRPr="00947DFB">
        <w:rPr>
          <w:rFonts w:ascii="Arial" w:eastAsia="Calibri" w:hAnsi="Arial" w:cs="Arial"/>
        </w:rPr>
        <w:lastRenderedPageBreak/>
        <w:t xml:space="preserve">indicadores son divulgados por parte de las autoridades que tienen la competencia para ello, tales como el Banco de la República y el DANE, según corresponda. </w:t>
      </w:r>
    </w:p>
    <w:p w:rsidR="00947DFB" w:rsidRPr="00947DFB" w:rsidRDefault="00947DFB" w:rsidP="00947DFB">
      <w:pPr>
        <w:ind w:left="-142" w:right="-518"/>
        <w:jc w:val="both"/>
        <w:rPr>
          <w:rFonts w:ascii="Arial" w:eastAsia="Calibri" w:hAnsi="Arial" w:cs="Arial"/>
        </w:rPr>
      </w:pPr>
    </w:p>
    <w:p w:rsidR="00947DFB" w:rsidRPr="00947DFB" w:rsidRDefault="00947DFB" w:rsidP="00947DFB">
      <w:pPr>
        <w:ind w:left="-142" w:right="-518"/>
        <w:jc w:val="both"/>
        <w:rPr>
          <w:rFonts w:ascii="Arial" w:eastAsia="Calibri" w:hAnsi="Arial" w:cs="Arial"/>
        </w:rPr>
      </w:pPr>
      <w:r w:rsidRPr="00947DFB">
        <w:rPr>
          <w:rFonts w:ascii="Arial" w:eastAsia="Calibri" w:hAnsi="Arial" w:cs="Arial"/>
        </w:rPr>
        <w:t>Los principales indicadores que se utilizan en la medición y actualización de valores reportados en la información contable y financiera de algunas entidades se presentan en la tabla siguiente.</w:t>
      </w:r>
    </w:p>
    <w:p w:rsidR="00947DFB" w:rsidRPr="00A320BE" w:rsidRDefault="00947DFB" w:rsidP="00947DFB">
      <w:pPr>
        <w:jc w:val="both"/>
        <w:rPr>
          <w:rFonts w:eastAsia="Calibri"/>
        </w:rPr>
      </w:pPr>
    </w:p>
    <w:p w:rsidR="00947DFB" w:rsidRPr="00947DFB" w:rsidRDefault="00947DFB" w:rsidP="00947DFB">
      <w:pPr>
        <w:pStyle w:val="Descripcin"/>
        <w:jc w:val="center"/>
        <w:rPr>
          <w:rFonts w:ascii="Arial" w:hAnsi="Arial" w:cs="Arial"/>
          <w:b/>
          <w:color w:val="auto"/>
          <w:sz w:val="28"/>
          <w:szCs w:val="28"/>
        </w:rPr>
      </w:pPr>
      <w:bookmarkStart w:id="84" w:name="_Toc135044767"/>
      <w:r w:rsidRPr="00947DFB">
        <w:rPr>
          <w:rFonts w:ascii="Arial" w:hAnsi="Arial" w:cs="Arial"/>
          <w:b/>
          <w:color w:val="auto"/>
          <w:sz w:val="28"/>
          <w:szCs w:val="28"/>
        </w:rPr>
        <w:t xml:space="preserve">Tabla </w:t>
      </w:r>
      <w:r w:rsidRPr="00947DFB">
        <w:rPr>
          <w:rFonts w:ascii="Arial" w:hAnsi="Arial" w:cs="Arial"/>
          <w:b/>
          <w:color w:val="auto"/>
          <w:sz w:val="28"/>
          <w:szCs w:val="28"/>
        </w:rPr>
        <w:fldChar w:fldCharType="begin"/>
      </w:r>
      <w:r w:rsidRPr="00947DFB">
        <w:rPr>
          <w:rFonts w:ascii="Arial" w:hAnsi="Arial" w:cs="Arial"/>
          <w:b/>
          <w:color w:val="auto"/>
          <w:sz w:val="28"/>
          <w:szCs w:val="28"/>
        </w:rPr>
        <w:instrText xml:space="preserve"> STYLEREF 1 \s </w:instrText>
      </w:r>
      <w:r w:rsidRPr="00947DFB">
        <w:rPr>
          <w:rFonts w:ascii="Arial" w:hAnsi="Arial" w:cs="Arial"/>
          <w:b/>
          <w:color w:val="auto"/>
          <w:sz w:val="28"/>
          <w:szCs w:val="28"/>
        </w:rPr>
        <w:fldChar w:fldCharType="separate"/>
      </w:r>
      <w:r w:rsidRPr="00947DFB">
        <w:rPr>
          <w:rFonts w:ascii="Arial" w:hAnsi="Arial" w:cs="Arial"/>
          <w:b/>
          <w:noProof/>
          <w:color w:val="auto"/>
          <w:sz w:val="28"/>
          <w:szCs w:val="28"/>
        </w:rPr>
        <w:t>4</w:t>
      </w:r>
      <w:r w:rsidRPr="00947DFB">
        <w:rPr>
          <w:rFonts w:ascii="Arial" w:hAnsi="Arial" w:cs="Arial"/>
          <w:b/>
          <w:noProof/>
          <w:color w:val="auto"/>
          <w:sz w:val="28"/>
          <w:szCs w:val="28"/>
        </w:rPr>
        <w:fldChar w:fldCharType="end"/>
      </w:r>
      <w:r w:rsidRPr="00947DFB">
        <w:rPr>
          <w:rFonts w:ascii="Arial" w:hAnsi="Arial" w:cs="Arial"/>
          <w:b/>
          <w:color w:val="auto"/>
          <w:sz w:val="28"/>
          <w:szCs w:val="28"/>
        </w:rPr>
        <w:noBreakHyphen/>
      </w:r>
      <w:r w:rsidRPr="00947DFB">
        <w:rPr>
          <w:rFonts w:ascii="Arial" w:hAnsi="Arial" w:cs="Arial"/>
          <w:b/>
          <w:color w:val="auto"/>
          <w:sz w:val="28"/>
          <w:szCs w:val="28"/>
        </w:rPr>
        <w:fldChar w:fldCharType="begin"/>
      </w:r>
      <w:r w:rsidRPr="00947DFB">
        <w:rPr>
          <w:rFonts w:ascii="Arial" w:hAnsi="Arial" w:cs="Arial"/>
          <w:b/>
          <w:color w:val="auto"/>
          <w:sz w:val="28"/>
          <w:szCs w:val="28"/>
        </w:rPr>
        <w:instrText xml:space="preserve"> SEQ Tabla \* ARABIC \s 1 </w:instrText>
      </w:r>
      <w:r w:rsidRPr="00947DFB">
        <w:rPr>
          <w:rFonts w:ascii="Arial" w:hAnsi="Arial" w:cs="Arial"/>
          <w:b/>
          <w:color w:val="auto"/>
          <w:sz w:val="28"/>
          <w:szCs w:val="28"/>
        </w:rPr>
        <w:fldChar w:fldCharType="separate"/>
      </w:r>
      <w:r w:rsidRPr="00947DFB">
        <w:rPr>
          <w:rFonts w:ascii="Arial" w:hAnsi="Arial" w:cs="Arial"/>
          <w:b/>
          <w:noProof/>
          <w:color w:val="auto"/>
          <w:sz w:val="28"/>
          <w:szCs w:val="28"/>
        </w:rPr>
        <w:t>4</w:t>
      </w:r>
      <w:r w:rsidRPr="00947DFB">
        <w:rPr>
          <w:rFonts w:ascii="Arial" w:hAnsi="Arial" w:cs="Arial"/>
          <w:b/>
          <w:noProof/>
          <w:color w:val="auto"/>
          <w:sz w:val="28"/>
          <w:szCs w:val="28"/>
        </w:rPr>
        <w:fldChar w:fldCharType="end"/>
      </w:r>
      <w:r w:rsidRPr="00947DFB">
        <w:rPr>
          <w:rFonts w:ascii="Arial" w:hAnsi="Arial" w:cs="Arial"/>
          <w:b/>
          <w:color w:val="auto"/>
          <w:sz w:val="28"/>
          <w:szCs w:val="28"/>
        </w:rPr>
        <w:t xml:space="preserve"> Indicadores financieros</w:t>
      </w:r>
      <w:bookmarkEnd w:id="84"/>
    </w:p>
    <w:p w:rsidR="00947DFB" w:rsidRPr="00947DFB" w:rsidRDefault="00947DFB" w:rsidP="00947DFB">
      <w:pPr>
        <w:rPr>
          <w:rFonts w:eastAsia="Calibri"/>
          <w:lang w:val="es-CO" w:eastAsia="en-US"/>
        </w:rPr>
      </w:pPr>
    </w:p>
    <w:p w:rsidR="00947DFB" w:rsidRPr="00A320BE" w:rsidRDefault="00947DFB" w:rsidP="00947DFB">
      <w:pPr>
        <w:jc w:val="center"/>
        <w:rPr>
          <w:rFonts w:eastAsia="Calibri"/>
        </w:rPr>
      </w:pPr>
      <w:r w:rsidRPr="00492415">
        <w:rPr>
          <w:noProof/>
          <w:lang w:val="es-CO" w:eastAsia="es-CO"/>
        </w:rPr>
        <w:drawing>
          <wp:inline distT="0" distB="0" distL="0" distR="0" wp14:anchorId="69B921E1" wp14:editId="7E559B63">
            <wp:extent cx="5943600" cy="3417570"/>
            <wp:effectExtent l="0" t="0" r="0" b="0"/>
            <wp:docPr id="593968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8765" cy="3420540"/>
                    </a:xfrm>
                    <a:prstGeom prst="rect">
                      <a:avLst/>
                    </a:prstGeom>
                    <a:noFill/>
                    <a:ln>
                      <a:noFill/>
                    </a:ln>
                  </pic:spPr>
                </pic:pic>
              </a:graphicData>
            </a:graphic>
          </wp:inline>
        </w:drawing>
      </w:r>
    </w:p>
    <w:p w:rsidR="00947DFB" w:rsidRPr="00A320BE" w:rsidRDefault="00947DFB" w:rsidP="00947DFB">
      <w:pPr>
        <w:jc w:val="both"/>
        <w:rPr>
          <w:rFonts w:eastAsia="Calibri"/>
        </w:rPr>
      </w:pPr>
    </w:p>
    <w:p w:rsidR="004F42C6" w:rsidRPr="004F42C6" w:rsidRDefault="004F42C6" w:rsidP="004F42C6">
      <w:pPr>
        <w:pStyle w:val="Ttulo2"/>
      </w:pPr>
      <w:bookmarkStart w:id="85" w:name="_Toc103328332"/>
      <w:bookmarkStart w:id="86" w:name="_Toc135044697"/>
      <w:r>
        <w:t xml:space="preserve">4.2.- </w:t>
      </w:r>
      <w:r w:rsidRPr="004F42C6">
        <w:t>NOTAS DE CARÁCTER ESPECÍFICO</w:t>
      </w:r>
      <w:bookmarkEnd w:id="85"/>
      <w:bookmarkEnd w:id="86"/>
      <w:r w:rsidRPr="004F42C6">
        <w:t>.</w:t>
      </w:r>
    </w:p>
    <w:p w:rsidR="004F42C6" w:rsidRPr="004F42C6" w:rsidRDefault="004F42C6" w:rsidP="004F42C6">
      <w:pPr>
        <w:rPr>
          <w:rFonts w:ascii="Arial" w:hAnsi="Arial" w:cs="Arial"/>
          <w:sz w:val="28"/>
          <w:szCs w:val="28"/>
          <w:lang w:val="es-CO" w:eastAsia="es-CO"/>
        </w:rPr>
      </w:pPr>
    </w:p>
    <w:p w:rsidR="004F42C6" w:rsidRPr="004F42C6" w:rsidRDefault="004F42C6" w:rsidP="004F42C6">
      <w:pPr>
        <w:pStyle w:val="Ttulo6"/>
        <w:ind w:left="-142"/>
        <w:rPr>
          <w:rFonts w:ascii="Arial" w:hAnsi="Arial" w:cs="Arial"/>
          <w:b/>
          <w:color w:val="auto"/>
          <w:sz w:val="28"/>
          <w:szCs w:val="28"/>
          <w:lang w:eastAsia="es-CO"/>
        </w:rPr>
      </w:pPr>
      <w:bookmarkStart w:id="87" w:name="_Toc103328333"/>
      <w:bookmarkStart w:id="88" w:name="_Toc135044698"/>
      <w:r>
        <w:rPr>
          <w:rFonts w:ascii="Arial" w:hAnsi="Arial" w:cs="Arial"/>
          <w:b/>
          <w:color w:val="auto"/>
          <w:sz w:val="28"/>
          <w:szCs w:val="28"/>
          <w:lang w:eastAsia="es-CO"/>
        </w:rPr>
        <w:t xml:space="preserve">NOTA 5.- </w:t>
      </w:r>
      <w:r w:rsidRPr="004F42C6">
        <w:rPr>
          <w:rFonts w:ascii="Arial" w:hAnsi="Arial" w:cs="Arial"/>
          <w:b/>
          <w:color w:val="auto"/>
          <w:sz w:val="28"/>
          <w:szCs w:val="28"/>
          <w:lang w:eastAsia="es-CO"/>
        </w:rPr>
        <w:t>Efectivo y equivalentes al efectivo</w:t>
      </w:r>
      <w:bookmarkEnd w:id="87"/>
      <w:r w:rsidRPr="004F42C6">
        <w:rPr>
          <w:rFonts w:ascii="Arial" w:hAnsi="Arial" w:cs="Arial"/>
          <w:b/>
          <w:color w:val="auto"/>
          <w:sz w:val="28"/>
          <w:szCs w:val="28"/>
          <w:lang w:eastAsia="es-CO"/>
        </w:rPr>
        <w:t xml:space="preserve"> </w:t>
      </w:r>
      <w:r>
        <w:rPr>
          <w:rFonts w:ascii="Arial" w:hAnsi="Arial" w:cs="Arial"/>
          <w:b/>
          <w:color w:val="auto"/>
          <w:sz w:val="28"/>
          <w:szCs w:val="28"/>
          <w:lang w:eastAsia="es-CO"/>
        </w:rPr>
        <w:t>–</w:t>
      </w:r>
      <w:r w:rsidRPr="004F42C6">
        <w:rPr>
          <w:rFonts w:ascii="Arial" w:hAnsi="Arial" w:cs="Arial"/>
          <w:b/>
          <w:color w:val="auto"/>
          <w:sz w:val="28"/>
          <w:szCs w:val="28"/>
          <w:lang w:eastAsia="es-CO"/>
        </w:rPr>
        <w:t xml:space="preserve"> EFE</w:t>
      </w:r>
      <w:bookmarkEnd w:id="88"/>
      <w:r>
        <w:rPr>
          <w:rFonts w:ascii="Arial" w:hAnsi="Arial" w:cs="Arial"/>
          <w:b/>
          <w:color w:val="auto"/>
          <w:sz w:val="28"/>
          <w:szCs w:val="28"/>
          <w:lang w:eastAsia="es-CO"/>
        </w:rPr>
        <w:t>.</w:t>
      </w:r>
    </w:p>
    <w:p w:rsidR="00663220" w:rsidRPr="004F42C6" w:rsidRDefault="00663220" w:rsidP="00CB0E39">
      <w:pPr>
        <w:ind w:left="-142" w:right="-376"/>
        <w:jc w:val="both"/>
        <w:rPr>
          <w:rFonts w:ascii="Arial" w:hAnsi="Arial" w:cs="Arial"/>
          <w:b/>
          <w:sz w:val="28"/>
          <w:szCs w:val="28"/>
        </w:rPr>
      </w:pPr>
    </w:p>
    <w:p w:rsidR="004F42C6" w:rsidRPr="004F42C6" w:rsidRDefault="004F42C6" w:rsidP="004F42C6">
      <w:pPr>
        <w:pStyle w:val="Descripcin"/>
        <w:jc w:val="center"/>
        <w:rPr>
          <w:rFonts w:ascii="Arial" w:hAnsi="Arial" w:cs="Arial"/>
          <w:color w:val="auto"/>
          <w:sz w:val="24"/>
          <w:szCs w:val="24"/>
        </w:rPr>
      </w:pPr>
      <w:bookmarkStart w:id="89" w:name="_Toc135044775"/>
      <w:r w:rsidRPr="004F42C6">
        <w:rPr>
          <w:rFonts w:ascii="Arial" w:hAnsi="Arial" w:cs="Arial"/>
          <w:color w:val="auto"/>
          <w:sz w:val="24"/>
          <w:szCs w:val="24"/>
        </w:rPr>
        <w:t xml:space="preserve">Tabla </w:t>
      </w:r>
      <w:r w:rsidRPr="004F42C6">
        <w:rPr>
          <w:rFonts w:ascii="Arial" w:hAnsi="Arial" w:cs="Arial"/>
          <w:color w:val="auto"/>
          <w:sz w:val="24"/>
          <w:szCs w:val="24"/>
        </w:rPr>
        <w:fldChar w:fldCharType="begin"/>
      </w:r>
      <w:r w:rsidRPr="004F42C6">
        <w:rPr>
          <w:rFonts w:ascii="Arial" w:hAnsi="Arial" w:cs="Arial"/>
          <w:color w:val="auto"/>
          <w:sz w:val="24"/>
          <w:szCs w:val="24"/>
        </w:rPr>
        <w:instrText xml:space="preserve"> STYLEREF 1 \s </w:instrText>
      </w:r>
      <w:r w:rsidRPr="004F42C6">
        <w:rPr>
          <w:rFonts w:ascii="Arial" w:hAnsi="Arial" w:cs="Arial"/>
          <w:color w:val="auto"/>
          <w:sz w:val="24"/>
          <w:szCs w:val="24"/>
        </w:rPr>
        <w:fldChar w:fldCharType="separate"/>
      </w:r>
      <w:r w:rsidRPr="004F42C6">
        <w:rPr>
          <w:rFonts w:ascii="Arial" w:hAnsi="Arial" w:cs="Arial"/>
          <w:noProof/>
          <w:color w:val="auto"/>
          <w:sz w:val="24"/>
          <w:szCs w:val="24"/>
        </w:rPr>
        <w:t>4</w:t>
      </w:r>
      <w:r w:rsidRPr="004F42C6">
        <w:rPr>
          <w:rFonts w:ascii="Arial" w:hAnsi="Arial" w:cs="Arial"/>
          <w:noProof/>
          <w:color w:val="auto"/>
          <w:sz w:val="24"/>
          <w:szCs w:val="24"/>
        </w:rPr>
        <w:fldChar w:fldCharType="end"/>
      </w:r>
      <w:r w:rsidRPr="004F42C6">
        <w:rPr>
          <w:rFonts w:ascii="Arial" w:hAnsi="Arial" w:cs="Arial"/>
          <w:color w:val="auto"/>
          <w:sz w:val="24"/>
          <w:szCs w:val="24"/>
        </w:rPr>
        <w:noBreakHyphen/>
      </w:r>
      <w:r w:rsidRPr="004F42C6">
        <w:rPr>
          <w:rFonts w:ascii="Arial" w:hAnsi="Arial" w:cs="Arial"/>
          <w:color w:val="auto"/>
          <w:sz w:val="24"/>
          <w:szCs w:val="24"/>
        </w:rPr>
        <w:fldChar w:fldCharType="begin"/>
      </w:r>
      <w:r w:rsidRPr="004F42C6">
        <w:rPr>
          <w:rFonts w:ascii="Arial" w:hAnsi="Arial" w:cs="Arial"/>
          <w:color w:val="auto"/>
          <w:sz w:val="24"/>
          <w:szCs w:val="24"/>
        </w:rPr>
        <w:instrText xml:space="preserve"> SEQ Tabla \* ARABIC \s 1 </w:instrText>
      </w:r>
      <w:r w:rsidRPr="004F42C6">
        <w:rPr>
          <w:rFonts w:ascii="Arial" w:hAnsi="Arial" w:cs="Arial"/>
          <w:color w:val="auto"/>
          <w:sz w:val="24"/>
          <w:szCs w:val="24"/>
        </w:rPr>
        <w:fldChar w:fldCharType="separate"/>
      </w:r>
      <w:r w:rsidRPr="004F42C6">
        <w:rPr>
          <w:rFonts w:ascii="Arial" w:hAnsi="Arial" w:cs="Arial"/>
          <w:noProof/>
          <w:color w:val="auto"/>
          <w:sz w:val="24"/>
          <w:szCs w:val="24"/>
        </w:rPr>
        <w:t>12</w:t>
      </w:r>
      <w:r w:rsidRPr="004F42C6">
        <w:rPr>
          <w:rFonts w:ascii="Arial" w:hAnsi="Arial" w:cs="Arial"/>
          <w:noProof/>
          <w:color w:val="auto"/>
          <w:sz w:val="24"/>
          <w:szCs w:val="24"/>
        </w:rPr>
        <w:fldChar w:fldCharType="end"/>
      </w:r>
      <w:r w:rsidRPr="004F42C6">
        <w:rPr>
          <w:rFonts w:ascii="Arial" w:hAnsi="Arial" w:cs="Arial"/>
          <w:color w:val="auto"/>
          <w:sz w:val="24"/>
          <w:szCs w:val="24"/>
        </w:rPr>
        <w:t xml:space="preserve"> Efectivo y equivalentes al efectivo (EFE) – Composición</w:t>
      </w:r>
      <w:bookmarkEnd w:id="89"/>
    </w:p>
    <w:p w:rsidR="004F42C6" w:rsidRPr="004F42C6" w:rsidRDefault="004F42C6" w:rsidP="004F42C6">
      <w:pPr>
        <w:rPr>
          <w:lang w:val="es-CO" w:eastAsia="en-US"/>
        </w:rPr>
      </w:pPr>
    </w:p>
    <w:p w:rsidR="004F42C6" w:rsidRPr="00A320BE" w:rsidRDefault="004F42C6" w:rsidP="004F42C6">
      <w:pPr>
        <w:contextualSpacing/>
        <w:jc w:val="center"/>
      </w:pPr>
      <w:r w:rsidRPr="00A320BE">
        <w:rPr>
          <w:noProof/>
          <w:lang w:val="es-CO" w:eastAsia="es-CO"/>
        </w:rPr>
        <w:lastRenderedPageBreak/>
        <w:drawing>
          <wp:inline distT="0" distB="0" distL="0" distR="0" wp14:anchorId="252AC7DB" wp14:editId="7541F20D">
            <wp:extent cx="5943600" cy="2372360"/>
            <wp:effectExtent l="0" t="0" r="0" b="8890"/>
            <wp:docPr id="14432757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t="6880"/>
                    <a:stretch/>
                  </pic:blipFill>
                  <pic:spPr bwMode="auto">
                    <a:xfrm>
                      <a:off x="0" y="0"/>
                      <a:ext cx="5943600" cy="2372360"/>
                    </a:xfrm>
                    <a:prstGeom prst="rect">
                      <a:avLst/>
                    </a:prstGeom>
                    <a:noFill/>
                    <a:ln>
                      <a:noFill/>
                    </a:ln>
                    <a:extLst>
                      <a:ext uri="{53640926-AAD7-44D8-BBD7-CCE9431645EC}">
                        <a14:shadowObscured xmlns:a14="http://schemas.microsoft.com/office/drawing/2010/main"/>
                      </a:ext>
                    </a:extLst>
                  </pic:spPr>
                </pic:pic>
              </a:graphicData>
            </a:graphic>
          </wp:inline>
        </w:drawing>
      </w:r>
    </w:p>
    <w:p w:rsidR="004F42C6" w:rsidRDefault="004F42C6" w:rsidP="004F42C6">
      <w:pPr>
        <w:contextualSpacing/>
        <w:jc w:val="both"/>
        <w:rPr>
          <w:color w:val="000000" w:themeColor="text1"/>
        </w:rPr>
      </w:pPr>
    </w:p>
    <w:p w:rsidR="004F42C6" w:rsidRDefault="004F42C6" w:rsidP="004F42C6">
      <w:pPr>
        <w:ind w:left="-142" w:right="-518"/>
        <w:jc w:val="both"/>
        <w:rPr>
          <w:rFonts w:ascii="Arial" w:hAnsi="Arial" w:cs="Arial"/>
        </w:rPr>
      </w:pPr>
      <w:r w:rsidRPr="004F42C6">
        <w:rPr>
          <w:rFonts w:ascii="Arial" w:hAnsi="Arial" w:cs="Arial"/>
          <w:b/>
          <w:color w:val="000000" w:themeColor="text1"/>
          <w:u w:val="single"/>
        </w:rPr>
        <w:t>Como se observa, a 31 de diciembre de 2022, el grupo de Efectivo y equivalentes al efectivo alcanzó la suma agregada de $56.689,9</w:t>
      </w:r>
      <w:r w:rsidRPr="004F42C6">
        <w:rPr>
          <w:rFonts w:ascii="Arial" w:hAnsi="Arial" w:cs="Arial"/>
          <w:color w:val="000000" w:themeColor="text1"/>
        </w:rPr>
        <w:t xml:space="preserve"> Además, los conceptos a nivel agregado con mayor importancia relativa fueron: Depósitos en instituciones financieras por valor de $38.710,6 con una disminución del 15,7% en relación con el año anterior; le sigue Equivalentes al efectivo por valor de $9.408,1 con el 2,2% de incremento; y la Cuenta única nacional por valor de $8.644,5 con un aumento del 96,8%.</w:t>
      </w:r>
      <w:r>
        <w:rPr>
          <w:rFonts w:ascii="Arial" w:hAnsi="Arial" w:cs="Arial"/>
          <w:color w:val="000000" w:themeColor="text1"/>
        </w:rPr>
        <w:t xml:space="preserve"> </w:t>
      </w:r>
      <w:r>
        <w:rPr>
          <w:rFonts w:ascii="Arial" w:hAnsi="Arial" w:cs="Arial"/>
        </w:rPr>
        <w:t>(Subrayado y resaltado fuera de texto).</w:t>
      </w:r>
    </w:p>
    <w:p w:rsidR="004F42C6" w:rsidRDefault="004F42C6" w:rsidP="004F42C6">
      <w:pPr>
        <w:ind w:left="-142" w:right="-518"/>
        <w:jc w:val="both"/>
        <w:rPr>
          <w:rFonts w:ascii="Arial" w:hAnsi="Arial" w:cs="Arial"/>
          <w:sz w:val="28"/>
          <w:szCs w:val="28"/>
        </w:rPr>
      </w:pPr>
    </w:p>
    <w:p w:rsidR="004F42C6" w:rsidRDefault="004F42C6" w:rsidP="004F42C6">
      <w:pPr>
        <w:ind w:left="-142" w:right="-518"/>
        <w:jc w:val="both"/>
        <w:rPr>
          <w:rFonts w:ascii="Arial" w:hAnsi="Arial" w:cs="Arial"/>
        </w:rPr>
      </w:pPr>
      <w:r w:rsidRPr="004F42C6">
        <w:rPr>
          <w:rFonts w:ascii="Arial" w:hAnsi="Arial" w:cs="Arial"/>
          <w:b/>
          <w:color w:val="000000" w:themeColor="text1"/>
          <w:u w:val="single"/>
        </w:rPr>
        <w:t>Una vez ejecutado el proceso de consolidación, se presenta la disminución por el efecto neto de eliminaciones y reclasificaciones de ($547,2), equivalente al 0,9% del total consolidado, y se obtiene un saldo final consolidado de $59.142,7, que representa el 6,4% del total del valor del activo del nivel nacional que asciende a la suma de $923.753,0</w:t>
      </w:r>
      <w:r w:rsidRPr="004F42C6">
        <w:rPr>
          <w:rFonts w:ascii="Arial" w:hAnsi="Arial" w:cs="Arial"/>
          <w:color w:val="000000" w:themeColor="text1"/>
        </w:rPr>
        <w:t>.</w:t>
      </w:r>
      <w:r>
        <w:rPr>
          <w:rFonts w:ascii="Arial" w:hAnsi="Arial" w:cs="Arial"/>
          <w:color w:val="000000" w:themeColor="text1"/>
        </w:rPr>
        <w:t xml:space="preserve"> </w:t>
      </w:r>
      <w:r>
        <w:rPr>
          <w:rFonts w:ascii="Arial" w:hAnsi="Arial" w:cs="Arial"/>
        </w:rPr>
        <w:t>(Subrayado y resaltado fuera de texto).</w:t>
      </w:r>
    </w:p>
    <w:p w:rsidR="004F42C6" w:rsidRDefault="004F42C6" w:rsidP="004F42C6">
      <w:pPr>
        <w:ind w:left="-142" w:right="-518"/>
        <w:jc w:val="both"/>
        <w:rPr>
          <w:rFonts w:ascii="Arial" w:hAnsi="Arial" w:cs="Arial"/>
          <w:sz w:val="28"/>
          <w:szCs w:val="28"/>
        </w:rPr>
      </w:pPr>
    </w:p>
    <w:p w:rsidR="00584128" w:rsidRPr="00584128" w:rsidRDefault="00584128" w:rsidP="00584128">
      <w:pPr>
        <w:ind w:left="-142" w:right="-518"/>
        <w:rPr>
          <w:rFonts w:ascii="Arial" w:hAnsi="Arial" w:cs="Arial"/>
          <w:b/>
        </w:rPr>
      </w:pPr>
      <w:bookmarkStart w:id="90" w:name="_Hlk67686496"/>
      <w:r w:rsidRPr="00584128">
        <w:rPr>
          <w:rFonts w:ascii="Arial" w:hAnsi="Arial" w:cs="Arial"/>
          <w:b/>
        </w:rPr>
        <w:t xml:space="preserve">Entidades que registran los mayores valores de </w:t>
      </w:r>
      <w:bookmarkStart w:id="91" w:name="_Hlk67686563"/>
      <w:bookmarkStart w:id="92" w:name="_Hlk67685877"/>
      <w:bookmarkStart w:id="93" w:name="_Hlk67675707"/>
      <w:bookmarkEnd w:id="90"/>
      <w:r w:rsidRPr="00584128">
        <w:rPr>
          <w:rFonts w:ascii="Arial" w:hAnsi="Arial" w:cs="Arial"/>
          <w:b/>
        </w:rPr>
        <w:t>EFE</w:t>
      </w:r>
      <w:r>
        <w:rPr>
          <w:rFonts w:ascii="Arial" w:hAnsi="Arial" w:cs="Arial"/>
          <w:b/>
        </w:rPr>
        <w:t>.</w:t>
      </w:r>
    </w:p>
    <w:bookmarkEnd w:id="91"/>
    <w:bookmarkEnd w:id="92"/>
    <w:bookmarkEnd w:id="93"/>
    <w:p w:rsidR="00584128" w:rsidRPr="00584128" w:rsidRDefault="00584128" w:rsidP="00584128">
      <w:pPr>
        <w:ind w:left="-142" w:right="-518"/>
        <w:contextualSpacing/>
        <w:rPr>
          <w:rFonts w:ascii="Arial" w:hAnsi="Arial" w:cs="Arial"/>
        </w:rPr>
      </w:pPr>
    </w:p>
    <w:p w:rsidR="00584128" w:rsidRPr="00584128" w:rsidRDefault="00584128" w:rsidP="00584128">
      <w:pPr>
        <w:ind w:left="-142" w:right="-518"/>
        <w:contextualSpacing/>
        <w:jc w:val="both"/>
        <w:rPr>
          <w:rFonts w:ascii="Arial" w:hAnsi="Arial" w:cs="Arial"/>
        </w:rPr>
      </w:pPr>
      <w:r w:rsidRPr="00584128">
        <w:rPr>
          <w:rFonts w:ascii="Arial" w:hAnsi="Arial" w:cs="Arial"/>
        </w:rPr>
        <w:t>Teniendo en cuenta que el saldo agregado del grupo Efectivo y equivalentes al efectivo es $59.689,9, a continuación, se listan las entidades que registran los mayores valores en los conceptos de mayor representatividad en los saldos reportados en 2022 y comparados con el 2021, a saber, Depósitos en instituciones financieras, Equivalentes al efectivo y Cuenta única nacional.</w:t>
      </w:r>
    </w:p>
    <w:p w:rsidR="00584128" w:rsidRPr="00584128" w:rsidRDefault="00584128" w:rsidP="00584128">
      <w:pPr>
        <w:contextualSpacing/>
        <w:rPr>
          <w:rFonts w:ascii="Arial" w:hAnsi="Arial" w:cs="Arial"/>
        </w:rPr>
      </w:pPr>
    </w:p>
    <w:p w:rsidR="00584128" w:rsidRPr="00584128" w:rsidRDefault="00584128" w:rsidP="00584128">
      <w:pPr>
        <w:pStyle w:val="Descripcin"/>
        <w:jc w:val="center"/>
        <w:rPr>
          <w:rFonts w:ascii="Arial" w:hAnsi="Arial" w:cs="Arial"/>
          <w:color w:val="auto"/>
          <w:sz w:val="24"/>
          <w:szCs w:val="24"/>
        </w:rPr>
      </w:pPr>
      <w:bookmarkStart w:id="94" w:name="_Toc135044777"/>
      <w:r w:rsidRPr="00584128">
        <w:rPr>
          <w:rFonts w:ascii="Arial" w:hAnsi="Arial" w:cs="Arial"/>
          <w:color w:val="auto"/>
          <w:sz w:val="24"/>
          <w:szCs w:val="24"/>
        </w:rPr>
        <w:t xml:space="preserve">Tabla </w:t>
      </w:r>
      <w:r w:rsidRPr="00584128">
        <w:rPr>
          <w:rFonts w:ascii="Arial" w:hAnsi="Arial" w:cs="Arial"/>
          <w:color w:val="auto"/>
          <w:sz w:val="24"/>
          <w:szCs w:val="24"/>
        </w:rPr>
        <w:fldChar w:fldCharType="begin"/>
      </w:r>
      <w:r w:rsidRPr="00584128">
        <w:rPr>
          <w:rFonts w:ascii="Arial" w:hAnsi="Arial" w:cs="Arial"/>
          <w:color w:val="auto"/>
          <w:sz w:val="24"/>
          <w:szCs w:val="24"/>
        </w:rPr>
        <w:instrText xml:space="preserve"> STYLEREF 1 \s </w:instrText>
      </w:r>
      <w:r w:rsidRPr="00584128">
        <w:rPr>
          <w:rFonts w:ascii="Arial" w:hAnsi="Arial" w:cs="Arial"/>
          <w:color w:val="auto"/>
          <w:sz w:val="24"/>
          <w:szCs w:val="24"/>
        </w:rPr>
        <w:fldChar w:fldCharType="separate"/>
      </w:r>
      <w:r w:rsidRPr="00584128">
        <w:rPr>
          <w:rFonts w:ascii="Arial" w:hAnsi="Arial" w:cs="Arial"/>
          <w:noProof/>
          <w:color w:val="auto"/>
          <w:sz w:val="24"/>
          <w:szCs w:val="24"/>
        </w:rPr>
        <w:t>4</w:t>
      </w:r>
      <w:r w:rsidRPr="00584128">
        <w:rPr>
          <w:rFonts w:ascii="Arial" w:hAnsi="Arial" w:cs="Arial"/>
          <w:noProof/>
          <w:color w:val="auto"/>
          <w:sz w:val="24"/>
          <w:szCs w:val="24"/>
        </w:rPr>
        <w:fldChar w:fldCharType="end"/>
      </w:r>
      <w:r w:rsidRPr="00584128">
        <w:rPr>
          <w:rFonts w:ascii="Arial" w:hAnsi="Arial" w:cs="Arial"/>
          <w:color w:val="auto"/>
          <w:sz w:val="24"/>
          <w:szCs w:val="24"/>
        </w:rPr>
        <w:noBreakHyphen/>
      </w:r>
      <w:r w:rsidRPr="00584128">
        <w:rPr>
          <w:rFonts w:ascii="Arial" w:hAnsi="Arial" w:cs="Arial"/>
          <w:color w:val="auto"/>
          <w:sz w:val="24"/>
          <w:szCs w:val="24"/>
        </w:rPr>
        <w:fldChar w:fldCharType="begin"/>
      </w:r>
      <w:r w:rsidRPr="00584128">
        <w:rPr>
          <w:rFonts w:ascii="Arial" w:hAnsi="Arial" w:cs="Arial"/>
          <w:color w:val="auto"/>
          <w:sz w:val="24"/>
          <w:szCs w:val="24"/>
        </w:rPr>
        <w:instrText xml:space="preserve"> SEQ Tabla \* ARABIC \s 1 </w:instrText>
      </w:r>
      <w:r w:rsidRPr="00584128">
        <w:rPr>
          <w:rFonts w:ascii="Arial" w:hAnsi="Arial" w:cs="Arial"/>
          <w:color w:val="auto"/>
          <w:sz w:val="24"/>
          <w:szCs w:val="24"/>
        </w:rPr>
        <w:fldChar w:fldCharType="separate"/>
      </w:r>
      <w:r w:rsidRPr="00584128">
        <w:rPr>
          <w:rFonts w:ascii="Arial" w:hAnsi="Arial" w:cs="Arial"/>
          <w:noProof/>
          <w:color w:val="auto"/>
          <w:sz w:val="24"/>
          <w:szCs w:val="24"/>
        </w:rPr>
        <w:t>14</w:t>
      </w:r>
      <w:r w:rsidRPr="00584128">
        <w:rPr>
          <w:rFonts w:ascii="Arial" w:hAnsi="Arial" w:cs="Arial"/>
          <w:noProof/>
          <w:color w:val="auto"/>
          <w:sz w:val="24"/>
          <w:szCs w:val="24"/>
        </w:rPr>
        <w:fldChar w:fldCharType="end"/>
      </w:r>
      <w:r w:rsidRPr="00584128">
        <w:rPr>
          <w:rFonts w:ascii="Arial" w:hAnsi="Arial" w:cs="Arial"/>
          <w:color w:val="auto"/>
          <w:sz w:val="24"/>
          <w:szCs w:val="24"/>
        </w:rPr>
        <w:t xml:space="preserve"> EFE - Entidades más representativas</w:t>
      </w:r>
      <w:bookmarkEnd w:id="94"/>
    </w:p>
    <w:p w:rsidR="00584128" w:rsidRPr="00A320BE" w:rsidRDefault="00584128" w:rsidP="00584128">
      <w:pPr>
        <w:pStyle w:val="Textoindependiente"/>
        <w:contextualSpacing/>
        <w:jc w:val="center"/>
        <w:rPr>
          <w:rFonts w:ascii="Montserrat Medium" w:hAnsi="Montserrat Medium"/>
          <w:szCs w:val="22"/>
          <w:lang w:val="es-CO"/>
        </w:rPr>
      </w:pPr>
      <w:r w:rsidRPr="00A320BE">
        <w:rPr>
          <w:rFonts w:ascii="Montserrat Medium" w:hAnsi="Montserrat Medium"/>
          <w:noProof/>
          <w:szCs w:val="22"/>
          <w:lang w:val="es-CO" w:eastAsia="es-CO"/>
        </w:rPr>
        <w:lastRenderedPageBreak/>
        <w:drawing>
          <wp:inline distT="0" distB="0" distL="0" distR="0" wp14:anchorId="28D0A85F" wp14:editId="67D80CE4">
            <wp:extent cx="5943600" cy="4316095"/>
            <wp:effectExtent l="0" t="0" r="0" b="8255"/>
            <wp:docPr id="944310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3080"/>
                    <a:stretch/>
                  </pic:blipFill>
                  <pic:spPr bwMode="auto">
                    <a:xfrm>
                      <a:off x="0" y="0"/>
                      <a:ext cx="5943600" cy="4316095"/>
                    </a:xfrm>
                    <a:prstGeom prst="rect">
                      <a:avLst/>
                    </a:prstGeom>
                    <a:noFill/>
                    <a:ln>
                      <a:noFill/>
                    </a:ln>
                    <a:extLst>
                      <a:ext uri="{53640926-AAD7-44D8-BBD7-CCE9431645EC}">
                        <a14:shadowObscured xmlns:a14="http://schemas.microsoft.com/office/drawing/2010/main"/>
                      </a:ext>
                    </a:extLst>
                  </pic:spPr>
                </pic:pic>
              </a:graphicData>
            </a:graphic>
          </wp:inline>
        </w:drawing>
      </w:r>
    </w:p>
    <w:p w:rsidR="00584128" w:rsidRPr="00A320BE" w:rsidRDefault="00584128" w:rsidP="00584128">
      <w:pPr>
        <w:pStyle w:val="Textoindependiente"/>
        <w:contextualSpacing/>
        <w:jc w:val="both"/>
        <w:rPr>
          <w:rFonts w:ascii="Montserrat Medium" w:hAnsi="Montserrat Medium"/>
          <w:sz w:val="18"/>
          <w:szCs w:val="18"/>
          <w:lang w:val="es-CO"/>
        </w:rPr>
      </w:pPr>
      <w:r w:rsidRPr="00A320BE">
        <w:rPr>
          <w:rFonts w:ascii="Montserrat Medium" w:hAnsi="Montserrat Medium"/>
          <w:sz w:val="18"/>
          <w:szCs w:val="18"/>
          <w:lang w:val="es-CO"/>
        </w:rPr>
        <w:t>*En la clasificación “Resto de Entidades que reportan” se reflejan los saldos reportados por las demás entidades, los cuales analizados individualmente son inferiores a los reportados por las entidades más representativas.</w:t>
      </w:r>
    </w:p>
    <w:p w:rsidR="00584128" w:rsidRPr="00A320BE" w:rsidRDefault="00584128" w:rsidP="00584128">
      <w:pPr>
        <w:pStyle w:val="Textoindependiente"/>
        <w:contextualSpacing/>
        <w:rPr>
          <w:rFonts w:ascii="Montserrat Medium" w:hAnsi="Montserrat Medium"/>
          <w:szCs w:val="22"/>
          <w:lang w:val="es-CO"/>
        </w:rPr>
      </w:pPr>
    </w:p>
    <w:p w:rsidR="00584128" w:rsidRDefault="00584128" w:rsidP="00584128">
      <w:pPr>
        <w:ind w:left="-142" w:right="-518"/>
        <w:jc w:val="both"/>
        <w:rPr>
          <w:rFonts w:ascii="Arial" w:hAnsi="Arial" w:cs="Arial"/>
        </w:rPr>
      </w:pPr>
      <w:bookmarkStart w:id="95" w:name="_Hlk67686159"/>
      <w:bookmarkEnd w:id="95"/>
      <w:r w:rsidRPr="00584128">
        <w:rPr>
          <w:rFonts w:ascii="Arial" w:hAnsi="Arial" w:cs="Arial"/>
          <w:color w:val="000000" w:themeColor="text1"/>
        </w:rPr>
        <w:t xml:space="preserve">Teniendo en cuenta que, en el año 2022, las entidades consolidadas fueron 343, </w:t>
      </w:r>
      <w:r w:rsidRPr="00584128">
        <w:rPr>
          <w:rFonts w:ascii="Arial" w:hAnsi="Arial" w:cs="Arial"/>
          <w:b/>
          <w:color w:val="000000" w:themeColor="text1"/>
          <w:u w:val="single"/>
        </w:rPr>
        <w:t>es importante mencionar que 303 entidades reportaron saldos en la cuenta Depósitos en instituciones financieras; 57 en Equivalentes al efectivo;</w:t>
      </w:r>
      <w:r w:rsidRPr="00584128">
        <w:rPr>
          <w:rFonts w:ascii="Arial" w:hAnsi="Arial" w:cs="Arial"/>
          <w:color w:val="000000" w:themeColor="text1"/>
        </w:rPr>
        <w:t xml:space="preserve"> y 1 en Cuenta única nacional, que corresponde a </w:t>
      </w:r>
      <w:bookmarkStart w:id="96" w:name="_Hlk133301534"/>
      <w:r w:rsidRPr="00584128">
        <w:rPr>
          <w:rFonts w:ascii="Arial" w:hAnsi="Arial" w:cs="Arial"/>
          <w:color w:val="000000" w:themeColor="text1"/>
        </w:rPr>
        <w:t xml:space="preserve">la </w:t>
      </w:r>
      <w:r w:rsidRPr="00584128">
        <w:rPr>
          <w:rFonts w:ascii="Arial" w:hAnsi="Arial" w:cs="Arial"/>
        </w:rPr>
        <w:t>Dirección General de Crédito Público y Tesoro Nacional (DGCPTN)</w:t>
      </w:r>
      <w:bookmarkEnd w:id="96"/>
      <w:r w:rsidRPr="00584128">
        <w:rPr>
          <w:rFonts w:ascii="Arial" w:hAnsi="Arial" w:cs="Arial"/>
          <w:color w:val="000000" w:themeColor="text1"/>
        </w:rPr>
        <w:t xml:space="preserve">. </w:t>
      </w:r>
      <w:r>
        <w:rPr>
          <w:rFonts w:ascii="Arial" w:hAnsi="Arial" w:cs="Arial"/>
        </w:rPr>
        <w:t>(Subrayado y resaltado fuera de texto).</w:t>
      </w:r>
    </w:p>
    <w:p w:rsidR="00584128" w:rsidRDefault="00584128" w:rsidP="00584128">
      <w:pPr>
        <w:ind w:left="-142" w:right="-518"/>
        <w:contextualSpacing/>
        <w:jc w:val="both"/>
        <w:rPr>
          <w:rFonts w:ascii="Arial" w:hAnsi="Arial" w:cs="Arial"/>
          <w:color w:val="000000" w:themeColor="text1"/>
        </w:rPr>
      </w:pPr>
    </w:p>
    <w:p w:rsidR="00CD1342" w:rsidRDefault="00FF5890" w:rsidP="00CD1342">
      <w:pPr>
        <w:ind w:left="-142" w:right="-518"/>
        <w:jc w:val="both"/>
        <w:rPr>
          <w:rFonts w:ascii="Arial" w:hAnsi="Arial" w:cs="Arial"/>
        </w:rPr>
      </w:pPr>
      <w:r w:rsidRPr="00FF5890">
        <w:rPr>
          <w:rFonts w:ascii="Arial" w:hAnsi="Arial" w:cs="Arial"/>
        </w:rPr>
        <w:t xml:space="preserve">En la cuenta Depósitos en instituciones financieras, cuyo saldo representa el 64,9% del total agregado del Efectivo y equivalentes al efectivo, </w:t>
      </w:r>
      <w:r w:rsidRPr="00CD1342">
        <w:rPr>
          <w:rFonts w:ascii="Arial" w:hAnsi="Arial" w:cs="Arial"/>
          <w:b/>
          <w:u w:val="single"/>
        </w:rPr>
        <w:t>se destacan los saldos que reportan la DGCPTN por $7.490,9, Ecopetrol S.A. por $5.788,1, la Administradora de los Recursos del Sistema General de Seguridad Social en Salud - Unidad Recursos Administrados por $3.079,8 y Colpensiones - Fondo de Vejez por $2.739,5</w:t>
      </w:r>
      <w:r w:rsidRPr="00FF5890">
        <w:rPr>
          <w:rFonts w:ascii="Arial" w:hAnsi="Arial" w:cs="Arial"/>
        </w:rPr>
        <w:t>.</w:t>
      </w:r>
      <w:r w:rsidR="00CD1342">
        <w:rPr>
          <w:rFonts w:ascii="Arial" w:hAnsi="Arial" w:cs="Arial"/>
        </w:rPr>
        <w:t xml:space="preserve"> </w:t>
      </w:r>
      <w:r w:rsidR="00607D67">
        <w:rPr>
          <w:rFonts w:ascii="Arial" w:hAnsi="Arial" w:cs="Arial"/>
        </w:rPr>
        <w:t>(</w:t>
      </w:r>
      <w:r w:rsidR="00CD1342">
        <w:rPr>
          <w:rFonts w:ascii="Arial" w:hAnsi="Arial" w:cs="Arial"/>
        </w:rPr>
        <w:t>Subrayado y resaltado fuera de texto).</w:t>
      </w:r>
    </w:p>
    <w:p w:rsidR="00FF5890" w:rsidRPr="00FF5890" w:rsidRDefault="00FF5890" w:rsidP="00FF5890">
      <w:pPr>
        <w:ind w:left="-142" w:right="-518"/>
        <w:contextualSpacing/>
        <w:jc w:val="both"/>
        <w:rPr>
          <w:rFonts w:ascii="Arial" w:hAnsi="Arial" w:cs="Arial"/>
        </w:rPr>
      </w:pPr>
    </w:p>
    <w:p w:rsidR="005A2535" w:rsidRPr="005A2535" w:rsidRDefault="005A2535" w:rsidP="005A2535">
      <w:pPr>
        <w:pStyle w:val="Ttulo6"/>
        <w:ind w:left="-142"/>
        <w:rPr>
          <w:rFonts w:ascii="Arial" w:hAnsi="Arial" w:cs="Arial"/>
          <w:b/>
          <w:color w:val="auto"/>
          <w:sz w:val="28"/>
          <w:szCs w:val="28"/>
          <w:lang w:eastAsia="es-CO"/>
        </w:rPr>
      </w:pPr>
      <w:bookmarkStart w:id="97" w:name="_Toc103328334"/>
      <w:bookmarkStart w:id="98" w:name="_Toc135044699"/>
      <w:r>
        <w:rPr>
          <w:rFonts w:ascii="Arial" w:hAnsi="Arial" w:cs="Arial"/>
          <w:b/>
          <w:color w:val="auto"/>
          <w:sz w:val="28"/>
          <w:szCs w:val="28"/>
          <w:lang w:eastAsia="es-CO"/>
        </w:rPr>
        <w:t>NOTA 5.</w:t>
      </w:r>
      <w:r w:rsidR="00D85B0E">
        <w:rPr>
          <w:rFonts w:ascii="Arial" w:hAnsi="Arial" w:cs="Arial"/>
          <w:b/>
          <w:color w:val="auto"/>
          <w:sz w:val="28"/>
          <w:szCs w:val="28"/>
          <w:lang w:eastAsia="es-CO"/>
        </w:rPr>
        <w:t>-</w:t>
      </w:r>
      <w:r>
        <w:rPr>
          <w:rFonts w:ascii="Arial" w:hAnsi="Arial" w:cs="Arial"/>
          <w:b/>
          <w:color w:val="auto"/>
          <w:sz w:val="28"/>
          <w:szCs w:val="28"/>
          <w:lang w:eastAsia="es-CO"/>
        </w:rPr>
        <w:t xml:space="preserve"> </w:t>
      </w:r>
      <w:r w:rsidRPr="005A2535">
        <w:rPr>
          <w:rFonts w:ascii="Arial" w:hAnsi="Arial" w:cs="Arial"/>
          <w:b/>
          <w:color w:val="auto"/>
          <w:sz w:val="28"/>
          <w:szCs w:val="28"/>
          <w:lang w:eastAsia="es-CO"/>
        </w:rPr>
        <w:t>Inversiones e instrumentos derivados</w:t>
      </w:r>
      <w:bookmarkEnd w:id="97"/>
      <w:r w:rsidRPr="005A2535">
        <w:rPr>
          <w:rFonts w:ascii="Arial" w:hAnsi="Arial" w:cs="Arial"/>
          <w:b/>
          <w:color w:val="auto"/>
          <w:sz w:val="28"/>
          <w:szCs w:val="28"/>
          <w:lang w:eastAsia="es-CO"/>
        </w:rPr>
        <w:t xml:space="preserve"> – IID</w:t>
      </w:r>
      <w:bookmarkEnd w:id="98"/>
      <w:r w:rsidRPr="005A2535">
        <w:rPr>
          <w:rFonts w:ascii="Arial" w:hAnsi="Arial" w:cs="Arial"/>
          <w:b/>
          <w:color w:val="auto"/>
          <w:sz w:val="28"/>
          <w:szCs w:val="28"/>
          <w:lang w:eastAsia="es-CO"/>
        </w:rPr>
        <w:t>.</w:t>
      </w:r>
    </w:p>
    <w:p w:rsidR="005A2535" w:rsidRPr="005A2535" w:rsidRDefault="005A2535" w:rsidP="005A2535">
      <w:pPr>
        <w:rPr>
          <w:lang w:eastAsia="es-CO"/>
        </w:rPr>
      </w:pPr>
    </w:p>
    <w:p w:rsidR="005A2535" w:rsidRPr="005A2535" w:rsidRDefault="005A2535" w:rsidP="005A2535">
      <w:pPr>
        <w:pStyle w:val="Textoindependiente"/>
        <w:ind w:left="-142" w:right="-518"/>
        <w:jc w:val="both"/>
        <w:rPr>
          <w:rFonts w:ascii="Arial" w:hAnsi="Arial" w:cs="Arial"/>
          <w:sz w:val="24"/>
          <w:lang w:val="es-CO"/>
        </w:rPr>
      </w:pPr>
      <w:r w:rsidRPr="005A2535">
        <w:rPr>
          <w:rFonts w:ascii="Arial" w:hAnsi="Arial" w:cs="Arial"/>
          <w:sz w:val="24"/>
          <w:lang w:val="es-CO"/>
        </w:rPr>
        <w:t xml:space="preserve">En la siguiente tabla se presentan, comparativamente con el año anterior y en orden de importancia relativa, los saldos de los conceptos que componen el grupo de Inversiones de acuerdo con su clasificación en el Estado de Situación Financiera Consolidado: </w:t>
      </w:r>
    </w:p>
    <w:p w:rsidR="005A2535" w:rsidRPr="005A2535" w:rsidRDefault="005A2535" w:rsidP="005A2535">
      <w:pPr>
        <w:pStyle w:val="Textoindependiente"/>
        <w:spacing w:after="60"/>
        <w:jc w:val="both"/>
        <w:rPr>
          <w:rFonts w:ascii="Arial" w:hAnsi="Arial" w:cs="Arial"/>
          <w:sz w:val="24"/>
          <w:lang w:val="es-CO"/>
        </w:rPr>
      </w:pPr>
    </w:p>
    <w:p w:rsidR="005A2535" w:rsidRPr="005A2535" w:rsidRDefault="005A2535" w:rsidP="005A2535">
      <w:pPr>
        <w:pStyle w:val="Descripcin"/>
        <w:jc w:val="center"/>
        <w:rPr>
          <w:rFonts w:ascii="Arial" w:hAnsi="Arial" w:cs="Arial"/>
          <w:color w:val="auto"/>
          <w:sz w:val="24"/>
          <w:szCs w:val="24"/>
        </w:rPr>
      </w:pPr>
      <w:bookmarkStart w:id="99" w:name="_Toc135044778"/>
      <w:r w:rsidRPr="005A2535">
        <w:rPr>
          <w:rFonts w:ascii="Arial" w:hAnsi="Arial" w:cs="Arial"/>
          <w:color w:val="auto"/>
          <w:sz w:val="24"/>
          <w:szCs w:val="24"/>
        </w:rPr>
        <w:t xml:space="preserve">Tabla </w:t>
      </w:r>
      <w:r w:rsidRPr="005A2535">
        <w:rPr>
          <w:rFonts w:ascii="Arial" w:hAnsi="Arial" w:cs="Arial"/>
          <w:color w:val="auto"/>
          <w:sz w:val="24"/>
          <w:szCs w:val="24"/>
        </w:rPr>
        <w:fldChar w:fldCharType="begin"/>
      </w:r>
      <w:r w:rsidRPr="005A2535">
        <w:rPr>
          <w:rFonts w:ascii="Arial" w:hAnsi="Arial" w:cs="Arial"/>
          <w:color w:val="auto"/>
          <w:sz w:val="24"/>
          <w:szCs w:val="24"/>
        </w:rPr>
        <w:instrText xml:space="preserve"> STYLEREF 1 \s </w:instrText>
      </w:r>
      <w:r w:rsidRPr="005A2535">
        <w:rPr>
          <w:rFonts w:ascii="Arial" w:hAnsi="Arial" w:cs="Arial"/>
          <w:color w:val="auto"/>
          <w:sz w:val="24"/>
          <w:szCs w:val="24"/>
        </w:rPr>
        <w:fldChar w:fldCharType="separate"/>
      </w:r>
      <w:r w:rsidRPr="005A2535">
        <w:rPr>
          <w:rFonts w:ascii="Arial" w:hAnsi="Arial" w:cs="Arial"/>
          <w:noProof/>
          <w:color w:val="auto"/>
          <w:sz w:val="24"/>
          <w:szCs w:val="24"/>
        </w:rPr>
        <w:t>4</w:t>
      </w:r>
      <w:r w:rsidRPr="005A2535">
        <w:rPr>
          <w:rFonts w:ascii="Arial" w:hAnsi="Arial" w:cs="Arial"/>
          <w:noProof/>
          <w:color w:val="auto"/>
          <w:sz w:val="24"/>
          <w:szCs w:val="24"/>
        </w:rPr>
        <w:fldChar w:fldCharType="end"/>
      </w:r>
      <w:r w:rsidRPr="005A2535">
        <w:rPr>
          <w:rFonts w:ascii="Arial" w:hAnsi="Arial" w:cs="Arial"/>
          <w:color w:val="auto"/>
          <w:sz w:val="24"/>
          <w:szCs w:val="24"/>
        </w:rPr>
        <w:noBreakHyphen/>
      </w:r>
      <w:r w:rsidRPr="005A2535">
        <w:rPr>
          <w:rFonts w:ascii="Arial" w:hAnsi="Arial" w:cs="Arial"/>
          <w:color w:val="auto"/>
          <w:sz w:val="24"/>
          <w:szCs w:val="24"/>
        </w:rPr>
        <w:fldChar w:fldCharType="begin"/>
      </w:r>
      <w:r w:rsidRPr="005A2535">
        <w:rPr>
          <w:rFonts w:ascii="Arial" w:hAnsi="Arial" w:cs="Arial"/>
          <w:color w:val="auto"/>
          <w:sz w:val="24"/>
          <w:szCs w:val="24"/>
        </w:rPr>
        <w:instrText xml:space="preserve"> SEQ Tabla \* ARABIC \s 1 </w:instrText>
      </w:r>
      <w:r w:rsidRPr="005A2535">
        <w:rPr>
          <w:rFonts w:ascii="Arial" w:hAnsi="Arial" w:cs="Arial"/>
          <w:color w:val="auto"/>
          <w:sz w:val="24"/>
          <w:szCs w:val="24"/>
        </w:rPr>
        <w:fldChar w:fldCharType="separate"/>
      </w:r>
      <w:r w:rsidRPr="005A2535">
        <w:rPr>
          <w:rFonts w:ascii="Arial" w:hAnsi="Arial" w:cs="Arial"/>
          <w:noProof/>
          <w:color w:val="auto"/>
          <w:sz w:val="24"/>
          <w:szCs w:val="24"/>
        </w:rPr>
        <w:t>15</w:t>
      </w:r>
      <w:r w:rsidRPr="005A2535">
        <w:rPr>
          <w:rFonts w:ascii="Arial" w:hAnsi="Arial" w:cs="Arial"/>
          <w:noProof/>
          <w:color w:val="auto"/>
          <w:sz w:val="24"/>
          <w:szCs w:val="24"/>
        </w:rPr>
        <w:fldChar w:fldCharType="end"/>
      </w:r>
      <w:r w:rsidRPr="005A2535">
        <w:rPr>
          <w:rFonts w:ascii="Arial" w:hAnsi="Arial" w:cs="Arial"/>
          <w:color w:val="auto"/>
          <w:sz w:val="24"/>
          <w:szCs w:val="24"/>
        </w:rPr>
        <w:t xml:space="preserve"> Inversiones e instrumentos derivados (IID) – composición</w:t>
      </w:r>
      <w:bookmarkEnd w:id="99"/>
    </w:p>
    <w:p w:rsidR="005A2535" w:rsidRPr="00A320BE" w:rsidRDefault="005A2535" w:rsidP="005A2535">
      <w:pPr>
        <w:pStyle w:val="Textoindependiente"/>
        <w:jc w:val="center"/>
        <w:rPr>
          <w:rFonts w:ascii="Montserrat Medium" w:hAnsi="Montserrat Medium"/>
          <w:lang w:val="es-CO"/>
        </w:rPr>
      </w:pPr>
      <w:r w:rsidRPr="00A320BE">
        <w:rPr>
          <w:noProof/>
          <w:lang w:val="es-CO" w:eastAsia="es-CO"/>
        </w:rPr>
        <w:lastRenderedPageBreak/>
        <w:drawing>
          <wp:inline distT="0" distB="0" distL="0" distR="0" wp14:anchorId="73010EA4" wp14:editId="0A9B9D7F">
            <wp:extent cx="5415281" cy="2275459"/>
            <wp:effectExtent l="0" t="0" r="0" b="0"/>
            <wp:docPr id="1985093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702" cy="2278577"/>
                    </a:xfrm>
                    <a:prstGeom prst="rect">
                      <a:avLst/>
                    </a:prstGeom>
                    <a:noFill/>
                    <a:ln>
                      <a:noFill/>
                    </a:ln>
                  </pic:spPr>
                </pic:pic>
              </a:graphicData>
            </a:graphic>
          </wp:inline>
        </w:drawing>
      </w:r>
    </w:p>
    <w:p w:rsidR="005A2535" w:rsidRDefault="005A2535" w:rsidP="005A2535">
      <w:pPr>
        <w:pStyle w:val="Textoindependiente"/>
        <w:jc w:val="both"/>
        <w:rPr>
          <w:rFonts w:ascii="Montserrat Medium" w:hAnsi="Montserrat Medium"/>
          <w:lang w:val="es-CO"/>
        </w:rPr>
      </w:pPr>
    </w:p>
    <w:p w:rsidR="005A2535" w:rsidRPr="005A2535" w:rsidRDefault="005A2535" w:rsidP="005A2535">
      <w:pPr>
        <w:pStyle w:val="Textoindependiente"/>
        <w:ind w:left="-142" w:right="-518"/>
        <w:jc w:val="both"/>
        <w:rPr>
          <w:rFonts w:ascii="Arial" w:hAnsi="Arial" w:cs="Arial"/>
          <w:sz w:val="24"/>
          <w:lang w:val="es-CO"/>
        </w:rPr>
      </w:pPr>
      <w:r w:rsidRPr="005A2535">
        <w:rPr>
          <w:rFonts w:ascii="Arial" w:hAnsi="Arial" w:cs="Arial"/>
          <w:sz w:val="24"/>
          <w:lang w:val="es-CO"/>
        </w:rPr>
        <w:t>El saldo agregado del grupo alcanzó la suma de $336.200,3, y una vez ejecutado el proceso de consolidación, el efecto neto de las eliminaciones y reclasificaciones fue de ($219.823,5), para llegar a un saldo final consolidado de $116.376,8; este valor representa el 12,6% del total del Activo, que asciende a la suma de $923.753,0.</w:t>
      </w:r>
    </w:p>
    <w:p w:rsidR="00584128" w:rsidRPr="005A2535" w:rsidRDefault="00584128" w:rsidP="005A2535">
      <w:pPr>
        <w:ind w:left="-142" w:right="-518"/>
        <w:contextualSpacing/>
        <w:jc w:val="both"/>
        <w:rPr>
          <w:rFonts w:ascii="Arial" w:hAnsi="Arial" w:cs="Arial"/>
          <w:color w:val="000000" w:themeColor="text1"/>
        </w:rPr>
      </w:pPr>
    </w:p>
    <w:p w:rsidR="00FF5890" w:rsidRPr="00D85B0E" w:rsidRDefault="00D85B0E" w:rsidP="00FF5890">
      <w:pPr>
        <w:ind w:left="-142" w:right="-518"/>
        <w:contextualSpacing/>
        <w:jc w:val="both"/>
        <w:rPr>
          <w:rFonts w:ascii="Arial" w:hAnsi="Arial" w:cs="Arial"/>
          <w:b/>
          <w:color w:val="000000" w:themeColor="text1"/>
          <w:sz w:val="28"/>
          <w:szCs w:val="28"/>
        </w:rPr>
      </w:pPr>
      <w:r w:rsidRPr="00D85B0E">
        <w:rPr>
          <w:rFonts w:ascii="Arial" w:hAnsi="Arial" w:cs="Arial"/>
          <w:b/>
          <w:color w:val="000000" w:themeColor="text1"/>
          <w:sz w:val="28"/>
          <w:szCs w:val="28"/>
        </w:rPr>
        <w:t xml:space="preserve">NOTA 7.- Cuentas por Cobrar – </w:t>
      </w:r>
      <w:r w:rsidR="00607D67" w:rsidRPr="00D85B0E">
        <w:rPr>
          <w:rFonts w:ascii="Arial" w:hAnsi="Arial" w:cs="Arial"/>
          <w:b/>
          <w:color w:val="000000" w:themeColor="text1"/>
          <w:sz w:val="28"/>
          <w:szCs w:val="28"/>
        </w:rPr>
        <w:t>CXC.</w:t>
      </w:r>
    </w:p>
    <w:p w:rsidR="00D85B0E" w:rsidRDefault="00D85B0E" w:rsidP="00FF5890">
      <w:pPr>
        <w:ind w:left="-142" w:right="-518"/>
        <w:contextualSpacing/>
        <w:jc w:val="both"/>
        <w:rPr>
          <w:rFonts w:ascii="Arial" w:hAnsi="Arial" w:cs="Arial"/>
          <w:color w:val="000000" w:themeColor="text1"/>
        </w:rPr>
      </w:pPr>
    </w:p>
    <w:p w:rsidR="00607D67" w:rsidRPr="00607D67" w:rsidRDefault="00607D67" w:rsidP="00607D67">
      <w:pPr>
        <w:ind w:left="-142" w:right="-518"/>
        <w:contextualSpacing/>
        <w:jc w:val="both"/>
        <w:rPr>
          <w:rFonts w:ascii="Arial" w:hAnsi="Arial" w:cs="Arial"/>
        </w:rPr>
      </w:pPr>
      <w:r w:rsidRPr="00607D67">
        <w:rPr>
          <w:rFonts w:ascii="Arial" w:hAnsi="Arial" w:cs="Arial"/>
        </w:rPr>
        <w:t>En el Estado de Situación Financiera Consolidado del nivel nacional está el grupo de Cuentas por cobrar, que hace parte de los Activos. En la siguiente tabla se muestran los saldos a nivel de cuentas de los conceptos que conforman este grupo, en forma comparativa con el periodo anterior. Para ello, se inicia con los saldos agregados en cada cuenta, presentados en orden de importancia relativa para el año 2022, se incluye el valor del deterioro acumulado y el efecto de las eliminaciones y reclasificaciones aplicados en el proceso de consolidación, para determinar la cifra consolidada para el año 2022.</w:t>
      </w:r>
    </w:p>
    <w:p w:rsidR="00607D67" w:rsidRPr="00607D67" w:rsidRDefault="00607D67" w:rsidP="00607D67">
      <w:pPr>
        <w:contextualSpacing/>
        <w:rPr>
          <w:rFonts w:ascii="Arial" w:hAnsi="Arial" w:cs="Arial"/>
        </w:rPr>
      </w:pPr>
    </w:p>
    <w:p w:rsidR="00607D67" w:rsidRPr="00607D67" w:rsidRDefault="00607D67" w:rsidP="00607D67">
      <w:pPr>
        <w:pStyle w:val="Descripcin"/>
        <w:jc w:val="center"/>
        <w:rPr>
          <w:rFonts w:ascii="Arial" w:hAnsi="Arial" w:cs="Arial"/>
          <w:color w:val="auto"/>
          <w:sz w:val="24"/>
          <w:szCs w:val="24"/>
        </w:rPr>
      </w:pPr>
      <w:bookmarkStart w:id="100" w:name="_Toc135044789"/>
      <w:r w:rsidRPr="00607D67">
        <w:rPr>
          <w:rFonts w:ascii="Arial" w:hAnsi="Arial" w:cs="Arial"/>
          <w:color w:val="auto"/>
          <w:sz w:val="24"/>
          <w:szCs w:val="24"/>
        </w:rPr>
        <w:t xml:space="preserve">Tabla </w:t>
      </w:r>
      <w:r w:rsidRPr="00607D67">
        <w:rPr>
          <w:rFonts w:ascii="Arial" w:hAnsi="Arial" w:cs="Arial"/>
          <w:color w:val="auto"/>
          <w:sz w:val="24"/>
          <w:szCs w:val="24"/>
        </w:rPr>
        <w:fldChar w:fldCharType="begin"/>
      </w:r>
      <w:r w:rsidRPr="00607D67">
        <w:rPr>
          <w:rFonts w:ascii="Arial" w:hAnsi="Arial" w:cs="Arial"/>
          <w:color w:val="auto"/>
          <w:sz w:val="24"/>
          <w:szCs w:val="24"/>
        </w:rPr>
        <w:instrText xml:space="preserve"> STYLEREF 1 \s </w:instrText>
      </w:r>
      <w:r w:rsidRPr="00607D67">
        <w:rPr>
          <w:rFonts w:ascii="Arial" w:hAnsi="Arial" w:cs="Arial"/>
          <w:color w:val="auto"/>
          <w:sz w:val="24"/>
          <w:szCs w:val="24"/>
        </w:rPr>
        <w:fldChar w:fldCharType="separate"/>
      </w:r>
      <w:r w:rsidRPr="00607D67">
        <w:rPr>
          <w:rFonts w:ascii="Arial" w:hAnsi="Arial" w:cs="Arial"/>
          <w:noProof/>
          <w:color w:val="auto"/>
          <w:sz w:val="24"/>
          <w:szCs w:val="24"/>
        </w:rPr>
        <w:t>4</w:t>
      </w:r>
      <w:r w:rsidRPr="00607D67">
        <w:rPr>
          <w:rFonts w:ascii="Arial" w:hAnsi="Arial" w:cs="Arial"/>
          <w:noProof/>
          <w:color w:val="auto"/>
          <w:sz w:val="24"/>
          <w:szCs w:val="24"/>
        </w:rPr>
        <w:fldChar w:fldCharType="end"/>
      </w:r>
      <w:r w:rsidRPr="00607D67">
        <w:rPr>
          <w:rFonts w:ascii="Arial" w:hAnsi="Arial" w:cs="Arial"/>
          <w:color w:val="auto"/>
          <w:sz w:val="24"/>
          <w:szCs w:val="24"/>
        </w:rPr>
        <w:noBreakHyphen/>
      </w:r>
      <w:r w:rsidRPr="00607D67">
        <w:rPr>
          <w:rFonts w:ascii="Arial" w:hAnsi="Arial" w:cs="Arial"/>
          <w:color w:val="auto"/>
          <w:sz w:val="24"/>
          <w:szCs w:val="24"/>
        </w:rPr>
        <w:fldChar w:fldCharType="begin"/>
      </w:r>
      <w:r w:rsidRPr="00607D67">
        <w:rPr>
          <w:rFonts w:ascii="Arial" w:hAnsi="Arial" w:cs="Arial"/>
          <w:color w:val="auto"/>
          <w:sz w:val="24"/>
          <w:szCs w:val="24"/>
        </w:rPr>
        <w:instrText xml:space="preserve"> SEQ Tabla \* ARABIC \s 1 </w:instrText>
      </w:r>
      <w:r w:rsidRPr="00607D67">
        <w:rPr>
          <w:rFonts w:ascii="Arial" w:hAnsi="Arial" w:cs="Arial"/>
          <w:color w:val="auto"/>
          <w:sz w:val="24"/>
          <w:szCs w:val="24"/>
        </w:rPr>
        <w:fldChar w:fldCharType="separate"/>
      </w:r>
      <w:r w:rsidRPr="00607D67">
        <w:rPr>
          <w:rFonts w:ascii="Arial" w:hAnsi="Arial" w:cs="Arial"/>
          <w:noProof/>
          <w:color w:val="auto"/>
          <w:sz w:val="24"/>
          <w:szCs w:val="24"/>
        </w:rPr>
        <w:t>26</w:t>
      </w:r>
      <w:r w:rsidRPr="00607D67">
        <w:rPr>
          <w:rFonts w:ascii="Arial" w:hAnsi="Arial" w:cs="Arial"/>
          <w:noProof/>
          <w:color w:val="auto"/>
          <w:sz w:val="24"/>
          <w:szCs w:val="24"/>
        </w:rPr>
        <w:fldChar w:fldCharType="end"/>
      </w:r>
      <w:r w:rsidRPr="00607D67">
        <w:rPr>
          <w:rFonts w:ascii="Arial" w:hAnsi="Arial" w:cs="Arial"/>
          <w:color w:val="auto"/>
          <w:sz w:val="24"/>
          <w:szCs w:val="24"/>
        </w:rPr>
        <w:t xml:space="preserve"> Cuentas por cobrar (CxC) – Composición</w:t>
      </w:r>
      <w:bookmarkEnd w:id="100"/>
    </w:p>
    <w:p w:rsidR="00607D67" w:rsidRPr="00607D67" w:rsidRDefault="00607D67" w:rsidP="00607D67">
      <w:pPr>
        <w:jc w:val="center"/>
        <w:rPr>
          <w:lang w:val="es-CO" w:eastAsia="en-US"/>
        </w:rPr>
      </w:pPr>
    </w:p>
    <w:p w:rsidR="00607D67" w:rsidRPr="00A320BE" w:rsidRDefault="00607D67" w:rsidP="00607D67">
      <w:pPr>
        <w:contextualSpacing/>
        <w:jc w:val="center"/>
      </w:pPr>
      <w:r w:rsidRPr="00A320BE">
        <w:rPr>
          <w:noProof/>
          <w:lang w:val="es-CO" w:eastAsia="es-CO"/>
        </w:rPr>
        <w:lastRenderedPageBreak/>
        <w:drawing>
          <wp:inline distT="0" distB="0" distL="0" distR="0" wp14:anchorId="0C091795" wp14:editId="53DA757D">
            <wp:extent cx="5354309" cy="3200192"/>
            <wp:effectExtent l="0" t="0" r="0" b="635"/>
            <wp:docPr id="13965831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3894"/>
                    <a:stretch/>
                  </pic:blipFill>
                  <pic:spPr bwMode="auto">
                    <a:xfrm>
                      <a:off x="0" y="0"/>
                      <a:ext cx="5362530" cy="3205106"/>
                    </a:xfrm>
                    <a:prstGeom prst="rect">
                      <a:avLst/>
                    </a:prstGeom>
                    <a:noFill/>
                    <a:ln>
                      <a:noFill/>
                    </a:ln>
                    <a:extLst>
                      <a:ext uri="{53640926-AAD7-44D8-BBD7-CCE9431645EC}">
                        <a14:shadowObscured xmlns:a14="http://schemas.microsoft.com/office/drawing/2010/main"/>
                      </a:ext>
                    </a:extLst>
                  </pic:spPr>
                </pic:pic>
              </a:graphicData>
            </a:graphic>
          </wp:inline>
        </w:drawing>
      </w:r>
    </w:p>
    <w:p w:rsidR="00607D67" w:rsidRPr="00A320BE" w:rsidRDefault="00607D67" w:rsidP="00607D67">
      <w:pPr>
        <w:contextualSpacing/>
      </w:pPr>
    </w:p>
    <w:p w:rsidR="00607D67" w:rsidRDefault="00607D67" w:rsidP="00607D67">
      <w:pPr>
        <w:ind w:left="-142" w:right="-518"/>
        <w:jc w:val="both"/>
        <w:rPr>
          <w:rFonts w:ascii="Arial" w:hAnsi="Arial" w:cs="Arial"/>
        </w:rPr>
      </w:pPr>
      <w:r w:rsidRPr="00607D67">
        <w:rPr>
          <w:rFonts w:ascii="Arial" w:hAnsi="Arial" w:cs="Arial"/>
          <w:b/>
          <w:color w:val="000000" w:themeColor="text1"/>
          <w:u w:val="single"/>
        </w:rPr>
        <w:t>Como se observa, a 31 de diciembre de 2022 el grupo Cuentas por cobrar alcanzó la suma agregada de $108.864,5 que incluye el valor del Deterioro acumulado</w:t>
      </w:r>
      <w:r w:rsidRPr="00607D67">
        <w:rPr>
          <w:rFonts w:ascii="Arial" w:hAnsi="Arial" w:cs="Arial"/>
          <w:color w:val="000000" w:themeColor="text1"/>
        </w:rPr>
        <w:t>. Los conceptos a nivel agregado con mayor importancia relativa fueron: Otras cuentas por cobrar por $47.665,9 con un incremento del 101,0% equivalente a $23.949,0 respecto a 2021; le sigue Impuestos, retención en la fuente y anticipos de impuestos por valor de $22.088,4 con una variación positiva de $1.618,8, equivalente al 3,9% respecto del 2021.</w:t>
      </w:r>
      <w:r>
        <w:rPr>
          <w:rFonts w:ascii="Arial" w:hAnsi="Arial" w:cs="Arial"/>
          <w:color w:val="000000" w:themeColor="text1"/>
        </w:rPr>
        <w:t xml:space="preserve"> </w:t>
      </w:r>
      <w:r>
        <w:rPr>
          <w:rFonts w:ascii="Arial" w:hAnsi="Arial" w:cs="Arial"/>
        </w:rPr>
        <w:t>(Subrayado y resaltado fuera de texto).</w:t>
      </w:r>
    </w:p>
    <w:p w:rsidR="00607D67" w:rsidRPr="00607D67" w:rsidRDefault="00607D67" w:rsidP="00607D67">
      <w:pPr>
        <w:ind w:left="-142" w:right="-518"/>
        <w:contextualSpacing/>
        <w:rPr>
          <w:rFonts w:ascii="Arial" w:hAnsi="Arial" w:cs="Arial"/>
          <w:color w:val="000000" w:themeColor="text1"/>
        </w:rPr>
      </w:pPr>
    </w:p>
    <w:p w:rsidR="00607D67" w:rsidRPr="00607D67" w:rsidRDefault="00607D67" w:rsidP="00607D67">
      <w:pPr>
        <w:ind w:left="-142" w:right="-518"/>
        <w:contextualSpacing/>
        <w:jc w:val="both"/>
        <w:rPr>
          <w:rFonts w:ascii="Arial" w:hAnsi="Arial" w:cs="Arial"/>
          <w:color w:val="000000" w:themeColor="text1"/>
        </w:rPr>
      </w:pPr>
      <w:r w:rsidRPr="00607D67">
        <w:rPr>
          <w:rFonts w:ascii="Arial" w:hAnsi="Arial" w:cs="Arial"/>
          <w:color w:val="000000" w:themeColor="text1"/>
        </w:rPr>
        <w:t>En relación con la aplicación del deterioro por parte de las entidades consolidadas, la cuenta Deterioro acumulado de cuentas por cobrar (cr) por ($15.046,1) muestra una variación de ($2.497,4) equivalente a un incremento del 19,9% frente al año anterior, mientras que la cuenta Deterioro acumulado de cuentas por cobrar a costo amortizado (cr) por ($19,6) presenta una variación de ($6,8) que en comparación con el año anterior lo que implica un incremento de 53,1%.</w:t>
      </w:r>
    </w:p>
    <w:p w:rsidR="00607D67" w:rsidRPr="00607D67" w:rsidRDefault="00607D67" w:rsidP="00607D67">
      <w:pPr>
        <w:ind w:left="-142" w:right="-518"/>
        <w:contextualSpacing/>
        <w:jc w:val="both"/>
        <w:rPr>
          <w:rFonts w:ascii="Arial" w:hAnsi="Arial" w:cs="Arial"/>
          <w:color w:val="000000" w:themeColor="text1"/>
        </w:rPr>
      </w:pPr>
    </w:p>
    <w:p w:rsidR="00607D67" w:rsidRPr="00607D67" w:rsidRDefault="00607D67" w:rsidP="00607D67">
      <w:pPr>
        <w:ind w:left="-142" w:right="-518"/>
        <w:contextualSpacing/>
        <w:jc w:val="both"/>
        <w:rPr>
          <w:rFonts w:ascii="Arial" w:hAnsi="Arial" w:cs="Arial"/>
          <w:color w:val="000000" w:themeColor="text1"/>
        </w:rPr>
      </w:pPr>
      <w:r w:rsidRPr="00607D67">
        <w:rPr>
          <w:rFonts w:ascii="Arial" w:hAnsi="Arial" w:cs="Arial"/>
          <w:color w:val="000000" w:themeColor="text1"/>
        </w:rPr>
        <w:t>Una vez ejecutado el proceso de consolidación se presenta la disminución por el efecto neto de eliminaciones y reclasificaciones de ($22.813,3), lo que representa un impacto del 26,5% en el total consolidado, para obtener un saldo final consolidado del grupo Cuentas por cobrar por valor de $86.051,2, lo que representa el 9,3% del total del valor del Activo del nivel nacional.</w:t>
      </w:r>
    </w:p>
    <w:p w:rsidR="00D85B0E" w:rsidRPr="00FF5890" w:rsidRDefault="00D85B0E" w:rsidP="00FF5890">
      <w:pPr>
        <w:ind w:left="-142" w:right="-518"/>
        <w:contextualSpacing/>
        <w:jc w:val="both"/>
        <w:rPr>
          <w:rFonts w:ascii="Arial" w:hAnsi="Arial" w:cs="Arial"/>
          <w:color w:val="000000" w:themeColor="text1"/>
        </w:rPr>
      </w:pPr>
    </w:p>
    <w:p w:rsidR="00607D67" w:rsidRPr="00112FAC" w:rsidRDefault="00607D67" w:rsidP="00112FAC">
      <w:pPr>
        <w:ind w:left="-142"/>
        <w:rPr>
          <w:rFonts w:ascii="Arial" w:hAnsi="Arial" w:cs="Arial"/>
          <w:b/>
          <w:sz w:val="28"/>
          <w:szCs w:val="28"/>
        </w:rPr>
      </w:pPr>
      <w:r w:rsidRPr="00112FAC">
        <w:rPr>
          <w:rFonts w:ascii="Arial" w:hAnsi="Arial" w:cs="Arial"/>
          <w:b/>
          <w:sz w:val="28"/>
          <w:szCs w:val="28"/>
        </w:rPr>
        <w:t>Entidades que registran los mayores valores de CxC</w:t>
      </w:r>
      <w:r w:rsidR="00112FAC">
        <w:rPr>
          <w:rFonts w:ascii="Arial" w:hAnsi="Arial" w:cs="Arial"/>
          <w:b/>
          <w:sz w:val="28"/>
          <w:szCs w:val="28"/>
        </w:rPr>
        <w:t>.</w:t>
      </w:r>
    </w:p>
    <w:p w:rsidR="00607D67" w:rsidRPr="00A320BE" w:rsidRDefault="00607D67" w:rsidP="00607D67">
      <w:pPr>
        <w:contextualSpacing/>
      </w:pPr>
    </w:p>
    <w:p w:rsidR="00607D67" w:rsidRPr="00112FAC" w:rsidRDefault="00607D67" w:rsidP="00112FAC">
      <w:pPr>
        <w:ind w:left="-142" w:right="-518"/>
        <w:contextualSpacing/>
        <w:jc w:val="both"/>
        <w:rPr>
          <w:rFonts w:ascii="Arial" w:hAnsi="Arial" w:cs="Arial"/>
        </w:rPr>
      </w:pPr>
      <w:r w:rsidRPr="00112FAC">
        <w:rPr>
          <w:rFonts w:ascii="Arial" w:hAnsi="Arial" w:cs="Arial"/>
        </w:rPr>
        <w:t>Teniendo en cuenta que el saldo agregado del grupo Cuentas por cobrar es $108.864,5, a continuación, se listan las entidades que registran los mayores valores en los conceptos de mayor importancia relativa de los saldos reportados en 2022 y comparados con el 2021, a saber: Otras cuentas por cobrar, Impuestos retención en la fuente y anticipos de impuestos, Contribuciones tasas e ingresos no tributarios, Venta de bienes y Deterioro acumulado de cuentas por cobrar (cr).</w:t>
      </w:r>
    </w:p>
    <w:p w:rsidR="00607D67" w:rsidRPr="00A320BE" w:rsidRDefault="00607D67" w:rsidP="00607D67">
      <w:pPr>
        <w:contextualSpacing/>
      </w:pPr>
    </w:p>
    <w:p w:rsidR="00607D67" w:rsidRPr="00112FAC" w:rsidRDefault="00607D67" w:rsidP="00112FAC">
      <w:pPr>
        <w:pStyle w:val="Descripcin"/>
        <w:jc w:val="center"/>
        <w:rPr>
          <w:rFonts w:ascii="Arial" w:hAnsi="Arial" w:cs="Arial"/>
          <w:color w:val="auto"/>
          <w:sz w:val="24"/>
          <w:szCs w:val="24"/>
        </w:rPr>
      </w:pPr>
      <w:bookmarkStart w:id="101" w:name="_Toc135044791"/>
      <w:r w:rsidRPr="00112FAC">
        <w:rPr>
          <w:rFonts w:ascii="Arial" w:hAnsi="Arial" w:cs="Arial"/>
          <w:color w:val="auto"/>
          <w:sz w:val="24"/>
          <w:szCs w:val="24"/>
        </w:rPr>
        <w:t xml:space="preserve">Tabla </w:t>
      </w:r>
      <w:r w:rsidRPr="00112FAC">
        <w:rPr>
          <w:rFonts w:ascii="Arial" w:hAnsi="Arial" w:cs="Arial"/>
          <w:color w:val="auto"/>
          <w:sz w:val="24"/>
          <w:szCs w:val="24"/>
        </w:rPr>
        <w:fldChar w:fldCharType="begin"/>
      </w:r>
      <w:r w:rsidRPr="00112FAC">
        <w:rPr>
          <w:rFonts w:ascii="Arial" w:hAnsi="Arial" w:cs="Arial"/>
          <w:color w:val="auto"/>
          <w:sz w:val="24"/>
          <w:szCs w:val="24"/>
        </w:rPr>
        <w:instrText xml:space="preserve"> STYLEREF 1 \s </w:instrText>
      </w:r>
      <w:r w:rsidRPr="00112FAC">
        <w:rPr>
          <w:rFonts w:ascii="Arial" w:hAnsi="Arial" w:cs="Arial"/>
          <w:color w:val="auto"/>
          <w:sz w:val="24"/>
          <w:szCs w:val="24"/>
        </w:rPr>
        <w:fldChar w:fldCharType="separate"/>
      </w:r>
      <w:r w:rsidRPr="00112FAC">
        <w:rPr>
          <w:rFonts w:ascii="Arial" w:hAnsi="Arial" w:cs="Arial"/>
          <w:noProof/>
          <w:color w:val="auto"/>
          <w:sz w:val="24"/>
          <w:szCs w:val="24"/>
        </w:rPr>
        <w:t>4</w:t>
      </w:r>
      <w:r w:rsidRPr="00112FAC">
        <w:rPr>
          <w:rFonts w:ascii="Arial" w:hAnsi="Arial" w:cs="Arial"/>
          <w:noProof/>
          <w:color w:val="auto"/>
          <w:sz w:val="24"/>
          <w:szCs w:val="24"/>
        </w:rPr>
        <w:fldChar w:fldCharType="end"/>
      </w:r>
      <w:r w:rsidRPr="00112FAC">
        <w:rPr>
          <w:rFonts w:ascii="Arial" w:hAnsi="Arial" w:cs="Arial"/>
          <w:color w:val="auto"/>
          <w:sz w:val="24"/>
          <w:szCs w:val="24"/>
        </w:rPr>
        <w:noBreakHyphen/>
      </w:r>
      <w:r w:rsidRPr="00112FAC">
        <w:rPr>
          <w:rFonts w:ascii="Arial" w:hAnsi="Arial" w:cs="Arial"/>
          <w:color w:val="auto"/>
          <w:sz w:val="24"/>
          <w:szCs w:val="24"/>
        </w:rPr>
        <w:fldChar w:fldCharType="begin"/>
      </w:r>
      <w:r w:rsidRPr="00112FAC">
        <w:rPr>
          <w:rFonts w:ascii="Arial" w:hAnsi="Arial" w:cs="Arial"/>
          <w:color w:val="auto"/>
          <w:sz w:val="24"/>
          <w:szCs w:val="24"/>
        </w:rPr>
        <w:instrText xml:space="preserve"> SEQ Tabla \* ARABIC \s 1 </w:instrText>
      </w:r>
      <w:r w:rsidRPr="00112FAC">
        <w:rPr>
          <w:rFonts w:ascii="Arial" w:hAnsi="Arial" w:cs="Arial"/>
          <w:color w:val="auto"/>
          <w:sz w:val="24"/>
          <w:szCs w:val="24"/>
        </w:rPr>
        <w:fldChar w:fldCharType="separate"/>
      </w:r>
      <w:r w:rsidRPr="00112FAC">
        <w:rPr>
          <w:rFonts w:ascii="Arial" w:hAnsi="Arial" w:cs="Arial"/>
          <w:noProof/>
          <w:color w:val="auto"/>
          <w:sz w:val="24"/>
          <w:szCs w:val="24"/>
        </w:rPr>
        <w:t>28</w:t>
      </w:r>
      <w:r w:rsidRPr="00112FAC">
        <w:rPr>
          <w:rFonts w:ascii="Arial" w:hAnsi="Arial" w:cs="Arial"/>
          <w:noProof/>
          <w:color w:val="auto"/>
          <w:sz w:val="24"/>
          <w:szCs w:val="24"/>
        </w:rPr>
        <w:fldChar w:fldCharType="end"/>
      </w:r>
      <w:r w:rsidRPr="00112FAC">
        <w:rPr>
          <w:rFonts w:ascii="Arial" w:hAnsi="Arial" w:cs="Arial"/>
          <w:color w:val="auto"/>
          <w:sz w:val="24"/>
          <w:szCs w:val="24"/>
        </w:rPr>
        <w:t xml:space="preserve"> CxC - Entidades más representativas</w:t>
      </w:r>
      <w:bookmarkEnd w:id="101"/>
    </w:p>
    <w:p w:rsidR="00607D67" w:rsidRPr="00A320BE" w:rsidRDefault="00607D67" w:rsidP="00607D67">
      <w:pPr>
        <w:pStyle w:val="Textoindependiente"/>
        <w:contextualSpacing/>
        <w:jc w:val="center"/>
        <w:rPr>
          <w:rFonts w:ascii="Montserrat Medium" w:hAnsi="Montserrat Medium"/>
          <w:lang w:val="es-CO"/>
        </w:rPr>
      </w:pPr>
      <w:r w:rsidRPr="00A320BE">
        <w:rPr>
          <w:rFonts w:ascii="Montserrat Medium" w:hAnsi="Montserrat Medium"/>
          <w:noProof/>
          <w:lang w:val="es-CO" w:eastAsia="es-CO"/>
        </w:rPr>
        <w:lastRenderedPageBreak/>
        <w:drawing>
          <wp:inline distT="0" distB="0" distL="0" distR="0" wp14:anchorId="14244020" wp14:editId="4DBCCD7D">
            <wp:extent cx="5105400" cy="7644656"/>
            <wp:effectExtent l="0" t="0" r="0" b="0"/>
            <wp:docPr id="8528879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97"/>
                    <a:stretch/>
                  </pic:blipFill>
                  <pic:spPr bwMode="auto">
                    <a:xfrm>
                      <a:off x="0" y="0"/>
                      <a:ext cx="5127367" cy="7677549"/>
                    </a:xfrm>
                    <a:prstGeom prst="rect">
                      <a:avLst/>
                    </a:prstGeom>
                    <a:noFill/>
                    <a:ln>
                      <a:noFill/>
                    </a:ln>
                    <a:extLst>
                      <a:ext uri="{53640926-AAD7-44D8-BBD7-CCE9431645EC}">
                        <a14:shadowObscured xmlns:a14="http://schemas.microsoft.com/office/drawing/2010/main"/>
                      </a:ext>
                    </a:extLst>
                  </pic:spPr>
                </pic:pic>
              </a:graphicData>
            </a:graphic>
          </wp:inline>
        </w:drawing>
      </w:r>
    </w:p>
    <w:p w:rsidR="00607D67" w:rsidRPr="00A320BE" w:rsidRDefault="00607D67" w:rsidP="008F4B95">
      <w:pPr>
        <w:pStyle w:val="Textoindependiente"/>
        <w:ind w:left="993" w:right="900"/>
        <w:contextualSpacing/>
        <w:jc w:val="both"/>
        <w:rPr>
          <w:rFonts w:ascii="Montserrat Medium" w:hAnsi="Montserrat Medium"/>
          <w:sz w:val="18"/>
          <w:szCs w:val="18"/>
          <w:lang w:val="es-CO"/>
        </w:rPr>
      </w:pPr>
      <w:r w:rsidRPr="00A320BE">
        <w:rPr>
          <w:rFonts w:ascii="Montserrat Medium" w:hAnsi="Montserrat Medium"/>
          <w:sz w:val="18"/>
          <w:szCs w:val="18"/>
          <w:lang w:val="es-CO"/>
        </w:rPr>
        <w:t>*En la clasificación “Resto de Entidades que reportan” se reflejan los saldos reportados por las demás entidades, los cuales analizados individualmente son inferiores a los reportados por las entidades más representativas.</w:t>
      </w:r>
    </w:p>
    <w:p w:rsidR="00112FAC" w:rsidRDefault="00112FAC" w:rsidP="008F4B95">
      <w:pPr>
        <w:contextualSpacing/>
        <w:jc w:val="both"/>
        <w:rPr>
          <w:color w:val="000000" w:themeColor="text1"/>
        </w:rPr>
      </w:pPr>
    </w:p>
    <w:p w:rsidR="00112FAC" w:rsidRDefault="00607D67" w:rsidP="00112FAC">
      <w:pPr>
        <w:ind w:left="-142" w:right="-518"/>
        <w:jc w:val="both"/>
        <w:rPr>
          <w:rFonts w:ascii="Arial" w:hAnsi="Arial" w:cs="Arial"/>
        </w:rPr>
      </w:pPr>
      <w:r w:rsidRPr="00112FAC">
        <w:rPr>
          <w:rFonts w:ascii="Arial" w:hAnsi="Arial" w:cs="Arial"/>
          <w:b/>
          <w:color w:val="000000" w:themeColor="text1"/>
          <w:u w:val="single"/>
        </w:rPr>
        <w:t xml:space="preserve">Teniendo en cuenta que para el año 2022 las entidades consolidadas del nivel nacional fueron 343 es importante mencionar que 305 entidades reportaron saldos en la cuenta Otras cuentas </w:t>
      </w:r>
      <w:r w:rsidRPr="00112FAC">
        <w:rPr>
          <w:rFonts w:ascii="Arial" w:hAnsi="Arial" w:cs="Arial"/>
          <w:b/>
          <w:color w:val="000000" w:themeColor="text1"/>
          <w:u w:val="single"/>
        </w:rPr>
        <w:lastRenderedPageBreak/>
        <w:t>por cobrar; 9 en Impuestos, retención en la fuente y anticipos de impuestos; 113 en Contribuciones tasas e ingresos no tributarios; 38 en Venta de bienes; y 219 en Deterioro acumulado de cuentas por cobrar (cr).</w:t>
      </w:r>
      <w:r w:rsidR="00112FAC" w:rsidRPr="00112FAC">
        <w:rPr>
          <w:rFonts w:ascii="Arial" w:hAnsi="Arial" w:cs="Arial"/>
          <w:b/>
          <w:color w:val="000000" w:themeColor="text1"/>
        </w:rPr>
        <w:t xml:space="preserve"> </w:t>
      </w:r>
      <w:r w:rsidR="00112FAC">
        <w:rPr>
          <w:rFonts w:ascii="Arial" w:hAnsi="Arial" w:cs="Arial"/>
        </w:rPr>
        <w:t>(Subrayado y resaltado fuera de texto).</w:t>
      </w:r>
    </w:p>
    <w:p w:rsidR="00112FAC" w:rsidRPr="00607D67" w:rsidRDefault="00112FAC" w:rsidP="00112FAC">
      <w:pPr>
        <w:ind w:left="-142" w:right="-518"/>
        <w:contextualSpacing/>
        <w:rPr>
          <w:rFonts w:ascii="Arial" w:hAnsi="Arial" w:cs="Arial"/>
          <w:color w:val="000000" w:themeColor="text1"/>
        </w:rPr>
      </w:pPr>
    </w:p>
    <w:p w:rsidR="00607D67" w:rsidRPr="00112FAC" w:rsidRDefault="00607D67" w:rsidP="00112FAC">
      <w:pPr>
        <w:ind w:left="-142" w:right="-518"/>
        <w:contextualSpacing/>
        <w:jc w:val="both"/>
        <w:rPr>
          <w:rFonts w:ascii="Arial" w:hAnsi="Arial" w:cs="Arial"/>
        </w:rPr>
      </w:pPr>
      <w:r w:rsidRPr="00112FAC">
        <w:rPr>
          <w:rFonts w:ascii="Arial" w:hAnsi="Arial" w:cs="Arial"/>
        </w:rPr>
        <w:t>En el total agregado de la cuenta Otras cuentas por cobrar, las entidades con mayor participación fueron: Ecopetrol S.A. con el 51,9% del concepto, seguido del Ministerio de Hacienda y Crédito Público con el 4,9%. De igual manera, en Impuestos retención en la fuente y anticipos de impuestos, la mayor participación se encuentra en: Dirección de Impuestos y Aduanas Nacionales (Función recaudadora) con el 99,5% del concepto a nivel agregado.</w:t>
      </w:r>
    </w:p>
    <w:p w:rsidR="00607D67" w:rsidRPr="00112FAC" w:rsidRDefault="00607D67" w:rsidP="00112FAC">
      <w:pPr>
        <w:ind w:left="-142" w:right="-518"/>
        <w:contextualSpacing/>
        <w:jc w:val="both"/>
        <w:rPr>
          <w:rFonts w:ascii="Arial" w:hAnsi="Arial" w:cs="Arial"/>
        </w:rPr>
      </w:pPr>
    </w:p>
    <w:p w:rsidR="00112FAC" w:rsidRDefault="00607D67" w:rsidP="00112FAC">
      <w:pPr>
        <w:ind w:left="-142" w:right="-518"/>
        <w:jc w:val="both"/>
        <w:rPr>
          <w:rFonts w:ascii="Arial" w:hAnsi="Arial" w:cs="Arial"/>
        </w:rPr>
      </w:pPr>
      <w:r w:rsidRPr="00112FAC">
        <w:rPr>
          <w:rFonts w:ascii="Arial" w:hAnsi="Arial" w:cs="Arial"/>
          <w:b/>
          <w:u w:val="single"/>
        </w:rPr>
        <w:t>Por otra parte, en la cuenta Deterioro acumulado de cuentas por cobrar (cr) las entidades con mayor participación fueron: la Dirección de impuestos y Aduanas Nacionales (función recaudadora) con el 37,3% y el Ministerio de Hacienda y Crédito Público con el 19,0%</w:t>
      </w:r>
      <w:r w:rsidRPr="00112FAC">
        <w:rPr>
          <w:rFonts w:ascii="Arial" w:hAnsi="Arial" w:cs="Arial"/>
        </w:rPr>
        <w:t>.</w:t>
      </w:r>
      <w:r w:rsidR="00112FAC">
        <w:rPr>
          <w:rFonts w:ascii="Arial" w:hAnsi="Arial" w:cs="Arial"/>
        </w:rPr>
        <w:t xml:space="preserve"> (Subrayado y resaltado fuera de texto).</w:t>
      </w:r>
    </w:p>
    <w:p w:rsidR="00112FAC" w:rsidRPr="00607D67" w:rsidRDefault="00112FAC" w:rsidP="00112FAC">
      <w:pPr>
        <w:ind w:left="-142" w:right="-518"/>
        <w:contextualSpacing/>
        <w:rPr>
          <w:rFonts w:ascii="Arial" w:hAnsi="Arial" w:cs="Arial"/>
          <w:color w:val="000000" w:themeColor="text1"/>
        </w:rPr>
      </w:pPr>
    </w:p>
    <w:p w:rsidR="00C250E8" w:rsidRPr="00C250E8" w:rsidRDefault="00C250E8" w:rsidP="00C250E8">
      <w:pPr>
        <w:ind w:left="851" w:right="-518"/>
        <w:contextualSpacing/>
        <w:jc w:val="both"/>
        <w:rPr>
          <w:rFonts w:ascii="Arial" w:hAnsi="Arial" w:cs="Arial"/>
        </w:rPr>
      </w:pPr>
      <w:r w:rsidRPr="00C250E8">
        <w:rPr>
          <w:rFonts w:ascii="Arial" w:hAnsi="Arial" w:cs="Arial"/>
        </w:rPr>
        <w:t>De igual forma, se destacan los valores reportados en el grupo Cuentas por cobrar por la Dirección de Impuestos y Aduanas Nacionales (función recaudadora) y según sus notas a los estados financieros, con corte a 31 de diciembre de 2022, la entidad informa lo siguiente:</w:t>
      </w:r>
    </w:p>
    <w:p w:rsidR="00C250E8" w:rsidRPr="00C250E8" w:rsidRDefault="00C250E8" w:rsidP="00C250E8">
      <w:pPr>
        <w:ind w:right="-518"/>
        <w:contextualSpacing/>
        <w:jc w:val="both"/>
        <w:rPr>
          <w:rFonts w:ascii="Arial" w:hAnsi="Arial" w:cs="Arial"/>
        </w:rPr>
      </w:pPr>
    </w:p>
    <w:p w:rsidR="00C250E8" w:rsidRPr="00C250E8" w:rsidRDefault="00C250E8" w:rsidP="00C250E8">
      <w:pPr>
        <w:ind w:left="851" w:right="-518"/>
        <w:contextualSpacing/>
        <w:jc w:val="both"/>
        <w:rPr>
          <w:rFonts w:ascii="Arial" w:hAnsi="Arial" w:cs="Arial"/>
        </w:rPr>
      </w:pPr>
      <w:r w:rsidRPr="00C250E8">
        <w:rPr>
          <w:rFonts w:ascii="Arial" w:hAnsi="Arial" w:cs="Arial"/>
        </w:rPr>
        <w:t xml:space="preserve"> “El saldo de las cuentas por cobrar a 31 de diciembre de 2022 presenta un valor de $26.106.272.900.023 la cual tuvo una variación del 8,9% con relación a la vigencia anterior. </w:t>
      </w:r>
    </w:p>
    <w:p w:rsidR="00C250E8" w:rsidRPr="00C250E8" w:rsidRDefault="00C250E8" w:rsidP="00C250E8">
      <w:pPr>
        <w:ind w:left="851" w:right="-518"/>
        <w:contextualSpacing/>
        <w:jc w:val="both"/>
        <w:rPr>
          <w:rFonts w:ascii="Arial" w:hAnsi="Arial" w:cs="Arial"/>
        </w:rPr>
      </w:pPr>
    </w:p>
    <w:p w:rsidR="00C250E8" w:rsidRDefault="00C250E8" w:rsidP="00C250E8">
      <w:pPr>
        <w:ind w:left="851" w:right="-518"/>
        <w:jc w:val="both"/>
        <w:rPr>
          <w:rFonts w:ascii="Arial" w:hAnsi="Arial" w:cs="Arial"/>
        </w:rPr>
      </w:pPr>
      <w:r w:rsidRPr="00C250E8">
        <w:rPr>
          <w:rFonts w:ascii="Arial" w:hAnsi="Arial" w:cs="Arial"/>
          <w:b/>
          <w:u w:val="single"/>
        </w:rPr>
        <w:t>La cartera por concepto de impuestos y contribuciones tasas e ingresos no tributarios, presenta un saldo de $31.714.735.069.790 con un deterioro acumulado por valor de $-5.608.462.169.767, dando como resultado un saldo neto por valor de $26.106.272.900.023. el valor del deterioro representa el 18 % de dichos conceptos</w:t>
      </w:r>
      <w:r w:rsidRPr="00C250E8">
        <w:rPr>
          <w:rFonts w:ascii="Arial" w:hAnsi="Arial" w:cs="Arial"/>
        </w:rPr>
        <w:t>”. (cifras citadas, se expresan en pesos colombianos en la revelación de la entidad).</w:t>
      </w:r>
      <w:r>
        <w:rPr>
          <w:rFonts w:ascii="Arial" w:hAnsi="Arial" w:cs="Arial"/>
        </w:rPr>
        <w:t xml:space="preserve"> (Subrayado y resaltado fuera de texto).</w:t>
      </w:r>
    </w:p>
    <w:p w:rsidR="00C250E8" w:rsidRPr="00607D67" w:rsidRDefault="00C250E8" w:rsidP="00C250E8">
      <w:pPr>
        <w:ind w:left="-142" w:right="-518"/>
        <w:contextualSpacing/>
        <w:rPr>
          <w:rFonts w:ascii="Arial" w:hAnsi="Arial" w:cs="Arial"/>
          <w:color w:val="000000" w:themeColor="text1"/>
        </w:rPr>
      </w:pPr>
    </w:p>
    <w:p w:rsidR="00663220" w:rsidRDefault="008F4B95" w:rsidP="00A2364B">
      <w:pPr>
        <w:ind w:left="-142" w:right="-518"/>
        <w:contextualSpacing/>
        <w:jc w:val="both"/>
        <w:rPr>
          <w:rFonts w:ascii="Arial" w:hAnsi="Arial" w:cs="Arial"/>
          <w:b/>
          <w:color w:val="000000" w:themeColor="text1"/>
          <w:sz w:val="28"/>
          <w:szCs w:val="28"/>
        </w:rPr>
      </w:pPr>
      <w:r w:rsidRPr="008F4B95">
        <w:rPr>
          <w:rFonts w:ascii="Arial" w:hAnsi="Arial" w:cs="Arial"/>
          <w:b/>
          <w:color w:val="000000" w:themeColor="text1"/>
          <w:sz w:val="28"/>
          <w:szCs w:val="28"/>
        </w:rPr>
        <w:t>NOTA 8.- Pr</w:t>
      </w:r>
      <w:r>
        <w:rPr>
          <w:rFonts w:ascii="Arial" w:hAnsi="Arial" w:cs="Arial"/>
          <w:b/>
          <w:color w:val="000000" w:themeColor="text1"/>
          <w:sz w:val="28"/>
          <w:szCs w:val="28"/>
        </w:rPr>
        <w:t>é</w:t>
      </w:r>
      <w:r w:rsidRPr="008F4B95">
        <w:rPr>
          <w:rFonts w:ascii="Arial" w:hAnsi="Arial" w:cs="Arial"/>
          <w:b/>
          <w:color w:val="000000" w:themeColor="text1"/>
          <w:sz w:val="28"/>
          <w:szCs w:val="28"/>
        </w:rPr>
        <w:t>stamos por Cobrar – PXC.</w:t>
      </w:r>
    </w:p>
    <w:p w:rsidR="00A2364B" w:rsidRPr="00A2364B" w:rsidRDefault="00A2364B" w:rsidP="00A2364B">
      <w:pPr>
        <w:ind w:left="-142" w:right="-518"/>
        <w:contextualSpacing/>
        <w:jc w:val="both"/>
        <w:rPr>
          <w:rFonts w:ascii="Arial" w:hAnsi="Arial" w:cs="Arial"/>
          <w:b/>
        </w:rPr>
      </w:pPr>
    </w:p>
    <w:p w:rsidR="00A2364B" w:rsidRDefault="00A2364B" w:rsidP="00A2364B">
      <w:pPr>
        <w:pStyle w:val="Descripcin"/>
        <w:jc w:val="center"/>
        <w:rPr>
          <w:rFonts w:ascii="Arial" w:hAnsi="Arial" w:cs="Arial"/>
          <w:color w:val="auto"/>
          <w:sz w:val="24"/>
          <w:szCs w:val="24"/>
        </w:rPr>
      </w:pPr>
      <w:bookmarkStart w:id="102" w:name="_Toc135044792"/>
      <w:r w:rsidRPr="00A2364B">
        <w:rPr>
          <w:rFonts w:ascii="Arial" w:hAnsi="Arial" w:cs="Arial"/>
          <w:color w:val="auto"/>
          <w:sz w:val="24"/>
          <w:szCs w:val="24"/>
        </w:rPr>
        <w:t xml:space="preserve">Tabla </w:t>
      </w:r>
      <w:r w:rsidRPr="00A2364B">
        <w:rPr>
          <w:rFonts w:ascii="Arial" w:hAnsi="Arial" w:cs="Arial"/>
          <w:color w:val="auto"/>
          <w:sz w:val="24"/>
          <w:szCs w:val="24"/>
        </w:rPr>
        <w:fldChar w:fldCharType="begin"/>
      </w:r>
      <w:r w:rsidRPr="00A2364B">
        <w:rPr>
          <w:rFonts w:ascii="Arial" w:hAnsi="Arial" w:cs="Arial"/>
          <w:color w:val="auto"/>
          <w:sz w:val="24"/>
          <w:szCs w:val="24"/>
        </w:rPr>
        <w:instrText xml:space="preserve"> STYLEREF 1 \s </w:instrText>
      </w:r>
      <w:r w:rsidRPr="00A2364B">
        <w:rPr>
          <w:rFonts w:ascii="Arial" w:hAnsi="Arial" w:cs="Arial"/>
          <w:color w:val="auto"/>
          <w:sz w:val="24"/>
          <w:szCs w:val="24"/>
        </w:rPr>
        <w:fldChar w:fldCharType="separate"/>
      </w:r>
      <w:r w:rsidRPr="00A2364B">
        <w:rPr>
          <w:rFonts w:ascii="Arial" w:hAnsi="Arial" w:cs="Arial"/>
          <w:noProof/>
          <w:color w:val="auto"/>
          <w:sz w:val="24"/>
          <w:szCs w:val="24"/>
        </w:rPr>
        <w:t>4</w:t>
      </w:r>
      <w:r w:rsidRPr="00A2364B">
        <w:rPr>
          <w:rFonts w:ascii="Arial" w:hAnsi="Arial" w:cs="Arial"/>
          <w:noProof/>
          <w:color w:val="auto"/>
          <w:sz w:val="24"/>
          <w:szCs w:val="24"/>
        </w:rPr>
        <w:fldChar w:fldCharType="end"/>
      </w:r>
      <w:r w:rsidRPr="00A2364B">
        <w:rPr>
          <w:rFonts w:ascii="Arial" w:hAnsi="Arial" w:cs="Arial"/>
          <w:color w:val="auto"/>
          <w:sz w:val="24"/>
          <w:szCs w:val="24"/>
        </w:rPr>
        <w:noBreakHyphen/>
      </w:r>
      <w:r w:rsidRPr="00A2364B">
        <w:rPr>
          <w:rFonts w:ascii="Arial" w:hAnsi="Arial" w:cs="Arial"/>
          <w:color w:val="auto"/>
          <w:sz w:val="24"/>
          <w:szCs w:val="24"/>
        </w:rPr>
        <w:fldChar w:fldCharType="begin"/>
      </w:r>
      <w:r w:rsidRPr="00A2364B">
        <w:rPr>
          <w:rFonts w:ascii="Arial" w:hAnsi="Arial" w:cs="Arial"/>
          <w:color w:val="auto"/>
          <w:sz w:val="24"/>
          <w:szCs w:val="24"/>
        </w:rPr>
        <w:instrText xml:space="preserve"> SEQ Tabla \* ARABIC \s 1 </w:instrText>
      </w:r>
      <w:r w:rsidRPr="00A2364B">
        <w:rPr>
          <w:rFonts w:ascii="Arial" w:hAnsi="Arial" w:cs="Arial"/>
          <w:color w:val="auto"/>
          <w:sz w:val="24"/>
          <w:szCs w:val="24"/>
        </w:rPr>
        <w:fldChar w:fldCharType="separate"/>
      </w:r>
      <w:r w:rsidRPr="00A2364B">
        <w:rPr>
          <w:rFonts w:ascii="Arial" w:hAnsi="Arial" w:cs="Arial"/>
          <w:noProof/>
          <w:color w:val="auto"/>
          <w:sz w:val="24"/>
          <w:szCs w:val="24"/>
        </w:rPr>
        <w:t>29</w:t>
      </w:r>
      <w:r w:rsidRPr="00A2364B">
        <w:rPr>
          <w:rFonts w:ascii="Arial" w:hAnsi="Arial" w:cs="Arial"/>
          <w:noProof/>
          <w:color w:val="auto"/>
          <w:sz w:val="24"/>
          <w:szCs w:val="24"/>
        </w:rPr>
        <w:fldChar w:fldCharType="end"/>
      </w:r>
      <w:r w:rsidRPr="00A2364B">
        <w:rPr>
          <w:rFonts w:ascii="Arial" w:hAnsi="Arial" w:cs="Arial"/>
          <w:color w:val="auto"/>
          <w:sz w:val="24"/>
          <w:szCs w:val="24"/>
        </w:rPr>
        <w:t xml:space="preserve"> Prestamos por cobrar (PxC) – Composición</w:t>
      </w:r>
      <w:bookmarkEnd w:id="102"/>
    </w:p>
    <w:p w:rsidR="00A2364B" w:rsidRPr="00A2364B" w:rsidRDefault="00A2364B" w:rsidP="00A2364B">
      <w:pPr>
        <w:rPr>
          <w:lang w:val="es-CO" w:eastAsia="en-US"/>
        </w:rPr>
      </w:pPr>
    </w:p>
    <w:p w:rsidR="00A2364B" w:rsidRPr="00A320BE" w:rsidRDefault="00A2364B" w:rsidP="00A2364B">
      <w:pPr>
        <w:contextualSpacing/>
        <w:jc w:val="center"/>
      </w:pPr>
      <w:r w:rsidRPr="00A320BE">
        <w:rPr>
          <w:noProof/>
          <w:lang w:val="es-CO" w:eastAsia="es-CO"/>
        </w:rPr>
        <w:drawing>
          <wp:inline distT="0" distB="0" distL="0" distR="0" wp14:anchorId="21FDE027" wp14:editId="238D0A97">
            <wp:extent cx="5943600" cy="2369185"/>
            <wp:effectExtent l="0" t="0" r="0" b="0"/>
            <wp:docPr id="7304087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369185"/>
                    </a:xfrm>
                    <a:prstGeom prst="rect">
                      <a:avLst/>
                    </a:prstGeom>
                    <a:noFill/>
                    <a:ln>
                      <a:noFill/>
                    </a:ln>
                  </pic:spPr>
                </pic:pic>
              </a:graphicData>
            </a:graphic>
          </wp:inline>
        </w:drawing>
      </w:r>
    </w:p>
    <w:p w:rsidR="00A2364B" w:rsidRPr="00A320BE" w:rsidRDefault="00A2364B" w:rsidP="00A2364B">
      <w:pPr>
        <w:jc w:val="both"/>
      </w:pPr>
    </w:p>
    <w:p w:rsidR="00D66813" w:rsidRDefault="00A2364B" w:rsidP="00D66813">
      <w:pPr>
        <w:ind w:left="851" w:right="-518"/>
        <w:jc w:val="both"/>
        <w:rPr>
          <w:rFonts w:ascii="Arial" w:hAnsi="Arial" w:cs="Arial"/>
        </w:rPr>
      </w:pPr>
      <w:r w:rsidRPr="00A2364B">
        <w:rPr>
          <w:rFonts w:ascii="Arial" w:hAnsi="Arial" w:cs="Arial"/>
          <w:b/>
          <w:u w:val="single"/>
        </w:rPr>
        <w:lastRenderedPageBreak/>
        <w:t>Como se observa, a 31 de diciembre de 2022 el grupo Préstamos por cobrar alcanzó la suma agregada de $92.027,7</w:t>
      </w:r>
      <w:r w:rsidRPr="00A2364B">
        <w:rPr>
          <w:rFonts w:ascii="Arial" w:hAnsi="Arial" w:cs="Arial"/>
        </w:rPr>
        <w:t>, incluyendo el valor del Deterioro acumulado. Una vez ejecutado el proceso de consolidación se presenta el efecto neto de las Eliminaciones y reclasificaciones por valor de ($20.141,7), para un total consolidado de $71.886,0. Este valor representa el 7,8% del total de los Activos cuyo valor asciende a $923.753,0.</w:t>
      </w:r>
      <w:r w:rsidR="00D66813">
        <w:rPr>
          <w:rFonts w:ascii="Arial" w:hAnsi="Arial" w:cs="Arial"/>
        </w:rPr>
        <w:t xml:space="preserve"> (Subrayado y resaltado fuera de texto).</w:t>
      </w:r>
    </w:p>
    <w:p w:rsidR="00D66813" w:rsidRPr="00607D67" w:rsidRDefault="00D66813" w:rsidP="00D66813">
      <w:pPr>
        <w:ind w:left="-142" w:right="-518"/>
        <w:contextualSpacing/>
        <w:rPr>
          <w:rFonts w:ascii="Arial" w:hAnsi="Arial" w:cs="Arial"/>
          <w:color w:val="000000" w:themeColor="text1"/>
        </w:rPr>
      </w:pPr>
    </w:p>
    <w:p w:rsidR="00A2364B" w:rsidRPr="00296960" w:rsidRDefault="00296960" w:rsidP="00296960">
      <w:pPr>
        <w:ind w:left="-142"/>
        <w:jc w:val="both"/>
        <w:rPr>
          <w:rFonts w:ascii="Arial" w:hAnsi="Arial" w:cs="Arial"/>
          <w:b/>
          <w:sz w:val="28"/>
          <w:szCs w:val="28"/>
        </w:rPr>
      </w:pPr>
      <w:r w:rsidRPr="00296960">
        <w:rPr>
          <w:rFonts w:ascii="Arial" w:hAnsi="Arial" w:cs="Arial"/>
          <w:b/>
          <w:sz w:val="28"/>
          <w:szCs w:val="28"/>
        </w:rPr>
        <w:t>NOTA 9.- Inventarios.</w:t>
      </w:r>
    </w:p>
    <w:p w:rsidR="00296960" w:rsidRDefault="00296960" w:rsidP="00A2364B">
      <w:pPr>
        <w:jc w:val="both"/>
      </w:pPr>
    </w:p>
    <w:p w:rsidR="00D66813" w:rsidRPr="00D66813" w:rsidRDefault="00D66813" w:rsidP="00D66813">
      <w:pPr>
        <w:ind w:left="-142" w:right="-518"/>
        <w:jc w:val="both"/>
        <w:rPr>
          <w:rFonts w:ascii="Arial" w:hAnsi="Arial" w:cs="Arial"/>
        </w:rPr>
      </w:pPr>
      <w:r w:rsidRPr="00D66813">
        <w:rPr>
          <w:rFonts w:ascii="Arial" w:hAnsi="Arial" w:cs="Arial"/>
        </w:rPr>
        <w:t xml:space="preserve">El grupo Inventarios comprende las cuentas que representan el valor de los bienes tangibles, muebles e inmuebles, e intangibles, adquiridos o producidos por las entidades del orden nacional, con la intención de ser comercializados, transformados o consumidos en actividades de producción de bienes o prestación de servicios, o para suministrarlos en forma gratuita a la comunidad, en desarrollo de funciones de cometido estatal. </w:t>
      </w:r>
    </w:p>
    <w:p w:rsidR="00D66813" w:rsidRPr="00D66813" w:rsidRDefault="00D66813" w:rsidP="00D66813">
      <w:pPr>
        <w:pStyle w:val="Textoindependiente"/>
        <w:spacing w:before="240" w:after="60"/>
        <w:ind w:left="-142" w:right="-518"/>
        <w:jc w:val="both"/>
        <w:rPr>
          <w:rFonts w:ascii="Arial" w:hAnsi="Arial" w:cs="Arial"/>
          <w:sz w:val="24"/>
          <w:lang w:val="es-CO"/>
        </w:rPr>
      </w:pPr>
      <w:r w:rsidRPr="00D66813">
        <w:rPr>
          <w:rFonts w:ascii="Arial" w:hAnsi="Arial" w:cs="Arial"/>
          <w:sz w:val="24"/>
          <w:lang w:val="es-CO"/>
        </w:rPr>
        <w:t>En el Estado de Situación Financiera Consolidado el grupo de Inventarios, como parte de los activos, presenta de forma comparativa los conceptos a nivel de cuenta que registraron los mayores valores para el año 2022.</w:t>
      </w:r>
    </w:p>
    <w:p w:rsidR="00D66813" w:rsidRPr="00D66813" w:rsidRDefault="00D66813" w:rsidP="00D66813">
      <w:pPr>
        <w:pStyle w:val="Descripcin"/>
        <w:ind w:left="-142" w:right="-518"/>
        <w:rPr>
          <w:rFonts w:ascii="Arial" w:hAnsi="Arial" w:cs="Arial"/>
          <w:sz w:val="24"/>
          <w:szCs w:val="24"/>
        </w:rPr>
      </w:pPr>
    </w:p>
    <w:p w:rsidR="00D66813" w:rsidRDefault="00D66813" w:rsidP="00D66813">
      <w:pPr>
        <w:pStyle w:val="Descripcin"/>
        <w:ind w:left="-142" w:right="-518"/>
        <w:jc w:val="center"/>
        <w:rPr>
          <w:rFonts w:ascii="Arial" w:hAnsi="Arial" w:cs="Arial"/>
          <w:color w:val="auto"/>
          <w:sz w:val="24"/>
          <w:szCs w:val="24"/>
        </w:rPr>
      </w:pPr>
      <w:bookmarkStart w:id="103" w:name="_Toc135044795"/>
      <w:r w:rsidRPr="00D66813">
        <w:rPr>
          <w:rFonts w:ascii="Arial" w:hAnsi="Arial" w:cs="Arial"/>
          <w:color w:val="auto"/>
          <w:sz w:val="24"/>
          <w:szCs w:val="24"/>
        </w:rPr>
        <w:t xml:space="preserve">Tabla </w:t>
      </w:r>
      <w:r w:rsidRPr="00D66813">
        <w:rPr>
          <w:rFonts w:ascii="Arial" w:hAnsi="Arial" w:cs="Arial"/>
          <w:color w:val="auto"/>
          <w:sz w:val="24"/>
          <w:szCs w:val="24"/>
        </w:rPr>
        <w:fldChar w:fldCharType="begin"/>
      </w:r>
      <w:r w:rsidRPr="00D66813">
        <w:rPr>
          <w:rFonts w:ascii="Arial" w:hAnsi="Arial" w:cs="Arial"/>
          <w:color w:val="auto"/>
          <w:sz w:val="24"/>
          <w:szCs w:val="24"/>
        </w:rPr>
        <w:instrText xml:space="preserve"> STYLEREF 1 \s </w:instrText>
      </w:r>
      <w:r w:rsidRPr="00D66813">
        <w:rPr>
          <w:rFonts w:ascii="Arial" w:hAnsi="Arial" w:cs="Arial"/>
          <w:color w:val="auto"/>
          <w:sz w:val="24"/>
          <w:szCs w:val="24"/>
        </w:rPr>
        <w:fldChar w:fldCharType="separate"/>
      </w:r>
      <w:r w:rsidRPr="00D66813">
        <w:rPr>
          <w:rFonts w:ascii="Arial" w:hAnsi="Arial" w:cs="Arial"/>
          <w:noProof/>
          <w:color w:val="auto"/>
          <w:sz w:val="24"/>
          <w:szCs w:val="24"/>
        </w:rPr>
        <w:t>4</w:t>
      </w:r>
      <w:r w:rsidRPr="00D66813">
        <w:rPr>
          <w:rFonts w:ascii="Arial" w:hAnsi="Arial" w:cs="Arial"/>
          <w:noProof/>
          <w:color w:val="auto"/>
          <w:sz w:val="24"/>
          <w:szCs w:val="24"/>
        </w:rPr>
        <w:fldChar w:fldCharType="end"/>
      </w:r>
      <w:r w:rsidRPr="00D66813">
        <w:rPr>
          <w:rFonts w:ascii="Arial" w:hAnsi="Arial" w:cs="Arial"/>
          <w:color w:val="auto"/>
          <w:sz w:val="24"/>
          <w:szCs w:val="24"/>
        </w:rPr>
        <w:noBreakHyphen/>
      </w:r>
      <w:r w:rsidRPr="00D66813">
        <w:rPr>
          <w:rFonts w:ascii="Arial" w:hAnsi="Arial" w:cs="Arial"/>
          <w:color w:val="auto"/>
          <w:sz w:val="24"/>
          <w:szCs w:val="24"/>
        </w:rPr>
        <w:fldChar w:fldCharType="begin"/>
      </w:r>
      <w:r w:rsidRPr="00D66813">
        <w:rPr>
          <w:rFonts w:ascii="Arial" w:hAnsi="Arial" w:cs="Arial"/>
          <w:color w:val="auto"/>
          <w:sz w:val="24"/>
          <w:szCs w:val="24"/>
        </w:rPr>
        <w:instrText xml:space="preserve"> SEQ Tabla \* ARABIC \s 1 </w:instrText>
      </w:r>
      <w:r w:rsidRPr="00D66813">
        <w:rPr>
          <w:rFonts w:ascii="Arial" w:hAnsi="Arial" w:cs="Arial"/>
          <w:color w:val="auto"/>
          <w:sz w:val="24"/>
          <w:szCs w:val="24"/>
        </w:rPr>
        <w:fldChar w:fldCharType="separate"/>
      </w:r>
      <w:r w:rsidRPr="00D66813">
        <w:rPr>
          <w:rFonts w:ascii="Arial" w:hAnsi="Arial" w:cs="Arial"/>
          <w:noProof/>
          <w:color w:val="auto"/>
          <w:sz w:val="24"/>
          <w:szCs w:val="24"/>
        </w:rPr>
        <w:t>32</w:t>
      </w:r>
      <w:r w:rsidRPr="00D66813">
        <w:rPr>
          <w:rFonts w:ascii="Arial" w:hAnsi="Arial" w:cs="Arial"/>
          <w:noProof/>
          <w:color w:val="auto"/>
          <w:sz w:val="24"/>
          <w:szCs w:val="24"/>
        </w:rPr>
        <w:fldChar w:fldCharType="end"/>
      </w:r>
      <w:r w:rsidRPr="00D66813">
        <w:rPr>
          <w:rFonts w:ascii="Arial" w:hAnsi="Arial" w:cs="Arial"/>
          <w:color w:val="auto"/>
          <w:sz w:val="24"/>
          <w:szCs w:val="24"/>
        </w:rPr>
        <w:t xml:space="preserve"> Inventarios (INVE) – Composición</w:t>
      </w:r>
      <w:bookmarkEnd w:id="103"/>
    </w:p>
    <w:p w:rsidR="00D66813" w:rsidRPr="00D66813" w:rsidRDefault="00D66813" w:rsidP="00D66813">
      <w:pPr>
        <w:rPr>
          <w:lang w:val="es-CO" w:eastAsia="en-US"/>
        </w:rPr>
      </w:pPr>
    </w:p>
    <w:p w:rsidR="00D66813" w:rsidRPr="00A320BE" w:rsidRDefault="00D66813" w:rsidP="00D66813">
      <w:pPr>
        <w:jc w:val="center"/>
      </w:pPr>
      <w:bookmarkStart w:id="104" w:name="_Hlk70064562"/>
      <w:r w:rsidRPr="00A320BE">
        <w:rPr>
          <w:noProof/>
          <w:lang w:val="es-CO" w:eastAsia="es-CO"/>
        </w:rPr>
        <w:drawing>
          <wp:inline distT="0" distB="0" distL="0" distR="0" wp14:anchorId="026586E2" wp14:editId="0BF43A1C">
            <wp:extent cx="5943600" cy="3169285"/>
            <wp:effectExtent l="0" t="0" r="0" b="0"/>
            <wp:docPr id="3685842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69285"/>
                    </a:xfrm>
                    <a:prstGeom prst="rect">
                      <a:avLst/>
                    </a:prstGeom>
                    <a:noFill/>
                    <a:ln>
                      <a:noFill/>
                    </a:ln>
                  </pic:spPr>
                </pic:pic>
              </a:graphicData>
            </a:graphic>
          </wp:inline>
        </w:drawing>
      </w:r>
    </w:p>
    <w:p w:rsidR="00D66813" w:rsidRPr="00A320BE" w:rsidRDefault="00D66813" w:rsidP="00D66813">
      <w:pPr>
        <w:jc w:val="both"/>
      </w:pPr>
    </w:p>
    <w:p w:rsidR="00D66813" w:rsidRPr="00D66813" w:rsidRDefault="00D66813" w:rsidP="00D66813">
      <w:pPr>
        <w:ind w:left="-142" w:right="-518"/>
        <w:jc w:val="both"/>
        <w:rPr>
          <w:rFonts w:ascii="Arial" w:hAnsi="Arial" w:cs="Arial"/>
        </w:rPr>
      </w:pPr>
      <w:r w:rsidRPr="00D66813">
        <w:rPr>
          <w:rFonts w:ascii="Arial" w:hAnsi="Arial" w:cs="Arial"/>
        </w:rPr>
        <w:t>Cabe anotar que el grupo Inventarios no se ve afectado en el proceso de consolidación por las eliminaciones y reclasificaciones, de manera que los saldos agregados y consolidados son los mismos.</w:t>
      </w:r>
    </w:p>
    <w:p w:rsidR="00D66813" w:rsidRPr="00D66813" w:rsidRDefault="00D66813" w:rsidP="00D66813">
      <w:pPr>
        <w:ind w:left="-142" w:right="-518"/>
        <w:jc w:val="both"/>
        <w:rPr>
          <w:rFonts w:ascii="Arial" w:hAnsi="Arial" w:cs="Arial"/>
        </w:rPr>
      </w:pPr>
    </w:p>
    <w:bookmarkEnd w:id="104"/>
    <w:p w:rsidR="00D66813" w:rsidRDefault="00D66813" w:rsidP="00D66813">
      <w:pPr>
        <w:ind w:left="851" w:right="-518"/>
        <w:jc w:val="both"/>
        <w:rPr>
          <w:rFonts w:ascii="Arial" w:hAnsi="Arial" w:cs="Arial"/>
        </w:rPr>
      </w:pPr>
      <w:r w:rsidRPr="00D66813">
        <w:rPr>
          <w:rFonts w:ascii="Arial" w:hAnsi="Arial" w:cs="Arial"/>
          <w:b/>
          <w:u w:val="single"/>
        </w:rPr>
        <w:t xml:space="preserve">Al corte del 31 de diciembre de 2022, este grupo alcanzó la suma de $20.112,8, lo cual representa el 2,2% del total de los activos consolidados del nivel nacional que asciende a $923.753,0. Al comparar el total consolidado de la vigencia actual con la </w:t>
      </w:r>
      <w:r w:rsidRPr="00D66813">
        <w:rPr>
          <w:rFonts w:ascii="Arial" w:hAnsi="Arial" w:cs="Arial"/>
          <w:b/>
          <w:u w:val="single"/>
        </w:rPr>
        <w:lastRenderedPageBreak/>
        <w:t>anterior, se observa que hubo un incremento del 17,9%</w:t>
      </w:r>
      <w:r w:rsidRPr="00D66813">
        <w:rPr>
          <w:rFonts w:ascii="Arial" w:hAnsi="Arial" w:cs="Arial"/>
        </w:rPr>
        <w:t xml:space="preserve">. </w:t>
      </w:r>
      <w:r>
        <w:rPr>
          <w:rFonts w:ascii="Arial" w:hAnsi="Arial" w:cs="Arial"/>
        </w:rPr>
        <w:t>(Subrayado y resaltado fuera de texto).</w:t>
      </w:r>
    </w:p>
    <w:p w:rsidR="00D66813" w:rsidRPr="00607D67" w:rsidRDefault="00D66813" w:rsidP="00D66813">
      <w:pPr>
        <w:ind w:left="-142" w:right="-518"/>
        <w:contextualSpacing/>
        <w:rPr>
          <w:rFonts w:ascii="Arial" w:hAnsi="Arial" w:cs="Arial"/>
          <w:color w:val="000000" w:themeColor="text1"/>
        </w:rPr>
      </w:pPr>
    </w:p>
    <w:p w:rsidR="00D66813" w:rsidRPr="00D66813" w:rsidRDefault="00D66813" w:rsidP="00D66813">
      <w:pPr>
        <w:ind w:left="-142" w:right="-518"/>
        <w:jc w:val="both"/>
        <w:rPr>
          <w:rFonts w:ascii="Arial" w:hAnsi="Arial" w:cs="Arial"/>
        </w:rPr>
      </w:pPr>
      <w:r w:rsidRPr="00D66813">
        <w:rPr>
          <w:rFonts w:ascii="Arial" w:hAnsi="Arial" w:cs="Arial"/>
        </w:rPr>
        <w:t>De otra parte, el Deterioro acumulado de inventarios muestra un incremento del 14,9%, en comparación con el periodo anterior, producto de la aplicación de la norma respectiva por parte de las entidades consolidadas.</w:t>
      </w:r>
    </w:p>
    <w:p w:rsidR="00296960" w:rsidRPr="00D66813" w:rsidRDefault="00296960" w:rsidP="00D66813">
      <w:pPr>
        <w:ind w:left="-142" w:right="-518"/>
        <w:jc w:val="both"/>
        <w:rPr>
          <w:rFonts w:ascii="Arial" w:hAnsi="Arial" w:cs="Arial"/>
        </w:rPr>
      </w:pPr>
    </w:p>
    <w:p w:rsidR="00D66813" w:rsidRPr="00D66813" w:rsidRDefault="00D66813" w:rsidP="00D66813">
      <w:pPr>
        <w:ind w:left="-142" w:right="-518"/>
        <w:rPr>
          <w:rFonts w:ascii="Arial" w:hAnsi="Arial" w:cs="Arial"/>
          <w:b/>
          <w:sz w:val="28"/>
          <w:szCs w:val="28"/>
        </w:rPr>
      </w:pPr>
      <w:r w:rsidRPr="00D66813">
        <w:rPr>
          <w:rFonts w:ascii="Arial" w:hAnsi="Arial" w:cs="Arial"/>
          <w:b/>
          <w:sz w:val="28"/>
          <w:szCs w:val="28"/>
        </w:rPr>
        <w:t>NOTA 10.- Propiedades, planta y equipo.</w:t>
      </w:r>
    </w:p>
    <w:p w:rsidR="00D66813" w:rsidRDefault="00D66813" w:rsidP="00D66813">
      <w:pPr>
        <w:ind w:left="-142" w:right="-518"/>
        <w:rPr>
          <w:rFonts w:ascii="Arial" w:hAnsi="Arial" w:cs="Arial"/>
          <w:b/>
          <w:sz w:val="28"/>
          <w:szCs w:val="28"/>
        </w:rPr>
      </w:pPr>
    </w:p>
    <w:p w:rsidR="00717DFC" w:rsidRPr="00717DFC" w:rsidRDefault="00717DFC" w:rsidP="00717DFC">
      <w:pPr>
        <w:ind w:left="-142" w:right="-518"/>
        <w:jc w:val="both"/>
        <w:rPr>
          <w:rFonts w:ascii="Arial" w:hAnsi="Arial" w:cs="Arial"/>
        </w:rPr>
      </w:pPr>
      <w:r w:rsidRPr="00717DFC">
        <w:rPr>
          <w:rFonts w:ascii="Arial" w:hAnsi="Arial" w:cs="Arial"/>
        </w:rPr>
        <w:t>El grupo Propiedades, planta y equipo (PPE), incluye principalmente los activos tangibles empleados por las entidades para la producción o suministro de bienes, prestación de servicios o para propósitos administrativos, que se caracterizan porque no se espera venderlos en el curso de las actividades ordinarias de la entidad y se prevé usarlos durante más de 12 meses.</w:t>
      </w:r>
    </w:p>
    <w:p w:rsidR="00717DFC" w:rsidRPr="00717DFC" w:rsidRDefault="00717DFC" w:rsidP="00717DFC">
      <w:pPr>
        <w:jc w:val="both"/>
        <w:rPr>
          <w:rFonts w:ascii="Arial" w:hAnsi="Arial" w:cs="Arial"/>
        </w:rPr>
      </w:pPr>
    </w:p>
    <w:p w:rsidR="00717DFC" w:rsidRPr="00717DFC" w:rsidRDefault="00717DFC" w:rsidP="00717DFC">
      <w:pPr>
        <w:pStyle w:val="Descripcin"/>
        <w:jc w:val="center"/>
        <w:rPr>
          <w:rFonts w:ascii="Arial" w:hAnsi="Arial" w:cs="Arial"/>
          <w:color w:val="auto"/>
          <w:sz w:val="24"/>
          <w:szCs w:val="24"/>
        </w:rPr>
      </w:pPr>
      <w:bookmarkStart w:id="105" w:name="_Toc135044797"/>
      <w:r w:rsidRPr="00717DFC">
        <w:rPr>
          <w:rFonts w:ascii="Arial" w:hAnsi="Arial" w:cs="Arial"/>
          <w:color w:val="auto"/>
          <w:sz w:val="24"/>
          <w:szCs w:val="24"/>
        </w:rPr>
        <w:t xml:space="preserve">Tabla </w:t>
      </w:r>
      <w:r w:rsidRPr="00717DFC">
        <w:rPr>
          <w:rFonts w:ascii="Arial" w:hAnsi="Arial" w:cs="Arial"/>
          <w:color w:val="auto"/>
          <w:sz w:val="24"/>
          <w:szCs w:val="24"/>
        </w:rPr>
        <w:fldChar w:fldCharType="begin"/>
      </w:r>
      <w:r w:rsidRPr="00717DFC">
        <w:rPr>
          <w:rFonts w:ascii="Arial" w:hAnsi="Arial" w:cs="Arial"/>
          <w:color w:val="auto"/>
          <w:sz w:val="24"/>
          <w:szCs w:val="24"/>
        </w:rPr>
        <w:instrText xml:space="preserve"> STYLEREF 1 \s </w:instrText>
      </w:r>
      <w:r w:rsidRPr="00717DFC">
        <w:rPr>
          <w:rFonts w:ascii="Arial" w:hAnsi="Arial" w:cs="Arial"/>
          <w:color w:val="auto"/>
          <w:sz w:val="24"/>
          <w:szCs w:val="24"/>
        </w:rPr>
        <w:fldChar w:fldCharType="separate"/>
      </w:r>
      <w:r w:rsidRPr="00717DFC">
        <w:rPr>
          <w:rFonts w:ascii="Arial" w:hAnsi="Arial" w:cs="Arial"/>
          <w:noProof/>
          <w:color w:val="auto"/>
          <w:sz w:val="24"/>
          <w:szCs w:val="24"/>
        </w:rPr>
        <w:t>4</w:t>
      </w:r>
      <w:r w:rsidRPr="00717DFC">
        <w:rPr>
          <w:rFonts w:ascii="Arial" w:hAnsi="Arial" w:cs="Arial"/>
          <w:noProof/>
          <w:color w:val="auto"/>
          <w:sz w:val="24"/>
          <w:szCs w:val="24"/>
        </w:rPr>
        <w:fldChar w:fldCharType="end"/>
      </w:r>
      <w:r w:rsidRPr="00717DFC">
        <w:rPr>
          <w:rFonts w:ascii="Arial" w:hAnsi="Arial" w:cs="Arial"/>
          <w:color w:val="auto"/>
          <w:sz w:val="24"/>
          <w:szCs w:val="24"/>
        </w:rPr>
        <w:noBreakHyphen/>
      </w:r>
      <w:r w:rsidRPr="00717DFC">
        <w:rPr>
          <w:rFonts w:ascii="Arial" w:hAnsi="Arial" w:cs="Arial"/>
          <w:color w:val="auto"/>
          <w:sz w:val="24"/>
          <w:szCs w:val="24"/>
        </w:rPr>
        <w:fldChar w:fldCharType="begin"/>
      </w:r>
      <w:r w:rsidRPr="00717DFC">
        <w:rPr>
          <w:rFonts w:ascii="Arial" w:hAnsi="Arial" w:cs="Arial"/>
          <w:color w:val="auto"/>
          <w:sz w:val="24"/>
          <w:szCs w:val="24"/>
        </w:rPr>
        <w:instrText xml:space="preserve"> SEQ Tabla \* ARABIC \s 1 </w:instrText>
      </w:r>
      <w:r w:rsidRPr="00717DFC">
        <w:rPr>
          <w:rFonts w:ascii="Arial" w:hAnsi="Arial" w:cs="Arial"/>
          <w:color w:val="auto"/>
          <w:sz w:val="24"/>
          <w:szCs w:val="24"/>
        </w:rPr>
        <w:fldChar w:fldCharType="separate"/>
      </w:r>
      <w:r w:rsidRPr="00717DFC">
        <w:rPr>
          <w:rFonts w:ascii="Arial" w:hAnsi="Arial" w:cs="Arial"/>
          <w:noProof/>
          <w:color w:val="auto"/>
          <w:sz w:val="24"/>
          <w:szCs w:val="24"/>
        </w:rPr>
        <w:t>34</w:t>
      </w:r>
      <w:r w:rsidRPr="00717DFC">
        <w:rPr>
          <w:rFonts w:ascii="Arial" w:hAnsi="Arial" w:cs="Arial"/>
          <w:noProof/>
          <w:color w:val="auto"/>
          <w:sz w:val="24"/>
          <w:szCs w:val="24"/>
        </w:rPr>
        <w:fldChar w:fldCharType="end"/>
      </w:r>
      <w:r w:rsidRPr="00717DFC">
        <w:rPr>
          <w:rFonts w:ascii="Arial" w:hAnsi="Arial" w:cs="Arial"/>
          <w:color w:val="auto"/>
          <w:sz w:val="24"/>
          <w:szCs w:val="24"/>
        </w:rPr>
        <w:t xml:space="preserve"> Propiedades, planta y equipo (PPE) – Composición</w:t>
      </w:r>
      <w:bookmarkEnd w:id="105"/>
    </w:p>
    <w:p w:rsidR="00D66813" w:rsidRPr="00717DFC" w:rsidRDefault="00D66813" w:rsidP="00717DFC">
      <w:pPr>
        <w:ind w:left="-142" w:right="-518"/>
        <w:jc w:val="center"/>
        <w:rPr>
          <w:rFonts w:ascii="Arial" w:hAnsi="Arial" w:cs="Arial"/>
          <w:b/>
        </w:rPr>
      </w:pPr>
    </w:p>
    <w:p w:rsidR="00717DFC" w:rsidRPr="00D66813" w:rsidRDefault="00717DFC" w:rsidP="00717DFC">
      <w:pPr>
        <w:ind w:left="-142" w:right="-518"/>
        <w:jc w:val="center"/>
        <w:rPr>
          <w:rFonts w:ascii="Arial" w:hAnsi="Arial" w:cs="Arial"/>
          <w:b/>
          <w:sz w:val="28"/>
          <w:szCs w:val="28"/>
        </w:rPr>
      </w:pPr>
      <w:r w:rsidRPr="00A320BE">
        <w:rPr>
          <w:noProof/>
          <w:lang w:val="es-CO" w:eastAsia="es-CO"/>
        </w:rPr>
        <w:drawing>
          <wp:inline distT="0" distB="0" distL="0" distR="0" wp14:anchorId="54858702" wp14:editId="219931B8">
            <wp:extent cx="4905543" cy="5185410"/>
            <wp:effectExtent l="0" t="0" r="9525" b="0"/>
            <wp:docPr id="5158669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8987" cy="5189051"/>
                    </a:xfrm>
                    <a:prstGeom prst="rect">
                      <a:avLst/>
                    </a:prstGeom>
                    <a:noFill/>
                    <a:ln>
                      <a:noFill/>
                    </a:ln>
                  </pic:spPr>
                </pic:pic>
              </a:graphicData>
            </a:graphic>
          </wp:inline>
        </w:drawing>
      </w:r>
    </w:p>
    <w:p w:rsidR="008F4B95" w:rsidRPr="00FF5890" w:rsidRDefault="008F4B95" w:rsidP="00FF5890">
      <w:pPr>
        <w:spacing w:after="160"/>
        <w:ind w:left="-142" w:right="-518"/>
        <w:rPr>
          <w:rFonts w:ascii="Arial" w:hAnsi="Arial" w:cs="Arial"/>
          <w:b/>
        </w:rPr>
      </w:pPr>
    </w:p>
    <w:p w:rsidR="00717DFC" w:rsidRDefault="00717DFC" w:rsidP="00717DFC">
      <w:pPr>
        <w:ind w:left="-142" w:right="-518"/>
        <w:jc w:val="both"/>
        <w:rPr>
          <w:rFonts w:ascii="Arial" w:hAnsi="Arial" w:cs="Arial"/>
        </w:rPr>
      </w:pPr>
      <w:r w:rsidRPr="00717DFC">
        <w:rPr>
          <w:rFonts w:ascii="Arial" w:hAnsi="Arial" w:cs="Arial"/>
          <w:b/>
          <w:u w:val="single"/>
          <w:lang w:val="es-CO"/>
        </w:rPr>
        <w:lastRenderedPageBreak/>
        <w:t>Al 31 de diciembre de 2022 el grupo PPE alcanzó un total consolidado de $190.328,1, lo cual representa 20.6% sobre el total de los activos consolidados que ascienden a $923.753,0. Al mismo tiempo, se evidencia un crecimiento del 7,7%, del monto total del grupo consolidado respecto al año anterior</w:t>
      </w:r>
      <w:r w:rsidRPr="00717DFC">
        <w:rPr>
          <w:rFonts w:ascii="Arial" w:hAnsi="Arial" w:cs="Arial"/>
          <w:lang w:val="es-CO"/>
        </w:rPr>
        <w:t>.</w:t>
      </w:r>
      <w:r>
        <w:rPr>
          <w:rFonts w:ascii="Arial" w:hAnsi="Arial" w:cs="Arial"/>
          <w:lang w:val="es-CO"/>
        </w:rPr>
        <w:t xml:space="preserve"> </w:t>
      </w:r>
      <w:r>
        <w:rPr>
          <w:rFonts w:ascii="Arial" w:hAnsi="Arial" w:cs="Arial"/>
        </w:rPr>
        <w:t>(Subrayado y resaltado fuera de texto).</w:t>
      </w:r>
    </w:p>
    <w:p w:rsidR="00717DFC" w:rsidRPr="00A320BE" w:rsidRDefault="00717DFC" w:rsidP="00717DFC">
      <w:pPr>
        <w:pStyle w:val="Textoindependiente"/>
        <w:jc w:val="both"/>
        <w:rPr>
          <w:rFonts w:ascii="Montserrat Medium" w:hAnsi="Montserrat Medium"/>
          <w:lang w:val="es-CO"/>
        </w:rPr>
      </w:pPr>
    </w:p>
    <w:p w:rsidR="00717DFC" w:rsidRPr="00717DFC" w:rsidRDefault="00717DFC" w:rsidP="00717DFC">
      <w:pPr>
        <w:ind w:left="-142" w:right="-518"/>
        <w:rPr>
          <w:rFonts w:ascii="Arial" w:hAnsi="Arial" w:cs="Arial"/>
        </w:rPr>
      </w:pPr>
      <w:r w:rsidRPr="00717DFC">
        <w:rPr>
          <w:rFonts w:ascii="Arial" w:hAnsi="Arial" w:cs="Arial"/>
          <w:b/>
          <w:sz w:val="28"/>
          <w:szCs w:val="28"/>
        </w:rPr>
        <w:t>Entidades que registran los mayores valores en PPE</w:t>
      </w:r>
      <w:r w:rsidRPr="00717DFC">
        <w:rPr>
          <w:rFonts w:ascii="Arial" w:hAnsi="Arial" w:cs="Arial"/>
        </w:rPr>
        <w:t xml:space="preserve">. </w:t>
      </w:r>
    </w:p>
    <w:p w:rsidR="00717DFC" w:rsidRPr="00717DFC" w:rsidRDefault="00717DFC" w:rsidP="00717DFC">
      <w:pPr>
        <w:ind w:left="-142" w:right="-518"/>
        <w:jc w:val="both"/>
        <w:rPr>
          <w:rFonts w:ascii="Arial" w:hAnsi="Arial" w:cs="Arial"/>
        </w:rPr>
      </w:pPr>
    </w:p>
    <w:p w:rsidR="00717DFC" w:rsidRPr="00717DFC" w:rsidRDefault="00717DFC" w:rsidP="00717DFC">
      <w:pPr>
        <w:ind w:left="-142" w:right="-518"/>
        <w:jc w:val="both"/>
        <w:rPr>
          <w:rFonts w:ascii="Arial" w:hAnsi="Arial" w:cs="Arial"/>
        </w:rPr>
      </w:pPr>
      <w:r w:rsidRPr="00717DFC">
        <w:rPr>
          <w:rFonts w:ascii="Arial" w:hAnsi="Arial" w:cs="Arial"/>
        </w:rPr>
        <w:t>En cuanto a los saldos reportados en el 2022, comparados con los saldos del 2021, se identificaron aquellas entidades que registran los mayores valores en los conceptos: Maquinaria y equipo, Edificaciones, Terrenos, y Depreciación acumulada, como se observa a continuación:</w:t>
      </w:r>
    </w:p>
    <w:p w:rsidR="00717DFC" w:rsidRPr="00717DFC" w:rsidRDefault="00717DFC" w:rsidP="00717DFC">
      <w:pPr>
        <w:jc w:val="both"/>
        <w:rPr>
          <w:rFonts w:ascii="Arial" w:hAnsi="Arial" w:cs="Arial"/>
        </w:rPr>
      </w:pPr>
    </w:p>
    <w:p w:rsidR="00717DFC" w:rsidRDefault="00717DFC" w:rsidP="00717DFC">
      <w:pPr>
        <w:pStyle w:val="Descripcin"/>
        <w:jc w:val="center"/>
        <w:rPr>
          <w:rFonts w:ascii="Arial" w:hAnsi="Arial" w:cs="Arial"/>
          <w:color w:val="auto"/>
          <w:sz w:val="24"/>
          <w:szCs w:val="24"/>
        </w:rPr>
      </w:pPr>
      <w:bookmarkStart w:id="106" w:name="_Toc135044798"/>
      <w:r w:rsidRPr="00717DFC">
        <w:rPr>
          <w:rFonts w:ascii="Arial" w:hAnsi="Arial" w:cs="Arial"/>
          <w:color w:val="auto"/>
          <w:sz w:val="24"/>
          <w:szCs w:val="24"/>
        </w:rPr>
        <w:t xml:space="preserve">Tabla </w:t>
      </w:r>
      <w:r w:rsidRPr="00717DFC">
        <w:rPr>
          <w:rFonts w:ascii="Arial" w:hAnsi="Arial" w:cs="Arial"/>
          <w:color w:val="auto"/>
          <w:sz w:val="24"/>
          <w:szCs w:val="24"/>
        </w:rPr>
        <w:fldChar w:fldCharType="begin"/>
      </w:r>
      <w:r w:rsidRPr="00717DFC">
        <w:rPr>
          <w:rFonts w:ascii="Arial" w:hAnsi="Arial" w:cs="Arial"/>
          <w:color w:val="auto"/>
          <w:sz w:val="24"/>
          <w:szCs w:val="24"/>
        </w:rPr>
        <w:instrText xml:space="preserve"> STYLEREF 1 \s </w:instrText>
      </w:r>
      <w:r w:rsidRPr="00717DFC">
        <w:rPr>
          <w:rFonts w:ascii="Arial" w:hAnsi="Arial" w:cs="Arial"/>
          <w:color w:val="auto"/>
          <w:sz w:val="24"/>
          <w:szCs w:val="24"/>
        </w:rPr>
        <w:fldChar w:fldCharType="separate"/>
      </w:r>
      <w:r w:rsidRPr="00717DFC">
        <w:rPr>
          <w:rFonts w:ascii="Arial" w:hAnsi="Arial" w:cs="Arial"/>
          <w:noProof/>
          <w:color w:val="auto"/>
          <w:sz w:val="24"/>
          <w:szCs w:val="24"/>
        </w:rPr>
        <w:t>4</w:t>
      </w:r>
      <w:r w:rsidRPr="00717DFC">
        <w:rPr>
          <w:rFonts w:ascii="Arial" w:hAnsi="Arial" w:cs="Arial"/>
          <w:noProof/>
          <w:color w:val="auto"/>
          <w:sz w:val="24"/>
          <w:szCs w:val="24"/>
        </w:rPr>
        <w:fldChar w:fldCharType="end"/>
      </w:r>
      <w:r w:rsidRPr="00717DFC">
        <w:rPr>
          <w:rFonts w:ascii="Arial" w:hAnsi="Arial" w:cs="Arial"/>
          <w:color w:val="auto"/>
          <w:sz w:val="24"/>
          <w:szCs w:val="24"/>
        </w:rPr>
        <w:noBreakHyphen/>
      </w:r>
      <w:r w:rsidRPr="00717DFC">
        <w:rPr>
          <w:rFonts w:ascii="Arial" w:hAnsi="Arial" w:cs="Arial"/>
          <w:color w:val="auto"/>
          <w:sz w:val="24"/>
          <w:szCs w:val="24"/>
        </w:rPr>
        <w:fldChar w:fldCharType="begin"/>
      </w:r>
      <w:r w:rsidRPr="00717DFC">
        <w:rPr>
          <w:rFonts w:ascii="Arial" w:hAnsi="Arial" w:cs="Arial"/>
          <w:color w:val="auto"/>
          <w:sz w:val="24"/>
          <w:szCs w:val="24"/>
        </w:rPr>
        <w:instrText xml:space="preserve"> SEQ Tabla \* ARABIC \s 1 </w:instrText>
      </w:r>
      <w:r w:rsidRPr="00717DFC">
        <w:rPr>
          <w:rFonts w:ascii="Arial" w:hAnsi="Arial" w:cs="Arial"/>
          <w:color w:val="auto"/>
          <w:sz w:val="24"/>
          <w:szCs w:val="24"/>
        </w:rPr>
        <w:fldChar w:fldCharType="separate"/>
      </w:r>
      <w:r w:rsidRPr="00717DFC">
        <w:rPr>
          <w:rFonts w:ascii="Arial" w:hAnsi="Arial" w:cs="Arial"/>
          <w:noProof/>
          <w:color w:val="auto"/>
          <w:sz w:val="24"/>
          <w:szCs w:val="24"/>
        </w:rPr>
        <w:t>35</w:t>
      </w:r>
      <w:r w:rsidRPr="00717DFC">
        <w:rPr>
          <w:rFonts w:ascii="Arial" w:hAnsi="Arial" w:cs="Arial"/>
          <w:noProof/>
          <w:color w:val="auto"/>
          <w:sz w:val="24"/>
          <w:szCs w:val="24"/>
        </w:rPr>
        <w:fldChar w:fldCharType="end"/>
      </w:r>
      <w:r w:rsidRPr="00717DFC">
        <w:rPr>
          <w:rFonts w:ascii="Arial" w:hAnsi="Arial" w:cs="Arial"/>
          <w:color w:val="auto"/>
          <w:sz w:val="24"/>
          <w:szCs w:val="24"/>
        </w:rPr>
        <w:t xml:space="preserve"> PPE - Entidades más representativas</w:t>
      </w:r>
      <w:bookmarkEnd w:id="106"/>
    </w:p>
    <w:p w:rsidR="00717DFC" w:rsidRPr="00717DFC" w:rsidRDefault="00717DFC" w:rsidP="00717DFC">
      <w:pPr>
        <w:rPr>
          <w:lang w:val="es-CO" w:eastAsia="en-US"/>
        </w:rPr>
      </w:pPr>
    </w:p>
    <w:p w:rsidR="00717DFC" w:rsidRPr="00A320BE" w:rsidRDefault="00717DFC" w:rsidP="00717DFC">
      <w:pPr>
        <w:ind w:right="4"/>
        <w:jc w:val="center"/>
        <w:rPr>
          <w:sz w:val="18"/>
          <w:szCs w:val="18"/>
        </w:rPr>
      </w:pPr>
      <w:r w:rsidRPr="00A320BE">
        <w:rPr>
          <w:noProof/>
          <w:lang w:val="es-CO" w:eastAsia="es-CO"/>
        </w:rPr>
        <w:drawing>
          <wp:inline distT="0" distB="0" distL="0" distR="0" wp14:anchorId="445D33C2" wp14:editId="46977CD5">
            <wp:extent cx="5711661" cy="6050943"/>
            <wp:effectExtent l="0" t="0" r="3810" b="6985"/>
            <wp:docPr id="6853961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3329" cy="6052710"/>
                    </a:xfrm>
                    <a:prstGeom prst="rect">
                      <a:avLst/>
                    </a:prstGeom>
                    <a:noFill/>
                    <a:ln>
                      <a:noFill/>
                    </a:ln>
                  </pic:spPr>
                </pic:pic>
              </a:graphicData>
            </a:graphic>
          </wp:inline>
        </w:drawing>
      </w:r>
    </w:p>
    <w:p w:rsidR="00717DFC" w:rsidRPr="00A320BE" w:rsidRDefault="00717DFC" w:rsidP="00717DFC">
      <w:pPr>
        <w:ind w:left="567" w:right="146"/>
        <w:jc w:val="both"/>
        <w:rPr>
          <w:sz w:val="18"/>
          <w:szCs w:val="18"/>
        </w:rPr>
      </w:pPr>
      <w:r w:rsidRPr="00A320BE">
        <w:rPr>
          <w:sz w:val="18"/>
          <w:szCs w:val="18"/>
        </w:rPr>
        <w:lastRenderedPageBreak/>
        <w:t>*En la clasificación “Resto de Entidades que reportan” se reflejan los saldos reportados por las demás entidades, los cuales analizados individualmente son inferiores a los reportados por las entidades más representativas.</w:t>
      </w:r>
    </w:p>
    <w:p w:rsidR="00717DFC" w:rsidRPr="00A320BE" w:rsidRDefault="00717DFC" w:rsidP="00717DFC">
      <w:pPr>
        <w:pStyle w:val="Textoindependiente"/>
        <w:jc w:val="center"/>
        <w:rPr>
          <w:rFonts w:ascii="Montserrat Medium" w:hAnsi="Montserrat Medium"/>
          <w:lang w:val="es-CO"/>
        </w:rPr>
      </w:pPr>
      <w:r w:rsidRPr="00A320BE">
        <w:rPr>
          <w:rFonts w:ascii="Montserrat Medium" w:hAnsi="Montserrat Medium"/>
          <w:noProof/>
          <w:lang w:val="es-CO"/>
        </w:rPr>
        <w:t xml:space="preserve"> </w:t>
      </w:r>
    </w:p>
    <w:p w:rsidR="00717DFC" w:rsidRPr="00717DFC" w:rsidRDefault="00717DFC" w:rsidP="00717DFC">
      <w:pPr>
        <w:ind w:left="-142" w:right="-518"/>
        <w:jc w:val="both"/>
        <w:rPr>
          <w:rFonts w:ascii="Arial" w:hAnsi="Arial" w:cs="Arial"/>
        </w:rPr>
      </w:pPr>
      <w:r w:rsidRPr="00717DFC">
        <w:rPr>
          <w:rFonts w:ascii="Arial" w:hAnsi="Arial" w:cs="Arial"/>
        </w:rPr>
        <w:t xml:space="preserve">Es importante mencionar que, de las 343 entidades consolidadas, 211 entidades reportaron saldos en Maquinaria y equipo; 232 en Edificaciones; 213 en Terrenos; y 288 en Depreciación acumulada de propiedades, planta y equipo. </w:t>
      </w:r>
    </w:p>
    <w:p w:rsidR="00717DFC" w:rsidRDefault="00717DFC" w:rsidP="00717DFC">
      <w:pPr>
        <w:ind w:left="-142" w:right="-518"/>
        <w:jc w:val="both"/>
        <w:rPr>
          <w:rFonts w:ascii="Arial" w:hAnsi="Arial" w:cs="Arial"/>
        </w:rPr>
      </w:pPr>
    </w:p>
    <w:p w:rsidR="00BA5926" w:rsidRDefault="00717DFC" w:rsidP="00BA5926">
      <w:pPr>
        <w:pStyle w:val="Ttulo6"/>
        <w:spacing w:before="0"/>
        <w:ind w:left="-142"/>
        <w:rPr>
          <w:rFonts w:ascii="Arial" w:hAnsi="Arial" w:cs="Arial"/>
          <w:b/>
          <w:color w:val="auto"/>
          <w:sz w:val="28"/>
          <w:szCs w:val="28"/>
        </w:rPr>
      </w:pPr>
      <w:r w:rsidRPr="00717DFC">
        <w:rPr>
          <w:rFonts w:ascii="Arial" w:hAnsi="Arial" w:cs="Arial"/>
          <w:b/>
          <w:color w:val="auto"/>
          <w:sz w:val="28"/>
          <w:szCs w:val="28"/>
        </w:rPr>
        <w:t xml:space="preserve">NOTA 11.- </w:t>
      </w:r>
      <w:bookmarkStart w:id="107" w:name="_Toc103328339"/>
      <w:bookmarkStart w:id="108" w:name="_Toc135044704"/>
      <w:r w:rsidRPr="00717DFC">
        <w:rPr>
          <w:rFonts w:ascii="Arial" w:hAnsi="Arial" w:cs="Arial"/>
          <w:b/>
          <w:color w:val="auto"/>
          <w:sz w:val="28"/>
          <w:szCs w:val="28"/>
        </w:rPr>
        <w:t>Bienes de uso público históricos y culturales</w:t>
      </w:r>
      <w:bookmarkEnd w:id="107"/>
      <w:bookmarkEnd w:id="108"/>
      <w:r>
        <w:rPr>
          <w:rFonts w:ascii="Arial" w:hAnsi="Arial" w:cs="Arial"/>
          <w:b/>
          <w:color w:val="auto"/>
          <w:sz w:val="28"/>
          <w:szCs w:val="28"/>
        </w:rPr>
        <w:t>.</w:t>
      </w:r>
    </w:p>
    <w:p w:rsidR="00BA5926" w:rsidRDefault="00BA5926" w:rsidP="00BA5926">
      <w:pPr>
        <w:pStyle w:val="Ttulo6"/>
        <w:spacing w:before="0"/>
        <w:ind w:left="-142"/>
        <w:rPr>
          <w:rFonts w:ascii="Arial" w:hAnsi="Arial" w:cs="Arial"/>
          <w:b/>
          <w:color w:val="auto"/>
          <w:sz w:val="28"/>
          <w:szCs w:val="28"/>
        </w:rPr>
      </w:pPr>
    </w:p>
    <w:p w:rsidR="00BA5926" w:rsidRPr="00BA5926" w:rsidRDefault="00BA5926" w:rsidP="00BA5926">
      <w:pPr>
        <w:pStyle w:val="Ttulo6"/>
        <w:spacing w:before="0"/>
        <w:ind w:left="-142" w:right="-518"/>
        <w:jc w:val="both"/>
        <w:rPr>
          <w:rFonts w:ascii="Arial" w:hAnsi="Arial" w:cs="Arial"/>
          <w:color w:val="auto"/>
        </w:rPr>
      </w:pPr>
      <w:r w:rsidRPr="00BA5926">
        <w:rPr>
          <w:rFonts w:ascii="Arial" w:hAnsi="Arial" w:cs="Arial"/>
          <w:color w:val="auto"/>
        </w:rPr>
        <w:t xml:space="preserve">Del Activo consolidado del nivel nacional, a continuación, se presentan los conceptos de mayor importancia relativa para el año 2022 que componen el grupo Bienes de uso público e históricos y culturales - BUPHC, en forma comparativa con el año inmediatamente anterior, partiendo de los saldos agregados, los valores del deterioro y la depreciación acumulados. Dado que a este grupo no le aplican eliminaciones, su saldo agregado es el mismo saldo consolidado. </w:t>
      </w:r>
    </w:p>
    <w:p w:rsidR="00BA5926" w:rsidRPr="00A320BE" w:rsidRDefault="00BA5926" w:rsidP="00BA5926">
      <w:pPr>
        <w:autoSpaceDE w:val="0"/>
        <w:autoSpaceDN w:val="0"/>
        <w:adjustRightInd w:val="0"/>
        <w:jc w:val="both"/>
      </w:pPr>
    </w:p>
    <w:p w:rsidR="00BA5926" w:rsidRDefault="00BA5926" w:rsidP="00BA5926">
      <w:pPr>
        <w:pStyle w:val="Descripcin"/>
        <w:rPr>
          <w:rFonts w:ascii="Arial" w:hAnsi="Arial" w:cs="Arial"/>
          <w:color w:val="auto"/>
          <w:sz w:val="24"/>
          <w:szCs w:val="24"/>
        </w:rPr>
      </w:pPr>
      <w:bookmarkStart w:id="109" w:name="_Toc135044800"/>
      <w:r w:rsidRPr="00BA5926">
        <w:rPr>
          <w:rFonts w:ascii="Arial" w:hAnsi="Arial" w:cs="Arial"/>
          <w:color w:val="auto"/>
          <w:sz w:val="24"/>
          <w:szCs w:val="24"/>
        </w:rPr>
        <w:t xml:space="preserve">Tabla </w:t>
      </w:r>
      <w:r w:rsidRPr="00BA5926">
        <w:rPr>
          <w:rFonts w:ascii="Arial" w:hAnsi="Arial" w:cs="Arial"/>
          <w:color w:val="auto"/>
          <w:sz w:val="24"/>
          <w:szCs w:val="24"/>
        </w:rPr>
        <w:fldChar w:fldCharType="begin"/>
      </w:r>
      <w:r w:rsidRPr="00BA5926">
        <w:rPr>
          <w:rFonts w:ascii="Arial" w:hAnsi="Arial" w:cs="Arial"/>
          <w:color w:val="auto"/>
          <w:sz w:val="24"/>
          <w:szCs w:val="24"/>
        </w:rPr>
        <w:instrText xml:space="preserve"> STYLEREF 1 \s </w:instrText>
      </w:r>
      <w:r w:rsidRPr="00BA5926">
        <w:rPr>
          <w:rFonts w:ascii="Arial" w:hAnsi="Arial" w:cs="Arial"/>
          <w:color w:val="auto"/>
          <w:sz w:val="24"/>
          <w:szCs w:val="24"/>
        </w:rPr>
        <w:fldChar w:fldCharType="separate"/>
      </w:r>
      <w:r w:rsidRPr="00BA5926">
        <w:rPr>
          <w:rFonts w:ascii="Arial" w:hAnsi="Arial" w:cs="Arial"/>
          <w:noProof/>
          <w:color w:val="auto"/>
          <w:sz w:val="24"/>
          <w:szCs w:val="24"/>
        </w:rPr>
        <w:t>4</w:t>
      </w:r>
      <w:r w:rsidRPr="00BA5926">
        <w:rPr>
          <w:rFonts w:ascii="Arial" w:hAnsi="Arial" w:cs="Arial"/>
          <w:noProof/>
          <w:color w:val="auto"/>
          <w:sz w:val="24"/>
          <w:szCs w:val="24"/>
        </w:rPr>
        <w:fldChar w:fldCharType="end"/>
      </w:r>
      <w:r w:rsidRPr="00BA5926">
        <w:rPr>
          <w:rFonts w:ascii="Arial" w:hAnsi="Arial" w:cs="Arial"/>
          <w:color w:val="auto"/>
          <w:sz w:val="24"/>
          <w:szCs w:val="24"/>
        </w:rPr>
        <w:noBreakHyphen/>
      </w:r>
      <w:r w:rsidRPr="00BA5926">
        <w:rPr>
          <w:rFonts w:ascii="Arial" w:hAnsi="Arial" w:cs="Arial"/>
          <w:color w:val="auto"/>
          <w:sz w:val="24"/>
          <w:szCs w:val="24"/>
        </w:rPr>
        <w:fldChar w:fldCharType="begin"/>
      </w:r>
      <w:r w:rsidRPr="00BA5926">
        <w:rPr>
          <w:rFonts w:ascii="Arial" w:hAnsi="Arial" w:cs="Arial"/>
          <w:color w:val="auto"/>
          <w:sz w:val="24"/>
          <w:szCs w:val="24"/>
        </w:rPr>
        <w:instrText xml:space="preserve"> SEQ Tabla \* ARABIC \s 1 </w:instrText>
      </w:r>
      <w:r w:rsidRPr="00BA5926">
        <w:rPr>
          <w:rFonts w:ascii="Arial" w:hAnsi="Arial" w:cs="Arial"/>
          <w:color w:val="auto"/>
          <w:sz w:val="24"/>
          <w:szCs w:val="24"/>
        </w:rPr>
        <w:fldChar w:fldCharType="separate"/>
      </w:r>
      <w:r w:rsidRPr="00BA5926">
        <w:rPr>
          <w:rFonts w:ascii="Arial" w:hAnsi="Arial" w:cs="Arial"/>
          <w:noProof/>
          <w:color w:val="auto"/>
          <w:sz w:val="24"/>
          <w:szCs w:val="24"/>
        </w:rPr>
        <w:t>37</w:t>
      </w:r>
      <w:r w:rsidRPr="00BA5926">
        <w:rPr>
          <w:rFonts w:ascii="Arial" w:hAnsi="Arial" w:cs="Arial"/>
          <w:noProof/>
          <w:color w:val="auto"/>
          <w:sz w:val="24"/>
          <w:szCs w:val="24"/>
        </w:rPr>
        <w:fldChar w:fldCharType="end"/>
      </w:r>
      <w:r w:rsidRPr="00BA5926">
        <w:rPr>
          <w:rFonts w:ascii="Arial" w:hAnsi="Arial" w:cs="Arial"/>
          <w:color w:val="auto"/>
          <w:sz w:val="24"/>
          <w:szCs w:val="24"/>
        </w:rPr>
        <w:t xml:space="preserve"> Bienes de Uso público, históricos y culturales (BUPHC) – Composición</w:t>
      </w:r>
      <w:bookmarkEnd w:id="109"/>
      <w:r>
        <w:rPr>
          <w:rFonts w:ascii="Arial" w:hAnsi="Arial" w:cs="Arial"/>
          <w:color w:val="auto"/>
          <w:sz w:val="24"/>
          <w:szCs w:val="24"/>
        </w:rPr>
        <w:t>.</w:t>
      </w:r>
    </w:p>
    <w:p w:rsidR="00BA5926" w:rsidRPr="00BA5926" w:rsidRDefault="00BA5926" w:rsidP="00BA5926">
      <w:pPr>
        <w:rPr>
          <w:lang w:val="es-CO" w:eastAsia="en-US"/>
        </w:rPr>
      </w:pPr>
    </w:p>
    <w:p w:rsidR="00BA5926" w:rsidRPr="00A320BE" w:rsidRDefault="00BA5926" w:rsidP="00BA5926">
      <w:pPr>
        <w:pStyle w:val="Textoindependiente"/>
        <w:jc w:val="center"/>
        <w:rPr>
          <w:rFonts w:ascii="Montserrat Medium" w:hAnsi="Montserrat Medium"/>
          <w:lang w:val="es-CO"/>
        </w:rPr>
      </w:pPr>
      <w:r w:rsidRPr="00A320BE">
        <w:rPr>
          <w:rFonts w:ascii="Montserrat Medium" w:hAnsi="Montserrat Medium"/>
          <w:noProof/>
          <w:lang w:val="es-CO" w:eastAsia="es-CO"/>
        </w:rPr>
        <w:drawing>
          <wp:inline distT="0" distB="0" distL="0" distR="0" wp14:anchorId="11072367" wp14:editId="59E5EF52">
            <wp:extent cx="5943600" cy="4669790"/>
            <wp:effectExtent l="0" t="0" r="0" b="0"/>
            <wp:docPr id="16624569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6286"/>
                    <a:stretch/>
                  </pic:blipFill>
                  <pic:spPr bwMode="auto">
                    <a:xfrm>
                      <a:off x="0" y="0"/>
                      <a:ext cx="5943600" cy="4669790"/>
                    </a:xfrm>
                    <a:prstGeom prst="rect">
                      <a:avLst/>
                    </a:prstGeom>
                    <a:noFill/>
                    <a:ln>
                      <a:noFill/>
                    </a:ln>
                    <a:extLst>
                      <a:ext uri="{53640926-AAD7-44D8-BBD7-CCE9431645EC}">
                        <a14:shadowObscured xmlns:a14="http://schemas.microsoft.com/office/drawing/2010/main"/>
                      </a:ext>
                    </a:extLst>
                  </pic:spPr>
                </pic:pic>
              </a:graphicData>
            </a:graphic>
          </wp:inline>
        </w:drawing>
      </w:r>
    </w:p>
    <w:p w:rsidR="00BA5926" w:rsidRPr="00A320BE" w:rsidRDefault="00BA5926" w:rsidP="00BA5926">
      <w:pPr>
        <w:pStyle w:val="Textoindependiente"/>
        <w:jc w:val="center"/>
        <w:rPr>
          <w:rFonts w:ascii="Montserrat Medium" w:hAnsi="Montserrat Medium"/>
          <w:lang w:val="es-CO"/>
        </w:rPr>
      </w:pPr>
    </w:p>
    <w:p w:rsidR="00BA5926" w:rsidRDefault="00BA5926" w:rsidP="00BA5926">
      <w:pPr>
        <w:ind w:left="-142" w:right="-518"/>
        <w:jc w:val="both"/>
        <w:rPr>
          <w:rFonts w:ascii="Arial" w:hAnsi="Arial" w:cs="Arial"/>
        </w:rPr>
      </w:pPr>
      <w:r w:rsidRPr="00BA5926">
        <w:rPr>
          <w:rFonts w:ascii="Arial" w:hAnsi="Arial" w:cs="Arial"/>
          <w:b/>
          <w:u w:val="single"/>
        </w:rPr>
        <w:t>A partir de la tabla se observa que al 31 de diciembre de 2022 el grupo alcanzó la suma agregada y consolidada de $100.710,6, la cual representa el 10,9% del valor total del Activo consolidado que asciende a la suma de $923.753,0. De igual forma, frente al año anterior, se evidencia un aumento del 6,6% en este grupo</w:t>
      </w:r>
      <w:r w:rsidRPr="00A320BE">
        <w:t>.</w:t>
      </w:r>
      <w:r>
        <w:t xml:space="preserve"> </w:t>
      </w:r>
      <w:r>
        <w:rPr>
          <w:rFonts w:ascii="Arial" w:hAnsi="Arial" w:cs="Arial"/>
        </w:rPr>
        <w:t>(Subrayado y resaltado fuera de texto).</w:t>
      </w:r>
    </w:p>
    <w:p w:rsidR="00BA5926" w:rsidRPr="00BA5926" w:rsidRDefault="00BA5926" w:rsidP="00BA5926">
      <w:pPr>
        <w:ind w:left="-142" w:right="-518"/>
        <w:rPr>
          <w:rFonts w:ascii="Arial" w:hAnsi="Arial" w:cs="Arial"/>
          <w:b/>
          <w:sz w:val="28"/>
          <w:szCs w:val="28"/>
        </w:rPr>
      </w:pPr>
      <w:r w:rsidRPr="00BA5926">
        <w:rPr>
          <w:rFonts w:ascii="Arial" w:hAnsi="Arial" w:cs="Arial"/>
          <w:b/>
          <w:sz w:val="28"/>
          <w:szCs w:val="28"/>
        </w:rPr>
        <w:lastRenderedPageBreak/>
        <w:t>Entidades que registran los mayores valores en BUPHC</w:t>
      </w:r>
      <w:r>
        <w:rPr>
          <w:rFonts w:ascii="Arial" w:hAnsi="Arial" w:cs="Arial"/>
          <w:b/>
          <w:sz w:val="28"/>
          <w:szCs w:val="28"/>
        </w:rPr>
        <w:t>.</w:t>
      </w:r>
      <w:r w:rsidRPr="00BA5926">
        <w:rPr>
          <w:rFonts w:ascii="Arial" w:hAnsi="Arial" w:cs="Arial"/>
          <w:b/>
          <w:sz w:val="28"/>
          <w:szCs w:val="28"/>
        </w:rPr>
        <w:t xml:space="preserve"> </w:t>
      </w:r>
    </w:p>
    <w:p w:rsidR="00BA5926" w:rsidRPr="00BA5926" w:rsidRDefault="00BA5926" w:rsidP="00BA5926">
      <w:pPr>
        <w:ind w:left="-142" w:right="-518"/>
        <w:jc w:val="both"/>
        <w:rPr>
          <w:rFonts w:ascii="Arial" w:hAnsi="Arial" w:cs="Arial"/>
        </w:rPr>
      </w:pPr>
    </w:p>
    <w:p w:rsidR="00BA5926" w:rsidRPr="00BA5926" w:rsidRDefault="00BA5926" w:rsidP="00BA5926">
      <w:pPr>
        <w:ind w:left="-142" w:right="-518"/>
        <w:jc w:val="both"/>
        <w:rPr>
          <w:rFonts w:ascii="Arial" w:hAnsi="Arial" w:cs="Arial"/>
        </w:rPr>
      </w:pPr>
      <w:r w:rsidRPr="00BA5926">
        <w:rPr>
          <w:rFonts w:ascii="Arial" w:hAnsi="Arial" w:cs="Arial"/>
        </w:rPr>
        <w:t xml:space="preserve">Partiendo de la representatividad de los saldos reportados por las entidades en el año 2022 y comparado con el 2021, a continuación, se listan aquellas que registran los mayores valores en los siguientes conceptos: Bienes de uso público en servicio, Bienes de uso público en construcción y Depreciación acumulada en bienes de uso público en servicio. </w:t>
      </w:r>
    </w:p>
    <w:p w:rsidR="00BA5926" w:rsidRPr="00BA5926" w:rsidRDefault="00BA5926" w:rsidP="00BA5926">
      <w:pPr>
        <w:jc w:val="both"/>
        <w:rPr>
          <w:rFonts w:ascii="Arial" w:hAnsi="Arial" w:cs="Arial"/>
        </w:rPr>
      </w:pPr>
    </w:p>
    <w:p w:rsidR="00BA5926" w:rsidRDefault="00BA5926" w:rsidP="00BA5926">
      <w:pPr>
        <w:pStyle w:val="Descripcin"/>
        <w:jc w:val="center"/>
        <w:rPr>
          <w:rFonts w:ascii="Arial" w:hAnsi="Arial" w:cs="Arial"/>
          <w:color w:val="auto"/>
          <w:sz w:val="24"/>
          <w:szCs w:val="24"/>
        </w:rPr>
      </w:pPr>
      <w:bookmarkStart w:id="110" w:name="_Toc135044801"/>
      <w:r w:rsidRPr="00BA5926">
        <w:rPr>
          <w:rFonts w:ascii="Arial" w:hAnsi="Arial" w:cs="Arial"/>
          <w:color w:val="auto"/>
          <w:sz w:val="24"/>
          <w:szCs w:val="24"/>
        </w:rPr>
        <w:t xml:space="preserve">Tabla </w:t>
      </w:r>
      <w:r w:rsidRPr="00BA5926">
        <w:rPr>
          <w:rFonts w:ascii="Arial" w:hAnsi="Arial" w:cs="Arial"/>
          <w:color w:val="auto"/>
          <w:sz w:val="24"/>
          <w:szCs w:val="24"/>
        </w:rPr>
        <w:fldChar w:fldCharType="begin"/>
      </w:r>
      <w:r w:rsidRPr="00BA5926">
        <w:rPr>
          <w:rFonts w:ascii="Arial" w:hAnsi="Arial" w:cs="Arial"/>
          <w:color w:val="auto"/>
          <w:sz w:val="24"/>
          <w:szCs w:val="24"/>
        </w:rPr>
        <w:instrText xml:space="preserve"> STYLEREF 1 \s </w:instrText>
      </w:r>
      <w:r w:rsidRPr="00BA5926">
        <w:rPr>
          <w:rFonts w:ascii="Arial" w:hAnsi="Arial" w:cs="Arial"/>
          <w:color w:val="auto"/>
          <w:sz w:val="24"/>
          <w:szCs w:val="24"/>
        </w:rPr>
        <w:fldChar w:fldCharType="separate"/>
      </w:r>
      <w:r w:rsidRPr="00BA5926">
        <w:rPr>
          <w:rFonts w:ascii="Arial" w:hAnsi="Arial" w:cs="Arial"/>
          <w:noProof/>
          <w:color w:val="auto"/>
          <w:sz w:val="24"/>
          <w:szCs w:val="24"/>
        </w:rPr>
        <w:t>4</w:t>
      </w:r>
      <w:r w:rsidRPr="00BA5926">
        <w:rPr>
          <w:rFonts w:ascii="Arial" w:hAnsi="Arial" w:cs="Arial"/>
          <w:noProof/>
          <w:color w:val="auto"/>
          <w:sz w:val="24"/>
          <w:szCs w:val="24"/>
        </w:rPr>
        <w:fldChar w:fldCharType="end"/>
      </w:r>
      <w:r w:rsidRPr="00BA5926">
        <w:rPr>
          <w:rFonts w:ascii="Arial" w:hAnsi="Arial" w:cs="Arial"/>
          <w:color w:val="auto"/>
          <w:sz w:val="24"/>
          <w:szCs w:val="24"/>
        </w:rPr>
        <w:noBreakHyphen/>
      </w:r>
      <w:r w:rsidRPr="00BA5926">
        <w:rPr>
          <w:rFonts w:ascii="Arial" w:hAnsi="Arial" w:cs="Arial"/>
          <w:color w:val="auto"/>
          <w:sz w:val="24"/>
          <w:szCs w:val="24"/>
        </w:rPr>
        <w:fldChar w:fldCharType="begin"/>
      </w:r>
      <w:r w:rsidRPr="00BA5926">
        <w:rPr>
          <w:rFonts w:ascii="Arial" w:hAnsi="Arial" w:cs="Arial"/>
          <w:color w:val="auto"/>
          <w:sz w:val="24"/>
          <w:szCs w:val="24"/>
        </w:rPr>
        <w:instrText xml:space="preserve"> SEQ Tabla \* ARABIC \s 1 </w:instrText>
      </w:r>
      <w:r w:rsidRPr="00BA5926">
        <w:rPr>
          <w:rFonts w:ascii="Arial" w:hAnsi="Arial" w:cs="Arial"/>
          <w:color w:val="auto"/>
          <w:sz w:val="24"/>
          <w:szCs w:val="24"/>
        </w:rPr>
        <w:fldChar w:fldCharType="separate"/>
      </w:r>
      <w:r w:rsidRPr="00BA5926">
        <w:rPr>
          <w:rFonts w:ascii="Arial" w:hAnsi="Arial" w:cs="Arial"/>
          <w:noProof/>
          <w:color w:val="auto"/>
          <w:sz w:val="24"/>
          <w:szCs w:val="24"/>
        </w:rPr>
        <w:t>38</w:t>
      </w:r>
      <w:r w:rsidRPr="00BA5926">
        <w:rPr>
          <w:rFonts w:ascii="Arial" w:hAnsi="Arial" w:cs="Arial"/>
          <w:noProof/>
          <w:color w:val="auto"/>
          <w:sz w:val="24"/>
          <w:szCs w:val="24"/>
        </w:rPr>
        <w:fldChar w:fldCharType="end"/>
      </w:r>
      <w:r w:rsidRPr="00BA5926">
        <w:rPr>
          <w:rFonts w:ascii="Arial" w:hAnsi="Arial" w:cs="Arial"/>
          <w:color w:val="auto"/>
          <w:sz w:val="24"/>
          <w:szCs w:val="24"/>
        </w:rPr>
        <w:t xml:space="preserve"> BUPHC - Entidades más representativas</w:t>
      </w:r>
      <w:bookmarkEnd w:id="110"/>
    </w:p>
    <w:p w:rsidR="00BA5926" w:rsidRPr="00BA5926" w:rsidRDefault="00BA5926" w:rsidP="00BA5926">
      <w:pPr>
        <w:rPr>
          <w:lang w:val="es-CO" w:eastAsia="en-US"/>
        </w:rPr>
      </w:pPr>
    </w:p>
    <w:p w:rsidR="00BA5926" w:rsidRPr="00A320BE" w:rsidRDefault="00BA5926" w:rsidP="00BA5926">
      <w:pPr>
        <w:pStyle w:val="Textoindependiente"/>
        <w:jc w:val="center"/>
        <w:rPr>
          <w:rFonts w:ascii="Montserrat Medium" w:hAnsi="Montserrat Medium"/>
          <w:noProof/>
          <w:lang w:val="es-CO"/>
        </w:rPr>
      </w:pPr>
      <w:r w:rsidRPr="00A320BE">
        <w:rPr>
          <w:noProof/>
          <w:lang w:val="es-CO" w:eastAsia="es-CO"/>
        </w:rPr>
        <w:drawing>
          <wp:inline distT="0" distB="0" distL="0" distR="0" wp14:anchorId="651B12E0" wp14:editId="5AAFFF67">
            <wp:extent cx="5943600" cy="4381500"/>
            <wp:effectExtent l="0" t="0" r="0" b="0"/>
            <wp:docPr id="33685144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BA5926" w:rsidRPr="00A320BE" w:rsidRDefault="00BA5926" w:rsidP="00BA5926">
      <w:pPr>
        <w:ind w:left="284" w:right="333"/>
        <w:jc w:val="both"/>
        <w:rPr>
          <w:sz w:val="18"/>
          <w:szCs w:val="18"/>
        </w:rPr>
      </w:pPr>
      <w:r w:rsidRPr="00A320BE">
        <w:rPr>
          <w:sz w:val="18"/>
          <w:szCs w:val="18"/>
        </w:rPr>
        <w:t>*</w:t>
      </w:r>
      <w:r w:rsidRPr="00A320BE">
        <w:rPr>
          <w:sz w:val="16"/>
          <w:szCs w:val="16"/>
        </w:rPr>
        <w:t>En la clasificación “Resto de Entidades que reportan” se reflejan los saldos reportados por las demás entidades, los cuales analizados individualmente son inferiores a los reportados por las entidades más representativas.</w:t>
      </w:r>
    </w:p>
    <w:p w:rsidR="00BA5926" w:rsidRPr="00A320BE" w:rsidRDefault="00BA5926" w:rsidP="00BA5926">
      <w:pPr>
        <w:pStyle w:val="Textoindependiente"/>
        <w:jc w:val="both"/>
        <w:rPr>
          <w:rFonts w:ascii="Montserrat Medium" w:hAnsi="Montserrat Medium"/>
          <w:lang w:val="es-CO"/>
        </w:rPr>
      </w:pPr>
    </w:p>
    <w:p w:rsidR="00BA5926" w:rsidRDefault="00BA5926" w:rsidP="00BA5926">
      <w:pPr>
        <w:ind w:left="-142" w:right="-518"/>
        <w:jc w:val="both"/>
        <w:rPr>
          <w:rFonts w:ascii="Arial" w:hAnsi="Arial" w:cs="Arial"/>
        </w:rPr>
      </w:pPr>
      <w:r w:rsidRPr="00BA5926">
        <w:rPr>
          <w:rFonts w:ascii="Arial" w:hAnsi="Arial" w:cs="Arial"/>
          <w:b/>
          <w:u w:val="single"/>
          <w:lang w:val="es-CO"/>
        </w:rPr>
        <w:t>El universo de entidades consolidadas del nivel nacional es de 343, de las cuales 16 entidades reportaron saldos en Bienes de uso público en servicio; 5 en Bienes de uso público en construcción; y 11 en Depreciación acumulada de bienes de uso público en servicio</w:t>
      </w:r>
      <w:r w:rsidRPr="00BA5926">
        <w:rPr>
          <w:rFonts w:ascii="Arial" w:hAnsi="Arial" w:cs="Arial"/>
          <w:lang w:val="es-CO"/>
        </w:rPr>
        <w:t>.</w:t>
      </w:r>
      <w:r>
        <w:rPr>
          <w:rFonts w:ascii="Arial" w:hAnsi="Arial" w:cs="Arial"/>
          <w:lang w:val="es-CO"/>
        </w:rPr>
        <w:t xml:space="preserve"> </w:t>
      </w:r>
      <w:r>
        <w:rPr>
          <w:rFonts w:ascii="Arial" w:hAnsi="Arial" w:cs="Arial"/>
        </w:rPr>
        <w:t>(Subrayado y resaltado fuera de texto).</w:t>
      </w:r>
    </w:p>
    <w:p w:rsidR="00BA5926" w:rsidRPr="00A320BE" w:rsidRDefault="00BA5926" w:rsidP="00BA5926">
      <w:pPr>
        <w:pStyle w:val="Textoindependiente"/>
        <w:jc w:val="both"/>
        <w:rPr>
          <w:rFonts w:ascii="Montserrat Medium" w:hAnsi="Montserrat Medium"/>
          <w:lang w:val="es-CO"/>
        </w:rPr>
      </w:pPr>
    </w:p>
    <w:p w:rsidR="00BA5926" w:rsidRPr="00BA5926" w:rsidRDefault="00BA5926" w:rsidP="00BA5926">
      <w:pPr>
        <w:ind w:left="-142" w:right="-518"/>
        <w:jc w:val="both"/>
        <w:rPr>
          <w:rFonts w:ascii="Arial" w:hAnsi="Arial" w:cs="Arial"/>
        </w:rPr>
      </w:pPr>
      <w:r w:rsidRPr="00BA5926">
        <w:rPr>
          <w:rFonts w:ascii="Arial" w:hAnsi="Arial" w:cs="Arial"/>
        </w:rPr>
        <w:t>Como se observa en la tabla previa, el Instituto Nacional de Vías (Inv</w:t>
      </w:r>
      <w:r w:rsidR="00D9037D">
        <w:rPr>
          <w:rFonts w:ascii="Arial" w:hAnsi="Arial" w:cs="Arial"/>
        </w:rPr>
        <w:t>í</w:t>
      </w:r>
      <w:r w:rsidRPr="00BA5926">
        <w:rPr>
          <w:rFonts w:ascii="Arial" w:hAnsi="Arial" w:cs="Arial"/>
        </w:rPr>
        <w:t>as) presenta una variación negativa de $3.850,6 en el concepto Bienes de uso público en servicio y, de acuerdo con las notas a sus Estados Financieros, esta variación se presenta dado que las cifras fueron reexpresadas como resultado de la desincorporación de saldos contables en la entrega a la ANI y de la reclasificación de Bienes de uso público (BUP) en construcción a BUP en servicio; asimismo, fruto de la baja en cuentas del costo de terrenos reconocidos como parte de la inversión.</w:t>
      </w:r>
    </w:p>
    <w:p w:rsidR="00BA5926" w:rsidRPr="00A320BE" w:rsidRDefault="00BA5926" w:rsidP="00BA5926">
      <w:pPr>
        <w:jc w:val="both"/>
      </w:pPr>
    </w:p>
    <w:p w:rsidR="00BA5926" w:rsidRDefault="00BA5926" w:rsidP="00BA5926">
      <w:pPr>
        <w:ind w:left="-142" w:right="-518"/>
        <w:jc w:val="both"/>
      </w:pPr>
      <w:r w:rsidRPr="00BA5926">
        <w:rPr>
          <w:rFonts w:ascii="Arial" w:hAnsi="Arial" w:cs="Arial"/>
        </w:rPr>
        <w:lastRenderedPageBreak/>
        <w:t>De igual forma, el INVIAS presenta en el concepto de BUP en Construcción una la variación absoluta positiva por valor de $1.163,8 que, de acuerdo con sus revelaciones, se explica fundamentalmente por el reconocimiento de las inversiones realizadas por el Instituto mediante la ejecución del presupuesto de inversión que le fue asignado, siendo la red carretera la de mayor avance en el mejoramiento de tal infraestructura</w:t>
      </w:r>
      <w:r w:rsidRPr="00A320BE">
        <w:t>.</w:t>
      </w:r>
    </w:p>
    <w:p w:rsidR="00BA5926" w:rsidRPr="00BA5926" w:rsidRDefault="00BA5926" w:rsidP="00BA5926">
      <w:pPr>
        <w:ind w:left="-142" w:right="-518"/>
        <w:jc w:val="both"/>
        <w:rPr>
          <w:rFonts w:ascii="Arial" w:hAnsi="Arial" w:cs="Arial"/>
          <w:b/>
          <w:sz w:val="28"/>
          <w:szCs w:val="28"/>
        </w:rPr>
      </w:pPr>
    </w:p>
    <w:p w:rsidR="00BA5926" w:rsidRPr="00BA5926" w:rsidRDefault="00BA5926" w:rsidP="00BA5926">
      <w:pPr>
        <w:ind w:left="-142" w:right="-518"/>
        <w:jc w:val="both"/>
        <w:rPr>
          <w:rFonts w:ascii="Arial" w:hAnsi="Arial" w:cs="Arial"/>
          <w:b/>
          <w:sz w:val="28"/>
          <w:szCs w:val="28"/>
        </w:rPr>
      </w:pPr>
      <w:r w:rsidRPr="00BA5926">
        <w:rPr>
          <w:rFonts w:ascii="Arial" w:hAnsi="Arial" w:cs="Arial"/>
          <w:b/>
          <w:sz w:val="28"/>
          <w:szCs w:val="28"/>
        </w:rPr>
        <w:t xml:space="preserve">NOTA 12.- </w:t>
      </w:r>
      <w:bookmarkStart w:id="111" w:name="_Toc135044705"/>
      <w:r w:rsidRPr="00BA5926">
        <w:rPr>
          <w:rFonts w:ascii="Arial" w:hAnsi="Arial" w:cs="Arial"/>
          <w:b/>
          <w:sz w:val="28"/>
          <w:szCs w:val="28"/>
        </w:rPr>
        <w:t>Recursos Naturales No Renovables – RNNR</w:t>
      </w:r>
      <w:bookmarkEnd w:id="111"/>
      <w:r>
        <w:rPr>
          <w:rFonts w:ascii="Arial" w:hAnsi="Arial" w:cs="Arial"/>
          <w:b/>
          <w:sz w:val="28"/>
          <w:szCs w:val="28"/>
        </w:rPr>
        <w:t>.</w:t>
      </w:r>
    </w:p>
    <w:p w:rsidR="00BA5926" w:rsidRPr="00BA5926" w:rsidRDefault="00BA5926" w:rsidP="00BA5926">
      <w:pPr>
        <w:ind w:left="-142" w:right="-518"/>
        <w:jc w:val="both"/>
        <w:rPr>
          <w:rFonts w:ascii="Arial" w:hAnsi="Arial" w:cs="Arial"/>
          <w:b/>
          <w:sz w:val="28"/>
          <w:szCs w:val="28"/>
        </w:rPr>
      </w:pPr>
    </w:p>
    <w:p w:rsidR="00BA5926" w:rsidRPr="00BA5926" w:rsidRDefault="00BA5926" w:rsidP="00855F1C">
      <w:pPr>
        <w:ind w:left="-142" w:right="-518"/>
        <w:jc w:val="both"/>
        <w:rPr>
          <w:rFonts w:ascii="Arial" w:hAnsi="Arial" w:cs="Arial"/>
        </w:rPr>
      </w:pPr>
      <w:r w:rsidRPr="00BA5926">
        <w:rPr>
          <w:rFonts w:ascii="Arial" w:hAnsi="Arial" w:cs="Arial"/>
        </w:rPr>
        <w:t>Son bienes reconocidos a nivel nacional por su gran diversidad topográfica, siendo aprovechados de manera sostenible para satisfacer las necesidades vitales del estado colombiano y el desarrollo económico del país, es de gran importancia reconocer que estos no son objeto de remplazo.</w:t>
      </w:r>
    </w:p>
    <w:p w:rsidR="00BA5926" w:rsidRPr="00BA5926" w:rsidRDefault="00BA5926" w:rsidP="00BA5926">
      <w:pPr>
        <w:ind w:left="-284" w:right="-518"/>
        <w:jc w:val="both"/>
        <w:rPr>
          <w:rFonts w:ascii="Arial" w:hAnsi="Arial" w:cs="Arial"/>
        </w:rPr>
      </w:pPr>
    </w:p>
    <w:p w:rsidR="00BA5926" w:rsidRDefault="00BA5926" w:rsidP="00855F1C">
      <w:pPr>
        <w:pStyle w:val="Descripcin"/>
        <w:jc w:val="center"/>
        <w:rPr>
          <w:rFonts w:ascii="Arial" w:hAnsi="Arial" w:cs="Arial"/>
          <w:color w:val="auto"/>
          <w:sz w:val="24"/>
          <w:szCs w:val="24"/>
        </w:rPr>
      </w:pPr>
      <w:bookmarkStart w:id="112" w:name="_Toc135044803"/>
      <w:r w:rsidRPr="00BA5926">
        <w:rPr>
          <w:rFonts w:ascii="Arial" w:hAnsi="Arial" w:cs="Arial"/>
          <w:color w:val="auto"/>
          <w:sz w:val="24"/>
          <w:szCs w:val="24"/>
        </w:rPr>
        <w:t xml:space="preserve">Tabla </w:t>
      </w:r>
      <w:r w:rsidRPr="00BA5926">
        <w:rPr>
          <w:rFonts w:ascii="Arial" w:hAnsi="Arial" w:cs="Arial"/>
          <w:color w:val="auto"/>
          <w:sz w:val="24"/>
          <w:szCs w:val="24"/>
        </w:rPr>
        <w:fldChar w:fldCharType="begin"/>
      </w:r>
      <w:r w:rsidRPr="00BA5926">
        <w:rPr>
          <w:rFonts w:ascii="Arial" w:hAnsi="Arial" w:cs="Arial"/>
          <w:color w:val="auto"/>
          <w:sz w:val="24"/>
          <w:szCs w:val="24"/>
        </w:rPr>
        <w:instrText xml:space="preserve"> STYLEREF 1 \s </w:instrText>
      </w:r>
      <w:r w:rsidRPr="00BA5926">
        <w:rPr>
          <w:rFonts w:ascii="Arial" w:hAnsi="Arial" w:cs="Arial"/>
          <w:color w:val="auto"/>
          <w:sz w:val="24"/>
          <w:szCs w:val="24"/>
        </w:rPr>
        <w:fldChar w:fldCharType="separate"/>
      </w:r>
      <w:r w:rsidRPr="00BA5926">
        <w:rPr>
          <w:rFonts w:ascii="Arial" w:hAnsi="Arial" w:cs="Arial"/>
          <w:noProof/>
          <w:color w:val="auto"/>
          <w:sz w:val="24"/>
          <w:szCs w:val="24"/>
        </w:rPr>
        <w:t>4</w:t>
      </w:r>
      <w:r w:rsidRPr="00BA5926">
        <w:rPr>
          <w:rFonts w:ascii="Arial" w:hAnsi="Arial" w:cs="Arial"/>
          <w:noProof/>
          <w:color w:val="auto"/>
          <w:sz w:val="24"/>
          <w:szCs w:val="24"/>
        </w:rPr>
        <w:fldChar w:fldCharType="end"/>
      </w:r>
      <w:r w:rsidRPr="00BA5926">
        <w:rPr>
          <w:rFonts w:ascii="Arial" w:hAnsi="Arial" w:cs="Arial"/>
          <w:color w:val="auto"/>
          <w:sz w:val="24"/>
          <w:szCs w:val="24"/>
        </w:rPr>
        <w:noBreakHyphen/>
      </w:r>
      <w:r w:rsidRPr="00BA5926">
        <w:rPr>
          <w:rFonts w:ascii="Arial" w:hAnsi="Arial" w:cs="Arial"/>
          <w:color w:val="auto"/>
          <w:sz w:val="24"/>
          <w:szCs w:val="24"/>
        </w:rPr>
        <w:fldChar w:fldCharType="begin"/>
      </w:r>
      <w:r w:rsidRPr="00BA5926">
        <w:rPr>
          <w:rFonts w:ascii="Arial" w:hAnsi="Arial" w:cs="Arial"/>
          <w:color w:val="auto"/>
          <w:sz w:val="24"/>
          <w:szCs w:val="24"/>
        </w:rPr>
        <w:instrText xml:space="preserve"> SEQ Tabla \* ARABIC \s 1 </w:instrText>
      </w:r>
      <w:r w:rsidRPr="00BA5926">
        <w:rPr>
          <w:rFonts w:ascii="Arial" w:hAnsi="Arial" w:cs="Arial"/>
          <w:color w:val="auto"/>
          <w:sz w:val="24"/>
          <w:szCs w:val="24"/>
        </w:rPr>
        <w:fldChar w:fldCharType="separate"/>
      </w:r>
      <w:r w:rsidRPr="00BA5926">
        <w:rPr>
          <w:rFonts w:ascii="Arial" w:hAnsi="Arial" w:cs="Arial"/>
          <w:noProof/>
          <w:color w:val="auto"/>
          <w:sz w:val="24"/>
          <w:szCs w:val="24"/>
        </w:rPr>
        <w:t>40</w:t>
      </w:r>
      <w:r w:rsidRPr="00BA5926">
        <w:rPr>
          <w:rFonts w:ascii="Arial" w:hAnsi="Arial" w:cs="Arial"/>
          <w:noProof/>
          <w:color w:val="auto"/>
          <w:sz w:val="24"/>
          <w:szCs w:val="24"/>
        </w:rPr>
        <w:fldChar w:fldCharType="end"/>
      </w:r>
      <w:r w:rsidRPr="00BA5926">
        <w:rPr>
          <w:rFonts w:ascii="Arial" w:hAnsi="Arial" w:cs="Arial"/>
          <w:color w:val="auto"/>
          <w:sz w:val="24"/>
          <w:szCs w:val="24"/>
        </w:rPr>
        <w:t xml:space="preserve"> Recursos Naturales No Renovables (RNNR) – Composición</w:t>
      </w:r>
      <w:bookmarkEnd w:id="112"/>
    </w:p>
    <w:p w:rsidR="00855F1C" w:rsidRPr="00855F1C" w:rsidRDefault="00855F1C" w:rsidP="00855F1C">
      <w:pPr>
        <w:rPr>
          <w:lang w:val="es-CO" w:eastAsia="en-US"/>
        </w:rPr>
      </w:pPr>
    </w:p>
    <w:p w:rsidR="00BA5926" w:rsidRPr="00A320BE" w:rsidRDefault="00BA5926" w:rsidP="00BA5926">
      <w:pPr>
        <w:pStyle w:val="Textoindependiente"/>
        <w:jc w:val="both"/>
        <w:rPr>
          <w:rFonts w:ascii="Montserrat Medium" w:hAnsi="Montserrat Medium"/>
          <w:color w:val="000000" w:themeColor="text1"/>
          <w:lang w:val="es-CO"/>
        </w:rPr>
      </w:pPr>
      <w:r w:rsidRPr="00A320BE">
        <w:rPr>
          <w:rFonts w:ascii="Montserrat Medium" w:hAnsi="Montserrat Medium"/>
          <w:noProof/>
          <w:color w:val="000000" w:themeColor="text1"/>
          <w:lang w:val="es-CO" w:eastAsia="es-CO"/>
        </w:rPr>
        <w:drawing>
          <wp:inline distT="0" distB="0" distL="0" distR="0" wp14:anchorId="2A6596E6" wp14:editId="165AB7B8">
            <wp:extent cx="5943600" cy="1985010"/>
            <wp:effectExtent l="0" t="0" r="0" b="0"/>
            <wp:docPr id="1950604289" name="Imagen 195060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985010"/>
                    </a:xfrm>
                    <a:prstGeom prst="rect">
                      <a:avLst/>
                    </a:prstGeom>
                  </pic:spPr>
                </pic:pic>
              </a:graphicData>
            </a:graphic>
          </wp:inline>
        </w:drawing>
      </w:r>
    </w:p>
    <w:p w:rsidR="00BA5926" w:rsidRPr="00A320BE" w:rsidRDefault="00BA5926" w:rsidP="00BA5926">
      <w:pPr>
        <w:pStyle w:val="Textoindependiente"/>
        <w:jc w:val="both"/>
        <w:rPr>
          <w:rFonts w:ascii="Montserrat Medium" w:hAnsi="Montserrat Medium"/>
          <w:color w:val="000000" w:themeColor="text1"/>
          <w:lang w:val="es-CO"/>
        </w:rPr>
      </w:pPr>
    </w:p>
    <w:p w:rsidR="00BA5926" w:rsidRPr="00855F1C" w:rsidRDefault="00BA5926" w:rsidP="00855F1C">
      <w:pPr>
        <w:ind w:left="-142" w:right="-518"/>
        <w:jc w:val="both"/>
        <w:rPr>
          <w:rFonts w:ascii="Arial" w:hAnsi="Arial" w:cs="Arial"/>
        </w:rPr>
      </w:pPr>
      <w:r w:rsidRPr="00855F1C">
        <w:rPr>
          <w:rFonts w:ascii="Arial" w:hAnsi="Arial" w:cs="Arial"/>
        </w:rPr>
        <w:t xml:space="preserve">El saldo del grupo $163.983,8, tiene una participación del 17,8% del total del Activo consolidado del nivel nacional, y es reportado exclusivamente por el Ministerio de Minas y Energía; se registra un incremento del 157,3% con relación al periodo 2021. </w:t>
      </w:r>
    </w:p>
    <w:p w:rsidR="00BA5926" w:rsidRPr="00855F1C" w:rsidRDefault="00BA5926" w:rsidP="00855F1C">
      <w:pPr>
        <w:ind w:left="-142" w:right="-518"/>
        <w:jc w:val="both"/>
        <w:rPr>
          <w:rFonts w:ascii="Arial" w:hAnsi="Arial" w:cs="Arial"/>
        </w:rPr>
      </w:pPr>
    </w:p>
    <w:p w:rsidR="00BA5926" w:rsidRPr="00855F1C" w:rsidRDefault="00BA5926" w:rsidP="00855F1C">
      <w:pPr>
        <w:ind w:left="-142" w:right="-518"/>
        <w:jc w:val="both"/>
        <w:rPr>
          <w:rFonts w:ascii="Arial" w:hAnsi="Arial" w:cs="Arial"/>
        </w:rPr>
      </w:pPr>
      <w:r w:rsidRPr="00855F1C">
        <w:rPr>
          <w:rFonts w:ascii="Arial" w:hAnsi="Arial" w:cs="Arial"/>
        </w:rPr>
        <w:t>De acuerdo con la información consignada por el Ministerio en el formulario de variaciones trimestrales significativas a 31 de diciembre de 2022, la variación obedece al crecimiento de $80.714,7 en las reservas probadas de minas y de $35.692,2 en las de yacimientos. Estas variaciones fueron; originadas por el alza de los precios que sirven en la liquidación de regalías del carbón, minerales metálicos e hidrocarburos, así como por el aumento en la TRM a la fecha de medición.</w:t>
      </w:r>
    </w:p>
    <w:p w:rsidR="00BA5926" w:rsidRPr="00855F1C" w:rsidRDefault="00BA5926" w:rsidP="00855F1C">
      <w:pPr>
        <w:ind w:left="-142" w:right="-518"/>
        <w:jc w:val="both"/>
        <w:rPr>
          <w:rFonts w:ascii="Arial" w:hAnsi="Arial" w:cs="Arial"/>
        </w:rPr>
      </w:pPr>
    </w:p>
    <w:p w:rsidR="00BA5926" w:rsidRPr="00855F1C" w:rsidRDefault="00BA5926" w:rsidP="00855F1C">
      <w:pPr>
        <w:ind w:left="-142" w:right="-518"/>
        <w:jc w:val="both"/>
        <w:rPr>
          <w:rFonts w:ascii="Arial" w:hAnsi="Arial" w:cs="Arial"/>
        </w:rPr>
      </w:pPr>
      <w:r w:rsidRPr="00855F1C">
        <w:rPr>
          <w:rFonts w:ascii="Arial" w:hAnsi="Arial" w:cs="Arial"/>
        </w:rPr>
        <w:t>De igual manera, el Ministerio se refiere al incremento de $16.161,1 en el Agotamiento acumulado de reservas probadas de minas y yacimientos, por la amortización reconocida por concepto de regalías recibidas por explotación de minerales reportada por la Agencia Nacional de Hidrocarburos.</w:t>
      </w:r>
    </w:p>
    <w:p w:rsidR="00BA5926" w:rsidRDefault="00BA5926" w:rsidP="00855F1C">
      <w:pPr>
        <w:ind w:left="-142" w:right="-518"/>
        <w:jc w:val="both"/>
        <w:rPr>
          <w:rFonts w:ascii="Arial" w:hAnsi="Arial" w:cs="Arial"/>
          <w:b/>
          <w:sz w:val="28"/>
          <w:szCs w:val="28"/>
        </w:rPr>
      </w:pPr>
    </w:p>
    <w:p w:rsidR="00A62E89" w:rsidRPr="00A62E89" w:rsidRDefault="00A62E89" w:rsidP="00A62E89">
      <w:pPr>
        <w:ind w:left="-142" w:right="-518"/>
        <w:jc w:val="both"/>
        <w:rPr>
          <w:rFonts w:ascii="Arial" w:hAnsi="Arial" w:cs="Arial"/>
          <w:b/>
          <w:sz w:val="28"/>
          <w:szCs w:val="28"/>
        </w:rPr>
      </w:pPr>
      <w:r w:rsidRPr="00A62E89">
        <w:rPr>
          <w:rFonts w:ascii="Arial" w:hAnsi="Arial" w:cs="Arial"/>
          <w:b/>
          <w:sz w:val="28"/>
          <w:szCs w:val="28"/>
        </w:rPr>
        <w:t xml:space="preserve">NOTA 19.- </w:t>
      </w:r>
      <w:bookmarkStart w:id="113" w:name="_Toc103328346"/>
      <w:bookmarkStart w:id="114" w:name="_Toc135044712"/>
      <w:r w:rsidRPr="00A62E89">
        <w:rPr>
          <w:rFonts w:ascii="Arial" w:hAnsi="Arial" w:cs="Arial"/>
          <w:b/>
          <w:sz w:val="28"/>
          <w:szCs w:val="28"/>
        </w:rPr>
        <w:t>Emisión y colocación de títulos de deuda</w:t>
      </w:r>
      <w:bookmarkEnd w:id="113"/>
      <w:r w:rsidRPr="00A62E89">
        <w:rPr>
          <w:rFonts w:ascii="Arial" w:hAnsi="Arial" w:cs="Arial"/>
          <w:b/>
          <w:sz w:val="28"/>
          <w:szCs w:val="28"/>
        </w:rPr>
        <w:t xml:space="preserve"> – ECTD</w:t>
      </w:r>
      <w:bookmarkEnd w:id="114"/>
      <w:r w:rsidRPr="00A62E89">
        <w:rPr>
          <w:rFonts w:ascii="Arial" w:hAnsi="Arial" w:cs="Arial"/>
          <w:b/>
          <w:sz w:val="28"/>
          <w:szCs w:val="28"/>
        </w:rPr>
        <w:t>.</w:t>
      </w:r>
    </w:p>
    <w:p w:rsidR="00A62E89" w:rsidRPr="00A320BE" w:rsidRDefault="00A62E89" w:rsidP="00A62E89">
      <w:pPr>
        <w:ind w:left="-142" w:right="-518"/>
        <w:jc w:val="both"/>
      </w:pPr>
    </w:p>
    <w:p w:rsidR="00A62E89" w:rsidRPr="00A62E89" w:rsidRDefault="00A62E89" w:rsidP="00A62E89">
      <w:pPr>
        <w:ind w:left="-142" w:right="-518"/>
        <w:contextualSpacing/>
        <w:jc w:val="both"/>
        <w:rPr>
          <w:rFonts w:ascii="Arial" w:hAnsi="Arial" w:cs="Arial"/>
        </w:rPr>
      </w:pPr>
      <w:r w:rsidRPr="00A62E89">
        <w:rPr>
          <w:rFonts w:ascii="Arial" w:hAnsi="Arial" w:cs="Arial"/>
        </w:rPr>
        <w:t xml:space="preserve">En el Estado de Situación Financiera Consolidado del nivel nacional se observa el grupo Emisión y colocación de títulos de deuda, el cual hace parte de los Pasivos. En la siguiente tabla se presentan, comparativamente con el año anterior, los conceptos a nivel agregado de las cuentas que registraron los mayores valores reportados por las entidades, que incluye el efecto de las eliminaciones y </w:t>
      </w:r>
      <w:r w:rsidRPr="00A62E89">
        <w:rPr>
          <w:rFonts w:ascii="Arial" w:hAnsi="Arial" w:cs="Arial"/>
        </w:rPr>
        <w:lastRenderedPageBreak/>
        <w:t>reclasificaciones aplicados en el proceso de consolidación, para determinar la cifra consolidada para el año 2022.</w:t>
      </w:r>
    </w:p>
    <w:p w:rsidR="00A62E89" w:rsidRPr="00A62E89" w:rsidRDefault="00A62E89" w:rsidP="00A62E89">
      <w:pPr>
        <w:ind w:left="-142" w:right="-518"/>
        <w:contextualSpacing/>
        <w:jc w:val="both"/>
        <w:rPr>
          <w:rFonts w:ascii="Arial" w:hAnsi="Arial" w:cs="Arial"/>
        </w:rPr>
      </w:pPr>
    </w:p>
    <w:p w:rsidR="00A62E89" w:rsidRDefault="00A62E89" w:rsidP="00A62E89">
      <w:pPr>
        <w:pStyle w:val="Descripcin"/>
        <w:ind w:left="-142" w:right="-518"/>
        <w:jc w:val="center"/>
        <w:rPr>
          <w:rFonts w:ascii="Arial" w:hAnsi="Arial" w:cs="Arial"/>
          <w:color w:val="auto"/>
          <w:sz w:val="24"/>
          <w:szCs w:val="24"/>
        </w:rPr>
      </w:pPr>
      <w:bookmarkStart w:id="115" w:name="_Toc135044821"/>
      <w:r w:rsidRPr="00A62E89">
        <w:rPr>
          <w:rFonts w:ascii="Arial" w:hAnsi="Arial" w:cs="Arial"/>
          <w:color w:val="auto"/>
          <w:sz w:val="24"/>
          <w:szCs w:val="24"/>
        </w:rPr>
        <w:t xml:space="preserve">Tabla </w:t>
      </w:r>
      <w:r w:rsidRPr="00A62E89">
        <w:rPr>
          <w:rFonts w:ascii="Arial" w:hAnsi="Arial" w:cs="Arial"/>
          <w:color w:val="auto"/>
          <w:sz w:val="24"/>
          <w:szCs w:val="24"/>
        </w:rPr>
        <w:fldChar w:fldCharType="begin"/>
      </w:r>
      <w:r w:rsidRPr="00A62E89">
        <w:rPr>
          <w:rFonts w:ascii="Arial" w:hAnsi="Arial" w:cs="Arial"/>
          <w:color w:val="auto"/>
          <w:sz w:val="24"/>
          <w:szCs w:val="24"/>
        </w:rPr>
        <w:instrText xml:space="preserve"> STYLEREF 1 \s </w:instrText>
      </w:r>
      <w:r w:rsidRPr="00A62E89">
        <w:rPr>
          <w:rFonts w:ascii="Arial" w:hAnsi="Arial" w:cs="Arial"/>
          <w:color w:val="auto"/>
          <w:sz w:val="24"/>
          <w:szCs w:val="24"/>
        </w:rPr>
        <w:fldChar w:fldCharType="separate"/>
      </w:r>
      <w:r w:rsidRPr="00A62E89">
        <w:rPr>
          <w:rFonts w:ascii="Arial" w:hAnsi="Arial" w:cs="Arial"/>
          <w:noProof/>
          <w:color w:val="auto"/>
          <w:sz w:val="24"/>
          <w:szCs w:val="24"/>
        </w:rPr>
        <w:t>4</w:t>
      </w:r>
      <w:r w:rsidRPr="00A62E89">
        <w:rPr>
          <w:rFonts w:ascii="Arial" w:hAnsi="Arial" w:cs="Arial"/>
          <w:noProof/>
          <w:color w:val="auto"/>
          <w:sz w:val="24"/>
          <w:szCs w:val="24"/>
        </w:rPr>
        <w:fldChar w:fldCharType="end"/>
      </w:r>
      <w:r w:rsidRPr="00A62E89">
        <w:rPr>
          <w:rFonts w:ascii="Arial" w:hAnsi="Arial" w:cs="Arial"/>
          <w:color w:val="auto"/>
          <w:sz w:val="24"/>
          <w:szCs w:val="24"/>
        </w:rPr>
        <w:noBreakHyphen/>
      </w:r>
      <w:r w:rsidRPr="00A62E89">
        <w:rPr>
          <w:rFonts w:ascii="Arial" w:hAnsi="Arial" w:cs="Arial"/>
          <w:color w:val="auto"/>
          <w:sz w:val="24"/>
          <w:szCs w:val="24"/>
        </w:rPr>
        <w:fldChar w:fldCharType="begin"/>
      </w:r>
      <w:r w:rsidRPr="00A62E89">
        <w:rPr>
          <w:rFonts w:ascii="Arial" w:hAnsi="Arial" w:cs="Arial"/>
          <w:color w:val="auto"/>
          <w:sz w:val="24"/>
          <w:szCs w:val="24"/>
        </w:rPr>
        <w:instrText xml:space="preserve"> SEQ Tabla \* ARABIC \s 1 </w:instrText>
      </w:r>
      <w:r w:rsidRPr="00A62E89">
        <w:rPr>
          <w:rFonts w:ascii="Arial" w:hAnsi="Arial" w:cs="Arial"/>
          <w:color w:val="auto"/>
          <w:sz w:val="24"/>
          <w:szCs w:val="24"/>
        </w:rPr>
        <w:fldChar w:fldCharType="separate"/>
      </w:r>
      <w:r w:rsidRPr="00A62E89">
        <w:rPr>
          <w:rFonts w:ascii="Arial" w:hAnsi="Arial" w:cs="Arial"/>
          <w:noProof/>
          <w:color w:val="auto"/>
          <w:sz w:val="24"/>
          <w:szCs w:val="24"/>
        </w:rPr>
        <w:t>58</w:t>
      </w:r>
      <w:r w:rsidRPr="00A62E89">
        <w:rPr>
          <w:rFonts w:ascii="Arial" w:hAnsi="Arial" w:cs="Arial"/>
          <w:noProof/>
          <w:color w:val="auto"/>
          <w:sz w:val="24"/>
          <w:szCs w:val="24"/>
        </w:rPr>
        <w:fldChar w:fldCharType="end"/>
      </w:r>
      <w:r w:rsidRPr="00A62E89">
        <w:rPr>
          <w:rFonts w:ascii="Arial" w:hAnsi="Arial" w:cs="Arial"/>
          <w:color w:val="auto"/>
          <w:sz w:val="24"/>
          <w:szCs w:val="24"/>
        </w:rPr>
        <w:t xml:space="preserve"> Emisión y colocación de títulos de deuda (ECTD) – Composición</w:t>
      </w:r>
      <w:bookmarkEnd w:id="115"/>
    </w:p>
    <w:p w:rsidR="00A62E89" w:rsidRPr="00A62E89" w:rsidRDefault="00A62E89" w:rsidP="00A62E89">
      <w:pPr>
        <w:rPr>
          <w:lang w:val="es-CO" w:eastAsia="en-US"/>
        </w:rPr>
      </w:pPr>
    </w:p>
    <w:p w:rsidR="00A62E89" w:rsidRPr="00A320BE" w:rsidRDefault="00A62E89" w:rsidP="00A62E89">
      <w:pPr>
        <w:contextualSpacing/>
        <w:jc w:val="both"/>
      </w:pPr>
      <w:r w:rsidRPr="00A320BE">
        <w:rPr>
          <w:noProof/>
          <w:lang w:val="es-CO" w:eastAsia="es-CO"/>
        </w:rPr>
        <w:drawing>
          <wp:inline distT="0" distB="0" distL="0" distR="0" wp14:anchorId="7A7CD248" wp14:editId="219C0513">
            <wp:extent cx="5943600" cy="1964690"/>
            <wp:effectExtent l="0" t="0" r="0" b="0"/>
            <wp:docPr id="549543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t="7198"/>
                    <a:stretch/>
                  </pic:blipFill>
                  <pic:spPr bwMode="auto">
                    <a:xfrm>
                      <a:off x="0" y="0"/>
                      <a:ext cx="5943600" cy="1964690"/>
                    </a:xfrm>
                    <a:prstGeom prst="rect">
                      <a:avLst/>
                    </a:prstGeom>
                    <a:noFill/>
                    <a:ln>
                      <a:noFill/>
                    </a:ln>
                    <a:extLst>
                      <a:ext uri="{53640926-AAD7-44D8-BBD7-CCE9431645EC}">
                        <a14:shadowObscured xmlns:a14="http://schemas.microsoft.com/office/drawing/2010/main"/>
                      </a:ext>
                    </a:extLst>
                  </pic:spPr>
                </pic:pic>
              </a:graphicData>
            </a:graphic>
          </wp:inline>
        </w:drawing>
      </w:r>
    </w:p>
    <w:p w:rsidR="00A62E89" w:rsidRPr="00A320BE" w:rsidRDefault="00A62E89" w:rsidP="00A62E89">
      <w:pPr>
        <w:contextualSpacing/>
        <w:jc w:val="both"/>
        <w:rPr>
          <w:color w:val="000000" w:themeColor="text1"/>
        </w:rPr>
      </w:pPr>
    </w:p>
    <w:p w:rsidR="00A62E89" w:rsidRDefault="00A62E89" w:rsidP="00A62E89">
      <w:pPr>
        <w:ind w:left="-142" w:right="-518"/>
        <w:jc w:val="both"/>
        <w:rPr>
          <w:rFonts w:ascii="Arial" w:hAnsi="Arial" w:cs="Arial"/>
        </w:rPr>
      </w:pPr>
      <w:r w:rsidRPr="00A62E89">
        <w:rPr>
          <w:rFonts w:ascii="Arial" w:hAnsi="Arial" w:cs="Arial"/>
          <w:b/>
          <w:color w:val="000000" w:themeColor="text1"/>
          <w:u w:val="single"/>
        </w:rPr>
        <w:t>Como se observa, a 31 de diciembre de 2022 el grupo de Emisión y colocación de títulos de deuda alcanzó la suma agregada de $727.395,8</w:t>
      </w:r>
      <w:r w:rsidRPr="00A62E89">
        <w:rPr>
          <w:rFonts w:ascii="Arial" w:hAnsi="Arial" w:cs="Arial"/>
          <w:color w:val="000000" w:themeColor="text1"/>
        </w:rPr>
        <w:t>; entre los conceptos a nivel agregado con mayor importancia relativa, en relación con el año anterior, se encuentran: Financiamiento interno de largo plazo por $453.921,0 con un incremento del 10,4% equivalente a $42.789,5, le sigue el Financiamiento externo de largo plazo por $224.375,0, con una variación positiva del 18,4% equivalente a $34.878,2.</w:t>
      </w:r>
      <w:r>
        <w:rPr>
          <w:rFonts w:ascii="Arial" w:hAnsi="Arial" w:cs="Arial"/>
          <w:color w:val="000000" w:themeColor="text1"/>
        </w:rPr>
        <w:t xml:space="preserve"> </w:t>
      </w:r>
      <w:r>
        <w:rPr>
          <w:rFonts w:ascii="Arial" w:hAnsi="Arial" w:cs="Arial"/>
        </w:rPr>
        <w:t>(Subrayado y resaltado fuera de texto).</w:t>
      </w:r>
    </w:p>
    <w:p w:rsidR="00A62E89" w:rsidRPr="00A62E89" w:rsidRDefault="00A62E89" w:rsidP="00A62E89">
      <w:pPr>
        <w:ind w:left="-142" w:right="-518"/>
        <w:contextualSpacing/>
        <w:jc w:val="both"/>
        <w:rPr>
          <w:rFonts w:ascii="Arial" w:hAnsi="Arial" w:cs="Arial"/>
          <w:color w:val="000000" w:themeColor="text1"/>
        </w:rPr>
      </w:pPr>
    </w:p>
    <w:p w:rsidR="00A62E89" w:rsidRDefault="00A62E89" w:rsidP="00A62E89">
      <w:pPr>
        <w:ind w:left="-142" w:right="-518"/>
        <w:contextualSpacing/>
        <w:jc w:val="both"/>
        <w:rPr>
          <w:rFonts w:ascii="Arial" w:hAnsi="Arial" w:cs="Arial"/>
          <w:color w:val="000000" w:themeColor="text1"/>
        </w:rPr>
      </w:pPr>
      <w:r w:rsidRPr="00A62E89">
        <w:rPr>
          <w:rFonts w:ascii="Arial" w:hAnsi="Arial" w:cs="Arial"/>
          <w:color w:val="000000" w:themeColor="text1"/>
        </w:rPr>
        <w:t>Una vez ejecutado el proceso de consolidación se presenta la disminución por el efecto neto de Eliminaciones y reclasificaciones de ($</w:t>
      </w:r>
      <w:r w:rsidRPr="00A62E89">
        <w:rPr>
          <w:rFonts w:ascii="Arial" w:hAnsi="Arial" w:cs="Arial"/>
        </w:rPr>
        <w:t xml:space="preserve">37.553,0), con lo que </w:t>
      </w:r>
      <w:r w:rsidRPr="00A62E89">
        <w:rPr>
          <w:rFonts w:ascii="Arial" w:hAnsi="Arial" w:cs="Arial"/>
          <w:color w:val="000000" w:themeColor="text1"/>
        </w:rPr>
        <w:t>se obtiene un saldo final consolidado de $689.842,8, que representa el 34,2% del total del Pasivo del nivel nacional que asciende a la suma de $2.014.333,1.</w:t>
      </w:r>
    </w:p>
    <w:p w:rsidR="00982D3F" w:rsidRDefault="00982D3F" w:rsidP="00A62E89">
      <w:pPr>
        <w:ind w:left="-142" w:right="-518"/>
        <w:contextualSpacing/>
        <w:jc w:val="both"/>
        <w:rPr>
          <w:rFonts w:ascii="Arial" w:hAnsi="Arial" w:cs="Arial"/>
          <w:color w:val="000000" w:themeColor="text1"/>
        </w:rPr>
      </w:pPr>
    </w:p>
    <w:p w:rsidR="00982D3F" w:rsidRPr="00982D3F" w:rsidRDefault="00982D3F" w:rsidP="00982D3F">
      <w:pPr>
        <w:ind w:left="-142" w:right="-518"/>
        <w:contextualSpacing/>
        <w:jc w:val="both"/>
        <w:rPr>
          <w:rFonts w:ascii="Arial" w:hAnsi="Arial" w:cs="Arial"/>
          <w:b/>
          <w:sz w:val="28"/>
          <w:szCs w:val="28"/>
        </w:rPr>
      </w:pPr>
      <w:r w:rsidRPr="00982D3F">
        <w:rPr>
          <w:rFonts w:ascii="Arial" w:hAnsi="Arial" w:cs="Arial"/>
          <w:b/>
          <w:color w:val="000000" w:themeColor="text1"/>
          <w:sz w:val="28"/>
          <w:szCs w:val="28"/>
        </w:rPr>
        <w:t xml:space="preserve">NOTA 21.- </w:t>
      </w:r>
      <w:bookmarkStart w:id="116" w:name="_Toc103328348"/>
      <w:bookmarkStart w:id="117" w:name="_Toc135044714"/>
      <w:r w:rsidRPr="00982D3F">
        <w:rPr>
          <w:rFonts w:ascii="Arial" w:hAnsi="Arial" w:cs="Arial"/>
          <w:b/>
          <w:sz w:val="28"/>
          <w:szCs w:val="28"/>
        </w:rPr>
        <w:t>Préstamos por pagar</w:t>
      </w:r>
      <w:bookmarkEnd w:id="116"/>
      <w:r w:rsidRPr="00982D3F">
        <w:rPr>
          <w:rFonts w:ascii="Arial" w:hAnsi="Arial" w:cs="Arial"/>
          <w:b/>
          <w:sz w:val="28"/>
          <w:szCs w:val="28"/>
        </w:rPr>
        <w:t xml:space="preserve"> PxP</w:t>
      </w:r>
      <w:bookmarkEnd w:id="117"/>
      <w:r w:rsidRPr="00982D3F">
        <w:rPr>
          <w:rFonts w:ascii="Arial" w:hAnsi="Arial" w:cs="Arial"/>
          <w:b/>
          <w:sz w:val="28"/>
          <w:szCs w:val="28"/>
        </w:rPr>
        <w:t>.</w:t>
      </w:r>
    </w:p>
    <w:p w:rsidR="00982D3F" w:rsidRDefault="00982D3F" w:rsidP="00982D3F">
      <w:pPr>
        <w:ind w:left="-142" w:right="-518"/>
        <w:contextualSpacing/>
        <w:jc w:val="both"/>
      </w:pPr>
    </w:p>
    <w:p w:rsidR="00982D3F" w:rsidRPr="00982D3F" w:rsidRDefault="00982D3F" w:rsidP="00982D3F">
      <w:pPr>
        <w:ind w:left="-142" w:right="-518"/>
        <w:contextualSpacing/>
        <w:jc w:val="both"/>
        <w:rPr>
          <w:rFonts w:ascii="Arial" w:hAnsi="Arial" w:cs="Arial"/>
        </w:rPr>
      </w:pPr>
      <w:r w:rsidRPr="00982D3F">
        <w:rPr>
          <w:rFonts w:ascii="Arial" w:hAnsi="Arial" w:cs="Arial"/>
        </w:rPr>
        <w:t>Este grupo comprende los recursos financieros recibidos por la entidad para su uso y de los cuales se espera, a futuro, la salida de un flujo financiero fijo o determinable, a través de efectivo, equivalentes al efectivo u otro instrumento. En el Estado de Situación Financiera Consolidado este grupo de cuentas hace parte de los Pasivos.</w:t>
      </w:r>
    </w:p>
    <w:p w:rsidR="00982D3F" w:rsidRPr="00982D3F" w:rsidRDefault="00982D3F" w:rsidP="00982D3F">
      <w:pPr>
        <w:jc w:val="both"/>
        <w:rPr>
          <w:rFonts w:ascii="Arial" w:hAnsi="Arial" w:cs="Arial"/>
        </w:rPr>
      </w:pPr>
    </w:p>
    <w:p w:rsidR="00982D3F" w:rsidRPr="00982D3F" w:rsidRDefault="00982D3F" w:rsidP="00982D3F">
      <w:pPr>
        <w:ind w:left="-142" w:right="-518"/>
        <w:jc w:val="both"/>
        <w:rPr>
          <w:rFonts w:ascii="Arial" w:hAnsi="Arial" w:cs="Arial"/>
        </w:rPr>
      </w:pPr>
      <w:r w:rsidRPr="00982D3F">
        <w:rPr>
          <w:rFonts w:ascii="Arial" w:hAnsi="Arial" w:cs="Arial"/>
        </w:rPr>
        <w:t>En la siguiente tabla se presentan, de forma comparativa con el año anterior, los conceptos a nivel de cuenta que registraron los mayores valores para el año 2022.</w:t>
      </w:r>
    </w:p>
    <w:p w:rsidR="00982D3F" w:rsidRPr="00982D3F" w:rsidRDefault="00982D3F" w:rsidP="00982D3F">
      <w:pPr>
        <w:jc w:val="both"/>
        <w:rPr>
          <w:rFonts w:ascii="Arial" w:hAnsi="Arial" w:cs="Arial"/>
        </w:rPr>
      </w:pPr>
    </w:p>
    <w:p w:rsidR="00982D3F" w:rsidRPr="00982D3F" w:rsidRDefault="00982D3F" w:rsidP="00982D3F">
      <w:pPr>
        <w:pStyle w:val="Descripcin"/>
        <w:jc w:val="center"/>
        <w:rPr>
          <w:rFonts w:ascii="Arial" w:hAnsi="Arial" w:cs="Arial"/>
          <w:color w:val="auto"/>
          <w:sz w:val="24"/>
          <w:szCs w:val="24"/>
        </w:rPr>
      </w:pPr>
      <w:bookmarkStart w:id="118" w:name="_Toc135044827"/>
      <w:r w:rsidRPr="00982D3F">
        <w:rPr>
          <w:rFonts w:ascii="Arial" w:hAnsi="Arial" w:cs="Arial"/>
          <w:color w:val="auto"/>
          <w:sz w:val="24"/>
          <w:szCs w:val="24"/>
        </w:rPr>
        <w:t xml:space="preserve">Tabla </w:t>
      </w:r>
      <w:r w:rsidRPr="00982D3F">
        <w:rPr>
          <w:rFonts w:ascii="Arial" w:hAnsi="Arial" w:cs="Arial"/>
          <w:color w:val="auto"/>
          <w:sz w:val="24"/>
          <w:szCs w:val="24"/>
        </w:rPr>
        <w:fldChar w:fldCharType="begin"/>
      </w:r>
      <w:r w:rsidRPr="00982D3F">
        <w:rPr>
          <w:rFonts w:ascii="Arial" w:hAnsi="Arial" w:cs="Arial"/>
          <w:color w:val="auto"/>
          <w:sz w:val="24"/>
          <w:szCs w:val="24"/>
        </w:rPr>
        <w:instrText xml:space="preserve"> STYLEREF 1 \s </w:instrText>
      </w:r>
      <w:r w:rsidRPr="00982D3F">
        <w:rPr>
          <w:rFonts w:ascii="Arial" w:hAnsi="Arial" w:cs="Arial"/>
          <w:color w:val="auto"/>
          <w:sz w:val="24"/>
          <w:szCs w:val="24"/>
        </w:rPr>
        <w:fldChar w:fldCharType="separate"/>
      </w:r>
      <w:r w:rsidRPr="00982D3F">
        <w:rPr>
          <w:rFonts w:ascii="Arial" w:hAnsi="Arial" w:cs="Arial"/>
          <w:noProof/>
          <w:color w:val="auto"/>
          <w:sz w:val="24"/>
          <w:szCs w:val="24"/>
        </w:rPr>
        <w:t>4</w:t>
      </w:r>
      <w:r w:rsidRPr="00982D3F">
        <w:rPr>
          <w:rFonts w:ascii="Arial" w:hAnsi="Arial" w:cs="Arial"/>
          <w:noProof/>
          <w:color w:val="auto"/>
          <w:sz w:val="24"/>
          <w:szCs w:val="24"/>
        </w:rPr>
        <w:fldChar w:fldCharType="end"/>
      </w:r>
      <w:r w:rsidRPr="00982D3F">
        <w:rPr>
          <w:rFonts w:ascii="Arial" w:hAnsi="Arial" w:cs="Arial"/>
          <w:color w:val="auto"/>
          <w:sz w:val="24"/>
          <w:szCs w:val="24"/>
        </w:rPr>
        <w:noBreakHyphen/>
      </w:r>
      <w:r w:rsidRPr="00982D3F">
        <w:rPr>
          <w:rFonts w:ascii="Arial" w:hAnsi="Arial" w:cs="Arial"/>
          <w:color w:val="auto"/>
          <w:sz w:val="24"/>
          <w:szCs w:val="24"/>
        </w:rPr>
        <w:fldChar w:fldCharType="begin"/>
      </w:r>
      <w:r w:rsidRPr="00982D3F">
        <w:rPr>
          <w:rFonts w:ascii="Arial" w:hAnsi="Arial" w:cs="Arial"/>
          <w:color w:val="auto"/>
          <w:sz w:val="24"/>
          <w:szCs w:val="24"/>
        </w:rPr>
        <w:instrText xml:space="preserve"> SEQ Tabla \* ARABIC \s 1 </w:instrText>
      </w:r>
      <w:r w:rsidRPr="00982D3F">
        <w:rPr>
          <w:rFonts w:ascii="Arial" w:hAnsi="Arial" w:cs="Arial"/>
          <w:color w:val="auto"/>
          <w:sz w:val="24"/>
          <w:szCs w:val="24"/>
        </w:rPr>
        <w:fldChar w:fldCharType="separate"/>
      </w:r>
      <w:r w:rsidRPr="00982D3F">
        <w:rPr>
          <w:rFonts w:ascii="Arial" w:hAnsi="Arial" w:cs="Arial"/>
          <w:noProof/>
          <w:color w:val="auto"/>
          <w:sz w:val="24"/>
          <w:szCs w:val="24"/>
        </w:rPr>
        <w:t>64</w:t>
      </w:r>
      <w:r w:rsidRPr="00982D3F">
        <w:rPr>
          <w:rFonts w:ascii="Arial" w:hAnsi="Arial" w:cs="Arial"/>
          <w:noProof/>
          <w:color w:val="auto"/>
          <w:sz w:val="24"/>
          <w:szCs w:val="24"/>
        </w:rPr>
        <w:fldChar w:fldCharType="end"/>
      </w:r>
      <w:r w:rsidRPr="00982D3F">
        <w:rPr>
          <w:rFonts w:ascii="Arial" w:hAnsi="Arial" w:cs="Arial"/>
          <w:color w:val="auto"/>
          <w:sz w:val="24"/>
          <w:szCs w:val="24"/>
        </w:rPr>
        <w:t xml:space="preserve"> Préstamos por pagar (PxP) – Composición</w:t>
      </w:r>
      <w:bookmarkEnd w:id="118"/>
    </w:p>
    <w:p w:rsidR="00982D3F" w:rsidRPr="00A320BE" w:rsidRDefault="00982D3F" w:rsidP="00982D3F">
      <w:pPr>
        <w:pStyle w:val="Textoindependiente"/>
        <w:jc w:val="center"/>
        <w:rPr>
          <w:rFonts w:ascii="Montserrat Medium" w:hAnsi="Montserrat Medium"/>
          <w:lang w:val="es-CO"/>
        </w:rPr>
      </w:pPr>
      <w:r w:rsidRPr="00A320BE">
        <w:rPr>
          <w:noProof/>
          <w:lang w:val="es-CO" w:eastAsia="es-CO"/>
        </w:rPr>
        <w:lastRenderedPageBreak/>
        <w:drawing>
          <wp:inline distT="0" distB="0" distL="0" distR="0" wp14:anchorId="366AB71A" wp14:editId="36FF2D9F">
            <wp:extent cx="5943600" cy="2000885"/>
            <wp:effectExtent l="0" t="0" r="0" b="0"/>
            <wp:docPr id="760850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t="9010"/>
                    <a:stretch/>
                  </pic:blipFill>
                  <pic:spPr bwMode="auto">
                    <a:xfrm>
                      <a:off x="0" y="0"/>
                      <a:ext cx="5943600" cy="2000885"/>
                    </a:xfrm>
                    <a:prstGeom prst="rect">
                      <a:avLst/>
                    </a:prstGeom>
                    <a:noFill/>
                    <a:ln>
                      <a:noFill/>
                    </a:ln>
                    <a:extLst>
                      <a:ext uri="{53640926-AAD7-44D8-BBD7-CCE9431645EC}">
                        <a14:shadowObscured xmlns:a14="http://schemas.microsoft.com/office/drawing/2010/main"/>
                      </a:ext>
                    </a:extLst>
                  </pic:spPr>
                </pic:pic>
              </a:graphicData>
            </a:graphic>
          </wp:inline>
        </w:drawing>
      </w:r>
    </w:p>
    <w:p w:rsidR="00982D3F" w:rsidRPr="00A320BE" w:rsidRDefault="00982D3F" w:rsidP="00982D3F">
      <w:pPr>
        <w:pStyle w:val="Textoindependiente"/>
        <w:jc w:val="center"/>
        <w:rPr>
          <w:rFonts w:ascii="Montserrat Medium" w:hAnsi="Montserrat Medium"/>
          <w:lang w:val="es-CO"/>
        </w:rPr>
      </w:pPr>
    </w:p>
    <w:p w:rsidR="00745452" w:rsidRDefault="00982D3F" w:rsidP="00745452">
      <w:pPr>
        <w:ind w:left="-142" w:right="-518"/>
        <w:jc w:val="both"/>
        <w:rPr>
          <w:rFonts w:ascii="Arial" w:hAnsi="Arial" w:cs="Arial"/>
        </w:rPr>
      </w:pPr>
      <w:r w:rsidRPr="00745452">
        <w:rPr>
          <w:rFonts w:ascii="Arial" w:hAnsi="Arial" w:cs="Arial"/>
          <w:b/>
          <w:u w:val="single"/>
          <w:lang w:val="es-CO"/>
        </w:rPr>
        <w:t>Como se observa, a 31 de diciembre de 2022 el grupo de Préstamos por pagar alcanzó la suma agregada de $305.377,9</w:t>
      </w:r>
      <w:r w:rsidRPr="00982D3F">
        <w:rPr>
          <w:rFonts w:ascii="Arial" w:hAnsi="Arial" w:cs="Arial"/>
          <w:lang w:val="es-CO"/>
        </w:rPr>
        <w:t xml:space="preserve">. Una vez ejecutado el proceso de consolidación se presenta el efecto neto de eliminaciones y reclasificaciones de ($22.903,5), obteniendo un saldo final consolidado de $282.474,4 que representa el 14,0% del total del valor del pasivo. </w:t>
      </w:r>
      <w:r w:rsidR="00745452">
        <w:rPr>
          <w:rFonts w:ascii="Arial" w:hAnsi="Arial" w:cs="Arial"/>
        </w:rPr>
        <w:t>(Subrayado y resaltado fuera de texto).</w:t>
      </w:r>
    </w:p>
    <w:p w:rsidR="00745452" w:rsidRPr="00A62E89" w:rsidRDefault="00745452" w:rsidP="00745452">
      <w:pPr>
        <w:ind w:left="-142" w:right="-518"/>
        <w:contextualSpacing/>
        <w:jc w:val="both"/>
        <w:rPr>
          <w:rFonts w:ascii="Arial" w:hAnsi="Arial" w:cs="Arial"/>
          <w:color w:val="000000" w:themeColor="text1"/>
        </w:rPr>
      </w:pPr>
    </w:p>
    <w:p w:rsidR="00AA6BB0" w:rsidRPr="00AA6BB0" w:rsidRDefault="00AA6BB0" w:rsidP="00AA6BB0">
      <w:pPr>
        <w:ind w:left="-142" w:right="-518"/>
        <w:jc w:val="both"/>
        <w:rPr>
          <w:rFonts w:ascii="Arial" w:hAnsi="Arial" w:cs="Arial"/>
          <w:b/>
          <w:sz w:val="28"/>
          <w:szCs w:val="28"/>
        </w:rPr>
      </w:pPr>
      <w:r w:rsidRPr="00AA6BB0">
        <w:rPr>
          <w:rFonts w:ascii="Arial" w:hAnsi="Arial" w:cs="Arial"/>
          <w:b/>
          <w:sz w:val="28"/>
          <w:szCs w:val="28"/>
        </w:rPr>
        <w:t>Entidades que registran los mayores valores de Préstamos por pagar – Pasivos.</w:t>
      </w:r>
    </w:p>
    <w:p w:rsidR="00AA6BB0" w:rsidRPr="00AA6BB0" w:rsidRDefault="00AA6BB0" w:rsidP="00AA6BB0">
      <w:pPr>
        <w:ind w:left="-142" w:right="-518"/>
        <w:rPr>
          <w:rFonts w:ascii="Arial" w:hAnsi="Arial" w:cs="Arial"/>
        </w:rPr>
      </w:pPr>
    </w:p>
    <w:p w:rsidR="00AA6BB0" w:rsidRPr="00AA6BB0" w:rsidRDefault="00AA6BB0" w:rsidP="00AA6BB0">
      <w:pPr>
        <w:ind w:left="-142" w:right="-518"/>
        <w:jc w:val="both"/>
        <w:rPr>
          <w:rFonts w:ascii="Arial" w:hAnsi="Arial" w:cs="Arial"/>
        </w:rPr>
      </w:pPr>
      <w:r w:rsidRPr="00AA6BB0">
        <w:rPr>
          <w:rFonts w:ascii="Arial" w:hAnsi="Arial" w:cs="Arial"/>
        </w:rPr>
        <w:t>Partiendo del saldo agregado del grupo Préstamos por pagar para el período de análisis, a continuación, se listan las entidades que registran los mayores saldos en los conceptos: Financiamiento externo de largo plazo, Financiamiento interno de largo plazo, Financiamiento interno de corto plazo y Financiamiento externo de corto plazo.</w:t>
      </w:r>
    </w:p>
    <w:p w:rsidR="00AA6BB0" w:rsidRPr="00A320BE" w:rsidRDefault="00AA6BB0" w:rsidP="00AA6BB0">
      <w:pPr>
        <w:jc w:val="both"/>
      </w:pPr>
    </w:p>
    <w:p w:rsidR="00AA6BB0" w:rsidRPr="00AA6BB0" w:rsidRDefault="00AA6BB0" w:rsidP="00AA6BB0">
      <w:pPr>
        <w:pStyle w:val="Descripcin"/>
        <w:jc w:val="center"/>
        <w:rPr>
          <w:rFonts w:ascii="Arial" w:hAnsi="Arial" w:cs="Arial"/>
          <w:color w:val="auto"/>
          <w:sz w:val="24"/>
          <w:szCs w:val="24"/>
        </w:rPr>
      </w:pPr>
      <w:bookmarkStart w:id="119" w:name="_Toc135044829"/>
      <w:r w:rsidRPr="00AA6BB0">
        <w:rPr>
          <w:rFonts w:ascii="Arial" w:hAnsi="Arial" w:cs="Arial"/>
          <w:color w:val="auto"/>
          <w:sz w:val="24"/>
          <w:szCs w:val="24"/>
        </w:rPr>
        <w:t xml:space="preserve">Tabla </w:t>
      </w:r>
      <w:r w:rsidRPr="00AA6BB0">
        <w:rPr>
          <w:rFonts w:ascii="Arial" w:hAnsi="Arial" w:cs="Arial"/>
          <w:color w:val="auto"/>
          <w:sz w:val="24"/>
          <w:szCs w:val="24"/>
        </w:rPr>
        <w:fldChar w:fldCharType="begin"/>
      </w:r>
      <w:r w:rsidRPr="00AA6BB0">
        <w:rPr>
          <w:rFonts w:ascii="Arial" w:hAnsi="Arial" w:cs="Arial"/>
          <w:color w:val="auto"/>
          <w:sz w:val="24"/>
          <w:szCs w:val="24"/>
        </w:rPr>
        <w:instrText xml:space="preserve"> STYLEREF 1 \s </w:instrText>
      </w:r>
      <w:r w:rsidRPr="00AA6BB0">
        <w:rPr>
          <w:rFonts w:ascii="Arial" w:hAnsi="Arial" w:cs="Arial"/>
          <w:color w:val="auto"/>
          <w:sz w:val="24"/>
          <w:szCs w:val="24"/>
        </w:rPr>
        <w:fldChar w:fldCharType="separate"/>
      </w:r>
      <w:r w:rsidRPr="00AA6BB0">
        <w:rPr>
          <w:rFonts w:ascii="Arial" w:hAnsi="Arial" w:cs="Arial"/>
          <w:noProof/>
          <w:color w:val="auto"/>
          <w:sz w:val="24"/>
          <w:szCs w:val="24"/>
        </w:rPr>
        <w:t>4</w:t>
      </w:r>
      <w:r w:rsidRPr="00AA6BB0">
        <w:rPr>
          <w:rFonts w:ascii="Arial" w:hAnsi="Arial" w:cs="Arial"/>
          <w:noProof/>
          <w:color w:val="auto"/>
          <w:sz w:val="24"/>
          <w:szCs w:val="24"/>
        </w:rPr>
        <w:fldChar w:fldCharType="end"/>
      </w:r>
      <w:r w:rsidRPr="00AA6BB0">
        <w:rPr>
          <w:rFonts w:ascii="Arial" w:hAnsi="Arial" w:cs="Arial"/>
          <w:color w:val="auto"/>
          <w:sz w:val="24"/>
          <w:szCs w:val="24"/>
        </w:rPr>
        <w:noBreakHyphen/>
      </w:r>
      <w:r w:rsidRPr="00AA6BB0">
        <w:rPr>
          <w:rFonts w:ascii="Arial" w:hAnsi="Arial" w:cs="Arial"/>
          <w:color w:val="auto"/>
          <w:sz w:val="24"/>
          <w:szCs w:val="24"/>
        </w:rPr>
        <w:fldChar w:fldCharType="begin"/>
      </w:r>
      <w:r w:rsidRPr="00AA6BB0">
        <w:rPr>
          <w:rFonts w:ascii="Arial" w:hAnsi="Arial" w:cs="Arial"/>
          <w:color w:val="auto"/>
          <w:sz w:val="24"/>
          <w:szCs w:val="24"/>
        </w:rPr>
        <w:instrText xml:space="preserve"> SEQ Tabla \* ARABIC \s 1 </w:instrText>
      </w:r>
      <w:r w:rsidRPr="00AA6BB0">
        <w:rPr>
          <w:rFonts w:ascii="Arial" w:hAnsi="Arial" w:cs="Arial"/>
          <w:color w:val="auto"/>
          <w:sz w:val="24"/>
          <w:szCs w:val="24"/>
        </w:rPr>
        <w:fldChar w:fldCharType="separate"/>
      </w:r>
      <w:r w:rsidRPr="00AA6BB0">
        <w:rPr>
          <w:rFonts w:ascii="Arial" w:hAnsi="Arial" w:cs="Arial"/>
          <w:noProof/>
          <w:color w:val="auto"/>
          <w:sz w:val="24"/>
          <w:szCs w:val="24"/>
        </w:rPr>
        <w:t>66</w:t>
      </w:r>
      <w:r w:rsidRPr="00AA6BB0">
        <w:rPr>
          <w:rFonts w:ascii="Arial" w:hAnsi="Arial" w:cs="Arial"/>
          <w:noProof/>
          <w:color w:val="auto"/>
          <w:sz w:val="24"/>
          <w:szCs w:val="24"/>
        </w:rPr>
        <w:fldChar w:fldCharType="end"/>
      </w:r>
      <w:r w:rsidRPr="00AA6BB0">
        <w:rPr>
          <w:rFonts w:ascii="Arial" w:hAnsi="Arial" w:cs="Arial"/>
          <w:color w:val="auto"/>
          <w:sz w:val="24"/>
          <w:szCs w:val="24"/>
        </w:rPr>
        <w:t xml:space="preserve"> PXP - Entidades más representativas</w:t>
      </w:r>
      <w:bookmarkEnd w:id="119"/>
    </w:p>
    <w:p w:rsidR="00AA6BB0" w:rsidRPr="00A320BE" w:rsidRDefault="00AA6BB0" w:rsidP="00AA6BB0">
      <w:pPr>
        <w:pStyle w:val="Textoindependiente"/>
        <w:jc w:val="center"/>
        <w:rPr>
          <w:rFonts w:ascii="Montserrat Medium" w:hAnsi="Montserrat Medium"/>
          <w:lang w:val="es-CO"/>
        </w:rPr>
      </w:pPr>
      <w:r w:rsidRPr="00A320BE">
        <w:rPr>
          <w:rFonts w:ascii="Montserrat Medium" w:hAnsi="Montserrat Medium"/>
          <w:noProof/>
          <w:lang w:val="es-CO" w:eastAsia="es-CO"/>
        </w:rPr>
        <w:lastRenderedPageBreak/>
        <w:drawing>
          <wp:inline distT="0" distB="0" distL="0" distR="0" wp14:anchorId="5FCADA2D" wp14:editId="0420D282">
            <wp:extent cx="5943600" cy="5511165"/>
            <wp:effectExtent l="0" t="0" r="0" b="0"/>
            <wp:docPr id="1537652490" name="Imagen 153765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t="3556"/>
                    <a:stretch/>
                  </pic:blipFill>
                  <pic:spPr bwMode="auto">
                    <a:xfrm>
                      <a:off x="0" y="0"/>
                      <a:ext cx="5943600" cy="5511165"/>
                    </a:xfrm>
                    <a:prstGeom prst="rect">
                      <a:avLst/>
                    </a:prstGeom>
                    <a:noFill/>
                    <a:ln>
                      <a:noFill/>
                    </a:ln>
                    <a:extLst>
                      <a:ext uri="{53640926-AAD7-44D8-BBD7-CCE9431645EC}">
                        <a14:shadowObscured xmlns:a14="http://schemas.microsoft.com/office/drawing/2010/main"/>
                      </a:ext>
                    </a:extLst>
                  </pic:spPr>
                </pic:pic>
              </a:graphicData>
            </a:graphic>
          </wp:inline>
        </w:drawing>
      </w:r>
    </w:p>
    <w:p w:rsidR="00AA6BB0" w:rsidRPr="00A320BE" w:rsidRDefault="00AA6BB0" w:rsidP="00AA6BB0">
      <w:pPr>
        <w:ind w:left="284" w:right="333"/>
        <w:jc w:val="both"/>
        <w:rPr>
          <w:sz w:val="18"/>
          <w:szCs w:val="18"/>
        </w:rPr>
      </w:pPr>
      <w:r w:rsidRPr="00A320BE">
        <w:rPr>
          <w:sz w:val="18"/>
          <w:szCs w:val="18"/>
        </w:rPr>
        <w:t>En la clasificación “Resto de Entidades que reportan” se reflejan los saldos reportados por las demás entidades, los cuales analizados individualmente son inferiores a los reportados por las entidades más representativas.</w:t>
      </w:r>
    </w:p>
    <w:p w:rsidR="00AA6BB0" w:rsidRPr="00A320BE" w:rsidRDefault="00AA6BB0" w:rsidP="00AA6BB0"/>
    <w:p w:rsidR="00AA6BB0" w:rsidRPr="00AA6BB0" w:rsidRDefault="00AA6BB0" w:rsidP="00AA6BB0">
      <w:pPr>
        <w:ind w:left="-142" w:right="-518"/>
        <w:jc w:val="both"/>
        <w:rPr>
          <w:rFonts w:ascii="Arial" w:hAnsi="Arial" w:cs="Arial"/>
        </w:rPr>
      </w:pPr>
      <w:r w:rsidRPr="00AA6BB0">
        <w:rPr>
          <w:rFonts w:ascii="Arial" w:hAnsi="Arial" w:cs="Arial"/>
        </w:rPr>
        <w:t>Es importante mencionar que, de las 343 entidades del nivel nacional consolidadas para el año 2022; 65 entidades reportaron saldos en la cuenta Financiamiento interno de largo plazo, 33 en Financiamiento interno de corto plazo, 12 en Financiamiento externo de largo plazo y 6 en Financiamiento externo de corto plazo.</w:t>
      </w:r>
    </w:p>
    <w:p w:rsidR="00AA6BB0" w:rsidRPr="00AA6BB0" w:rsidRDefault="00AA6BB0" w:rsidP="00AA6BB0">
      <w:pPr>
        <w:ind w:left="-142" w:right="-518"/>
        <w:jc w:val="both"/>
        <w:rPr>
          <w:rFonts w:ascii="Arial" w:hAnsi="Arial" w:cs="Arial"/>
        </w:rPr>
      </w:pPr>
    </w:p>
    <w:p w:rsidR="00AA6BB0" w:rsidRPr="00AA6BB0" w:rsidRDefault="00AA6BB0" w:rsidP="00AA6BB0">
      <w:pPr>
        <w:ind w:left="-142" w:right="-518"/>
        <w:jc w:val="both"/>
        <w:rPr>
          <w:rFonts w:ascii="Arial" w:hAnsi="Arial" w:cs="Arial"/>
        </w:rPr>
      </w:pPr>
      <w:r w:rsidRPr="00AA6BB0">
        <w:rPr>
          <w:rFonts w:ascii="Arial" w:hAnsi="Arial" w:cs="Arial"/>
        </w:rPr>
        <w:t xml:space="preserve">La Dirección General de Crédito Público y Tesoro Nacional (DGCPTN) presenta un saldo de $193.046,8 para 2022 en la cuenta Financiamiento externo de largo plazo, y según sus revelaciones, se debe principalmente, a la “(…) incorporación del saldo de la unidad Deuda Pública por $150.671,9 en la combinación de operaciones entre Deuda Pública y Tesoro Nacional según Resolución No. 064 e instructivo 001 de marzo 30 de 2022 de la CGN(...)”. </w:t>
      </w:r>
    </w:p>
    <w:p w:rsidR="00AA6BB0" w:rsidRPr="00AA6BB0" w:rsidRDefault="00AA6BB0" w:rsidP="00AA6BB0">
      <w:pPr>
        <w:ind w:left="-142" w:right="-518"/>
        <w:jc w:val="both"/>
        <w:rPr>
          <w:rFonts w:ascii="Arial" w:hAnsi="Arial" w:cs="Arial"/>
        </w:rPr>
      </w:pPr>
    </w:p>
    <w:p w:rsidR="00AA6BB0" w:rsidRPr="00AA6BB0" w:rsidRDefault="00AA6BB0" w:rsidP="00AA6BB0">
      <w:pPr>
        <w:ind w:left="-142" w:right="-518"/>
        <w:jc w:val="both"/>
        <w:rPr>
          <w:rFonts w:ascii="Arial" w:hAnsi="Arial" w:cs="Arial"/>
        </w:rPr>
      </w:pPr>
      <w:r w:rsidRPr="00AA6BB0">
        <w:rPr>
          <w:rFonts w:ascii="Arial" w:hAnsi="Arial" w:cs="Arial"/>
        </w:rPr>
        <w:t xml:space="preserve">Respecto a la cuenta Financiamiento interno de corto plazo, la mimas entidad revela saldo de $13.826,4 en el período 2022 presentando un incremento del 150,2% comparado con el año anterior, De acuerdo con las revelaciones de la entidad esta variación proviene de “…los depósitos </w:t>
      </w:r>
      <w:r w:rsidRPr="00AA6BB0">
        <w:rPr>
          <w:rFonts w:ascii="Arial" w:hAnsi="Arial" w:cs="Arial"/>
        </w:rPr>
        <w:lastRenderedPageBreak/>
        <w:t>remunerados de la entidad constituidos con recursos de los fondos administrados, la subcuenta correlativa a estos recursos se encuentra registrada en el activo como Recursos Entregados en Administración”.</w:t>
      </w:r>
    </w:p>
    <w:p w:rsidR="00AA6BB0" w:rsidRPr="00AA6BB0" w:rsidRDefault="00AA6BB0" w:rsidP="00AA6BB0">
      <w:pPr>
        <w:ind w:left="-142" w:right="-518"/>
        <w:jc w:val="both"/>
        <w:rPr>
          <w:rFonts w:ascii="Arial" w:hAnsi="Arial" w:cs="Arial"/>
        </w:rPr>
      </w:pPr>
    </w:p>
    <w:p w:rsidR="00AA6BB0" w:rsidRPr="00AA6BB0" w:rsidRDefault="00AA6BB0" w:rsidP="00AA6BB0">
      <w:pPr>
        <w:ind w:left="-142" w:right="-518"/>
        <w:jc w:val="both"/>
        <w:rPr>
          <w:rFonts w:ascii="Arial" w:hAnsi="Arial" w:cs="Arial"/>
        </w:rPr>
      </w:pPr>
      <w:r w:rsidRPr="00AA6BB0">
        <w:rPr>
          <w:rFonts w:ascii="Arial" w:hAnsi="Arial" w:cs="Arial"/>
        </w:rPr>
        <w:t xml:space="preserve">Por su parte, la Agencia Nacional de Infraestructura presenta un saldo de $21.731,1 en la cuenta de Financiamiento interno de largo plazo, que, con base en sus revelaciones, se debe principalmente a los </w:t>
      </w:r>
    </w:p>
    <w:p w:rsidR="00AA6BB0" w:rsidRPr="00AA6BB0" w:rsidRDefault="00AA6BB0" w:rsidP="00AA6BB0">
      <w:pPr>
        <w:ind w:right="-518"/>
        <w:jc w:val="both"/>
        <w:rPr>
          <w:rFonts w:ascii="Arial" w:hAnsi="Arial" w:cs="Arial"/>
        </w:rPr>
      </w:pPr>
    </w:p>
    <w:p w:rsidR="00AA6BB0" w:rsidRPr="00AA6BB0" w:rsidRDefault="00AA6BB0" w:rsidP="00AA6BB0">
      <w:pPr>
        <w:ind w:left="708" w:right="-518"/>
        <w:jc w:val="both"/>
        <w:rPr>
          <w:rFonts w:ascii="Arial" w:hAnsi="Arial" w:cs="Arial"/>
        </w:rPr>
      </w:pPr>
      <w:r w:rsidRPr="00AA6BB0">
        <w:rPr>
          <w:rFonts w:ascii="Arial" w:hAnsi="Arial" w:cs="Arial"/>
        </w:rPr>
        <w:t xml:space="preserve">“(…) pasivos financieros originados por los acuerdos de concesión para la construcción, desarrollo, adquisición, mejora o rehabilitación de activos en concesión. Dichos pasivos financieros se afectan cuando se presentan alguna de las siguientes situaciones: Por las adiciones de CAPEX (infraestructura) de acuerdo con la actualización del ‘modelo financiero con fines contable’; por la actualización de la carga financiera al final del periodo contable conforme al modelo financiero con fines contables; y por la retribución que se efectúe a los concesionarios privados de acuerdo con lo informado en el formato de Ejecución de Recursos Públicos”. </w:t>
      </w:r>
    </w:p>
    <w:p w:rsidR="00AA6BB0" w:rsidRPr="00AA6BB0" w:rsidRDefault="00AA6BB0" w:rsidP="00AA6BB0">
      <w:pPr>
        <w:ind w:right="-518"/>
        <w:jc w:val="both"/>
        <w:rPr>
          <w:rFonts w:ascii="Arial" w:hAnsi="Arial" w:cs="Arial"/>
        </w:rPr>
      </w:pPr>
    </w:p>
    <w:p w:rsidR="00AA6BB0" w:rsidRPr="00AA6BB0" w:rsidRDefault="00AA6BB0" w:rsidP="00AA6BB0">
      <w:pPr>
        <w:ind w:left="-142" w:right="-518"/>
        <w:jc w:val="both"/>
        <w:rPr>
          <w:rFonts w:ascii="Arial" w:hAnsi="Arial" w:cs="Arial"/>
        </w:rPr>
      </w:pPr>
      <w:r w:rsidRPr="00AA6BB0">
        <w:rPr>
          <w:rFonts w:ascii="Arial" w:hAnsi="Arial" w:cs="Arial"/>
        </w:rPr>
        <w:t>De igual manera, para el cierre de la vigencia 2022, la ANI, presenta un aumento de $8.434,6 equivalente a 63,4% respecto al año 2021.</w:t>
      </w:r>
    </w:p>
    <w:p w:rsidR="00AA6BB0" w:rsidRPr="00AA6BB0" w:rsidRDefault="00AA6BB0" w:rsidP="00AA6BB0">
      <w:pPr>
        <w:ind w:left="-142" w:right="-518"/>
        <w:jc w:val="both"/>
        <w:rPr>
          <w:rFonts w:ascii="Arial" w:hAnsi="Arial" w:cs="Arial"/>
        </w:rPr>
      </w:pPr>
    </w:p>
    <w:p w:rsidR="00AA6BB0" w:rsidRPr="00AA6BB0" w:rsidRDefault="00AA6BB0" w:rsidP="00AA6BB0">
      <w:pPr>
        <w:ind w:left="-142" w:right="-518"/>
        <w:jc w:val="both"/>
        <w:rPr>
          <w:rFonts w:ascii="Arial" w:hAnsi="Arial" w:cs="Arial"/>
        </w:rPr>
      </w:pPr>
      <w:r w:rsidRPr="00AA6BB0">
        <w:rPr>
          <w:rFonts w:ascii="Arial" w:hAnsi="Arial" w:cs="Arial"/>
        </w:rPr>
        <w:t>Por último, Ecopetrol S.A. en la cuenta de Financiamiento externo de corto plazo cierra el período 2022 con un saldo de $6.888,6, presentando un incremento por $5.364,4 comparado con el año 2021. La entidad informa en sus revelaciones que durante 2022 adquirieron nueva deuda, principalmente para el pago anticipado de créditos, producto de la estrategia de Ecopetrol S.A. en la gestión integral de deuda.</w:t>
      </w:r>
    </w:p>
    <w:p w:rsidR="00956A29" w:rsidRDefault="00956A29" w:rsidP="00AA6BB0">
      <w:pPr>
        <w:pStyle w:val="Ttulo6"/>
        <w:ind w:left="-142" w:right="-518"/>
        <w:rPr>
          <w:rFonts w:ascii="Arial" w:hAnsi="Arial" w:cs="Arial"/>
          <w:lang w:eastAsia="es-CO"/>
        </w:rPr>
      </w:pPr>
      <w:bookmarkStart w:id="120" w:name="_Toc103328349"/>
      <w:bookmarkStart w:id="121" w:name="_Toc135044715"/>
    </w:p>
    <w:p w:rsidR="00AA6BB0" w:rsidRPr="003C500B" w:rsidRDefault="003C500B" w:rsidP="00AA6BB0">
      <w:pPr>
        <w:pStyle w:val="Ttulo6"/>
        <w:ind w:left="-142" w:right="-518"/>
        <w:rPr>
          <w:rFonts w:ascii="Arial" w:hAnsi="Arial" w:cs="Arial"/>
          <w:b/>
          <w:color w:val="auto"/>
          <w:sz w:val="28"/>
          <w:szCs w:val="28"/>
          <w:lang w:eastAsia="es-CO"/>
        </w:rPr>
      </w:pPr>
      <w:r w:rsidRPr="003C500B">
        <w:rPr>
          <w:rFonts w:ascii="Arial" w:hAnsi="Arial" w:cs="Arial"/>
          <w:b/>
          <w:color w:val="auto"/>
          <w:sz w:val="28"/>
          <w:szCs w:val="28"/>
          <w:lang w:eastAsia="es-CO"/>
        </w:rPr>
        <w:t xml:space="preserve">NOTA 22.- </w:t>
      </w:r>
      <w:r w:rsidR="00AA6BB0" w:rsidRPr="003C500B">
        <w:rPr>
          <w:rFonts w:ascii="Arial" w:hAnsi="Arial" w:cs="Arial"/>
          <w:b/>
          <w:color w:val="auto"/>
          <w:sz w:val="28"/>
          <w:szCs w:val="28"/>
          <w:lang w:eastAsia="es-CO"/>
        </w:rPr>
        <w:t>Cuentas por pagar</w:t>
      </w:r>
      <w:bookmarkEnd w:id="120"/>
      <w:bookmarkEnd w:id="121"/>
      <w:r w:rsidRPr="003C500B">
        <w:rPr>
          <w:rFonts w:ascii="Arial" w:hAnsi="Arial" w:cs="Arial"/>
          <w:b/>
          <w:color w:val="auto"/>
          <w:sz w:val="28"/>
          <w:szCs w:val="28"/>
          <w:lang w:eastAsia="es-CO"/>
        </w:rPr>
        <w:t>.</w:t>
      </w:r>
    </w:p>
    <w:p w:rsidR="00AA6BB0" w:rsidRPr="00AA6BB0" w:rsidRDefault="00AA6BB0" w:rsidP="00AA6BB0">
      <w:pPr>
        <w:pStyle w:val="Textoindependiente"/>
        <w:spacing w:before="240" w:after="60"/>
        <w:ind w:left="-142" w:right="-518"/>
        <w:jc w:val="both"/>
        <w:rPr>
          <w:rFonts w:ascii="Arial" w:hAnsi="Arial" w:cs="Arial"/>
          <w:sz w:val="24"/>
          <w:lang w:val="es-CO"/>
        </w:rPr>
      </w:pPr>
      <w:r w:rsidRPr="00AA6BB0">
        <w:rPr>
          <w:rFonts w:ascii="Arial" w:hAnsi="Arial" w:cs="Arial"/>
          <w:sz w:val="24"/>
          <w:lang w:val="es-CO"/>
        </w:rPr>
        <w:t>En el Estado de Situación Financiera Consolidado del nivel nacional, se ubica el grupo Cuentas por pagar, el cual hace parte de los Pasivos. En la siguiente tabla se presentan, comparativamente con el año anterior, los conceptos a nivel de cuenta que registraron los mayores valores para el año 2022.</w:t>
      </w:r>
    </w:p>
    <w:p w:rsidR="00AA6BB0" w:rsidRPr="00A320BE" w:rsidRDefault="00AA6BB0" w:rsidP="00AA6BB0">
      <w:pPr>
        <w:pStyle w:val="Textoindependiente"/>
        <w:jc w:val="both"/>
        <w:rPr>
          <w:rFonts w:ascii="Montserrat Medium" w:hAnsi="Montserrat Medium"/>
          <w:szCs w:val="22"/>
          <w:lang w:val="es-CO"/>
        </w:rPr>
      </w:pPr>
    </w:p>
    <w:p w:rsidR="00AA6BB0" w:rsidRDefault="00AA6BB0" w:rsidP="00AA6BB0">
      <w:pPr>
        <w:pStyle w:val="Descripcin"/>
        <w:jc w:val="center"/>
        <w:rPr>
          <w:rFonts w:ascii="Arial" w:hAnsi="Arial" w:cs="Arial"/>
          <w:color w:val="auto"/>
          <w:sz w:val="24"/>
          <w:szCs w:val="24"/>
        </w:rPr>
      </w:pPr>
      <w:bookmarkStart w:id="122" w:name="_Toc135044830"/>
      <w:r w:rsidRPr="00AA6BB0">
        <w:rPr>
          <w:rFonts w:ascii="Arial" w:hAnsi="Arial" w:cs="Arial"/>
          <w:color w:val="auto"/>
          <w:sz w:val="24"/>
          <w:szCs w:val="24"/>
        </w:rPr>
        <w:t xml:space="preserve">Tabla </w:t>
      </w:r>
      <w:r w:rsidRPr="00AA6BB0">
        <w:rPr>
          <w:rFonts w:ascii="Arial" w:hAnsi="Arial" w:cs="Arial"/>
          <w:color w:val="auto"/>
          <w:sz w:val="24"/>
          <w:szCs w:val="24"/>
        </w:rPr>
        <w:fldChar w:fldCharType="begin"/>
      </w:r>
      <w:r w:rsidRPr="00AA6BB0">
        <w:rPr>
          <w:rFonts w:ascii="Arial" w:hAnsi="Arial" w:cs="Arial"/>
          <w:color w:val="auto"/>
          <w:sz w:val="24"/>
          <w:szCs w:val="24"/>
        </w:rPr>
        <w:instrText xml:space="preserve"> STYLEREF 1 \s </w:instrText>
      </w:r>
      <w:r w:rsidRPr="00AA6BB0">
        <w:rPr>
          <w:rFonts w:ascii="Arial" w:hAnsi="Arial" w:cs="Arial"/>
          <w:color w:val="auto"/>
          <w:sz w:val="24"/>
          <w:szCs w:val="24"/>
        </w:rPr>
        <w:fldChar w:fldCharType="separate"/>
      </w:r>
      <w:r w:rsidRPr="00AA6BB0">
        <w:rPr>
          <w:rFonts w:ascii="Arial" w:hAnsi="Arial" w:cs="Arial"/>
          <w:noProof/>
          <w:color w:val="auto"/>
          <w:sz w:val="24"/>
          <w:szCs w:val="24"/>
        </w:rPr>
        <w:t>4</w:t>
      </w:r>
      <w:r w:rsidRPr="00AA6BB0">
        <w:rPr>
          <w:rFonts w:ascii="Arial" w:hAnsi="Arial" w:cs="Arial"/>
          <w:noProof/>
          <w:color w:val="auto"/>
          <w:sz w:val="24"/>
          <w:szCs w:val="24"/>
        </w:rPr>
        <w:fldChar w:fldCharType="end"/>
      </w:r>
      <w:r w:rsidRPr="00AA6BB0">
        <w:rPr>
          <w:rFonts w:ascii="Arial" w:hAnsi="Arial" w:cs="Arial"/>
          <w:color w:val="auto"/>
          <w:sz w:val="24"/>
          <w:szCs w:val="24"/>
        </w:rPr>
        <w:noBreakHyphen/>
      </w:r>
      <w:r w:rsidRPr="00AA6BB0">
        <w:rPr>
          <w:rFonts w:ascii="Arial" w:hAnsi="Arial" w:cs="Arial"/>
          <w:color w:val="auto"/>
          <w:sz w:val="24"/>
          <w:szCs w:val="24"/>
        </w:rPr>
        <w:fldChar w:fldCharType="begin"/>
      </w:r>
      <w:r w:rsidRPr="00AA6BB0">
        <w:rPr>
          <w:rFonts w:ascii="Arial" w:hAnsi="Arial" w:cs="Arial"/>
          <w:color w:val="auto"/>
          <w:sz w:val="24"/>
          <w:szCs w:val="24"/>
        </w:rPr>
        <w:instrText xml:space="preserve"> SEQ Tabla \* ARABIC \s 1 </w:instrText>
      </w:r>
      <w:r w:rsidRPr="00AA6BB0">
        <w:rPr>
          <w:rFonts w:ascii="Arial" w:hAnsi="Arial" w:cs="Arial"/>
          <w:color w:val="auto"/>
          <w:sz w:val="24"/>
          <w:szCs w:val="24"/>
        </w:rPr>
        <w:fldChar w:fldCharType="separate"/>
      </w:r>
      <w:r w:rsidRPr="00AA6BB0">
        <w:rPr>
          <w:rFonts w:ascii="Arial" w:hAnsi="Arial" w:cs="Arial"/>
          <w:noProof/>
          <w:color w:val="auto"/>
          <w:sz w:val="24"/>
          <w:szCs w:val="24"/>
        </w:rPr>
        <w:t>67</w:t>
      </w:r>
      <w:r w:rsidRPr="00AA6BB0">
        <w:rPr>
          <w:rFonts w:ascii="Arial" w:hAnsi="Arial" w:cs="Arial"/>
          <w:noProof/>
          <w:color w:val="auto"/>
          <w:sz w:val="24"/>
          <w:szCs w:val="24"/>
        </w:rPr>
        <w:fldChar w:fldCharType="end"/>
      </w:r>
      <w:r w:rsidRPr="00AA6BB0">
        <w:rPr>
          <w:rFonts w:ascii="Arial" w:hAnsi="Arial" w:cs="Arial"/>
          <w:color w:val="auto"/>
          <w:sz w:val="24"/>
          <w:szCs w:val="24"/>
        </w:rPr>
        <w:t xml:space="preserve"> Cuentas por pagar (CxP) </w:t>
      </w:r>
      <w:r>
        <w:rPr>
          <w:rFonts w:ascii="Arial" w:hAnsi="Arial" w:cs="Arial"/>
          <w:color w:val="auto"/>
          <w:sz w:val="24"/>
          <w:szCs w:val="24"/>
        </w:rPr>
        <w:t>–</w:t>
      </w:r>
      <w:r w:rsidRPr="00AA6BB0">
        <w:rPr>
          <w:rFonts w:ascii="Arial" w:hAnsi="Arial" w:cs="Arial"/>
          <w:color w:val="auto"/>
          <w:sz w:val="24"/>
          <w:szCs w:val="24"/>
        </w:rPr>
        <w:t xml:space="preserve"> Composición</w:t>
      </w:r>
      <w:bookmarkEnd w:id="122"/>
    </w:p>
    <w:p w:rsidR="00AA6BB0" w:rsidRPr="00AA6BB0" w:rsidRDefault="00AA6BB0" w:rsidP="00AA6BB0">
      <w:pPr>
        <w:rPr>
          <w:lang w:val="es-CO" w:eastAsia="en-US"/>
        </w:rPr>
      </w:pPr>
    </w:p>
    <w:p w:rsidR="00AA6BB0" w:rsidRPr="00A320BE" w:rsidRDefault="00AA6BB0" w:rsidP="00AA6BB0">
      <w:pPr>
        <w:pStyle w:val="Textoindependiente"/>
        <w:jc w:val="both"/>
        <w:rPr>
          <w:rFonts w:ascii="Montserrat Medium" w:hAnsi="Montserrat Medium"/>
          <w:szCs w:val="22"/>
          <w:lang w:val="es-CO"/>
        </w:rPr>
      </w:pPr>
      <w:r w:rsidRPr="00A320BE">
        <w:rPr>
          <w:rFonts w:ascii="Montserrat Medium" w:hAnsi="Montserrat Medium"/>
          <w:noProof/>
          <w:szCs w:val="22"/>
          <w:lang w:val="es-CO" w:eastAsia="es-CO"/>
        </w:rPr>
        <w:drawing>
          <wp:inline distT="0" distB="0" distL="0" distR="0" wp14:anchorId="7A3876C0" wp14:editId="6330A66C">
            <wp:extent cx="5943600" cy="2382508"/>
            <wp:effectExtent l="0" t="0" r="0" b="0"/>
            <wp:docPr id="1500955721" name="Imagen 150095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t="7753"/>
                    <a:stretch/>
                  </pic:blipFill>
                  <pic:spPr bwMode="auto">
                    <a:xfrm>
                      <a:off x="0" y="0"/>
                      <a:ext cx="5943600" cy="2382508"/>
                    </a:xfrm>
                    <a:prstGeom prst="rect">
                      <a:avLst/>
                    </a:prstGeom>
                    <a:noFill/>
                    <a:ln>
                      <a:noFill/>
                    </a:ln>
                    <a:extLst>
                      <a:ext uri="{53640926-AAD7-44D8-BBD7-CCE9431645EC}">
                        <a14:shadowObscured xmlns:a14="http://schemas.microsoft.com/office/drawing/2010/main"/>
                      </a:ext>
                    </a:extLst>
                  </pic:spPr>
                </pic:pic>
              </a:graphicData>
            </a:graphic>
          </wp:inline>
        </w:drawing>
      </w:r>
    </w:p>
    <w:p w:rsidR="00AA6BB0" w:rsidRPr="00A320BE" w:rsidRDefault="00AA6BB0" w:rsidP="00AA6BB0">
      <w:pPr>
        <w:pStyle w:val="Textoindependiente"/>
        <w:jc w:val="both"/>
        <w:rPr>
          <w:rFonts w:ascii="Montserrat Medium" w:hAnsi="Montserrat Medium"/>
          <w:szCs w:val="22"/>
          <w:lang w:val="es-CO"/>
        </w:rPr>
      </w:pPr>
    </w:p>
    <w:p w:rsidR="00AA6BB0" w:rsidRPr="00AA6BB0" w:rsidRDefault="00AA6BB0" w:rsidP="00AA6BB0">
      <w:pPr>
        <w:pStyle w:val="Textoindependiente"/>
        <w:ind w:left="-142" w:right="-518"/>
        <w:jc w:val="both"/>
        <w:rPr>
          <w:rFonts w:ascii="Arial" w:hAnsi="Arial" w:cs="Arial"/>
          <w:sz w:val="24"/>
          <w:lang w:val="es-CO"/>
        </w:rPr>
      </w:pPr>
      <w:r w:rsidRPr="00AA6BB0">
        <w:rPr>
          <w:rFonts w:ascii="Arial" w:hAnsi="Arial" w:cs="Arial"/>
          <w:sz w:val="24"/>
          <w:lang w:val="es-CO"/>
        </w:rPr>
        <w:t>Como se observa, a 31 de diciembre de 2022, el grupo Cuentas por pagar presenta la suma agregada de $136.519,8. Una vez ejecutado el proceso de consolidación, se presenta el efecto neto de eliminaciones y reclasificaciones por ($30.196,4) y se obtiene un saldo consolidado de $106.323,4, que representa el 5,3% del total del valor del pasivo, que asciende a la suma de $2.014.333,1.</w:t>
      </w:r>
    </w:p>
    <w:p w:rsidR="00AA6BB0" w:rsidRPr="00A320BE" w:rsidRDefault="00AA6BB0" w:rsidP="00AA6BB0">
      <w:pPr>
        <w:pStyle w:val="Textoindependiente"/>
        <w:jc w:val="both"/>
        <w:rPr>
          <w:rFonts w:ascii="Montserrat Medium" w:hAnsi="Montserrat Medium"/>
          <w:szCs w:val="22"/>
          <w:lang w:val="es-CO"/>
        </w:rPr>
      </w:pPr>
    </w:p>
    <w:p w:rsidR="000A60F9" w:rsidRPr="000A60F9" w:rsidRDefault="000A60F9" w:rsidP="000A60F9">
      <w:pPr>
        <w:ind w:left="-142" w:right="-518"/>
        <w:rPr>
          <w:rFonts w:ascii="Arial" w:hAnsi="Arial" w:cs="Arial"/>
          <w:b/>
          <w:sz w:val="28"/>
          <w:szCs w:val="28"/>
        </w:rPr>
      </w:pPr>
      <w:r w:rsidRPr="000A60F9">
        <w:rPr>
          <w:rFonts w:ascii="Arial" w:hAnsi="Arial" w:cs="Arial"/>
          <w:b/>
          <w:sz w:val="28"/>
          <w:szCs w:val="28"/>
        </w:rPr>
        <w:t>Entidades que registran los mayores valores de CXP</w:t>
      </w:r>
      <w:r>
        <w:rPr>
          <w:rFonts w:ascii="Arial" w:hAnsi="Arial" w:cs="Arial"/>
          <w:b/>
          <w:sz w:val="28"/>
          <w:szCs w:val="28"/>
        </w:rPr>
        <w:t>.</w:t>
      </w:r>
    </w:p>
    <w:p w:rsidR="000A60F9" w:rsidRPr="000A60F9" w:rsidRDefault="000A60F9" w:rsidP="000A60F9">
      <w:pPr>
        <w:ind w:left="-142" w:right="-518"/>
        <w:jc w:val="both"/>
        <w:rPr>
          <w:rFonts w:ascii="Arial" w:hAnsi="Arial" w:cs="Arial"/>
        </w:rPr>
      </w:pPr>
    </w:p>
    <w:p w:rsidR="000A60F9" w:rsidRPr="000A60F9" w:rsidRDefault="000A60F9" w:rsidP="000A60F9">
      <w:pPr>
        <w:ind w:left="-142" w:right="-518"/>
        <w:jc w:val="both"/>
        <w:rPr>
          <w:rFonts w:ascii="Arial" w:hAnsi="Arial" w:cs="Arial"/>
        </w:rPr>
      </w:pPr>
      <w:r w:rsidRPr="000A60F9">
        <w:rPr>
          <w:rFonts w:ascii="Arial" w:hAnsi="Arial" w:cs="Arial"/>
        </w:rPr>
        <w:t>Teniendo en cuenta que el saldo agregado del grupo de Cuentas por pagar es $136.519,8 para el periodo de análisis, a continuación, se listan las entidades que registran los mayores valores en los conceptos: Otras cuentas por pagar, Adquisición de bienes y servicios nacionales, Recursos a favor de terceros y Transferencias por pagar.</w:t>
      </w:r>
    </w:p>
    <w:p w:rsidR="000A60F9" w:rsidRPr="00A320BE" w:rsidRDefault="000A60F9" w:rsidP="000A60F9">
      <w:pPr>
        <w:pStyle w:val="Descripcin"/>
      </w:pPr>
    </w:p>
    <w:p w:rsidR="000A60F9" w:rsidRDefault="000A60F9" w:rsidP="000A60F9">
      <w:pPr>
        <w:pStyle w:val="Descripcin"/>
        <w:jc w:val="center"/>
        <w:rPr>
          <w:rFonts w:ascii="Arial" w:hAnsi="Arial" w:cs="Arial"/>
          <w:color w:val="auto"/>
          <w:sz w:val="24"/>
          <w:szCs w:val="24"/>
        </w:rPr>
      </w:pPr>
      <w:bookmarkStart w:id="123" w:name="_Toc135044832"/>
      <w:r w:rsidRPr="000A60F9">
        <w:rPr>
          <w:rFonts w:ascii="Arial" w:hAnsi="Arial" w:cs="Arial"/>
          <w:color w:val="auto"/>
          <w:sz w:val="24"/>
          <w:szCs w:val="24"/>
        </w:rPr>
        <w:t xml:space="preserve">Tabla </w:t>
      </w:r>
      <w:r w:rsidRPr="000A60F9">
        <w:rPr>
          <w:rFonts w:ascii="Arial" w:hAnsi="Arial" w:cs="Arial"/>
          <w:color w:val="auto"/>
          <w:sz w:val="24"/>
          <w:szCs w:val="24"/>
        </w:rPr>
        <w:fldChar w:fldCharType="begin"/>
      </w:r>
      <w:r w:rsidRPr="000A60F9">
        <w:rPr>
          <w:rFonts w:ascii="Arial" w:hAnsi="Arial" w:cs="Arial"/>
          <w:color w:val="auto"/>
          <w:sz w:val="24"/>
          <w:szCs w:val="24"/>
        </w:rPr>
        <w:instrText xml:space="preserve"> STYLEREF 1 \s </w:instrText>
      </w:r>
      <w:r w:rsidRPr="000A60F9">
        <w:rPr>
          <w:rFonts w:ascii="Arial" w:hAnsi="Arial" w:cs="Arial"/>
          <w:color w:val="auto"/>
          <w:sz w:val="24"/>
          <w:szCs w:val="24"/>
        </w:rPr>
        <w:fldChar w:fldCharType="separate"/>
      </w:r>
      <w:r w:rsidRPr="000A60F9">
        <w:rPr>
          <w:rFonts w:ascii="Arial" w:hAnsi="Arial" w:cs="Arial"/>
          <w:noProof/>
          <w:color w:val="auto"/>
          <w:sz w:val="24"/>
          <w:szCs w:val="24"/>
        </w:rPr>
        <w:t>4</w:t>
      </w:r>
      <w:r w:rsidRPr="000A60F9">
        <w:rPr>
          <w:rFonts w:ascii="Arial" w:hAnsi="Arial" w:cs="Arial"/>
          <w:noProof/>
          <w:color w:val="auto"/>
          <w:sz w:val="24"/>
          <w:szCs w:val="24"/>
        </w:rPr>
        <w:fldChar w:fldCharType="end"/>
      </w:r>
      <w:r w:rsidRPr="000A60F9">
        <w:rPr>
          <w:rFonts w:ascii="Arial" w:hAnsi="Arial" w:cs="Arial"/>
          <w:color w:val="auto"/>
          <w:sz w:val="24"/>
          <w:szCs w:val="24"/>
        </w:rPr>
        <w:noBreakHyphen/>
      </w:r>
      <w:r w:rsidRPr="000A60F9">
        <w:rPr>
          <w:rFonts w:ascii="Arial" w:hAnsi="Arial" w:cs="Arial"/>
          <w:color w:val="auto"/>
          <w:sz w:val="24"/>
          <w:szCs w:val="24"/>
        </w:rPr>
        <w:fldChar w:fldCharType="begin"/>
      </w:r>
      <w:r w:rsidRPr="000A60F9">
        <w:rPr>
          <w:rFonts w:ascii="Arial" w:hAnsi="Arial" w:cs="Arial"/>
          <w:color w:val="auto"/>
          <w:sz w:val="24"/>
          <w:szCs w:val="24"/>
        </w:rPr>
        <w:instrText xml:space="preserve"> SEQ Tabla \* ARABIC \s 1 </w:instrText>
      </w:r>
      <w:r w:rsidRPr="000A60F9">
        <w:rPr>
          <w:rFonts w:ascii="Arial" w:hAnsi="Arial" w:cs="Arial"/>
          <w:color w:val="auto"/>
          <w:sz w:val="24"/>
          <w:szCs w:val="24"/>
        </w:rPr>
        <w:fldChar w:fldCharType="separate"/>
      </w:r>
      <w:r w:rsidRPr="000A60F9">
        <w:rPr>
          <w:rFonts w:ascii="Arial" w:hAnsi="Arial" w:cs="Arial"/>
          <w:noProof/>
          <w:color w:val="auto"/>
          <w:sz w:val="24"/>
          <w:szCs w:val="24"/>
        </w:rPr>
        <w:t>69</w:t>
      </w:r>
      <w:r w:rsidRPr="000A60F9">
        <w:rPr>
          <w:rFonts w:ascii="Arial" w:hAnsi="Arial" w:cs="Arial"/>
          <w:noProof/>
          <w:color w:val="auto"/>
          <w:sz w:val="24"/>
          <w:szCs w:val="24"/>
        </w:rPr>
        <w:fldChar w:fldCharType="end"/>
      </w:r>
      <w:r w:rsidRPr="000A60F9">
        <w:rPr>
          <w:rFonts w:ascii="Arial" w:hAnsi="Arial" w:cs="Arial"/>
          <w:color w:val="auto"/>
          <w:sz w:val="24"/>
          <w:szCs w:val="24"/>
        </w:rPr>
        <w:t xml:space="preserve"> CxP - Entidades más representativas</w:t>
      </w:r>
      <w:bookmarkEnd w:id="123"/>
    </w:p>
    <w:p w:rsidR="000A60F9" w:rsidRPr="000A60F9" w:rsidRDefault="000A60F9" w:rsidP="000A60F9">
      <w:pPr>
        <w:rPr>
          <w:lang w:val="es-CO" w:eastAsia="en-US"/>
        </w:rPr>
      </w:pPr>
    </w:p>
    <w:p w:rsidR="000A60F9" w:rsidRPr="00A320BE" w:rsidRDefault="000A60F9" w:rsidP="000A60F9">
      <w:pPr>
        <w:pStyle w:val="Textoindependiente"/>
        <w:jc w:val="center"/>
        <w:rPr>
          <w:rFonts w:ascii="Montserrat Medium" w:hAnsi="Montserrat Medium"/>
          <w:szCs w:val="22"/>
          <w:lang w:val="es-CO"/>
        </w:rPr>
      </w:pPr>
      <w:r w:rsidRPr="00A320BE">
        <w:rPr>
          <w:rFonts w:ascii="Montserrat Medium" w:hAnsi="Montserrat Medium"/>
          <w:noProof/>
          <w:szCs w:val="22"/>
          <w:lang w:val="es-CO" w:eastAsia="es-CO"/>
        </w:rPr>
        <w:drawing>
          <wp:inline distT="0" distB="0" distL="0" distR="0" wp14:anchorId="2DBFEF17" wp14:editId="374403EC">
            <wp:extent cx="5943600" cy="424339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3540"/>
                    <a:stretch/>
                  </pic:blipFill>
                  <pic:spPr bwMode="auto">
                    <a:xfrm>
                      <a:off x="0" y="0"/>
                      <a:ext cx="5943600" cy="4243398"/>
                    </a:xfrm>
                    <a:prstGeom prst="rect">
                      <a:avLst/>
                    </a:prstGeom>
                    <a:noFill/>
                    <a:ln>
                      <a:noFill/>
                    </a:ln>
                    <a:extLst>
                      <a:ext uri="{53640926-AAD7-44D8-BBD7-CCE9431645EC}">
                        <a14:shadowObscured xmlns:a14="http://schemas.microsoft.com/office/drawing/2010/main"/>
                      </a:ext>
                    </a:extLst>
                  </pic:spPr>
                </pic:pic>
              </a:graphicData>
            </a:graphic>
          </wp:inline>
        </w:drawing>
      </w:r>
    </w:p>
    <w:p w:rsidR="000A60F9" w:rsidRPr="00A320BE" w:rsidRDefault="000A60F9" w:rsidP="000A60F9">
      <w:pPr>
        <w:ind w:right="119"/>
        <w:jc w:val="both"/>
        <w:rPr>
          <w:sz w:val="18"/>
          <w:szCs w:val="18"/>
        </w:rPr>
      </w:pPr>
      <w:r w:rsidRPr="00A320BE">
        <w:rPr>
          <w:sz w:val="18"/>
          <w:szCs w:val="18"/>
        </w:rPr>
        <w:t>*En la clasificación “Resto de Entidades que reportan” se reflejan los saldos reportados por las demás entidades, los cuales analizados individualmente son inferiores a los reportados por las entidades más representativas.</w:t>
      </w:r>
    </w:p>
    <w:p w:rsidR="000A60F9" w:rsidRPr="00A320BE" w:rsidRDefault="000A60F9" w:rsidP="000A60F9">
      <w:pPr>
        <w:jc w:val="both"/>
      </w:pPr>
    </w:p>
    <w:p w:rsidR="000A60F9" w:rsidRPr="000A60F9" w:rsidRDefault="000A60F9" w:rsidP="000A60F9">
      <w:pPr>
        <w:ind w:left="-142" w:right="-518"/>
        <w:jc w:val="both"/>
        <w:rPr>
          <w:rFonts w:ascii="Arial" w:hAnsi="Arial" w:cs="Arial"/>
        </w:rPr>
      </w:pPr>
      <w:r w:rsidRPr="000A60F9">
        <w:rPr>
          <w:rFonts w:ascii="Arial" w:hAnsi="Arial" w:cs="Arial"/>
        </w:rPr>
        <w:t>Teniendo en cuenta que, en el año 2022, las entidades consolidadas fueron 343, es importante mencionar que: 304 reportaron saldos en Otras cuentas por pagar, 273 en Adquisición de bienes y servicios nacionales, 251 en Recursos a favor de terceros y 27 en Transferencias por pagar.</w:t>
      </w:r>
    </w:p>
    <w:p w:rsidR="000A60F9" w:rsidRPr="000A60F9" w:rsidRDefault="000A60F9" w:rsidP="000A60F9">
      <w:pPr>
        <w:ind w:left="-142" w:right="-518"/>
        <w:jc w:val="both"/>
        <w:rPr>
          <w:rFonts w:ascii="Arial" w:hAnsi="Arial" w:cs="Arial"/>
        </w:rPr>
      </w:pPr>
    </w:p>
    <w:p w:rsidR="000A60F9" w:rsidRPr="000A60F9" w:rsidRDefault="000A60F9" w:rsidP="000A60F9">
      <w:pPr>
        <w:ind w:left="-142" w:right="-518"/>
        <w:jc w:val="both"/>
        <w:rPr>
          <w:rFonts w:ascii="Arial" w:hAnsi="Arial" w:cs="Arial"/>
        </w:rPr>
      </w:pPr>
      <w:r w:rsidRPr="000A60F9">
        <w:rPr>
          <w:rFonts w:ascii="Arial" w:hAnsi="Arial" w:cs="Arial"/>
        </w:rPr>
        <w:t xml:space="preserve">La Dirección de Impuestos y Aduanas Nacionales es la entidad que presenta la mayor variación en comparación con el año anterior, por valor de $6.972,7, en la cuenta Otras cuentas por pagar. Además, dentro de esta cuenta, la subcuenta con mayor valor registrado corresponde a Saldos a </w:t>
      </w:r>
      <w:r w:rsidRPr="000A60F9">
        <w:rPr>
          <w:rFonts w:ascii="Arial" w:hAnsi="Arial" w:cs="Arial"/>
        </w:rPr>
        <w:lastRenderedPageBreak/>
        <w:t>favor de contribuyentes, para la cual la Dirección revela, en sus notas a los estados financieros, lo siguiente:</w:t>
      </w:r>
    </w:p>
    <w:p w:rsidR="000A60F9" w:rsidRPr="000A60F9" w:rsidRDefault="000A60F9" w:rsidP="000A60F9">
      <w:pPr>
        <w:ind w:left="-142" w:right="-518"/>
        <w:jc w:val="both"/>
        <w:rPr>
          <w:rFonts w:ascii="Arial" w:hAnsi="Arial" w:cs="Arial"/>
        </w:rPr>
      </w:pPr>
    </w:p>
    <w:p w:rsidR="000A60F9" w:rsidRPr="000A60F9" w:rsidRDefault="000A60F9" w:rsidP="000A60F9">
      <w:pPr>
        <w:ind w:left="-142" w:right="-518"/>
        <w:jc w:val="both"/>
        <w:rPr>
          <w:rFonts w:ascii="Arial" w:hAnsi="Arial" w:cs="Arial"/>
        </w:rPr>
      </w:pPr>
      <w:r w:rsidRPr="000A60F9">
        <w:rPr>
          <w:rFonts w:ascii="Arial" w:hAnsi="Arial" w:cs="Arial"/>
        </w:rPr>
        <w:t>“Saldos a favor: La DIAN – Función Recaudadora reconoce las obligaciones adquiridas con los contribuyentes, por concepto de saldos a favor de impuestos autoliquidados en las declaraciones o aceptados en liquidaciones oficiales o actos administrativos.”.</w:t>
      </w:r>
    </w:p>
    <w:p w:rsidR="000A60F9" w:rsidRDefault="000A60F9" w:rsidP="000A60F9">
      <w:pPr>
        <w:ind w:left="-142" w:right="-518"/>
        <w:jc w:val="both"/>
        <w:rPr>
          <w:rFonts w:ascii="Arial" w:hAnsi="Arial" w:cs="Arial"/>
        </w:rPr>
      </w:pPr>
    </w:p>
    <w:p w:rsidR="00CA5720" w:rsidRPr="00CA5720" w:rsidRDefault="00CA5720" w:rsidP="00CA5720">
      <w:pPr>
        <w:pStyle w:val="Ttulo6"/>
        <w:ind w:left="-142" w:right="-518"/>
        <w:rPr>
          <w:rFonts w:ascii="Arial" w:hAnsi="Arial" w:cs="Arial"/>
          <w:b/>
          <w:color w:val="auto"/>
          <w:sz w:val="28"/>
          <w:szCs w:val="28"/>
        </w:rPr>
      </w:pPr>
      <w:r w:rsidRPr="00CA5720">
        <w:rPr>
          <w:rFonts w:ascii="Arial" w:hAnsi="Arial" w:cs="Arial"/>
          <w:b/>
          <w:color w:val="auto"/>
          <w:sz w:val="28"/>
          <w:szCs w:val="28"/>
        </w:rPr>
        <w:t xml:space="preserve">NOTA 24.- </w:t>
      </w:r>
      <w:bookmarkStart w:id="124" w:name="_Toc103328351"/>
      <w:bookmarkStart w:id="125" w:name="_Toc135044717"/>
      <w:r w:rsidRPr="00CA5720">
        <w:rPr>
          <w:rFonts w:ascii="Arial" w:hAnsi="Arial" w:cs="Arial"/>
          <w:b/>
          <w:color w:val="auto"/>
          <w:sz w:val="28"/>
          <w:szCs w:val="28"/>
        </w:rPr>
        <w:t>Provision</w:t>
      </w:r>
      <w:bookmarkEnd w:id="124"/>
      <w:r w:rsidRPr="00CA5720">
        <w:rPr>
          <w:rFonts w:ascii="Arial" w:hAnsi="Arial" w:cs="Arial"/>
          <w:b/>
          <w:color w:val="auto"/>
          <w:sz w:val="28"/>
          <w:szCs w:val="28"/>
        </w:rPr>
        <w:t>es (PROV)</w:t>
      </w:r>
      <w:bookmarkEnd w:id="125"/>
      <w:r w:rsidRPr="00CA5720">
        <w:rPr>
          <w:rFonts w:ascii="Arial" w:hAnsi="Arial" w:cs="Arial"/>
          <w:b/>
          <w:color w:val="auto"/>
          <w:sz w:val="28"/>
          <w:szCs w:val="28"/>
        </w:rPr>
        <w:t>.</w:t>
      </w:r>
    </w:p>
    <w:p w:rsidR="00CA5720" w:rsidRPr="00CA5720" w:rsidRDefault="00CA5720" w:rsidP="00CA5720">
      <w:pPr>
        <w:ind w:left="-142" w:right="-518"/>
        <w:rPr>
          <w:rFonts w:ascii="Arial" w:hAnsi="Arial" w:cs="Arial"/>
        </w:rPr>
      </w:pPr>
    </w:p>
    <w:p w:rsidR="00CA5720" w:rsidRPr="00CA5720" w:rsidRDefault="00CA5720" w:rsidP="00CA5720">
      <w:pPr>
        <w:ind w:left="-142" w:right="-518"/>
        <w:jc w:val="both"/>
        <w:rPr>
          <w:rFonts w:ascii="Arial" w:hAnsi="Arial" w:cs="Arial"/>
        </w:rPr>
      </w:pPr>
      <w:r w:rsidRPr="00CA5720">
        <w:rPr>
          <w:rFonts w:ascii="Arial" w:hAnsi="Arial" w:cs="Arial"/>
        </w:rPr>
        <w:t xml:space="preserve">En el Estado de Situación Financiera Consolidada está el grupo de Provisiones el cual hace parte de los pasivos. En la siguiente tabla se presentan, comparativamente con el año anterior, los conceptos a nivel de cuenta que registraron los mayores valores para el 2022. </w:t>
      </w:r>
    </w:p>
    <w:p w:rsidR="00CA5720" w:rsidRPr="00CA5720" w:rsidRDefault="00CA5720" w:rsidP="00CA5720">
      <w:pPr>
        <w:jc w:val="both"/>
        <w:rPr>
          <w:rFonts w:ascii="Arial" w:hAnsi="Arial" w:cs="Arial"/>
        </w:rPr>
      </w:pPr>
    </w:p>
    <w:p w:rsidR="00CA5720" w:rsidRPr="00CA5720" w:rsidRDefault="00CA5720" w:rsidP="00CA5720">
      <w:pPr>
        <w:pStyle w:val="Descripcin"/>
        <w:jc w:val="center"/>
        <w:rPr>
          <w:rFonts w:ascii="Arial" w:hAnsi="Arial" w:cs="Arial"/>
          <w:color w:val="auto"/>
          <w:sz w:val="24"/>
          <w:szCs w:val="24"/>
        </w:rPr>
      </w:pPr>
      <w:bookmarkStart w:id="126" w:name="_Toc135044836"/>
      <w:r w:rsidRPr="00CA5720">
        <w:rPr>
          <w:rFonts w:ascii="Arial" w:hAnsi="Arial" w:cs="Arial"/>
          <w:color w:val="auto"/>
          <w:sz w:val="24"/>
          <w:szCs w:val="24"/>
        </w:rPr>
        <w:t xml:space="preserve">Tabla </w:t>
      </w:r>
      <w:r w:rsidRPr="00CA5720">
        <w:rPr>
          <w:rFonts w:ascii="Arial" w:hAnsi="Arial" w:cs="Arial"/>
          <w:color w:val="auto"/>
          <w:sz w:val="24"/>
          <w:szCs w:val="24"/>
        </w:rPr>
        <w:fldChar w:fldCharType="begin"/>
      </w:r>
      <w:r w:rsidRPr="00CA5720">
        <w:rPr>
          <w:rFonts w:ascii="Arial" w:hAnsi="Arial" w:cs="Arial"/>
          <w:color w:val="auto"/>
          <w:sz w:val="24"/>
          <w:szCs w:val="24"/>
        </w:rPr>
        <w:instrText xml:space="preserve"> STYLEREF 1 \s </w:instrText>
      </w:r>
      <w:r w:rsidRPr="00CA5720">
        <w:rPr>
          <w:rFonts w:ascii="Arial" w:hAnsi="Arial" w:cs="Arial"/>
          <w:color w:val="auto"/>
          <w:sz w:val="24"/>
          <w:szCs w:val="24"/>
        </w:rPr>
        <w:fldChar w:fldCharType="separate"/>
      </w:r>
      <w:r w:rsidRPr="00CA5720">
        <w:rPr>
          <w:rFonts w:ascii="Arial" w:hAnsi="Arial" w:cs="Arial"/>
          <w:noProof/>
          <w:color w:val="auto"/>
          <w:sz w:val="24"/>
          <w:szCs w:val="24"/>
        </w:rPr>
        <w:t>4</w:t>
      </w:r>
      <w:r w:rsidRPr="00CA5720">
        <w:rPr>
          <w:rFonts w:ascii="Arial" w:hAnsi="Arial" w:cs="Arial"/>
          <w:noProof/>
          <w:color w:val="auto"/>
          <w:sz w:val="24"/>
          <w:szCs w:val="24"/>
        </w:rPr>
        <w:fldChar w:fldCharType="end"/>
      </w:r>
      <w:r w:rsidRPr="00CA5720">
        <w:rPr>
          <w:rFonts w:ascii="Arial" w:hAnsi="Arial" w:cs="Arial"/>
          <w:color w:val="auto"/>
          <w:sz w:val="24"/>
          <w:szCs w:val="24"/>
        </w:rPr>
        <w:noBreakHyphen/>
      </w:r>
      <w:r w:rsidRPr="00CA5720">
        <w:rPr>
          <w:rFonts w:ascii="Arial" w:hAnsi="Arial" w:cs="Arial"/>
          <w:color w:val="auto"/>
          <w:sz w:val="24"/>
          <w:szCs w:val="24"/>
        </w:rPr>
        <w:fldChar w:fldCharType="begin"/>
      </w:r>
      <w:r w:rsidRPr="00CA5720">
        <w:rPr>
          <w:rFonts w:ascii="Arial" w:hAnsi="Arial" w:cs="Arial"/>
          <w:color w:val="auto"/>
          <w:sz w:val="24"/>
          <w:szCs w:val="24"/>
        </w:rPr>
        <w:instrText xml:space="preserve"> SEQ Tabla \* ARABIC \s 1 </w:instrText>
      </w:r>
      <w:r w:rsidRPr="00CA5720">
        <w:rPr>
          <w:rFonts w:ascii="Arial" w:hAnsi="Arial" w:cs="Arial"/>
          <w:color w:val="auto"/>
          <w:sz w:val="24"/>
          <w:szCs w:val="24"/>
        </w:rPr>
        <w:fldChar w:fldCharType="separate"/>
      </w:r>
      <w:r w:rsidRPr="00CA5720">
        <w:rPr>
          <w:rFonts w:ascii="Arial" w:hAnsi="Arial" w:cs="Arial"/>
          <w:noProof/>
          <w:color w:val="auto"/>
          <w:sz w:val="24"/>
          <w:szCs w:val="24"/>
        </w:rPr>
        <w:t>73</w:t>
      </w:r>
      <w:r w:rsidRPr="00CA5720">
        <w:rPr>
          <w:rFonts w:ascii="Arial" w:hAnsi="Arial" w:cs="Arial"/>
          <w:noProof/>
          <w:color w:val="auto"/>
          <w:sz w:val="24"/>
          <w:szCs w:val="24"/>
        </w:rPr>
        <w:fldChar w:fldCharType="end"/>
      </w:r>
      <w:r w:rsidRPr="00CA5720">
        <w:rPr>
          <w:rFonts w:ascii="Arial" w:hAnsi="Arial" w:cs="Arial"/>
          <w:color w:val="auto"/>
          <w:sz w:val="24"/>
          <w:szCs w:val="24"/>
        </w:rPr>
        <w:t xml:space="preserve"> Provisiones (PROV) – Composición</w:t>
      </w:r>
      <w:bookmarkEnd w:id="126"/>
    </w:p>
    <w:p w:rsidR="00CA5720" w:rsidRPr="00A320BE" w:rsidRDefault="00CA5720" w:rsidP="00CA5720">
      <w:pPr>
        <w:spacing w:before="240" w:after="60"/>
        <w:jc w:val="center"/>
      </w:pPr>
      <w:r w:rsidRPr="00A320BE">
        <w:rPr>
          <w:noProof/>
          <w:lang w:val="es-CO" w:eastAsia="es-CO"/>
        </w:rPr>
        <w:drawing>
          <wp:inline distT="0" distB="0" distL="0" distR="0" wp14:anchorId="4FCBB3A2" wp14:editId="54B72298">
            <wp:extent cx="5943600" cy="2319886"/>
            <wp:effectExtent l="0" t="0" r="0" b="4445"/>
            <wp:docPr id="213808713" name="Imagen 21380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t="7205"/>
                    <a:stretch/>
                  </pic:blipFill>
                  <pic:spPr bwMode="auto">
                    <a:xfrm>
                      <a:off x="0" y="0"/>
                      <a:ext cx="5943600" cy="2319886"/>
                    </a:xfrm>
                    <a:prstGeom prst="rect">
                      <a:avLst/>
                    </a:prstGeom>
                    <a:noFill/>
                    <a:ln>
                      <a:noFill/>
                    </a:ln>
                    <a:extLst>
                      <a:ext uri="{53640926-AAD7-44D8-BBD7-CCE9431645EC}">
                        <a14:shadowObscured xmlns:a14="http://schemas.microsoft.com/office/drawing/2010/main"/>
                      </a:ext>
                    </a:extLst>
                  </pic:spPr>
                </pic:pic>
              </a:graphicData>
            </a:graphic>
          </wp:inline>
        </w:drawing>
      </w:r>
    </w:p>
    <w:p w:rsidR="00CA5720" w:rsidRPr="00A320BE" w:rsidRDefault="00CA5720" w:rsidP="00CA5720">
      <w:pPr>
        <w:pStyle w:val="Textoindependiente"/>
        <w:jc w:val="both"/>
        <w:rPr>
          <w:rFonts w:ascii="Montserrat Medium" w:hAnsi="Montserrat Medium"/>
          <w:lang w:val="es-CO"/>
        </w:rPr>
      </w:pPr>
    </w:p>
    <w:p w:rsidR="00CA5720" w:rsidRPr="00A320BE" w:rsidRDefault="00CA5720" w:rsidP="00CA5720">
      <w:pPr>
        <w:pStyle w:val="Textoindependiente"/>
        <w:jc w:val="both"/>
        <w:rPr>
          <w:rFonts w:ascii="Montserrat Medium" w:hAnsi="Montserrat Medium"/>
          <w:lang w:val="es-CO"/>
        </w:rPr>
      </w:pPr>
      <w:r w:rsidRPr="00A320BE">
        <w:rPr>
          <w:rFonts w:ascii="Montserrat Medium" w:hAnsi="Montserrat Medium"/>
          <w:lang w:val="es-CO"/>
        </w:rPr>
        <w:t>Como se observa, a 31 de diciembre de 2022, el grupo de Provisiones alcanzó la suma agregada de $87.294,3, representando el 4,3% del total del valor del Pasivo que asciende a la suma de $2.014.333,1. Una vez ejecutado el proceso de consolidación, no se presenta efecto neto de eliminaciones y reclasificaciones. Además, el valor consolidado del grupo presenta un aumento de 10,2% comparado con el 2021. Dentro de este grupo, el concepto de Litigios y demandas registra la mayor variación absoluta por valor de $9.114,3 y una variación porcentual de 19,4%.</w:t>
      </w:r>
    </w:p>
    <w:p w:rsidR="00CA5720" w:rsidRPr="00A320BE" w:rsidRDefault="00CA5720" w:rsidP="00CA5720">
      <w:pPr>
        <w:pStyle w:val="Textoindependiente"/>
        <w:jc w:val="both"/>
        <w:rPr>
          <w:rFonts w:ascii="Montserrat Medium" w:hAnsi="Montserrat Medium"/>
          <w:b/>
          <w:color w:val="5B9BD5" w:themeColor="accent1"/>
          <w:lang w:val="es-CO"/>
        </w:rPr>
      </w:pPr>
    </w:p>
    <w:p w:rsidR="00CA5720" w:rsidRPr="00CA5720" w:rsidRDefault="00CA5720" w:rsidP="00CA5720">
      <w:pPr>
        <w:rPr>
          <w:rFonts w:ascii="Arial" w:hAnsi="Arial" w:cs="Arial"/>
          <w:b/>
          <w:sz w:val="28"/>
          <w:szCs w:val="28"/>
        </w:rPr>
      </w:pPr>
      <w:r w:rsidRPr="00CA5720">
        <w:rPr>
          <w:rFonts w:ascii="Arial" w:hAnsi="Arial" w:cs="Arial"/>
          <w:b/>
          <w:sz w:val="28"/>
          <w:szCs w:val="28"/>
        </w:rPr>
        <w:t>Entidades que registran los mayores valores de las Provisiones.</w:t>
      </w:r>
    </w:p>
    <w:p w:rsidR="00CA5720" w:rsidRPr="00A320BE" w:rsidRDefault="00CA5720" w:rsidP="00CA5720">
      <w:pPr>
        <w:pStyle w:val="Textoindependiente"/>
        <w:jc w:val="both"/>
        <w:rPr>
          <w:rFonts w:ascii="Montserrat Medium" w:hAnsi="Montserrat Medium"/>
          <w:lang w:val="es-CO"/>
        </w:rPr>
      </w:pPr>
    </w:p>
    <w:p w:rsidR="00CA5720" w:rsidRDefault="00CA5720" w:rsidP="00CA5720">
      <w:pPr>
        <w:ind w:left="-142" w:right="-518"/>
        <w:jc w:val="both"/>
        <w:rPr>
          <w:rFonts w:ascii="Arial" w:hAnsi="Arial" w:cs="Arial"/>
        </w:rPr>
      </w:pPr>
      <w:r w:rsidRPr="00CA5720">
        <w:rPr>
          <w:rFonts w:ascii="Arial" w:hAnsi="Arial" w:cs="Arial"/>
          <w:b/>
          <w:u w:val="single"/>
          <w:lang w:val="es-CO"/>
        </w:rPr>
        <w:t>En la siguiente tabla, se parte del saldo agregado del grupo Provisiones $87.294,3 para el período de análisis y se listan las entidades que registran los mayores valores en los conceptos de mayor importancia relativa, a saber: Litigios y demandas</w:t>
      </w:r>
      <w:r w:rsidRPr="00CA5720">
        <w:rPr>
          <w:rFonts w:ascii="Arial" w:hAnsi="Arial" w:cs="Arial"/>
          <w:lang w:val="es-CO"/>
        </w:rPr>
        <w:t>, Provisiones diversas, Provisión para seguros y reaseguros y Provisión fondos de garantías.</w:t>
      </w:r>
      <w:r>
        <w:rPr>
          <w:rFonts w:ascii="Arial" w:hAnsi="Arial" w:cs="Arial"/>
          <w:lang w:val="es-CO"/>
        </w:rPr>
        <w:t xml:space="preserve"> </w:t>
      </w:r>
      <w:r>
        <w:rPr>
          <w:rFonts w:ascii="Arial" w:hAnsi="Arial" w:cs="Arial"/>
        </w:rPr>
        <w:t>(Subrayado y resaltado fuera de texto).</w:t>
      </w:r>
    </w:p>
    <w:p w:rsidR="00CA5720" w:rsidRPr="00A320BE" w:rsidRDefault="00CA5720" w:rsidP="00CA5720">
      <w:pPr>
        <w:pStyle w:val="Textoindependiente"/>
        <w:jc w:val="both"/>
        <w:rPr>
          <w:rFonts w:ascii="Montserrat Medium" w:hAnsi="Montserrat Medium"/>
          <w:lang w:val="es-CO"/>
        </w:rPr>
      </w:pPr>
    </w:p>
    <w:p w:rsidR="00CA5720" w:rsidRPr="00CA5720" w:rsidRDefault="00CA5720" w:rsidP="00CA5720">
      <w:pPr>
        <w:pStyle w:val="Descripcin"/>
        <w:jc w:val="center"/>
        <w:rPr>
          <w:rFonts w:ascii="Arial" w:hAnsi="Arial" w:cs="Arial"/>
          <w:color w:val="auto"/>
          <w:sz w:val="24"/>
          <w:szCs w:val="24"/>
        </w:rPr>
      </w:pPr>
      <w:bookmarkStart w:id="127" w:name="_Toc135044837"/>
      <w:r w:rsidRPr="00CA5720">
        <w:rPr>
          <w:rFonts w:ascii="Arial" w:hAnsi="Arial" w:cs="Arial"/>
          <w:color w:val="auto"/>
          <w:sz w:val="24"/>
          <w:szCs w:val="24"/>
        </w:rPr>
        <w:t xml:space="preserve">Tabla </w:t>
      </w:r>
      <w:r w:rsidRPr="00CA5720">
        <w:rPr>
          <w:rFonts w:ascii="Arial" w:hAnsi="Arial" w:cs="Arial"/>
          <w:color w:val="auto"/>
          <w:sz w:val="24"/>
          <w:szCs w:val="24"/>
        </w:rPr>
        <w:fldChar w:fldCharType="begin"/>
      </w:r>
      <w:r w:rsidRPr="00CA5720">
        <w:rPr>
          <w:rFonts w:ascii="Arial" w:hAnsi="Arial" w:cs="Arial"/>
          <w:color w:val="auto"/>
          <w:sz w:val="24"/>
          <w:szCs w:val="24"/>
        </w:rPr>
        <w:instrText xml:space="preserve"> STYLEREF 1 \s </w:instrText>
      </w:r>
      <w:r w:rsidRPr="00CA5720">
        <w:rPr>
          <w:rFonts w:ascii="Arial" w:hAnsi="Arial" w:cs="Arial"/>
          <w:color w:val="auto"/>
          <w:sz w:val="24"/>
          <w:szCs w:val="24"/>
        </w:rPr>
        <w:fldChar w:fldCharType="separate"/>
      </w:r>
      <w:r w:rsidRPr="00CA5720">
        <w:rPr>
          <w:rFonts w:ascii="Arial" w:hAnsi="Arial" w:cs="Arial"/>
          <w:noProof/>
          <w:color w:val="auto"/>
          <w:sz w:val="24"/>
          <w:szCs w:val="24"/>
        </w:rPr>
        <w:t>4</w:t>
      </w:r>
      <w:r w:rsidRPr="00CA5720">
        <w:rPr>
          <w:rFonts w:ascii="Arial" w:hAnsi="Arial" w:cs="Arial"/>
          <w:noProof/>
          <w:color w:val="auto"/>
          <w:sz w:val="24"/>
          <w:szCs w:val="24"/>
        </w:rPr>
        <w:fldChar w:fldCharType="end"/>
      </w:r>
      <w:r w:rsidRPr="00CA5720">
        <w:rPr>
          <w:rFonts w:ascii="Arial" w:hAnsi="Arial" w:cs="Arial"/>
          <w:color w:val="auto"/>
          <w:sz w:val="24"/>
          <w:szCs w:val="24"/>
        </w:rPr>
        <w:noBreakHyphen/>
      </w:r>
      <w:r w:rsidRPr="00CA5720">
        <w:rPr>
          <w:rFonts w:ascii="Arial" w:hAnsi="Arial" w:cs="Arial"/>
          <w:color w:val="auto"/>
          <w:sz w:val="24"/>
          <w:szCs w:val="24"/>
        </w:rPr>
        <w:fldChar w:fldCharType="begin"/>
      </w:r>
      <w:r w:rsidRPr="00CA5720">
        <w:rPr>
          <w:rFonts w:ascii="Arial" w:hAnsi="Arial" w:cs="Arial"/>
          <w:color w:val="auto"/>
          <w:sz w:val="24"/>
          <w:szCs w:val="24"/>
        </w:rPr>
        <w:instrText xml:space="preserve"> SEQ Tabla \* ARABIC \s 1 </w:instrText>
      </w:r>
      <w:r w:rsidRPr="00CA5720">
        <w:rPr>
          <w:rFonts w:ascii="Arial" w:hAnsi="Arial" w:cs="Arial"/>
          <w:color w:val="auto"/>
          <w:sz w:val="24"/>
          <w:szCs w:val="24"/>
        </w:rPr>
        <w:fldChar w:fldCharType="separate"/>
      </w:r>
      <w:r w:rsidRPr="00CA5720">
        <w:rPr>
          <w:rFonts w:ascii="Arial" w:hAnsi="Arial" w:cs="Arial"/>
          <w:noProof/>
          <w:color w:val="auto"/>
          <w:sz w:val="24"/>
          <w:szCs w:val="24"/>
        </w:rPr>
        <w:t>74</w:t>
      </w:r>
      <w:r w:rsidRPr="00CA5720">
        <w:rPr>
          <w:rFonts w:ascii="Arial" w:hAnsi="Arial" w:cs="Arial"/>
          <w:noProof/>
          <w:color w:val="auto"/>
          <w:sz w:val="24"/>
          <w:szCs w:val="24"/>
        </w:rPr>
        <w:fldChar w:fldCharType="end"/>
      </w:r>
      <w:r w:rsidRPr="00CA5720">
        <w:rPr>
          <w:rFonts w:ascii="Arial" w:hAnsi="Arial" w:cs="Arial"/>
          <w:color w:val="auto"/>
          <w:sz w:val="24"/>
          <w:szCs w:val="24"/>
        </w:rPr>
        <w:t xml:space="preserve"> PROV - Entidades más representativas</w:t>
      </w:r>
      <w:bookmarkEnd w:id="127"/>
    </w:p>
    <w:p w:rsidR="00CA5720" w:rsidRPr="00A320BE" w:rsidRDefault="00CA5720" w:rsidP="00CA5720">
      <w:pPr>
        <w:jc w:val="center"/>
      </w:pPr>
      <w:r w:rsidRPr="00A320BE">
        <w:rPr>
          <w:noProof/>
          <w:lang w:val="es-CO" w:eastAsia="es-CO"/>
        </w:rPr>
        <w:lastRenderedPageBreak/>
        <w:drawing>
          <wp:inline distT="0" distB="0" distL="0" distR="0" wp14:anchorId="10B70BC5" wp14:editId="594B4348">
            <wp:extent cx="5943600" cy="4903470"/>
            <wp:effectExtent l="0" t="0" r="0" b="0"/>
            <wp:docPr id="16955540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903470"/>
                    </a:xfrm>
                    <a:prstGeom prst="rect">
                      <a:avLst/>
                    </a:prstGeom>
                    <a:noFill/>
                    <a:ln>
                      <a:noFill/>
                    </a:ln>
                  </pic:spPr>
                </pic:pic>
              </a:graphicData>
            </a:graphic>
          </wp:inline>
        </w:drawing>
      </w:r>
    </w:p>
    <w:p w:rsidR="00CA5720" w:rsidRPr="00A320BE" w:rsidRDefault="00CA5720" w:rsidP="00CA5720">
      <w:pPr>
        <w:ind w:left="284" w:right="333"/>
        <w:jc w:val="both"/>
        <w:rPr>
          <w:sz w:val="18"/>
          <w:szCs w:val="18"/>
        </w:rPr>
      </w:pPr>
      <w:r w:rsidRPr="00A320BE">
        <w:rPr>
          <w:sz w:val="18"/>
          <w:szCs w:val="18"/>
        </w:rPr>
        <w:t>En la clasificación “Resto de Entidades que reportan” se reflejan los saldos reportados por las demás entidades, los cuales analizados individualmente son inferiores a los reportados por las entidades más representativas.</w:t>
      </w:r>
    </w:p>
    <w:p w:rsidR="00CA5720" w:rsidRPr="00A320BE" w:rsidRDefault="00CA5720" w:rsidP="00CA5720">
      <w:pPr>
        <w:pStyle w:val="Textoindependiente"/>
        <w:jc w:val="both"/>
        <w:rPr>
          <w:rFonts w:ascii="Montserrat Medium" w:hAnsi="Montserrat Medium"/>
          <w:lang w:val="es-CO"/>
        </w:rPr>
      </w:pPr>
    </w:p>
    <w:p w:rsidR="00CA5720" w:rsidRPr="00CA5720" w:rsidRDefault="00CA5720" w:rsidP="00092835">
      <w:pPr>
        <w:ind w:left="-142" w:right="-518"/>
        <w:jc w:val="both"/>
        <w:rPr>
          <w:rFonts w:ascii="Arial" w:hAnsi="Arial" w:cs="Arial"/>
        </w:rPr>
      </w:pPr>
      <w:r w:rsidRPr="00CA5720">
        <w:rPr>
          <w:rFonts w:ascii="Arial" w:hAnsi="Arial" w:cs="Arial"/>
        </w:rPr>
        <w:t xml:space="preserve">Teniendo en cuenta que, para el año 2022, el universo de entidades consolidadas fue de 343, es importante mencionar que, 234 entidades reportaron saldos en la cuenta Litigios y demandas; 78 en Provisiones diversas; 4 en Provisión fondos de garantías; 4 en Servicios y tecnologías en salud; y 2 en Provisión para seguros y reaseguros. </w:t>
      </w:r>
    </w:p>
    <w:p w:rsidR="00CA5720" w:rsidRPr="00CA5720" w:rsidRDefault="00CA5720" w:rsidP="00092835">
      <w:pPr>
        <w:ind w:left="-142" w:right="-518"/>
        <w:jc w:val="both"/>
        <w:rPr>
          <w:rFonts w:ascii="Arial" w:hAnsi="Arial" w:cs="Arial"/>
        </w:rPr>
      </w:pPr>
    </w:p>
    <w:p w:rsidR="00CA5720" w:rsidRPr="00092835" w:rsidRDefault="00CA5720" w:rsidP="00092835">
      <w:pPr>
        <w:ind w:left="-142" w:right="-518"/>
        <w:jc w:val="both"/>
        <w:rPr>
          <w:rFonts w:ascii="Arial" w:hAnsi="Arial" w:cs="Arial"/>
        </w:rPr>
      </w:pPr>
      <w:r w:rsidRPr="00CA5720">
        <w:rPr>
          <w:rFonts w:ascii="Arial" w:hAnsi="Arial" w:cs="Arial"/>
        </w:rPr>
        <w:t>El Ministerio de Defensa Nacional presenta en la cuenta Litigios y demandas un saldo de $11.664,1, con un aumento del 33,6% frente al año 2021.</w:t>
      </w:r>
      <w:r w:rsidRPr="00A320BE">
        <w:t xml:space="preserve"> </w:t>
      </w:r>
      <w:r w:rsidRPr="00092835">
        <w:rPr>
          <w:rFonts w:ascii="Arial" w:hAnsi="Arial" w:cs="Arial"/>
        </w:rPr>
        <w:t>Según sus revelaciones, dicho aumento es debido a:</w:t>
      </w:r>
    </w:p>
    <w:p w:rsidR="00CA5720" w:rsidRPr="00092835" w:rsidRDefault="00CA5720" w:rsidP="00CA5720">
      <w:pPr>
        <w:jc w:val="both"/>
        <w:rPr>
          <w:rFonts w:ascii="Arial" w:hAnsi="Arial" w:cs="Arial"/>
        </w:rPr>
      </w:pPr>
    </w:p>
    <w:p w:rsidR="00CA5720" w:rsidRPr="00092835" w:rsidRDefault="00CA5720" w:rsidP="00092835">
      <w:pPr>
        <w:ind w:left="567" w:right="-518"/>
        <w:jc w:val="both"/>
        <w:rPr>
          <w:rFonts w:ascii="Arial" w:hAnsi="Arial" w:cs="Arial"/>
        </w:rPr>
      </w:pPr>
      <w:r w:rsidRPr="00092835">
        <w:rPr>
          <w:rFonts w:ascii="Arial" w:hAnsi="Arial" w:cs="Arial"/>
        </w:rPr>
        <w:t xml:space="preserve"> “Las conciliaciones que se encuentran en las provisiones pueden tener variación tanto de aumento como disminución de acuerdo con las actualizaciones que presentan los apoderados en el sistema jurídico, amparados en la Resolución Ministerial 9510 del 22 de diciembre de 2017, donde se adopta una metodología de reconocido valor técnico para el cálculo de la provisión contable o en el comité de conciliación, de igual para el periodo se realizó la actualización financiera de las provisiones utilizando la tasa de descuento a 5 años (TES-tasa cero cupón pesos), correspondiente al último día del mes que se estableció para que el apoderado realizara la calificación del riesgo y provisión contable de los procesos, en este caso se efectuó con la tasa del 13% (como se reflejó en cuadro anterior) correspondiente al 30 de noviembre de 2022; aumentando el valor de la provisión por este concepto en </w:t>
      </w:r>
      <w:r w:rsidRPr="00092835">
        <w:rPr>
          <w:rFonts w:ascii="Arial" w:hAnsi="Arial" w:cs="Arial"/>
        </w:rPr>
        <w:lastRenderedPageBreak/>
        <w:t>$2.843.150.057.948,78”(cifra citada se expresa en pesos colombianos en la revelación de la entidad). Así mismo para la vigencia 2022, se realizó la actualización financiera de las provisiones.</w:t>
      </w:r>
    </w:p>
    <w:p w:rsidR="00CA5720" w:rsidRPr="00092835" w:rsidRDefault="00CA5720" w:rsidP="00CA5720">
      <w:pPr>
        <w:jc w:val="both"/>
        <w:rPr>
          <w:rFonts w:ascii="Arial" w:hAnsi="Arial" w:cs="Arial"/>
        </w:rPr>
      </w:pPr>
    </w:p>
    <w:p w:rsidR="00CA5720" w:rsidRPr="00092835" w:rsidRDefault="00CA5720" w:rsidP="00092835">
      <w:pPr>
        <w:ind w:left="-142" w:right="-518"/>
        <w:jc w:val="both"/>
        <w:rPr>
          <w:rFonts w:ascii="Arial" w:hAnsi="Arial" w:cs="Arial"/>
        </w:rPr>
      </w:pPr>
      <w:r w:rsidRPr="00092835">
        <w:rPr>
          <w:rFonts w:ascii="Arial" w:hAnsi="Arial" w:cs="Arial"/>
        </w:rPr>
        <w:t>De otra parte, la Policía Nacional también presenta un aumento del pasivo por Litigios y demandas de $1.058,3, entre 2022 y 2021, y en sus notas a los estados financieros señala que, obedece principalmente, “(…) a procesos en contra de la entidad toda la información es suministrada por la oficina de la Secretaría General, mediante el comunicado oficial GS-2023-000013-SEGEN, donde existen 7.123 procesos en total (…)”.</w:t>
      </w:r>
    </w:p>
    <w:p w:rsidR="00CA5720" w:rsidRPr="00092835" w:rsidRDefault="00CA5720" w:rsidP="00092835">
      <w:pPr>
        <w:ind w:left="-142" w:right="-518"/>
        <w:jc w:val="both"/>
        <w:rPr>
          <w:rFonts w:ascii="Arial" w:hAnsi="Arial" w:cs="Arial"/>
        </w:rPr>
      </w:pPr>
    </w:p>
    <w:p w:rsidR="00CA5720" w:rsidRPr="00092835" w:rsidRDefault="00CA5720" w:rsidP="00092835">
      <w:pPr>
        <w:ind w:left="-142" w:right="-518"/>
        <w:jc w:val="both"/>
        <w:rPr>
          <w:rFonts w:ascii="Arial" w:hAnsi="Arial" w:cs="Arial"/>
        </w:rPr>
      </w:pPr>
      <w:r w:rsidRPr="00092835">
        <w:rPr>
          <w:rFonts w:ascii="Arial" w:hAnsi="Arial" w:cs="Arial"/>
        </w:rPr>
        <w:t>Finalmente, y teniendo en cuenta la variación del 117,9% que presenta el instituto Nacional Penitenciario y Carcelario (INPEC) en Litigios y demandas, este enuncia en sus notas a los estados financieros que:</w:t>
      </w:r>
    </w:p>
    <w:p w:rsidR="00CA5720" w:rsidRPr="00092835" w:rsidRDefault="00CA5720" w:rsidP="00CA5720">
      <w:pPr>
        <w:jc w:val="both"/>
        <w:rPr>
          <w:rFonts w:ascii="Arial" w:hAnsi="Arial" w:cs="Arial"/>
        </w:rPr>
      </w:pPr>
    </w:p>
    <w:p w:rsidR="00CA5720" w:rsidRPr="00092835" w:rsidRDefault="00CA5720" w:rsidP="00092835">
      <w:pPr>
        <w:ind w:left="567" w:right="-518"/>
        <w:jc w:val="both"/>
        <w:rPr>
          <w:rFonts w:ascii="Arial" w:hAnsi="Arial" w:cs="Arial"/>
        </w:rPr>
      </w:pPr>
      <w:r w:rsidRPr="00092835">
        <w:rPr>
          <w:rFonts w:ascii="Arial" w:hAnsi="Arial" w:cs="Arial"/>
        </w:rPr>
        <w:t xml:space="preserve"> “La variación de la cuenta obedece a que en la vigencia 2022, se efectuaron registros de procesos nuevos por valor de $283.412.815, variaciones por valor de $1.716.651.092.717 (se registró en el mes de septiembre una acción de grupo correspondiente al proceso con ID 957155 por valor de $1.613.267.093.877) y procesos terminados por valor de $208.854.322.084; adicional a lo anterior se reconocieron procesos que en la vigencia anterior no se registraron contablemente por no tener la identificación creada en SIIF Nación de acuerdo a oficio N°. 2021IE0162827 del 17 de agosto de 2021, suscrito por la Directora De Gestión Corporativa indicando "el grupo contable no realizará registro en los estados financieros de los procesos que no tengan su identificación creada en SIIF Nación". con base en oficio 2022IE0186720 del 7 de sep</w:t>
      </w:r>
      <w:r w:rsidR="00D9037D">
        <w:rPr>
          <w:rFonts w:ascii="Arial" w:hAnsi="Arial" w:cs="Arial"/>
        </w:rPr>
        <w:t>tiembre</w:t>
      </w:r>
      <w:r w:rsidRPr="00092835">
        <w:rPr>
          <w:rFonts w:ascii="Arial" w:hAnsi="Arial" w:cs="Arial"/>
        </w:rPr>
        <w:t xml:space="preserve"> de 2022” (cifra citada se expresa en pesos colombianos en la revelación de la entidad).</w:t>
      </w:r>
    </w:p>
    <w:p w:rsidR="000A60F9" w:rsidRDefault="000A60F9" w:rsidP="000A60F9">
      <w:pPr>
        <w:ind w:left="-142" w:right="-518"/>
        <w:jc w:val="both"/>
        <w:rPr>
          <w:rFonts w:ascii="Arial" w:hAnsi="Arial" w:cs="Arial"/>
        </w:rPr>
      </w:pPr>
    </w:p>
    <w:p w:rsidR="00CF4943" w:rsidRPr="00CF4943" w:rsidRDefault="00CF4943" w:rsidP="00CF4943">
      <w:pPr>
        <w:pStyle w:val="Ttulo6"/>
        <w:ind w:left="-142"/>
        <w:rPr>
          <w:rFonts w:ascii="Arial" w:hAnsi="Arial" w:cs="Arial"/>
          <w:b/>
          <w:color w:val="auto"/>
          <w:sz w:val="28"/>
          <w:szCs w:val="28"/>
          <w:lang w:eastAsia="es-CO"/>
        </w:rPr>
      </w:pPr>
      <w:r w:rsidRPr="00CF4943">
        <w:rPr>
          <w:rFonts w:ascii="Arial" w:hAnsi="Arial" w:cs="Arial"/>
          <w:b/>
          <w:color w:val="auto"/>
          <w:sz w:val="28"/>
          <w:szCs w:val="28"/>
        </w:rPr>
        <w:t xml:space="preserve">NOTA 26 – 2. </w:t>
      </w:r>
      <w:r w:rsidRPr="00CF4943">
        <w:rPr>
          <w:rFonts w:ascii="Arial" w:hAnsi="Arial" w:cs="Arial"/>
          <w:b/>
          <w:color w:val="auto"/>
          <w:sz w:val="28"/>
          <w:szCs w:val="28"/>
          <w:lang w:eastAsia="es-CO"/>
        </w:rPr>
        <w:t>Pasivos Contingentes.</w:t>
      </w:r>
    </w:p>
    <w:p w:rsidR="00CF4943" w:rsidRPr="00CF4943" w:rsidRDefault="00CF4943" w:rsidP="00CF4943">
      <w:pPr>
        <w:rPr>
          <w:lang w:eastAsia="es-CO"/>
        </w:rPr>
      </w:pPr>
    </w:p>
    <w:p w:rsidR="00CF4943" w:rsidRPr="00CF4943" w:rsidRDefault="00CF4943" w:rsidP="00CF4943">
      <w:pPr>
        <w:ind w:left="-142" w:right="-518"/>
        <w:jc w:val="both"/>
        <w:rPr>
          <w:rFonts w:ascii="Arial" w:hAnsi="Arial" w:cs="Arial"/>
        </w:rPr>
      </w:pPr>
      <w:r w:rsidRPr="00CF4943">
        <w:rPr>
          <w:rFonts w:ascii="Arial" w:hAnsi="Arial" w:cs="Arial"/>
        </w:rPr>
        <w:t xml:space="preserve">En el Estado de Situación Financiera Consolidado se incluye como revelación el grupo de Pasivos contingentes, que hace parte de las cuentas de orden acreedoras, las cuales representan la estimación de hechos o circunstancias que pueden afectar la situación financiera, económica, social y ambiental de la entidad contable pública, así como el valor de los bienes, derechos y obligaciones que requieren ser controlados. También incluye el valor originado en las diferencias presentadas entre la información contable pública y la utilizada para propósitos tributarios. </w:t>
      </w:r>
    </w:p>
    <w:p w:rsidR="00CF4943" w:rsidRPr="00CF4943" w:rsidRDefault="00CF4943" w:rsidP="00CF4943">
      <w:pPr>
        <w:ind w:left="-142" w:right="-518"/>
        <w:jc w:val="both"/>
        <w:rPr>
          <w:rFonts w:ascii="Arial" w:hAnsi="Arial" w:cs="Arial"/>
        </w:rPr>
      </w:pPr>
    </w:p>
    <w:p w:rsidR="00CF4943" w:rsidRPr="00CF4943" w:rsidRDefault="00CF4943" w:rsidP="00CF4943">
      <w:pPr>
        <w:ind w:left="-142" w:right="-518"/>
        <w:jc w:val="both"/>
        <w:rPr>
          <w:rFonts w:ascii="Arial" w:hAnsi="Arial" w:cs="Arial"/>
        </w:rPr>
      </w:pPr>
      <w:r w:rsidRPr="00CF4943">
        <w:rPr>
          <w:rFonts w:ascii="Arial" w:hAnsi="Arial" w:cs="Arial"/>
        </w:rPr>
        <w:t>En la siguiente tabla se presentan, de forma comparativa con el año anterior, los conceptos a nivel de cuenta que registraron los mayores valores para el año 2022.</w:t>
      </w:r>
    </w:p>
    <w:p w:rsidR="00CF4943" w:rsidRPr="00CF4943" w:rsidRDefault="00CF4943" w:rsidP="00CF4943">
      <w:pPr>
        <w:jc w:val="both"/>
        <w:rPr>
          <w:rFonts w:ascii="Arial" w:hAnsi="Arial" w:cs="Arial"/>
        </w:rPr>
      </w:pPr>
    </w:p>
    <w:p w:rsidR="00CF4943" w:rsidRPr="00CF4943" w:rsidRDefault="00CF4943" w:rsidP="00CF4943">
      <w:pPr>
        <w:pStyle w:val="Descripcin"/>
        <w:jc w:val="center"/>
        <w:rPr>
          <w:rFonts w:ascii="Arial" w:hAnsi="Arial" w:cs="Arial"/>
          <w:color w:val="auto"/>
          <w:sz w:val="24"/>
          <w:szCs w:val="24"/>
        </w:rPr>
      </w:pPr>
      <w:bookmarkStart w:id="128" w:name="_Toc135044843"/>
      <w:r w:rsidRPr="00CF4943">
        <w:rPr>
          <w:rFonts w:ascii="Arial" w:hAnsi="Arial" w:cs="Arial"/>
          <w:color w:val="auto"/>
          <w:sz w:val="24"/>
          <w:szCs w:val="24"/>
        </w:rPr>
        <w:t xml:space="preserve">Tabla </w:t>
      </w:r>
      <w:r w:rsidRPr="00CF4943">
        <w:rPr>
          <w:rFonts w:ascii="Arial" w:hAnsi="Arial" w:cs="Arial"/>
          <w:color w:val="auto"/>
          <w:sz w:val="24"/>
          <w:szCs w:val="24"/>
        </w:rPr>
        <w:fldChar w:fldCharType="begin"/>
      </w:r>
      <w:r w:rsidRPr="00CF4943">
        <w:rPr>
          <w:rFonts w:ascii="Arial" w:hAnsi="Arial" w:cs="Arial"/>
          <w:color w:val="auto"/>
          <w:sz w:val="24"/>
          <w:szCs w:val="24"/>
        </w:rPr>
        <w:instrText xml:space="preserve"> STYLEREF 1 \s </w:instrText>
      </w:r>
      <w:r w:rsidRPr="00CF4943">
        <w:rPr>
          <w:rFonts w:ascii="Arial" w:hAnsi="Arial" w:cs="Arial"/>
          <w:color w:val="auto"/>
          <w:sz w:val="24"/>
          <w:szCs w:val="24"/>
        </w:rPr>
        <w:fldChar w:fldCharType="separate"/>
      </w:r>
      <w:r w:rsidRPr="00CF4943">
        <w:rPr>
          <w:rFonts w:ascii="Arial" w:hAnsi="Arial" w:cs="Arial"/>
          <w:noProof/>
          <w:color w:val="auto"/>
          <w:sz w:val="24"/>
          <w:szCs w:val="24"/>
        </w:rPr>
        <w:t>4</w:t>
      </w:r>
      <w:r w:rsidRPr="00CF4943">
        <w:rPr>
          <w:rFonts w:ascii="Arial" w:hAnsi="Arial" w:cs="Arial"/>
          <w:noProof/>
          <w:color w:val="auto"/>
          <w:sz w:val="24"/>
          <w:szCs w:val="24"/>
        </w:rPr>
        <w:fldChar w:fldCharType="end"/>
      </w:r>
      <w:r w:rsidRPr="00CF4943">
        <w:rPr>
          <w:rFonts w:ascii="Arial" w:hAnsi="Arial" w:cs="Arial"/>
          <w:color w:val="auto"/>
          <w:sz w:val="24"/>
          <w:szCs w:val="24"/>
        </w:rPr>
        <w:noBreakHyphen/>
      </w:r>
      <w:r w:rsidRPr="00CF4943">
        <w:rPr>
          <w:rFonts w:ascii="Arial" w:hAnsi="Arial" w:cs="Arial"/>
          <w:color w:val="auto"/>
          <w:sz w:val="24"/>
          <w:szCs w:val="24"/>
        </w:rPr>
        <w:fldChar w:fldCharType="begin"/>
      </w:r>
      <w:r w:rsidRPr="00CF4943">
        <w:rPr>
          <w:rFonts w:ascii="Arial" w:hAnsi="Arial" w:cs="Arial"/>
          <w:color w:val="auto"/>
          <w:sz w:val="24"/>
          <w:szCs w:val="24"/>
        </w:rPr>
        <w:instrText xml:space="preserve"> SEQ Tabla \* ARABIC \s 1 </w:instrText>
      </w:r>
      <w:r w:rsidRPr="00CF4943">
        <w:rPr>
          <w:rFonts w:ascii="Arial" w:hAnsi="Arial" w:cs="Arial"/>
          <w:color w:val="auto"/>
          <w:sz w:val="24"/>
          <w:szCs w:val="24"/>
        </w:rPr>
        <w:fldChar w:fldCharType="separate"/>
      </w:r>
      <w:r w:rsidRPr="00CF4943">
        <w:rPr>
          <w:rFonts w:ascii="Arial" w:hAnsi="Arial" w:cs="Arial"/>
          <w:noProof/>
          <w:color w:val="auto"/>
          <w:sz w:val="24"/>
          <w:szCs w:val="24"/>
        </w:rPr>
        <w:t>80</w:t>
      </w:r>
      <w:r w:rsidRPr="00CF4943">
        <w:rPr>
          <w:rFonts w:ascii="Arial" w:hAnsi="Arial" w:cs="Arial"/>
          <w:noProof/>
          <w:color w:val="auto"/>
          <w:sz w:val="24"/>
          <w:szCs w:val="24"/>
        </w:rPr>
        <w:fldChar w:fldCharType="end"/>
      </w:r>
      <w:r w:rsidRPr="00CF4943">
        <w:rPr>
          <w:rFonts w:ascii="Arial" w:hAnsi="Arial" w:cs="Arial"/>
          <w:color w:val="auto"/>
          <w:sz w:val="24"/>
          <w:szCs w:val="24"/>
        </w:rPr>
        <w:t xml:space="preserve"> Pasivos contingentes (PACON) – Composición</w:t>
      </w:r>
      <w:bookmarkEnd w:id="128"/>
    </w:p>
    <w:p w:rsidR="00CF4943" w:rsidRPr="00A320BE" w:rsidRDefault="00CF4943" w:rsidP="00CF4943">
      <w:pPr>
        <w:pStyle w:val="Textoindependiente"/>
        <w:jc w:val="both"/>
        <w:rPr>
          <w:rFonts w:ascii="Montserrat Medium" w:hAnsi="Montserrat Medium"/>
          <w:color w:val="000000" w:themeColor="text1"/>
          <w:sz w:val="20"/>
          <w:szCs w:val="20"/>
          <w:lang w:val="es-CO"/>
        </w:rPr>
      </w:pPr>
      <w:r w:rsidRPr="00A320BE">
        <w:rPr>
          <w:noProof/>
          <w:lang w:val="es-CO" w:eastAsia="es-CO"/>
        </w:rPr>
        <w:lastRenderedPageBreak/>
        <w:drawing>
          <wp:inline distT="0" distB="0" distL="0" distR="0" wp14:anchorId="41E1C261" wp14:editId="0CEACE18">
            <wp:extent cx="5943600" cy="3264535"/>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p>
    <w:p w:rsidR="00CF4943" w:rsidRDefault="00CF4943" w:rsidP="00CF4943">
      <w:pPr>
        <w:jc w:val="both"/>
      </w:pPr>
    </w:p>
    <w:p w:rsidR="00CF4943" w:rsidRPr="00CF4943" w:rsidRDefault="00CF4943" w:rsidP="00CF4943">
      <w:pPr>
        <w:ind w:left="-142" w:right="-518"/>
        <w:jc w:val="both"/>
        <w:rPr>
          <w:rFonts w:ascii="Arial" w:hAnsi="Arial" w:cs="Arial"/>
        </w:rPr>
      </w:pPr>
      <w:r w:rsidRPr="00CF4943">
        <w:rPr>
          <w:rFonts w:ascii="Arial" w:hAnsi="Arial" w:cs="Arial"/>
        </w:rPr>
        <w:t xml:space="preserve">Al 31 de diciembre del 2022 el consolidado del grupo Pasivos contingentes del nivel nacional alcanzó la suma de $12.710.408,8 que representa el 95,5% del valor de las Cuentas de orden acreedoras. </w:t>
      </w:r>
    </w:p>
    <w:p w:rsidR="00CF4943" w:rsidRPr="00CF4943" w:rsidRDefault="00CF4943" w:rsidP="00CF4943">
      <w:pPr>
        <w:ind w:left="-142" w:right="-518"/>
        <w:jc w:val="both"/>
        <w:rPr>
          <w:rFonts w:ascii="Arial" w:hAnsi="Arial" w:cs="Arial"/>
        </w:rPr>
      </w:pPr>
    </w:p>
    <w:p w:rsidR="00CF4943" w:rsidRPr="00CF4943" w:rsidRDefault="00CF4943" w:rsidP="00CF4943">
      <w:pPr>
        <w:ind w:left="-142" w:right="-518"/>
        <w:rPr>
          <w:rFonts w:ascii="Arial" w:hAnsi="Arial" w:cs="Arial"/>
          <w:b/>
          <w:sz w:val="28"/>
          <w:szCs w:val="28"/>
        </w:rPr>
      </w:pPr>
      <w:r w:rsidRPr="00CF4943">
        <w:rPr>
          <w:rFonts w:ascii="Arial" w:hAnsi="Arial" w:cs="Arial"/>
          <w:b/>
          <w:sz w:val="28"/>
          <w:szCs w:val="28"/>
        </w:rPr>
        <w:t>Entidades que registran los mayores valores de Pasivos contingentes</w:t>
      </w:r>
    </w:p>
    <w:p w:rsidR="00CF4943" w:rsidRPr="00CF4943" w:rsidRDefault="00CF4943" w:rsidP="00CF4943">
      <w:pPr>
        <w:ind w:left="-142" w:right="-518"/>
        <w:jc w:val="both"/>
        <w:rPr>
          <w:rFonts w:ascii="Arial" w:hAnsi="Arial" w:cs="Arial"/>
        </w:rPr>
      </w:pPr>
    </w:p>
    <w:p w:rsidR="00CF4943" w:rsidRPr="00CF4943" w:rsidRDefault="00CF4943" w:rsidP="00CF4943">
      <w:pPr>
        <w:ind w:left="-142" w:right="-518"/>
        <w:jc w:val="both"/>
        <w:rPr>
          <w:rFonts w:ascii="Arial" w:hAnsi="Arial" w:cs="Arial"/>
        </w:rPr>
      </w:pPr>
      <w:r w:rsidRPr="00CF4943">
        <w:rPr>
          <w:rFonts w:ascii="Arial" w:hAnsi="Arial" w:cs="Arial"/>
        </w:rPr>
        <w:t>Partiendo del saldo agregado del grupo Pasivos Contingentes para el periodo de análisis, a continuación, se listan las entidades que registran los mayores valores en los conceptos: Litigios y mecanismos alternativos de solución de conflictos, Cálculo actuarial de los fondos de pensiones administrados por Colpensiones, Garantía estatal en el régimen de prima media con prestación definida y Otros pasivos contingentes.</w:t>
      </w:r>
    </w:p>
    <w:p w:rsidR="00CF4943" w:rsidRPr="00CF4943" w:rsidRDefault="00CF4943" w:rsidP="00CF4943">
      <w:pPr>
        <w:jc w:val="both"/>
        <w:rPr>
          <w:rFonts w:ascii="Arial" w:hAnsi="Arial" w:cs="Arial"/>
        </w:rPr>
      </w:pPr>
    </w:p>
    <w:p w:rsidR="00CF4943" w:rsidRPr="00CF4943" w:rsidRDefault="00CF4943" w:rsidP="00CF4943">
      <w:pPr>
        <w:pStyle w:val="Descripcin"/>
        <w:jc w:val="center"/>
        <w:rPr>
          <w:rFonts w:ascii="Arial" w:hAnsi="Arial" w:cs="Arial"/>
          <w:color w:val="auto"/>
          <w:sz w:val="24"/>
          <w:szCs w:val="24"/>
        </w:rPr>
      </w:pPr>
      <w:bookmarkStart w:id="129" w:name="_Toc135044844"/>
      <w:r w:rsidRPr="00CF4943">
        <w:rPr>
          <w:rFonts w:ascii="Arial" w:hAnsi="Arial" w:cs="Arial"/>
          <w:color w:val="auto"/>
          <w:sz w:val="24"/>
          <w:szCs w:val="24"/>
        </w:rPr>
        <w:t xml:space="preserve">Tabla </w:t>
      </w:r>
      <w:r w:rsidRPr="00CF4943">
        <w:rPr>
          <w:rFonts w:ascii="Arial" w:hAnsi="Arial" w:cs="Arial"/>
          <w:color w:val="auto"/>
          <w:sz w:val="24"/>
          <w:szCs w:val="24"/>
        </w:rPr>
        <w:fldChar w:fldCharType="begin"/>
      </w:r>
      <w:r w:rsidRPr="00CF4943">
        <w:rPr>
          <w:rFonts w:ascii="Arial" w:hAnsi="Arial" w:cs="Arial"/>
          <w:color w:val="auto"/>
          <w:sz w:val="24"/>
          <w:szCs w:val="24"/>
        </w:rPr>
        <w:instrText xml:space="preserve"> STYLEREF 1 \s </w:instrText>
      </w:r>
      <w:r w:rsidRPr="00CF4943">
        <w:rPr>
          <w:rFonts w:ascii="Arial" w:hAnsi="Arial" w:cs="Arial"/>
          <w:color w:val="auto"/>
          <w:sz w:val="24"/>
          <w:szCs w:val="24"/>
        </w:rPr>
        <w:fldChar w:fldCharType="separate"/>
      </w:r>
      <w:r w:rsidRPr="00CF4943">
        <w:rPr>
          <w:rFonts w:ascii="Arial" w:hAnsi="Arial" w:cs="Arial"/>
          <w:noProof/>
          <w:color w:val="auto"/>
          <w:sz w:val="24"/>
          <w:szCs w:val="24"/>
        </w:rPr>
        <w:t>4</w:t>
      </w:r>
      <w:r w:rsidRPr="00CF4943">
        <w:rPr>
          <w:rFonts w:ascii="Arial" w:hAnsi="Arial" w:cs="Arial"/>
          <w:noProof/>
          <w:color w:val="auto"/>
          <w:sz w:val="24"/>
          <w:szCs w:val="24"/>
        </w:rPr>
        <w:fldChar w:fldCharType="end"/>
      </w:r>
      <w:r w:rsidRPr="00CF4943">
        <w:rPr>
          <w:rFonts w:ascii="Arial" w:hAnsi="Arial" w:cs="Arial"/>
          <w:color w:val="auto"/>
          <w:sz w:val="24"/>
          <w:szCs w:val="24"/>
        </w:rPr>
        <w:noBreakHyphen/>
      </w:r>
      <w:r w:rsidRPr="00CF4943">
        <w:rPr>
          <w:rFonts w:ascii="Arial" w:hAnsi="Arial" w:cs="Arial"/>
          <w:color w:val="auto"/>
          <w:sz w:val="24"/>
          <w:szCs w:val="24"/>
        </w:rPr>
        <w:fldChar w:fldCharType="begin"/>
      </w:r>
      <w:r w:rsidRPr="00CF4943">
        <w:rPr>
          <w:rFonts w:ascii="Arial" w:hAnsi="Arial" w:cs="Arial"/>
          <w:color w:val="auto"/>
          <w:sz w:val="24"/>
          <w:szCs w:val="24"/>
        </w:rPr>
        <w:instrText xml:space="preserve"> SEQ Tabla \* ARABIC \s 1 </w:instrText>
      </w:r>
      <w:r w:rsidRPr="00CF4943">
        <w:rPr>
          <w:rFonts w:ascii="Arial" w:hAnsi="Arial" w:cs="Arial"/>
          <w:color w:val="auto"/>
          <w:sz w:val="24"/>
          <w:szCs w:val="24"/>
        </w:rPr>
        <w:fldChar w:fldCharType="separate"/>
      </w:r>
      <w:r w:rsidRPr="00CF4943">
        <w:rPr>
          <w:rFonts w:ascii="Arial" w:hAnsi="Arial" w:cs="Arial"/>
          <w:noProof/>
          <w:color w:val="auto"/>
          <w:sz w:val="24"/>
          <w:szCs w:val="24"/>
        </w:rPr>
        <w:t>81</w:t>
      </w:r>
      <w:r w:rsidRPr="00CF4943">
        <w:rPr>
          <w:rFonts w:ascii="Arial" w:hAnsi="Arial" w:cs="Arial"/>
          <w:noProof/>
          <w:color w:val="auto"/>
          <w:sz w:val="24"/>
          <w:szCs w:val="24"/>
        </w:rPr>
        <w:fldChar w:fldCharType="end"/>
      </w:r>
      <w:r w:rsidRPr="00CF4943">
        <w:rPr>
          <w:rFonts w:ascii="Arial" w:hAnsi="Arial" w:cs="Arial"/>
          <w:color w:val="auto"/>
          <w:sz w:val="24"/>
          <w:szCs w:val="24"/>
        </w:rPr>
        <w:t xml:space="preserve"> PACON – Entidades más representativas</w:t>
      </w:r>
      <w:bookmarkEnd w:id="129"/>
    </w:p>
    <w:p w:rsidR="00CF4943" w:rsidRPr="00A320BE" w:rsidRDefault="00CF4943" w:rsidP="00CF4943">
      <w:pPr>
        <w:pStyle w:val="Textoindependiente"/>
        <w:ind w:left="708" w:hanging="708"/>
        <w:jc w:val="center"/>
        <w:rPr>
          <w:rFonts w:ascii="Montserrat Medium" w:hAnsi="Montserrat Medium"/>
          <w:sz w:val="20"/>
          <w:szCs w:val="20"/>
          <w:lang w:val="es-CO"/>
        </w:rPr>
      </w:pPr>
      <w:r w:rsidRPr="00A320BE">
        <w:rPr>
          <w:noProof/>
          <w:lang w:val="es-CO" w:eastAsia="es-CO"/>
        </w:rPr>
        <w:lastRenderedPageBreak/>
        <w:drawing>
          <wp:inline distT="0" distB="0" distL="0" distR="0" wp14:anchorId="26F133CE" wp14:editId="0E5D2B73">
            <wp:extent cx="5943600" cy="4886325"/>
            <wp:effectExtent l="0" t="0" r="0" b="9525"/>
            <wp:docPr id="74010128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p>
    <w:p w:rsidR="00CF4943" w:rsidRPr="00A320BE" w:rsidRDefault="00CF4943" w:rsidP="00CF4943">
      <w:pPr>
        <w:pStyle w:val="Textoindependiente"/>
        <w:ind w:left="284" w:right="333"/>
        <w:jc w:val="both"/>
        <w:rPr>
          <w:rFonts w:ascii="Montserrat Medium" w:hAnsi="Montserrat Medium"/>
          <w:sz w:val="18"/>
          <w:szCs w:val="18"/>
          <w:lang w:val="es-CO"/>
        </w:rPr>
      </w:pPr>
      <w:r w:rsidRPr="00A320BE">
        <w:rPr>
          <w:rFonts w:ascii="Montserrat Medium" w:hAnsi="Montserrat Medium"/>
          <w:sz w:val="18"/>
          <w:szCs w:val="18"/>
          <w:lang w:val="es-CO"/>
        </w:rPr>
        <w:t xml:space="preserve">*La clasificación “Resto de Entidades que reportan” </w:t>
      </w:r>
      <w:bookmarkStart w:id="130" w:name="_Hlk133432553"/>
      <w:bookmarkStart w:id="131" w:name="_Hlk133924088"/>
      <w:r w:rsidRPr="00A320BE">
        <w:rPr>
          <w:rFonts w:ascii="Montserrat Medium" w:hAnsi="Montserrat Medium"/>
          <w:sz w:val="18"/>
          <w:szCs w:val="18"/>
          <w:lang w:val="es-CO"/>
        </w:rPr>
        <w:t>incluye aquellas entidades cuyos saldos individuales</w:t>
      </w:r>
      <w:bookmarkEnd w:id="130"/>
      <w:r w:rsidRPr="00A320BE">
        <w:rPr>
          <w:rFonts w:ascii="Montserrat Medium" w:hAnsi="Montserrat Medium"/>
          <w:sz w:val="18"/>
          <w:szCs w:val="18"/>
          <w:lang w:val="es-CO"/>
        </w:rPr>
        <w:t xml:space="preserve"> </w:t>
      </w:r>
      <w:bookmarkEnd w:id="131"/>
      <w:r w:rsidRPr="00A320BE">
        <w:rPr>
          <w:rFonts w:ascii="Montserrat Medium" w:hAnsi="Montserrat Medium"/>
          <w:sz w:val="18"/>
          <w:szCs w:val="18"/>
          <w:lang w:val="es-CO"/>
        </w:rPr>
        <w:t>son inferiores a los reportados por las demás.</w:t>
      </w:r>
    </w:p>
    <w:p w:rsidR="00CF4943" w:rsidRPr="00A320BE" w:rsidRDefault="00CF4943" w:rsidP="00CF4943">
      <w:pPr>
        <w:pStyle w:val="Textoindependiente"/>
        <w:jc w:val="both"/>
        <w:rPr>
          <w:rFonts w:ascii="Montserrat Medium" w:hAnsi="Montserrat Medium"/>
          <w:sz w:val="20"/>
          <w:szCs w:val="20"/>
          <w:lang w:val="es-CO"/>
        </w:rPr>
      </w:pPr>
    </w:p>
    <w:p w:rsidR="00CF4943" w:rsidRPr="00CF4943" w:rsidRDefault="00CF4943" w:rsidP="00CF4943">
      <w:pPr>
        <w:ind w:left="-142" w:right="-518"/>
        <w:jc w:val="both"/>
        <w:rPr>
          <w:rFonts w:ascii="Arial" w:hAnsi="Arial" w:cs="Arial"/>
        </w:rPr>
      </w:pPr>
      <w:bookmarkStart w:id="132" w:name="_Hlk133924114"/>
      <w:r w:rsidRPr="00CF4943">
        <w:rPr>
          <w:rFonts w:ascii="Arial" w:hAnsi="Arial" w:cs="Arial"/>
        </w:rPr>
        <w:t xml:space="preserve">Es importante mencionar que, de las 343 entidades del nivel nacional consolidadas para el año 2022, </w:t>
      </w:r>
      <w:bookmarkEnd w:id="132"/>
      <w:r w:rsidRPr="00CF4943">
        <w:rPr>
          <w:rFonts w:ascii="Arial" w:hAnsi="Arial" w:cs="Arial"/>
        </w:rPr>
        <w:t>en relación con los saldos por Pasivos contingentes, 243 reportaron en la cuenta Litigios y mecanismos alternativos de solución de conflictos; 3 en Cálculo actuarial de los fondos de pensiones administrados por Colpensiones; 1 en Garantía estatal en el régimen de prima media con prestación definida; y 64 en Otros pasivos contingentes.</w:t>
      </w:r>
    </w:p>
    <w:p w:rsidR="00CF4943" w:rsidRPr="00CF4943" w:rsidRDefault="00CF4943" w:rsidP="00CF4943">
      <w:pPr>
        <w:ind w:left="-142" w:right="-518"/>
        <w:jc w:val="both"/>
        <w:rPr>
          <w:rFonts w:ascii="Arial" w:hAnsi="Arial" w:cs="Arial"/>
        </w:rPr>
      </w:pPr>
    </w:p>
    <w:p w:rsidR="00700541" w:rsidRDefault="00CF4943" w:rsidP="00700541">
      <w:pPr>
        <w:ind w:left="-142" w:right="-518"/>
        <w:jc w:val="both"/>
        <w:rPr>
          <w:rFonts w:ascii="Arial" w:hAnsi="Arial" w:cs="Arial"/>
        </w:rPr>
      </w:pPr>
      <w:r w:rsidRPr="00CF4943">
        <w:rPr>
          <w:rFonts w:ascii="Arial" w:hAnsi="Arial" w:cs="Arial"/>
          <w:b/>
          <w:u w:val="single"/>
        </w:rPr>
        <w:t>El Departamento Administrativo para la Prosperidad Social fue la entidad que presentó la mayor variación absoluta en la cuenta Litigios y mecanismos alternativos de solución de conflictos, alcanzando una cifra de $4.316.238,5,</w:t>
      </w:r>
      <w:r w:rsidRPr="00CF4943">
        <w:rPr>
          <w:rFonts w:ascii="Arial" w:hAnsi="Arial" w:cs="Arial"/>
        </w:rPr>
        <w:t xml:space="preserve"> con una participación del 47,0% sobre el total de la cuenta. De acuerdo con las revelaciones de la entidad, esta variación obedece a dos razones principales: la primera es que durante el mes de noviembre de 2022 los procesos cuya probabilidad de pérdida se consideraba remota pasaron a considerarse con probabilidad de pérdida posible; y la segunda es debido a la actualización de pretensiones. </w:t>
      </w:r>
      <w:r w:rsidR="00700541">
        <w:rPr>
          <w:rFonts w:ascii="Arial" w:hAnsi="Arial" w:cs="Arial"/>
        </w:rPr>
        <w:t>(Subrayado y resaltado fuera de texto).</w:t>
      </w:r>
    </w:p>
    <w:p w:rsidR="00CF4943" w:rsidRPr="00CF4943" w:rsidRDefault="00CF4943" w:rsidP="00CF4943">
      <w:pPr>
        <w:ind w:left="-142" w:right="-518"/>
        <w:jc w:val="both"/>
        <w:rPr>
          <w:rFonts w:ascii="Arial" w:hAnsi="Arial" w:cs="Arial"/>
        </w:rPr>
      </w:pPr>
    </w:p>
    <w:p w:rsidR="00700541" w:rsidRDefault="00CF4943" w:rsidP="00700541">
      <w:pPr>
        <w:ind w:left="-142" w:right="-518"/>
        <w:jc w:val="both"/>
        <w:rPr>
          <w:rFonts w:ascii="Arial" w:hAnsi="Arial" w:cs="Arial"/>
        </w:rPr>
      </w:pPr>
      <w:r w:rsidRPr="00CF4943">
        <w:rPr>
          <w:rFonts w:ascii="Arial" w:hAnsi="Arial" w:cs="Arial"/>
          <w:b/>
          <w:u w:val="single"/>
        </w:rPr>
        <w:t xml:space="preserve">De igual manera, para la cuenta Cálculo actuarial de los fondos de pensiones administrados por Colpensiones, la entidad Colpensiones - Fondo de Vejez, tuvo una participación del 94,9% sobre el total de la cuenta, presentando una variación absoluta de $127.159,3 al comparar las </w:t>
      </w:r>
      <w:r w:rsidRPr="00CF4943">
        <w:rPr>
          <w:rFonts w:ascii="Arial" w:hAnsi="Arial" w:cs="Arial"/>
          <w:b/>
          <w:u w:val="single"/>
        </w:rPr>
        <w:lastRenderedPageBreak/>
        <w:t>cifras de los años 2022 y 2021</w:t>
      </w:r>
      <w:r w:rsidRPr="00CF4943">
        <w:rPr>
          <w:rFonts w:ascii="Arial" w:hAnsi="Arial" w:cs="Arial"/>
        </w:rPr>
        <w:t>. Según sus revelaciones enuncia que:</w:t>
      </w:r>
      <w:r w:rsidR="00700541">
        <w:rPr>
          <w:rFonts w:ascii="Arial" w:hAnsi="Arial" w:cs="Arial"/>
        </w:rPr>
        <w:t xml:space="preserve"> (Subrayado y resaltado fuera de texto).</w:t>
      </w:r>
    </w:p>
    <w:p w:rsidR="00CF4943" w:rsidRPr="00CF4943" w:rsidRDefault="00CF4943" w:rsidP="00CF4943">
      <w:pPr>
        <w:ind w:left="-142" w:right="-518"/>
        <w:jc w:val="both"/>
        <w:rPr>
          <w:rFonts w:ascii="Arial" w:hAnsi="Arial" w:cs="Arial"/>
        </w:rPr>
      </w:pPr>
    </w:p>
    <w:p w:rsidR="00CF4943" w:rsidRPr="00CF4943" w:rsidRDefault="00CF4943" w:rsidP="00CF4943">
      <w:pPr>
        <w:ind w:left="709" w:right="-518"/>
        <w:jc w:val="both"/>
        <w:rPr>
          <w:rFonts w:ascii="Arial" w:hAnsi="Arial" w:cs="Arial"/>
        </w:rPr>
      </w:pPr>
      <w:r w:rsidRPr="00CF4943">
        <w:rPr>
          <w:rFonts w:ascii="Arial" w:hAnsi="Arial" w:cs="Arial"/>
        </w:rPr>
        <w:t xml:space="preserve"> “Corresponde al registro del cálculo actuarial a diciembre 31 de 2022, elaborado por la Dirección de Prospectiva y Estudios de acuerdo con la normatividad vigente y atendiendo los dispuesto por la Superintendencia Financiera de Colombia en relación con los parámetros técnicos en particular la Resolución 585 de 1994, la Resolución 610 de 1994 y la Resolución 1555 de 2010, separados en las reservas para los 10 primeros años y posteriores (…) La tasa de interés técnico utilizada en la actualización del cálculo actuarial es del 4%, la cual está dada por la Resolución 610 de 1994 de la Superintendencia Bancaria de Colombia”.</w:t>
      </w:r>
    </w:p>
    <w:p w:rsidR="00092835" w:rsidRDefault="00092835" w:rsidP="000A60F9">
      <w:pPr>
        <w:ind w:left="-142" w:right="-518"/>
        <w:jc w:val="both"/>
        <w:rPr>
          <w:rFonts w:ascii="Arial" w:hAnsi="Arial" w:cs="Arial"/>
        </w:rPr>
      </w:pPr>
    </w:p>
    <w:p w:rsidR="003849E5" w:rsidRPr="003849E5" w:rsidRDefault="003849E5" w:rsidP="00700541">
      <w:pPr>
        <w:pStyle w:val="Ttulo6"/>
        <w:ind w:left="-142" w:right="-518"/>
        <w:rPr>
          <w:rFonts w:ascii="Arial" w:hAnsi="Arial" w:cs="Arial"/>
          <w:b/>
          <w:color w:val="auto"/>
          <w:sz w:val="28"/>
          <w:szCs w:val="28"/>
          <w:lang w:eastAsia="es-CO"/>
        </w:rPr>
      </w:pPr>
      <w:bookmarkStart w:id="133" w:name="_Toc103328358"/>
      <w:bookmarkStart w:id="134" w:name="_Toc135044724"/>
      <w:r w:rsidRPr="003849E5">
        <w:rPr>
          <w:rFonts w:ascii="Arial" w:hAnsi="Arial" w:cs="Arial"/>
          <w:b/>
          <w:color w:val="auto"/>
          <w:sz w:val="28"/>
          <w:szCs w:val="28"/>
          <w:lang w:eastAsia="es-CO"/>
        </w:rPr>
        <w:t>NOTA 29.- Ingresos</w:t>
      </w:r>
      <w:bookmarkEnd w:id="133"/>
      <w:r w:rsidRPr="003849E5">
        <w:rPr>
          <w:rFonts w:ascii="Arial" w:hAnsi="Arial" w:cs="Arial"/>
          <w:b/>
          <w:color w:val="auto"/>
          <w:sz w:val="28"/>
          <w:szCs w:val="28"/>
          <w:lang w:eastAsia="es-CO"/>
        </w:rPr>
        <w:t xml:space="preserve"> – INGR</w:t>
      </w:r>
      <w:bookmarkEnd w:id="134"/>
      <w:r w:rsidRPr="003849E5">
        <w:rPr>
          <w:rFonts w:ascii="Arial" w:hAnsi="Arial" w:cs="Arial"/>
          <w:b/>
          <w:color w:val="auto"/>
          <w:sz w:val="28"/>
          <w:szCs w:val="28"/>
          <w:lang w:eastAsia="es-CO"/>
        </w:rPr>
        <w:t>.</w:t>
      </w:r>
    </w:p>
    <w:p w:rsidR="003849E5" w:rsidRPr="003849E5" w:rsidRDefault="003849E5" w:rsidP="00700541">
      <w:pPr>
        <w:ind w:left="-142" w:right="-518"/>
        <w:rPr>
          <w:lang w:eastAsia="es-CO"/>
        </w:rPr>
      </w:pPr>
    </w:p>
    <w:p w:rsidR="003849E5" w:rsidRPr="00700541" w:rsidRDefault="003849E5" w:rsidP="00700541">
      <w:pPr>
        <w:pStyle w:val="Textoindependiente"/>
        <w:ind w:left="-142" w:right="-518"/>
        <w:jc w:val="both"/>
        <w:rPr>
          <w:rFonts w:ascii="Arial" w:hAnsi="Arial" w:cs="Arial"/>
          <w:sz w:val="24"/>
          <w:lang w:val="es-CO"/>
        </w:rPr>
      </w:pPr>
      <w:r w:rsidRPr="00700541">
        <w:rPr>
          <w:rFonts w:ascii="Arial" w:hAnsi="Arial" w:cs="Arial"/>
          <w:sz w:val="24"/>
          <w:lang w:val="es-CO"/>
        </w:rPr>
        <w:t>En la siguiente tabla, se muestran los saldos a nivel de grupo de los ingresos, en forma comparativa con el periodo anterior. Para ello, se inicia con los saldos agregados, presentados en orden de importancia relativa para el año 2022, seguido del efecto neto de eliminaciones y reclasificaciones aplicadas en el proceso de consolidación en el cierre y se finaliza con los saldos consolidados que hacen parte del Estado de Resultados Consolidado.</w:t>
      </w:r>
    </w:p>
    <w:p w:rsidR="00700541" w:rsidRPr="00700541" w:rsidRDefault="00700541" w:rsidP="003849E5">
      <w:pPr>
        <w:pStyle w:val="Descripcin"/>
        <w:rPr>
          <w:rFonts w:ascii="Arial" w:hAnsi="Arial" w:cs="Arial"/>
          <w:sz w:val="24"/>
          <w:szCs w:val="24"/>
        </w:rPr>
      </w:pPr>
      <w:bookmarkStart w:id="135" w:name="_Toc135044855"/>
    </w:p>
    <w:p w:rsidR="003849E5" w:rsidRPr="00700541" w:rsidRDefault="003849E5" w:rsidP="00700541">
      <w:pPr>
        <w:pStyle w:val="Descripcin"/>
        <w:jc w:val="center"/>
        <w:rPr>
          <w:rFonts w:ascii="Arial" w:hAnsi="Arial" w:cs="Arial"/>
          <w:color w:val="auto"/>
          <w:sz w:val="24"/>
          <w:szCs w:val="24"/>
        </w:rPr>
      </w:pPr>
      <w:r w:rsidRPr="00700541">
        <w:rPr>
          <w:rFonts w:ascii="Arial" w:hAnsi="Arial" w:cs="Arial"/>
          <w:color w:val="auto"/>
          <w:sz w:val="24"/>
          <w:szCs w:val="24"/>
        </w:rPr>
        <w:t xml:space="preserve">Tabla </w:t>
      </w:r>
      <w:r w:rsidRPr="00700541">
        <w:rPr>
          <w:rFonts w:ascii="Arial" w:hAnsi="Arial" w:cs="Arial"/>
          <w:color w:val="auto"/>
          <w:sz w:val="24"/>
          <w:szCs w:val="24"/>
        </w:rPr>
        <w:fldChar w:fldCharType="begin"/>
      </w:r>
      <w:r w:rsidRPr="00700541">
        <w:rPr>
          <w:rFonts w:ascii="Arial" w:hAnsi="Arial" w:cs="Arial"/>
          <w:color w:val="auto"/>
          <w:sz w:val="24"/>
          <w:szCs w:val="24"/>
        </w:rPr>
        <w:instrText xml:space="preserve"> STYLEREF 1 \s </w:instrText>
      </w:r>
      <w:r w:rsidRPr="00700541">
        <w:rPr>
          <w:rFonts w:ascii="Arial" w:hAnsi="Arial" w:cs="Arial"/>
          <w:color w:val="auto"/>
          <w:sz w:val="24"/>
          <w:szCs w:val="24"/>
        </w:rPr>
        <w:fldChar w:fldCharType="separate"/>
      </w:r>
      <w:r w:rsidRPr="00700541">
        <w:rPr>
          <w:rFonts w:ascii="Arial" w:hAnsi="Arial" w:cs="Arial"/>
          <w:noProof/>
          <w:color w:val="auto"/>
          <w:sz w:val="24"/>
          <w:szCs w:val="24"/>
        </w:rPr>
        <w:t>4</w:t>
      </w:r>
      <w:r w:rsidRPr="00700541">
        <w:rPr>
          <w:rFonts w:ascii="Arial" w:hAnsi="Arial" w:cs="Arial"/>
          <w:noProof/>
          <w:color w:val="auto"/>
          <w:sz w:val="24"/>
          <w:szCs w:val="24"/>
        </w:rPr>
        <w:fldChar w:fldCharType="end"/>
      </w:r>
      <w:r w:rsidRPr="00700541">
        <w:rPr>
          <w:rFonts w:ascii="Arial" w:hAnsi="Arial" w:cs="Arial"/>
          <w:color w:val="auto"/>
          <w:sz w:val="24"/>
          <w:szCs w:val="24"/>
        </w:rPr>
        <w:noBreakHyphen/>
      </w:r>
      <w:r w:rsidRPr="00700541">
        <w:rPr>
          <w:rFonts w:ascii="Arial" w:hAnsi="Arial" w:cs="Arial"/>
          <w:color w:val="auto"/>
          <w:sz w:val="24"/>
          <w:szCs w:val="24"/>
        </w:rPr>
        <w:fldChar w:fldCharType="begin"/>
      </w:r>
      <w:r w:rsidRPr="00700541">
        <w:rPr>
          <w:rFonts w:ascii="Arial" w:hAnsi="Arial" w:cs="Arial"/>
          <w:color w:val="auto"/>
          <w:sz w:val="24"/>
          <w:szCs w:val="24"/>
        </w:rPr>
        <w:instrText xml:space="preserve"> SEQ Tabla \* ARABIC \s 1 </w:instrText>
      </w:r>
      <w:r w:rsidRPr="00700541">
        <w:rPr>
          <w:rFonts w:ascii="Arial" w:hAnsi="Arial" w:cs="Arial"/>
          <w:color w:val="auto"/>
          <w:sz w:val="24"/>
          <w:szCs w:val="24"/>
        </w:rPr>
        <w:fldChar w:fldCharType="separate"/>
      </w:r>
      <w:r w:rsidRPr="00700541">
        <w:rPr>
          <w:rFonts w:ascii="Arial" w:hAnsi="Arial" w:cs="Arial"/>
          <w:noProof/>
          <w:color w:val="auto"/>
          <w:sz w:val="24"/>
          <w:szCs w:val="24"/>
        </w:rPr>
        <w:t>92</w:t>
      </w:r>
      <w:r w:rsidRPr="00700541">
        <w:rPr>
          <w:rFonts w:ascii="Arial" w:hAnsi="Arial" w:cs="Arial"/>
          <w:noProof/>
          <w:color w:val="auto"/>
          <w:sz w:val="24"/>
          <w:szCs w:val="24"/>
        </w:rPr>
        <w:fldChar w:fldCharType="end"/>
      </w:r>
      <w:r w:rsidRPr="00700541">
        <w:rPr>
          <w:rFonts w:ascii="Arial" w:hAnsi="Arial" w:cs="Arial"/>
          <w:color w:val="auto"/>
          <w:sz w:val="24"/>
          <w:szCs w:val="24"/>
        </w:rPr>
        <w:t xml:space="preserve"> Ingresos (INGR) </w:t>
      </w:r>
      <w:r w:rsidR="00700541" w:rsidRPr="00700541">
        <w:rPr>
          <w:rFonts w:ascii="Arial" w:hAnsi="Arial" w:cs="Arial"/>
          <w:color w:val="auto"/>
          <w:sz w:val="24"/>
          <w:szCs w:val="24"/>
        </w:rPr>
        <w:t>–</w:t>
      </w:r>
      <w:r w:rsidRPr="00700541">
        <w:rPr>
          <w:rFonts w:ascii="Arial" w:hAnsi="Arial" w:cs="Arial"/>
          <w:color w:val="auto"/>
          <w:sz w:val="24"/>
          <w:szCs w:val="24"/>
        </w:rPr>
        <w:t xml:space="preserve"> Composición</w:t>
      </w:r>
      <w:bookmarkEnd w:id="135"/>
    </w:p>
    <w:p w:rsidR="00700541" w:rsidRPr="00700541" w:rsidRDefault="00700541" w:rsidP="00700541">
      <w:pPr>
        <w:rPr>
          <w:lang w:val="es-CO" w:eastAsia="en-US"/>
        </w:rPr>
      </w:pPr>
    </w:p>
    <w:p w:rsidR="003849E5" w:rsidRPr="00A320BE" w:rsidRDefault="003849E5" w:rsidP="00700541">
      <w:pPr>
        <w:pStyle w:val="Textoindependiente"/>
        <w:jc w:val="center"/>
        <w:rPr>
          <w:rFonts w:ascii="Montserrat Medium" w:hAnsi="Montserrat Medium"/>
          <w:lang w:val="es-CO"/>
        </w:rPr>
      </w:pPr>
      <w:r w:rsidRPr="00A320BE">
        <w:rPr>
          <w:rFonts w:ascii="Montserrat Medium" w:hAnsi="Montserrat Medium"/>
          <w:noProof/>
          <w:lang w:val="es-CO" w:eastAsia="es-CO"/>
        </w:rPr>
        <w:drawing>
          <wp:inline distT="0" distB="0" distL="0" distR="0" wp14:anchorId="6EC58CE5" wp14:editId="2BBB30B1">
            <wp:extent cx="5943600" cy="3713746"/>
            <wp:effectExtent l="0" t="0" r="0" b="1270"/>
            <wp:docPr id="1397510099" name="Imagen 139751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t="4856"/>
                    <a:stretch/>
                  </pic:blipFill>
                  <pic:spPr bwMode="auto">
                    <a:xfrm>
                      <a:off x="0" y="0"/>
                      <a:ext cx="5943600" cy="3713746"/>
                    </a:xfrm>
                    <a:prstGeom prst="rect">
                      <a:avLst/>
                    </a:prstGeom>
                    <a:noFill/>
                    <a:ln>
                      <a:noFill/>
                    </a:ln>
                    <a:extLst>
                      <a:ext uri="{53640926-AAD7-44D8-BBD7-CCE9431645EC}">
                        <a14:shadowObscured xmlns:a14="http://schemas.microsoft.com/office/drawing/2010/main"/>
                      </a:ext>
                    </a:extLst>
                  </pic:spPr>
                </pic:pic>
              </a:graphicData>
            </a:graphic>
          </wp:inline>
        </w:drawing>
      </w:r>
    </w:p>
    <w:p w:rsidR="003849E5" w:rsidRPr="00A320BE" w:rsidRDefault="003849E5" w:rsidP="003849E5">
      <w:pPr>
        <w:pStyle w:val="Textoindependiente"/>
        <w:jc w:val="both"/>
        <w:rPr>
          <w:rFonts w:ascii="Montserrat Medium" w:hAnsi="Montserrat Medium"/>
          <w:lang w:val="es-CO"/>
        </w:rPr>
      </w:pPr>
    </w:p>
    <w:p w:rsidR="00700541" w:rsidRDefault="003849E5" w:rsidP="00700541">
      <w:pPr>
        <w:ind w:left="-142" w:right="-518"/>
        <w:jc w:val="both"/>
        <w:rPr>
          <w:rFonts w:ascii="Arial" w:hAnsi="Arial" w:cs="Arial"/>
        </w:rPr>
      </w:pPr>
      <w:r w:rsidRPr="00700541">
        <w:rPr>
          <w:rFonts w:ascii="Arial" w:hAnsi="Arial" w:cs="Arial"/>
          <w:b/>
          <w:u w:val="single"/>
          <w:lang w:val="es-CO"/>
        </w:rPr>
        <w:t>Como se observa, a 31 de diciembre de 2022, la suma agregada de los Ingresos es de $1.223.885,4. Una vez ejecutado el proceso de consolidación, se presenta el efecto neto de eliminaciones y reclasificaciones por valor de ($593.824,6) y se obtiene un saldo consolidado de $630.060,8</w:t>
      </w:r>
      <w:r w:rsidRPr="00A320BE">
        <w:rPr>
          <w:rFonts w:ascii="Montserrat Medium" w:hAnsi="Montserrat Medium"/>
          <w:lang w:val="es-CO"/>
        </w:rPr>
        <w:t>.</w:t>
      </w:r>
      <w:r w:rsidR="00700541">
        <w:rPr>
          <w:rFonts w:ascii="Montserrat Medium" w:hAnsi="Montserrat Medium"/>
          <w:lang w:val="es-CO"/>
        </w:rPr>
        <w:t xml:space="preserve"> </w:t>
      </w:r>
      <w:r w:rsidR="00700541">
        <w:rPr>
          <w:rFonts w:ascii="Arial" w:hAnsi="Arial" w:cs="Arial"/>
        </w:rPr>
        <w:t>(Subrayado y resaltado fuera de texto).</w:t>
      </w:r>
    </w:p>
    <w:p w:rsidR="003849E5" w:rsidRPr="00A320BE" w:rsidRDefault="003849E5" w:rsidP="003849E5">
      <w:pPr>
        <w:pStyle w:val="Textoindependiente"/>
        <w:jc w:val="both"/>
        <w:rPr>
          <w:rFonts w:ascii="Montserrat Medium" w:hAnsi="Montserrat Medium"/>
          <w:lang w:val="es-CO"/>
        </w:rPr>
      </w:pPr>
    </w:p>
    <w:p w:rsidR="0058410A" w:rsidRDefault="0058410A" w:rsidP="0058410A">
      <w:pPr>
        <w:pStyle w:val="Ttulo2"/>
      </w:pPr>
      <w:bookmarkStart w:id="136" w:name="_Toc103328359"/>
      <w:bookmarkStart w:id="137" w:name="_Toc135044725"/>
      <w:r>
        <w:lastRenderedPageBreak/>
        <w:t xml:space="preserve">4.3.- </w:t>
      </w:r>
      <w:r w:rsidRPr="00A320BE">
        <w:t>INGRESOS DE TRANSACCIONES SIN CONTRAPRESTACIÓN</w:t>
      </w:r>
      <w:bookmarkEnd w:id="136"/>
      <w:bookmarkEnd w:id="137"/>
      <w:r>
        <w:t>.</w:t>
      </w:r>
      <w:bookmarkStart w:id="138" w:name="_Toc103328361"/>
      <w:bookmarkStart w:id="139" w:name="_Toc135044726"/>
    </w:p>
    <w:p w:rsidR="0058410A" w:rsidRDefault="0058410A" w:rsidP="0058410A">
      <w:pPr>
        <w:pStyle w:val="Ttulo2"/>
      </w:pPr>
    </w:p>
    <w:p w:rsidR="0058410A" w:rsidRDefault="0058410A" w:rsidP="0058410A">
      <w:pPr>
        <w:pStyle w:val="Ttulo2"/>
      </w:pPr>
      <w:r w:rsidRPr="00A320BE">
        <w:t>Nota 29 – 1 Ingresos fiscales</w:t>
      </w:r>
      <w:bookmarkEnd w:id="138"/>
      <w:r w:rsidRPr="00A320BE">
        <w:t xml:space="preserve"> – INGFI</w:t>
      </w:r>
      <w:bookmarkEnd w:id="139"/>
      <w:r>
        <w:t>.</w:t>
      </w:r>
    </w:p>
    <w:p w:rsidR="0058410A" w:rsidRPr="0058410A" w:rsidRDefault="0058410A" w:rsidP="0058410A">
      <w:pPr>
        <w:rPr>
          <w:lang w:val="es-CO" w:eastAsia="es-CO"/>
        </w:rPr>
      </w:pPr>
    </w:p>
    <w:p w:rsidR="0058410A" w:rsidRPr="0058410A" w:rsidRDefault="0058410A" w:rsidP="0058410A">
      <w:pPr>
        <w:pStyle w:val="Textoindependiente"/>
        <w:ind w:left="-142" w:right="-518"/>
        <w:jc w:val="both"/>
        <w:rPr>
          <w:rFonts w:ascii="Arial" w:hAnsi="Arial" w:cs="Arial"/>
          <w:sz w:val="24"/>
          <w:lang w:val="es-CO"/>
        </w:rPr>
      </w:pPr>
      <w:r w:rsidRPr="0058410A">
        <w:rPr>
          <w:rFonts w:ascii="Arial" w:hAnsi="Arial" w:cs="Arial"/>
          <w:sz w:val="24"/>
          <w:lang w:val="es-CO"/>
        </w:rPr>
        <w:t>En la siguiente tabla, se muestran los saldos a nivel de cuentas de los conceptos que conforman este grupo, en forma comparativa con el periodo anterior. Para ello, se inicia con los saldos agregados en cada cuenta, presentados en orden de importancia relativa para el año 2022, seguido del efecto neto de eliminaciones y reclasificaciones aplicadas en el proceso de consolidación en el cierre y se finaliza con los saldos consolidados que hacen parte del Estado de Resultados Consolidado.</w:t>
      </w:r>
    </w:p>
    <w:p w:rsidR="0058410A" w:rsidRPr="0058410A" w:rsidRDefault="0058410A" w:rsidP="0058410A">
      <w:pPr>
        <w:pStyle w:val="Textoindependiente"/>
        <w:jc w:val="both"/>
        <w:rPr>
          <w:rFonts w:ascii="Arial" w:hAnsi="Arial" w:cs="Arial"/>
          <w:sz w:val="24"/>
          <w:lang w:val="es-CO"/>
        </w:rPr>
      </w:pPr>
    </w:p>
    <w:p w:rsidR="0058410A" w:rsidRDefault="0058410A" w:rsidP="0058410A">
      <w:pPr>
        <w:pStyle w:val="Descripcin"/>
        <w:jc w:val="center"/>
        <w:rPr>
          <w:rFonts w:ascii="Arial" w:hAnsi="Arial" w:cs="Arial"/>
          <w:color w:val="auto"/>
          <w:sz w:val="24"/>
          <w:szCs w:val="24"/>
        </w:rPr>
      </w:pPr>
      <w:bookmarkStart w:id="140" w:name="_Toc135044858"/>
      <w:r w:rsidRPr="0058410A">
        <w:rPr>
          <w:rFonts w:ascii="Arial" w:hAnsi="Arial" w:cs="Arial"/>
          <w:color w:val="auto"/>
          <w:sz w:val="24"/>
          <w:szCs w:val="24"/>
        </w:rPr>
        <w:t xml:space="preserve">Tabla </w:t>
      </w:r>
      <w:r w:rsidRPr="0058410A">
        <w:rPr>
          <w:rFonts w:ascii="Arial" w:hAnsi="Arial" w:cs="Arial"/>
          <w:color w:val="auto"/>
          <w:sz w:val="24"/>
          <w:szCs w:val="24"/>
        </w:rPr>
        <w:fldChar w:fldCharType="begin"/>
      </w:r>
      <w:r w:rsidRPr="0058410A">
        <w:rPr>
          <w:rFonts w:ascii="Arial" w:hAnsi="Arial" w:cs="Arial"/>
          <w:color w:val="auto"/>
          <w:sz w:val="24"/>
          <w:szCs w:val="24"/>
        </w:rPr>
        <w:instrText xml:space="preserve"> STYLEREF 1 \s </w:instrText>
      </w:r>
      <w:r w:rsidRPr="0058410A">
        <w:rPr>
          <w:rFonts w:ascii="Arial" w:hAnsi="Arial" w:cs="Arial"/>
          <w:color w:val="auto"/>
          <w:sz w:val="24"/>
          <w:szCs w:val="24"/>
        </w:rPr>
        <w:fldChar w:fldCharType="separate"/>
      </w:r>
      <w:r w:rsidRPr="0058410A">
        <w:rPr>
          <w:rFonts w:ascii="Arial" w:hAnsi="Arial" w:cs="Arial"/>
          <w:noProof/>
          <w:color w:val="auto"/>
          <w:sz w:val="24"/>
          <w:szCs w:val="24"/>
        </w:rPr>
        <w:t>4</w:t>
      </w:r>
      <w:r w:rsidRPr="0058410A">
        <w:rPr>
          <w:rFonts w:ascii="Arial" w:hAnsi="Arial" w:cs="Arial"/>
          <w:noProof/>
          <w:color w:val="auto"/>
          <w:sz w:val="24"/>
          <w:szCs w:val="24"/>
        </w:rPr>
        <w:fldChar w:fldCharType="end"/>
      </w:r>
      <w:r w:rsidRPr="0058410A">
        <w:rPr>
          <w:rFonts w:ascii="Arial" w:hAnsi="Arial" w:cs="Arial"/>
          <w:color w:val="auto"/>
          <w:sz w:val="24"/>
          <w:szCs w:val="24"/>
        </w:rPr>
        <w:noBreakHyphen/>
      </w:r>
      <w:r w:rsidRPr="0058410A">
        <w:rPr>
          <w:rFonts w:ascii="Arial" w:hAnsi="Arial" w:cs="Arial"/>
          <w:color w:val="auto"/>
          <w:sz w:val="24"/>
          <w:szCs w:val="24"/>
        </w:rPr>
        <w:fldChar w:fldCharType="begin"/>
      </w:r>
      <w:r w:rsidRPr="0058410A">
        <w:rPr>
          <w:rFonts w:ascii="Arial" w:hAnsi="Arial" w:cs="Arial"/>
          <w:color w:val="auto"/>
          <w:sz w:val="24"/>
          <w:szCs w:val="24"/>
        </w:rPr>
        <w:instrText xml:space="preserve"> SEQ Tabla \* ARABIC \s 1 </w:instrText>
      </w:r>
      <w:r w:rsidRPr="0058410A">
        <w:rPr>
          <w:rFonts w:ascii="Arial" w:hAnsi="Arial" w:cs="Arial"/>
          <w:color w:val="auto"/>
          <w:sz w:val="24"/>
          <w:szCs w:val="24"/>
        </w:rPr>
        <w:fldChar w:fldCharType="separate"/>
      </w:r>
      <w:r w:rsidRPr="0058410A">
        <w:rPr>
          <w:rFonts w:ascii="Arial" w:hAnsi="Arial" w:cs="Arial"/>
          <w:noProof/>
          <w:color w:val="auto"/>
          <w:sz w:val="24"/>
          <w:szCs w:val="24"/>
        </w:rPr>
        <w:t>95</w:t>
      </w:r>
      <w:r w:rsidRPr="0058410A">
        <w:rPr>
          <w:rFonts w:ascii="Arial" w:hAnsi="Arial" w:cs="Arial"/>
          <w:noProof/>
          <w:color w:val="auto"/>
          <w:sz w:val="24"/>
          <w:szCs w:val="24"/>
        </w:rPr>
        <w:fldChar w:fldCharType="end"/>
      </w:r>
      <w:r w:rsidRPr="0058410A">
        <w:rPr>
          <w:rFonts w:ascii="Arial" w:hAnsi="Arial" w:cs="Arial"/>
          <w:color w:val="auto"/>
          <w:sz w:val="24"/>
          <w:szCs w:val="24"/>
        </w:rPr>
        <w:t xml:space="preserve"> Ingresos fiscales (INGFI) </w:t>
      </w:r>
      <w:r>
        <w:rPr>
          <w:rFonts w:ascii="Arial" w:hAnsi="Arial" w:cs="Arial"/>
          <w:color w:val="auto"/>
          <w:sz w:val="24"/>
          <w:szCs w:val="24"/>
        </w:rPr>
        <w:t>–</w:t>
      </w:r>
      <w:r w:rsidRPr="0058410A">
        <w:rPr>
          <w:rFonts w:ascii="Arial" w:hAnsi="Arial" w:cs="Arial"/>
          <w:color w:val="auto"/>
          <w:sz w:val="24"/>
          <w:szCs w:val="24"/>
        </w:rPr>
        <w:t xml:space="preserve"> Composición</w:t>
      </w:r>
      <w:bookmarkEnd w:id="140"/>
    </w:p>
    <w:p w:rsidR="0058410A" w:rsidRPr="0058410A" w:rsidRDefault="0058410A" w:rsidP="0058410A">
      <w:pPr>
        <w:rPr>
          <w:lang w:val="es-CO" w:eastAsia="en-US"/>
        </w:rPr>
      </w:pPr>
    </w:p>
    <w:p w:rsidR="0058410A" w:rsidRPr="00A320BE" w:rsidRDefault="0058410A" w:rsidP="0058410A">
      <w:pPr>
        <w:pStyle w:val="Textoindependiente"/>
        <w:jc w:val="center"/>
        <w:rPr>
          <w:rFonts w:ascii="Montserrat Medium" w:hAnsi="Montserrat Medium"/>
          <w:lang w:val="es-CO"/>
        </w:rPr>
      </w:pPr>
      <w:r w:rsidRPr="00A320BE">
        <w:rPr>
          <w:rFonts w:ascii="Montserrat Medium" w:hAnsi="Montserrat Medium"/>
          <w:noProof/>
          <w:lang w:val="es-CO" w:eastAsia="es-CO"/>
        </w:rPr>
        <w:drawing>
          <wp:inline distT="0" distB="0" distL="0" distR="0" wp14:anchorId="3588A857" wp14:editId="56AEF27D">
            <wp:extent cx="6106795" cy="2782146"/>
            <wp:effectExtent l="0" t="0" r="8255" b="0"/>
            <wp:docPr id="1643944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t="6542"/>
                    <a:stretch/>
                  </pic:blipFill>
                  <pic:spPr bwMode="auto">
                    <a:xfrm>
                      <a:off x="0" y="0"/>
                      <a:ext cx="6106795" cy="2782146"/>
                    </a:xfrm>
                    <a:prstGeom prst="rect">
                      <a:avLst/>
                    </a:prstGeom>
                    <a:noFill/>
                    <a:ln>
                      <a:noFill/>
                    </a:ln>
                    <a:extLst>
                      <a:ext uri="{53640926-AAD7-44D8-BBD7-CCE9431645EC}">
                        <a14:shadowObscured xmlns:a14="http://schemas.microsoft.com/office/drawing/2010/main"/>
                      </a:ext>
                    </a:extLst>
                  </pic:spPr>
                </pic:pic>
              </a:graphicData>
            </a:graphic>
          </wp:inline>
        </w:drawing>
      </w:r>
    </w:p>
    <w:p w:rsidR="0058410A" w:rsidRPr="00A320BE" w:rsidRDefault="0058410A" w:rsidP="0058410A">
      <w:pPr>
        <w:pStyle w:val="Textoindependiente"/>
        <w:jc w:val="both"/>
        <w:rPr>
          <w:rFonts w:ascii="Montserrat Medium" w:hAnsi="Montserrat Medium"/>
          <w:lang w:val="es-CO"/>
        </w:rPr>
      </w:pPr>
    </w:p>
    <w:p w:rsidR="00CF2856" w:rsidRDefault="0058410A" w:rsidP="00CF2856">
      <w:pPr>
        <w:ind w:left="-142" w:right="-518"/>
        <w:jc w:val="both"/>
        <w:rPr>
          <w:rFonts w:ascii="Arial" w:hAnsi="Arial" w:cs="Arial"/>
        </w:rPr>
      </w:pPr>
      <w:r w:rsidRPr="0058410A">
        <w:rPr>
          <w:rFonts w:ascii="Arial" w:hAnsi="Arial" w:cs="Arial"/>
          <w:b/>
          <w:u w:val="single"/>
          <w:lang w:val="es-CO"/>
        </w:rPr>
        <w:t>Como se observa, a 31 de diciembre de 2022, el grupo Ingresos fiscales presenta la suma agregada de $241.367,1. Una vez ejecutado el proceso de consolidación, se presenta el efecto neto de eliminaciones y reclasificaciones por un valor de ($2.215,4) y se obtiene un saldo consolidado por valor de $239.151,7, que representa el 38,0% del total del valor de Ingresos, que asciende a la suma de $630.060,8</w:t>
      </w:r>
      <w:r w:rsidRPr="0058410A">
        <w:rPr>
          <w:rFonts w:ascii="Arial" w:hAnsi="Arial" w:cs="Arial"/>
          <w:lang w:val="es-CO"/>
        </w:rPr>
        <w:t>.</w:t>
      </w:r>
      <w:r>
        <w:rPr>
          <w:rFonts w:ascii="Arial" w:hAnsi="Arial" w:cs="Arial"/>
          <w:lang w:val="es-CO"/>
        </w:rPr>
        <w:t xml:space="preserve"> </w:t>
      </w:r>
      <w:r>
        <w:rPr>
          <w:rFonts w:ascii="Arial" w:hAnsi="Arial" w:cs="Arial"/>
        </w:rPr>
        <w:t>(Subrayado y resaltado fuera de texto).</w:t>
      </w:r>
      <w:bookmarkStart w:id="141" w:name="_Toc103328367"/>
      <w:bookmarkStart w:id="142" w:name="_Toc135044733"/>
    </w:p>
    <w:p w:rsidR="00CF2856" w:rsidRDefault="00CF2856" w:rsidP="00CF2856">
      <w:pPr>
        <w:ind w:left="-142" w:right="-518"/>
        <w:jc w:val="both"/>
        <w:rPr>
          <w:lang w:eastAsia="es-CO"/>
        </w:rPr>
      </w:pPr>
    </w:p>
    <w:p w:rsidR="00CF2856" w:rsidRPr="00CF2856" w:rsidRDefault="00CF2856" w:rsidP="00CF2856">
      <w:pPr>
        <w:ind w:left="-142" w:right="-518"/>
        <w:jc w:val="both"/>
        <w:rPr>
          <w:rFonts w:ascii="Arial" w:hAnsi="Arial" w:cs="Arial"/>
          <w:b/>
          <w:sz w:val="28"/>
          <w:szCs w:val="28"/>
          <w:lang w:eastAsia="es-CO"/>
        </w:rPr>
      </w:pPr>
      <w:r w:rsidRPr="00CF2856">
        <w:rPr>
          <w:rFonts w:ascii="Arial" w:hAnsi="Arial" w:cs="Arial"/>
          <w:b/>
          <w:sz w:val="28"/>
          <w:szCs w:val="28"/>
          <w:lang w:eastAsia="es-CO"/>
        </w:rPr>
        <w:t>NOTA 30.- Gastos</w:t>
      </w:r>
      <w:bookmarkEnd w:id="141"/>
      <w:r w:rsidRPr="00CF2856">
        <w:rPr>
          <w:rFonts w:ascii="Arial" w:hAnsi="Arial" w:cs="Arial"/>
          <w:b/>
          <w:sz w:val="28"/>
          <w:szCs w:val="28"/>
          <w:lang w:eastAsia="es-CO"/>
        </w:rPr>
        <w:t xml:space="preserve"> – GAST</w:t>
      </w:r>
      <w:bookmarkEnd w:id="142"/>
      <w:r w:rsidRPr="00CF2856">
        <w:rPr>
          <w:rFonts w:ascii="Arial" w:hAnsi="Arial" w:cs="Arial"/>
          <w:b/>
          <w:sz w:val="28"/>
          <w:szCs w:val="28"/>
          <w:lang w:eastAsia="es-CO"/>
        </w:rPr>
        <w:t>.</w:t>
      </w:r>
    </w:p>
    <w:p w:rsidR="00CF2856" w:rsidRPr="00A320BE" w:rsidRDefault="00CF2856" w:rsidP="00CF2856">
      <w:pPr>
        <w:ind w:left="-142" w:right="-518"/>
        <w:jc w:val="both"/>
        <w:rPr>
          <w:lang w:eastAsia="es-CO"/>
        </w:rPr>
      </w:pPr>
    </w:p>
    <w:p w:rsidR="00CF2856" w:rsidRPr="00E02489" w:rsidRDefault="00CF2856" w:rsidP="00E02489">
      <w:pPr>
        <w:ind w:left="-142" w:right="-518"/>
        <w:contextualSpacing/>
        <w:jc w:val="both"/>
        <w:rPr>
          <w:rFonts w:ascii="Arial" w:hAnsi="Arial" w:cs="Arial"/>
        </w:rPr>
      </w:pPr>
      <w:bookmarkStart w:id="143" w:name="_Hlk70673918"/>
      <w:r w:rsidRPr="00E02489">
        <w:rPr>
          <w:rFonts w:ascii="Arial" w:hAnsi="Arial" w:cs="Arial"/>
        </w:rPr>
        <w:t>En la siguiente tabla, se muestran los saldos a nivel de grupos de los conceptos que conforman la clase Gastos, en forma comparativa con el periodo anterior. Para ello, se inicia con los saldos agregados en cada cuenta, presentados en orden de importancia relativa para el año 2022, seguido del efecto neto de eliminaciones y reclasificaciones aplicadas en el proceso de consolidación en el cierre y se finaliza con los saldos consolidados que hacen parte del Estado de Situación Financiera Consolidado.</w:t>
      </w:r>
    </w:p>
    <w:p w:rsidR="00CF2856" w:rsidRPr="00E02489" w:rsidRDefault="00CF2856" w:rsidP="00CF2856">
      <w:pPr>
        <w:jc w:val="both"/>
        <w:rPr>
          <w:rFonts w:ascii="Arial" w:hAnsi="Arial" w:cs="Arial"/>
        </w:rPr>
      </w:pPr>
    </w:p>
    <w:p w:rsidR="00CF2856" w:rsidRPr="00E02489" w:rsidRDefault="00CF2856" w:rsidP="00E02489">
      <w:pPr>
        <w:pStyle w:val="Descripcin"/>
        <w:jc w:val="center"/>
        <w:rPr>
          <w:rFonts w:ascii="Arial" w:hAnsi="Arial" w:cs="Arial"/>
          <w:color w:val="auto"/>
          <w:sz w:val="24"/>
          <w:szCs w:val="24"/>
        </w:rPr>
      </w:pPr>
      <w:bookmarkStart w:id="144" w:name="_Toc135044875"/>
      <w:r w:rsidRPr="00E02489">
        <w:rPr>
          <w:rFonts w:ascii="Arial" w:hAnsi="Arial" w:cs="Arial"/>
          <w:color w:val="auto"/>
          <w:sz w:val="24"/>
          <w:szCs w:val="24"/>
        </w:rPr>
        <w:t xml:space="preserve">Tabla </w:t>
      </w:r>
      <w:r w:rsidRPr="00E02489">
        <w:rPr>
          <w:rFonts w:ascii="Arial" w:hAnsi="Arial" w:cs="Arial"/>
          <w:color w:val="auto"/>
          <w:sz w:val="24"/>
          <w:szCs w:val="24"/>
        </w:rPr>
        <w:fldChar w:fldCharType="begin"/>
      </w:r>
      <w:r w:rsidRPr="00E02489">
        <w:rPr>
          <w:rFonts w:ascii="Arial" w:hAnsi="Arial" w:cs="Arial"/>
          <w:color w:val="auto"/>
          <w:sz w:val="24"/>
          <w:szCs w:val="24"/>
        </w:rPr>
        <w:instrText xml:space="preserve"> STYLEREF 1 \s </w:instrText>
      </w:r>
      <w:r w:rsidRPr="00E02489">
        <w:rPr>
          <w:rFonts w:ascii="Arial" w:hAnsi="Arial" w:cs="Arial"/>
          <w:color w:val="auto"/>
          <w:sz w:val="24"/>
          <w:szCs w:val="24"/>
        </w:rPr>
        <w:fldChar w:fldCharType="separate"/>
      </w:r>
      <w:r w:rsidRPr="00E02489">
        <w:rPr>
          <w:rFonts w:ascii="Arial" w:hAnsi="Arial" w:cs="Arial"/>
          <w:noProof/>
          <w:color w:val="auto"/>
          <w:sz w:val="24"/>
          <w:szCs w:val="24"/>
        </w:rPr>
        <w:t>4</w:t>
      </w:r>
      <w:r w:rsidRPr="00E02489">
        <w:rPr>
          <w:rFonts w:ascii="Arial" w:hAnsi="Arial" w:cs="Arial"/>
          <w:noProof/>
          <w:color w:val="auto"/>
          <w:sz w:val="24"/>
          <w:szCs w:val="24"/>
        </w:rPr>
        <w:fldChar w:fldCharType="end"/>
      </w:r>
      <w:r w:rsidRPr="00E02489">
        <w:rPr>
          <w:rFonts w:ascii="Arial" w:hAnsi="Arial" w:cs="Arial"/>
          <w:color w:val="auto"/>
          <w:sz w:val="24"/>
          <w:szCs w:val="24"/>
        </w:rPr>
        <w:noBreakHyphen/>
      </w:r>
      <w:r w:rsidRPr="00E02489">
        <w:rPr>
          <w:rFonts w:ascii="Arial" w:hAnsi="Arial" w:cs="Arial"/>
          <w:color w:val="auto"/>
          <w:sz w:val="24"/>
          <w:szCs w:val="24"/>
        </w:rPr>
        <w:fldChar w:fldCharType="begin"/>
      </w:r>
      <w:r w:rsidRPr="00E02489">
        <w:rPr>
          <w:rFonts w:ascii="Arial" w:hAnsi="Arial" w:cs="Arial"/>
          <w:color w:val="auto"/>
          <w:sz w:val="24"/>
          <w:szCs w:val="24"/>
        </w:rPr>
        <w:instrText xml:space="preserve"> SEQ Tabla \* ARABIC \s 1 </w:instrText>
      </w:r>
      <w:r w:rsidRPr="00E02489">
        <w:rPr>
          <w:rFonts w:ascii="Arial" w:hAnsi="Arial" w:cs="Arial"/>
          <w:color w:val="auto"/>
          <w:sz w:val="24"/>
          <w:szCs w:val="24"/>
        </w:rPr>
        <w:fldChar w:fldCharType="separate"/>
      </w:r>
      <w:r w:rsidRPr="00E02489">
        <w:rPr>
          <w:rFonts w:ascii="Arial" w:hAnsi="Arial" w:cs="Arial"/>
          <w:noProof/>
          <w:color w:val="auto"/>
          <w:sz w:val="24"/>
          <w:szCs w:val="24"/>
        </w:rPr>
        <w:t>112</w:t>
      </w:r>
      <w:r w:rsidRPr="00E02489">
        <w:rPr>
          <w:rFonts w:ascii="Arial" w:hAnsi="Arial" w:cs="Arial"/>
          <w:noProof/>
          <w:color w:val="auto"/>
          <w:sz w:val="24"/>
          <w:szCs w:val="24"/>
        </w:rPr>
        <w:fldChar w:fldCharType="end"/>
      </w:r>
      <w:r w:rsidRPr="00E02489">
        <w:rPr>
          <w:rFonts w:ascii="Arial" w:hAnsi="Arial" w:cs="Arial"/>
          <w:color w:val="auto"/>
          <w:sz w:val="24"/>
          <w:szCs w:val="24"/>
        </w:rPr>
        <w:t xml:space="preserve"> Gastos (GAST) – Composición</w:t>
      </w:r>
      <w:bookmarkEnd w:id="144"/>
    </w:p>
    <w:bookmarkEnd w:id="143"/>
    <w:p w:rsidR="00450E4A" w:rsidRDefault="00CF2856" w:rsidP="00E02489">
      <w:pPr>
        <w:jc w:val="center"/>
      </w:pPr>
      <w:r w:rsidRPr="00A320BE">
        <w:rPr>
          <w:noProof/>
          <w:lang w:val="es-CO" w:eastAsia="es-CO"/>
        </w:rPr>
        <w:lastRenderedPageBreak/>
        <w:drawing>
          <wp:inline distT="0" distB="0" distL="0" distR="0" wp14:anchorId="39D174CD" wp14:editId="337AB21E">
            <wp:extent cx="5943600" cy="3884295"/>
            <wp:effectExtent l="0" t="0" r="0" b="1905"/>
            <wp:docPr id="200384466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884295"/>
                    </a:xfrm>
                    <a:prstGeom prst="rect">
                      <a:avLst/>
                    </a:prstGeom>
                    <a:noFill/>
                    <a:ln>
                      <a:noFill/>
                    </a:ln>
                  </pic:spPr>
                </pic:pic>
              </a:graphicData>
            </a:graphic>
          </wp:inline>
        </w:drawing>
      </w:r>
    </w:p>
    <w:p w:rsidR="00450E4A" w:rsidRPr="00450E4A" w:rsidRDefault="00450E4A" w:rsidP="00450E4A"/>
    <w:p w:rsidR="00450E4A" w:rsidRPr="00450E4A" w:rsidRDefault="00450E4A" w:rsidP="00450E4A">
      <w:pPr>
        <w:pStyle w:val="Ttulo6"/>
        <w:ind w:left="-142" w:right="-518"/>
        <w:rPr>
          <w:rFonts w:ascii="Arial" w:hAnsi="Arial" w:cs="Arial"/>
          <w:b/>
          <w:color w:val="auto"/>
          <w:sz w:val="28"/>
          <w:szCs w:val="28"/>
          <w:lang w:eastAsia="es-CO"/>
        </w:rPr>
      </w:pPr>
      <w:bookmarkStart w:id="145" w:name="_Toc103328376"/>
      <w:bookmarkStart w:id="146" w:name="_Toc135044742"/>
      <w:r w:rsidRPr="00450E4A">
        <w:rPr>
          <w:rFonts w:ascii="Arial" w:hAnsi="Arial" w:cs="Arial"/>
          <w:b/>
          <w:color w:val="auto"/>
          <w:sz w:val="28"/>
          <w:szCs w:val="28"/>
          <w:lang w:eastAsia="es-CO"/>
        </w:rPr>
        <w:t>NOTA 31.- Costos de ventas</w:t>
      </w:r>
      <w:bookmarkEnd w:id="145"/>
      <w:r w:rsidRPr="00450E4A">
        <w:rPr>
          <w:rFonts w:ascii="Arial" w:hAnsi="Arial" w:cs="Arial"/>
          <w:b/>
          <w:color w:val="auto"/>
          <w:sz w:val="28"/>
          <w:szCs w:val="28"/>
          <w:lang w:eastAsia="es-CO"/>
        </w:rPr>
        <w:t xml:space="preserve"> – CVTAS</w:t>
      </w:r>
      <w:bookmarkEnd w:id="146"/>
      <w:r w:rsidRPr="00450E4A">
        <w:rPr>
          <w:rFonts w:ascii="Arial" w:hAnsi="Arial" w:cs="Arial"/>
          <w:b/>
          <w:color w:val="auto"/>
          <w:sz w:val="28"/>
          <w:szCs w:val="28"/>
          <w:lang w:eastAsia="es-CO"/>
        </w:rPr>
        <w:t>.</w:t>
      </w:r>
    </w:p>
    <w:p w:rsidR="00450E4A" w:rsidRPr="00450E4A" w:rsidRDefault="00450E4A" w:rsidP="00450E4A">
      <w:pPr>
        <w:ind w:left="-142" w:right="-518"/>
        <w:rPr>
          <w:rFonts w:ascii="Arial" w:hAnsi="Arial" w:cs="Arial"/>
          <w:lang w:eastAsia="es-CO"/>
        </w:rPr>
      </w:pPr>
    </w:p>
    <w:p w:rsidR="00450E4A" w:rsidRPr="00450E4A" w:rsidRDefault="00450E4A" w:rsidP="00450E4A">
      <w:pPr>
        <w:pStyle w:val="Textoindependiente"/>
        <w:ind w:left="-142" w:right="-518"/>
        <w:jc w:val="both"/>
        <w:rPr>
          <w:rFonts w:ascii="Arial" w:hAnsi="Arial" w:cs="Arial"/>
          <w:lang w:val="es-CO"/>
        </w:rPr>
      </w:pPr>
      <w:r w:rsidRPr="00450E4A">
        <w:rPr>
          <w:rFonts w:ascii="Arial" w:hAnsi="Arial" w:cs="Arial"/>
          <w:lang w:val="es-CO"/>
        </w:rPr>
        <w:t>En la siguiente tabla se muestran los saldos a nivel de cuentas de los conceptos que conforman este grupo, en forma comparativa con el periodo anterior. Para ello, se inicia con los saldos agregados en cada cuenta, presentados en orden de importancia relativa para el año 2022, seguido del efecto neto de eliminaciones y reclasificaciones aplicadas en el proceso de consolidación en el cierre y se finaliza con los saldos consolidados que hacen parte del Estado de Resultados Consolidados.</w:t>
      </w:r>
    </w:p>
    <w:p w:rsidR="00450E4A" w:rsidRPr="00A320BE" w:rsidRDefault="00450E4A" w:rsidP="00450E4A">
      <w:pPr>
        <w:pStyle w:val="Textoindependiente"/>
        <w:jc w:val="both"/>
        <w:rPr>
          <w:rFonts w:ascii="Montserrat Medium" w:hAnsi="Montserrat Medium"/>
          <w:lang w:val="es-CO"/>
        </w:rPr>
      </w:pPr>
    </w:p>
    <w:p w:rsidR="00450E4A" w:rsidRPr="00450E4A" w:rsidRDefault="00450E4A" w:rsidP="00450E4A">
      <w:pPr>
        <w:pStyle w:val="Descripcin"/>
        <w:jc w:val="center"/>
        <w:rPr>
          <w:rFonts w:ascii="Arial" w:hAnsi="Arial" w:cs="Arial"/>
          <w:color w:val="auto"/>
          <w:sz w:val="24"/>
          <w:szCs w:val="24"/>
        </w:rPr>
      </w:pPr>
      <w:bookmarkStart w:id="147" w:name="_Toc135044903"/>
      <w:r w:rsidRPr="00450E4A">
        <w:rPr>
          <w:rFonts w:ascii="Arial" w:hAnsi="Arial" w:cs="Arial"/>
          <w:color w:val="auto"/>
          <w:sz w:val="24"/>
          <w:szCs w:val="24"/>
        </w:rPr>
        <w:t xml:space="preserve">Tabla </w:t>
      </w:r>
      <w:r w:rsidRPr="00450E4A">
        <w:rPr>
          <w:rFonts w:ascii="Arial" w:hAnsi="Arial" w:cs="Arial"/>
          <w:color w:val="auto"/>
          <w:sz w:val="24"/>
          <w:szCs w:val="24"/>
        </w:rPr>
        <w:fldChar w:fldCharType="begin"/>
      </w:r>
      <w:r w:rsidRPr="00450E4A">
        <w:rPr>
          <w:rFonts w:ascii="Arial" w:hAnsi="Arial" w:cs="Arial"/>
          <w:color w:val="auto"/>
          <w:sz w:val="24"/>
          <w:szCs w:val="24"/>
        </w:rPr>
        <w:instrText xml:space="preserve"> STYLEREF 1 \s </w:instrText>
      </w:r>
      <w:r w:rsidRPr="00450E4A">
        <w:rPr>
          <w:rFonts w:ascii="Arial" w:hAnsi="Arial" w:cs="Arial"/>
          <w:color w:val="auto"/>
          <w:sz w:val="24"/>
          <w:szCs w:val="24"/>
        </w:rPr>
        <w:fldChar w:fldCharType="separate"/>
      </w:r>
      <w:r w:rsidRPr="00450E4A">
        <w:rPr>
          <w:rFonts w:ascii="Arial" w:hAnsi="Arial" w:cs="Arial"/>
          <w:noProof/>
          <w:color w:val="auto"/>
          <w:sz w:val="24"/>
          <w:szCs w:val="24"/>
        </w:rPr>
        <w:t>4</w:t>
      </w:r>
      <w:r w:rsidRPr="00450E4A">
        <w:rPr>
          <w:rFonts w:ascii="Arial" w:hAnsi="Arial" w:cs="Arial"/>
          <w:noProof/>
          <w:color w:val="auto"/>
          <w:sz w:val="24"/>
          <w:szCs w:val="24"/>
        </w:rPr>
        <w:fldChar w:fldCharType="end"/>
      </w:r>
      <w:r w:rsidRPr="00450E4A">
        <w:rPr>
          <w:rFonts w:ascii="Arial" w:hAnsi="Arial" w:cs="Arial"/>
          <w:color w:val="auto"/>
          <w:sz w:val="24"/>
          <w:szCs w:val="24"/>
        </w:rPr>
        <w:noBreakHyphen/>
      </w:r>
      <w:r w:rsidRPr="00450E4A">
        <w:rPr>
          <w:rFonts w:ascii="Arial" w:hAnsi="Arial" w:cs="Arial"/>
          <w:color w:val="auto"/>
          <w:sz w:val="24"/>
          <w:szCs w:val="24"/>
        </w:rPr>
        <w:fldChar w:fldCharType="begin"/>
      </w:r>
      <w:r w:rsidRPr="00450E4A">
        <w:rPr>
          <w:rFonts w:ascii="Arial" w:hAnsi="Arial" w:cs="Arial"/>
          <w:color w:val="auto"/>
          <w:sz w:val="24"/>
          <w:szCs w:val="24"/>
        </w:rPr>
        <w:instrText xml:space="preserve"> SEQ Tabla \* ARABIC \s 1 </w:instrText>
      </w:r>
      <w:r w:rsidRPr="00450E4A">
        <w:rPr>
          <w:rFonts w:ascii="Arial" w:hAnsi="Arial" w:cs="Arial"/>
          <w:color w:val="auto"/>
          <w:sz w:val="24"/>
          <w:szCs w:val="24"/>
        </w:rPr>
        <w:fldChar w:fldCharType="separate"/>
      </w:r>
      <w:r w:rsidRPr="00450E4A">
        <w:rPr>
          <w:rFonts w:ascii="Arial" w:hAnsi="Arial" w:cs="Arial"/>
          <w:noProof/>
          <w:color w:val="auto"/>
          <w:sz w:val="24"/>
          <w:szCs w:val="24"/>
        </w:rPr>
        <w:t>140</w:t>
      </w:r>
      <w:r w:rsidRPr="00450E4A">
        <w:rPr>
          <w:rFonts w:ascii="Arial" w:hAnsi="Arial" w:cs="Arial"/>
          <w:noProof/>
          <w:color w:val="auto"/>
          <w:sz w:val="24"/>
          <w:szCs w:val="24"/>
        </w:rPr>
        <w:fldChar w:fldCharType="end"/>
      </w:r>
      <w:r w:rsidRPr="00450E4A">
        <w:rPr>
          <w:rFonts w:ascii="Arial" w:hAnsi="Arial" w:cs="Arial"/>
          <w:color w:val="auto"/>
          <w:sz w:val="24"/>
          <w:szCs w:val="24"/>
        </w:rPr>
        <w:t xml:space="preserve"> Costos de ventas (CVTAS) - Composición</w:t>
      </w:r>
      <w:bookmarkEnd w:id="147"/>
    </w:p>
    <w:p w:rsidR="00450E4A" w:rsidRPr="00A320BE" w:rsidRDefault="00450E4A" w:rsidP="00450E4A">
      <w:pPr>
        <w:pStyle w:val="Textoindependiente"/>
        <w:spacing w:before="240" w:after="60"/>
        <w:jc w:val="center"/>
        <w:rPr>
          <w:rFonts w:ascii="Montserrat Medium" w:hAnsi="Montserrat Medium"/>
          <w:lang w:val="es-CO"/>
        </w:rPr>
      </w:pPr>
      <w:r w:rsidRPr="00A320BE">
        <w:rPr>
          <w:rFonts w:ascii="Montserrat Medium" w:hAnsi="Montserrat Medium"/>
          <w:noProof/>
          <w:lang w:val="es-CO" w:eastAsia="es-CO"/>
        </w:rPr>
        <w:lastRenderedPageBreak/>
        <w:drawing>
          <wp:inline distT="0" distB="0" distL="0" distR="0" wp14:anchorId="7FBD087D" wp14:editId="11FBA57E">
            <wp:extent cx="5768340" cy="3781181"/>
            <wp:effectExtent l="0" t="0" r="3810" b="0"/>
            <wp:docPr id="566379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t="5022"/>
                    <a:stretch/>
                  </pic:blipFill>
                  <pic:spPr bwMode="auto">
                    <a:xfrm>
                      <a:off x="0" y="0"/>
                      <a:ext cx="5773266" cy="3784410"/>
                    </a:xfrm>
                    <a:prstGeom prst="rect">
                      <a:avLst/>
                    </a:prstGeom>
                    <a:noFill/>
                    <a:ln>
                      <a:noFill/>
                    </a:ln>
                    <a:extLst>
                      <a:ext uri="{53640926-AAD7-44D8-BBD7-CCE9431645EC}">
                        <a14:shadowObscured xmlns:a14="http://schemas.microsoft.com/office/drawing/2010/main"/>
                      </a:ext>
                    </a:extLst>
                  </pic:spPr>
                </pic:pic>
              </a:graphicData>
            </a:graphic>
          </wp:inline>
        </w:drawing>
      </w:r>
    </w:p>
    <w:p w:rsidR="00450E4A" w:rsidRPr="00A320BE" w:rsidRDefault="00450E4A" w:rsidP="00450E4A">
      <w:pPr>
        <w:pStyle w:val="Textoindependiente"/>
        <w:jc w:val="both"/>
        <w:rPr>
          <w:rFonts w:ascii="Montserrat Medium" w:hAnsi="Montserrat Medium"/>
          <w:lang w:val="es-CO"/>
        </w:rPr>
      </w:pPr>
    </w:p>
    <w:p w:rsidR="00450E4A" w:rsidRDefault="00450E4A" w:rsidP="00450E4A">
      <w:pPr>
        <w:pStyle w:val="Textoindependiente"/>
        <w:ind w:left="-142" w:right="-518"/>
        <w:jc w:val="both"/>
        <w:rPr>
          <w:rFonts w:ascii="Arial" w:hAnsi="Arial" w:cs="Arial"/>
          <w:sz w:val="24"/>
          <w:lang w:val="es-CO"/>
        </w:rPr>
      </w:pPr>
      <w:r w:rsidRPr="00450E4A">
        <w:rPr>
          <w:rFonts w:ascii="Arial" w:hAnsi="Arial" w:cs="Arial"/>
          <w:sz w:val="24"/>
          <w:lang w:val="es-CO"/>
        </w:rPr>
        <w:t>Como se observa, a 31 de diciembre de 2022 el grupo de Costos de ventas presenta la suma agregada de $136.188,1. Una vez ejecutado el proceso de consolidación se muestra el efecto neto de eliminaciones y reclasificaciones ($210,0), para un saldo final consolidado de $135.978,1.</w:t>
      </w:r>
    </w:p>
    <w:p w:rsidR="00450E4A" w:rsidRDefault="00450E4A" w:rsidP="00450E4A">
      <w:pPr>
        <w:pStyle w:val="Textoindependiente"/>
        <w:ind w:left="-142" w:right="-518"/>
        <w:jc w:val="both"/>
        <w:rPr>
          <w:rFonts w:ascii="Arial" w:hAnsi="Arial" w:cs="Arial"/>
          <w:sz w:val="24"/>
          <w:lang w:val="es-CO"/>
        </w:rPr>
      </w:pPr>
    </w:p>
    <w:p w:rsidR="00450E4A" w:rsidRPr="00450E4A" w:rsidRDefault="00450E4A" w:rsidP="00450E4A">
      <w:pPr>
        <w:pStyle w:val="Textoindependiente"/>
        <w:ind w:left="-142" w:right="-518"/>
        <w:jc w:val="both"/>
        <w:rPr>
          <w:rFonts w:ascii="Arial" w:hAnsi="Arial" w:cs="Arial"/>
          <w:b/>
          <w:sz w:val="28"/>
          <w:szCs w:val="28"/>
          <w:lang w:eastAsia="es-CO"/>
        </w:rPr>
      </w:pPr>
      <w:r w:rsidRPr="00450E4A">
        <w:rPr>
          <w:rFonts w:ascii="Arial" w:hAnsi="Arial" w:cs="Arial"/>
          <w:b/>
          <w:sz w:val="28"/>
          <w:szCs w:val="28"/>
        </w:rPr>
        <w:t xml:space="preserve">NOTA 33.- </w:t>
      </w:r>
      <w:bookmarkStart w:id="148" w:name="_Toc103328378"/>
      <w:bookmarkStart w:id="149" w:name="_Toc135044744"/>
      <w:r w:rsidRPr="00450E4A">
        <w:rPr>
          <w:rFonts w:ascii="Arial" w:hAnsi="Arial" w:cs="Arial"/>
          <w:b/>
          <w:sz w:val="28"/>
          <w:szCs w:val="28"/>
          <w:lang w:eastAsia="es-CO"/>
        </w:rPr>
        <w:t>Acuerdos de concesión entidad concedente</w:t>
      </w:r>
      <w:bookmarkEnd w:id="148"/>
      <w:r w:rsidRPr="00450E4A">
        <w:rPr>
          <w:rFonts w:ascii="Arial" w:hAnsi="Arial" w:cs="Arial"/>
          <w:b/>
          <w:sz w:val="28"/>
          <w:szCs w:val="28"/>
          <w:lang w:eastAsia="es-CO"/>
        </w:rPr>
        <w:t xml:space="preserve"> – ACCONC</w:t>
      </w:r>
      <w:bookmarkEnd w:id="149"/>
      <w:r w:rsidRPr="00450E4A">
        <w:rPr>
          <w:rFonts w:ascii="Arial" w:hAnsi="Arial" w:cs="Arial"/>
          <w:b/>
          <w:sz w:val="28"/>
          <w:szCs w:val="28"/>
          <w:lang w:eastAsia="es-CO"/>
        </w:rPr>
        <w:t>.</w:t>
      </w:r>
    </w:p>
    <w:p w:rsidR="00450E4A" w:rsidRPr="00A320BE" w:rsidRDefault="00450E4A" w:rsidP="00450E4A">
      <w:pPr>
        <w:pStyle w:val="Textoindependiente"/>
        <w:ind w:left="-142" w:right="-518"/>
        <w:jc w:val="both"/>
        <w:rPr>
          <w:lang w:eastAsia="es-CO"/>
        </w:rPr>
      </w:pPr>
    </w:p>
    <w:p w:rsidR="00450E4A" w:rsidRPr="00450E4A" w:rsidRDefault="00450E4A" w:rsidP="00450E4A">
      <w:pPr>
        <w:pStyle w:val="Textoindependiente"/>
        <w:ind w:left="-142" w:right="-518"/>
        <w:jc w:val="both"/>
        <w:rPr>
          <w:rFonts w:ascii="Arial" w:hAnsi="Arial" w:cs="Arial"/>
          <w:sz w:val="24"/>
          <w:lang w:val="es-CO"/>
        </w:rPr>
      </w:pPr>
      <w:r w:rsidRPr="00450E4A">
        <w:rPr>
          <w:rFonts w:ascii="Arial" w:hAnsi="Arial" w:cs="Arial"/>
          <w:sz w:val="24"/>
          <w:lang w:val="es-CO"/>
        </w:rPr>
        <w:t>La presente nota detalla los principales conceptos utilizados por las entidades públicas para registrar sus transacciones en virtud de los acuerdos de concesión en los que intervienen en calidad de entidad concedente. Así mismo, se presentan los saldos de 2022 comparativamente con el periodo anterior y en orden de representatividad en el periodo analizado.</w:t>
      </w:r>
    </w:p>
    <w:p w:rsidR="00450E4A" w:rsidRPr="00450E4A" w:rsidRDefault="00450E4A" w:rsidP="00450E4A">
      <w:pPr>
        <w:autoSpaceDE w:val="0"/>
        <w:autoSpaceDN w:val="0"/>
        <w:adjustRightInd w:val="0"/>
        <w:ind w:left="-142" w:right="-518"/>
        <w:jc w:val="both"/>
        <w:rPr>
          <w:rFonts w:ascii="Arial" w:hAnsi="Arial" w:cs="Arial"/>
        </w:rPr>
      </w:pPr>
    </w:p>
    <w:p w:rsidR="00450E4A" w:rsidRPr="00450E4A" w:rsidRDefault="00450E4A" w:rsidP="00450E4A">
      <w:pPr>
        <w:autoSpaceDE w:val="0"/>
        <w:autoSpaceDN w:val="0"/>
        <w:adjustRightInd w:val="0"/>
        <w:ind w:left="-142" w:right="-518"/>
        <w:jc w:val="both"/>
        <w:rPr>
          <w:rFonts w:ascii="Arial" w:hAnsi="Arial" w:cs="Arial"/>
        </w:rPr>
      </w:pPr>
      <w:r w:rsidRPr="00450E4A">
        <w:rPr>
          <w:rFonts w:ascii="Arial" w:hAnsi="Arial" w:cs="Arial"/>
        </w:rPr>
        <w:t>Los activos relacionados con los acuerdos de concesión comprenden principalmente bienes de uso público en construcción o en servicio de una entidad concedente, sobre los cuales tiene el control, espera obtener un potencial de servicios o generar beneficios económicos futuros y, por tanto, asume los riesgos y pasivos asociados con dichos activos. También pueden incluir propiedades, planta y equipo, así como intangibles. Por su parte, los pasivos corresponden a la obligación reconocida por la entidad pública producto de la forma o modalidad establecida para la financiación y pago del respectivo activo o servicio en concesión.</w:t>
      </w:r>
    </w:p>
    <w:p w:rsidR="00450E4A" w:rsidRPr="00450E4A" w:rsidRDefault="00450E4A" w:rsidP="00450E4A">
      <w:pPr>
        <w:autoSpaceDE w:val="0"/>
        <w:autoSpaceDN w:val="0"/>
        <w:adjustRightInd w:val="0"/>
        <w:ind w:left="-142" w:right="-518"/>
        <w:jc w:val="both"/>
        <w:rPr>
          <w:rFonts w:ascii="Arial" w:hAnsi="Arial" w:cs="Arial"/>
        </w:rPr>
      </w:pPr>
    </w:p>
    <w:p w:rsidR="00450E4A" w:rsidRDefault="00450E4A" w:rsidP="00450E4A">
      <w:pPr>
        <w:autoSpaceDE w:val="0"/>
        <w:autoSpaceDN w:val="0"/>
        <w:adjustRightInd w:val="0"/>
        <w:ind w:left="-142" w:right="-518"/>
        <w:jc w:val="both"/>
      </w:pPr>
      <w:r w:rsidRPr="00450E4A">
        <w:rPr>
          <w:rFonts w:ascii="Arial" w:hAnsi="Arial" w:cs="Arial"/>
        </w:rPr>
        <w:t xml:space="preserve">En la siguiente tabla se detallan, a nivel de cuentas, los conceptos de mayor representatividad para el año 2022, en forma comparativa con el año inmediatamente anterior, partiendo de los saldos agregados. </w:t>
      </w:r>
    </w:p>
    <w:p w:rsidR="00450E4A" w:rsidRPr="0010054B" w:rsidRDefault="00450E4A" w:rsidP="00450E4A"/>
    <w:p w:rsidR="00450E4A" w:rsidRPr="004D647E" w:rsidRDefault="00450E4A" w:rsidP="004D647E">
      <w:pPr>
        <w:pStyle w:val="Descripcin"/>
        <w:jc w:val="center"/>
        <w:rPr>
          <w:rFonts w:ascii="Arial" w:hAnsi="Arial" w:cs="Arial"/>
          <w:color w:val="auto"/>
          <w:sz w:val="24"/>
          <w:szCs w:val="24"/>
        </w:rPr>
      </w:pPr>
      <w:bookmarkStart w:id="150" w:name="_Toc135044908"/>
      <w:r w:rsidRPr="004D647E">
        <w:rPr>
          <w:rFonts w:ascii="Arial" w:hAnsi="Arial" w:cs="Arial"/>
          <w:color w:val="auto"/>
          <w:sz w:val="24"/>
          <w:szCs w:val="24"/>
        </w:rPr>
        <w:t xml:space="preserve">Tabla </w:t>
      </w:r>
      <w:r w:rsidRPr="004D647E">
        <w:rPr>
          <w:rFonts w:ascii="Arial" w:hAnsi="Arial" w:cs="Arial"/>
          <w:color w:val="auto"/>
          <w:sz w:val="24"/>
          <w:szCs w:val="24"/>
        </w:rPr>
        <w:fldChar w:fldCharType="begin"/>
      </w:r>
      <w:r w:rsidRPr="004D647E">
        <w:rPr>
          <w:rFonts w:ascii="Arial" w:hAnsi="Arial" w:cs="Arial"/>
          <w:color w:val="auto"/>
          <w:sz w:val="24"/>
          <w:szCs w:val="24"/>
        </w:rPr>
        <w:instrText xml:space="preserve"> STYLEREF 1 \s </w:instrText>
      </w:r>
      <w:r w:rsidRPr="004D647E">
        <w:rPr>
          <w:rFonts w:ascii="Arial" w:hAnsi="Arial" w:cs="Arial"/>
          <w:color w:val="auto"/>
          <w:sz w:val="24"/>
          <w:szCs w:val="24"/>
        </w:rPr>
        <w:fldChar w:fldCharType="separate"/>
      </w:r>
      <w:r w:rsidRPr="004D647E">
        <w:rPr>
          <w:rFonts w:ascii="Arial" w:hAnsi="Arial" w:cs="Arial"/>
          <w:noProof/>
          <w:color w:val="auto"/>
          <w:sz w:val="24"/>
          <w:szCs w:val="24"/>
        </w:rPr>
        <w:t>4</w:t>
      </w:r>
      <w:r w:rsidRPr="004D647E">
        <w:rPr>
          <w:rFonts w:ascii="Arial" w:hAnsi="Arial" w:cs="Arial"/>
          <w:color w:val="auto"/>
          <w:sz w:val="24"/>
          <w:szCs w:val="24"/>
        </w:rPr>
        <w:fldChar w:fldCharType="end"/>
      </w:r>
      <w:r w:rsidRPr="004D647E">
        <w:rPr>
          <w:rFonts w:ascii="Arial" w:hAnsi="Arial" w:cs="Arial"/>
          <w:color w:val="auto"/>
          <w:sz w:val="24"/>
          <w:szCs w:val="24"/>
        </w:rPr>
        <w:noBreakHyphen/>
      </w:r>
      <w:r w:rsidRPr="004D647E">
        <w:rPr>
          <w:rFonts w:ascii="Arial" w:hAnsi="Arial" w:cs="Arial"/>
          <w:color w:val="auto"/>
          <w:sz w:val="24"/>
          <w:szCs w:val="24"/>
        </w:rPr>
        <w:fldChar w:fldCharType="begin"/>
      </w:r>
      <w:r w:rsidRPr="004D647E">
        <w:rPr>
          <w:rFonts w:ascii="Arial" w:hAnsi="Arial" w:cs="Arial"/>
          <w:color w:val="auto"/>
          <w:sz w:val="24"/>
          <w:szCs w:val="24"/>
        </w:rPr>
        <w:instrText xml:space="preserve"> SEQ Tabla \* ARABIC \s 1 </w:instrText>
      </w:r>
      <w:r w:rsidRPr="004D647E">
        <w:rPr>
          <w:rFonts w:ascii="Arial" w:hAnsi="Arial" w:cs="Arial"/>
          <w:color w:val="auto"/>
          <w:sz w:val="24"/>
          <w:szCs w:val="24"/>
        </w:rPr>
        <w:fldChar w:fldCharType="separate"/>
      </w:r>
      <w:r w:rsidRPr="004D647E">
        <w:rPr>
          <w:rFonts w:ascii="Arial" w:hAnsi="Arial" w:cs="Arial"/>
          <w:noProof/>
          <w:color w:val="auto"/>
          <w:sz w:val="24"/>
          <w:szCs w:val="24"/>
        </w:rPr>
        <w:t>145</w:t>
      </w:r>
      <w:r w:rsidRPr="004D647E">
        <w:rPr>
          <w:rFonts w:ascii="Arial" w:hAnsi="Arial" w:cs="Arial"/>
          <w:color w:val="auto"/>
          <w:sz w:val="24"/>
          <w:szCs w:val="24"/>
        </w:rPr>
        <w:fldChar w:fldCharType="end"/>
      </w:r>
      <w:r w:rsidRPr="004D647E">
        <w:rPr>
          <w:rFonts w:ascii="Arial" w:hAnsi="Arial" w:cs="Arial"/>
          <w:color w:val="auto"/>
          <w:sz w:val="24"/>
          <w:szCs w:val="24"/>
        </w:rPr>
        <w:t xml:space="preserve"> Acuerdos de Concesión entidad concedente (ACCONC) – Composición</w:t>
      </w:r>
      <w:bookmarkEnd w:id="150"/>
    </w:p>
    <w:p w:rsidR="00450E4A" w:rsidRPr="0010054B" w:rsidRDefault="00450E4A" w:rsidP="00450E4A">
      <w:pPr>
        <w:pStyle w:val="Textoindependiente"/>
        <w:spacing w:before="240" w:after="60"/>
        <w:jc w:val="center"/>
        <w:rPr>
          <w:rFonts w:ascii="Montserrat Medium" w:hAnsi="Montserrat Medium"/>
          <w:szCs w:val="22"/>
          <w:lang w:val="es-CO"/>
        </w:rPr>
      </w:pPr>
      <w:r w:rsidRPr="0010054B">
        <w:rPr>
          <w:noProof/>
          <w:szCs w:val="22"/>
          <w:lang w:val="es-CO" w:eastAsia="es-CO"/>
        </w:rPr>
        <w:lastRenderedPageBreak/>
        <w:drawing>
          <wp:inline distT="0" distB="0" distL="0" distR="0" wp14:anchorId="132245B7" wp14:editId="24D94257">
            <wp:extent cx="5943600" cy="4532630"/>
            <wp:effectExtent l="0" t="0" r="0" b="1270"/>
            <wp:docPr id="461931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532630"/>
                    </a:xfrm>
                    <a:prstGeom prst="rect">
                      <a:avLst/>
                    </a:prstGeom>
                    <a:noFill/>
                    <a:ln>
                      <a:noFill/>
                    </a:ln>
                  </pic:spPr>
                </pic:pic>
              </a:graphicData>
            </a:graphic>
          </wp:inline>
        </w:drawing>
      </w:r>
    </w:p>
    <w:p w:rsidR="004D647E" w:rsidRDefault="004D647E" w:rsidP="004D647E">
      <w:pPr>
        <w:pStyle w:val="Textoindependiente"/>
        <w:ind w:left="-142" w:right="-518"/>
        <w:jc w:val="both"/>
        <w:rPr>
          <w:rFonts w:ascii="Arial" w:hAnsi="Arial" w:cs="Arial"/>
          <w:sz w:val="24"/>
          <w:lang w:val="es-CO"/>
        </w:rPr>
      </w:pPr>
    </w:p>
    <w:p w:rsidR="004D647E" w:rsidRDefault="00450E4A" w:rsidP="004D647E">
      <w:pPr>
        <w:ind w:left="-142" w:right="-518"/>
        <w:jc w:val="both"/>
        <w:rPr>
          <w:rFonts w:ascii="Arial" w:hAnsi="Arial" w:cs="Arial"/>
        </w:rPr>
      </w:pPr>
      <w:r w:rsidRPr="004D647E">
        <w:rPr>
          <w:rFonts w:ascii="Arial" w:hAnsi="Arial" w:cs="Arial"/>
          <w:b/>
          <w:u w:val="single"/>
          <w:lang w:val="es-CO"/>
        </w:rPr>
        <w:t>Como se puede observar, a 31 de diciembre de 2022, el valor neto por Acuerdos de concesión asciende a la suma de $33.995,3, de los cuales $80.364,6 corresponden al valor del Activo en concesión y el pasivo asciende a la suma de $46.369,3</w:t>
      </w:r>
      <w:r w:rsidRPr="004D647E">
        <w:rPr>
          <w:rFonts w:ascii="Arial" w:hAnsi="Arial" w:cs="Arial"/>
          <w:lang w:val="es-CO"/>
        </w:rPr>
        <w:t xml:space="preserve">. </w:t>
      </w:r>
      <w:r w:rsidR="004D647E">
        <w:rPr>
          <w:rFonts w:ascii="Arial" w:hAnsi="Arial" w:cs="Arial"/>
        </w:rPr>
        <w:t>(Subrayado y resaltado fuera de texto).</w:t>
      </w:r>
    </w:p>
    <w:p w:rsidR="004D647E" w:rsidRDefault="004D647E" w:rsidP="004D647E">
      <w:pPr>
        <w:ind w:left="-142" w:right="-518"/>
        <w:jc w:val="both"/>
        <w:rPr>
          <w:lang w:eastAsia="es-CO"/>
        </w:rPr>
      </w:pPr>
    </w:p>
    <w:p w:rsidR="00450E4A" w:rsidRPr="004D647E" w:rsidRDefault="00450E4A" w:rsidP="004D647E">
      <w:pPr>
        <w:pStyle w:val="Textoindependiente"/>
        <w:ind w:left="-142" w:right="-518"/>
        <w:jc w:val="both"/>
        <w:rPr>
          <w:rFonts w:ascii="Arial" w:hAnsi="Arial" w:cs="Arial"/>
          <w:sz w:val="24"/>
          <w:lang w:val="es-CO"/>
        </w:rPr>
      </w:pPr>
      <w:r w:rsidRPr="004D647E">
        <w:rPr>
          <w:rFonts w:ascii="Arial" w:hAnsi="Arial" w:cs="Arial"/>
          <w:sz w:val="24"/>
          <w:lang w:val="es-CO"/>
        </w:rPr>
        <w:t xml:space="preserve">Es importante resaltar que, en el proceso de consolidación, a este grupo de cuentas no le aplican eliminaciones y reclasificaciones, razón por la cual los saldos agregados son los mismos saldos consolidados, los cuales hacen parte del Estado de Situación Financiera Consolidado. </w:t>
      </w:r>
    </w:p>
    <w:p w:rsidR="00450E4A" w:rsidRPr="004D647E" w:rsidRDefault="00450E4A" w:rsidP="004D647E">
      <w:pPr>
        <w:pStyle w:val="Textoindependiente"/>
        <w:ind w:left="-142" w:right="-518"/>
        <w:jc w:val="both"/>
        <w:rPr>
          <w:rFonts w:ascii="Arial" w:hAnsi="Arial" w:cs="Arial"/>
          <w:sz w:val="24"/>
          <w:lang w:val="es-CO"/>
        </w:rPr>
      </w:pPr>
    </w:p>
    <w:p w:rsidR="00450E4A" w:rsidRPr="004D647E" w:rsidRDefault="00450E4A" w:rsidP="004D647E">
      <w:pPr>
        <w:pStyle w:val="Encabezado"/>
        <w:ind w:left="-142" w:right="-518"/>
        <w:rPr>
          <w:rFonts w:ascii="Arial" w:hAnsi="Arial" w:cs="Arial"/>
          <w:b/>
          <w:sz w:val="28"/>
          <w:szCs w:val="28"/>
        </w:rPr>
      </w:pPr>
      <w:r w:rsidRPr="004D647E">
        <w:rPr>
          <w:rFonts w:ascii="Arial" w:hAnsi="Arial" w:cs="Arial"/>
          <w:b/>
          <w:sz w:val="28"/>
          <w:szCs w:val="28"/>
        </w:rPr>
        <w:t>Entidades que registran los mayores valores en ACCONC</w:t>
      </w:r>
      <w:r w:rsidR="004D647E">
        <w:rPr>
          <w:rFonts w:ascii="Arial" w:hAnsi="Arial" w:cs="Arial"/>
          <w:b/>
          <w:sz w:val="28"/>
          <w:szCs w:val="28"/>
        </w:rPr>
        <w:t>.</w:t>
      </w:r>
    </w:p>
    <w:p w:rsidR="00450E4A" w:rsidRPr="004D647E" w:rsidRDefault="00450E4A" w:rsidP="004D647E">
      <w:pPr>
        <w:ind w:left="-142" w:right="-518"/>
        <w:jc w:val="both"/>
        <w:rPr>
          <w:rFonts w:ascii="Arial" w:hAnsi="Arial" w:cs="Arial"/>
        </w:rPr>
      </w:pPr>
    </w:p>
    <w:p w:rsidR="00450E4A" w:rsidRPr="004D647E" w:rsidRDefault="00450E4A" w:rsidP="004D647E">
      <w:pPr>
        <w:ind w:left="-142" w:right="-518"/>
        <w:jc w:val="both"/>
        <w:rPr>
          <w:rFonts w:ascii="Arial" w:hAnsi="Arial" w:cs="Arial"/>
        </w:rPr>
      </w:pPr>
      <w:r w:rsidRPr="004D647E">
        <w:rPr>
          <w:rFonts w:ascii="Arial" w:hAnsi="Arial" w:cs="Arial"/>
        </w:rPr>
        <w:t xml:space="preserve">A continuación, se relacionan comparativamente con el año 2021, las entidades que reflejan los mayores saldos </w:t>
      </w:r>
      <w:bookmarkStart w:id="151" w:name="_Hlk134440148"/>
      <w:r w:rsidRPr="004D647E">
        <w:rPr>
          <w:rFonts w:ascii="Arial" w:hAnsi="Arial" w:cs="Arial"/>
        </w:rPr>
        <w:t xml:space="preserve">de activos y pasivos por acuerdos de concesión </w:t>
      </w:r>
      <w:bookmarkEnd w:id="151"/>
      <w:r w:rsidRPr="004D647E">
        <w:rPr>
          <w:rFonts w:ascii="Arial" w:hAnsi="Arial" w:cs="Arial"/>
        </w:rPr>
        <w:t>reportados en el año 2022, así:</w:t>
      </w:r>
    </w:p>
    <w:p w:rsidR="00450E4A" w:rsidRPr="004D647E" w:rsidRDefault="00450E4A" w:rsidP="00450E4A">
      <w:pPr>
        <w:jc w:val="both"/>
        <w:rPr>
          <w:rFonts w:ascii="Arial" w:hAnsi="Arial" w:cs="Arial"/>
        </w:rPr>
      </w:pPr>
    </w:p>
    <w:p w:rsidR="00450E4A" w:rsidRPr="004D647E" w:rsidRDefault="00450E4A" w:rsidP="004D647E">
      <w:pPr>
        <w:pStyle w:val="Descripcin"/>
        <w:jc w:val="center"/>
        <w:rPr>
          <w:rFonts w:ascii="Arial" w:hAnsi="Arial" w:cs="Arial"/>
          <w:color w:val="auto"/>
          <w:sz w:val="24"/>
          <w:szCs w:val="24"/>
        </w:rPr>
      </w:pPr>
      <w:bookmarkStart w:id="152" w:name="_Toc135044909"/>
      <w:r w:rsidRPr="004D647E">
        <w:rPr>
          <w:rFonts w:ascii="Arial" w:hAnsi="Arial" w:cs="Arial"/>
          <w:color w:val="auto"/>
          <w:sz w:val="24"/>
          <w:szCs w:val="24"/>
        </w:rPr>
        <w:t xml:space="preserve">Tabla </w:t>
      </w:r>
      <w:r w:rsidRPr="004D647E">
        <w:rPr>
          <w:rFonts w:ascii="Arial" w:hAnsi="Arial" w:cs="Arial"/>
          <w:color w:val="auto"/>
          <w:sz w:val="24"/>
          <w:szCs w:val="24"/>
        </w:rPr>
        <w:fldChar w:fldCharType="begin"/>
      </w:r>
      <w:r w:rsidRPr="004D647E">
        <w:rPr>
          <w:rFonts w:ascii="Arial" w:hAnsi="Arial" w:cs="Arial"/>
          <w:color w:val="auto"/>
          <w:sz w:val="24"/>
          <w:szCs w:val="24"/>
        </w:rPr>
        <w:instrText xml:space="preserve"> STYLEREF 1 \s </w:instrText>
      </w:r>
      <w:r w:rsidRPr="004D647E">
        <w:rPr>
          <w:rFonts w:ascii="Arial" w:hAnsi="Arial" w:cs="Arial"/>
          <w:color w:val="auto"/>
          <w:sz w:val="24"/>
          <w:szCs w:val="24"/>
        </w:rPr>
        <w:fldChar w:fldCharType="separate"/>
      </w:r>
      <w:r w:rsidRPr="004D647E">
        <w:rPr>
          <w:rFonts w:ascii="Arial" w:hAnsi="Arial" w:cs="Arial"/>
          <w:noProof/>
          <w:color w:val="auto"/>
          <w:sz w:val="24"/>
          <w:szCs w:val="24"/>
        </w:rPr>
        <w:t>4</w:t>
      </w:r>
      <w:r w:rsidRPr="004D647E">
        <w:rPr>
          <w:rFonts w:ascii="Arial" w:hAnsi="Arial" w:cs="Arial"/>
          <w:noProof/>
          <w:color w:val="auto"/>
          <w:sz w:val="24"/>
          <w:szCs w:val="24"/>
        </w:rPr>
        <w:fldChar w:fldCharType="end"/>
      </w:r>
      <w:r w:rsidRPr="004D647E">
        <w:rPr>
          <w:rFonts w:ascii="Arial" w:hAnsi="Arial" w:cs="Arial"/>
          <w:color w:val="auto"/>
          <w:sz w:val="24"/>
          <w:szCs w:val="24"/>
        </w:rPr>
        <w:noBreakHyphen/>
      </w:r>
      <w:r w:rsidRPr="004D647E">
        <w:rPr>
          <w:rFonts w:ascii="Arial" w:hAnsi="Arial" w:cs="Arial"/>
          <w:color w:val="auto"/>
          <w:sz w:val="24"/>
          <w:szCs w:val="24"/>
        </w:rPr>
        <w:fldChar w:fldCharType="begin"/>
      </w:r>
      <w:r w:rsidRPr="004D647E">
        <w:rPr>
          <w:rFonts w:ascii="Arial" w:hAnsi="Arial" w:cs="Arial"/>
          <w:color w:val="auto"/>
          <w:sz w:val="24"/>
          <w:szCs w:val="24"/>
        </w:rPr>
        <w:instrText xml:space="preserve"> SEQ Tabla \* ARABIC \s 1 </w:instrText>
      </w:r>
      <w:r w:rsidRPr="004D647E">
        <w:rPr>
          <w:rFonts w:ascii="Arial" w:hAnsi="Arial" w:cs="Arial"/>
          <w:color w:val="auto"/>
          <w:sz w:val="24"/>
          <w:szCs w:val="24"/>
        </w:rPr>
        <w:fldChar w:fldCharType="separate"/>
      </w:r>
      <w:r w:rsidRPr="004D647E">
        <w:rPr>
          <w:rFonts w:ascii="Arial" w:hAnsi="Arial" w:cs="Arial"/>
          <w:noProof/>
          <w:color w:val="auto"/>
          <w:sz w:val="24"/>
          <w:szCs w:val="24"/>
        </w:rPr>
        <w:t>146</w:t>
      </w:r>
      <w:r w:rsidRPr="004D647E">
        <w:rPr>
          <w:rFonts w:ascii="Arial" w:hAnsi="Arial" w:cs="Arial"/>
          <w:noProof/>
          <w:color w:val="auto"/>
          <w:sz w:val="24"/>
          <w:szCs w:val="24"/>
        </w:rPr>
        <w:fldChar w:fldCharType="end"/>
      </w:r>
      <w:r w:rsidRPr="004D647E">
        <w:rPr>
          <w:rFonts w:ascii="Arial" w:hAnsi="Arial" w:cs="Arial"/>
          <w:color w:val="auto"/>
          <w:sz w:val="24"/>
          <w:szCs w:val="24"/>
        </w:rPr>
        <w:t xml:space="preserve"> ACCONC - Entidades más representativas – Activo</w:t>
      </w:r>
      <w:bookmarkEnd w:id="152"/>
    </w:p>
    <w:p w:rsidR="00450E4A" w:rsidRPr="00A320BE" w:rsidRDefault="00450E4A" w:rsidP="00450E4A">
      <w:pPr>
        <w:jc w:val="center"/>
        <w:rPr>
          <w:sz w:val="20"/>
          <w:szCs w:val="20"/>
        </w:rPr>
      </w:pPr>
      <w:r w:rsidRPr="00A320BE">
        <w:rPr>
          <w:noProof/>
          <w:lang w:val="es-CO" w:eastAsia="es-CO"/>
        </w:rPr>
        <w:lastRenderedPageBreak/>
        <w:drawing>
          <wp:inline distT="0" distB="0" distL="0" distR="0" wp14:anchorId="3DD2DAAC" wp14:editId="5D1BD4DF">
            <wp:extent cx="5943600" cy="4010025"/>
            <wp:effectExtent l="0" t="0" r="0" b="9525"/>
            <wp:docPr id="980865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t="5393"/>
                    <a:stretch/>
                  </pic:blipFill>
                  <pic:spPr bwMode="auto">
                    <a:xfrm>
                      <a:off x="0" y="0"/>
                      <a:ext cx="5943600" cy="4010025"/>
                    </a:xfrm>
                    <a:prstGeom prst="rect">
                      <a:avLst/>
                    </a:prstGeom>
                    <a:noFill/>
                    <a:ln>
                      <a:noFill/>
                    </a:ln>
                    <a:extLst>
                      <a:ext uri="{53640926-AAD7-44D8-BBD7-CCE9431645EC}">
                        <a14:shadowObscured xmlns:a14="http://schemas.microsoft.com/office/drawing/2010/main"/>
                      </a:ext>
                    </a:extLst>
                  </pic:spPr>
                </pic:pic>
              </a:graphicData>
            </a:graphic>
          </wp:inline>
        </w:drawing>
      </w:r>
    </w:p>
    <w:p w:rsidR="00450E4A" w:rsidRPr="00A320BE" w:rsidRDefault="00450E4A" w:rsidP="00450E4A">
      <w:pPr>
        <w:ind w:left="284" w:right="261"/>
        <w:jc w:val="both"/>
        <w:rPr>
          <w:sz w:val="18"/>
          <w:szCs w:val="18"/>
        </w:rPr>
      </w:pPr>
      <w:r w:rsidRPr="00A320BE">
        <w:rPr>
          <w:sz w:val="18"/>
          <w:szCs w:val="18"/>
        </w:rPr>
        <w:t>*En la clasificación “Resto de Entidades que reportan” se reflejan los saldos reportados por las demás entidades, los cuales analizados individualmente son inferiores a los reportados por las entidades más representativas.</w:t>
      </w:r>
    </w:p>
    <w:p w:rsidR="00450E4A" w:rsidRPr="00A320BE" w:rsidRDefault="00450E4A" w:rsidP="00450E4A">
      <w:pPr>
        <w:ind w:left="284" w:right="261"/>
        <w:jc w:val="both"/>
        <w:rPr>
          <w:sz w:val="18"/>
          <w:szCs w:val="18"/>
        </w:rPr>
      </w:pPr>
    </w:p>
    <w:p w:rsidR="00450E4A" w:rsidRPr="004D647E" w:rsidRDefault="00450E4A" w:rsidP="004D647E">
      <w:pPr>
        <w:ind w:left="-142" w:right="-518"/>
        <w:jc w:val="both"/>
        <w:rPr>
          <w:rFonts w:ascii="Arial" w:hAnsi="Arial" w:cs="Arial"/>
          <w:color w:val="000000" w:themeColor="text1"/>
        </w:rPr>
      </w:pPr>
      <w:r w:rsidRPr="004D647E">
        <w:rPr>
          <w:rFonts w:ascii="Arial" w:hAnsi="Arial" w:cs="Arial"/>
          <w:color w:val="000000" w:themeColor="text1"/>
        </w:rPr>
        <w:t>Teniendo en cuenta que el universo de entidades consolidadas fue de 343, es importante mencionar que: 3 entidades reportaron saldos en Bienes de uso público en servicio-concesiones; y 3 en Bienes de uso público en construcción-concesiones.</w:t>
      </w:r>
    </w:p>
    <w:p w:rsidR="00450E4A" w:rsidRPr="004D647E" w:rsidRDefault="00450E4A" w:rsidP="004D647E">
      <w:pPr>
        <w:ind w:left="-142" w:right="-518"/>
        <w:jc w:val="both"/>
        <w:rPr>
          <w:rFonts w:ascii="Arial" w:hAnsi="Arial" w:cs="Arial"/>
          <w:color w:val="FF0000"/>
        </w:rPr>
      </w:pPr>
    </w:p>
    <w:p w:rsidR="00450E4A" w:rsidRPr="004D647E" w:rsidRDefault="00450E4A" w:rsidP="004D647E">
      <w:pPr>
        <w:autoSpaceDE w:val="0"/>
        <w:autoSpaceDN w:val="0"/>
        <w:adjustRightInd w:val="0"/>
        <w:ind w:left="-142" w:right="-518"/>
        <w:jc w:val="both"/>
        <w:rPr>
          <w:rFonts w:ascii="Arial" w:hAnsi="Arial" w:cs="Arial"/>
          <w:color w:val="000000" w:themeColor="text1"/>
        </w:rPr>
      </w:pPr>
      <w:bookmarkStart w:id="153" w:name="_Hlk101727993"/>
      <w:r w:rsidRPr="004D647E">
        <w:rPr>
          <w:rFonts w:ascii="Arial" w:hAnsi="Arial" w:cs="Arial"/>
          <w:color w:val="000000" w:themeColor="text1"/>
        </w:rPr>
        <w:t>La variación</w:t>
      </w:r>
      <w:bookmarkStart w:id="154" w:name="_Hlk101728029"/>
      <w:bookmarkEnd w:id="153"/>
      <w:r w:rsidRPr="004D647E">
        <w:rPr>
          <w:rFonts w:ascii="Arial" w:hAnsi="Arial" w:cs="Arial"/>
          <w:color w:val="000000" w:themeColor="text1"/>
        </w:rPr>
        <w:t xml:space="preserve"> que se presenta en las cuentas Bienes de uso público en servicio-concesiones y Bienes de uso público en construcción</w:t>
      </w:r>
      <w:r w:rsidR="004D647E">
        <w:rPr>
          <w:rFonts w:ascii="Arial" w:hAnsi="Arial" w:cs="Arial"/>
          <w:color w:val="000000" w:themeColor="text1"/>
        </w:rPr>
        <w:t xml:space="preserve"> </w:t>
      </w:r>
      <w:r w:rsidRPr="004D647E">
        <w:rPr>
          <w:rFonts w:ascii="Arial" w:hAnsi="Arial" w:cs="Arial"/>
          <w:color w:val="000000" w:themeColor="text1"/>
        </w:rPr>
        <w:t>-</w:t>
      </w:r>
      <w:r w:rsidR="004D647E">
        <w:rPr>
          <w:rFonts w:ascii="Arial" w:hAnsi="Arial" w:cs="Arial"/>
          <w:color w:val="000000" w:themeColor="text1"/>
        </w:rPr>
        <w:t xml:space="preserve"> </w:t>
      </w:r>
      <w:r w:rsidRPr="004D647E">
        <w:rPr>
          <w:rFonts w:ascii="Arial" w:hAnsi="Arial" w:cs="Arial"/>
          <w:color w:val="000000" w:themeColor="text1"/>
        </w:rPr>
        <w:t xml:space="preserve">concesiones, de la Agencia Nacional de Infraestructura, quienes en sus variaciones trimestrales significativas indican que </w:t>
      </w:r>
      <w:bookmarkEnd w:id="154"/>
      <w:r w:rsidRPr="004D647E">
        <w:rPr>
          <w:rFonts w:ascii="Arial" w:hAnsi="Arial" w:cs="Arial"/>
          <w:color w:val="000000" w:themeColor="text1"/>
        </w:rPr>
        <w:t>el aumento obedeció a la actualización a fecha de corte 31 de diciembre de 2022, de las adiciones en Infraestructura CAPEX, informadas en sus notas a los estados financieros, atendiendo las técnicas de estimación desarrolladas por la Agencia en cumplimiento al plan de trabajo suscrito con la CGN y el plazo establecido por el artículo 7 de la Resolución 602 de 2018.</w:t>
      </w:r>
      <w:r w:rsidRPr="004D647E">
        <w:rPr>
          <w:rFonts w:ascii="Arial" w:hAnsi="Arial" w:cs="Arial"/>
          <w:color w:val="000000" w:themeColor="text1"/>
          <w:highlight w:val="yellow"/>
        </w:rPr>
        <w:t xml:space="preserve"> </w:t>
      </w:r>
    </w:p>
    <w:p w:rsidR="00450E4A" w:rsidRPr="00A320BE" w:rsidRDefault="00450E4A" w:rsidP="00450E4A">
      <w:pPr>
        <w:autoSpaceDE w:val="0"/>
        <w:autoSpaceDN w:val="0"/>
        <w:adjustRightInd w:val="0"/>
        <w:jc w:val="both"/>
        <w:rPr>
          <w:color w:val="000000" w:themeColor="text1"/>
        </w:rPr>
      </w:pPr>
    </w:p>
    <w:p w:rsidR="00450E4A" w:rsidRPr="004D647E" w:rsidRDefault="00450E4A" w:rsidP="004D647E">
      <w:pPr>
        <w:pStyle w:val="Descripcin"/>
        <w:jc w:val="center"/>
        <w:rPr>
          <w:rFonts w:ascii="Arial" w:hAnsi="Arial" w:cs="Arial"/>
          <w:color w:val="auto"/>
          <w:sz w:val="24"/>
          <w:szCs w:val="24"/>
        </w:rPr>
      </w:pPr>
      <w:bookmarkStart w:id="155" w:name="_Toc135044910"/>
      <w:r w:rsidRPr="004D647E">
        <w:rPr>
          <w:rFonts w:ascii="Arial" w:hAnsi="Arial" w:cs="Arial"/>
          <w:color w:val="auto"/>
          <w:sz w:val="24"/>
          <w:szCs w:val="24"/>
        </w:rPr>
        <w:t xml:space="preserve">Tabla </w:t>
      </w:r>
      <w:r w:rsidRPr="004D647E">
        <w:rPr>
          <w:rFonts w:ascii="Arial" w:hAnsi="Arial" w:cs="Arial"/>
          <w:color w:val="auto"/>
          <w:sz w:val="24"/>
          <w:szCs w:val="24"/>
        </w:rPr>
        <w:fldChar w:fldCharType="begin"/>
      </w:r>
      <w:r w:rsidRPr="004D647E">
        <w:rPr>
          <w:rFonts w:ascii="Arial" w:hAnsi="Arial" w:cs="Arial"/>
          <w:color w:val="auto"/>
          <w:sz w:val="24"/>
          <w:szCs w:val="24"/>
        </w:rPr>
        <w:instrText xml:space="preserve"> STYLEREF 1 \s </w:instrText>
      </w:r>
      <w:r w:rsidRPr="004D647E">
        <w:rPr>
          <w:rFonts w:ascii="Arial" w:hAnsi="Arial" w:cs="Arial"/>
          <w:color w:val="auto"/>
          <w:sz w:val="24"/>
          <w:szCs w:val="24"/>
        </w:rPr>
        <w:fldChar w:fldCharType="separate"/>
      </w:r>
      <w:r w:rsidRPr="004D647E">
        <w:rPr>
          <w:rFonts w:ascii="Arial" w:hAnsi="Arial" w:cs="Arial"/>
          <w:noProof/>
          <w:color w:val="auto"/>
          <w:sz w:val="24"/>
          <w:szCs w:val="24"/>
        </w:rPr>
        <w:t>4</w:t>
      </w:r>
      <w:r w:rsidRPr="004D647E">
        <w:rPr>
          <w:rFonts w:ascii="Arial" w:hAnsi="Arial" w:cs="Arial"/>
          <w:noProof/>
          <w:color w:val="auto"/>
          <w:sz w:val="24"/>
          <w:szCs w:val="24"/>
        </w:rPr>
        <w:fldChar w:fldCharType="end"/>
      </w:r>
      <w:r w:rsidRPr="004D647E">
        <w:rPr>
          <w:rFonts w:ascii="Arial" w:hAnsi="Arial" w:cs="Arial"/>
          <w:color w:val="auto"/>
          <w:sz w:val="24"/>
          <w:szCs w:val="24"/>
        </w:rPr>
        <w:noBreakHyphen/>
      </w:r>
      <w:r w:rsidRPr="004D647E">
        <w:rPr>
          <w:rFonts w:ascii="Arial" w:hAnsi="Arial" w:cs="Arial"/>
          <w:color w:val="auto"/>
          <w:sz w:val="24"/>
          <w:szCs w:val="24"/>
        </w:rPr>
        <w:fldChar w:fldCharType="begin"/>
      </w:r>
      <w:r w:rsidRPr="004D647E">
        <w:rPr>
          <w:rFonts w:ascii="Arial" w:hAnsi="Arial" w:cs="Arial"/>
          <w:color w:val="auto"/>
          <w:sz w:val="24"/>
          <w:szCs w:val="24"/>
        </w:rPr>
        <w:instrText xml:space="preserve"> SEQ Tabla \* ARABIC \s 1 </w:instrText>
      </w:r>
      <w:r w:rsidRPr="004D647E">
        <w:rPr>
          <w:rFonts w:ascii="Arial" w:hAnsi="Arial" w:cs="Arial"/>
          <w:color w:val="auto"/>
          <w:sz w:val="24"/>
          <w:szCs w:val="24"/>
        </w:rPr>
        <w:fldChar w:fldCharType="separate"/>
      </w:r>
      <w:r w:rsidRPr="004D647E">
        <w:rPr>
          <w:rFonts w:ascii="Arial" w:hAnsi="Arial" w:cs="Arial"/>
          <w:noProof/>
          <w:color w:val="auto"/>
          <w:sz w:val="24"/>
          <w:szCs w:val="24"/>
        </w:rPr>
        <w:t>147</w:t>
      </w:r>
      <w:r w:rsidRPr="004D647E">
        <w:rPr>
          <w:rFonts w:ascii="Arial" w:hAnsi="Arial" w:cs="Arial"/>
          <w:noProof/>
          <w:color w:val="auto"/>
          <w:sz w:val="24"/>
          <w:szCs w:val="24"/>
        </w:rPr>
        <w:fldChar w:fldCharType="end"/>
      </w:r>
      <w:r w:rsidRPr="004D647E">
        <w:rPr>
          <w:rFonts w:ascii="Arial" w:hAnsi="Arial" w:cs="Arial"/>
          <w:color w:val="auto"/>
          <w:sz w:val="24"/>
          <w:szCs w:val="24"/>
        </w:rPr>
        <w:t xml:space="preserve"> ACCONC - Entidades más representativas – Pasivo</w:t>
      </w:r>
      <w:bookmarkEnd w:id="155"/>
    </w:p>
    <w:p w:rsidR="00450E4A" w:rsidRPr="00A320BE" w:rsidRDefault="00450E4A" w:rsidP="004D647E">
      <w:pPr>
        <w:jc w:val="center"/>
        <w:rPr>
          <w:highlight w:val="yellow"/>
        </w:rPr>
      </w:pPr>
      <w:r w:rsidRPr="00A320BE">
        <w:rPr>
          <w:noProof/>
          <w:lang w:val="es-CO" w:eastAsia="es-CO"/>
        </w:rPr>
        <w:lastRenderedPageBreak/>
        <w:drawing>
          <wp:inline distT="0" distB="0" distL="0" distR="0" wp14:anchorId="0FC2476E" wp14:editId="2B3B0753">
            <wp:extent cx="5943600" cy="2892637"/>
            <wp:effectExtent l="0" t="0" r="0" b="3175"/>
            <wp:docPr id="1833982075" name="Imagen 183398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extLst>
                        <a:ext uri="{28A0092B-C50C-407E-A947-70E740481C1C}">
                          <a14:useLocalDpi xmlns:a14="http://schemas.microsoft.com/office/drawing/2010/main" val="0"/>
                        </a:ext>
                      </a:extLst>
                    </a:blip>
                    <a:srcRect t="5530"/>
                    <a:stretch/>
                  </pic:blipFill>
                  <pic:spPr bwMode="auto">
                    <a:xfrm>
                      <a:off x="0" y="0"/>
                      <a:ext cx="5943600" cy="2892637"/>
                    </a:xfrm>
                    <a:prstGeom prst="rect">
                      <a:avLst/>
                    </a:prstGeom>
                    <a:noFill/>
                    <a:ln>
                      <a:noFill/>
                    </a:ln>
                    <a:extLst>
                      <a:ext uri="{53640926-AAD7-44D8-BBD7-CCE9431645EC}">
                        <a14:shadowObscured xmlns:a14="http://schemas.microsoft.com/office/drawing/2010/main"/>
                      </a:ext>
                    </a:extLst>
                  </pic:spPr>
                </pic:pic>
              </a:graphicData>
            </a:graphic>
          </wp:inline>
        </w:drawing>
      </w:r>
    </w:p>
    <w:p w:rsidR="00450E4A" w:rsidRPr="00A320BE" w:rsidRDefault="00450E4A" w:rsidP="004D647E">
      <w:pPr>
        <w:ind w:left="284" w:right="261"/>
        <w:jc w:val="both"/>
        <w:rPr>
          <w:sz w:val="18"/>
          <w:szCs w:val="18"/>
        </w:rPr>
      </w:pPr>
      <w:r w:rsidRPr="00A320BE">
        <w:rPr>
          <w:sz w:val="18"/>
          <w:szCs w:val="18"/>
        </w:rPr>
        <w:t>*En la clasificación “Resto de Entidades que reportan” se reflejan los saldos reportados por las demás entidades, los cuales analizados individualmente son inferiores a los reportados por las entidades más representativas.</w:t>
      </w:r>
    </w:p>
    <w:p w:rsidR="00450E4A" w:rsidRPr="00A320BE" w:rsidRDefault="00450E4A" w:rsidP="00450E4A">
      <w:pPr>
        <w:jc w:val="both"/>
        <w:rPr>
          <w:highlight w:val="yellow"/>
        </w:rPr>
      </w:pPr>
    </w:p>
    <w:p w:rsidR="00450E4A" w:rsidRPr="004D647E" w:rsidRDefault="00450E4A" w:rsidP="004D647E">
      <w:pPr>
        <w:ind w:left="-142" w:right="-518"/>
        <w:jc w:val="both"/>
        <w:rPr>
          <w:rFonts w:ascii="Arial" w:hAnsi="Arial" w:cs="Arial"/>
          <w:color w:val="000000" w:themeColor="text1"/>
        </w:rPr>
      </w:pPr>
      <w:r w:rsidRPr="004D647E">
        <w:rPr>
          <w:rFonts w:ascii="Arial" w:hAnsi="Arial" w:cs="Arial"/>
          <w:color w:val="000000" w:themeColor="text1"/>
        </w:rPr>
        <w:t xml:space="preserve">Del universo de entidades consolidadas, 5 reportaron saldos en Ingreso diferido por concesiones – concedente y tan solo la Agencia Nacional de Infraestructura reportó en el concepto Pasivo financiero por acuerdos de concesión. </w:t>
      </w:r>
    </w:p>
    <w:p w:rsidR="00450E4A" w:rsidRPr="004D647E" w:rsidRDefault="00450E4A" w:rsidP="004D647E">
      <w:pPr>
        <w:ind w:left="-142" w:right="-518"/>
        <w:jc w:val="both"/>
        <w:rPr>
          <w:rFonts w:ascii="Arial" w:hAnsi="Arial" w:cs="Arial"/>
        </w:rPr>
      </w:pPr>
    </w:p>
    <w:p w:rsidR="00450E4A" w:rsidRPr="004D647E" w:rsidRDefault="00450E4A" w:rsidP="004D647E">
      <w:pPr>
        <w:autoSpaceDE w:val="0"/>
        <w:autoSpaceDN w:val="0"/>
        <w:adjustRightInd w:val="0"/>
        <w:ind w:left="-142" w:right="-518"/>
        <w:jc w:val="both"/>
        <w:rPr>
          <w:rFonts w:ascii="Arial" w:hAnsi="Arial" w:cs="Arial"/>
          <w:color w:val="000000" w:themeColor="text1"/>
        </w:rPr>
      </w:pPr>
      <w:bookmarkStart w:id="156" w:name="_Hlk101728090"/>
      <w:r w:rsidRPr="004D647E">
        <w:rPr>
          <w:rFonts w:ascii="Arial" w:hAnsi="Arial" w:cs="Arial"/>
          <w:color w:val="000000" w:themeColor="text1"/>
        </w:rPr>
        <w:t>Se destaca la variación presentada por la entidad Agencia Nacional de Infraestructura en la cuenta Pasivo financiero por acuerdos de concesión – concedente, que según la información reportada en el formato de variaciones trimestrales significativas, en esta subcuenta se refleja el pasivo financiero determinado para los proyectos de concesión del modo carretero, en atención a la Guía publicada en el Sistema de Gestión de Calidad y con la guía denominada Modelos Financieros para Propósitos Contables, las cuales permiten estimar de acuerdo con la información suministrada por las interventorías de los proyectos, el comportamiento de los proyectos concesionados desde el inicio, hasta la fecha de corte, con la información de la ejecución del proyecto, en avances de obra entre otros conceptos, la cual se registra en los estados financieros de la agencia y se ajusta en la medida de la ejecución financiera efectuada del contrato con una periodicidad mensual.</w:t>
      </w:r>
    </w:p>
    <w:bookmarkEnd w:id="156"/>
    <w:p w:rsidR="00450E4A" w:rsidRDefault="00450E4A" w:rsidP="004D647E">
      <w:pPr>
        <w:ind w:left="-142" w:right="-518"/>
        <w:rPr>
          <w:rFonts w:ascii="Arial" w:hAnsi="Arial" w:cs="Arial"/>
        </w:rPr>
      </w:pPr>
    </w:p>
    <w:p w:rsidR="009A394B" w:rsidRPr="009A394B" w:rsidRDefault="00F34C14" w:rsidP="009A394B">
      <w:pPr>
        <w:pStyle w:val="Ttulo6"/>
        <w:ind w:left="-142" w:right="-518"/>
        <w:jc w:val="both"/>
        <w:rPr>
          <w:rFonts w:ascii="Arial" w:hAnsi="Arial" w:cs="Arial"/>
          <w:b/>
          <w:color w:val="auto"/>
          <w:sz w:val="28"/>
          <w:szCs w:val="28"/>
        </w:rPr>
      </w:pPr>
      <w:r w:rsidRPr="009A394B">
        <w:rPr>
          <w:rFonts w:ascii="Arial" w:hAnsi="Arial" w:cs="Arial"/>
          <w:b/>
          <w:color w:val="auto"/>
          <w:sz w:val="28"/>
          <w:szCs w:val="28"/>
        </w:rPr>
        <w:t xml:space="preserve">NOTA 34.- </w:t>
      </w:r>
      <w:bookmarkStart w:id="157" w:name="_Toc135044745"/>
      <w:r w:rsidR="009A394B" w:rsidRPr="009A394B">
        <w:rPr>
          <w:rFonts w:ascii="Arial" w:hAnsi="Arial" w:cs="Arial"/>
          <w:b/>
          <w:color w:val="auto"/>
          <w:sz w:val="28"/>
          <w:szCs w:val="28"/>
        </w:rPr>
        <w:t>Administración de recursos de seguridad social en pensiones -Fondos administrados por Colpensiones</w:t>
      </w:r>
      <w:bookmarkEnd w:id="157"/>
      <w:r w:rsidR="009A394B" w:rsidRPr="009A394B">
        <w:rPr>
          <w:rFonts w:ascii="Arial" w:hAnsi="Arial" w:cs="Arial"/>
          <w:b/>
          <w:color w:val="auto"/>
          <w:sz w:val="28"/>
          <w:szCs w:val="28"/>
        </w:rPr>
        <w:t>.</w:t>
      </w:r>
    </w:p>
    <w:p w:rsidR="009A394B" w:rsidRPr="009A394B" w:rsidRDefault="009A394B" w:rsidP="009A394B"/>
    <w:p w:rsidR="009A394B" w:rsidRPr="009A394B" w:rsidRDefault="009A394B" w:rsidP="009A394B">
      <w:pPr>
        <w:ind w:left="-142" w:right="-518"/>
        <w:jc w:val="both"/>
        <w:rPr>
          <w:rFonts w:ascii="Arial" w:hAnsi="Arial" w:cs="Arial"/>
          <w:iCs/>
        </w:rPr>
      </w:pPr>
      <w:r w:rsidRPr="009A394B">
        <w:rPr>
          <w:rFonts w:ascii="Arial" w:hAnsi="Arial" w:cs="Arial"/>
          <w:iCs/>
        </w:rPr>
        <w:t>En la siguiente tabla se muestra el Estado de situación financiera agregado de los cuatro (4) fondos de reservas que administra Colpensiones, que están separados por cada uno de los riesgos que cubre, así: Vejez, Invalidez, muerte y, la administración del Sistema de Ahorro de Beneficios Económicos Periódicos – BEPS y demás prestaciones determinadas por Ley, al 31 de diciembre de 2022 comparativamente con el año 2021.</w:t>
      </w:r>
    </w:p>
    <w:p w:rsidR="009A394B" w:rsidRPr="00A320BE" w:rsidRDefault="009A394B" w:rsidP="009A394B">
      <w:pPr>
        <w:jc w:val="both"/>
        <w:rPr>
          <w:iCs/>
        </w:rPr>
      </w:pPr>
    </w:p>
    <w:p w:rsidR="009A394B" w:rsidRPr="009A394B" w:rsidRDefault="009A394B" w:rsidP="009A394B">
      <w:pPr>
        <w:pStyle w:val="Descripcin"/>
        <w:jc w:val="center"/>
        <w:rPr>
          <w:rFonts w:ascii="Arial" w:hAnsi="Arial" w:cs="Arial"/>
          <w:iCs w:val="0"/>
          <w:color w:val="auto"/>
          <w:sz w:val="24"/>
          <w:szCs w:val="24"/>
        </w:rPr>
      </w:pPr>
      <w:bookmarkStart w:id="158" w:name="_Toc135044912"/>
      <w:r w:rsidRPr="009A394B">
        <w:rPr>
          <w:rFonts w:ascii="Arial" w:hAnsi="Arial" w:cs="Arial"/>
          <w:color w:val="auto"/>
          <w:sz w:val="24"/>
          <w:szCs w:val="24"/>
        </w:rPr>
        <w:t xml:space="preserve">Tabla </w:t>
      </w:r>
      <w:r w:rsidRPr="009A394B">
        <w:rPr>
          <w:rFonts w:ascii="Arial" w:hAnsi="Arial" w:cs="Arial"/>
          <w:color w:val="auto"/>
          <w:sz w:val="24"/>
          <w:szCs w:val="24"/>
        </w:rPr>
        <w:fldChar w:fldCharType="begin"/>
      </w:r>
      <w:r w:rsidRPr="009A394B">
        <w:rPr>
          <w:rFonts w:ascii="Arial" w:hAnsi="Arial" w:cs="Arial"/>
          <w:color w:val="auto"/>
          <w:sz w:val="24"/>
          <w:szCs w:val="24"/>
        </w:rPr>
        <w:instrText xml:space="preserve"> STYLEREF 1 \s </w:instrText>
      </w:r>
      <w:r w:rsidRPr="009A394B">
        <w:rPr>
          <w:rFonts w:ascii="Arial" w:hAnsi="Arial" w:cs="Arial"/>
          <w:color w:val="auto"/>
          <w:sz w:val="24"/>
          <w:szCs w:val="24"/>
        </w:rPr>
        <w:fldChar w:fldCharType="separate"/>
      </w:r>
      <w:r w:rsidRPr="009A394B">
        <w:rPr>
          <w:rFonts w:ascii="Arial" w:hAnsi="Arial" w:cs="Arial"/>
          <w:noProof/>
          <w:color w:val="auto"/>
          <w:sz w:val="24"/>
          <w:szCs w:val="24"/>
        </w:rPr>
        <w:t>4</w:t>
      </w:r>
      <w:r w:rsidRPr="009A394B">
        <w:rPr>
          <w:rFonts w:ascii="Arial" w:hAnsi="Arial" w:cs="Arial"/>
          <w:noProof/>
          <w:color w:val="auto"/>
          <w:sz w:val="24"/>
          <w:szCs w:val="24"/>
        </w:rPr>
        <w:fldChar w:fldCharType="end"/>
      </w:r>
      <w:r w:rsidRPr="009A394B">
        <w:rPr>
          <w:rFonts w:ascii="Arial" w:hAnsi="Arial" w:cs="Arial"/>
          <w:color w:val="auto"/>
          <w:sz w:val="24"/>
          <w:szCs w:val="24"/>
        </w:rPr>
        <w:noBreakHyphen/>
      </w:r>
      <w:r w:rsidRPr="009A394B">
        <w:rPr>
          <w:rFonts w:ascii="Arial" w:hAnsi="Arial" w:cs="Arial"/>
          <w:color w:val="auto"/>
          <w:sz w:val="24"/>
          <w:szCs w:val="24"/>
        </w:rPr>
        <w:fldChar w:fldCharType="begin"/>
      </w:r>
      <w:r w:rsidRPr="009A394B">
        <w:rPr>
          <w:rFonts w:ascii="Arial" w:hAnsi="Arial" w:cs="Arial"/>
          <w:color w:val="auto"/>
          <w:sz w:val="24"/>
          <w:szCs w:val="24"/>
        </w:rPr>
        <w:instrText xml:space="preserve"> SEQ Tabla \* ARABIC \s 1 </w:instrText>
      </w:r>
      <w:r w:rsidRPr="009A394B">
        <w:rPr>
          <w:rFonts w:ascii="Arial" w:hAnsi="Arial" w:cs="Arial"/>
          <w:color w:val="auto"/>
          <w:sz w:val="24"/>
          <w:szCs w:val="24"/>
        </w:rPr>
        <w:fldChar w:fldCharType="separate"/>
      </w:r>
      <w:r w:rsidRPr="009A394B">
        <w:rPr>
          <w:rFonts w:ascii="Arial" w:hAnsi="Arial" w:cs="Arial"/>
          <w:noProof/>
          <w:color w:val="auto"/>
          <w:sz w:val="24"/>
          <w:szCs w:val="24"/>
        </w:rPr>
        <w:t>149</w:t>
      </w:r>
      <w:r w:rsidRPr="009A394B">
        <w:rPr>
          <w:rFonts w:ascii="Arial" w:hAnsi="Arial" w:cs="Arial"/>
          <w:noProof/>
          <w:color w:val="auto"/>
          <w:sz w:val="24"/>
          <w:szCs w:val="24"/>
        </w:rPr>
        <w:fldChar w:fldCharType="end"/>
      </w:r>
      <w:r w:rsidRPr="009A394B">
        <w:rPr>
          <w:rFonts w:ascii="Arial" w:hAnsi="Arial" w:cs="Arial"/>
          <w:color w:val="auto"/>
          <w:sz w:val="24"/>
          <w:szCs w:val="24"/>
        </w:rPr>
        <w:t xml:space="preserve"> Fondos administrados por Colpensiones - Estado de situación financiera (agregado)</w:t>
      </w:r>
      <w:bookmarkEnd w:id="158"/>
    </w:p>
    <w:p w:rsidR="009A394B" w:rsidRPr="00A320BE" w:rsidRDefault="009A394B" w:rsidP="009A394B">
      <w:pPr>
        <w:jc w:val="center"/>
        <w:rPr>
          <w:iCs/>
        </w:rPr>
      </w:pPr>
      <w:r w:rsidRPr="00A320BE">
        <w:rPr>
          <w:noProof/>
          <w:lang w:val="es-CO" w:eastAsia="es-CO"/>
        </w:rPr>
        <w:lastRenderedPageBreak/>
        <w:drawing>
          <wp:inline distT="0" distB="0" distL="0" distR="0" wp14:anchorId="2AB8B3F1" wp14:editId="0ADBFFE4">
            <wp:extent cx="5943600" cy="5393055"/>
            <wp:effectExtent l="0" t="0" r="0" b="0"/>
            <wp:docPr id="153980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t="3191"/>
                    <a:stretch/>
                  </pic:blipFill>
                  <pic:spPr bwMode="auto">
                    <a:xfrm>
                      <a:off x="0" y="0"/>
                      <a:ext cx="5943600" cy="5393055"/>
                    </a:xfrm>
                    <a:prstGeom prst="rect">
                      <a:avLst/>
                    </a:prstGeom>
                    <a:noFill/>
                    <a:ln>
                      <a:noFill/>
                    </a:ln>
                    <a:extLst>
                      <a:ext uri="{53640926-AAD7-44D8-BBD7-CCE9431645EC}">
                        <a14:shadowObscured xmlns:a14="http://schemas.microsoft.com/office/drawing/2010/main"/>
                      </a:ext>
                    </a:extLst>
                  </pic:spPr>
                </pic:pic>
              </a:graphicData>
            </a:graphic>
          </wp:inline>
        </w:drawing>
      </w:r>
    </w:p>
    <w:p w:rsidR="009A394B" w:rsidRPr="00A320BE" w:rsidRDefault="009A394B" w:rsidP="009A394B">
      <w:pPr>
        <w:jc w:val="both"/>
        <w:rPr>
          <w:iCs/>
        </w:rPr>
      </w:pPr>
    </w:p>
    <w:p w:rsidR="009A394B" w:rsidRDefault="009A394B" w:rsidP="009A394B">
      <w:pPr>
        <w:ind w:left="-142" w:right="-518"/>
        <w:jc w:val="both"/>
        <w:rPr>
          <w:rFonts w:ascii="Arial" w:hAnsi="Arial" w:cs="Arial"/>
        </w:rPr>
      </w:pPr>
      <w:r w:rsidRPr="009A394B">
        <w:rPr>
          <w:rFonts w:ascii="Arial" w:hAnsi="Arial" w:cs="Arial"/>
          <w:b/>
          <w:iCs/>
          <w:u w:val="single"/>
        </w:rPr>
        <w:t>Los Activos o recursos que poseen los fondos de reservas pensionales administrados por Colpensiones presentan un valor de $11.759,5 al 31 de diciembre de 2022, con una disminución de $2.741,1 con relación al período anterior</w:t>
      </w:r>
      <w:r w:rsidRPr="009A394B">
        <w:rPr>
          <w:rFonts w:ascii="Arial" w:hAnsi="Arial" w:cs="Arial"/>
          <w:iCs/>
        </w:rPr>
        <w:t>.</w:t>
      </w:r>
      <w:r>
        <w:rPr>
          <w:rFonts w:ascii="Arial" w:hAnsi="Arial" w:cs="Arial"/>
          <w:iCs/>
        </w:rPr>
        <w:t xml:space="preserve"> </w:t>
      </w:r>
      <w:r>
        <w:rPr>
          <w:rFonts w:ascii="Arial" w:hAnsi="Arial" w:cs="Arial"/>
        </w:rPr>
        <w:t>(Subrayado y resaltado fuera de texto).</w:t>
      </w:r>
    </w:p>
    <w:p w:rsidR="009A394B" w:rsidRDefault="009A394B" w:rsidP="009A394B">
      <w:pPr>
        <w:ind w:left="-142" w:right="-518"/>
        <w:jc w:val="both"/>
        <w:rPr>
          <w:lang w:eastAsia="es-CO"/>
        </w:rPr>
      </w:pPr>
    </w:p>
    <w:p w:rsidR="006315BA" w:rsidRPr="006315BA" w:rsidRDefault="006315BA" w:rsidP="006315BA">
      <w:pPr>
        <w:ind w:left="-142" w:right="-518"/>
        <w:jc w:val="both"/>
        <w:rPr>
          <w:rFonts w:ascii="Arial" w:hAnsi="Arial" w:cs="Arial"/>
          <w:iCs/>
        </w:rPr>
      </w:pPr>
      <w:r w:rsidRPr="006315BA">
        <w:rPr>
          <w:rFonts w:ascii="Arial" w:hAnsi="Arial" w:cs="Arial"/>
          <w:iCs/>
        </w:rPr>
        <w:t xml:space="preserve">Los Pasivos de estos fondos suman $2.195,7, y corresponden principalmente a las Provisiones con un saldo de $1.293,2; a las Cuentas por pagar con saldo de $513,8; y a otros pasivos por $388,7. </w:t>
      </w:r>
    </w:p>
    <w:p w:rsidR="006315BA" w:rsidRPr="006315BA" w:rsidRDefault="006315BA" w:rsidP="006315BA">
      <w:pPr>
        <w:ind w:left="-142" w:right="-518"/>
        <w:jc w:val="both"/>
        <w:rPr>
          <w:rFonts w:ascii="Arial" w:hAnsi="Arial" w:cs="Arial"/>
          <w:iCs/>
        </w:rPr>
      </w:pPr>
    </w:p>
    <w:p w:rsidR="006315BA" w:rsidRPr="006315BA" w:rsidRDefault="006315BA" w:rsidP="006315BA">
      <w:pPr>
        <w:ind w:left="-142" w:right="-518"/>
        <w:jc w:val="both"/>
        <w:rPr>
          <w:rFonts w:ascii="Arial" w:hAnsi="Arial" w:cs="Arial"/>
          <w:iCs/>
        </w:rPr>
      </w:pPr>
      <w:r w:rsidRPr="006315BA">
        <w:rPr>
          <w:rFonts w:ascii="Arial" w:hAnsi="Arial" w:cs="Arial"/>
          <w:iCs/>
        </w:rPr>
        <w:t>Al 31 de diciembre de 2022, el Cálculo actuarial de los fondos de reservas revelados en cuentas de orden como Pasivos contingentes alcanza la suma de $1.224.244,3, que comparado con el valor del año 2021 presenta un incremento del 12,1%. La liquidación provisional de Bonos pensionales registra un valor de $1.675,0, lo que es un 12,9% superior al valor del año 2021.</w:t>
      </w:r>
    </w:p>
    <w:p w:rsidR="006315BA" w:rsidRPr="006315BA" w:rsidRDefault="006315BA" w:rsidP="006315BA">
      <w:pPr>
        <w:jc w:val="both"/>
        <w:rPr>
          <w:rFonts w:ascii="Arial" w:hAnsi="Arial" w:cs="Arial"/>
          <w:iCs/>
        </w:rPr>
      </w:pPr>
    </w:p>
    <w:p w:rsidR="006315BA" w:rsidRPr="006315BA" w:rsidRDefault="006315BA" w:rsidP="006315BA">
      <w:pPr>
        <w:pStyle w:val="Descripcin"/>
        <w:jc w:val="center"/>
        <w:rPr>
          <w:rFonts w:ascii="Arial" w:hAnsi="Arial" w:cs="Arial"/>
          <w:iCs w:val="0"/>
          <w:color w:val="auto"/>
          <w:sz w:val="24"/>
          <w:szCs w:val="24"/>
        </w:rPr>
      </w:pPr>
      <w:bookmarkStart w:id="159" w:name="_Toc135044913"/>
      <w:r w:rsidRPr="006315BA">
        <w:rPr>
          <w:rFonts w:ascii="Arial" w:hAnsi="Arial" w:cs="Arial"/>
          <w:color w:val="auto"/>
          <w:sz w:val="24"/>
          <w:szCs w:val="24"/>
        </w:rPr>
        <w:t xml:space="preserve">Tabla </w:t>
      </w:r>
      <w:r w:rsidRPr="006315BA">
        <w:rPr>
          <w:rFonts w:ascii="Arial" w:hAnsi="Arial" w:cs="Arial"/>
          <w:color w:val="auto"/>
          <w:sz w:val="24"/>
          <w:szCs w:val="24"/>
        </w:rPr>
        <w:fldChar w:fldCharType="begin"/>
      </w:r>
      <w:r w:rsidRPr="006315BA">
        <w:rPr>
          <w:rFonts w:ascii="Arial" w:hAnsi="Arial" w:cs="Arial"/>
          <w:color w:val="auto"/>
          <w:sz w:val="24"/>
          <w:szCs w:val="24"/>
        </w:rPr>
        <w:instrText xml:space="preserve"> STYLEREF 1 \s </w:instrText>
      </w:r>
      <w:r w:rsidRPr="006315BA">
        <w:rPr>
          <w:rFonts w:ascii="Arial" w:hAnsi="Arial" w:cs="Arial"/>
          <w:color w:val="auto"/>
          <w:sz w:val="24"/>
          <w:szCs w:val="24"/>
        </w:rPr>
        <w:fldChar w:fldCharType="separate"/>
      </w:r>
      <w:r w:rsidRPr="006315BA">
        <w:rPr>
          <w:rFonts w:ascii="Arial" w:hAnsi="Arial" w:cs="Arial"/>
          <w:noProof/>
          <w:color w:val="auto"/>
          <w:sz w:val="24"/>
          <w:szCs w:val="24"/>
        </w:rPr>
        <w:t>4</w:t>
      </w:r>
      <w:r w:rsidRPr="006315BA">
        <w:rPr>
          <w:rFonts w:ascii="Arial" w:hAnsi="Arial" w:cs="Arial"/>
          <w:noProof/>
          <w:color w:val="auto"/>
          <w:sz w:val="24"/>
          <w:szCs w:val="24"/>
        </w:rPr>
        <w:fldChar w:fldCharType="end"/>
      </w:r>
      <w:r w:rsidRPr="006315BA">
        <w:rPr>
          <w:rFonts w:ascii="Arial" w:hAnsi="Arial" w:cs="Arial"/>
          <w:color w:val="auto"/>
          <w:sz w:val="24"/>
          <w:szCs w:val="24"/>
        </w:rPr>
        <w:noBreakHyphen/>
      </w:r>
      <w:r w:rsidRPr="006315BA">
        <w:rPr>
          <w:rFonts w:ascii="Arial" w:hAnsi="Arial" w:cs="Arial"/>
          <w:color w:val="auto"/>
          <w:sz w:val="24"/>
          <w:szCs w:val="24"/>
        </w:rPr>
        <w:fldChar w:fldCharType="begin"/>
      </w:r>
      <w:r w:rsidRPr="006315BA">
        <w:rPr>
          <w:rFonts w:ascii="Arial" w:hAnsi="Arial" w:cs="Arial"/>
          <w:color w:val="auto"/>
          <w:sz w:val="24"/>
          <w:szCs w:val="24"/>
        </w:rPr>
        <w:instrText xml:space="preserve"> SEQ Tabla \* ARABIC \s 1 </w:instrText>
      </w:r>
      <w:r w:rsidRPr="006315BA">
        <w:rPr>
          <w:rFonts w:ascii="Arial" w:hAnsi="Arial" w:cs="Arial"/>
          <w:color w:val="auto"/>
          <w:sz w:val="24"/>
          <w:szCs w:val="24"/>
        </w:rPr>
        <w:fldChar w:fldCharType="separate"/>
      </w:r>
      <w:r w:rsidRPr="006315BA">
        <w:rPr>
          <w:rFonts w:ascii="Arial" w:hAnsi="Arial" w:cs="Arial"/>
          <w:noProof/>
          <w:color w:val="auto"/>
          <w:sz w:val="24"/>
          <w:szCs w:val="24"/>
        </w:rPr>
        <w:t>150</w:t>
      </w:r>
      <w:r w:rsidRPr="006315BA">
        <w:rPr>
          <w:rFonts w:ascii="Arial" w:hAnsi="Arial" w:cs="Arial"/>
          <w:noProof/>
          <w:color w:val="auto"/>
          <w:sz w:val="24"/>
          <w:szCs w:val="24"/>
        </w:rPr>
        <w:fldChar w:fldCharType="end"/>
      </w:r>
      <w:r w:rsidRPr="006315BA">
        <w:rPr>
          <w:rFonts w:ascii="Arial" w:hAnsi="Arial" w:cs="Arial"/>
          <w:color w:val="auto"/>
          <w:sz w:val="24"/>
          <w:szCs w:val="24"/>
        </w:rPr>
        <w:t xml:space="preserve"> COLP - Estado de resultados (agregado)</w:t>
      </w:r>
      <w:bookmarkEnd w:id="159"/>
    </w:p>
    <w:p w:rsidR="006315BA" w:rsidRPr="00A320BE" w:rsidRDefault="006315BA" w:rsidP="006315BA">
      <w:pPr>
        <w:jc w:val="center"/>
        <w:rPr>
          <w:iCs/>
        </w:rPr>
      </w:pPr>
      <w:r w:rsidRPr="00A320BE">
        <w:rPr>
          <w:noProof/>
          <w:lang w:val="es-CO" w:eastAsia="es-CO"/>
        </w:rPr>
        <w:lastRenderedPageBreak/>
        <w:drawing>
          <wp:inline distT="0" distB="0" distL="0" distR="0" wp14:anchorId="5A8A69AF" wp14:editId="0B053EF0">
            <wp:extent cx="5943600" cy="1677458"/>
            <wp:effectExtent l="0" t="0" r="0" b="0"/>
            <wp:docPr id="5029537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t="9994"/>
                    <a:stretch/>
                  </pic:blipFill>
                  <pic:spPr bwMode="auto">
                    <a:xfrm>
                      <a:off x="0" y="0"/>
                      <a:ext cx="5943600" cy="1677458"/>
                    </a:xfrm>
                    <a:prstGeom prst="rect">
                      <a:avLst/>
                    </a:prstGeom>
                    <a:noFill/>
                    <a:ln>
                      <a:noFill/>
                    </a:ln>
                    <a:extLst>
                      <a:ext uri="{53640926-AAD7-44D8-BBD7-CCE9431645EC}">
                        <a14:shadowObscured xmlns:a14="http://schemas.microsoft.com/office/drawing/2010/main"/>
                      </a:ext>
                    </a:extLst>
                  </pic:spPr>
                </pic:pic>
              </a:graphicData>
            </a:graphic>
          </wp:inline>
        </w:drawing>
      </w:r>
    </w:p>
    <w:p w:rsidR="006315BA" w:rsidRPr="00A320BE" w:rsidRDefault="006315BA" w:rsidP="006315BA">
      <w:pPr>
        <w:jc w:val="both"/>
        <w:rPr>
          <w:iCs/>
        </w:rPr>
      </w:pPr>
    </w:p>
    <w:p w:rsidR="006315BA" w:rsidRPr="006315BA" w:rsidRDefault="006315BA" w:rsidP="006315BA">
      <w:pPr>
        <w:ind w:left="-142" w:right="-518"/>
        <w:jc w:val="both"/>
        <w:rPr>
          <w:rFonts w:ascii="Arial" w:hAnsi="Arial" w:cs="Arial"/>
          <w:iCs/>
        </w:rPr>
      </w:pPr>
      <w:r w:rsidRPr="006315BA">
        <w:rPr>
          <w:rFonts w:ascii="Arial" w:hAnsi="Arial" w:cs="Arial"/>
          <w:iCs/>
        </w:rPr>
        <w:t xml:space="preserve">Como se observa en la tabla anterior al 31 de diciembre de 2022, los Fondos de reservas registran Ingresos por valor de $1.009,5, que corresponden principalmente a los Otros ingresos financieros, valor superior en $467,8 al registrado al final del año 2021. </w:t>
      </w:r>
    </w:p>
    <w:p w:rsidR="006315BA" w:rsidRPr="006315BA" w:rsidRDefault="006315BA" w:rsidP="006315BA">
      <w:pPr>
        <w:ind w:left="-142" w:right="-518"/>
        <w:jc w:val="both"/>
        <w:rPr>
          <w:rFonts w:ascii="Arial" w:hAnsi="Arial" w:cs="Arial"/>
          <w:iCs/>
        </w:rPr>
      </w:pPr>
    </w:p>
    <w:p w:rsidR="006315BA" w:rsidRPr="006315BA" w:rsidRDefault="006315BA" w:rsidP="006315BA">
      <w:pPr>
        <w:ind w:left="-142" w:right="-518"/>
        <w:jc w:val="both"/>
        <w:rPr>
          <w:rFonts w:ascii="Arial" w:hAnsi="Arial" w:cs="Arial"/>
          <w:iCs/>
        </w:rPr>
      </w:pPr>
      <w:r w:rsidRPr="006315BA">
        <w:rPr>
          <w:rFonts w:ascii="Arial" w:hAnsi="Arial" w:cs="Arial"/>
          <w:iCs/>
        </w:rPr>
        <w:t xml:space="preserve">Los gastos registrados por los Fondos de reservas alcanzaron la suma de $1.314,1, valor superior al registrado en 2021 que fue de $774,6, representados principalmente en los conceptos de Deterioro de activos y Otros gastos financieros. </w:t>
      </w:r>
    </w:p>
    <w:p w:rsidR="006315BA" w:rsidRPr="006315BA" w:rsidRDefault="006315BA" w:rsidP="006315BA">
      <w:pPr>
        <w:ind w:left="-142" w:right="-518"/>
        <w:jc w:val="both"/>
        <w:rPr>
          <w:rFonts w:ascii="Arial" w:hAnsi="Arial" w:cs="Arial"/>
          <w:iCs/>
        </w:rPr>
      </w:pPr>
      <w:r w:rsidRPr="006315BA">
        <w:rPr>
          <w:rFonts w:ascii="Arial" w:hAnsi="Arial" w:cs="Arial"/>
          <w:iCs/>
        </w:rPr>
        <w:t xml:space="preserve"> </w:t>
      </w:r>
    </w:p>
    <w:p w:rsidR="006315BA" w:rsidRDefault="006315BA" w:rsidP="006315BA">
      <w:pPr>
        <w:ind w:left="-142" w:right="-518"/>
        <w:jc w:val="both"/>
        <w:rPr>
          <w:rFonts w:ascii="Arial" w:hAnsi="Arial" w:cs="Arial"/>
        </w:rPr>
      </w:pPr>
      <w:r w:rsidRPr="006315BA">
        <w:rPr>
          <w:rFonts w:ascii="Arial" w:hAnsi="Arial" w:cs="Arial"/>
          <w:b/>
          <w:iCs/>
          <w:u w:val="single"/>
        </w:rPr>
        <w:t>Como se observa durante el año 2022 los fondos presentan un resultado del ejercicio negativo, es decir, una pérdida de ($304,6), de forma similar con el año 2021 que presentaron un resultado negativo por valor de $232,9, aunque implicando un aumento del resultado deficitario del 30,8%</w:t>
      </w:r>
      <w:r w:rsidR="007E71E9">
        <w:rPr>
          <w:rFonts w:ascii="Arial" w:hAnsi="Arial" w:cs="Arial"/>
          <w:b/>
          <w:iCs/>
          <w:u w:val="single"/>
        </w:rPr>
        <w:t>”</w:t>
      </w:r>
      <w:r w:rsidRPr="006315BA">
        <w:rPr>
          <w:rFonts w:ascii="Arial" w:hAnsi="Arial" w:cs="Arial"/>
          <w:iCs/>
        </w:rPr>
        <w:t>.</w:t>
      </w:r>
      <w:r>
        <w:rPr>
          <w:rFonts w:ascii="Arial" w:hAnsi="Arial" w:cs="Arial"/>
          <w:iCs/>
        </w:rPr>
        <w:t xml:space="preserve"> </w:t>
      </w:r>
      <w:r>
        <w:rPr>
          <w:rFonts w:ascii="Arial" w:hAnsi="Arial" w:cs="Arial"/>
        </w:rPr>
        <w:t>(Subrayado y resaltado fuera de texto).</w:t>
      </w:r>
    </w:p>
    <w:p w:rsidR="006315BA" w:rsidRDefault="006315BA" w:rsidP="006315BA">
      <w:pPr>
        <w:ind w:left="-142" w:right="-518"/>
        <w:jc w:val="both"/>
        <w:rPr>
          <w:lang w:eastAsia="es-CO"/>
        </w:rPr>
      </w:pPr>
    </w:p>
    <w:p w:rsidR="00834B4D" w:rsidRDefault="00834B4D" w:rsidP="00834B4D">
      <w:pPr>
        <w:pStyle w:val="Textoindependiente"/>
        <w:ind w:left="-142" w:right="-518"/>
        <w:jc w:val="both"/>
        <w:rPr>
          <w:rFonts w:ascii="Arial" w:hAnsi="Arial" w:cs="Arial"/>
          <w:b/>
          <w:sz w:val="28"/>
          <w:szCs w:val="28"/>
        </w:rPr>
      </w:pPr>
      <w:r>
        <w:rPr>
          <w:rFonts w:ascii="Arial" w:hAnsi="Arial" w:cs="Arial"/>
          <w:b/>
          <w:sz w:val="28"/>
          <w:szCs w:val="28"/>
        </w:rPr>
        <w:t>-EVOLUCIÓN DEL PATRIMONIO DE LA NACIÓN PARA LAS VIGENCIAS FISCALES 2019, 2020, 2021 y 2022.</w:t>
      </w:r>
    </w:p>
    <w:p w:rsidR="00834B4D" w:rsidRDefault="00834B4D" w:rsidP="00834B4D">
      <w:pPr>
        <w:pStyle w:val="Textoindependiente"/>
        <w:ind w:left="-142" w:right="-518"/>
        <w:jc w:val="both"/>
        <w:rPr>
          <w:rFonts w:ascii="Arial" w:hAnsi="Arial" w:cs="Arial"/>
          <w:b/>
          <w:sz w:val="28"/>
          <w:szCs w:val="28"/>
        </w:rPr>
      </w:pPr>
    </w:p>
    <w:p w:rsidR="00834B4D" w:rsidRPr="00834B4D" w:rsidRDefault="00834B4D" w:rsidP="00834B4D">
      <w:pPr>
        <w:pStyle w:val="Textoindependiente"/>
        <w:ind w:left="-142" w:right="-518"/>
        <w:jc w:val="center"/>
        <w:rPr>
          <w:rFonts w:ascii="Arial" w:hAnsi="Arial" w:cs="Arial"/>
          <w:sz w:val="24"/>
        </w:rPr>
      </w:pPr>
      <w:r w:rsidRPr="00834B4D">
        <w:rPr>
          <w:rFonts w:ascii="Arial" w:hAnsi="Arial" w:cs="Arial"/>
          <w:sz w:val="24"/>
        </w:rPr>
        <w:t>Miles de millones de pesos</w:t>
      </w:r>
    </w:p>
    <w:p w:rsidR="00834B4D" w:rsidRDefault="00834B4D" w:rsidP="00834B4D">
      <w:pPr>
        <w:pStyle w:val="Textoindependiente"/>
        <w:ind w:left="-142" w:right="-518"/>
        <w:jc w:val="both"/>
        <w:rPr>
          <w:rFonts w:ascii="Arial" w:hAnsi="Arial" w:cs="Arial"/>
          <w:b/>
          <w:sz w:val="28"/>
          <w:szCs w:val="28"/>
        </w:rPr>
      </w:pPr>
    </w:p>
    <w:tbl>
      <w:tblPr>
        <w:tblStyle w:val="Tablaconcuadrcula"/>
        <w:tblW w:w="10627" w:type="dxa"/>
        <w:tblInd w:w="-142" w:type="dxa"/>
        <w:tblLook w:val="04A0" w:firstRow="1" w:lastRow="0" w:firstColumn="1" w:lastColumn="0" w:noHBand="0" w:noVBand="1"/>
      </w:tblPr>
      <w:tblGrid>
        <w:gridCol w:w="5240"/>
        <w:gridCol w:w="5387"/>
      </w:tblGrid>
      <w:tr w:rsidR="00834B4D" w:rsidTr="00834B4D">
        <w:tc>
          <w:tcPr>
            <w:tcW w:w="5240" w:type="dxa"/>
          </w:tcPr>
          <w:p w:rsidR="00834B4D" w:rsidRDefault="00834B4D" w:rsidP="00834B4D">
            <w:pPr>
              <w:pStyle w:val="Textoindependiente"/>
              <w:ind w:right="-518"/>
              <w:jc w:val="center"/>
              <w:rPr>
                <w:rFonts w:ascii="Arial" w:hAnsi="Arial" w:cs="Arial"/>
                <w:b/>
                <w:sz w:val="28"/>
                <w:szCs w:val="28"/>
                <w:lang w:eastAsia="es-ES"/>
              </w:rPr>
            </w:pPr>
            <w:r>
              <w:rPr>
                <w:rFonts w:ascii="Arial" w:hAnsi="Arial" w:cs="Arial"/>
                <w:b/>
                <w:sz w:val="28"/>
                <w:szCs w:val="28"/>
                <w:lang w:eastAsia="es-ES"/>
              </w:rPr>
              <w:t>AÑO</w:t>
            </w:r>
          </w:p>
        </w:tc>
        <w:tc>
          <w:tcPr>
            <w:tcW w:w="5387" w:type="dxa"/>
          </w:tcPr>
          <w:p w:rsidR="00834B4D" w:rsidRDefault="00834B4D" w:rsidP="00834B4D">
            <w:pPr>
              <w:pStyle w:val="Textoindependiente"/>
              <w:ind w:left="-668" w:right="-518"/>
              <w:jc w:val="center"/>
              <w:rPr>
                <w:rFonts w:ascii="Arial" w:hAnsi="Arial" w:cs="Arial"/>
                <w:b/>
                <w:sz w:val="28"/>
                <w:szCs w:val="28"/>
                <w:lang w:eastAsia="es-ES"/>
              </w:rPr>
            </w:pPr>
            <w:r>
              <w:rPr>
                <w:rFonts w:ascii="Arial" w:hAnsi="Arial" w:cs="Arial"/>
                <w:b/>
                <w:sz w:val="28"/>
                <w:szCs w:val="28"/>
                <w:lang w:eastAsia="es-ES"/>
              </w:rPr>
              <w:t>VALOR PATRIMONIO</w:t>
            </w:r>
          </w:p>
          <w:p w:rsidR="00834B4D" w:rsidRDefault="00834B4D" w:rsidP="00834B4D">
            <w:pPr>
              <w:pStyle w:val="Textoindependiente"/>
              <w:ind w:left="-668" w:right="-518"/>
              <w:jc w:val="center"/>
              <w:rPr>
                <w:rFonts w:ascii="Arial" w:hAnsi="Arial" w:cs="Arial"/>
                <w:b/>
                <w:sz w:val="28"/>
                <w:szCs w:val="28"/>
                <w:lang w:eastAsia="es-ES"/>
              </w:rPr>
            </w:pPr>
          </w:p>
        </w:tc>
      </w:tr>
      <w:tr w:rsidR="003E5F11" w:rsidTr="00834B4D">
        <w:tc>
          <w:tcPr>
            <w:tcW w:w="5240" w:type="dxa"/>
          </w:tcPr>
          <w:p w:rsidR="003E5F11" w:rsidRDefault="003E5F11" w:rsidP="003E5F11">
            <w:pPr>
              <w:pStyle w:val="Textoindependiente"/>
              <w:ind w:right="-518"/>
              <w:jc w:val="center"/>
              <w:rPr>
                <w:rFonts w:ascii="Arial" w:hAnsi="Arial" w:cs="Arial"/>
                <w:b/>
                <w:sz w:val="28"/>
                <w:szCs w:val="28"/>
                <w:lang w:eastAsia="es-ES"/>
              </w:rPr>
            </w:pPr>
            <w:r>
              <w:rPr>
                <w:rFonts w:ascii="Arial" w:hAnsi="Arial" w:cs="Arial"/>
                <w:b/>
                <w:sz w:val="28"/>
                <w:szCs w:val="28"/>
                <w:lang w:eastAsia="es-ES"/>
              </w:rPr>
              <w:t>2019</w:t>
            </w:r>
          </w:p>
        </w:tc>
        <w:tc>
          <w:tcPr>
            <w:tcW w:w="5387" w:type="dxa"/>
          </w:tcPr>
          <w:p w:rsidR="003E5F11" w:rsidRPr="00E438DA" w:rsidRDefault="003E5F11" w:rsidP="003E5F11">
            <w:pPr>
              <w:spacing w:line="276" w:lineRule="auto"/>
              <w:jc w:val="center"/>
              <w:rPr>
                <w:rFonts w:ascii="Arial" w:hAnsi="Arial" w:cs="Arial"/>
                <w:b/>
              </w:rPr>
            </w:pPr>
            <w:r w:rsidRPr="00E438DA">
              <w:rPr>
                <w:rFonts w:ascii="Arial" w:hAnsi="Arial" w:cs="Arial"/>
                <w:b/>
              </w:rPr>
              <w:t>(762.546,0)</w:t>
            </w:r>
          </w:p>
        </w:tc>
      </w:tr>
      <w:tr w:rsidR="003E5F11" w:rsidTr="00834B4D">
        <w:tc>
          <w:tcPr>
            <w:tcW w:w="5240" w:type="dxa"/>
          </w:tcPr>
          <w:p w:rsidR="003E5F11" w:rsidRDefault="003E5F11" w:rsidP="003E5F11">
            <w:pPr>
              <w:pStyle w:val="Textoindependiente"/>
              <w:ind w:right="-518"/>
              <w:jc w:val="center"/>
              <w:rPr>
                <w:rFonts w:ascii="Arial" w:hAnsi="Arial" w:cs="Arial"/>
                <w:b/>
                <w:sz w:val="28"/>
                <w:szCs w:val="28"/>
                <w:lang w:eastAsia="es-ES"/>
              </w:rPr>
            </w:pPr>
            <w:r>
              <w:rPr>
                <w:rFonts w:ascii="Arial" w:hAnsi="Arial" w:cs="Arial"/>
                <w:b/>
                <w:sz w:val="28"/>
                <w:szCs w:val="28"/>
                <w:lang w:eastAsia="es-ES"/>
              </w:rPr>
              <w:t>2020</w:t>
            </w:r>
          </w:p>
        </w:tc>
        <w:tc>
          <w:tcPr>
            <w:tcW w:w="5387" w:type="dxa"/>
          </w:tcPr>
          <w:p w:rsidR="003E5F11" w:rsidRPr="00E438DA" w:rsidRDefault="003E5F11" w:rsidP="003E5F11">
            <w:pPr>
              <w:spacing w:line="276" w:lineRule="auto"/>
              <w:jc w:val="center"/>
              <w:rPr>
                <w:rFonts w:ascii="Arial" w:hAnsi="Arial" w:cs="Arial"/>
                <w:b/>
              </w:rPr>
            </w:pPr>
            <w:r w:rsidRPr="00E438DA">
              <w:rPr>
                <w:rFonts w:ascii="Arial" w:hAnsi="Arial" w:cs="Arial"/>
                <w:b/>
              </w:rPr>
              <w:t>(830.581,6)</w:t>
            </w:r>
          </w:p>
        </w:tc>
      </w:tr>
      <w:tr w:rsidR="003E5F11" w:rsidTr="00834B4D">
        <w:tc>
          <w:tcPr>
            <w:tcW w:w="5240" w:type="dxa"/>
          </w:tcPr>
          <w:p w:rsidR="003E5F11" w:rsidRDefault="003E5F11" w:rsidP="003E5F11">
            <w:pPr>
              <w:pStyle w:val="Textoindependiente"/>
              <w:ind w:right="-518"/>
              <w:jc w:val="center"/>
              <w:rPr>
                <w:rFonts w:ascii="Arial" w:hAnsi="Arial" w:cs="Arial"/>
                <w:b/>
                <w:sz w:val="28"/>
                <w:szCs w:val="28"/>
                <w:lang w:eastAsia="es-ES"/>
              </w:rPr>
            </w:pPr>
            <w:r>
              <w:rPr>
                <w:rFonts w:ascii="Arial" w:hAnsi="Arial" w:cs="Arial"/>
                <w:b/>
                <w:sz w:val="28"/>
                <w:szCs w:val="28"/>
                <w:lang w:eastAsia="es-ES"/>
              </w:rPr>
              <w:t>2021</w:t>
            </w:r>
          </w:p>
        </w:tc>
        <w:tc>
          <w:tcPr>
            <w:tcW w:w="5387" w:type="dxa"/>
          </w:tcPr>
          <w:p w:rsidR="003E5F11" w:rsidRPr="00E438DA" w:rsidRDefault="003E5F11" w:rsidP="003E5F11">
            <w:pPr>
              <w:spacing w:line="276" w:lineRule="auto"/>
              <w:jc w:val="center"/>
              <w:rPr>
                <w:rFonts w:ascii="Arial" w:hAnsi="Arial" w:cs="Arial"/>
                <w:b/>
              </w:rPr>
            </w:pPr>
            <w:r>
              <w:rPr>
                <w:rFonts w:ascii="Arial" w:hAnsi="Arial" w:cs="Arial"/>
                <w:b/>
              </w:rPr>
              <w:t>(1.023.212,9)</w:t>
            </w:r>
          </w:p>
        </w:tc>
      </w:tr>
      <w:tr w:rsidR="003E5F11" w:rsidTr="00834B4D">
        <w:tc>
          <w:tcPr>
            <w:tcW w:w="5240" w:type="dxa"/>
          </w:tcPr>
          <w:p w:rsidR="003E5F11" w:rsidRDefault="003E5F11" w:rsidP="003E5F11">
            <w:pPr>
              <w:pStyle w:val="Textoindependiente"/>
              <w:ind w:right="-518"/>
              <w:jc w:val="center"/>
              <w:rPr>
                <w:rFonts w:ascii="Arial" w:hAnsi="Arial" w:cs="Arial"/>
                <w:b/>
                <w:sz w:val="28"/>
                <w:szCs w:val="28"/>
                <w:lang w:eastAsia="es-ES"/>
              </w:rPr>
            </w:pPr>
            <w:r>
              <w:rPr>
                <w:rFonts w:ascii="Arial" w:hAnsi="Arial" w:cs="Arial"/>
                <w:b/>
                <w:sz w:val="28"/>
                <w:szCs w:val="28"/>
                <w:lang w:eastAsia="es-ES"/>
              </w:rPr>
              <w:t>2022</w:t>
            </w:r>
          </w:p>
        </w:tc>
        <w:tc>
          <w:tcPr>
            <w:tcW w:w="5387" w:type="dxa"/>
          </w:tcPr>
          <w:p w:rsidR="003E5F11" w:rsidRPr="00CA3965" w:rsidRDefault="00CA3965" w:rsidP="00CA3965">
            <w:pPr>
              <w:pStyle w:val="Textoindependiente"/>
              <w:ind w:left="-526" w:right="-518"/>
              <w:jc w:val="center"/>
              <w:rPr>
                <w:rFonts w:ascii="Arial" w:hAnsi="Arial" w:cs="Arial"/>
                <w:b/>
                <w:sz w:val="24"/>
                <w:lang w:eastAsia="es-ES"/>
              </w:rPr>
            </w:pPr>
            <w:r w:rsidRPr="00CA3965">
              <w:rPr>
                <w:rFonts w:ascii="Arial" w:hAnsi="Arial" w:cs="Arial"/>
                <w:b/>
                <w:sz w:val="24"/>
                <w:lang w:eastAsia="es-ES"/>
              </w:rPr>
              <w:t>(1.090.580,1)</w:t>
            </w:r>
          </w:p>
        </w:tc>
      </w:tr>
    </w:tbl>
    <w:p w:rsidR="00834B4D" w:rsidRPr="00834B4D" w:rsidRDefault="00834B4D" w:rsidP="00834B4D">
      <w:pPr>
        <w:pStyle w:val="Textoindependiente"/>
        <w:ind w:left="-142" w:right="-518"/>
        <w:jc w:val="both"/>
        <w:rPr>
          <w:rFonts w:ascii="Arial" w:hAnsi="Arial" w:cs="Arial"/>
          <w:sz w:val="18"/>
          <w:szCs w:val="18"/>
          <w:lang w:eastAsia="es-ES"/>
        </w:rPr>
      </w:pPr>
      <w:r w:rsidRPr="00834B4D">
        <w:rPr>
          <w:rFonts w:ascii="Arial" w:hAnsi="Arial" w:cs="Arial"/>
          <w:sz w:val="18"/>
          <w:szCs w:val="18"/>
          <w:lang w:eastAsia="es-ES"/>
        </w:rPr>
        <w:t>Fuente: Contaduría General de la Nación</w:t>
      </w:r>
    </w:p>
    <w:p w:rsidR="00834B4D" w:rsidRDefault="00834B4D" w:rsidP="00834B4D">
      <w:pPr>
        <w:rPr>
          <w:rFonts w:ascii="Arial" w:hAnsi="Arial" w:cs="Arial"/>
        </w:rPr>
      </w:pPr>
      <w:r>
        <w:rPr>
          <w:rFonts w:ascii="Arial" w:hAnsi="Arial" w:cs="Arial"/>
        </w:rPr>
        <w:t xml:space="preserve">                                                </w:t>
      </w:r>
    </w:p>
    <w:p w:rsidR="00834B4D" w:rsidRDefault="00834B4D" w:rsidP="00834B4D">
      <w:pPr>
        <w:ind w:left="-142" w:right="-518"/>
        <w:jc w:val="both"/>
        <w:rPr>
          <w:rFonts w:ascii="Arial" w:hAnsi="Arial" w:cs="Arial"/>
          <w:b/>
          <w:sz w:val="28"/>
          <w:szCs w:val="28"/>
        </w:rPr>
      </w:pPr>
      <w:r>
        <w:rPr>
          <w:rFonts w:ascii="Arial" w:hAnsi="Arial" w:cs="Arial"/>
          <w:b/>
          <w:sz w:val="28"/>
          <w:szCs w:val="28"/>
          <w:lang w:val="es-CO"/>
        </w:rPr>
        <w:t>-</w:t>
      </w:r>
      <w:r>
        <w:rPr>
          <w:rFonts w:ascii="Arial" w:hAnsi="Arial" w:cs="Arial"/>
          <w:b/>
          <w:sz w:val="28"/>
          <w:szCs w:val="28"/>
        </w:rPr>
        <w:t>EVOLUCIÓN RESULTADO DEL EJERCICIO DE LA NACIÓN PARA LAS VIGENCIAS FISCALES 2019, 2020, 2021 y 2022.</w:t>
      </w:r>
    </w:p>
    <w:p w:rsidR="00834B4D" w:rsidRDefault="00834B4D" w:rsidP="00834B4D">
      <w:pPr>
        <w:ind w:left="-284" w:right="-319"/>
        <w:jc w:val="both"/>
        <w:rPr>
          <w:rFonts w:ascii="Arial" w:hAnsi="Arial" w:cs="Arial"/>
          <w:b/>
          <w:sz w:val="28"/>
          <w:szCs w:val="28"/>
        </w:rPr>
      </w:pPr>
    </w:p>
    <w:p w:rsidR="00834B4D" w:rsidRPr="00834B4D" w:rsidRDefault="00834B4D" w:rsidP="00834B4D">
      <w:pPr>
        <w:pStyle w:val="Textoindependiente"/>
        <w:ind w:left="-142" w:right="-518"/>
        <w:jc w:val="center"/>
        <w:rPr>
          <w:rFonts w:ascii="Arial" w:hAnsi="Arial" w:cs="Arial"/>
          <w:sz w:val="24"/>
        </w:rPr>
      </w:pPr>
      <w:r w:rsidRPr="00834B4D">
        <w:rPr>
          <w:rFonts w:ascii="Arial" w:hAnsi="Arial" w:cs="Arial"/>
          <w:sz w:val="24"/>
        </w:rPr>
        <w:t>Miles de millones de pesos</w:t>
      </w:r>
    </w:p>
    <w:p w:rsidR="00834B4D" w:rsidRDefault="00834B4D" w:rsidP="00834B4D">
      <w:pPr>
        <w:pStyle w:val="Textoindependiente"/>
        <w:ind w:left="-142" w:right="-518"/>
        <w:jc w:val="both"/>
        <w:rPr>
          <w:rFonts w:ascii="Arial" w:hAnsi="Arial" w:cs="Arial"/>
          <w:b/>
          <w:sz w:val="28"/>
          <w:szCs w:val="28"/>
        </w:rPr>
      </w:pPr>
    </w:p>
    <w:tbl>
      <w:tblPr>
        <w:tblStyle w:val="Tablaconcuadrcula"/>
        <w:tblW w:w="10627" w:type="dxa"/>
        <w:tblInd w:w="-142" w:type="dxa"/>
        <w:tblLook w:val="04A0" w:firstRow="1" w:lastRow="0" w:firstColumn="1" w:lastColumn="0" w:noHBand="0" w:noVBand="1"/>
      </w:tblPr>
      <w:tblGrid>
        <w:gridCol w:w="5240"/>
        <w:gridCol w:w="5387"/>
      </w:tblGrid>
      <w:tr w:rsidR="00834B4D" w:rsidTr="00834B4D">
        <w:tc>
          <w:tcPr>
            <w:tcW w:w="5240" w:type="dxa"/>
          </w:tcPr>
          <w:p w:rsidR="00834B4D" w:rsidRDefault="00834B4D" w:rsidP="00834B4D">
            <w:pPr>
              <w:pStyle w:val="Textoindependiente"/>
              <w:ind w:left="-821" w:right="-518"/>
              <w:jc w:val="center"/>
              <w:rPr>
                <w:rFonts w:ascii="Arial" w:hAnsi="Arial" w:cs="Arial"/>
                <w:b/>
                <w:sz w:val="28"/>
                <w:szCs w:val="28"/>
                <w:lang w:eastAsia="es-ES"/>
              </w:rPr>
            </w:pPr>
            <w:r>
              <w:rPr>
                <w:rFonts w:ascii="Arial" w:hAnsi="Arial" w:cs="Arial"/>
                <w:b/>
                <w:sz w:val="28"/>
                <w:szCs w:val="28"/>
                <w:lang w:eastAsia="es-ES"/>
              </w:rPr>
              <w:t>AÑO</w:t>
            </w:r>
          </w:p>
        </w:tc>
        <w:tc>
          <w:tcPr>
            <w:tcW w:w="5387" w:type="dxa"/>
          </w:tcPr>
          <w:p w:rsidR="00834B4D" w:rsidRDefault="00834B4D" w:rsidP="00834B4D">
            <w:pPr>
              <w:pStyle w:val="Textoindependiente"/>
              <w:ind w:left="-668" w:right="-518"/>
              <w:jc w:val="center"/>
              <w:rPr>
                <w:rFonts w:ascii="Arial" w:hAnsi="Arial" w:cs="Arial"/>
                <w:b/>
                <w:sz w:val="28"/>
                <w:szCs w:val="28"/>
                <w:lang w:eastAsia="es-ES"/>
              </w:rPr>
            </w:pPr>
            <w:r>
              <w:rPr>
                <w:rFonts w:ascii="Arial" w:hAnsi="Arial" w:cs="Arial"/>
                <w:b/>
                <w:sz w:val="28"/>
                <w:szCs w:val="28"/>
                <w:lang w:eastAsia="es-ES"/>
              </w:rPr>
              <w:t>RESULTADO DEL EJERCICIO</w:t>
            </w:r>
          </w:p>
          <w:p w:rsidR="00834B4D" w:rsidRDefault="00834B4D" w:rsidP="00834B4D">
            <w:pPr>
              <w:pStyle w:val="Textoindependiente"/>
              <w:ind w:left="-668" w:right="-518"/>
              <w:jc w:val="center"/>
              <w:rPr>
                <w:rFonts w:ascii="Arial" w:hAnsi="Arial" w:cs="Arial"/>
                <w:b/>
                <w:sz w:val="28"/>
                <w:szCs w:val="28"/>
                <w:lang w:eastAsia="es-ES"/>
              </w:rPr>
            </w:pPr>
          </w:p>
        </w:tc>
      </w:tr>
      <w:tr w:rsidR="003E5F11" w:rsidTr="00834B4D">
        <w:tc>
          <w:tcPr>
            <w:tcW w:w="5240" w:type="dxa"/>
          </w:tcPr>
          <w:p w:rsidR="003E5F11" w:rsidRDefault="003E5F11" w:rsidP="003E5F11">
            <w:pPr>
              <w:pStyle w:val="Textoindependiente"/>
              <w:ind w:left="-821" w:right="-518"/>
              <w:jc w:val="center"/>
              <w:rPr>
                <w:rFonts w:ascii="Arial" w:hAnsi="Arial" w:cs="Arial"/>
                <w:b/>
                <w:sz w:val="28"/>
                <w:szCs w:val="28"/>
                <w:lang w:eastAsia="es-ES"/>
              </w:rPr>
            </w:pPr>
            <w:r>
              <w:rPr>
                <w:rFonts w:ascii="Arial" w:hAnsi="Arial" w:cs="Arial"/>
                <w:b/>
                <w:sz w:val="28"/>
                <w:szCs w:val="28"/>
                <w:lang w:eastAsia="es-ES"/>
              </w:rPr>
              <w:t>2019</w:t>
            </w:r>
          </w:p>
        </w:tc>
        <w:tc>
          <w:tcPr>
            <w:tcW w:w="5387" w:type="dxa"/>
          </w:tcPr>
          <w:p w:rsidR="003E5F11" w:rsidRPr="00E438DA" w:rsidRDefault="003E5F11" w:rsidP="003E5F11">
            <w:pPr>
              <w:spacing w:line="276" w:lineRule="auto"/>
              <w:jc w:val="center"/>
              <w:rPr>
                <w:rFonts w:ascii="Arial" w:hAnsi="Arial" w:cs="Arial"/>
                <w:b/>
              </w:rPr>
            </w:pPr>
            <w:r w:rsidRPr="00E438DA">
              <w:rPr>
                <w:rFonts w:ascii="Arial" w:hAnsi="Arial" w:cs="Arial"/>
                <w:b/>
              </w:rPr>
              <w:t>(10.916,3)</w:t>
            </w:r>
          </w:p>
        </w:tc>
      </w:tr>
      <w:tr w:rsidR="003E5F11" w:rsidTr="00834B4D">
        <w:tc>
          <w:tcPr>
            <w:tcW w:w="5240" w:type="dxa"/>
          </w:tcPr>
          <w:p w:rsidR="003E5F11" w:rsidRDefault="003E5F11" w:rsidP="003E5F11">
            <w:pPr>
              <w:pStyle w:val="Textoindependiente"/>
              <w:ind w:left="-821" w:right="-518"/>
              <w:jc w:val="center"/>
              <w:rPr>
                <w:rFonts w:ascii="Arial" w:hAnsi="Arial" w:cs="Arial"/>
                <w:b/>
                <w:sz w:val="28"/>
                <w:szCs w:val="28"/>
                <w:lang w:eastAsia="es-ES"/>
              </w:rPr>
            </w:pPr>
            <w:r>
              <w:rPr>
                <w:rFonts w:ascii="Arial" w:hAnsi="Arial" w:cs="Arial"/>
                <w:b/>
                <w:sz w:val="28"/>
                <w:szCs w:val="28"/>
                <w:lang w:eastAsia="es-ES"/>
              </w:rPr>
              <w:t>2020</w:t>
            </w:r>
          </w:p>
        </w:tc>
        <w:tc>
          <w:tcPr>
            <w:tcW w:w="5387" w:type="dxa"/>
          </w:tcPr>
          <w:p w:rsidR="003E5F11" w:rsidRPr="00E438DA" w:rsidRDefault="003E5F11" w:rsidP="003E5F11">
            <w:pPr>
              <w:spacing w:line="276" w:lineRule="auto"/>
              <w:jc w:val="center"/>
              <w:rPr>
                <w:rFonts w:ascii="Arial" w:hAnsi="Arial" w:cs="Arial"/>
                <w:b/>
              </w:rPr>
            </w:pPr>
            <w:r w:rsidRPr="00E438DA">
              <w:rPr>
                <w:rFonts w:ascii="Arial" w:hAnsi="Arial" w:cs="Arial"/>
                <w:b/>
              </w:rPr>
              <w:t>(94.635.8)</w:t>
            </w:r>
          </w:p>
        </w:tc>
      </w:tr>
      <w:tr w:rsidR="003E5F11" w:rsidTr="00834B4D">
        <w:tc>
          <w:tcPr>
            <w:tcW w:w="5240" w:type="dxa"/>
          </w:tcPr>
          <w:p w:rsidR="003E5F11" w:rsidRDefault="003E5F11" w:rsidP="003E5F11">
            <w:pPr>
              <w:pStyle w:val="Textoindependiente"/>
              <w:ind w:left="-821" w:right="-518"/>
              <w:jc w:val="center"/>
              <w:rPr>
                <w:rFonts w:ascii="Arial" w:hAnsi="Arial" w:cs="Arial"/>
                <w:b/>
                <w:sz w:val="28"/>
                <w:szCs w:val="28"/>
                <w:lang w:eastAsia="es-ES"/>
              </w:rPr>
            </w:pPr>
            <w:r>
              <w:rPr>
                <w:rFonts w:ascii="Arial" w:hAnsi="Arial" w:cs="Arial"/>
                <w:b/>
                <w:sz w:val="28"/>
                <w:szCs w:val="28"/>
                <w:lang w:eastAsia="es-ES"/>
              </w:rPr>
              <w:lastRenderedPageBreak/>
              <w:t>2021</w:t>
            </w:r>
          </w:p>
        </w:tc>
        <w:tc>
          <w:tcPr>
            <w:tcW w:w="5387" w:type="dxa"/>
          </w:tcPr>
          <w:p w:rsidR="003E5F11" w:rsidRPr="00E438DA" w:rsidRDefault="003E5F11" w:rsidP="003E5F11">
            <w:pPr>
              <w:spacing w:line="276" w:lineRule="auto"/>
              <w:jc w:val="center"/>
              <w:rPr>
                <w:rFonts w:ascii="Arial" w:hAnsi="Arial" w:cs="Arial"/>
                <w:b/>
              </w:rPr>
            </w:pPr>
            <w:r>
              <w:rPr>
                <w:rFonts w:ascii="Arial" w:hAnsi="Arial" w:cs="Arial"/>
                <w:b/>
              </w:rPr>
              <w:t>(90.802,8)</w:t>
            </w:r>
          </w:p>
        </w:tc>
      </w:tr>
      <w:tr w:rsidR="003E5F11" w:rsidTr="00834B4D">
        <w:tc>
          <w:tcPr>
            <w:tcW w:w="5240" w:type="dxa"/>
          </w:tcPr>
          <w:p w:rsidR="003E5F11" w:rsidRDefault="003E5F11" w:rsidP="003E5F11">
            <w:pPr>
              <w:pStyle w:val="Textoindependiente"/>
              <w:ind w:left="-821" w:right="-518"/>
              <w:jc w:val="center"/>
              <w:rPr>
                <w:rFonts w:ascii="Arial" w:hAnsi="Arial" w:cs="Arial"/>
                <w:b/>
                <w:sz w:val="28"/>
                <w:szCs w:val="28"/>
                <w:lang w:eastAsia="es-ES"/>
              </w:rPr>
            </w:pPr>
            <w:r>
              <w:rPr>
                <w:rFonts w:ascii="Arial" w:hAnsi="Arial" w:cs="Arial"/>
                <w:b/>
                <w:sz w:val="28"/>
                <w:szCs w:val="28"/>
                <w:lang w:eastAsia="es-ES"/>
              </w:rPr>
              <w:t>2022</w:t>
            </w:r>
          </w:p>
        </w:tc>
        <w:tc>
          <w:tcPr>
            <w:tcW w:w="5387" w:type="dxa"/>
          </w:tcPr>
          <w:p w:rsidR="003E5F11" w:rsidRPr="00FD6519" w:rsidRDefault="00FD6519" w:rsidP="00FD6519">
            <w:pPr>
              <w:pStyle w:val="Textoindependiente"/>
              <w:ind w:left="-668" w:right="-518"/>
              <w:jc w:val="center"/>
              <w:rPr>
                <w:rFonts w:ascii="Arial" w:hAnsi="Arial" w:cs="Arial"/>
                <w:b/>
                <w:sz w:val="24"/>
                <w:lang w:eastAsia="es-ES"/>
              </w:rPr>
            </w:pPr>
            <w:r w:rsidRPr="00FD6519">
              <w:rPr>
                <w:rFonts w:ascii="Arial" w:hAnsi="Arial" w:cs="Arial"/>
                <w:b/>
                <w:sz w:val="24"/>
                <w:lang w:eastAsia="es-ES"/>
              </w:rPr>
              <w:t>(116.616,8)</w:t>
            </w:r>
          </w:p>
        </w:tc>
      </w:tr>
    </w:tbl>
    <w:p w:rsidR="00834B4D" w:rsidRPr="00834B4D" w:rsidRDefault="00834B4D" w:rsidP="00834B4D">
      <w:pPr>
        <w:pStyle w:val="Textoindependiente"/>
        <w:ind w:left="-142" w:right="-518"/>
        <w:jc w:val="both"/>
        <w:rPr>
          <w:rFonts w:ascii="Arial" w:hAnsi="Arial" w:cs="Arial"/>
          <w:sz w:val="18"/>
          <w:szCs w:val="18"/>
          <w:lang w:eastAsia="es-ES"/>
        </w:rPr>
      </w:pPr>
      <w:r w:rsidRPr="00834B4D">
        <w:rPr>
          <w:rFonts w:ascii="Arial" w:hAnsi="Arial" w:cs="Arial"/>
          <w:sz w:val="18"/>
          <w:szCs w:val="18"/>
          <w:lang w:eastAsia="es-ES"/>
        </w:rPr>
        <w:t>Fuente: Contaduría General de la Nación</w:t>
      </w:r>
    </w:p>
    <w:p w:rsidR="00834B4D" w:rsidRDefault="00834B4D" w:rsidP="00834B4D">
      <w:pPr>
        <w:ind w:left="-284" w:right="-319"/>
        <w:jc w:val="both"/>
        <w:rPr>
          <w:rFonts w:ascii="Arial" w:hAnsi="Arial" w:cs="Arial"/>
          <w:b/>
          <w:sz w:val="28"/>
          <w:szCs w:val="28"/>
        </w:rPr>
      </w:pPr>
    </w:p>
    <w:p w:rsidR="00834B4D" w:rsidRDefault="00834B4D" w:rsidP="00834B4D">
      <w:pPr>
        <w:ind w:left="-426" w:right="-511"/>
        <w:jc w:val="both"/>
        <w:rPr>
          <w:rFonts w:ascii="Arial" w:hAnsi="Arial" w:cs="Arial"/>
          <w:b/>
          <w:sz w:val="28"/>
          <w:szCs w:val="28"/>
        </w:rPr>
      </w:pPr>
    </w:p>
    <w:sectPr w:rsidR="00834B4D" w:rsidSect="00123084">
      <w:footerReference w:type="default" r:id="rId7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EC1" w:rsidRDefault="002D2EC1" w:rsidP="00123084">
      <w:r>
        <w:separator/>
      </w:r>
    </w:p>
  </w:endnote>
  <w:endnote w:type="continuationSeparator" w:id="0">
    <w:p w:rsidR="002D2EC1" w:rsidRDefault="002D2EC1" w:rsidP="0012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Times New Roman"/>
    <w:charset w:val="00"/>
    <w:family w:val="auto"/>
    <w:pitch w:val="variable"/>
    <w:sig w:usb0="00000001" w:usb1="4000207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817643"/>
      <w:docPartObj>
        <w:docPartGallery w:val="Page Numbers (Bottom of Page)"/>
        <w:docPartUnique/>
      </w:docPartObj>
    </w:sdtPr>
    <w:sdtEndPr/>
    <w:sdtContent>
      <w:p w:rsidR="00834B4D" w:rsidRDefault="00834B4D">
        <w:pPr>
          <w:pStyle w:val="Piedepgina"/>
          <w:jc w:val="center"/>
        </w:pPr>
        <w:r>
          <w:fldChar w:fldCharType="begin"/>
        </w:r>
        <w:r>
          <w:instrText>PAGE   \* MERGEFORMAT</w:instrText>
        </w:r>
        <w:r>
          <w:fldChar w:fldCharType="separate"/>
        </w:r>
        <w:r w:rsidR="00575C35" w:rsidRPr="00575C35">
          <w:rPr>
            <w:noProof/>
            <w:lang w:val="es-ES"/>
          </w:rPr>
          <w:t>29</w:t>
        </w:r>
        <w:r>
          <w:fldChar w:fldCharType="end"/>
        </w:r>
      </w:p>
    </w:sdtContent>
  </w:sdt>
  <w:p w:rsidR="00834B4D" w:rsidRDefault="00834B4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EC1" w:rsidRDefault="002D2EC1" w:rsidP="00123084">
      <w:r>
        <w:separator/>
      </w:r>
    </w:p>
  </w:footnote>
  <w:footnote w:type="continuationSeparator" w:id="0">
    <w:p w:rsidR="002D2EC1" w:rsidRDefault="002D2EC1" w:rsidP="00123084">
      <w:r>
        <w:continuationSeparator/>
      </w:r>
    </w:p>
  </w:footnote>
  <w:footnote w:id="1">
    <w:p w:rsidR="00834B4D" w:rsidRPr="00065D00" w:rsidRDefault="00834B4D" w:rsidP="00D3135F">
      <w:pPr>
        <w:pStyle w:val="Textonotapie"/>
        <w:rPr>
          <w:lang w:val="es-ES"/>
        </w:rPr>
      </w:pPr>
      <w:r>
        <w:rPr>
          <w:rStyle w:val="Refdenotaalpie"/>
        </w:rPr>
        <w:footnoteRef/>
      </w:r>
      <w:r>
        <w:t xml:space="preserve"> Para el año 2022 el PIB (preliminar) es de $1.463.873 miles de millones. Fuente: Departamento Administrativo Nacional de Estadísticas DANE</w:t>
      </w:r>
      <w:r>
        <w:rPr>
          <w:lang w:val="es-ES"/>
        </w:rPr>
        <w:t>.</w:t>
      </w:r>
    </w:p>
  </w:footnote>
  <w:footnote w:id="2">
    <w:p w:rsidR="00834B4D" w:rsidRPr="0064749D" w:rsidRDefault="00834B4D" w:rsidP="00D3135F">
      <w:pPr>
        <w:pStyle w:val="Textonotapie"/>
      </w:pPr>
      <w:r>
        <w:rPr>
          <w:rStyle w:val="Refdenotaalpie"/>
        </w:rPr>
        <w:footnoteRef/>
      </w:r>
      <w:r>
        <w:t xml:space="preserve"> Para el año 2021 el PIB (provisional) es de $</w:t>
      </w:r>
      <w:r w:rsidRPr="0064749D">
        <w:t>1.192.586</w:t>
      </w:r>
      <w:r>
        <w:t xml:space="preserve"> miles de millones.</w:t>
      </w:r>
      <w:r w:rsidRPr="0064749D">
        <w:t xml:space="preserve"> </w:t>
      </w:r>
      <w:r>
        <w:t>Fuente: Departamento Administrativo Nacional de Estadísticas DANE.</w:t>
      </w:r>
    </w:p>
    <w:p w:rsidR="00834B4D" w:rsidRPr="0064749D" w:rsidRDefault="00834B4D" w:rsidP="00D3135F">
      <w:pPr>
        <w:pStyle w:val="Textonotapie"/>
      </w:pPr>
    </w:p>
  </w:footnote>
  <w:footnote w:id="3">
    <w:p w:rsidR="00834B4D" w:rsidRPr="00CC5561" w:rsidRDefault="00834B4D" w:rsidP="00D3135F">
      <w:pPr>
        <w:pStyle w:val="Textonotapie"/>
        <w:rPr>
          <w:lang w:val="es-ES"/>
        </w:rPr>
      </w:pPr>
      <w:r>
        <w:rPr>
          <w:rStyle w:val="Refdenotaalpie"/>
          <w:lang w:val="es-ES"/>
        </w:rPr>
        <w:t xml:space="preserve">1 </w:t>
      </w:r>
      <w:r>
        <w:t>Resolución 533 de 2015 y sus modificaciones, expedida por la CGN</w:t>
      </w:r>
    </w:p>
  </w:footnote>
  <w:footnote w:id="4">
    <w:p w:rsidR="00834B4D" w:rsidRPr="00CC5561" w:rsidRDefault="00834B4D" w:rsidP="00D3135F">
      <w:pPr>
        <w:pStyle w:val="Textonotapie"/>
        <w:rPr>
          <w:lang w:val="es-ES"/>
        </w:rPr>
      </w:pPr>
      <w:r>
        <w:rPr>
          <w:rStyle w:val="Refdenotaalpie"/>
        </w:rPr>
        <w:footnoteRef/>
      </w:r>
      <w:r>
        <w:t xml:space="preserve"> Resolución 037 de 2017 y sus modificaciones, expedida por la CGN</w:t>
      </w:r>
    </w:p>
  </w:footnote>
  <w:footnote w:id="5">
    <w:p w:rsidR="00834B4D" w:rsidRPr="000713C0" w:rsidRDefault="00834B4D" w:rsidP="00D3135F">
      <w:pPr>
        <w:pStyle w:val="Textonotapie"/>
        <w:rPr>
          <w:lang w:val="es-ES"/>
        </w:rPr>
      </w:pPr>
      <w:r>
        <w:rPr>
          <w:rStyle w:val="Refdenotaalpie"/>
        </w:rPr>
        <w:footnoteRef/>
      </w:r>
      <w:r>
        <w:t xml:space="preserve"> Resolución 414 de 2014 y sus modificaciones, expedida por la CGN.</w:t>
      </w:r>
    </w:p>
  </w:footnote>
  <w:footnote w:id="6">
    <w:p w:rsidR="00834B4D" w:rsidRPr="000713C0" w:rsidRDefault="00834B4D" w:rsidP="00D3135F">
      <w:pPr>
        <w:pStyle w:val="Textonotapie"/>
        <w:rPr>
          <w:lang w:val="es-ES"/>
        </w:rPr>
      </w:pPr>
      <w:r>
        <w:rPr>
          <w:rStyle w:val="Refdenotaalpie"/>
        </w:rPr>
        <w:footnoteRef/>
      </w:r>
      <w:r>
        <w:t xml:space="preserve"> Resolución 461 de 2017 y sus modificaciones, expedida por la CGN.</w:t>
      </w:r>
    </w:p>
  </w:footnote>
  <w:footnote w:id="7">
    <w:p w:rsidR="00834B4D" w:rsidRPr="00053E88" w:rsidRDefault="00834B4D" w:rsidP="00D3135F">
      <w:pPr>
        <w:pStyle w:val="Textonotapie"/>
        <w:rPr>
          <w:lang w:val="es-CO"/>
        </w:rPr>
      </w:pPr>
      <w:r>
        <w:rPr>
          <w:rStyle w:val="Refdenotaalpie"/>
        </w:rPr>
        <w:footnoteRef/>
      </w:r>
      <w:r>
        <w:t xml:space="preserve"> </w:t>
      </w:r>
      <w:r>
        <w:rPr>
          <w:rStyle w:val="cf01"/>
        </w:rPr>
        <w:t>PIB (preliminar) 2022: $1.463.873 miles de millones. Fuente: Departamento Nacional de Estadísticas – DANE</w:t>
      </w:r>
    </w:p>
  </w:footnote>
  <w:footnote w:id="8">
    <w:p w:rsidR="00834B4D" w:rsidRPr="00445FCC" w:rsidRDefault="00834B4D" w:rsidP="00D3135F">
      <w:pPr>
        <w:pStyle w:val="Textonotapie"/>
        <w:rPr>
          <w:lang w:val="es-ES"/>
        </w:rPr>
      </w:pPr>
      <w:r>
        <w:rPr>
          <w:rStyle w:val="Refdenotaalpie"/>
        </w:rPr>
        <w:footnoteRef/>
      </w:r>
      <w:r>
        <w:t xml:space="preserve"> PIB (provisional) 2021: $</w:t>
      </w:r>
      <w:r w:rsidRPr="00445FCC">
        <w:t>1.192.586</w:t>
      </w:r>
      <w:r>
        <w:t xml:space="preserve"> miles de millones</w:t>
      </w:r>
    </w:p>
  </w:footnote>
  <w:footnote w:id="9">
    <w:p w:rsidR="00834B4D" w:rsidRPr="00232331" w:rsidRDefault="00834B4D" w:rsidP="00663220">
      <w:pPr>
        <w:pStyle w:val="Textonotapie"/>
      </w:pPr>
      <w:r w:rsidRPr="00232331">
        <w:rPr>
          <w:rStyle w:val="Refdenotaalpie"/>
          <w:szCs w:val="16"/>
        </w:rPr>
        <w:footnoteRef/>
      </w:r>
      <w:r w:rsidRPr="00232331">
        <w:t xml:space="preserve"> Marco </w:t>
      </w:r>
      <w:r>
        <w:t>N</w:t>
      </w:r>
      <w:r w:rsidRPr="00232331">
        <w:t>ormativo</w:t>
      </w:r>
      <w:r>
        <w:t xml:space="preserve"> para E</w:t>
      </w:r>
      <w:r w:rsidRPr="00232331">
        <w:t xml:space="preserve">ntidades de </w:t>
      </w:r>
      <w:r>
        <w:t>G</w:t>
      </w:r>
      <w:r w:rsidRPr="00232331">
        <w:t>obierno – Normas – Capítulo VI. Normas para la presentación de estados financieros y revelaciones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1DE7"/>
    <w:multiLevelType w:val="hybridMultilevel"/>
    <w:tmpl w:val="A2A046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F16E7E"/>
    <w:multiLevelType w:val="hybridMultilevel"/>
    <w:tmpl w:val="E4AACAF2"/>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CAC198E"/>
    <w:multiLevelType w:val="multilevel"/>
    <w:tmpl w:val="2652733E"/>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2F4A7726"/>
    <w:multiLevelType w:val="hybridMultilevel"/>
    <w:tmpl w:val="928C8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79735E0"/>
    <w:multiLevelType w:val="multilevel"/>
    <w:tmpl w:val="74FC51B4"/>
    <w:lvl w:ilvl="0">
      <w:start w:val="1"/>
      <w:numFmt w:val="decimal"/>
      <w:pStyle w:val="Ttulo1"/>
      <w:lvlText w:val="%1. "/>
      <w:lvlJc w:val="center"/>
      <w:pPr>
        <w:ind w:left="284" w:firstLine="4"/>
      </w:pPr>
      <w:rPr>
        <w:rFonts w:ascii="Montserrat Medium" w:hAnsi="Montserrat Medium" w:cs="Times New Roman" w:hint="default"/>
        <w:b/>
        <w:i w:val="0"/>
        <w:caps/>
        <w:color w:val="5B9BD5" w:themeColor="accent1"/>
        <w:sz w:val="56"/>
      </w:rPr>
    </w:lvl>
    <w:lvl w:ilvl="1">
      <w:start w:val="1"/>
      <w:numFmt w:val="decimal"/>
      <w:lvlText w:val="%1.%2"/>
      <w:lvlJc w:val="left"/>
      <w:pPr>
        <w:ind w:left="680" w:hanging="680"/>
      </w:pPr>
      <w:rPr>
        <w:rFonts w:ascii="Montserrat Medium" w:hAnsi="Montserrat Medium" w:cs="Times New Roman" w:hint="default"/>
        <w:b/>
        <w:i w:val="0"/>
        <w:caps/>
        <w:color w:val="5B9BD5" w:themeColor="accent1"/>
        <w:sz w:val="24"/>
      </w:rPr>
    </w:lvl>
    <w:lvl w:ilvl="2">
      <w:start w:val="1"/>
      <w:numFmt w:val="decimal"/>
      <w:lvlText w:val="%1.%2.%3"/>
      <w:lvlJc w:val="left"/>
      <w:pPr>
        <w:ind w:left="794" w:hanging="794"/>
      </w:pPr>
      <w:rPr>
        <w:rFonts w:ascii="Montserrat Medium" w:hAnsi="Montserrat Medium" w:cs="Times New Roman" w:hint="default"/>
        <w:b w:val="0"/>
        <w:i w:val="0"/>
        <w:caps/>
        <w:color w:val="5B9BD5" w:themeColor="accent1"/>
        <w:sz w:val="22"/>
      </w:rPr>
    </w:lvl>
    <w:lvl w:ilvl="3">
      <w:start w:val="1"/>
      <w:numFmt w:val="decimal"/>
      <w:pStyle w:val="Ttulo4"/>
      <w:lvlText w:val="%1.%2.%3.%4"/>
      <w:lvlJc w:val="left"/>
      <w:pPr>
        <w:ind w:left="964" w:hanging="964"/>
      </w:pPr>
      <w:rPr>
        <w:rFonts w:ascii="Montserrat Medium" w:hAnsi="Montserrat Medium" w:hint="default"/>
        <w:b w:val="0"/>
        <w:i w:val="0"/>
        <w:color w:val="5B9BD5" w:themeColor="accent1"/>
        <w:sz w:val="22"/>
      </w:rPr>
    </w:lvl>
    <w:lvl w:ilvl="4">
      <w:start w:val="1"/>
      <w:numFmt w:val="decimal"/>
      <w:pStyle w:val="Ttulo5"/>
      <w:lvlText w:val="%1.%2.%3.%4.%5"/>
      <w:lvlJc w:val="left"/>
      <w:pPr>
        <w:ind w:left="1361" w:hanging="1134"/>
      </w:pPr>
      <w:rPr>
        <w:rFonts w:ascii="Montserrat Medium" w:hAnsi="Montserrat Medium" w:hint="default"/>
        <w:b w:val="0"/>
        <w:i w:val="0"/>
        <w:color w:val="5B9BD5" w:themeColor="accent1"/>
        <w:sz w:val="22"/>
      </w:rPr>
    </w:lvl>
    <w:lvl w:ilvl="5">
      <w:start w:val="1"/>
      <w:numFmt w:val="decimal"/>
      <w:lvlText w:val="Nota %6 "/>
      <w:lvlJc w:val="left"/>
      <w:pPr>
        <w:ind w:left="1361" w:hanging="1361"/>
      </w:pPr>
      <w:rPr>
        <w:rFonts w:ascii="Montserrat Medium" w:hAnsi="Montserrat Medium" w:hint="default"/>
        <w:b/>
        <w:i w:val="0"/>
        <w:caps/>
        <w:color w:val="5B9BD5" w:themeColor="accent1"/>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084"/>
    <w:rsid w:val="00066E56"/>
    <w:rsid w:val="000830DF"/>
    <w:rsid w:val="00092835"/>
    <w:rsid w:val="000A3179"/>
    <w:rsid w:val="000A60F9"/>
    <w:rsid w:val="00112FAC"/>
    <w:rsid w:val="00123084"/>
    <w:rsid w:val="001268B4"/>
    <w:rsid w:val="00153C76"/>
    <w:rsid w:val="001741D8"/>
    <w:rsid w:val="00287A21"/>
    <w:rsid w:val="00296960"/>
    <w:rsid w:val="002D2EC1"/>
    <w:rsid w:val="002E5EE8"/>
    <w:rsid w:val="002F556B"/>
    <w:rsid w:val="00366532"/>
    <w:rsid w:val="00381FA2"/>
    <w:rsid w:val="003849E5"/>
    <w:rsid w:val="003B3DC3"/>
    <w:rsid w:val="003C500B"/>
    <w:rsid w:val="003E5F11"/>
    <w:rsid w:val="003F60B0"/>
    <w:rsid w:val="00407BB0"/>
    <w:rsid w:val="00450E4A"/>
    <w:rsid w:val="004D647E"/>
    <w:rsid w:val="004E2448"/>
    <w:rsid w:val="004F42C6"/>
    <w:rsid w:val="00525E08"/>
    <w:rsid w:val="005313C2"/>
    <w:rsid w:val="0056121A"/>
    <w:rsid w:val="00575C35"/>
    <w:rsid w:val="00582BB5"/>
    <w:rsid w:val="0058410A"/>
    <w:rsid w:val="00584128"/>
    <w:rsid w:val="005965C1"/>
    <w:rsid w:val="005A2535"/>
    <w:rsid w:val="005E4CF3"/>
    <w:rsid w:val="00607D67"/>
    <w:rsid w:val="006236A0"/>
    <w:rsid w:val="006315BA"/>
    <w:rsid w:val="0065348D"/>
    <w:rsid w:val="00663220"/>
    <w:rsid w:val="0067220D"/>
    <w:rsid w:val="00700541"/>
    <w:rsid w:val="00717DFC"/>
    <w:rsid w:val="00745452"/>
    <w:rsid w:val="007564AD"/>
    <w:rsid w:val="007B5F16"/>
    <w:rsid w:val="007C4E65"/>
    <w:rsid w:val="007D0080"/>
    <w:rsid w:val="007E134C"/>
    <w:rsid w:val="007E71E9"/>
    <w:rsid w:val="007F1B75"/>
    <w:rsid w:val="00812B97"/>
    <w:rsid w:val="00834B4D"/>
    <w:rsid w:val="00855F1C"/>
    <w:rsid w:val="00867869"/>
    <w:rsid w:val="008F4B95"/>
    <w:rsid w:val="009421AF"/>
    <w:rsid w:val="00947DFB"/>
    <w:rsid w:val="00956A29"/>
    <w:rsid w:val="00982D3F"/>
    <w:rsid w:val="009A394B"/>
    <w:rsid w:val="009E45FB"/>
    <w:rsid w:val="00A2364B"/>
    <w:rsid w:val="00A62E89"/>
    <w:rsid w:val="00AA6BB0"/>
    <w:rsid w:val="00AC4CCF"/>
    <w:rsid w:val="00B462CA"/>
    <w:rsid w:val="00B507EA"/>
    <w:rsid w:val="00BA5926"/>
    <w:rsid w:val="00C21B20"/>
    <w:rsid w:val="00C250E8"/>
    <w:rsid w:val="00C40D40"/>
    <w:rsid w:val="00C93700"/>
    <w:rsid w:val="00CA143E"/>
    <w:rsid w:val="00CA3965"/>
    <w:rsid w:val="00CA5720"/>
    <w:rsid w:val="00CB0E39"/>
    <w:rsid w:val="00CD1342"/>
    <w:rsid w:val="00CE7ABC"/>
    <w:rsid w:val="00CF2856"/>
    <w:rsid w:val="00CF4943"/>
    <w:rsid w:val="00D3135F"/>
    <w:rsid w:val="00D56530"/>
    <w:rsid w:val="00D66813"/>
    <w:rsid w:val="00D73F7B"/>
    <w:rsid w:val="00D85B0E"/>
    <w:rsid w:val="00D8675B"/>
    <w:rsid w:val="00D9037D"/>
    <w:rsid w:val="00DC74E0"/>
    <w:rsid w:val="00E02489"/>
    <w:rsid w:val="00E1076C"/>
    <w:rsid w:val="00E44F8A"/>
    <w:rsid w:val="00E549D5"/>
    <w:rsid w:val="00EB32E2"/>
    <w:rsid w:val="00EC40BB"/>
    <w:rsid w:val="00F336EF"/>
    <w:rsid w:val="00F34C14"/>
    <w:rsid w:val="00F564CB"/>
    <w:rsid w:val="00F84B6F"/>
    <w:rsid w:val="00FC3D15"/>
    <w:rsid w:val="00FC5301"/>
    <w:rsid w:val="00FC691D"/>
    <w:rsid w:val="00FD6519"/>
    <w:rsid w:val="00FF5890"/>
    <w:rsid w:val="00FF71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F74661-9AAE-4632-8D5D-7F14E6D0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6A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81FA2"/>
    <w:pPr>
      <w:keepNext/>
      <w:keepLines/>
      <w:numPr>
        <w:numId w:val="1"/>
      </w:numPr>
      <w:spacing w:before="240" w:line="259" w:lineRule="auto"/>
      <w:outlineLvl w:val="0"/>
    </w:pPr>
    <w:rPr>
      <w:rFonts w:ascii="Montserrat Medium" w:eastAsiaTheme="majorEastAsia" w:hAnsi="Montserrat Medium" w:cstheme="majorBidi"/>
      <w:b/>
      <w:color w:val="5B9BD5" w:themeColor="accent1"/>
      <w:sz w:val="56"/>
      <w:szCs w:val="32"/>
      <w:lang w:val="es-CO" w:eastAsia="en-US"/>
    </w:rPr>
  </w:style>
  <w:style w:type="paragraph" w:styleId="Ttulo2">
    <w:name w:val="heading 2"/>
    <w:basedOn w:val="Normal"/>
    <w:next w:val="Normal"/>
    <w:link w:val="Ttulo2Car"/>
    <w:autoRedefine/>
    <w:uiPriority w:val="9"/>
    <w:unhideWhenUsed/>
    <w:qFormat/>
    <w:rsid w:val="00CE7ABC"/>
    <w:pPr>
      <w:keepNext/>
      <w:keepLines/>
      <w:numPr>
        <w:ilvl w:val="1"/>
      </w:numPr>
      <w:ind w:left="680" w:hanging="822"/>
      <w:outlineLvl w:val="1"/>
    </w:pPr>
    <w:rPr>
      <w:rFonts w:ascii="Arial" w:hAnsi="Arial" w:cs="Arial"/>
      <w:b/>
      <w:caps/>
      <w:sz w:val="28"/>
      <w:szCs w:val="28"/>
      <w:lang w:val="es-CO" w:eastAsia="es-CO"/>
    </w:rPr>
  </w:style>
  <w:style w:type="paragraph" w:styleId="Ttulo3">
    <w:name w:val="heading 3"/>
    <w:basedOn w:val="Normal"/>
    <w:next w:val="Normal"/>
    <w:link w:val="Ttulo3Car"/>
    <w:autoRedefine/>
    <w:uiPriority w:val="9"/>
    <w:unhideWhenUsed/>
    <w:qFormat/>
    <w:rsid w:val="00575C35"/>
    <w:pPr>
      <w:keepNext/>
      <w:keepLines/>
      <w:numPr>
        <w:ilvl w:val="2"/>
      </w:numPr>
      <w:ind w:left="-142" w:right="-518"/>
      <w:jc w:val="both"/>
      <w:outlineLvl w:val="2"/>
    </w:pPr>
    <w:rPr>
      <w:rFonts w:ascii="Arial" w:hAnsi="Arial" w:cs="Arial"/>
      <w:b/>
      <w:sz w:val="28"/>
      <w:szCs w:val="28"/>
      <w:lang w:val="es-CO" w:eastAsia="es-CO"/>
    </w:rPr>
  </w:style>
  <w:style w:type="paragraph" w:styleId="Ttulo4">
    <w:name w:val="heading 4"/>
    <w:aliases w:val="NIVEL 4"/>
    <w:basedOn w:val="Normal"/>
    <w:next w:val="Normal"/>
    <w:link w:val="Ttulo4Car"/>
    <w:autoRedefine/>
    <w:unhideWhenUsed/>
    <w:qFormat/>
    <w:rsid w:val="00381FA2"/>
    <w:pPr>
      <w:keepNext/>
      <w:keepLines/>
      <w:numPr>
        <w:ilvl w:val="3"/>
        <w:numId w:val="1"/>
      </w:numPr>
      <w:spacing w:before="160" w:after="120" w:line="259" w:lineRule="auto"/>
      <w:outlineLvl w:val="3"/>
    </w:pPr>
    <w:rPr>
      <w:rFonts w:ascii="Montserrat Medium" w:eastAsiaTheme="majorEastAsia" w:hAnsi="Montserrat Medium" w:cstheme="majorBidi"/>
      <w:iCs/>
      <w:color w:val="5B9BD5" w:themeColor="accent1"/>
      <w:sz w:val="22"/>
      <w:szCs w:val="22"/>
      <w:lang w:val="es-CO" w:eastAsia="en-US"/>
    </w:rPr>
  </w:style>
  <w:style w:type="paragraph" w:styleId="Ttulo5">
    <w:name w:val="heading 5"/>
    <w:basedOn w:val="Normal"/>
    <w:next w:val="Normal"/>
    <w:link w:val="Ttulo5Car"/>
    <w:autoRedefine/>
    <w:uiPriority w:val="9"/>
    <w:unhideWhenUsed/>
    <w:qFormat/>
    <w:rsid w:val="00381FA2"/>
    <w:pPr>
      <w:keepNext/>
      <w:keepLines/>
      <w:numPr>
        <w:ilvl w:val="4"/>
        <w:numId w:val="1"/>
      </w:numPr>
      <w:spacing w:before="40" w:line="259" w:lineRule="auto"/>
      <w:outlineLvl w:val="4"/>
    </w:pPr>
    <w:rPr>
      <w:rFonts w:ascii="Montserrat Medium" w:eastAsiaTheme="majorEastAsia" w:hAnsi="Montserrat Medium" w:cstheme="majorBidi"/>
      <w:color w:val="5B9BD5" w:themeColor="accent1"/>
      <w:sz w:val="22"/>
      <w:szCs w:val="22"/>
      <w:lang w:val="es-CO" w:eastAsia="en-US"/>
    </w:rPr>
  </w:style>
  <w:style w:type="paragraph" w:styleId="Ttulo6">
    <w:name w:val="heading 6"/>
    <w:basedOn w:val="Normal"/>
    <w:next w:val="Normal"/>
    <w:link w:val="Ttulo6Car"/>
    <w:uiPriority w:val="9"/>
    <w:unhideWhenUsed/>
    <w:qFormat/>
    <w:rsid w:val="004F42C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3084"/>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123084"/>
  </w:style>
  <w:style w:type="paragraph" w:styleId="Piedepgina">
    <w:name w:val="footer"/>
    <w:basedOn w:val="Normal"/>
    <w:link w:val="PiedepginaCar"/>
    <w:uiPriority w:val="99"/>
    <w:unhideWhenUsed/>
    <w:rsid w:val="00123084"/>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123084"/>
  </w:style>
  <w:style w:type="paragraph" w:styleId="Textonotapie">
    <w:name w:val="footnote text"/>
    <w:aliases w:val="Texto tablas,Texto nota pie Arial 10"/>
    <w:basedOn w:val="Normal"/>
    <w:link w:val="TextonotapieCar"/>
    <w:autoRedefine/>
    <w:uiPriority w:val="99"/>
    <w:unhideWhenUsed/>
    <w:qFormat/>
    <w:rsid w:val="00D3135F"/>
    <w:pPr>
      <w:ind w:left="-142"/>
    </w:pPr>
    <w:rPr>
      <w:rFonts w:ascii="Montserrat Medium" w:eastAsiaTheme="minorHAnsi" w:hAnsi="Montserrat Medium"/>
      <w:sz w:val="16"/>
      <w:szCs w:val="20"/>
      <w:lang w:val="es-MX" w:eastAsia="en-US"/>
    </w:rPr>
  </w:style>
  <w:style w:type="character" w:customStyle="1" w:styleId="TextonotapieCar">
    <w:name w:val="Texto nota pie Car"/>
    <w:aliases w:val="Texto tablas Car,Texto nota pie Arial 10 Car"/>
    <w:basedOn w:val="Fuentedeprrafopredeter"/>
    <w:link w:val="Textonotapie"/>
    <w:uiPriority w:val="99"/>
    <w:rsid w:val="00D3135F"/>
    <w:rPr>
      <w:rFonts w:ascii="Montserrat Medium" w:hAnsi="Montserrat Medium" w:cs="Times New Roman"/>
      <w:sz w:val="16"/>
      <w:szCs w:val="20"/>
      <w:lang w:val="es-MX"/>
    </w:rPr>
  </w:style>
  <w:style w:type="character" w:styleId="Refdenotaalpie">
    <w:name w:val="footnote reference"/>
    <w:uiPriority w:val="99"/>
    <w:rsid w:val="00867869"/>
    <w:rPr>
      <w:color w:val="5B9BD5" w:themeColor="accent1"/>
      <w:sz w:val="22"/>
      <w:vertAlign w:val="superscript"/>
    </w:rPr>
  </w:style>
  <w:style w:type="character" w:customStyle="1" w:styleId="Ttulo1Car">
    <w:name w:val="Título 1 Car"/>
    <w:basedOn w:val="Fuentedeprrafopredeter"/>
    <w:link w:val="Ttulo1"/>
    <w:uiPriority w:val="9"/>
    <w:rsid w:val="00381FA2"/>
    <w:rPr>
      <w:rFonts w:ascii="Montserrat Medium" w:eastAsiaTheme="majorEastAsia" w:hAnsi="Montserrat Medium" w:cstheme="majorBidi"/>
      <w:b/>
      <w:color w:val="5B9BD5" w:themeColor="accent1"/>
      <w:sz w:val="56"/>
      <w:szCs w:val="32"/>
    </w:rPr>
  </w:style>
  <w:style w:type="character" w:customStyle="1" w:styleId="Ttulo2Car">
    <w:name w:val="Título 2 Car"/>
    <w:basedOn w:val="Fuentedeprrafopredeter"/>
    <w:link w:val="Ttulo2"/>
    <w:uiPriority w:val="9"/>
    <w:rsid w:val="00CE7ABC"/>
    <w:rPr>
      <w:rFonts w:ascii="Arial" w:eastAsia="Times New Roman" w:hAnsi="Arial" w:cs="Arial"/>
      <w:b/>
      <w:caps/>
      <w:sz w:val="28"/>
      <w:szCs w:val="28"/>
      <w:lang w:eastAsia="es-CO"/>
    </w:rPr>
  </w:style>
  <w:style w:type="character" w:customStyle="1" w:styleId="Ttulo3Car">
    <w:name w:val="Título 3 Car"/>
    <w:basedOn w:val="Fuentedeprrafopredeter"/>
    <w:link w:val="Ttulo3"/>
    <w:uiPriority w:val="9"/>
    <w:rsid w:val="00575C35"/>
    <w:rPr>
      <w:rFonts w:ascii="Arial" w:eastAsia="Times New Roman" w:hAnsi="Arial" w:cs="Arial"/>
      <w:b/>
      <w:sz w:val="28"/>
      <w:szCs w:val="28"/>
      <w:lang w:eastAsia="es-CO"/>
    </w:rPr>
  </w:style>
  <w:style w:type="character" w:customStyle="1" w:styleId="Ttulo4Car">
    <w:name w:val="Título 4 Car"/>
    <w:aliases w:val="NIVEL 4 Car"/>
    <w:basedOn w:val="Fuentedeprrafopredeter"/>
    <w:link w:val="Ttulo4"/>
    <w:rsid w:val="00381FA2"/>
    <w:rPr>
      <w:rFonts w:ascii="Montserrat Medium" w:eastAsiaTheme="majorEastAsia" w:hAnsi="Montserrat Medium" w:cstheme="majorBidi"/>
      <w:iCs/>
      <w:color w:val="5B9BD5" w:themeColor="accent1"/>
    </w:rPr>
  </w:style>
  <w:style w:type="character" w:customStyle="1" w:styleId="Ttulo5Car">
    <w:name w:val="Título 5 Car"/>
    <w:basedOn w:val="Fuentedeprrafopredeter"/>
    <w:link w:val="Ttulo5"/>
    <w:uiPriority w:val="9"/>
    <w:rsid w:val="00381FA2"/>
    <w:rPr>
      <w:rFonts w:ascii="Montserrat Medium" w:eastAsiaTheme="majorEastAsia" w:hAnsi="Montserrat Medium" w:cstheme="majorBidi"/>
      <w:color w:val="5B9BD5" w:themeColor="accent1"/>
    </w:rPr>
  </w:style>
  <w:style w:type="paragraph" w:styleId="Descripcin">
    <w:name w:val="caption"/>
    <w:basedOn w:val="Normal"/>
    <w:next w:val="Normal"/>
    <w:unhideWhenUsed/>
    <w:qFormat/>
    <w:rsid w:val="00381FA2"/>
    <w:rPr>
      <w:rFonts w:ascii="Montserrat Medium" w:eastAsiaTheme="minorHAnsi" w:hAnsi="Montserrat Medium" w:cstheme="minorBidi"/>
      <w:iCs/>
      <w:color w:val="5B9BD5" w:themeColor="accent1"/>
      <w:sz w:val="18"/>
      <w:szCs w:val="18"/>
      <w:lang w:val="es-CO" w:eastAsia="en-US"/>
    </w:rPr>
  </w:style>
  <w:style w:type="paragraph" w:styleId="Prrafodelista">
    <w:name w:val="List Paragraph"/>
    <w:aliases w:val="Bolita,BOLA,BOLADEF"/>
    <w:basedOn w:val="Normal"/>
    <w:uiPriority w:val="34"/>
    <w:qFormat/>
    <w:rsid w:val="0067220D"/>
    <w:pPr>
      <w:spacing w:before="120" w:after="120" w:line="259" w:lineRule="auto"/>
      <w:contextualSpacing/>
    </w:pPr>
    <w:rPr>
      <w:rFonts w:ascii="Montserrat Medium" w:eastAsiaTheme="minorHAnsi" w:hAnsi="Montserrat Medium" w:cstheme="minorBidi"/>
      <w:sz w:val="22"/>
      <w:szCs w:val="22"/>
      <w:lang w:val="es-CO" w:eastAsia="en-US"/>
    </w:rPr>
  </w:style>
  <w:style w:type="paragraph" w:styleId="Textoindependiente">
    <w:name w:val="Body Text"/>
    <w:basedOn w:val="Normal"/>
    <w:link w:val="TextoindependienteCar"/>
    <w:uiPriority w:val="1"/>
    <w:qFormat/>
    <w:rsid w:val="00525E08"/>
    <w:pPr>
      <w:widowControl w:val="0"/>
      <w:autoSpaceDE w:val="0"/>
      <w:autoSpaceDN w:val="0"/>
    </w:pPr>
    <w:rPr>
      <w:sz w:val="22"/>
      <w:lang w:eastAsia="en-US"/>
    </w:rPr>
  </w:style>
  <w:style w:type="character" w:customStyle="1" w:styleId="TextoindependienteCar">
    <w:name w:val="Texto independiente Car"/>
    <w:basedOn w:val="Fuentedeprrafopredeter"/>
    <w:link w:val="Textoindependiente"/>
    <w:uiPriority w:val="1"/>
    <w:rsid w:val="00525E08"/>
    <w:rPr>
      <w:rFonts w:ascii="Times New Roman" w:eastAsia="Times New Roman" w:hAnsi="Times New Roman" w:cs="Times New Roman"/>
      <w:szCs w:val="24"/>
      <w:lang w:val="es-ES"/>
    </w:rPr>
  </w:style>
  <w:style w:type="character" w:customStyle="1" w:styleId="cf01">
    <w:name w:val="cf01"/>
    <w:basedOn w:val="Fuentedeprrafopredeter"/>
    <w:rsid w:val="000830DF"/>
    <w:rPr>
      <w:rFonts w:ascii="Segoe UI" w:hAnsi="Segoe UI" w:cs="Segoe UI" w:hint="default"/>
      <w:sz w:val="18"/>
      <w:szCs w:val="18"/>
    </w:rPr>
  </w:style>
  <w:style w:type="character" w:customStyle="1" w:styleId="Ttulo6Car">
    <w:name w:val="Título 6 Car"/>
    <w:basedOn w:val="Fuentedeprrafopredeter"/>
    <w:link w:val="Ttulo6"/>
    <w:uiPriority w:val="9"/>
    <w:rsid w:val="004F42C6"/>
    <w:rPr>
      <w:rFonts w:asciiTheme="majorHAnsi" w:eastAsiaTheme="majorEastAsia" w:hAnsiTheme="majorHAnsi" w:cstheme="majorBidi"/>
      <w:color w:val="1F4D78" w:themeColor="accent1" w:themeShade="7F"/>
      <w:sz w:val="24"/>
      <w:szCs w:val="24"/>
      <w:lang w:val="es-ES" w:eastAsia="es-ES"/>
    </w:rPr>
  </w:style>
  <w:style w:type="paragraph" w:customStyle="1" w:styleId="Default">
    <w:name w:val="Default"/>
    <w:rsid w:val="009A394B"/>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834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62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9.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30" Type="http://schemas.openxmlformats.org/officeDocument/2006/relationships/image" Target="media/image21.sv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wmf"/><Relationship Id="rId8" Type="http://schemas.openxmlformats.org/officeDocument/2006/relationships/image" Target="media/image1.emf"/><Relationship Id="rId51" Type="http://schemas.openxmlformats.org/officeDocument/2006/relationships/image" Target="media/image39.emf"/><Relationship Id="rId72"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3.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3.emf"/><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wmf"/><Relationship Id="rId55" Type="http://schemas.openxmlformats.org/officeDocument/2006/relationships/image" Target="media/image43.emf"/><Relationship Id="rId7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FE424-B9CA-4ADA-87D2-D34DCDD8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71</Pages>
  <Words>13451</Words>
  <Characters>73982</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Fabian Humberto Trujillo Arismendy</cp:lastModifiedBy>
  <cp:revision>69</cp:revision>
  <dcterms:created xsi:type="dcterms:W3CDTF">2023-07-21T20:58:00Z</dcterms:created>
  <dcterms:modified xsi:type="dcterms:W3CDTF">2023-07-25T18:40:00Z</dcterms:modified>
</cp:coreProperties>
</file>