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165" w:rsidRDefault="00434165" w:rsidP="00434165">
      <w:pPr>
        <w:ind w:left="-284" w:right="-285"/>
        <w:jc w:val="center"/>
        <w:rPr>
          <w:rFonts w:ascii="Arial" w:hAnsi="Arial" w:cs="Arial"/>
          <w:b/>
          <w:sz w:val="28"/>
          <w:szCs w:val="28"/>
        </w:rPr>
      </w:pPr>
      <w:r>
        <w:rPr>
          <w:rFonts w:ascii="Arial" w:hAnsi="Arial" w:cs="Arial"/>
          <w:b/>
          <w:sz w:val="28"/>
          <w:szCs w:val="28"/>
        </w:rPr>
        <w:t>CAPITULO 3</w:t>
      </w:r>
    </w:p>
    <w:p w:rsidR="00434165" w:rsidRDefault="00434165" w:rsidP="00434165">
      <w:pPr>
        <w:ind w:left="-284" w:right="-285"/>
        <w:rPr>
          <w:rFonts w:ascii="Arial" w:hAnsi="Arial" w:cs="Arial"/>
          <w:b/>
          <w:sz w:val="28"/>
          <w:szCs w:val="28"/>
        </w:rPr>
      </w:pPr>
    </w:p>
    <w:p w:rsidR="00434165" w:rsidRDefault="00434165" w:rsidP="00434165">
      <w:pPr>
        <w:jc w:val="center"/>
        <w:rPr>
          <w:rFonts w:ascii="Arial" w:hAnsi="Arial" w:cs="Arial"/>
          <w:b/>
          <w:sz w:val="28"/>
          <w:szCs w:val="28"/>
        </w:rPr>
      </w:pPr>
      <w:r>
        <w:rPr>
          <w:rFonts w:ascii="Arial" w:hAnsi="Arial" w:cs="Arial"/>
          <w:b/>
          <w:sz w:val="28"/>
          <w:szCs w:val="28"/>
        </w:rPr>
        <w:t>SITUACIÓN FINANCIERA Y RESULTADOS CONSOLIDADOS (BALANCE GENERAL) DEL NIVEL NACIONAL A 31 DE DCIEMBRE DE 2023</w:t>
      </w:r>
    </w:p>
    <w:p w:rsidR="00434165" w:rsidRDefault="00434165" w:rsidP="00434165">
      <w:pPr>
        <w:jc w:val="center"/>
        <w:rPr>
          <w:rFonts w:ascii="Arial" w:hAnsi="Arial" w:cs="Arial"/>
          <w:b/>
          <w:sz w:val="28"/>
          <w:szCs w:val="28"/>
        </w:rPr>
      </w:pPr>
      <w:r>
        <w:rPr>
          <w:rFonts w:ascii="Arial" w:hAnsi="Arial" w:cs="Arial"/>
          <w:b/>
          <w:sz w:val="28"/>
          <w:szCs w:val="28"/>
        </w:rPr>
        <w:t>Fuente: Contaduría General de la Nación</w:t>
      </w:r>
    </w:p>
    <w:p w:rsidR="00434165" w:rsidRDefault="00434165" w:rsidP="00434165">
      <w:pPr>
        <w:rPr>
          <w:rFonts w:ascii="Arial" w:hAnsi="Arial" w:cs="Arial"/>
          <w:b/>
          <w:sz w:val="28"/>
          <w:szCs w:val="28"/>
        </w:rPr>
      </w:pPr>
    </w:p>
    <w:p w:rsidR="00434165" w:rsidRDefault="00434165" w:rsidP="00434165">
      <w:pPr>
        <w:ind w:left="-142" w:right="-518"/>
        <w:jc w:val="both"/>
        <w:rPr>
          <w:rFonts w:ascii="Arial" w:hAnsi="Arial" w:cs="Arial"/>
          <w:b/>
          <w:sz w:val="28"/>
          <w:szCs w:val="28"/>
        </w:rPr>
      </w:pPr>
      <w:r>
        <w:rPr>
          <w:rFonts w:ascii="Arial" w:hAnsi="Arial" w:cs="Arial"/>
          <w:b/>
          <w:sz w:val="28"/>
          <w:szCs w:val="28"/>
        </w:rPr>
        <w:t xml:space="preserve">El Gobierno Nacional por intermedio de la Comisión Legal de Cuentas de la Cámara de Representantes en cumplimiento de lo dispuesto en el parágrafo único del artículo 354 de la Constitución Nacional, presentó el día </w:t>
      </w:r>
      <w:r w:rsidR="0006034F">
        <w:rPr>
          <w:rFonts w:ascii="Arial" w:hAnsi="Arial" w:cs="Arial"/>
          <w:b/>
          <w:sz w:val="28"/>
          <w:szCs w:val="28"/>
        </w:rPr>
        <w:t>28</w:t>
      </w:r>
      <w:r>
        <w:rPr>
          <w:rFonts w:ascii="Arial" w:hAnsi="Arial" w:cs="Arial"/>
          <w:b/>
          <w:sz w:val="28"/>
          <w:szCs w:val="28"/>
        </w:rPr>
        <w:t xml:space="preserve"> </w:t>
      </w:r>
      <w:r w:rsidRPr="008B2F85">
        <w:rPr>
          <w:rFonts w:ascii="Arial" w:hAnsi="Arial" w:cs="Arial"/>
          <w:b/>
          <w:sz w:val="28"/>
          <w:szCs w:val="28"/>
        </w:rPr>
        <w:t>de junio de 202</w:t>
      </w:r>
      <w:r>
        <w:rPr>
          <w:rFonts w:ascii="Arial" w:hAnsi="Arial" w:cs="Arial"/>
          <w:b/>
          <w:sz w:val="28"/>
          <w:szCs w:val="28"/>
        </w:rPr>
        <w:t>4</w:t>
      </w:r>
      <w:r w:rsidRPr="008B2F85">
        <w:rPr>
          <w:rFonts w:ascii="Arial" w:hAnsi="Arial" w:cs="Arial"/>
          <w:b/>
          <w:sz w:val="28"/>
          <w:szCs w:val="28"/>
        </w:rPr>
        <w:t xml:space="preserve"> </w:t>
      </w:r>
      <w:r w:rsidRPr="00CC6B96">
        <w:rPr>
          <w:rFonts w:ascii="Arial" w:hAnsi="Arial" w:cs="Arial"/>
          <w:b/>
          <w:sz w:val="28"/>
          <w:szCs w:val="28"/>
        </w:rPr>
        <w:t>a co</w:t>
      </w:r>
      <w:r>
        <w:rPr>
          <w:rFonts w:ascii="Arial" w:hAnsi="Arial" w:cs="Arial"/>
          <w:b/>
          <w:sz w:val="28"/>
          <w:szCs w:val="28"/>
        </w:rPr>
        <w:t>nsideración del Congreso de la República la Situación Financiera (Balance General) y Resultados Consolidados del Nivel Nacional a 31 de diciembre de 202</w:t>
      </w:r>
      <w:r w:rsidR="0006034F">
        <w:rPr>
          <w:rFonts w:ascii="Arial" w:hAnsi="Arial" w:cs="Arial"/>
          <w:b/>
          <w:sz w:val="28"/>
          <w:szCs w:val="28"/>
        </w:rPr>
        <w:t>3</w:t>
      </w:r>
      <w:r>
        <w:rPr>
          <w:rFonts w:ascii="Arial" w:hAnsi="Arial" w:cs="Arial"/>
          <w:b/>
          <w:sz w:val="28"/>
          <w:szCs w:val="28"/>
        </w:rPr>
        <w:t>, elaborada por la Contaduría General de la Nación.</w:t>
      </w:r>
    </w:p>
    <w:p w:rsidR="00434165" w:rsidRDefault="00434165" w:rsidP="00434165">
      <w:pPr>
        <w:ind w:left="-142" w:right="-518"/>
        <w:jc w:val="both"/>
        <w:rPr>
          <w:rFonts w:ascii="Arial" w:hAnsi="Arial" w:cs="Arial"/>
          <w:b/>
          <w:sz w:val="28"/>
          <w:szCs w:val="28"/>
        </w:rPr>
      </w:pPr>
    </w:p>
    <w:p w:rsidR="00434165" w:rsidRDefault="00434165" w:rsidP="00434165">
      <w:pPr>
        <w:ind w:left="-142" w:right="-518"/>
        <w:jc w:val="both"/>
        <w:rPr>
          <w:rFonts w:ascii="Arial" w:hAnsi="Arial" w:cs="Arial"/>
          <w:sz w:val="28"/>
          <w:szCs w:val="28"/>
        </w:rPr>
      </w:pPr>
      <w:r>
        <w:rPr>
          <w:rFonts w:ascii="Arial" w:hAnsi="Arial" w:cs="Arial"/>
          <w:sz w:val="28"/>
          <w:szCs w:val="28"/>
        </w:rPr>
        <w:t>Teniendo en cuenta</w:t>
      </w:r>
      <w:r w:rsidRPr="00703EA3">
        <w:rPr>
          <w:rFonts w:ascii="Arial" w:hAnsi="Arial" w:cs="Arial"/>
          <w:sz w:val="28"/>
          <w:szCs w:val="28"/>
        </w:rPr>
        <w:t xml:space="preserve"> la importancia del citado informe para el cumplimiento de las funciones propias de la Comisión Legal de Cuentas y de la Plenaria de la Cámara de Representantes, </w:t>
      </w:r>
      <w:r w:rsidRPr="00937767">
        <w:rPr>
          <w:rFonts w:ascii="Arial" w:hAnsi="Arial" w:cs="Arial"/>
          <w:b/>
          <w:sz w:val="28"/>
          <w:szCs w:val="28"/>
          <w:u w:val="single"/>
        </w:rPr>
        <w:t>se retoma apartes del texto así</w:t>
      </w:r>
      <w:r w:rsidRPr="00703EA3">
        <w:rPr>
          <w:rFonts w:ascii="Arial" w:hAnsi="Arial" w:cs="Arial"/>
          <w:sz w:val="28"/>
          <w:szCs w:val="28"/>
        </w:rPr>
        <w:t>:</w:t>
      </w:r>
    </w:p>
    <w:p w:rsidR="00434165" w:rsidRDefault="00434165" w:rsidP="00434165">
      <w:pPr>
        <w:ind w:left="-142" w:right="-518"/>
        <w:jc w:val="both"/>
        <w:rPr>
          <w:rFonts w:ascii="Arial" w:hAnsi="Arial" w:cs="Arial"/>
          <w:sz w:val="28"/>
          <w:szCs w:val="28"/>
        </w:rPr>
      </w:pPr>
    </w:p>
    <w:p w:rsidR="00F63B26" w:rsidRPr="00F63B26" w:rsidRDefault="00F63B26" w:rsidP="00F63B26">
      <w:pPr>
        <w:tabs>
          <w:tab w:val="left" w:pos="4962"/>
        </w:tabs>
        <w:ind w:left="-142" w:right="-519"/>
        <w:rPr>
          <w:rFonts w:ascii="Arial" w:hAnsi="Arial" w:cs="Arial"/>
          <w:b/>
          <w:bCs/>
          <w:sz w:val="28"/>
          <w:szCs w:val="28"/>
        </w:rPr>
      </w:pPr>
      <w:r w:rsidRPr="00F63B26">
        <w:rPr>
          <w:rFonts w:ascii="Arial" w:hAnsi="Arial" w:cs="Arial"/>
          <w:b/>
          <w:bCs/>
          <w:sz w:val="28"/>
          <w:szCs w:val="28"/>
        </w:rPr>
        <w:t>Presentación</w:t>
      </w:r>
    </w:p>
    <w:p w:rsidR="00F63B26" w:rsidRPr="00F63B26" w:rsidRDefault="00F63B26" w:rsidP="00F63B26">
      <w:pPr>
        <w:ind w:left="-142" w:right="-519"/>
        <w:jc w:val="center"/>
        <w:rPr>
          <w:rFonts w:ascii="Arial" w:hAnsi="Arial" w:cs="Arial"/>
          <w:b/>
          <w:bCs/>
          <w:color w:val="5B9BD5" w:themeColor="accent1"/>
        </w:rPr>
      </w:pPr>
    </w:p>
    <w:p w:rsidR="00F63B26" w:rsidRPr="00F63B26" w:rsidRDefault="00F63B26" w:rsidP="00F63B26">
      <w:pPr>
        <w:ind w:left="-142" w:right="-519"/>
        <w:jc w:val="both"/>
        <w:rPr>
          <w:rFonts w:ascii="Arial" w:hAnsi="Arial" w:cs="Arial"/>
        </w:rPr>
      </w:pPr>
      <w:r w:rsidRPr="00F63B26">
        <w:rPr>
          <w:rFonts w:ascii="Arial" w:hAnsi="Arial" w:cs="Arial"/>
        </w:rPr>
        <w:t>Como Contador General de la Nación, en cumplimiento de lo ordenado por el artículo 354 de la Constitución Política y la Ley 298 de 1996, tengo la responsabilidad de elaborar el Balance General de la Nación y el Balance de la Hacienda Pública, someterlo a la auditoría de la Contraloría General de la República (CGR) y presentarlo al Congreso de la República a través de la Comisión Legal de Cuentas de la Cámara de Representantes, seis meses después de finalizado el respectivo año fiscal.</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Para llevar a cabo esta labor de preparar y presentar los estados financieros consolidados de las entidades públicas que integran el nivel nacional colombiano, es necesario que cada entidad elabore y presente periódicamente la información contable, cumpliendo con la regulación emitida por la Contaduría General de la Nación (CGN).</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 xml:space="preserve">Así las cosas, la consolidación de la información contable se efectúa en la CGN mediante un proceso técnico organizado y desarrollado de acuerdo con estándares internacionales. Este proceso permite obtener las cifras contables de activos, pasivos, patrimonio, ingresos, costos, gastos y resultados del nivel nacional en su conjunto, presentados como si se tratara de una sola entidad. A partir de estos datos, se estructuran los estados financieros consolidados con las respectivas revelaciones, los cuales son presentados inicialmente a la Contraloría General de la República para su auditoría financiera y posteriormente al Congreso de la República. </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 xml:space="preserve">Los estados financieros consolidados se elaboran comparativamente, entre la vigencia que se presenta y la anterior, permitiendo el análisis de la gestión financiera institucional, la situación patrimonial, los resultados consolidados y los cambios ocurridos en el conjunto de entidades </w:t>
      </w:r>
      <w:r w:rsidRPr="00F63B26">
        <w:rPr>
          <w:rFonts w:ascii="Arial" w:hAnsi="Arial" w:cs="Arial"/>
        </w:rPr>
        <w:lastRenderedPageBreak/>
        <w:t>del orden nacional durante el último año. Asimismo, sirven como medio de rendición de cuentas sobre el manejo de los recursos públicos y como insumo básico en la elaboración de Estadísticas Fiscales y Cuentas Nacionales, necesarias para la toma de decisiones y el control de la gestión pública.</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En tal sentido, el presente informe, compila las cifras consolidadas del nivel nacional colombiano, elaboradas a partir de datos provenientes de 350 entidades contables públicas que representan el 100% del universo de entidades registradas en las bases de datos de la CGN y que están clasificadas según el marco normativo contable que aplica a cada una de ellas.</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El informe consta de cinco capítulos. En el primer capítulo se incluyen los estados financieros consolidados del año 2023, comparados con los del 2022, en el siguiente orden: el Estado de Resultados, el Estado de Situación Financiera y el Estado de Cambios en el Patrimonio; el segundo capítulo presenta una descripción del proceso regulatorio a partir de la función de la CGN, y la metodología de consolidación utilizada; en el tercer capítulo se presenta un análisis a nivel general de las cifras consolidadas obtenidas; en el cuarto capítulo se desarrollan las diferentes notas o revelaciones a los estados financieros consolidados, con el detalle suficiente para la interpretación de las cifras que representan lo sucedido en las entidades del nivel nacional durante el 2023; por último, en el quinto capítulo, se presentan las cifras de los estados financieros consolidados convertidos a dólares americanos, dado el interés por esta información manifestado por usuarios en el entorno internacional.</w:t>
      </w:r>
    </w:p>
    <w:p w:rsidR="00F63B26" w:rsidRPr="00F63B26" w:rsidRDefault="00F63B26" w:rsidP="00F63B26">
      <w:pPr>
        <w:autoSpaceDE w:val="0"/>
        <w:autoSpaceDN w:val="0"/>
        <w:adjustRightInd w:val="0"/>
        <w:ind w:left="-142" w:right="-519"/>
        <w:jc w:val="both"/>
        <w:rPr>
          <w:rFonts w:ascii="Arial" w:hAnsi="Arial" w:cs="Arial"/>
        </w:rPr>
      </w:pPr>
    </w:p>
    <w:p w:rsidR="00F63B26" w:rsidRPr="00F63B26" w:rsidRDefault="00F63B26" w:rsidP="00F63B26">
      <w:pPr>
        <w:autoSpaceDE w:val="0"/>
        <w:autoSpaceDN w:val="0"/>
        <w:adjustRightInd w:val="0"/>
        <w:ind w:left="-142" w:right="-519"/>
        <w:jc w:val="both"/>
        <w:rPr>
          <w:rFonts w:ascii="Arial" w:hAnsi="Arial" w:cs="Arial"/>
        </w:rPr>
      </w:pPr>
      <w:r w:rsidRPr="00F63B26">
        <w:rPr>
          <w:rFonts w:ascii="Arial" w:hAnsi="Arial" w:cs="Arial"/>
        </w:rPr>
        <w:t>Es importante señalar que aunque existen marcos normativos contables para entidades de gobierno, para empresas que cotizan en el mercado de valores y captan o administran ahorro del público, para empresas que no cotizan en el mercado de valores y no captan ni administran ahorro del público y para entidades en liquidación, no se efectúa ajuste alguno por homogenización de políticas contables del consolidado, debido a la similitud de los criterios contables que existe entre dichos marcos y a la falta de materialidad de los posibles ajustes que se podrían realizar individualmente, en función de las cifras consolidadas.</w:t>
      </w:r>
    </w:p>
    <w:p w:rsidR="00F63B26" w:rsidRPr="00F63B26" w:rsidRDefault="00F63B26" w:rsidP="00F63B26">
      <w:pPr>
        <w:autoSpaceDE w:val="0"/>
        <w:autoSpaceDN w:val="0"/>
        <w:adjustRightInd w:val="0"/>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Las cifras de los estados financieros consolidados y de las notas elaborados por la CGN se presentan en miles de millones de pesos (MM), excepto cuando en particular se señale lo contrario.</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El Estado de Resultados Consolidado del nivel nacional, correspondiente al período comprendido entre el 1 de enero y el 31 de diciembre de 2023, presenta un resultado positivo de $11.019,1. Este resultado se deriva de ingresos consolidados por un total de $805.404,9 (equivalente al 51,2% del Producto Interno Bruto - PIB 2023</w:t>
      </w:r>
      <w:r w:rsidRPr="00F63B26">
        <w:rPr>
          <w:rStyle w:val="Refdenotaalpie"/>
          <w:rFonts w:ascii="Arial" w:hAnsi="Arial" w:cs="Arial"/>
          <w:sz w:val="24"/>
        </w:rPr>
        <w:footnoteReference w:id="1"/>
      </w:r>
      <w:r w:rsidRPr="00F63B26">
        <w:rPr>
          <w:rFonts w:ascii="Arial" w:hAnsi="Arial" w:cs="Arial"/>
        </w:rPr>
        <w:t>), menos Costos de Ventas por $143.158,1 (9,1% del PIB 2023), menos Gastos por $650.712,6 (41,3% del PIB 2023), y el efecto neto de las operaciones recíprocas en resultados por ($515,1).</w:t>
      </w:r>
    </w:p>
    <w:p w:rsidR="00F63B26" w:rsidRPr="00FD40D7" w:rsidRDefault="00F63B26" w:rsidP="00F63B26">
      <w:pPr>
        <w:ind w:left="-142" w:right="-519"/>
        <w:jc w:val="both"/>
      </w:pPr>
    </w:p>
    <w:p w:rsidR="00F63B26" w:rsidRPr="00F63B26" w:rsidRDefault="00F63B26" w:rsidP="00F63B26">
      <w:pPr>
        <w:ind w:left="-142" w:right="-519"/>
        <w:jc w:val="both"/>
        <w:rPr>
          <w:rFonts w:ascii="Arial" w:hAnsi="Arial" w:cs="Arial"/>
        </w:rPr>
      </w:pPr>
      <w:r w:rsidRPr="00F63B26">
        <w:rPr>
          <w:rFonts w:ascii="Arial" w:hAnsi="Arial" w:cs="Arial"/>
        </w:rPr>
        <w:lastRenderedPageBreak/>
        <w:t>Es importante destacar que el resultado del ejercicio consolidado fue excedentario, con una cifra que representa el 0,7% del PIB 2023. Esto denota un mejor desempeño con respecto al año 2022, cuando se registró un déficit de ($116.616,8), equivalente al 7,9% del PIB 2022</w:t>
      </w:r>
      <w:r w:rsidRPr="00F63B26">
        <w:rPr>
          <w:rStyle w:val="Refdenotaalpie"/>
          <w:rFonts w:ascii="Arial" w:hAnsi="Arial" w:cs="Arial"/>
          <w:sz w:val="24"/>
        </w:rPr>
        <w:footnoteReference w:id="2"/>
      </w:r>
      <w:r w:rsidRPr="00F63B26">
        <w:rPr>
          <w:rFonts w:ascii="Arial" w:hAnsi="Arial" w:cs="Arial"/>
        </w:rPr>
        <w:t>.</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El Estado de Situación Financiera Consolidado del nivel nacional a 31 de diciembre de 2023 registra activos por valor de $895.837,7 (57,0% del PIB 2023), pasivos por $2.145.592,0 que equivalen al 136,4% del PIB 2023, y un patrimonio negativo de ($1.249.754,3), que equivale al 79,5% del PIB 2023.</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La participación de inversionistas privados en el patrimonio consolidado de la nación alcanzó la suma de $16.512,2, lo que constituye aproximadamente el 1,0% del PIB del año 2023 y equivale al 1,3% del total del patrimonio del mismo año. Este porcentaje corresponde específicamente a la participación patrimonial en empresas de economía mixta por parte de inversionistas privados.</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Comparado con el año anterior, se observa un incremento de los pasivos de $131.258,9 equivalente a una variación del 6,5% y una reducción de los activos de $27.915,3 (equivalente a una variación de 3,0%). Asimismo, se registró una reducción del patrimonio del 14,56% comparado con el 2022.</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En las notas o revelaciones, se hace referencia a aspectos generales como la cobertura de los estados financieros consolidados del nivel nacional; las bases de medición y presentación; los juicios, estimaciones y riesgos; y el resumen de los principales criterios contables utilizados sobre cada uno de los elementos de los estados financieros, de acuerdo con las normas contables expedidas por la CGN.</w:t>
      </w:r>
    </w:p>
    <w:p w:rsidR="00F63B26" w:rsidRPr="00F63B26" w:rsidRDefault="00F63B26" w:rsidP="00F63B26">
      <w:pPr>
        <w:ind w:left="-142" w:right="-519"/>
        <w:jc w:val="both"/>
        <w:rPr>
          <w:rFonts w:ascii="Arial" w:hAnsi="Arial" w:cs="Arial"/>
        </w:rPr>
      </w:pPr>
    </w:p>
    <w:p w:rsidR="00F63B26" w:rsidRPr="00F63B26" w:rsidRDefault="00F63B26" w:rsidP="00F63B26">
      <w:pPr>
        <w:ind w:left="-142" w:right="-519"/>
        <w:jc w:val="both"/>
        <w:rPr>
          <w:rFonts w:ascii="Arial" w:hAnsi="Arial" w:cs="Arial"/>
        </w:rPr>
      </w:pPr>
      <w:r w:rsidRPr="00F63B26">
        <w:rPr>
          <w:rFonts w:ascii="Arial" w:hAnsi="Arial" w:cs="Arial"/>
        </w:rPr>
        <w:t>Adicional a este documento, en los "Informes complementarios y Anexos al Estado de Situación Financiera y Resultados Consolidados" del nivel nacional se presenta información contable agrupada por sectores o niveles y por marcos normativos, así como un conjunto de anexos que muestran el resumen de las cifras contables de las entidades según diversas clasificaciones comunes a estas, que pueden resultar de interés para diferentes usuarios estratégicos de la información contable pública y, por ello, complementan la información de los estados financieros consolidados.</w:t>
      </w:r>
    </w:p>
    <w:p w:rsidR="00F63B26" w:rsidRPr="00F63B26" w:rsidRDefault="00F63B26" w:rsidP="00F63B26">
      <w:pPr>
        <w:ind w:left="-142" w:right="-519"/>
        <w:jc w:val="both"/>
        <w:rPr>
          <w:rFonts w:ascii="Arial" w:hAnsi="Arial" w:cs="Arial"/>
        </w:rPr>
      </w:pPr>
    </w:p>
    <w:p w:rsidR="00F63B26" w:rsidRPr="00A320BE" w:rsidRDefault="00F63B26" w:rsidP="00F63B26">
      <w:pPr>
        <w:ind w:left="-142" w:right="-519"/>
        <w:jc w:val="both"/>
      </w:pPr>
      <w:r w:rsidRPr="00F63B26">
        <w:rPr>
          <w:rFonts w:ascii="Arial" w:hAnsi="Arial" w:cs="Arial"/>
        </w:rPr>
        <w:t>Los estados financieros consolidados de la nación constituyen un importante instrumento de información financiera y económica de la nación para la gestión pública. Estos son una herramienta de apoyo para la formulación de políticas públicas y para la toma de decisiones del gobierno nacional y los gestores públicos. Los estados financieros consolidados también facilitan el control político y fiscal, y contribuyen al seguimiento del cumplimiento de los objetivos del Plan Nacional de Desarrollo y de los Objetivos de Desarrollo Sostenible, con el fin de asegurar una rendición de cuentas transparente, en línea con el lema institucional “cuentas claras, Estado transparente”.</w:t>
      </w:r>
    </w:p>
    <w:p w:rsidR="00F63B26" w:rsidRPr="00A320BE" w:rsidRDefault="00F63B26" w:rsidP="00F63B26">
      <w:pPr>
        <w:jc w:val="both"/>
      </w:pPr>
    </w:p>
    <w:p w:rsidR="00F63B26" w:rsidRPr="00A320BE" w:rsidRDefault="00F63B26" w:rsidP="00F63B26">
      <w:pPr>
        <w:jc w:val="both"/>
      </w:pPr>
    </w:p>
    <w:p w:rsidR="00F63B26" w:rsidRPr="00F63B26" w:rsidRDefault="00F63B26" w:rsidP="00F63B26">
      <w:pPr>
        <w:ind w:left="-142"/>
        <w:rPr>
          <w:rFonts w:ascii="Arial" w:hAnsi="Arial" w:cs="Arial"/>
          <w:b/>
          <w:bCs/>
          <w:szCs w:val="72"/>
        </w:rPr>
      </w:pPr>
      <w:r w:rsidRPr="00F63B26">
        <w:rPr>
          <w:rFonts w:ascii="Arial" w:hAnsi="Arial" w:cs="Arial"/>
          <w:b/>
          <w:bCs/>
          <w:szCs w:val="72"/>
        </w:rPr>
        <w:lastRenderedPageBreak/>
        <w:t>MAURICIO GÓMEZ VILLEGAS</w:t>
      </w:r>
    </w:p>
    <w:p w:rsidR="00F63B26" w:rsidRPr="00F63B26" w:rsidRDefault="00F63B26" w:rsidP="00F63B26">
      <w:pPr>
        <w:ind w:left="-142"/>
        <w:rPr>
          <w:rFonts w:ascii="Arial" w:hAnsi="Arial" w:cs="Arial"/>
          <w:b/>
        </w:rPr>
      </w:pPr>
      <w:r w:rsidRPr="00F63B26">
        <w:rPr>
          <w:rFonts w:ascii="Arial" w:hAnsi="Arial" w:cs="Arial"/>
          <w:b/>
        </w:rPr>
        <w:t>Contador General de la Nación</w:t>
      </w:r>
    </w:p>
    <w:p w:rsidR="00680A51" w:rsidRDefault="00680A51" w:rsidP="000235E2">
      <w:pPr>
        <w:pStyle w:val="Ttulo1"/>
        <w:numPr>
          <w:ilvl w:val="0"/>
          <w:numId w:val="0"/>
        </w:numPr>
        <w:spacing w:before="0" w:line="240" w:lineRule="auto"/>
        <w:rPr>
          <w:rFonts w:ascii="Times New Roman" w:eastAsia="Times New Roman" w:hAnsi="Times New Roman"/>
          <w:bCs/>
          <w:sz w:val="24"/>
          <w:szCs w:val="24"/>
          <w:lang w:val="es-ES" w:eastAsia="es-ES"/>
        </w:rPr>
      </w:pPr>
    </w:p>
    <w:p w:rsidR="000235E2" w:rsidRDefault="000235E2" w:rsidP="000235E2">
      <w:pPr>
        <w:ind w:left="-142"/>
        <w:jc w:val="center"/>
        <w:rPr>
          <w:rFonts w:ascii="Arial" w:hAnsi="Arial" w:cs="Arial"/>
          <w:b/>
          <w:sz w:val="28"/>
          <w:szCs w:val="28"/>
        </w:rPr>
      </w:pP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NIVEL NACIONAL</w:t>
      </w: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ESTADO DE RESULTADOS CONSOLIDADO</w:t>
      </w: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DEL 1 ENERO AL 31 DE DICIEMBRE DE 2023</w:t>
      </w:r>
    </w:p>
    <w:p w:rsidR="000235E2" w:rsidRPr="004D34E2" w:rsidRDefault="000235E2" w:rsidP="000235E2">
      <w:pPr>
        <w:ind w:left="-142"/>
        <w:jc w:val="center"/>
        <w:rPr>
          <w:rFonts w:ascii="Arial" w:hAnsi="Arial" w:cs="Arial"/>
          <w:b/>
          <w:sz w:val="28"/>
          <w:szCs w:val="28"/>
        </w:rPr>
      </w:pP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(Cifras expresadas en miles de millones de pesos, excepto cuando, en particular, se señale lo contrario)</w:t>
      </w:r>
    </w:p>
    <w:p w:rsidR="000235E2" w:rsidRPr="004D34E2" w:rsidRDefault="000235E2" w:rsidP="000235E2">
      <w:pPr>
        <w:ind w:left="-142"/>
        <w:jc w:val="center"/>
        <w:rPr>
          <w:rFonts w:ascii="Arial" w:hAnsi="Arial" w:cs="Arial"/>
          <w:b/>
          <w:sz w:val="28"/>
          <w:szCs w:val="2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jc w:val="center"/>
        <w:rPr>
          <w:rFonts w:ascii="Arial" w:hAnsi="Arial" w:cs="Arial"/>
          <w:b/>
          <w:sz w:val="18"/>
          <w:szCs w:val="18"/>
        </w:rPr>
      </w:pPr>
      <w:r w:rsidRPr="004D34E2">
        <w:rPr>
          <w:noProof/>
          <w:lang w:val="es-CO" w:eastAsia="es-CO"/>
        </w:rPr>
        <w:lastRenderedPageBreak/>
        <w:drawing>
          <wp:inline distT="0" distB="0" distL="0" distR="0" wp14:anchorId="74D8E494" wp14:editId="3FC5ED96">
            <wp:extent cx="5943600" cy="78105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810500"/>
                    </a:xfrm>
                    <a:prstGeom prst="rect">
                      <a:avLst/>
                    </a:prstGeom>
                    <a:noFill/>
                    <a:ln>
                      <a:noFill/>
                    </a:ln>
                  </pic:spPr>
                </pic:pic>
              </a:graphicData>
            </a:graphic>
          </wp:inline>
        </w:drawing>
      </w: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jc w:val="center"/>
        <w:rPr>
          <w:rFonts w:ascii="Arial" w:hAnsi="Arial" w:cs="Arial"/>
          <w:b/>
          <w:sz w:val="18"/>
          <w:szCs w:val="18"/>
        </w:rPr>
      </w:pPr>
    </w:p>
    <w:p w:rsidR="000235E2" w:rsidRPr="004D34E2" w:rsidRDefault="000235E2" w:rsidP="000235E2">
      <w:pPr>
        <w:ind w:left="-142"/>
        <w:jc w:val="center"/>
        <w:rPr>
          <w:rFonts w:ascii="Arial" w:hAnsi="Arial" w:cs="Arial"/>
          <w:b/>
          <w:sz w:val="18"/>
          <w:szCs w:val="18"/>
        </w:rPr>
      </w:pPr>
      <w:r w:rsidRPr="004D34E2">
        <w:rPr>
          <w:noProof/>
          <w:lang w:val="es-CO" w:eastAsia="es-CO"/>
        </w:rPr>
        <w:lastRenderedPageBreak/>
        <w:drawing>
          <wp:inline distT="0" distB="0" distL="0" distR="0" wp14:anchorId="27387C05" wp14:editId="3CFA8E34">
            <wp:extent cx="5943600" cy="821563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215630"/>
                    </a:xfrm>
                    <a:prstGeom prst="rect">
                      <a:avLst/>
                    </a:prstGeom>
                    <a:noFill/>
                    <a:ln>
                      <a:noFill/>
                    </a:ln>
                  </pic:spPr>
                </pic:pic>
              </a:graphicData>
            </a:graphic>
          </wp:inline>
        </w:drawing>
      </w:r>
    </w:p>
    <w:p w:rsidR="000235E2" w:rsidRPr="004D34E2" w:rsidRDefault="000235E2" w:rsidP="000235E2">
      <w:pPr>
        <w:ind w:left="-142"/>
        <w:jc w:val="center"/>
        <w:rPr>
          <w:rFonts w:ascii="Arial" w:hAnsi="Arial" w:cs="Arial"/>
          <w:b/>
          <w:sz w:val="18"/>
          <w:szCs w:val="18"/>
        </w:rPr>
      </w:pPr>
      <w:r w:rsidRPr="004D34E2">
        <w:rPr>
          <w:noProof/>
          <w:lang w:val="es-CO" w:eastAsia="es-CO"/>
        </w:rPr>
        <w:lastRenderedPageBreak/>
        <w:drawing>
          <wp:inline distT="0" distB="0" distL="0" distR="0" wp14:anchorId="732E382E" wp14:editId="4F2E2E00">
            <wp:extent cx="5894705" cy="8229600"/>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4705" cy="8229600"/>
                    </a:xfrm>
                    <a:prstGeom prst="rect">
                      <a:avLst/>
                    </a:prstGeom>
                    <a:noFill/>
                    <a:ln>
                      <a:noFill/>
                    </a:ln>
                  </pic:spPr>
                </pic:pic>
              </a:graphicData>
            </a:graphic>
          </wp:inline>
        </w:drawing>
      </w: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jc w:val="center"/>
        <w:rPr>
          <w:rFonts w:ascii="Arial" w:hAnsi="Arial" w:cs="Arial"/>
          <w:b/>
          <w:sz w:val="18"/>
          <w:szCs w:val="18"/>
        </w:rPr>
      </w:pPr>
      <w:r w:rsidRPr="004D34E2">
        <w:rPr>
          <w:noProof/>
          <w:lang w:val="es-CO" w:eastAsia="es-CO"/>
        </w:rPr>
        <w:drawing>
          <wp:inline distT="0" distB="0" distL="0" distR="0" wp14:anchorId="39A7A86B" wp14:editId="6FF4D25B">
            <wp:extent cx="5943600" cy="782383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23835"/>
                    </a:xfrm>
                    <a:prstGeom prst="rect">
                      <a:avLst/>
                    </a:prstGeom>
                    <a:noFill/>
                    <a:ln>
                      <a:noFill/>
                    </a:ln>
                  </pic:spPr>
                </pic:pic>
              </a:graphicData>
            </a:graphic>
          </wp:inline>
        </w:drawing>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1E36E3D3" wp14:editId="3ACEC562">
            <wp:extent cx="5943600" cy="8189595"/>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189595"/>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drawing>
          <wp:inline distT="0" distB="0" distL="0" distR="0" wp14:anchorId="29770F21" wp14:editId="578C2640">
            <wp:extent cx="5943600" cy="6596380"/>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596380"/>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NIVEL NACIONAL</w:t>
      </w: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ESTADO DE SITUACIÓN FINANCIERA CONSOLIDADO</w:t>
      </w: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A 31 DE DICIEMBRE DE 2023</w:t>
      </w: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(Cifras expresadas en miles de millones de pesos, excepto cuando, en particular, se señale lo contrario)</w:t>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36A4471B" wp14:editId="5748B930">
            <wp:extent cx="5943600" cy="7988935"/>
            <wp:effectExtent l="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88935"/>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1BF5533C" wp14:editId="2D86F4BF">
            <wp:extent cx="5943600" cy="8162290"/>
            <wp:effectExtent l="0" t="0" r="0" b="0"/>
            <wp:docPr id="1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162290"/>
                    </a:xfrm>
                    <a:prstGeom prst="rect">
                      <a:avLst/>
                    </a:prstGeom>
                    <a:noFill/>
                    <a:ln>
                      <a:noFill/>
                    </a:ln>
                  </pic:spPr>
                </pic:pic>
              </a:graphicData>
            </a:graphic>
          </wp:inline>
        </w:drawing>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2D6815F6" wp14:editId="0D1F384A">
            <wp:extent cx="5943600" cy="80702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070215"/>
                    </a:xfrm>
                    <a:prstGeom prst="rect">
                      <a:avLst/>
                    </a:prstGeom>
                    <a:noFill/>
                    <a:ln>
                      <a:noFill/>
                    </a:ln>
                  </pic:spPr>
                </pic:pic>
              </a:graphicData>
            </a:graphic>
          </wp:inline>
        </w:drawing>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01BF3206" wp14:editId="1EEEBA11">
            <wp:extent cx="5943600" cy="7896860"/>
            <wp:effectExtent l="0" t="0" r="0" b="0"/>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896860"/>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4764E642" wp14:editId="04E258C8">
            <wp:extent cx="5943600" cy="7762875"/>
            <wp:effectExtent l="0" t="0" r="0" b="9525"/>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62875"/>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7A74AC39" wp14:editId="68FFF00E">
            <wp:extent cx="5943600" cy="8093710"/>
            <wp:effectExtent l="0" t="0" r="0" b="0"/>
            <wp:docPr id="1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093710"/>
                    </a:xfrm>
                    <a:prstGeom prst="rect">
                      <a:avLst/>
                    </a:prstGeom>
                    <a:noFill/>
                    <a:ln>
                      <a:noFill/>
                    </a:ln>
                  </pic:spPr>
                </pic:pic>
              </a:graphicData>
            </a:graphic>
          </wp:inline>
        </w:drawing>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3DA931E9" wp14:editId="1EEC95E8">
            <wp:extent cx="5943600" cy="6310630"/>
            <wp:effectExtent l="0" t="0" r="0" b="0"/>
            <wp:docPr id="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310630"/>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NIVEL NACIONAL</w:t>
      </w: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ESTADO DE CAMBIOS EN EL PATRIMONIO CONSOLIDADO</w:t>
      </w: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A 31 DE DICIEMBRE DE 2023</w:t>
      </w: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(Cifras expresadas en miles de millones de pesos, excepto cuando, en particular, se señale lo contrario)</w:t>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753FAC16" wp14:editId="26B9BAC9">
            <wp:extent cx="5943600" cy="6081395"/>
            <wp:effectExtent l="0" t="0" r="0" b="0"/>
            <wp:docPr id="1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081395"/>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3E3F6EFC" wp14:editId="22919BB4">
            <wp:extent cx="5943600" cy="5902325"/>
            <wp:effectExtent l="0" t="0" r="0" b="0"/>
            <wp:docPr id="1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02325"/>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NIVEL NACIONAL</w:t>
      </w: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ESTADO DE RESULTADOS CONSOLIDADO</w:t>
      </w: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DEL 1 ENERO AL 31 DE DICIEMBRE DE 2023</w:t>
      </w: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(Cifras expresadas en miles de millones de pesos, excepto cuando, en particular, se señale lo contrario)</w:t>
      </w: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jc w:val="center"/>
        <w:rPr>
          <w:rFonts w:ascii="Arial" w:hAnsi="Arial" w:cs="Arial"/>
          <w:b/>
          <w:sz w:val="18"/>
          <w:szCs w:val="18"/>
        </w:rPr>
      </w:pPr>
      <w:r w:rsidRPr="004D34E2">
        <w:rPr>
          <w:noProof/>
          <w:lang w:val="es-CO" w:eastAsia="es-CO"/>
        </w:rPr>
        <w:lastRenderedPageBreak/>
        <w:drawing>
          <wp:inline distT="0" distB="0" distL="0" distR="0" wp14:anchorId="470F2048" wp14:editId="2A564678">
            <wp:extent cx="5943600" cy="7810500"/>
            <wp:effectExtent l="0" t="0" r="0" b="0"/>
            <wp:docPr id="130881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810500"/>
                    </a:xfrm>
                    <a:prstGeom prst="rect">
                      <a:avLst/>
                    </a:prstGeom>
                    <a:noFill/>
                    <a:ln>
                      <a:noFill/>
                    </a:ln>
                  </pic:spPr>
                </pic:pic>
              </a:graphicData>
            </a:graphic>
          </wp:inline>
        </w:drawing>
      </w: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jc w:val="center"/>
        <w:rPr>
          <w:rFonts w:ascii="Arial" w:hAnsi="Arial" w:cs="Arial"/>
          <w:b/>
          <w:sz w:val="18"/>
          <w:szCs w:val="18"/>
        </w:rPr>
      </w:pPr>
    </w:p>
    <w:p w:rsidR="000235E2" w:rsidRPr="004D34E2" w:rsidRDefault="000235E2" w:rsidP="000235E2">
      <w:pPr>
        <w:ind w:left="-142"/>
        <w:jc w:val="center"/>
        <w:rPr>
          <w:rFonts w:ascii="Arial" w:hAnsi="Arial" w:cs="Arial"/>
          <w:b/>
          <w:sz w:val="18"/>
          <w:szCs w:val="18"/>
        </w:rPr>
      </w:pPr>
      <w:r w:rsidRPr="004D34E2">
        <w:rPr>
          <w:noProof/>
          <w:lang w:val="es-CO" w:eastAsia="es-CO"/>
        </w:rPr>
        <w:lastRenderedPageBreak/>
        <w:drawing>
          <wp:inline distT="0" distB="0" distL="0" distR="0" wp14:anchorId="4ADA3B0A" wp14:editId="3117D97B">
            <wp:extent cx="5943600" cy="8215630"/>
            <wp:effectExtent l="0" t="0" r="0" b="0"/>
            <wp:docPr id="423180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215630"/>
                    </a:xfrm>
                    <a:prstGeom prst="rect">
                      <a:avLst/>
                    </a:prstGeom>
                    <a:noFill/>
                    <a:ln>
                      <a:noFill/>
                    </a:ln>
                  </pic:spPr>
                </pic:pic>
              </a:graphicData>
            </a:graphic>
          </wp:inline>
        </w:drawing>
      </w:r>
    </w:p>
    <w:p w:rsidR="000235E2" w:rsidRPr="004D34E2" w:rsidRDefault="000235E2" w:rsidP="000235E2">
      <w:pPr>
        <w:ind w:left="-142"/>
        <w:jc w:val="center"/>
        <w:rPr>
          <w:rFonts w:ascii="Arial" w:hAnsi="Arial" w:cs="Arial"/>
          <w:b/>
          <w:sz w:val="18"/>
          <w:szCs w:val="18"/>
        </w:rPr>
      </w:pPr>
      <w:r w:rsidRPr="004D34E2">
        <w:rPr>
          <w:noProof/>
          <w:lang w:val="es-CO" w:eastAsia="es-CO"/>
        </w:rPr>
        <w:lastRenderedPageBreak/>
        <w:drawing>
          <wp:inline distT="0" distB="0" distL="0" distR="0" wp14:anchorId="7AFF1E45" wp14:editId="28392E0F">
            <wp:extent cx="5894705" cy="8229600"/>
            <wp:effectExtent l="0" t="0" r="0" b="0"/>
            <wp:docPr id="9389763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4705" cy="8229600"/>
                    </a:xfrm>
                    <a:prstGeom prst="rect">
                      <a:avLst/>
                    </a:prstGeom>
                    <a:noFill/>
                    <a:ln>
                      <a:noFill/>
                    </a:ln>
                  </pic:spPr>
                </pic:pic>
              </a:graphicData>
            </a:graphic>
          </wp:inline>
        </w:drawing>
      </w:r>
    </w:p>
    <w:p w:rsidR="000235E2" w:rsidRPr="004D34E2" w:rsidRDefault="000235E2" w:rsidP="000235E2">
      <w:pPr>
        <w:ind w:left="-142"/>
        <w:rPr>
          <w:rFonts w:ascii="Arial" w:hAnsi="Arial" w:cs="Arial"/>
          <w:b/>
          <w:sz w:val="18"/>
          <w:szCs w:val="18"/>
        </w:rPr>
      </w:pPr>
    </w:p>
    <w:p w:rsidR="000235E2" w:rsidRPr="004D34E2" w:rsidRDefault="000235E2" w:rsidP="000235E2">
      <w:pPr>
        <w:ind w:left="-142"/>
        <w:rPr>
          <w:rFonts w:ascii="Arial" w:hAnsi="Arial" w:cs="Arial"/>
          <w:b/>
          <w:sz w:val="18"/>
          <w:szCs w:val="18"/>
        </w:rPr>
      </w:pPr>
    </w:p>
    <w:p w:rsidR="000235E2" w:rsidRPr="004D34E2" w:rsidRDefault="000235E2" w:rsidP="000235E2">
      <w:pPr>
        <w:ind w:left="-142"/>
        <w:jc w:val="center"/>
        <w:rPr>
          <w:rFonts w:ascii="Arial" w:hAnsi="Arial" w:cs="Arial"/>
          <w:b/>
          <w:sz w:val="18"/>
          <w:szCs w:val="18"/>
        </w:rPr>
      </w:pPr>
      <w:r w:rsidRPr="004D34E2">
        <w:rPr>
          <w:noProof/>
          <w:lang w:val="es-CO" w:eastAsia="es-CO"/>
        </w:rPr>
        <w:drawing>
          <wp:inline distT="0" distB="0" distL="0" distR="0" wp14:anchorId="34A8CBFE" wp14:editId="4AA6A13F">
            <wp:extent cx="5943600" cy="7823835"/>
            <wp:effectExtent l="0" t="0" r="0" b="0"/>
            <wp:docPr id="48093047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23835"/>
                    </a:xfrm>
                    <a:prstGeom prst="rect">
                      <a:avLst/>
                    </a:prstGeom>
                    <a:noFill/>
                    <a:ln>
                      <a:noFill/>
                    </a:ln>
                  </pic:spPr>
                </pic:pic>
              </a:graphicData>
            </a:graphic>
          </wp:inline>
        </w:drawing>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7584BCC9" wp14:editId="004B4F21">
            <wp:extent cx="5943600" cy="8189595"/>
            <wp:effectExtent l="0" t="0" r="0" b="0"/>
            <wp:docPr id="108371318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189595"/>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drawing>
          <wp:inline distT="0" distB="0" distL="0" distR="0" wp14:anchorId="64274BE0" wp14:editId="5296B4A1">
            <wp:extent cx="5943600" cy="6596380"/>
            <wp:effectExtent l="0" t="0" r="0" b="0"/>
            <wp:docPr id="12093253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596380"/>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NIVEL NACIONAL</w:t>
      </w: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ESTADO DE SITUACIÓN FINANCIERA CONSOLIDADO</w:t>
      </w: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A 31 DE DICIEMBRE DE 2023</w:t>
      </w: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(Cifras expresadas en miles de millones de pesos, excepto cuando, en particular, se señale lo contrario)</w:t>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7A9C6E0F" wp14:editId="5E373307">
            <wp:extent cx="5943600" cy="7988935"/>
            <wp:effectExtent l="0" t="0" r="0" b="0"/>
            <wp:docPr id="13227506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988935"/>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06AD7DDF" wp14:editId="48C27DD2">
            <wp:extent cx="5943600" cy="8162290"/>
            <wp:effectExtent l="0" t="0" r="0" b="0"/>
            <wp:docPr id="48318267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162290"/>
                    </a:xfrm>
                    <a:prstGeom prst="rect">
                      <a:avLst/>
                    </a:prstGeom>
                    <a:noFill/>
                    <a:ln>
                      <a:noFill/>
                    </a:ln>
                  </pic:spPr>
                </pic:pic>
              </a:graphicData>
            </a:graphic>
          </wp:inline>
        </w:drawing>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6861C8C3" wp14:editId="0A5FDB20">
            <wp:extent cx="5943600" cy="8070215"/>
            <wp:effectExtent l="0" t="0" r="0" b="0"/>
            <wp:docPr id="166512008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070215"/>
                    </a:xfrm>
                    <a:prstGeom prst="rect">
                      <a:avLst/>
                    </a:prstGeom>
                    <a:noFill/>
                    <a:ln>
                      <a:noFill/>
                    </a:ln>
                  </pic:spPr>
                </pic:pic>
              </a:graphicData>
            </a:graphic>
          </wp:inline>
        </w:drawing>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1A661EE3" wp14:editId="5ABBB026">
            <wp:extent cx="5943600" cy="7896860"/>
            <wp:effectExtent l="0" t="0" r="0" b="0"/>
            <wp:docPr id="11209828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896860"/>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drawing>
          <wp:inline distT="0" distB="0" distL="0" distR="0" wp14:anchorId="6D6178CB" wp14:editId="4F63FF87">
            <wp:extent cx="5943600" cy="7762875"/>
            <wp:effectExtent l="0" t="0" r="0" b="9525"/>
            <wp:docPr id="212516121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762875"/>
                    </a:xfrm>
                    <a:prstGeom prst="rect">
                      <a:avLst/>
                    </a:prstGeom>
                    <a:noFill/>
                    <a:ln>
                      <a:noFill/>
                    </a:ln>
                  </pic:spPr>
                </pic:pic>
              </a:graphicData>
            </a:graphic>
          </wp:inline>
        </w:drawing>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4A4EBA94" wp14:editId="4958A61E">
            <wp:extent cx="5943600" cy="8093710"/>
            <wp:effectExtent l="0" t="0" r="0" b="0"/>
            <wp:docPr id="93833605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093710"/>
                    </a:xfrm>
                    <a:prstGeom prst="rect">
                      <a:avLst/>
                    </a:prstGeom>
                    <a:noFill/>
                    <a:ln>
                      <a:noFill/>
                    </a:ln>
                  </pic:spPr>
                </pic:pic>
              </a:graphicData>
            </a:graphic>
          </wp:inline>
        </w:drawing>
      </w: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68E9AB61" wp14:editId="6760AA50">
            <wp:extent cx="5943600" cy="6310630"/>
            <wp:effectExtent l="0" t="0" r="0" b="0"/>
            <wp:docPr id="116339282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310630"/>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NIVEL NACIONAL</w:t>
      </w: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ESTADO DE CAMBIOS EN EL PATRIMONIO CONSOLIDADO</w:t>
      </w:r>
    </w:p>
    <w:p w:rsidR="000235E2" w:rsidRPr="004D34E2" w:rsidRDefault="000235E2" w:rsidP="000235E2">
      <w:pPr>
        <w:ind w:left="-142" w:right="-518"/>
        <w:jc w:val="center"/>
        <w:rPr>
          <w:rFonts w:ascii="Arial" w:hAnsi="Arial" w:cs="Arial"/>
          <w:b/>
          <w:sz w:val="28"/>
          <w:szCs w:val="28"/>
          <w:lang w:val="es-CO"/>
        </w:rPr>
      </w:pPr>
      <w:r w:rsidRPr="004D34E2">
        <w:rPr>
          <w:rFonts w:ascii="Arial" w:hAnsi="Arial" w:cs="Arial"/>
          <w:b/>
          <w:sz w:val="28"/>
          <w:szCs w:val="28"/>
          <w:lang w:val="es-CO"/>
        </w:rPr>
        <w:t>A 31 DE DICIEMBRE DE 2023</w:t>
      </w:r>
    </w:p>
    <w:p w:rsidR="000235E2" w:rsidRPr="004D34E2" w:rsidRDefault="000235E2" w:rsidP="000235E2">
      <w:pPr>
        <w:ind w:left="-142"/>
        <w:jc w:val="center"/>
        <w:rPr>
          <w:rFonts w:ascii="Arial" w:hAnsi="Arial" w:cs="Arial"/>
          <w:b/>
          <w:sz w:val="28"/>
          <w:szCs w:val="28"/>
        </w:rPr>
      </w:pPr>
      <w:r w:rsidRPr="004D34E2">
        <w:rPr>
          <w:rFonts w:ascii="Arial" w:hAnsi="Arial" w:cs="Arial"/>
          <w:b/>
          <w:sz w:val="28"/>
          <w:szCs w:val="28"/>
        </w:rPr>
        <w:t>(Cifras expresadas en miles de millones de pesos, excepto cuando, en particular, se señale lo contrario)</w:t>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0272A57E" wp14:editId="034391DE">
            <wp:extent cx="5943600" cy="6081395"/>
            <wp:effectExtent l="0" t="0" r="0" b="0"/>
            <wp:docPr id="63254215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081395"/>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center"/>
        <w:rPr>
          <w:rFonts w:ascii="Arial" w:hAnsi="Arial" w:cs="Arial"/>
          <w:sz w:val="28"/>
          <w:szCs w:val="28"/>
          <w:lang w:val="es-CO"/>
        </w:rPr>
      </w:pPr>
      <w:r w:rsidRPr="004D34E2">
        <w:rPr>
          <w:noProof/>
          <w:lang w:val="es-CO" w:eastAsia="es-CO"/>
        </w:rPr>
        <w:lastRenderedPageBreak/>
        <w:drawing>
          <wp:inline distT="0" distB="0" distL="0" distR="0" wp14:anchorId="523FA2E1" wp14:editId="6E58692C">
            <wp:extent cx="5943600" cy="5902325"/>
            <wp:effectExtent l="0" t="0" r="0" b="0"/>
            <wp:docPr id="1302529796"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5902325"/>
                    </a:xfrm>
                    <a:prstGeom prst="rect">
                      <a:avLst/>
                    </a:prstGeom>
                    <a:noFill/>
                    <a:ln>
                      <a:noFill/>
                    </a:ln>
                  </pic:spPr>
                </pic:pic>
              </a:graphicData>
            </a:graphic>
          </wp:inline>
        </w:drawing>
      </w:r>
    </w:p>
    <w:p w:rsidR="000235E2" w:rsidRPr="004D34E2" w:rsidRDefault="000235E2"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Default="000235E2" w:rsidP="000235E2">
      <w:pPr>
        <w:ind w:left="-142" w:right="-518"/>
        <w:jc w:val="both"/>
        <w:rPr>
          <w:rFonts w:ascii="Arial" w:hAnsi="Arial" w:cs="Arial"/>
          <w:sz w:val="28"/>
          <w:szCs w:val="28"/>
          <w:lang w:val="es-CO"/>
        </w:rPr>
      </w:pPr>
    </w:p>
    <w:p w:rsidR="00A82DA9" w:rsidRDefault="00A82DA9" w:rsidP="000235E2">
      <w:pPr>
        <w:ind w:left="-142" w:right="-518"/>
        <w:jc w:val="both"/>
        <w:rPr>
          <w:rFonts w:ascii="Arial" w:hAnsi="Arial" w:cs="Arial"/>
          <w:sz w:val="28"/>
          <w:szCs w:val="28"/>
          <w:lang w:val="es-CO"/>
        </w:rPr>
      </w:pPr>
    </w:p>
    <w:p w:rsidR="00A82DA9" w:rsidRDefault="00A82DA9" w:rsidP="000235E2">
      <w:pPr>
        <w:ind w:left="-142" w:right="-518"/>
        <w:jc w:val="both"/>
        <w:rPr>
          <w:rFonts w:ascii="Arial" w:hAnsi="Arial" w:cs="Arial"/>
          <w:sz w:val="28"/>
          <w:szCs w:val="28"/>
          <w:lang w:val="es-CO"/>
        </w:rPr>
      </w:pPr>
    </w:p>
    <w:p w:rsidR="00A82DA9" w:rsidRDefault="00A82DA9" w:rsidP="000235E2">
      <w:pPr>
        <w:ind w:left="-142" w:right="-518"/>
        <w:jc w:val="both"/>
        <w:rPr>
          <w:rFonts w:ascii="Arial" w:hAnsi="Arial" w:cs="Arial"/>
          <w:sz w:val="28"/>
          <w:szCs w:val="28"/>
          <w:lang w:val="es-CO"/>
        </w:rPr>
      </w:pPr>
    </w:p>
    <w:p w:rsidR="00A82DA9" w:rsidRDefault="00A82DA9" w:rsidP="000235E2">
      <w:pPr>
        <w:ind w:left="-142" w:right="-518"/>
        <w:jc w:val="both"/>
        <w:rPr>
          <w:rFonts w:ascii="Arial" w:hAnsi="Arial" w:cs="Arial"/>
          <w:sz w:val="28"/>
          <w:szCs w:val="28"/>
          <w:lang w:val="es-CO"/>
        </w:rPr>
      </w:pPr>
    </w:p>
    <w:p w:rsidR="00A82DA9" w:rsidRDefault="00A82DA9" w:rsidP="000235E2">
      <w:pPr>
        <w:ind w:left="-142" w:right="-518"/>
        <w:jc w:val="both"/>
        <w:rPr>
          <w:rFonts w:ascii="Arial" w:hAnsi="Arial" w:cs="Arial"/>
          <w:sz w:val="28"/>
          <w:szCs w:val="28"/>
          <w:lang w:val="es-CO"/>
        </w:rPr>
      </w:pPr>
    </w:p>
    <w:p w:rsidR="00A82DA9" w:rsidRDefault="00A82DA9" w:rsidP="000235E2">
      <w:pPr>
        <w:ind w:left="-142" w:right="-518"/>
        <w:jc w:val="both"/>
        <w:rPr>
          <w:rFonts w:ascii="Arial" w:hAnsi="Arial" w:cs="Arial"/>
          <w:sz w:val="28"/>
          <w:szCs w:val="28"/>
          <w:lang w:val="es-CO"/>
        </w:rPr>
      </w:pPr>
    </w:p>
    <w:p w:rsidR="00A82DA9" w:rsidRDefault="00A82DA9" w:rsidP="000235E2">
      <w:pPr>
        <w:ind w:left="-142" w:right="-518"/>
        <w:jc w:val="both"/>
        <w:rPr>
          <w:rFonts w:ascii="Arial" w:hAnsi="Arial" w:cs="Arial"/>
          <w:sz w:val="28"/>
          <w:szCs w:val="28"/>
          <w:lang w:val="es-CO"/>
        </w:rPr>
      </w:pPr>
    </w:p>
    <w:p w:rsidR="00937767" w:rsidRPr="00D17C23" w:rsidRDefault="00937767" w:rsidP="00D17C23">
      <w:pPr>
        <w:pStyle w:val="Ttulo3"/>
      </w:pPr>
      <w:bookmarkStart w:id="0" w:name="_Toc135044668"/>
      <w:r w:rsidRPr="00D17C23">
        <w:lastRenderedPageBreak/>
        <w:t>Referente Teórico y Metodológico de la Regulación Contable Pública</w:t>
      </w:r>
      <w:bookmarkEnd w:id="0"/>
      <w:r w:rsidRPr="00D17C23">
        <w:t>.</w:t>
      </w:r>
    </w:p>
    <w:p w:rsidR="00937767" w:rsidRPr="00D17C23" w:rsidRDefault="00937767" w:rsidP="00D17C23">
      <w:pPr>
        <w:rPr>
          <w:rFonts w:ascii="Arial" w:hAnsi="Arial" w:cs="Arial"/>
          <w:lang w:val="es-CO" w:eastAsia="en-US"/>
        </w:rPr>
      </w:pPr>
    </w:p>
    <w:p w:rsidR="00937767" w:rsidRPr="004D34E2" w:rsidRDefault="00937767" w:rsidP="00937767">
      <w:pPr>
        <w:ind w:left="-142" w:right="-518"/>
        <w:jc w:val="both"/>
        <w:rPr>
          <w:rFonts w:ascii="Arial" w:hAnsi="Arial" w:cs="Arial"/>
        </w:rPr>
      </w:pPr>
      <w:bookmarkStart w:id="1" w:name="_Hlk133571757"/>
      <w:r w:rsidRPr="004D34E2">
        <w:rPr>
          <w:rFonts w:ascii="Arial" w:hAnsi="Arial" w:cs="Arial"/>
        </w:rPr>
        <w:t>El Referente Teórico y Metodológico de la Regulación Contable Pública sirve a la CGN para definir el alcance del RCP y desarrollar este instrumento de normalización y regulación de la contabilidad pública, en el contexto de la convergencia hacia estándares internacionales de información financiera. Este Referente se incorpora al Régimen de Contabilidad Pública - RCP mediante la Resolución 628 de 2015, y se modifica con la Resolución 456 de 2017</w:t>
      </w:r>
      <w:bookmarkEnd w:id="1"/>
      <w:r w:rsidRPr="004D34E2">
        <w:rPr>
          <w:rFonts w:ascii="Arial" w:hAnsi="Arial" w:cs="Arial"/>
        </w:rPr>
        <w:t>.</w:t>
      </w:r>
    </w:p>
    <w:p w:rsidR="00937767" w:rsidRPr="004D34E2" w:rsidRDefault="00937767" w:rsidP="00937767">
      <w:pPr>
        <w:ind w:left="-142" w:right="-518"/>
        <w:jc w:val="both"/>
        <w:rPr>
          <w:rFonts w:ascii="Arial" w:hAnsi="Arial" w:cs="Arial"/>
        </w:rPr>
      </w:pPr>
    </w:p>
    <w:p w:rsidR="00937767" w:rsidRPr="004D34E2" w:rsidRDefault="00937767" w:rsidP="00D17C23">
      <w:pPr>
        <w:pStyle w:val="Ttulo3"/>
        <w:rPr>
          <w:lang w:eastAsia="es-ES"/>
        </w:rPr>
      </w:pPr>
      <w:bookmarkStart w:id="2" w:name="_Toc135044669"/>
      <w:r w:rsidRPr="004D34E2">
        <w:rPr>
          <w:lang w:eastAsia="es-ES"/>
        </w:rPr>
        <w:t xml:space="preserve">2.2.2.- Resolución 037 del 7 de febrero de 2017 y sus modificaciones. </w:t>
      </w:r>
      <w:r w:rsidRPr="004D34E2">
        <w:t>Marco Normativo para Empresas que Cotizan en el Mercado de Valores, o que Captan o Administran Ahorro del Público</w:t>
      </w:r>
      <w:bookmarkEnd w:id="2"/>
      <w:r w:rsidRPr="004D34E2">
        <w:t xml:space="preserve">. </w:t>
      </w:r>
    </w:p>
    <w:p w:rsidR="00937767" w:rsidRPr="004D34E2" w:rsidRDefault="00937767" w:rsidP="00937767">
      <w:pPr>
        <w:ind w:right="-518"/>
        <w:jc w:val="both"/>
        <w:rPr>
          <w:lang w:val="es-CO"/>
        </w:rPr>
      </w:pPr>
    </w:p>
    <w:p w:rsidR="00937767" w:rsidRPr="004D34E2" w:rsidRDefault="00937767" w:rsidP="00937767">
      <w:pPr>
        <w:ind w:left="-142" w:right="-518"/>
        <w:jc w:val="both"/>
        <w:rPr>
          <w:rFonts w:ascii="Arial" w:hAnsi="Arial" w:cs="Arial"/>
        </w:rPr>
      </w:pPr>
      <w:bookmarkStart w:id="3" w:name="_Hlk133571763"/>
      <w:r w:rsidRPr="004D34E2">
        <w:rPr>
          <w:rFonts w:ascii="Arial" w:hAnsi="Arial" w:cs="Arial"/>
        </w:rPr>
        <w:t>El Marco Normativo para Empresas que Cotizan en el Mercado de Valores, o que Captan o Administran Ahorro del Público es aplicable a las empresas que se encuentran bajo el ámbito del RCP y a los negocios fiduciarios de empresas públicas que se relacionan a continuación, siempre que estas se consideren negocio en marcha</w:t>
      </w:r>
      <w:bookmarkEnd w:id="3"/>
      <w:r w:rsidRPr="004D34E2">
        <w:rPr>
          <w:rFonts w:ascii="Arial" w:hAnsi="Arial" w:cs="Arial"/>
        </w:rPr>
        <w:t>:</w:t>
      </w:r>
    </w:p>
    <w:p w:rsidR="00937767" w:rsidRPr="004D34E2" w:rsidRDefault="00937767" w:rsidP="00937767">
      <w:pPr>
        <w:jc w:val="both"/>
        <w:rPr>
          <w:rFonts w:ascii="Arial" w:hAnsi="Arial" w:cs="Arial"/>
        </w:rPr>
      </w:pPr>
    </w:p>
    <w:p w:rsidR="00937767" w:rsidRPr="004D34E2" w:rsidRDefault="00937767" w:rsidP="00937767">
      <w:pPr>
        <w:pStyle w:val="Textoindependiente"/>
        <w:widowControl/>
        <w:numPr>
          <w:ilvl w:val="0"/>
          <w:numId w:val="5"/>
        </w:numPr>
        <w:autoSpaceDE/>
        <w:autoSpaceDN/>
        <w:ind w:right="-518"/>
        <w:jc w:val="both"/>
        <w:rPr>
          <w:rFonts w:ascii="Arial" w:hAnsi="Arial" w:cs="Arial"/>
          <w:sz w:val="24"/>
          <w:lang w:val="es-CO"/>
        </w:rPr>
      </w:pPr>
      <w:r w:rsidRPr="004D34E2">
        <w:rPr>
          <w:rFonts w:ascii="Arial" w:hAnsi="Arial" w:cs="Arial"/>
          <w:sz w:val="24"/>
          <w:lang w:val="es-CO"/>
        </w:rPr>
        <w:t>Empresas que sean emisoras de valores y cuyos valores se encuentren inscritos en el Registro Nacional de Valores y Emisores (RNVE).</w:t>
      </w:r>
    </w:p>
    <w:p w:rsidR="00937767" w:rsidRPr="004D34E2" w:rsidRDefault="00937767" w:rsidP="00937767">
      <w:pPr>
        <w:pStyle w:val="Textoindependiente"/>
        <w:widowControl/>
        <w:numPr>
          <w:ilvl w:val="0"/>
          <w:numId w:val="5"/>
        </w:numPr>
        <w:autoSpaceDE/>
        <w:autoSpaceDN/>
        <w:ind w:right="-518"/>
        <w:jc w:val="both"/>
        <w:rPr>
          <w:rFonts w:ascii="Arial" w:hAnsi="Arial" w:cs="Arial"/>
          <w:sz w:val="24"/>
          <w:lang w:val="es-CO"/>
        </w:rPr>
      </w:pPr>
      <w:r w:rsidRPr="004D34E2">
        <w:rPr>
          <w:rFonts w:ascii="Arial" w:hAnsi="Arial" w:cs="Arial"/>
          <w:sz w:val="24"/>
          <w:lang w:val="es-CO"/>
        </w:rPr>
        <w:t>Empresas que hagan parte de un grupo económico cuya matriz sea emisora de valores y esta tenga sus valores inscritos en el RNVE.</w:t>
      </w:r>
    </w:p>
    <w:p w:rsidR="00937767" w:rsidRPr="004D34E2" w:rsidRDefault="00937767" w:rsidP="00937767">
      <w:pPr>
        <w:pStyle w:val="Textoindependiente"/>
        <w:widowControl/>
        <w:numPr>
          <w:ilvl w:val="0"/>
          <w:numId w:val="5"/>
        </w:numPr>
        <w:autoSpaceDE/>
        <w:autoSpaceDN/>
        <w:ind w:right="-518"/>
        <w:jc w:val="both"/>
        <w:rPr>
          <w:rFonts w:ascii="Arial" w:hAnsi="Arial" w:cs="Arial"/>
          <w:sz w:val="24"/>
          <w:lang w:val="es-CO"/>
        </w:rPr>
      </w:pPr>
      <w:r w:rsidRPr="004D34E2">
        <w:rPr>
          <w:rFonts w:ascii="Arial" w:hAnsi="Arial" w:cs="Arial"/>
          <w:sz w:val="24"/>
          <w:lang w:val="es-CO"/>
        </w:rPr>
        <w:t>Sociedades fiduciarias.</w:t>
      </w:r>
    </w:p>
    <w:p w:rsidR="00937767" w:rsidRPr="004D34E2" w:rsidRDefault="00937767" w:rsidP="00937767">
      <w:pPr>
        <w:pStyle w:val="Textoindependiente"/>
        <w:widowControl/>
        <w:numPr>
          <w:ilvl w:val="0"/>
          <w:numId w:val="5"/>
        </w:numPr>
        <w:autoSpaceDE/>
        <w:autoSpaceDN/>
        <w:ind w:right="-518"/>
        <w:jc w:val="both"/>
        <w:rPr>
          <w:rFonts w:ascii="Arial" w:hAnsi="Arial" w:cs="Arial"/>
          <w:sz w:val="24"/>
          <w:lang w:val="es-CO"/>
        </w:rPr>
      </w:pPr>
      <w:r w:rsidRPr="004D34E2">
        <w:rPr>
          <w:rFonts w:ascii="Arial" w:hAnsi="Arial" w:cs="Arial"/>
          <w:sz w:val="24"/>
          <w:lang w:val="es-CO"/>
        </w:rPr>
        <w:t>Negocios fiduciarios cuyo fideicomitente sea una empresa pública que cumpla las condiciones establecidas en los literales a), b), f), g) y h).</w:t>
      </w:r>
    </w:p>
    <w:p w:rsidR="00937767" w:rsidRPr="004D34E2" w:rsidRDefault="00937767" w:rsidP="00937767">
      <w:pPr>
        <w:pStyle w:val="Textoindependiente"/>
        <w:widowControl/>
        <w:numPr>
          <w:ilvl w:val="0"/>
          <w:numId w:val="5"/>
        </w:numPr>
        <w:autoSpaceDE/>
        <w:autoSpaceDN/>
        <w:ind w:right="-518"/>
        <w:jc w:val="both"/>
        <w:rPr>
          <w:rFonts w:ascii="Arial" w:hAnsi="Arial" w:cs="Arial"/>
          <w:sz w:val="24"/>
          <w:lang w:val="es-CO"/>
        </w:rPr>
      </w:pPr>
      <w:r w:rsidRPr="004D34E2">
        <w:rPr>
          <w:rFonts w:ascii="Arial" w:hAnsi="Arial" w:cs="Arial"/>
          <w:sz w:val="24"/>
          <w:lang w:val="es-CO"/>
        </w:rPr>
        <w:t>Negocios fiduciarios cuyos títulos estén inscritos en el RNVE y su fideicomitente sea, directa o indirectamente, una o más empresas públicas.</w:t>
      </w:r>
    </w:p>
    <w:p w:rsidR="00937767" w:rsidRPr="004D34E2" w:rsidRDefault="00937767" w:rsidP="00937767">
      <w:pPr>
        <w:pStyle w:val="Textoindependiente"/>
        <w:widowControl/>
        <w:numPr>
          <w:ilvl w:val="0"/>
          <w:numId w:val="5"/>
        </w:numPr>
        <w:autoSpaceDE/>
        <w:autoSpaceDN/>
        <w:ind w:right="-518"/>
        <w:jc w:val="both"/>
        <w:rPr>
          <w:rFonts w:ascii="Arial" w:hAnsi="Arial" w:cs="Arial"/>
          <w:sz w:val="24"/>
          <w:lang w:val="es-CO"/>
        </w:rPr>
      </w:pPr>
      <w:r w:rsidRPr="004D34E2">
        <w:rPr>
          <w:rFonts w:ascii="Arial" w:hAnsi="Arial" w:cs="Arial"/>
          <w:sz w:val="24"/>
          <w:lang w:val="es-CO"/>
        </w:rPr>
        <w:t>Establecimientos bancarios y entidades aseguradoras.</w:t>
      </w:r>
    </w:p>
    <w:p w:rsidR="00937767" w:rsidRPr="004D34E2" w:rsidRDefault="00937767" w:rsidP="00937767">
      <w:pPr>
        <w:pStyle w:val="Textoindependiente"/>
        <w:widowControl/>
        <w:numPr>
          <w:ilvl w:val="0"/>
          <w:numId w:val="5"/>
        </w:numPr>
        <w:autoSpaceDE/>
        <w:autoSpaceDN/>
        <w:ind w:right="-518"/>
        <w:jc w:val="both"/>
        <w:rPr>
          <w:rFonts w:ascii="Arial" w:hAnsi="Arial" w:cs="Arial"/>
          <w:sz w:val="24"/>
          <w:lang w:val="es-CO"/>
        </w:rPr>
      </w:pPr>
      <w:r w:rsidRPr="004D34E2">
        <w:rPr>
          <w:rFonts w:ascii="Arial" w:hAnsi="Arial" w:cs="Arial"/>
          <w:sz w:val="24"/>
          <w:lang w:val="es-CO"/>
        </w:rPr>
        <w:t>Fondos de garantías y entidades financieras con regímenes especiales, sean o no emisores de valores.</w:t>
      </w:r>
    </w:p>
    <w:p w:rsidR="00937767" w:rsidRPr="004D34E2" w:rsidRDefault="00937767" w:rsidP="00937767">
      <w:pPr>
        <w:pStyle w:val="Textoindependiente"/>
        <w:widowControl/>
        <w:numPr>
          <w:ilvl w:val="0"/>
          <w:numId w:val="5"/>
        </w:numPr>
        <w:autoSpaceDE/>
        <w:autoSpaceDN/>
        <w:jc w:val="both"/>
        <w:rPr>
          <w:rFonts w:ascii="Arial" w:hAnsi="Arial" w:cs="Arial"/>
          <w:sz w:val="24"/>
          <w:lang w:val="es-CO"/>
        </w:rPr>
      </w:pPr>
      <w:r w:rsidRPr="004D34E2">
        <w:rPr>
          <w:rFonts w:ascii="Arial" w:hAnsi="Arial" w:cs="Arial"/>
          <w:sz w:val="24"/>
          <w:lang w:val="es-CO"/>
        </w:rPr>
        <w:t>Banco de la República.</w:t>
      </w:r>
    </w:p>
    <w:p w:rsidR="00937767" w:rsidRPr="004D34E2" w:rsidRDefault="00937767" w:rsidP="00937767">
      <w:pPr>
        <w:pStyle w:val="Textoindependiente"/>
        <w:widowControl/>
        <w:autoSpaceDE/>
        <w:autoSpaceDN/>
        <w:ind w:left="720"/>
        <w:jc w:val="both"/>
        <w:rPr>
          <w:rFonts w:ascii="Arial" w:hAnsi="Arial" w:cs="Arial"/>
          <w:sz w:val="24"/>
          <w:lang w:val="es-CO"/>
        </w:rPr>
      </w:pPr>
    </w:p>
    <w:p w:rsidR="00937767" w:rsidRPr="004D34E2" w:rsidRDefault="00937767" w:rsidP="00D17C23">
      <w:pPr>
        <w:pStyle w:val="Ttulo3"/>
      </w:pPr>
      <w:bookmarkStart w:id="4" w:name="_Toc135044670"/>
      <w:r w:rsidRPr="004D34E2">
        <w:rPr>
          <w:lang w:eastAsia="es-ES"/>
        </w:rPr>
        <w:t xml:space="preserve">2.2.3.- Resolución 414 de 2014 y sus modificaciones. </w:t>
      </w:r>
      <w:r w:rsidRPr="004D34E2">
        <w:t>Marco Normativo para Empresas que no Cotizan en el Mercado de Valores, y que no Captan ni Administran Ahorro del Público</w:t>
      </w:r>
      <w:bookmarkEnd w:id="4"/>
      <w:r w:rsidRPr="004D34E2">
        <w:t xml:space="preserve">. </w:t>
      </w:r>
    </w:p>
    <w:p w:rsidR="00937767" w:rsidRPr="004D34E2" w:rsidRDefault="00937767" w:rsidP="00937767">
      <w:pPr>
        <w:jc w:val="both"/>
        <w:rPr>
          <w:rFonts w:ascii="Arial" w:hAnsi="Arial" w:cs="Arial"/>
        </w:rPr>
      </w:pPr>
      <w:bookmarkStart w:id="5" w:name="_Hlk133571821"/>
    </w:p>
    <w:p w:rsidR="00937767" w:rsidRPr="004D34E2" w:rsidRDefault="00937767" w:rsidP="00937767">
      <w:pPr>
        <w:ind w:left="-142" w:right="-518"/>
        <w:jc w:val="both"/>
        <w:rPr>
          <w:rFonts w:ascii="Arial" w:hAnsi="Arial" w:cs="Arial"/>
        </w:rPr>
      </w:pPr>
      <w:r w:rsidRPr="004D34E2">
        <w:rPr>
          <w:rFonts w:ascii="Arial" w:hAnsi="Arial" w:cs="Arial"/>
        </w:rPr>
        <w:t>El Marco Normativo para Empresas que no Cotizan en el Mercado de Valores, y que no Captan ni Administran Ahorro del Público es aplicable a las empresas que se encuentran bajo el ámbito del RCP, que se consideran negocio en marcha, que no cotizan en el mercado de valores, que no captan ni administran ahorro del público y que, de acuerdo con la función económica que cumplen, se clasifican como empresa.</w:t>
      </w:r>
    </w:p>
    <w:p w:rsidR="00937767" w:rsidRPr="004D34E2" w:rsidRDefault="00937767" w:rsidP="00937767">
      <w:pPr>
        <w:jc w:val="both"/>
        <w:rPr>
          <w:rFonts w:ascii="Arial" w:hAnsi="Arial" w:cs="Arial"/>
        </w:rPr>
      </w:pPr>
    </w:p>
    <w:p w:rsidR="00937767" w:rsidRPr="004D34E2" w:rsidRDefault="00937767" w:rsidP="00D17C23">
      <w:pPr>
        <w:pStyle w:val="Ttulo3"/>
        <w:ind w:right="-519"/>
      </w:pPr>
      <w:bookmarkStart w:id="6" w:name="_Toc135044671"/>
      <w:bookmarkEnd w:id="5"/>
      <w:r w:rsidRPr="004D34E2">
        <w:lastRenderedPageBreak/>
        <w:t xml:space="preserve">2.2.4.- Resolución 533 de 2015 y sus modificaciones. </w:t>
      </w:r>
      <w:r w:rsidRPr="004D34E2">
        <w:rPr>
          <w:u w:val="single"/>
        </w:rPr>
        <w:t>Marco Normativo para Entidades de Gobierno</w:t>
      </w:r>
      <w:bookmarkEnd w:id="6"/>
      <w:r w:rsidRPr="004D34E2">
        <w:t xml:space="preserve">. </w:t>
      </w:r>
      <w:bookmarkStart w:id="7" w:name="_Hlk133571848"/>
      <w:r w:rsidRPr="004D34E2">
        <w:t>El Marco Normativo para Entidades de Gobierno es aplicable a las entidades que se encuentran bajo el ámbito del RCP, que se consideran entidades en marcha y que, según su función económica, se clasifican como entidades de gobierno.</w:t>
      </w:r>
    </w:p>
    <w:p w:rsidR="00937767" w:rsidRPr="004D34E2" w:rsidRDefault="00937767" w:rsidP="00D17C23">
      <w:pPr>
        <w:ind w:right="-519"/>
        <w:jc w:val="both"/>
        <w:rPr>
          <w:rFonts w:ascii="Arial" w:hAnsi="Arial" w:cs="Arial"/>
        </w:rPr>
      </w:pPr>
    </w:p>
    <w:p w:rsidR="00937767" w:rsidRPr="004D34E2" w:rsidRDefault="00937767" w:rsidP="00D17C23">
      <w:pPr>
        <w:pStyle w:val="Ttulo3"/>
        <w:ind w:right="-519"/>
      </w:pPr>
      <w:bookmarkStart w:id="8" w:name="_Toc135044672"/>
      <w:bookmarkEnd w:id="7"/>
      <w:r w:rsidRPr="004D34E2">
        <w:rPr>
          <w:lang w:eastAsia="es-ES"/>
        </w:rPr>
        <w:t>2.2.5.- Resolución 461 de 2017 y sus modificaciones</w:t>
      </w:r>
      <w:r w:rsidRPr="004D34E2">
        <w:t xml:space="preserve">. El Marco conceptual y las normas se modificaron mediante la resolución 220 de 2020. </w:t>
      </w:r>
      <w:r w:rsidRPr="004D34E2">
        <w:rPr>
          <w:u w:val="single"/>
        </w:rPr>
        <w:t>Marco Normativo para Entidades en Liquidación</w:t>
      </w:r>
      <w:bookmarkEnd w:id="8"/>
      <w:r w:rsidRPr="004D34E2">
        <w:rPr>
          <w:u w:val="single"/>
        </w:rPr>
        <w:t>.</w:t>
      </w:r>
      <w:r w:rsidRPr="004D34E2">
        <w:t xml:space="preserve"> </w:t>
      </w:r>
    </w:p>
    <w:p w:rsidR="00937767" w:rsidRPr="004D34E2" w:rsidRDefault="00937767" w:rsidP="00937767">
      <w:pPr>
        <w:jc w:val="both"/>
        <w:rPr>
          <w:rFonts w:ascii="Arial" w:hAnsi="Arial" w:cs="Arial"/>
        </w:rPr>
      </w:pPr>
    </w:p>
    <w:p w:rsidR="00937767" w:rsidRPr="004D34E2" w:rsidRDefault="00937767" w:rsidP="00937767">
      <w:pPr>
        <w:ind w:left="-142" w:right="-518"/>
        <w:jc w:val="both"/>
        <w:rPr>
          <w:rFonts w:ascii="Arial" w:hAnsi="Arial" w:cs="Arial"/>
        </w:rPr>
      </w:pPr>
      <w:r w:rsidRPr="004D34E2">
        <w:rPr>
          <w:rFonts w:ascii="Arial" w:hAnsi="Arial" w:cs="Arial"/>
        </w:rPr>
        <w:t>El Marco Normativo para Entidades en Liquidación es aplicable a las entidades que se encuentran bajo el ámbito del RCP sobre las cuales exista un acto que ordene su supresión o disolución con fines de liquidación.</w:t>
      </w:r>
    </w:p>
    <w:p w:rsidR="00937767" w:rsidRPr="004D34E2" w:rsidRDefault="00937767" w:rsidP="00937767">
      <w:pPr>
        <w:ind w:left="-142" w:right="-518"/>
        <w:jc w:val="both"/>
        <w:rPr>
          <w:rFonts w:ascii="Arial" w:hAnsi="Arial" w:cs="Arial"/>
        </w:rPr>
      </w:pPr>
    </w:p>
    <w:p w:rsidR="00937767" w:rsidRPr="004D34E2" w:rsidRDefault="00937767" w:rsidP="00D17C23">
      <w:pPr>
        <w:pStyle w:val="Ttulo3"/>
      </w:pPr>
      <w:bookmarkStart w:id="9" w:name="_Toc166618710"/>
      <w:r w:rsidRPr="004D34E2">
        <w:t>2.2.7.- Procedimientos transversales</w:t>
      </w:r>
      <w:bookmarkEnd w:id="9"/>
      <w:r w:rsidRPr="004D34E2">
        <w:t>,</w:t>
      </w:r>
    </w:p>
    <w:p w:rsidR="00937767" w:rsidRPr="004D34E2" w:rsidRDefault="00937767" w:rsidP="00937767">
      <w:pPr>
        <w:rPr>
          <w:lang w:eastAsia="es-CO"/>
        </w:rPr>
      </w:pPr>
    </w:p>
    <w:p w:rsidR="00937767" w:rsidRPr="004D34E2" w:rsidRDefault="00937767" w:rsidP="00937767">
      <w:pPr>
        <w:ind w:left="-142" w:right="-518"/>
        <w:jc w:val="both"/>
        <w:rPr>
          <w:rFonts w:ascii="Arial" w:hAnsi="Arial" w:cs="Arial"/>
          <w:lang w:eastAsia="es-CO"/>
        </w:rPr>
      </w:pPr>
      <w:r w:rsidRPr="004D34E2">
        <w:rPr>
          <w:rFonts w:ascii="Arial" w:hAnsi="Arial" w:cs="Arial"/>
          <w:lang w:eastAsia="es-CO"/>
        </w:rPr>
        <w:t>Los procedimientos transversales regulan aspectos que contribuyen a la administración, salvaguarda y calidad de la información, así como otros aspectos que no son abordados por los marcos normativos.</w:t>
      </w:r>
    </w:p>
    <w:p w:rsidR="00937767" w:rsidRPr="004D34E2" w:rsidRDefault="00937767" w:rsidP="00937767">
      <w:pPr>
        <w:ind w:left="-142" w:right="-518"/>
        <w:jc w:val="both"/>
        <w:rPr>
          <w:rFonts w:ascii="Arial" w:hAnsi="Arial" w:cs="Arial"/>
          <w:lang w:eastAsia="es-CO"/>
        </w:rPr>
      </w:pPr>
    </w:p>
    <w:p w:rsidR="00937767" w:rsidRPr="004D34E2" w:rsidRDefault="00937767" w:rsidP="00937767">
      <w:pPr>
        <w:ind w:left="-142" w:right="-518"/>
        <w:jc w:val="both"/>
        <w:rPr>
          <w:rFonts w:ascii="Arial" w:hAnsi="Arial" w:cs="Arial"/>
          <w:lang w:eastAsia="es-CO"/>
        </w:rPr>
      </w:pPr>
      <w:r w:rsidRPr="004D34E2">
        <w:rPr>
          <w:rFonts w:ascii="Arial" w:hAnsi="Arial" w:cs="Arial"/>
          <w:lang w:eastAsia="es-CO"/>
        </w:rPr>
        <w:t>Los procedimientos transversales que se ha expedido son los siguientes: Evaluación del control interno contable (Resolución 193 de 2016); Agregación de información, diligenciamiento y envío de los reportes de la categoría información contable pública – convergencia a la CGN, a través del CHIP (Resoluciones 159 de 2019, 193 y 194 de 2020); Procedimiento para la preparación, presentación y publicación de los informes financieros y contables (Resoluciones 356 de 2022 y 261 de 2023); y Elaboración del informe contable cuando se produzca cambio de representante legal (Resolución 172 de 2023).</w:t>
      </w:r>
    </w:p>
    <w:p w:rsidR="00937767" w:rsidRPr="004D34E2" w:rsidRDefault="00937767" w:rsidP="00937767">
      <w:pPr>
        <w:ind w:left="-142" w:right="-518"/>
        <w:jc w:val="both"/>
        <w:rPr>
          <w:rFonts w:ascii="Arial" w:hAnsi="Arial" w:cs="Arial"/>
        </w:rPr>
      </w:pPr>
    </w:p>
    <w:p w:rsidR="00937767" w:rsidRPr="004D34E2" w:rsidRDefault="00937767" w:rsidP="00D17C23">
      <w:pPr>
        <w:pStyle w:val="Ttulo3"/>
      </w:pPr>
      <w:r w:rsidRPr="004D34E2">
        <w:t>2.4.2.- El proceso de consolidación.</w:t>
      </w:r>
    </w:p>
    <w:p w:rsidR="00937767" w:rsidRPr="004D34E2" w:rsidRDefault="00937767" w:rsidP="00937767">
      <w:pPr>
        <w:jc w:val="both"/>
        <w:rPr>
          <w:rFonts w:ascii="Arial" w:hAnsi="Arial" w:cs="Arial"/>
          <w:b/>
        </w:rPr>
      </w:pPr>
    </w:p>
    <w:p w:rsidR="00937767" w:rsidRPr="004D34E2" w:rsidRDefault="00937767" w:rsidP="00937767">
      <w:pPr>
        <w:ind w:left="-142" w:right="-518"/>
        <w:jc w:val="both"/>
        <w:rPr>
          <w:rFonts w:ascii="Arial" w:hAnsi="Arial" w:cs="Arial"/>
        </w:rPr>
      </w:pPr>
      <w:r w:rsidRPr="004D34E2">
        <w:rPr>
          <w:rFonts w:ascii="Arial" w:hAnsi="Arial" w:cs="Arial"/>
        </w:rPr>
        <w:t xml:space="preserve">La consolidación contable es un proceso sistémico, configurado para disponer de unos elementos de entrada, un procesamiento de la información y unas salidas o productos generados. </w:t>
      </w:r>
    </w:p>
    <w:p w:rsidR="00937767" w:rsidRPr="004D34E2" w:rsidRDefault="00937767" w:rsidP="00937767">
      <w:pPr>
        <w:ind w:left="-142" w:right="-518"/>
        <w:jc w:val="both"/>
        <w:rPr>
          <w:rFonts w:ascii="Arial" w:hAnsi="Arial" w:cs="Arial"/>
        </w:rPr>
      </w:pPr>
    </w:p>
    <w:p w:rsidR="00937767" w:rsidRPr="004D34E2" w:rsidRDefault="00937767" w:rsidP="00937767">
      <w:pPr>
        <w:ind w:left="-142" w:right="-518"/>
        <w:jc w:val="both"/>
        <w:rPr>
          <w:rFonts w:ascii="Arial" w:hAnsi="Arial" w:cs="Arial"/>
        </w:rPr>
      </w:pPr>
      <w:r w:rsidRPr="004D34E2">
        <w:rPr>
          <w:rFonts w:ascii="Arial" w:hAnsi="Arial" w:cs="Arial"/>
        </w:rPr>
        <w:t>El Manual Funcional del Proceso de Consolidación, es el documento oficial de la CGN que define cómo se ejecuta el proceso, en el cual se detallan las actividades a realizar, las reglas técnicas de ejecución del proceso, su secuencia y los informes básicos que se generan como resultado del proceso. Este manual contiene las especificaciones y requisitos del proceso, define los diferentes algoritmos o funcionalidades a ejecutar a través del Sistema CHIP consolidación.</w:t>
      </w:r>
    </w:p>
    <w:p w:rsidR="00937767" w:rsidRPr="004D34E2" w:rsidRDefault="00937767" w:rsidP="00937767">
      <w:pPr>
        <w:ind w:left="-142" w:right="-518"/>
        <w:jc w:val="both"/>
        <w:rPr>
          <w:rFonts w:ascii="Arial" w:hAnsi="Arial" w:cs="Arial"/>
        </w:rPr>
      </w:pPr>
    </w:p>
    <w:p w:rsidR="00937767" w:rsidRPr="004D34E2" w:rsidRDefault="00937767" w:rsidP="00937767">
      <w:pPr>
        <w:ind w:left="-142" w:right="-518"/>
        <w:jc w:val="both"/>
        <w:rPr>
          <w:rFonts w:ascii="Arial" w:hAnsi="Arial" w:cs="Arial"/>
        </w:rPr>
      </w:pPr>
      <w:r w:rsidRPr="004D34E2">
        <w:rPr>
          <w:rFonts w:ascii="Arial" w:hAnsi="Arial" w:cs="Arial"/>
        </w:rPr>
        <w:t xml:space="preserve">Las entradas al proceso se clasifican en fuentes externas e internas. Las fuentes externas corresponden en su orden a: 1) Catálogo General de Cuentas, como herramienta utilizada para el registro y reporte de información financiera, que contiene los códigos y conceptos utilizados por las entidades en aplicación de la normatividad contable específica; 2) Información Contable </w:t>
      </w:r>
      <w:r w:rsidRPr="004D34E2">
        <w:rPr>
          <w:rFonts w:ascii="Arial" w:hAnsi="Arial" w:cs="Arial"/>
        </w:rPr>
        <w:lastRenderedPageBreak/>
        <w:t>Básica que preparan y reportan cada una de las entidades que conforman el sector público; 3) Aplicativo CHIP - WEB, software a través del cual las entidades realizan el envío de la información contable básica a la CGN, y a través del cual se realiza el proceso de consolidación.</w:t>
      </w:r>
    </w:p>
    <w:p w:rsidR="00937767" w:rsidRPr="004D34E2" w:rsidRDefault="00937767" w:rsidP="00937767">
      <w:pPr>
        <w:ind w:left="-142" w:right="-518"/>
        <w:jc w:val="both"/>
        <w:rPr>
          <w:rFonts w:ascii="Arial" w:hAnsi="Arial" w:cs="Arial"/>
        </w:rPr>
      </w:pPr>
    </w:p>
    <w:p w:rsidR="00937767" w:rsidRPr="004D34E2" w:rsidRDefault="00937767" w:rsidP="00937767">
      <w:pPr>
        <w:ind w:left="-142" w:right="-518"/>
        <w:jc w:val="both"/>
        <w:rPr>
          <w:rFonts w:ascii="Arial" w:hAnsi="Arial" w:cs="Arial"/>
          <w:b/>
        </w:rPr>
      </w:pPr>
      <w:r w:rsidRPr="004D34E2">
        <w:rPr>
          <w:rFonts w:ascii="Arial" w:hAnsi="Arial" w:cs="Arial"/>
          <w:b/>
        </w:rPr>
        <w:t xml:space="preserve">El siguiente diagrama ilustra el proceso de consolidación de la información contable pública: </w:t>
      </w:r>
    </w:p>
    <w:p w:rsidR="00937767" w:rsidRPr="004D34E2" w:rsidRDefault="00937767" w:rsidP="00937767">
      <w:pPr>
        <w:ind w:left="-142" w:right="-518"/>
        <w:jc w:val="center"/>
        <w:rPr>
          <w:rFonts w:ascii="Arial" w:hAnsi="Arial" w:cs="Arial"/>
          <w:b/>
          <w:lang w:val="es-CO"/>
        </w:rPr>
      </w:pPr>
    </w:p>
    <w:p w:rsidR="00937767" w:rsidRPr="004D34E2" w:rsidRDefault="00937767" w:rsidP="00937767">
      <w:pPr>
        <w:ind w:left="-142" w:right="-518"/>
        <w:jc w:val="center"/>
        <w:rPr>
          <w:rFonts w:ascii="Arial" w:hAnsi="Arial" w:cs="Arial"/>
          <w:b/>
          <w:lang w:val="es-CO"/>
        </w:rPr>
      </w:pPr>
      <w:r w:rsidRPr="004D34E2">
        <w:rPr>
          <w:rFonts w:ascii="Arial" w:hAnsi="Arial" w:cs="Arial"/>
          <w:b/>
          <w:lang w:val="es-CO"/>
        </w:rPr>
        <w:t>Gráfico 2-1 Consolidación de la información</w:t>
      </w:r>
    </w:p>
    <w:p w:rsidR="00937767" w:rsidRPr="004D34E2" w:rsidRDefault="00937767" w:rsidP="00937767">
      <w:pPr>
        <w:ind w:left="-142" w:right="-518"/>
        <w:jc w:val="center"/>
        <w:rPr>
          <w:rFonts w:ascii="Arial" w:hAnsi="Arial" w:cs="Arial"/>
          <w:b/>
          <w:lang w:val="es-CO"/>
        </w:rPr>
      </w:pPr>
    </w:p>
    <w:p w:rsidR="00937767" w:rsidRPr="004D34E2" w:rsidRDefault="00937767" w:rsidP="00937767">
      <w:pPr>
        <w:ind w:left="-142" w:right="-518"/>
        <w:jc w:val="center"/>
        <w:rPr>
          <w:rFonts w:ascii="Arial" w:hAnsi="Arial" w:cs="Arial"/>
          <w:b/>
          <w:lang w:val="es-CO"/>
        </w:rPr>
      </w:pPr>
      <w:r w:rsidRPr="004D34E2">
        <w:rPr>
          <w:rFonts w:cs="Tahoma"/>
          <w:noProof/>
          <w:lang w:val="es-CO" w:eastAsia="es-CO"/>
        </w:rPr>
        <w:drawing>
          <wp:inline distT="0" distB="0" distL="0" distR="0" wp14:anchorId="60BDEF7B" wp14:editId="7199220A">
            <wp:extent cx="5860669" cy="3198495"/>
            <wp:effectExtent l="0" t="0" r="6985" b="1905"/>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2855"/>
                    <a:stretch/>
                  </pic:blipFill>
                  <pic:spPr bwMode="auto">
                    <a:xfrm>
                      <a:off x="0" y="0"/>
                      <a:ext cx="5860415" cy="3198495"/>
                    </a:xfrm>
                    <a:prstGeom prst="rect">
                      <a:avLst/>
                    </a:prstGeom>
                    <a:ln>
                      <a:noFill/>
                    </a:ln>
                  </pic:spPr>
                </pic:pic>
              </a:graphicData>
            </a:graphic>
          </wp:inline>
        </w:drawing>
      </w: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937767">
      <w:pPr>
        <w:ind w:left="-142" w:right="-518"/>
        <w:jc w:val="both"/>
        <w:rPr>
          <w:rFonts w:ascii="Arial" w:hAnsi="Arial" w:cs="Arial"/>
        </w:rPr>
      </w:pPr>
      <w:r w:rsidRPr="004D34E2">
        <w:rPr>
          <w:rFonts w:ascii="Arial" w:hAnsi="Arial" w:cs="Arial"/>
        </w:rPr>
        <w:t>Por otra parte, las fuentes internas corresponden a las actividades que deben realizarse en la CGN, especialmente en el aplicativo CHIP, para asegurar la recepción de la información, su clasificación y el procesamiento posterior de la misma. Estas fuentes internas corresponden a: 1) Parametrización de la categoría información contable pública convergencia, 2) Definición de atributos extensibles de entidades, 3) Definición del catálogo de cuentas de consolidación, 4) Definición de los parámetros de consolidación y 5) Estructuración y mantenimiento de reglas de eliminación.</w:t>
      </w:r>
    </w:p>
    <w:p w:rsidR="00937767" w:rsidRPr="004D34E2" w:rsidRDefault="00937767" w:rsidP="00937767">
      <w:pPr>
        <w:ind w:left="-142" w:right="-518"/>
        <w:jc w:val="both"/>
        <w:rPr>
          <w:rFonts w:ascii="Arial" w:hAnsi="Arial" w:cs="Arial"/>
        </w:rPr>
      </w:pPr>
    </w:p>
    <w:p w:rsidR="00937767" w:rsidRPr="004D34E2" w:rsidRDefault="00937767" w:rsidP="00937767">
      <w:pPr>
        <w:ind w:left="-142" w:right="-518"/>
        <w:jc w:val="both"/>
        <w:rPr>
          <w:rFonts w:ascii="Arial" w:hAnsi="Arial" w:cs="Arial"/>
        </w:rPr>
      </w:pPr>
      <w:r w:rsidRPr="004D34E2">
        <w:rPr>
          <w:rFonts w:ascii="Arial" w:hAnsi="Arial" w:cs="Arial"/>
        </w:rPr>
        <w:t xml:space="preserve">El procesamiento se refiere a las funcionalidades técnicas incorporadas al aplicativo CHIP consolidación, definidas en forma secuencial para adelantar el proceso de consolidación, las cuales están suficientemente descritas en el Manual funcional del proceso de consolidación y se encuentran a disposición de los interesados y de organismos o instancias auditoras. Estas funcionalidades son: 1) Agregación de saldos; 2) Reversión del cierre y resultados reportados; 3) Agregación de operaciones recíprocas; 4) Estimación y generación de operaciones recíprocas; 5) Eliminación Inversión/patrimonio y Ajuste saldos método de participación; 6) Aplicación regla general de conciliación y ajustes; 7) Cálculo y registro de la participación no controladora del patrimonio; 8) Determinación del resultado del ejercicio consolidado; 9) Cálculo </w:t>
      </w:r>
      <w:r w:rsidRPr="004D34E2">
        <w:rPr>
          <w:rFonts w:ascii="Arial" w:hAnsi="Arial" w:cs="Arial"/>
        </w:rPr>
        <w:lastRenderedPageBreak/>
        <w:t>y registro de la participación no controladora en el resultado del ejercicio consolidado; y 10) Determinación de las cifras consolidadas.</w:t>
      </w:r>
    </w:p>
    <w:p w:rsidR="00937767" w:rsidRPr="004D34E2" w:rsidRDefault="00937767" w:rsidP="00937767">
      <w:pPr>
        <w:ind w:left="-142" w:right="-518"/>
        <w:jc w:val="both"/>
        <w:rPr>
          <w:rFonts w:ascii="Arial" w:hAnsi="Arial" w:cs="Arial"/>
        </w:rPr>
      </w:pPr>
    </w:p>
    <w:p w:rsidR="00937767" w:rsidRPr="004D34E2" w:rsidRDefault="00937767" w:rsidP="00937767">
      <w:pPr>
        <w:ind w:left="-142" w:right="-518"/>
        <w:jc w:val="both"/>
        <w:rPr>
          <w:rFonts w:ascii="Arial" w:hAnsi="Arial" w:cs="Arial"/>
        </w:rPr>
      </w:pPr>
      <w:r w:rsidRPr="004D34E2">
        <w:rPr>
          <w:rFonts w:ascii="Arial" w:hAnsi="Arial" w:cs="Arial"/>
        </w:rPr>
        <w:t>Las salidas son el conjunto de reportes que permiten revisar y asegurar la consistencia del proceso y de las cifras consolidadas. Igualmente, el sistema permite consultar la información contable individual de cada entidad pública, su historial de reportes y la información consolidada, para realizar la gestión de valores y conceptos reportados y de saldos por conciliar que el proceso identifica. De la misma manera, el sistema permite la construcción de los Estados Financieros consolidados.</w:t>
      </w:r>
    </w:p>
    <w:p w:rsidR="00937767" w:rsidRPr="004D34E2" w:rsidRDefault="00937767" w:rsidP="00937767">
      <w:pPr>
        <w:ind w:left="-142" w:right="-518"/>
        <w:jc w:val="both"/>
        <w:rPr>
          <w:rFonts w:ascii="Arial" w:hAnsi="Arial" w:cs="Arial"/>
        </w:rPr>
      </w:pPr>
    </w:p>
    <w:p w:rsidR="00937767" w:rsidRPr="004D34E2" w:rsidRDefault="00937767" w:rsidP="00937767">
      <w:pPr>
        <w:ind w:left="-142" w:right="-518"/>
        <w:jc w:val="both"/>
        <w:rPr>
          <w:rFonts w:ascii="Arial" w:hAnsi="Arial" w:cs="Arial"/>
        </w:rPr>
      </w:pPr>
      <w:r w:rsidRPr="004D34E2">
        <w:rPr>
          <w:rFonts w:ascii="Arial" w:hAnsi="Arial" w:cs="Arial"/>
        </w:rPr>
        <w:t>Algunos de estos reportes son: 1) Hoja de Trabajo, 2) Reportes de gestión, entre los que se encuentran los Saldos por conciliar, la Ecuación patrimonial y los Saldos reportados por cuenta; 3) Estados contables consolidados; 4) Publicación de información en la WEB.</w:t>
      </w: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937767">
      <w:pPr>
        <w:ind w:left="-142"/>
        <w:jc w:val="both"/>
        <w:rPr>
          <w:rFonts w:ascii="Arial" w:hAnsi="Arial" w:cs="Arial"/>
          <w:b/>
          <w:bCs/>
          <w:sz w:val="28"/>
          <w:szCs w:val="28"/>
        </w:rPr>
      </w:pPr>
      <w:r w:rsidRPr="004D34E2">
        <w:rPr>
          <w:rFonts w:ascii="Arial" w:hAnsi="Arial" w:cs="Arial"/>
          <w:b/>
          <w:bCs/>
          <w:sz w:val="28"/>
          <w:szCs w:val="28"/>
        </w:rPr>
        <w:t>COBERTURA.</w:t>
      </w: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937767">
      <w:pPr>
        <w:pStyle w:val="Descripcin"/>
        <w:jc w:val="center"/>
        <w:rPr>
          <w:rFonts w:ascii="Arial" w:hAnsi="Arial" w:cs="Arial"/>
          <w:b/>
          <w:color w:val="auto"/>
          <w:sz w:val="22"/>
          <w:szCs w:val="22"/>
        </w:rPr>
      </w:pPr>
      <w:bookmarkStart w:id="10" w:name="_Toc164701988"/>
      <w:bookmarkStart w:id="11" w:name="_Toc166619042"/>
      <w:r w:rsidRPr="004D34E2">
        <w:rPr>
          <w:rFonts w:ascii="Arial" w:hAnsi="Arial" w:cs="Arial"/>
          <w:b/>
          <w:color w:val="auto"/>
          <w:sz w:val="22"/>
          <w:szCs w:val="22"/>
        </w:rPr>
        <w:t xml:space="preserve">Gráfico </w:t>
      </w:r>
      <w:r w:rsidRPr="004D34E2">
        <w:rPr>
          <w:rFonts w:ascii="Arial" w:hAnsi="Arial" w:cs="Arial"/>
          <w:b/>
          <w:color w:val="auto"/>
          <w:sz w:val="22"/>
          <w:szCs w:val="22"/>
        </w:rPr>
        <w:fldChar w:fldCharType="begin"/>
      </w:r>
      <w:r w:rsidRPr="004D34E2">
        <w:rPr>
          <w:rFonts w:ascii="Arial" w:hAnsi="Arial" w:cs="Arial"/>
          <w:b/>
          <w:color w:val="auto"/>
          <w:sz w:val="22"/>
          <w:szCs w:val="22"/>
        </w:rPr>
        <w:instrText xml:space="preserve"> STYLEREF 1 \s </w:instrText>
      </w:r>
      <w:r w:rsidRPr="004D34E2">
        <w:rPr>
          <w:rFonts w:ascii="Arial" w:hAnsi="Arial" w:cs="Arial"/>
          <w:b/>
          <w:color w:val="auto"/>
          <w:sz w:val="22"/>
          <w:szCs w:val="22"/>
        </w:rPr>
        <w:fldChar w:fldCharType="separate"/>
      </w:r>
      <w:r w:rsidRPr="004D34E2">
        <w:rPr>
          <w:rFonts w:ascii="Arial" w:hAnsi="Arial" w:cs="Arial"/>
          <w:b/>
          <w:noProof/>
          <w:color w:val="auto"/>
          <w:sz w:val="22"/>
          <w:szCs w:val="22"/>
        </w:rPr>
        <w:t>4</w:t>
      </w:r>
      <w:r w:rsidRPr="004D34E2">
        <w:rPr>
          <w:rFonts w:ascii="Arial" w:hAnsi="Arial" w:cs="Arial"/>
          <w:b/>
          <w:noProof/>
          <w:color w:val="auto"/>
          <w:sz w:val="22"/>
          <w:szCs w:val="22"/>
        </w:rPr>
        <w:fldChar w:fldCharType="end"/>
      </w:r>
      <w:r w:rsidRPr="004D34E2">
        <w:rPr>
          <w:rFonts w:ascii="Arial" w:hAnsi="Arial" w:cs="Arial"/>
          <w:b/>
          <w:color w:val="auto"/>
          <w:sz w:val="22"/>
          <w:szCs w:val="22"/>
        </w:rPr>
        <w:noBreakHyphen/>
      </w:r>
      <w:r w:rsidRPr="004D34E2">
        <w:rPr>
          <w:rFonts w:ascii="Arial" w:hAnsi="Arial" w:cs="Arial"/>
          <w:b/>
          <w:color w:val="auto"/>
          <w:sz w:val="22"/>
          <w:szCs w:val="22"/>
        </w:rPr>
        <w:fldChar w:fldCharType="begin"/>
      </w:r>
      <w:r w:rsidRPr="004D34E2">
        <w:rPr>
          <w:rFonts w:ascii="Arial" w:hAnsi="Arial" w:cs="Arial"/>
          <w:b/>
          <w:color w:val="auto"/>
          <w:sz w:val="22"/>
          <w:szCs w:val="22"/>
        </w:rPr>
        <w:instrText xml:space="preserve"> SEQ Gráfico \* ARABIC \s 1 </w:instrText>
      </w:r>
      <w:r w:rsidRPr="004D34E2">
        <w:rPr>
          <w:rFonts w:ascii="Arial" w:hAnsi="Arial" w:cs="Arial"/>
          <w:b/>
          <w:color w:val="auto"/>
          <w:sz w:val="22"/>
          <w:szCs w:val="22"/>
        </w:rPr>
        <w:fldChar w:fldCharType="separate"/>
      </w:r>
      <w:r w:rsidRPr="004D34E2">
        <w:rPr>
          <w:rFonts w:ascii="Arial" w:hAnsi="Arial" w:cs="Arial"/>
          <w:b/>
          <w:noProof/>
          <w:color w:val="auto"/>
          <w:sz w:val="22"/>
          <w:szCs w:val="22"/>
        </w:rPr>
        <w:t>1</w:t>
      </w:r>
      <w:r w:rsidRPr="004D34E2">
        <w:rPr>
          <w:rFonts w:ascii="Arial" w:hAnsi="Arial" w:cs="Arial"/>
          <w:b/>
          <w:noProof/>
          <w:color w:val="auto"/>
          <w:sz w:val="22"/>
          <w:szCs w:val="22"/>
        </w:rPr>
        <w:fldChar w:fldCharType="end"/>
      </w:r>
      <w:r w:rsidRPr="004D34E2">
        <w:rPr>
          <w:rFonts w:ascii="Arial" w:hAnsi="Arial" w:cs="Arial"/>
          <w:b/>
          <w:color w:val="auto"/>
          <w:sz w:val="22"/>
          <w:szCs w:val="22"/>
        </w:rPr>
        <w:t xml:space="preserve"> Cobertura</w:t>
      </w:r>
      <w:bookmarkEnd w:id="10"/>
      <w:bookmarkEnd w:id="11"/>
    </w:p>
    <w:p w:rsidR="00937767" w:rsidRPr="004D34E2" w:rsidRDefault="00937767" w:rsidP="00937767">
      <w:pPr>
        <w:ind w:left="-142"/>
        <w:jc w:val="center"/>
        <w:rPr>
          <w:rFonts w:ascii="Arial" w:hAnsi="Arial" w:cs="Arial"/>
          <w:b/>
          <w:bCs/>
          <w:sz w:val="22"/>
          <w:szCs w:val="22"/>
        </w:rPr>
      </w:pP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937767">
      <w:pPr>
        <w:jc w:val="center"/>
        <w:rPr>
          <w:rFonts w:eastAsia="Calibri" w:cs="Calibri"/>
          <w:b/>
          <w:lang w:eastAsia="es-CO"/>
        </w:rPr>
      </w:pPr>
      <w:r w:rsidRPr="004D34E2">
        <w:rPr>
          <w:noProof/>
          <w:lang w:val="es-CO" w:eastAsia="es-CO"/>
        </w:rPr>
        <w:drawing>
          <wp:inline distT="0" distB="0" distL="0" distR="0" wp14:anchorId="1ABBCA1A" wp14:editId="314513A6">
            <wp:extent cx="4162097" cy="4317689"/>
            <wp:effectExtent l="0" t="0" r="0" b="6985"/>
            <wp:docPr id="488073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4366" cy="4320043"/>
                    </a:xfrm>
                    <a:prstGeom prst="rect">
                      <a:avLst/>
                    </a:prstGeom>
                    <a:noFill/>
                    <a:ln>
                      <a:noFill/>
                    </a:ln>
                  </pic:spPr>
                </pic:pic>
              </a:graphicData>
            </a:graphic>
          </wp:inline>
        </w:drawing>
      </w:r>
    </w:p>
    <w:p w:rsidR="00937767" w:rsidRPr="004D34E2" w:rsidRDefault="00937767" w:rsidP="00937767">
      <w:pPr>
        <w:jc w:val="both"/>
      </w:pPr>
    </w:p>
    <w:p w:rsidR="00937767" w:rsidRPr="004D34E2" w:rsidRDefault="00937767" w:rsidP="00937767">
      <w:pPr>
        <w:ind w:left="-142" w:right="-518"/>
        <w:jc w:val="both"/>
        <w:rPr>
          <w:rFonts w:ascii="Arial" w:hAnsi="Arial" w:cs="Arial"/>
        </w:rPr>
      </w:pPr>
      <w:r w:rsidRPr="004D34E2">
        <w:rPr>
          <w:rFonts w:ascii="Arial" w:hAnsi="Arial" w:cs="Arial"/>
        </w:rPr>
        <w:lastRenderedPageBreak/>
        <w:t>La clasificación del nivel nacional para efectos de la elaboración de los informes consolidados atiende criterios tanto jurídicos y económicos, como de los marcos normativos aplicables a cada entidad. Los criterios económicos siguen las recomendaciones del Fondo Monetario Internacional (FMI), los cuales han sido concertados con el Ministerio de Hacienda y Crédito Público – Dirección de Política Macroeconómica, el Banco de la República y el Departamento Administrativo Nacional de Estadísticas (DANE), orientados a presentar información financiera que permita la comparación entre países. Esta clasificación se realiza en la Mesa de Entidades de la Comisión Intersectorial de Información para la Gestión Financiera Pública (CIIGFP).</w:t>
      </w:r>
    </w:p>
    <w:p w:rsidR="00937767" w:rsidRPr="004D34E2" w:rsidRDefault="00937767" w:rsidP="00937767">
      <w:pPr>
        <w:ind w:left="-142" w:right="-518"/>
        <w:jc w:val="both"/>
        <w:rPr>
          <w:rFonts w:ascii="Arial" w:hAnsi="Arial" w:cs="Arial"/>
        </w:rPr>
      </w:pPr>
    </w:p>
    <w:p w:rsidR="00937767" w:rsidRPr="004D34E2" w:rsidRDefault="00937767" w:rsidP="00937767">
      <w:pPr>
        <w:ind w:left="-142" w:right="-518"/>
        <w:jc w:val="both"/>
        <w:rPr>
          <w:rFonts w:ascii="Arial" w:hAnsi="Arial" w:cs="Arial"/>
        </w:rPr>
      </w:pPr>
      <w:r w:rsidRPr="004D34E2">
        <w:rPr>
          <w:rFonts w:ascii="Arial" w:hAnsi="Arial" w:cs="Arial"/>
        </w:rPr>
        <w:t>Es así como el universo de entidades que conforman este nivel de consolidación de los estados financieros son 350, de las cuales 256 son entidades de gobierno; 35 son empresas que cotizan en el mercado de valores o que captan o administran ahorro del público; 38 son empresas que no cotizan o que no captan ni administran ahorro del público; y 21 son entidades que se encuentran en procesos especiales, de las cuales 18 están en liquidación y 3 son fondos y patrimonios autónomos.</w:t>
      </w:r>
    </w:p>
    <w:p w:rsidR="00937767" w:rsidRPr="004D34E2" w:rsidRDefault="00937767" w:rsidP="00937767">
      <w:pPr>
        <w:ind w:left="-142" w:right="-518"/>
        <w:jc w:val="both"/>
        <w:rPr>
          <w:rFonts w:ascii="Arial" w:hAnsi="Arial" w:cs="Arial"/>
        </w:rPr>
      </w:pPr>
    </w:p>
    <w:p w:rsidR="00937767" w:rsidRPr="004D34E2" w:rsidRDefault="00937767" w:rsidP="00937767">
      <w:pPr>
        <w:ind w:left="-142" w:right="-518"/>
        <w:jc w:val="both"/>
        <w:rPr>
          <w:rFonts w:ascii="Arial" w:hAnsi="Arial" w:cs="Arial"/>
        </w:rPr>
      </w:pPr>
      <w:r w:rsidRPr="004D34E2">
        <w:rPr>
          <w:rFonts w:ascii="Arial" w:hAnsi="Arial" w:cs="Arial"/>
        </w:rPr>
        <w:t>Los estados financieros consolidados del nivel nacional del año 2023 incluyen las 350 entidades, es decir, el 100% del universo de entidades registradas en la base de datos de la CGN para este nivel.</w:t>
      </w: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937767">
      <w:pPr>
        <w:ind w:left="-142" w:right="-518"/>
        <w:jc w:val="both"/>
        <w:rPr>
          <w:rFonts w:ascii="Arial" w:hAnsi="Arial" w:cs="Arial"/>
          <w:b/>
          <w:lang w:val="es-CO"/>
        </w:rPr>
      </w:pPr>
      <w:r w:rsidRPr="004D34E2">
        <w:rPr>
          <w:rFonts w:ascii="Arial" w:hAnsi="Arial" w:cs="Arial"/>
          <w:b/>
          <w:u w:val="single"/>
          <w:lang w:val="es-CO"/>
        </w:rPr>
        <w:t>NOTA IMPORTANTE A TENER EN CUENTA PARA LA VIGENCIA 2023</w:t>
      </w:r>
      <w:r w:rsidRPr="004D34E2">
        <w:rPr>
          <w:rFonts w:ascii="Arial" w:hAnsi="Arial" w:cs="Arial"/>
          <w:b/>
          <w:lang w:val="es-CO"/>
        </w:rPr>
        <w:t>.</w:t>
      </w:r>
    </w:p>
    <w:p w:rsidR="00937767" w:rsidRPr="004D34E2" w:rsidRDefault="00937767" w:rsidP="00937767">
      <w:pPr>
        <w:ind w:left="-142" w:right="-518"/>
        <w:jc w:val="both"/>
        <w:rPr>
          <w:rFonts w:ascii="Arial" w:hAnsi="Arial" w:cs="Arial"/>
          <w:b/>
          <w:lang w:val="es-CO"/>
        </w:rPr>
      </w:pPr>
    </w:p>
    <w:p w:rsidR="00937767" w:rsidRPr="004D34E2" w:rsidRDefault="00937767" w:rsidP="00937767">
      <w:pPr>
        <w:ind w:left="-142" w:right="-518"/>
        <w:jc w:val="both"/>
        <w:rPr>
          <w:rFonts w:ascii="Arial" w:eastAsia="Calibri" w:hAnsi="Arial" w:cs="Arial"/>
        </w:rPr>
      </w:pPr>
      <w:r w:rsidRPr="004D34E2">
        <w:rPr>
          <w:rFonts w:ascii="Arial" w:hAnsi="Arial" w:cs="Arial"/>
          <w:b/>
          <w:sz w:val="28"/>
          <w:szCs w:val="28"/>
          <w:lang w:val="es-CO"/>
        </w:rPr>
        <w:t xml:space="preserve">2.9.5.- Estado de Flujo de Efectivo. </w:t>
      </w:r>
      <w:r w:rsidRPr="004D34E2">
        <w:rPr>
          <w:rFonts w:ascii="Arial" w:eastAsia="Calibri" w:hAnsi="Arial" w:cs="Arial"/>
          <w:b/>
          <w:u w:val="single"/>
        </w:rPr>
        <w:t>Mediante la Resolución 283 de 2022, la CGN modificó el artículo 4º de la resolución 533 de 2015 para el aplazamiento indefinido de presentación del estado de flujos de efectivo consolidado, razón por la cual el conjunto de estados financieros consolidados del año 2023 no contiene dicho estado. Lo anterior por cuanto la resolución señala la no obligatoriedad de presentar este estado financiero para las entidades que aplican el marco normativo de entidades de gobierno general, y, por tanto, también indica la no obligación de preparar dicho estado consolidado</w:t>
      </w:r>
      <w:r w:rsidRPr="004D34E2">
        <w:rPr>
          <w:rFonts w:ascii="Arial" w:eastAsia="Calibri" w:hAnsi="Arial" w:cs="Arial"/>
        </w:rPr>
        <w:t>. (Subrayado y resaltado fuera de texto).</w:t>
      </w: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937767">
      <w:pPr>
        <w:ind w:left="-142" w:right="-518"/>
        <w:jc w:val="both"/>
        <w:rPr>
          <w:rFonts w:ascii="Arial" w:hAnsi="Arial" w:cs="Arial"/>
          <w:b/>
          <w:sz w:val="28"/>
          <w:szCs w:val="28"/>
          <w:lang w:val="es-CO"/>
        </w:rPr>
      </w:pPr>
      <w:r w:rsidRPr="004D34E2">
        <w:rPr>
          <w:rFonts w:ascii="Arial" w:hAnsi="Arial" w:cs="Arial"/>
          <w:b/>
          <w:sz w:val="28"/>
          <w:szCs w:val="28"/>
          <w:lang w:val="es-CO"/>
        </w:rPr>
        <w:t>3. ANÁLISIS GENERAL DE LOS ESTADOS FINANCIEROS CONSOLIDADOS DEL NIVEL NACIONAL.</w:t>
      </w:r>
    </w:p>
    <w:p w:rsidR="00937767" w:rsidRPr="004D34E2" w:rsidRDefault="00937767" w:rsidP="00937767">
      <w:pPr>
        <w:ind w:left="-142" w:right="-518"/>
        <w:jc w:val="both"/>
        <w:rPr>
          <w:rFonts w:ascii="Arial" w:hAnsi="Arial" w:cs="Arial"/>
          <w:sz w:val="28"/>
          <w:szCs w:val="28"/>
          <w:lang w:val="es-CO"/>
        </w:rPr>
      </w:pPr>
    </w:p>
    <w:p w:rsidR="00937767" w:rsidRPr="00D17C23" w:rsidRDefault="00937767" w:rsidP="00D17C23">
      <w:pPr>
        <w:pStyle w:val="Ttulo2"/>
      </w:pPr>
      <w:bookmarkStart w:id="12" w:name="_Toc8656141"/>
      <w:bookmarkStart w:id="13" w:name="_Toc40337868"/>
      <w:bookmarkStart w:id="14" w:name="_Toc135044684"/>
      <w:r w:rsidRPr="00D17C23">
        <w:t>ESTADO DE RESULTADOS CONSOLIDADO</w:t>
      </w:r>
      <w:bookmarkEnd w:id="12"/>
      <w:bookmarkEnd w:id="13"/>
      <w:bookmarkEnd w:id="14"/>
      <w:r w:rsidRPr="00D17C23">
        <w:t>.</w:t>
      </w:r>
    </w:p>
    <w:p w:rsidR="00937767" w:rsidRPr="004D34E2" w:rsidRDefault="00937767" w:rsidP="00937767">
      <w:pPr>
        <w:rPr>
          <w:lang w:val="es-CO" w:eastAsia="es-CO"/>
        </w:rPr>
      </w:pPr>
    </w:p>
    <w:p w:rsidR="00937767" w:rsidRPr="004D34E2" w:rsidRDefault="00937767" w:rsidP="00937767">
      <w:pPr>
        <w:ind w:left="-142" w:right="-518"/>
        <w:jc w:val="center"/>
        <w:rPr>
          <w:rFonts w:ascii="Arial" w:hAnsi="Arial" w:cs="Arial"/>
          <w:b/>
          <w:lang w:val="es-CO"/>
        </w:rPr>
      </w:pPr>
      <w:r w:rsidRPr="004D34E2">
        <w:rPr>
          <w:rFonts w:ascii="Arial" w:hAnsi="Arial" w:cs="Arial"/>
          <w:b/>
          <w:lang w:val="es-CO"/>
        </w:rPr>
        <w:t>Tabla 3-1 Estado de Resultados Consolidados del Nivel Nacional.</w:t>
      </w:r>
    </w:p>
    <w:p w:rsidR="00937767" w:rsidRPr="004D34E2" w:rsidRDefault="00937767" w:rsidP="00937767">
      <w:pPr>
        <w:ind w:left="-142" w:right="-518"/>
        <w:jc w:val="center"/>
        <w:rPr>
          <w:rFonts w:ascii="Arial" w:hAnsi="Arial" w:cs="Arial"/>
        </w:rPr>
      </w:pPr>
    </w:p>
    <w:p w:rsidR="00937767" w:rsidRPr="004D34E2" w:rsidRDefault="00937767" w:rsidP="00937767">
      <w:pPr>
        <w:ind w:left="-142" w:right="-518"/>
        <w:jc w:val="center"/>
        <w:rPr>
          <w:rFonts w:ascii="Arial" w:hAnsi="Arial" w:cs="Arial"/>
          <w:b/>
          <w:lang w:val="es-CO"/>
        </w:rPr>
      </w:pPr>
      <w:r w:rsidRPr="004D34E2">
        <w:rPr>
          <w:noProof/>
          <w:lang w:val="es-CO" w:eastAsia="es-CO"/>
        </w:rPr>
        <w:lastRenderedPageBreak/>
        <w:drawing>
          <wp:inline distT="0" distB="0" distL="0" distR="0" wp14:anchorId="420F96BB" wp14:editId="6B164C16">
            <wp:extent cx="5943600" cy="4086756"/>
            <wp:effectExtent l="0" t="0" r="0" b="9525"/>
            <wp:docPr id="1529947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3756"/>
                    <a:stretch/>
                  </pic:blipFill>
                  <pic:spPr bwMode="auto">
                    <a:xfrm>
                      <a:off x="0" y="0"/>
                      <a:ext cx="5943600" cy="4086756"/>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4D34E2" w:rsidRDefault="00937767" w:rsidP="00937767">
      <w:pPr>
        <w:ind w:left="-142" w:right="-518"/>
        <w:jc w:val="both"/>
        <w:rPr>
          <w:rFonts w:ascii="Arial" w:hAnsi="Arial" w:cs="Arial"/>
          <w:b/>
          <w:sz w:val="28"/>
          <w:szCs w:val="28"/>
          <w:lang w:val="es-CO"/>
        </w:rPr>
      </w:pPr>
    </w:p>
    <w:p w:rsidR="00937767" w:rsidRPr="00D17C23" w:rsidRDefault="00937767" w:rsidP="00D17C23">
      <w:pPr>
        <w:pStyle w:val="Ttulo4"/>
      </w:pPr>
      <w:bookmarkStart w:id="15" w:name="_Toc166618722"/>
      <w:r w:rsidRPr="00D17C23">
        <w:t>RESULTADO DEL EJERCICIO CONSOLIDADO</w:t>
      </w:r>
      <w:bookmarkEnd w:id="15"/>
      <w:r w:rsidRPr="00D17C23">
        <w:t>.</w:t>
      </w:r>
    </w:p>
    <w:p w:rsidR="00937767" w:rsidRPr="004D34E2" w:rsidRDefault="00937767" w:rsidP="00937767">
      <w:pPr>
        <w:rPr>
          <w:lang w:val="es-CO" w:eastAsia="es-CO"/>
        </w:rPr>
      </w:pPr>
    </w:p>
    <w:p w:rsidR="00937767" w:rsidRPr="004D34E2" w:rsidRDefault="00937767" w:rsidP="00937767">
      <w:pPr>
        <w:ind w:left="-142"/>
        <w:jc w:val="both"/>
        <w:rPr>
          <w:rFonts w:ascii="Arial" w:hAnsi="Arial" w:cs="Arial"/>
        </w:rPr>
      </w:pPr>
      <w:r w:rsidRPr="004D34E2">
        <w:rPr>
          <w:rFonts w:ascii="Arial" w:hAnsi="Arial" w:cs="Arial"/>
          <w:b/>
          <w:u w:val="single"/>
        </w:rPr>
        <w:t>El resultado del ejercicio consolidado de las entidades contables que conforman el nivel nacional, durante el año 2023, registra un superávit de $11.019,1 que representa el 0,7% del PIB</w:t>
      </w:r>
      <w:r w:rsidRPr="004D34E2">
        <w:rPr>
          <w:rFonts w:ascii="Arial" w:hAnsi="Arial" w:cs="Arial"/>
          <w:vertAlign w:val="superscript"/>
        </w:rPr>
        <w:footnoteReference w:id="3"/>
      </w:r>
      <w:r w:rsidRPr="004D34E2">
        <w:rPr>
          <w:rFonts w:ascii="Arial" w:hAnsi="Arial" w:cs="Arial"/>
        </w:rPr>
        <w:t>. (Subrayado y resaltado fuera de texto).</w:t>
      </w:r>
    </w:p>
    <w:p w:rsidR="00937767" w:rsidRPr="004D34E2" w:rsidRDefault="00937767" w:rsidP="00937767">
      <w:pPr>
        <w:ind w:left="-142"/>
        <w:jc w:val="both"/>
        <w:rPr>
          <w:rFonts w:ascii="Arial" w:hAnsi="Arial" w:cs="Arial"/>
        </w:rPr>
      </w:pPr>
    </w:p>
    <w:p w:rsidR="00937767" w:rsidRPr="004D34E2" w:rsidRDefault="00937767" w:rsidP="00937767">
      <w:pPr>
        <w:ind w:left="-142"/>
        <w:jc w:val="both"/>
        <w:rPr>
          <w:rFonts w:ascii="Arial" w:hAnsi="Arial" w:cs="Arial"/>
        </w:rPr>
      </w:pPr>
      <w:r w:rsidRPr="004D34E2">
        <w:rPr>
          <w:rFonts w:ascii="Arial" w:hAnsi="Arial" w:cs="Arial"/>
        </w:rPr>
        <w:t>Comparado el resultado del ejercicio 2023 con el del periodo 2022, se observa una variación positiva en $127.635,9, lo que representa un (109,4%), si se tiene en cuenta que en el año 2022 el resultado fue un déficit de ($116.616,8), que representó un (8,0%) del PIB</w:t>
      </w:r>
      <w:r w:rsidRPr="004D34E2">
        <w:rPr>
          <w:rFonts w:ascii="Arial" w:hAnsi="Arial" w:cs="Arial"/>
          <w:vertAlign w:val="superscript"/>
        </w:rPr>
        <w:footnoteReference w:id="4"/>
      </w:r>
      <w:r w:rsidRPr="004D34E2">
        <w:rPr>
          <w:rFonts w:ascii="Arial" w:hAnsi="Arial" w:cs="Arial"/>
        </w:rPr>
        <w:t xml:space="preserve"> de dicha vigencia. </w:t>
      </w:r>
    </w:p>
    <w:p w:rsidR="00937767" w:rsidRPr="004D34E2" w:rsidRDefault="00937767" w:rsidP="00937767">
      <w:pPr>
        <w:ind w:left="-142"/>
        <w:jc w:val="both"/>
        <w:rPr>
          <w:rFonts w:ascii="Arial" w:hAnsi="Arial" w:cs="Arial"/>
        </w:rPr>
      </w:pPr>
    </w:p>
    <w:p w:rsidR="00937767" w:rsidRPr="004D34E2" w:rsidRDefault="00937767" w:rsidP="00937767">
      <w:pPr>
        <w:ind w:left="-142"/>
        <w:jc w:val="both"/>
        <w:rPr>
          <w:rFonts w:ascii="Arial" w:hAnsi="Arial" w:cs="Arial"/>
        </w:rPr>
      </w:pPr>
      <w:r w:rsidRPr="004D34E2">
        <w:rPr>
          <w:rFonts w:ascii="Arial" w:hAnsi="Arial" w:cs="Arial"/>
        </w:rPr>
        <w:t>Este resultado contable superavitario del ejercicio de 2023 por un total de $11.019,1, obedece a la diferencia entre el ingreso consolidado que alcanzó la cifra de $805.404,9 y la suma de los gastos y los costos consolidados del nivel nacional que, en 2023, ascendieron a $793.870,7, así como el efecto neto de las operaciones recíprocas de ($515,1).</w:t>
      </w: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D17C23">
      <w:pPr>
        <w:pStyle w:val="Ttulo4"/>
      </w:pPr>
      <w:bookmarkStart w:id="16" w:name="_Toc166618725"/>
      <w:r w:rsidRPr="004D34E2">
        <w:lastRenderedPageBreak/>
        <w:t>3.2.1.4.- INGRESOS CONSOLIDADOS</w:t>
      </w:r>
      <w:bookmarkEnd w:id="16"/>
      <w:r w:rsidRPr="004D34E2">
        <w:t>.</w:t>
      </w:r>
    </w:p>
    <w:p w:rsidR="00937767" w:rsidRPr="004D34E2" w:rsidRDefault="00937767" w:rsidP="00937767">
      <w:pPr>
        <w:rPr>
          <w:lang w:val="es-CO" w:eastAsia="es-CO"/>
        </w:rPr>
      </w:pPr>
    </w:p>
    <w:p w:rsidR="00937767" w:rsidRPr="004D34E2" w:rsidRDefault="00937767" w:rsidP="00937767">
      <w:pPr>
        <w:ind w:left="-142"/>
        <w:jc w:val="both"/>
        <w:rPr>
          <w:rFonts w:ascii="Arial" w:hAnsi="Arial" w:cs="Arial"/>
        </w:rPr>
      </w:pPr>
      <w:r w:rsidRPr="004D34E2">
        <w:rPr>
          <w:rFonts w:ascii="Arial" w:hAnsi="Arial" w:cs="Arial"/>
        </w:rPr>
        <w:t xml:space="preserve">Los ingresos consolidados durante 2023 ascienden a $805.404,9, lo que representa un incremento de $175.344,1, es decir del 27,8%, frente al año 2022. Si se comparan los ingresos consolidados del nivel nacional en 2023 frente al PIB, representan el 51,2%, observándose un incremento frente a la participación de dicha partida en el PIB del año anterior, variación del 8,2%. Los diferentes conceptos de ingresos y su participación en los ingresos consolidados se detallan en la tabla siguiente: </w:t>
      </w:r>
    </w:p>
    <w:p w:rsidR="00937767" w:rsidRPr="004D34E2" w:rsidRDefault="00937767" w:rsidP="00937767">
      <w:pPr>
        <w:tabs>
          <w:tab w:val="left" w:pos="0"/>
        </w:tabs>
        <w:ind w:left="-142"/>
        <w:rPr>
          <w:rFonts w:ascii="Arial" w:hAnsi="Arial" w:cs="Arial"/>
          <w:lang w:eastAsia="es-CO"/>
        </w:rPr>
      </w:pPr>
    </w:p>
    <w:p w:rsidR="00937767" w:rsidRPr="004D34E2" w:rsidRDefault="00937767" w:rsidP="00937767">
      <w:pPr>
        <w:jc w:val="center"/>
        <w:rPr>
          <w:rFonts w:ascii="Arial" w:hAnsi="Arial" w:cs="Arial"/>
          <w:iCs/>
        </w:rPr>
      </w:pPr>
      <w:bookmarkStart w:id="17" w:name="_Toc165648992"/>
      <w:bookmarkStart w:id="18" w:name="_Toc166618837"/>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2</w:t>
      </w:r>
      <w:r w:rsidRPr="004D34E2">
        <w:rPr>
          <w:rFonts w:ascii="Arial" w:hAnsi="Arial" w:cs="Arial"/>
          <w:iCs/>
        </w:rPr>
        <w:fldChar w:fldCharType="end"/>
      </w:r>
      <w:r w:rsidRPr="004D34E2">
        <w:rPr>
          <w:rFonts w:ascii="Arial" w:hAnsi="Arial" w:cs="Arial"/>
          <w:iCs/>
        </w:rPr>
        <w:t xml:space="preserve"> Ingresos consolidados del nivel nacional</w:t>
      </w:r>
      <w:bookmarkEnd w:id="17"/>
      <w:bookmarkEnd w:id="18"/>
    </w:p>
    <w:p w:rsidR="00937767" w:rsidRPr="004D34E2" w:rsidRDefault="00937767" w:rsidP="00937767">
      <w:pPr>
        <w:jc w:val="center"/>
        <w:rPr>
          <w:rFonts w:ascii="Arial" w:hAnsi="Arial" w:cs="Arial"/>
          <w:iCs/>
        </w:rPr>
      </w:pPr>
    </w:p>
    <w:p w:rsidR="00937767" w:rsidRPr="004D34E2" w:rsidRDefault="00937767" w:rsidP="00937767">
      <w:pPr>
        <w:jc w:val="center"/>
      </w:pPr>
      <w:bookmarkStart w:id="19" w:name="_Toc450825291"/>
      <w:bookmarkStart w:id="20" w:name="_Toc513812957"/>
      <w:r w:rsidRPr="004D34E2">
        <w:rPr>
          <w:noProof/>
          <w:lang w:val="es-CO" w:eastAsia="es-CO"/>
        </w:rPr>
        <w:drawing>
          <wp:inline distT="0" distB="0" distL="0" distR="0" wp14:anchorId="5171E51F" wp14:editId="196FBD4A">
            <wp:extent cx="5943600" cy="1873634"/>
            <wp:effectExtent l="0" t="0" r="0" b="0"/>
            <wp:docPr id="5813007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9268"/>
                    <a:stretch/>
                  </pic:blipFill>
                  <pic:spPr bwMode="auto">
                    <a:xfrm>
                      <a:off x="0" y="0"/>
                      <a:ext cx="5943600" cy="1873634"/>
                    </a:xfrm>
                    <a:prstGeom prst="rect">
                      <a:avLst/>
                    </a:prstGeom>
                    <a:noFill/>
                    <a:ln>
                      <a:noFill/>
                    </a:ln>
                    <a:extLst>
                      <a:ext uri="{53640926-AAD7-44D8-BBD7-CCE9431645EC}">
                        <a14:shadowObscured xmlns:a14="http://schemas.microsoft.com/office/drawing/2010/main"/>
                      </a:ext>
                    </a:extLst>
                  </pic:spPr>
                </pic:pic>
              </a:graphicData>
            </a:graphic>
          </wp:inline>
        </w:drawing>
      </w:r>
    </w:p>
    <w:bookmarkEnd w:id="19"/>
    <w:bookmarkEnd w:id="20"/>
    <w:p w:rsidR="00937767" w:rsidRPr="004D34E2" w:rsidRDefault="00937767" w:rsidP="00937767">
      <w:pPr>
        <w:jc w:val="both"/>
      </w:pPr>
    </w:p>
    <w:p w:rsidR="00937767" w:rsidRPr="004D34E2" w:rsidRDefault="00937767" w:rsidP="00937767">
      <w:pPr>
        <w:ind w:left="-142"/>
        <w:jc w:val="both"/>
        <w:rPr>
          <w:rFonts w:ascii="Arial" w:eastAsiaTheme="majorEastAsia" w:hAnsi="Arial" w:cs="Arial"/>
          <w:b/>
          <w:iCs/>
          <w:sz w:val="28"/>
          <w:szCs w:val="28"/>
          <w:lang w:val="es-CO" w:eastAsia="es-CO"/>
        </w:rPr>
      </w:pPr>
      <w:r w:rsidRPr="004D34E2">
        <w:rPr>
          <w:rFonts w:ascii="Arial" w:hAnsi="Arial" w:cs="Arial"/>
        </w:rPr>
        <w:t>Como se observa en la tabla anterior, los Ingresos fiscales, con un monto de $298.197,5, son los que mayor valor registran y representan el 37,0% del total de los ingresos le siguen en su orden; Financieros y Ajustes por Diferencia en Cambio con el 28,8%; Venta de bienes con el 19,1%; y Otros ingresos con el 7,3%. Los demás conceptos de ingresos representan un porcentaje del 7,9%, entre Venta de Servicios, Transferencias y subvenciones, y Operaciones interinstitucionales.</w:t>
      </w:r>
      <w:r w:rsidRPr="004D34E2">
        <w:rPr>
          <w:rFonts w:ascii="Arial" w:eastAsiaTheme="majorEastAsia" w:hAnsi="Arial" w:cs="Arial"/>
          <w:b/>
          <w:iCs/>
          <w:sz w:val="28"/>
          <w:szCs w:val="28"/>
          <w:lang w:val="es-CO" w:eastAsia="es-CO"/>
        </w:rPr>
        <w:t xml:space="preserve"> </w:t>
      </w:r>
    </w:p>
    <w:p w:rsidR="00D17C23" w:rsidRDefault="00D17C23" w:rsidP="00D17C23">
      <w:pPr>
        <w:pStyle w:val="Ttulo4"/>
      </w:pPr>
      <w:bookmarkStart w:id="21" w:name="_Toc166618726"/>
    </w:p>
    <w:p w:rsidR="00937767" w:rsidRPr="004D34E2" w:rsidRDefault="00937767" w:rsidP="00D17C23">
      <w:pPr>
        <w:pStyle w:val="Ttulo4"/>
      </w:pPr>
      <w:r w:rsidRPr="004D34E2">
        <w:t>3.2.1.5.- GASTOS CONSOLIDADOS</w:t>
      </w:r>
      <w:bookmarkEnd w:id="21"/>
      <w:r w:rsidRPr="004D34E2">
        <w:t>.</w:t>
      </w:r>
    </w:p>
    <w:p w:rsidR="00937767" w:rsidRPr="004D34E2" w:rsidRDefault="00937767" w:rsidP="00937767">
      <w:pPr>
        <w:rPr>
          <w:lang w:val="es-CO" w:eastAsia="es-CO"/>
        </w:rPr>
      </w:pPr>
    </w:p>
    <w:p w:rsidR="00937767" w:rsidRPr="004D34E2" w:rsidRDefault="00937767" w:rsidP="00937767">
      <w:pPr>
        <w:ind w:left="-142"/>
        <w:jc w:val="both"/>
        <w:rPr>
          <w:rFonts w:ascii="Arial" w:hAnsi="Arial" w:cs="Arial"/>
        </w:rPr>
      </w:pPr>
      <w:r w:rsidRPr="004D34E2">
        <w:rPr>
          <w:rFonts w:ascii="Arial" w:hAnsi="Arial" w:cs="Arial"/>
        </w:rPr>
        <w:t>Los gastos consolidados del nivel nacional ascienden a $650.712,6, equivalentes al 41,4% del PIB, observándose un incremento de $40.230,4, es decir una variación del 6,6%, en comparación con el año 2022.</w:t>
      </w:r>
    </w:p>
    <w:p w:rsidR="00937767" w:rsidRPr="004D34E2" w:rsidRDefault="00937767" w:rsidP="00937767">
      <w:pPr>
        <w:jc w:val="both"/>
      </w:pPr>
    </w:p>
    <w:p w:rsidR="00937767" w:rsidRPr="004D34E2" w:rsidRDefault="00937767" w:rsidP="00937767">
      <w:pPr>
        <w:jc w:val="center"/>
        <w:rPr>
          <w:rFonts w:ascii="Arial" w:hAnsi="Arial" w:cs="Arial"/>
          <w:iCs/>
        </w:rPr>
      </w:pPr>
      <w:bookmarkStart w:id="22" w:name="_Toc135044755"/>
      <w:bookmarkStart w:id="23" w:name="_Toc165648993"/>
      <w:bookmarkStart w:id="24" w:name="_Toc166618838"/>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t xml:space="preserve"> Grupos de gastos </w:t>
      </w:r>
      <w:bookmarkEnd w:id="22"/>
      <w:r w:rsidRPr="004D34E2">
        <w:rPr>
          <w:rFonts w:ascii="Arial" w:hAnsi="Arial" w:cs="Arial"/>
          <w:iCs/>
        </w:rPr>
        <w:t>consolidados del nivel nacional</w:t>
      </w:r>
      <w:bookmarkEnd w:id="23"/>
      <w:bookmarkEnd w:id="24"/>
    </w:p>
    <w:p w:rsidR="00937767" w:rsidRPr="004D34E2" w:rsidRDefault="00937767" w:rsidP="00937767">
      <w:pPr>
        <w:jc w:val="center"/>
        <w:rPr>
          <w:rFonts w:ascii="Arial" w:hAnsi="Arial" w:cs="Arial"/>
          <w:iCs/>
        </w:rPr>
      </w:pPr>
    </w:p>
    <w:p w:rsidR="00937767" w:rsidRPr="004D34E2" w:rsidRDefault="00937767" w:rsidP="00937767">
      <w:r w:rsidRPr="004D34E2">
        <w:rPr>
          <w:noProof/>
          <w:lang w:val="es-CO" w:eastAsia="es-CO"/>
        </w:rPr>
        <w:lastRenderedPageBreak/>
        <w:drawing>
          <wp:inline distT="0" distB="0" distL="0" distR="0" wp14:anchorId="6EBD905A" wp14:editId="7957D00B">
            <wp:extent cx="5943600" cy="1837586"/>
            <wp:effectExtent l="0" t="0" r="0" b="0"/>
            <wp:docPr id="4087337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t="7986"/>
                    <a:stretch/>
                  </pic:blipFill>
                  <pic:spPr bwMode="auto">
                    <a:xfrm>
                      <a:off x="0" y="0"/>
                      <a:ext cx="5943600" cy="1837586"/>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4D34E2" w:rsidRDefault="00937767" w:rsidP="00937767">
      <w:pPr>
        <w:jc w:val="both"/>
        <w:rPr>
          <w:sz w:val="18"/>
          <w:szCs w:val="18"/>
        </w:rPr>
      </w:pPr>
      <w:bookmarkStart w:id="25" w:name="_Hlk134519770"/>
      <w:r w:rsidRPr="004D34E2">
        <w:rPr>
          <w:sz w:val="18"/>
          <w:szCs w:val="18"/>
        </w:rPr>
        <w:t>* Otros gastos: compuesto por Otros Gastos y Ajustes por diferencia en cambio.</w:t>
      </w:r>
    </w:p>
    <w:p w:rsidR="00937767" w:rsidRPr="004D34E2" w:rsidRDefault="00937767" w:rsidP="00937767">
      <w:pPr>
        <w:jc w:val="both"/>
        <w:rPr>
          <w:sz w:val="18"/>
          <w:szCs w:val="18"/>
        </w:rPr>
      </w:pPr>
    </w:p>
    <w:bookmarkEnd w:id="25"/>
    <w:p w:rsidR="00937767" w:rsidRPr="004D34E2" w:rsidRDefault="00937767" w:rsidP="00937767">
      <w:pPr>
        <w:ind w:left="-142"/>
        <w:jc w:val="both"/>
        <w:rPr>
          <w:rFonts w:ascii="Arial" w:hAnsi="Arial" w:cs="Arial"/>
        </w:rPr>
      </w:pPr>
      <w:r w:rsidRPr="004D34E2">
        <w:rPr>
          <w:rFonts w:ascii="Arial" w:hAnsi="Arial" w:cs="Arial"/>
        </w:rPr>
        <w:t>La tabla anterior presenta los gastos consolidados del nivel nacional distribuidos en los diferentes grupos y cuentas que los conforman. En la identificación de los principales tipos de gastos, el concepto De administración y operación, por valor de $162.221,4, es el que mayor valor registra y representa el 24,9% del total de los gastos. Le siguen en su orden de importancia relativa, Transferencias y subvenciones con el 22,8%; Deterioro, depreciaciones, amortizaciones y provisiones con el 5,9%; Gasto público social con el 4,3%; y los demás conceptos estructurados de acuerdo con el catálogo general de cuentas, que representan en su conjunto el 42,1%.</w:t>
      </w:r>
    </w:p>
    <w:p w:rsidR="00937767" w:rsidRPr="004D34E2" w:rsidRDefault="00937767" w:rsidP="00937767">
      <w:pPr>
        <w:rPr>
          <w:rFonts w:ascii="Arial" w:hAnsi="Arial" w:cs="Arial"/>
          <w:lang w:eastAsia="es-CO"/>
        </w:rPr>
      </w:pPr>
    </w:p>
    <w:p w:rsidR="00937767" w:rsidRPr="004D34E2" w:rsidRDefault="00937767" w:rsidP="00D17C23">
      <w:pPr>
        <w:pStyle w:val="Ttulo4"/>
      </w:pPr>
      <w:bookmarkStart w:id="26" w:name="_Toc166618727"/>
      <w:r w:rsidRPr="004D34E2">
        <w:t>3.2.1.6.- COSTOS DE VENTAS CONSOLIDADOS</w:t>
      </w:r>
      <w:bookmarkEnd w:id="26"/>
      <w:r w:rsidRPr="004D34E2">
        <w:t>.</w:t>
      </w:r>
    </w:p>
    <w:p w:rsidR="00937767" w:rsidRPr="004D34E2" w:rsidRDefault="00937767" w:rsidP="00937767">
      <w:pPr>
        <w:rPr>
          <w:lang w:val="es-CO" w:eastAsia="es-CO"/>
        </w:rPr>
      </w:pPr>
    </w:p>
    <w:p w:rsidR="00937767" w:rsidRPr="004D34E2" w:rsidRDefault="00937767" w:rsidP="00937767">
      <w:pPr>
        <w:ind w:left="-142"/>
        <w:jc w:val="both"/>
        <w:rPr>
          <w:rFonts w:ascii="Arial" w:hAnsi="Arial" w:cs="Arial"/>
        </w:rPr>
      </w:pPr>
      <w:r w:rsidRPr="004D34E2">
        <w:rPr>
          <w:rFonts w:ascii="Arial" w:hAnsi="Arial" w:cs="Arial"/>
        </w:rPr>
        <w:t>Los costos de ventas consolidados del nivel nacional en 2023 ascienden a $143.158,1, equivalentes al 9,1% del PIB, observándose un incremento del 5,3% con relación a dichos costos en el año 2022. Los conceptos de costos de ventas y su participación se detallan en la tabla siguiente:</w:t>
      </w:r>
    </w:p>
    <w:p w:rsidR="00937767" w:rsidRPr="004D34E2" w:rsidRDefault="00937767" w:rsidP="00937767">
      <w:pPr>
        <w:jc w:val="both"/>
      </w:pPr>
    </w:p>
    <w:p w:rsidR="00937767" w:rsidRPr="004D34E2" w:rsidRDefault="00937767" w:rsidP="00937767">
      <w:pPr>
        <w:jc w:val="center"/>
        <w:rPr>
          <w:rFonts w:ascii="Arial" w:hAnsi="Arial" w:cs="Arial"/>
          <w:iCs/>
        </w:rPr>
      </w:pPr>
      <w:bookmarkStart w:id="27" w:name="_Toc165648994"/>
      <w:bookmarkStart w:id="28" w:name="_Toc166618839"/>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4</w:t>
      </w:r>
      <w:r w:rsidRPr="004D34E2">
        <w:rPr>
          <w:rFonts w:ascii="Arial" w:hAnsi="Arial" w:cs="Arial"/>
          <w:iCs/>
        </w:rPr>
        <w:fldChar w:fldCharType="end"/>
      </w:r>
      <w:r w:rsidRPr="004D34E2">
        <w:rPr>
          <w:rFonts w:ascii="Arial" w:hAnsi="Arial" w:cs="Arial"/>
          <w:iCs/>
        </w:rPr>
        <w:t xml:space="preserve"> Grupos de Costos de ventas del nivel nacional</w:t>
      </w:r>
      <w:bookmarkEnd w:id="27"/>
      <w:bookmarkEnd w:id="28"/>
    </w:p>
    <w:p w:rsidR="00937767" w:rsidRPr="004D34E2" w:rsidRDefault="00937767" w:rsidP="00937767">
      <w:pPr>
        <w:jc w:val="center"/>
        <w:rPr>
          <w:rFonts w:ascii="Arial" w:hAnsi="Arial" w:cs="Arial"/>
          <w:iCs/>
        </w:rPr>
      </w:pPr>
    </w:p>
    <w:p w:rsidR="00937767" w:rsidRPr="004D34E2" w:rsidRDefault="00937767" w:rsidP="00937767">
      <w:r w:rsidRPr="004D34E2">
        <w:rPr>
          <w:noProof/>
          <w:lang w:val="es-CO" w:eastAsia="es-CO"/>
        </w:rPr>
        <w:drawing>
          <wp:inline distT="0" distB="0" distL="0" distR="0" wp14:anchorId="38D51FDF" wp14:editId="63347AD0">
            <wp:extent cx="5943600" cy="1137669"/>
            <wp:effectExtent l="0" t="0" r="0" b="5715"/>
            <wp:docPr id="26591217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t="14400"/>
                    <a:stretch/>
                  </pic:blipFill>
                  <pic:spPr bwMode="auto">
                    <a:xfrm>
                      <a:off x="0" y="0"/>
                      <a:ext cx="5943600" cy="1137669"/>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4D34E2" w:rsidRDefault="00937767" w:rsidP="00937767"/>
    <w:p w:rsidR="00937767" w:rsidRPr="004D34E2" w:rsidRDefault="00937767" w:rsidP="00937767">
      <w:pPr>
        <w:ind w:left="-142"/>
        <w:jc w:val="both"/>
        <w:rPr>
          <w:rFonts w:ascii="Arial" w:hAnsi="Arial" w:cs="Arial"/>
        </w:rPr>
      </w:pPr>
      <w:r w:rsidRPr="004D34E2">
        <w:rPr>
          <w:rFonts w:ascii="Arial" w:hAnsi="Arial" w:cs="Arial"/>
        </w:rPr>
        <w:t xml:space="preserve">El concepto de Costo de ventas de bienes por valor de $122.331,9, es el que mayor valor registra y corresponde al 85,5% del total de los Costos de ventas, mientras que el Costo de ventas de servicios por $20.826,2, representa el 14,5% del total de la clase”. </w:t>
      </w: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937767">
      <w:pPr>
        <w:ind w:left="-142" w:right="49"/>
        <w:jc w:val="both"/>
        <w:rPr>
          <w:rFonts w:ascii="Arial" w:hAnsi="Arial" w:cs="Arial"/>
          <w:b/>
          <w:sz w:val="28"/>
          <w:szCs w:val="28"/>
        </w:rPr>
      </w:pPr>
      <w:r w:rsidRPr="004D34E2">
        <w:rPr>
          <w:rFonts w:ascii="Arial" w:hAnsi="Arial" w:cs="Arial"/>
          <w:b/>
          <w:sz w:val="28"/>
          <w:szCs w:val="28"/>
          <w:lang w:val="es-CO"/>
        </w:rPr>
        <w:t>-</w:t>
      </w:r>
      <w:r w:rsidRPr="004D34E2">
        <w:rPr>
          <w:rFonts w:ascii="Arial" w:hAnsi="Arial" w:cs="Arial"/>
          <w:b/>
          <w:sz w:val="28"/>
          <w:szCs w:val="28"/>
        </w:rPr>
        <w:t>EVOLUCIÓN RESULTADO DEL EJERCICIO DE LA NACIÓN PARA LAS VIGENCIAS FISCALES 2019, 2020, 2021, 2022 y 2023</w:t>
      </w:r>
    </w:p>
    <w:p w:rsidR="00937767" w:rsidRPr="004D34E2" w:rsidRDefault="00937767" w:rsidP="00937767">
      <w:pPr>
        <w:ind w:left="-284" w:right="-319"/>
        <w:jc w:val="both"/>
        <w:rPr>
          <w:rFonts w:ascii="Arial" w:hAnsi="Arial" w:cs="Arial"/>
          <w:b/>
          <w:sz w:val="28"/>
          <w:szCs w:val="28"/>
        </w:rPr>
      </w:pPr>
    </w:p>
    <w:p w:rsidR="00937767" w:rsidRPr="004D34E2" w:rsidRDefault="00937767" w:rsidP="00937767">
      <w:pPr>
        <w:pStyle w:val="Textoindependiente"/>
        <w:ind w:left="-142" w:right="-518"/>
        <w:jc w:val="center"/>
        <w:rPr>
          <w:rFonts w:ascii="Arial" w:hAnsi="Arial" w:cs="Arial"/>
          <w:sz w:val="24"/>
        </w:rPr>
      </w:pPr>
      <w:r w:rsidRPr="004D34E2">
        <w:rPr>
          <w:rFonts w:ascii="Arial" w:hAnsi="Arial" w:cs="Arial"/>
          <w:sz w:val="24"/>
        </w:rPr>
        <w:t>Miles de millones de pesos</w:t>
      </w:r>
    </w:p>
    <w:p w:rsidR="00937767" w:rsidRPr="004D34E2" w:rsidRDefault="00937767" w:rsidP="00937767">
      <w:pPr>
        <w:pStyle w:val="Textoindependiente"/>
        <w:ind w:left="-142" w:right="-518"/>
        <w:jc w:val="both"/>
        <w:rPr>
          <w:rFonts w:ascii="Arial" w:hAnsi="Arial" w:cs="Arial"/>
          <w:b/>
          <w:sz w:val="28"/>
          <w:szCs w:val="28"/>
        </w:rPr>
      </w:pPr>
    </w:p>
    <w:tbl>
      <w:tblPr>
        <w:tblStyle w:val="Tablaconcuadrcula"/>
        <w:tblW w:w="10060" w:type="dxa"/>
        <w:tblInd w:w="-142" w:type="dxa"/>
        <w:tblLook w:val="04A0" w:firstRow="1" w:lastRow="0" w:firstColumn="1" w:lastColumn="0" w:noHBand="0" w:noVBand="1"/>
      </w:tblPr>
      <w:tblGrid>
        <w:gridCol w:w="5240"/>
        <w:gridCol w:w="4820"/>
      </w:tblGrid>
      <w:tr w:rsidR="00937767" w:rsidRPr="004D34E2" w:rsidTr="00D17C23">
        <w:tc>
          <w:tcPr>
            <w:tcW w:w="5240" w:type="dxa"/>
          </w:tcPr>
          <w:p w:rsidR="00937767" w:rsidRPr="004D34E2" w:rsidRDefault="00937767" w:rsidP="00D17C23">
            <w:pPr>
              <w:pStyle w:val="Textoindependiente"/>
              <w:ind w:left="-821" w:right="-518"/>
              <w:jc w:val="center"/>
              <w:rPr>
                <w:rFonts w:ascii="Arial" w:hAnsi="Arial" w:cs="Arial"/>
                <w:b/>
                <w:sz w:val="28"/>
                <w:szCs w:val="28"/>
                <w:lang w:eastAsia="es-ES"/>
              </w:rPr>
            </w:pPr>
            <w:r w:rsidRPr="004D34E2">
              <w:rPr>
                <w:rFonts w:ascii="Arial" w:hAnsi="Arial" w:cs="Arial"/>
                <w:b/>
                <w:sz w:val="28"/>
                <w:szCs w:val="28"/>
                <w:lang w:eastAsia="es-ES"/>
              </w:rPr>
              <w:t>AÑO</w:t>
            </w:r>
          </w:p>
        </w:tc>
        <w:tc>
          <w:tcPr>
            <w:tcW w:w="4820" w:type="dxa"/>
          </w:tcPr>
          <w:p w:rsidR="00937767" w:rsidRPr="004D34E2" w:rsidRDefault="00937767" w:rsidP="00D17C23">
            <w:pPr>
              <w:pStyle w:val="Textoindependiente"/>
              <w:ind w:left="-668" w:right="-518"/>
              <w:jc w:val="center"/>
              <w:rPr>
                <w:rFonts w:ascii="Arial" w:hAnsi="Arial" w:cs="Arial"/>
                <w:b/>
                <w:sz w:val="28"/>
                <w:szCs w:val="28"/>
                <w:lang w:eastAsia="es-ES"/>
              </w:rPr>
            </w:pPr>
            <w:r w:rsidRPr="004D34E2">
              <w:rPr>
                <w:rFonts w:ascii="Arial" w:hAnsi="Arial" w:cs="Arial"/>
                <w:b/>
                <w:sz w:val="28"/>
                <w:szCs w:val="28"/>
                <w:lang w:eastAsia="es-ES"/>
              </w:rPr>
              <w:t>RESULTADO DEL EJERCICIO</w:t>
            </w:r>
          </w:p>
          <w:p w:rsidR="00937767" w:rsidRPr="004D34E2" w:rsidRDefault="00937767" w:rsidP="00D17C23">
            <w:pPr>
              <w:pStyle w:val="Textoindependiente"/>
              <w:ind w:left="-668" w:right="-518"/>
              <w:jc w:val="center"/>
              <w:rPr>
                <w:rFonts w:ascii="Arial" w:hAnsi="Arial" w:cs="Arial"/>
                <w:b/>
                <w:sz w:val="28"/>
                <w:szCs w:val="28"/>
                <w:lang w:eastAsia="es-ES"/>
              </w:rPr>
            </w:pPr>
          </w:p>
        </w:tc>
      </w:tr>
      <w:tr w:rsidR="00937767" w:rsidRPr="004D34E2" w:rsidTr="00D17C23">
        <w:tc>
          <w:tcPr>
            <w:tcW w:w="5240" w:type="dxa"/>
          </w:tcPr>
          <w:p w:rsidR="00937767" w:rsidRPr="004D34E2" w:rsidRDefault="00937767" w:rsidP="00D17C23">
            <w:pPr>
              <w:pStyle w:val="Textoindependiente"/>
              <w:ind w:left="-821" w:right="-518"/>
              <w:jc w:val="center"/>
              <w:rPr>
                <w:rFonts w:ascii="Arial" w:hAnsi="Arial" w:cs="Arial"/>
                <w:b/>
                <w:sz w:val="28"/>
                <w:szCs w:val="28"/>
                <w:lang w:eastAsia="es-ES"/>
              </w:rPr>
            </w:pPr>
            <w:r w:rsidRPr="004D34E2">
              <w:rPr>
                <w:rFonts w:ascii="Arial" w:hAnsi="Arial" w:cs="Arial"/>
                <w:b/>
                <w:sz w:val="28"/>
                <w:szCs w:val="28"/>
                <w:lang w:eastAsia="es-ES"/>
              </w:rPr>
              <w:t>2019</w:t>
            </w:r>
          </w:p>
        </w:tc>
        <w:tc>
          <w:tcPr>
            <w:tcW w:w="4820" w:type="dxa"/>
          </w:tcPr>
          <w:p w:rsidR="00937767" w:rsidRPr="004D34E2" w:rsidRDefault="00937767" w:rsidP="00D17C23">
            <w:pPr>
              <w:spacing w:line="276" w:lineRule="auto"/>
              <w:jc w:val="center"/>
              <w:rPr>
                <w:rFonts w:ascii="Arial" w:hAnsi="Arial" w:cs="Arial"/>
                <w:b/>
              </w:rPr>
            </w:pPr>
            <w:r w:rsidRPr="004D34E2">
              <w:rPr>
                <w:rFonts w:ascii="Arial" w:hAnsi="Arial" w:cs="Arial"/>
                <w:b/>
              </w:rPr>
              <w:t>(10.916,3)</w:t>
            </w:r>
          </w:p>
        </w:tc>
      </w:tr>
      <w:tr w:rsidR="00937767" w:rsidRPr="004D34E2" w:rsidTr="00D17C23">
        <w:tc>
          <w:tcPr>
            <w:tcW w:w="5240" w:type="dxa"/>
          </w:tcPr>
          <w:p w:rsidR="00937767" w:rsidRPr="004D34E2" w:rsidRDefault="00937767" w:rsidP="00D17C23">
            <w:pPr>
              <w:pStyle w:val="Textoindependiente"/>
              <w:ind w:left="-821" w:right="-518"/>
              <w:jc w:val="center"/>
              <w:rPr>
                <w:rFonts w:ascii="Arial" w:hAnsi="Arial" w:cs="Arial"/>
                <w:b/>
                <w:sz w:val="28"/>
                <w:szCs w:val="28"/>
                <w:lang w:eastAsia="es-ES"/>
              </w:rPr>
            </w:pPr>
            <w:r w:rsidRPr="004D34E2">
              <w:rPr>
                <w:rFonts w:ascii="Arial" w:hAnsi="Arial" w:cs="Arial"/>
                <w:b/>
                <w:sz w:val="28"/>
                <w:szCs w:val="28"/>
                <w:lang w:eastAsia="es-ES"/>
              </w:rPr>
              <w:t>2020</w:t>
            </w:r>
          </w:p>
        </w:tc>
        <w:tc>
          <w:tcPr>
            <w:tcW w:w="4820" w:type="dxa"/>
          </w:tcPr>
          <w:p w:rsidR="00937767" w:rsidRPr="004D34E2" w:rsidRDefault="00937767" w:rsidP="00D17C23">
            <w:pPr>
              <w:spacing w:line="276" w:lineRule="auto"/>
              <w:jc w:val="center"/>
              <w:rPr>
                <w:rFonts w:ascii="Arial" w:hAnsi="Arial" w:cs="Arial"/>
                <w:b/>
              </w:rPr>
            </w:pPr>
            <w:r w:rsidRPr="004D34E2">
              <w:rPr>
                <w:rFonts w:ascii="Arial" w:hAnsi="Arial" w:cs="Arial"/>
                <w:b/>
              </w:rPr>
              <w:t>(94.635.8)</w:t>
            </w:r>
          </w:p>
        </w:tc>
      </w:tr>
      <w:tr w:rsidR="00937767" w:rsidRPr="004D34E2" w:rsidTr="00D17C23">
        <w:tc>
          <w:tcPr>
            <w:tcW w:w="5240" w:type="dxa"/>
          </w:tcPr>
          <w:p w:rsidR="00937767" w:rsidRPr="004D34E2" w:rsidRDefault="00937767" w:rsidP="00D17C23">
            <w:pPr>
              <w:pStyle w:val="Textoindependiente"/>
              <w:ind w:left="-821" w:right="-518"/>
              <w:jc w:val="center"/>
              <w:rPr>
                <w:rFonts w:ascii="Arial" w:hAnsi="Arial" w:cs="Arial"/>
                <w:b/>
                <w:sz w:val="28"/>
                <w:szCs w:val="28"/>
                <w:lang w:eastAsia="es-ES"/>
              </w:rPr>
            </w:pPr>
            <w:r w:rsidRPr="004D34E2">
              <w:rPr>
                <w:rFonts w:ascii="Arial" w:hAnsi="Arial" w:cs="Arial"/>
                <w:b/>
                <w:sz w:val="28"/>
                <w:szCs w:val="28"/>
                <w:lang w:eastAsia="es-ES"/>
              </w:rPr>
              <w:t>2021</w:t>
            </w:r>
          </w:p>
        </w:tc>
        <w:tc>
          <w:tcPr>
            <w:tcW w:w="4820" w:type="dxa"/>
          </w:tcPr>
          <w:p w:rsidR="00937767" w:rsidRPr="004D34E2" w:rsidRDefault="00937767" w:rsidP="00D17C23">
            <w:pPr>
              <w:spacing w:line="276" w:lineRule="auto"/>
              <w:jc w:val="center"/>
              <w:rPr>
                <w:rFonts w:ascii="Arial" w:hAnsi="Arial" w:cs="Arial"/>
                <w:b/>
              </w:rPr>
            </w:pPr>
            <w:r w:rsidRPr="004D34E2">
              <w:rPr>
                <w:rFonts w:ascii="Arial" w:hAnsi="Arial" w:cs="Arial"/>
                <w:b/>
              </w:rPr>
              <w:t>(90.802,8)</w:t>
            </w:r>
          </w:p>
        </w:tc>
      </w:tr>
      <w:tr w:rsidR="00937767" w:rsidRPr="004D34E2" w:rsidTr="00D17C23">
        <w:tc>
          <w:tcPr>
            <w:tcW w:w="5240" w:type="dxa"/>
          </w:tcPr>
          <w:p w:rsidR="00937767" w:rsidRPr="004D34E2" w:rsidRDefault="00937767" w:rsidP="00D17C23">
            <w:pPr>
              <w:pStyle w:val="Textoindependiente"/>
              <w:ind w:left="-821" w:right="-518"/>
              <w:jc w:val="center"/>
              <w:rPr>
                <w:rFonts w:ascii="Arial" w:hAnsi="Arial" w:cs="Arial"/>
                <w:b/>
                <w:sz w:val="28"/>
                <w:szCs w:val="28"/>
                <w:lang w:eastAsia="es-ES"/>
              </w:rPr>
            </w:pPr>
            <w:r w:rsidRPr="004D34E2">
              <w:rPr>
                <w:rFonts w:ascii="Arial" w:hAnsi="Arial" w:cs="Arial"/>
                <w:b/>
                <w:sz w:val="28"/>
                <w:szCs w:val="28"/>
                <w:lang w:eastAsia="es-ES"/>
              </w:rPr>
              <w:t>2022</w:t>
            </w:r>
          </w:p>
        </w:tc>
        <w:tc>
          <w:tcPr>
            <w:tcW w:w="4820" w:type="dxa"/>
          </w:tcPr>
          <w:p w:rsidR="00937767" w:rsidRPr="004D34E2" w:rsidRDefault="00937767" w:rsidP="00D17C23">
            <w:pPr>
              <w:pStyle w:val="Textoindependiente"/>
              <w:ind w:left="-668" w:right="-518"/>
              <w:jc w:val="center"/>
              <w:rPr>
                <w:rFonts w:ascii="Arial" w:hAnsi="Arial" w:cs="Arial"/>
                <w:b/>
                <w:sz w:val="24"/>
                <w:lang w:eastAsia="es-ES"/>
              </w:rPr>
            </w:pPr>
            <w:r w:rsidRPr="004D34E2">
              <w:rPr>
                <w:rFonts w:ascii="Arial" w:hAnsi="Arial" w:cs="Arial"/>
                <w:b/>
                <w:sz w:val="24"/>
                <w:lang w:eastAsia="es-ES"/>
              </w:rPr>
              <w:t>(116.616,8)</w:t>
            </w:r>
          </w:p>
        </w:tc>
      </w:tr>
      <w:tr w:rsidR="00937767" w:rsidRPr="004D34E2" w:rsidTr="00D17C23">
        <w:tc>
          <w:tcPr>
            <w:tcW w:w="5240" w:type="dxa"/>
          </w:tcPr>
          <w:p w:rsidR="00937767" w:rsidRPr="004D34E2" w:rsidRDefault="00937767" w:rsidP="00D17C23">
            <w:pPr>
              <w:pStyle w:val="Textoindependiente"/>
              <w:ind w:left="-821" w:right="-518"/>
              <w:jc w:val="center"/>
              <w:rPr>
                <w:rFonts w:ascii="Arial" w:hAnsi="Arial" w:cs="Arial"/>
                <w:b/>
                <w:sz w:val="28"/>
                <w:szCs w:val="28"/>
                <w:lang w:eastAsia="es-ES"/>
              </w:rPr>
            </w:pPr>
            <w:r w:rsidRPr="004D34E2">
              <w:rPr>
                <w:rFonts w:ascii="Arial" w:hAnsi="Arial" w:cs="Arial"/>
                <w:b/>
                <w:sz w:val="28"/>
                <w:szCs w:val="28"/>
                <w:lang w:eastAsia="es-ES"/>
              </w:rPr>
              <w:t>2023</w:t>
            </w:r>
          </w:p>
        </w:tc>
        <w:tc>
          <w:tcPr>
            <w:tcW w:w="4820" w:type="dxa"/>
          </w:tcPr>
          <w:p w:rsidR="00937767" w:rsidRPr="004D34E2" w:rsidRDefault="00937767" w:rsidP="00D17C23">
            <w:pPr>
              <w:pStyle w:val="Textoindependiente"/>
              <w:ind w:left="-668" w:right="-518"/>
              <w:jc w:val="center"/>
              <w:rPr>
                <w:rFonts w:ascii="Arial" w:hAnsi="Arial" w:cs="Arial"/>
                <w:b/>
                <w:sz w:val="24"/>
                <w:lang w:eastAsia="es-ES"/>
              </w:rPr>
            </w:pPr>
            <w:r w:rsidRPr="004D34E2">
              <w:rPr>
                <w:rFonts w:ascii="Arial" w:hAnsi="Arial" w:cs="Arial"/>
                <w:b/>
                <w:sz w:val="24"/>
                <w:lang w:eastAsia="es-ES"/>
              </w:rPr>
              <w:t>11.019,1</w:t>
            </w:r>
          </w:p>
        </w:tc>
      </w:tr>
    </w:tbl>
    <w:p w:rsidR="00937767" w:rsidRPr="004D34E2" w:rsidRDefault="00937767" w:rsidP="00937767">
      <w:pPr>
        <w:pStyle w:val="Textoindependiente"/>
        <w:ind w:left="-142" w:right="-518"/>
        <w:jc w:val="both"/>
        <w:rPr>
          <w:rFonts w:ascii="Arial" w:hAnsi="Arial" w:cs="Arial"/>
          <w:sz w:val="18"/>
          <w:szCs w:val="18"/>
          <w:lang w:eastAsia="es-ES"/>
        </w:rPr>
      </w:pPr>
      <w:r w:rsidRPr="004D34E2">
        <w:rPr>
          <w:rFonts w:ascii="Arial" w:hAnsi="Arial" w:cs="Arial"/>
          <w:sz w:val="18"/>
          <w:szCs w:val="18"/>
          <w:lang w:eastAsia="es-ES"/>
        </w:rPr>
        <w:t>Fuente: Contaduría General de la Nación</w:t>
      </w: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D17C23">
      <w:pPr>
        <w:pStyle w:val="Ttulo2"/>
      </w:pPr>
      <w:bookmarkStart w:id="29" w:name="_Toc8656137"/>
      <w:bookmarkStart w:id="30" w:name="_Toc165650375"/>
      <w:bookmarkStart w:id="31" w:name="_Toc166618728"/>
      <w:r w:rsidRPr="004D34E2">
        <w:t>“3.3.- ESTADO DE SITUACIÓN FINANCIERA CONSOLIDADO</w:t>
      </w:r>
      <w:bookmarkEnd w:id="29"/>
      <w:bookmarkEnd w:id="30"/>
      <w:bookmarkEnd w:id="31"/>
      <w:r w:rsidRPr="004D34E2">
        <w:t>.</w:t>
      </w:r>
    </w:p>
    <w:p w:rsidR="00937767" w:rsidRPr="004D34E2" w:rsidRDefault="00937767" w:rsidP="00937767">
      <w:pPr>
        <w:ind w:left="-142" w:right="-518"/>
        <w:jc w:val="both"/>
        <w:rPr>
          <w:rFonts w:ascii="Arial" w:hAnsi="Arial" w:cs="Arial"/>
          <w:sz w:val="28"/>
          <w:szCs w:val="28"/>
          <w:lang w:val="es-CO"/>
        </w:rPr>
      </w:pPr>
    </w:p>
    <w:p w:rsidR="00937767" w:rsidRPr="004D34E2" w:rsidRDefault="00937767" w:rsidP="00937767">
      <w:pPr>
        <w:jc w:val="center"/>
        <w:rPr>
          <w:rFonts w:ascii="Arial" w:hAnsi="Arial" w:cs="Arial"/>
          <w:iCs/>
        </w:rPr>
      </w:pPr>
      <w:bookmarkStart w:id="32" w:name="_Toc165648995"/>
      <w:bookmarkStart w:id="33" w:name="_Toc166618840"/>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5</w:t>
      </w:r>
      <w:r w:rsidRPr="004D34E2">
        <w:rPr>
          <w:rFonts w:ascii="Arial" w:hAnsi="Arial" w:cs="Arial"/>
          <w:iCs/>
        </w:rPr>
        <w:fldChar w:fldCharType="end"/>
      </w:r>
      <w:r w:rsidRPr="004D34E2">
        <w:rPr>
          <w:rFonts w:ascii="Arial" w:hAnsi="Arial" w:cs="Arial"/>
          <w:iCs/>
        </w:rPr>
        <w:t xml:space="preserve"> Estado de situación financiera consolidado del nivel nacional</w:t>
      </w:r>
      <w:bookmarkEnd w:id="32"/>
      <w:bookmarkEnd w:id="33"/>
    </w:p>
    <w:p w:rsidR="00937767" w:rsidRPr="004D34E2" w:rsidRDefault="00937767" w:rsidP="00937767">
      <w:pPr>
        <w:jc w:val="center"/>
        <w:rPr>
          <w:rFonts w:ascii="Arial" w:hAnsi="Arial" w:cs="Arial"/>
          <w:iCs/>
        </w:rPr>
      </w:pPr>
    </w:p>
    <w:p w:rsidR="00937767" w:rsidRPr="004D34E2" w:rsidRDefault="00937767" w:rsidP="00937767">
      <w:pPr>
        <w:jc w:val="center"/>
        <w:rPr>
          <w:iCs/>
        </w:rPr>
      </w:pPr>
      <w:r w:rsidRPr="004D34E2">
        <w:rPr>
          <w:noProof/>
          <w:lang w:val="es-CO" w:eastAsia="es-CO"/>
        </w:rPr>
        <w:drawing>
          <wp:inline distT="0" distB="0" distL="0" distR="0" wp14:anchorId="6F585E5E" wp14:editId="2C293010">
            <wp:extent cx="5943600" cy="1853610"/>
            <wp:effectExtent l="0" t="0" r="0" b="0"/>
            <wp:docPr id="3487133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t="6440"/>
                    <a:stretch/>
                  </pic:blipFill>
                  <pic:spPr bwMode="auto">
                    <a:xfrm>
                      <a:off x="0" y="0"/>
                      <a:ext cx="5943600" cy="1853610"/>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4D34E2" w:rsidRDefault="00937767" w:rsidP="00D17C23">
      <w:pPr>
        <w:pStyle w:val="Ttulo4"/>
      </w:pPr>
      <w:bookmarkStart w:id="34" w:name="_Toc166618730"/>
    </w:p>
    <w:p w:rsidR="00937767" w:rsidRPr="004D34E2" w:rsidRDefault="00937767" w:rsidP="00D17C23">
      <w:pPr>
        <w:pStyle w:val="Ttulo4"/>
        <w:numPr>
          <w:ilvl w:val="3"/>
          <w:numId w:val="10"/>
        </w:numPr>
      </w:pPr>
      <w:r w:rsidRPr="004D34E2">
        <w:t>Activos consolidados</w:t>
      </w:r>
      <w:bookmarkEnd w:id="34"/>
      <w:r w:rsidRPr="004D34E2">
        <w:t>.</w:t>
      </w:r>
    </w:p>
    <w:p w:rsidR="00937767" w:rsidRPr="004D34E2" w:rsidRDefault="00937767" w:rsidP="00937767">
      <w:pPr>
        <w:rPr>
          <w:lang w:val="es-CO" w:eastAsia="es-CO"/>
        </w:rPr>
      </w:pPr>
    </w:p>
    <w:p w:rsidR="00937767" w:rsidRPr="004D34E2" w:rsidRDefault="00937767" w:rsidP="00937767">
      <w:pPr>
        <w:ind w:left="-142"/>
        <w:jc w:val="both"/>
        <w:rPr>
          <w:rFonts w:ascii="Arial" w:hAnsi="Arial" w:cs="Arial"/>
        </w:rPr>
      </w:pPr>
      <w:r w:rsidRPr="004D34E2">
        <w:rPr>
          <w:rFonts w:ascii="Arial" w:hAnsi="Arial" w:cs="Arial"/>
          <w:b/>
          <w:u w:val="single"/>
        </w:rPr>
        <w:t>Los Activos consolidados de las entidades del nivel nacional al 31 de diciembre de 2023, registraron un monto de $895.837,6, lo que equivale al 57,0% del PIB del año en mención</w:t>
      </w:r>
      <w:r w:rsidRPr="004D34E2">
        <w:rPr>
          <w:rFonts w:ascii="Arial" w:hAnsi="Arial" w:cs="Arial"/>
        </w:rPr>
        <w:t>. Del total de los Activos consolidados, el 32,5%, es decir $291.172,6, están representados en activos corrientes; mientras que el 67,5% corresponden a activos no corrientes por $604.665,1. En la composición de los activos consolidados del nivel nacional se destacan los siguientes grupos. (Subrayado y resaltado fuera de texto).</w:t>
      </w:r>
    </w:p>
    <w:p w:rsidR="00937767" w:rsidRPr="004D34E2" w:rsidRDefault="00937767" w:rsidP="00937767">
      <w:pPr>
        <w:ind w:left="-142"/>
        <w:jc w:val="both"/>
        <w:rPr>
          <w:rFonts w:ascii="Arial" w:hAnsi="Arial" w:cs="Arial"/>
          <w:sz w:val="28"/>
          <w:szCs w:val="28"/>
          <w:lang w:val="es-CO"/>
        </w:rPr>
      </w:pPr>
    </w:p>
    <w:p w:rsidR="00937767" w:rsidRPr="004D34E2" w:rsidRDefault="00937767" w:rsidP="00937767">
      <w:pPr>
        <w:jc w:val="center"/>
        <w:rPr>
          <w:rFonts w:ascii="Arial" w:hAnsi="Arial" w:cs="Arial"/>
          <w:iCs/>
        </w:rPr>
      </w:pPr>
      <w:bookmarkStart w:id="35" w:name="_Toc165648996"/>
      <w:bookmarkStart w:id="36" w:name="_Toc166618841"/>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6</w:t>
      </w:r>
      <w:r w:rsidRPr="004D34E2">
        <w:rPr>
          <w:rFonts w:ascii="Arial" w:hAnsi="Arial" w:cs="Arial"/>
          <w:iCs/>
        </w:rPr>
        <w:fldChar w:fldCharType="end"/>
      </w:r>
      <w:r w:rsidRPr="004D34E2">
        <w:rPr>
          <w:rFonts w:ascii="Arial" w:hAnsi="Arial" w:cs="Arial"/>
          <w:iCs/>
        </w:rPr>
        <w:t xml:space="preserve"> Activos consolidados del nivel nacional</w:t>
      </w:r>
      <w:bookmarkEnd w:id="35"/>
      <w:bookmarkEnd w:id="36"/>
    </w:p>
    <w:p w:rsidR="00937767" w:rsidRPr="004D34E2" w:rsidRDefault="00937767" w:rsidP="00937767">
      <w:r w:rsidRPr="004D34E2">
        <w:rPr>
          <w:noProof/>
          <w:lang w:val="es-CO" w:eastAsia="es-CO"/>
        </w:rPr>
        <w:lastRenderedPageBreak/>
        <w:drawing>
          <wp:inline distT="0" distB="0" distL="0" distR="0" wp14:anchorId="4325AFA7" wp14:editId="17D06B58">
            <wp:extent cx="5943600" cy="1819497"/>
            <wp:effectExtent l="0" t="0" r="0" b="9525"/>
            <wp:docPr id="98300528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
                      <a:extLst>
                        <a:ext uri="{28A0092B-C50C-407E-A947-70E740481C1C}">
                          <a14:useLocalDpi xmlns:a14="http://schemas.microsoft.com/office/drawing/2010/main" val="0"/>
                        </a:ext>
                      </a:extLst>
                    </a:blip>
                    <a:srcRect t="9036"/>
                    <a:stretch/>
                  </pic:blipFill>
                  <pic:spPr bwMode="auto">
                    <a:xfrm>
                      <a:off x="0" y="0"/>
                      <a:ext cx="5943600" cy="1819497"/>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4D34E2" w:rsidRDefault="00937767" w:rsidP="00937767">
      <w:pPr>
        <w:jc w:val="both"/>
      </w:pPr>
    </w:p>
    <w:p w:rsidR="00937767" w:rsidRPr="004D34E2" w:rsidRDefault="00937767" w:rsidP="00937767">
      <w:pPr>
        <w:ind w:left="-142"/>
        <w:jc w:val="both"/>
        <w:rPr>
          <w:rFonts w:ascii="Arial" w:hAnsi="Arial" w:cs="Arial"/>
        </w:rPr>
      </w:pPr>
      <w:r w:rsidRPr="004D34E2">
        <w:rPr>
          <w:rFonts w:ascii="Arial" w:hAnsi="Arial" w:cs="Arial"/>
        </w:rPr>
        <w:t>Como se observa en la tabla anterior, las Propiedades, planta y equipo con $187.943,7, las Inversiones e instrumentos derivados $128.666,1, Otros activos con $126.846,2 y Bienes de uso público e históricos y culturales con $105.511,1, son los activos que mayor valor registran con el 21,0%, el 14,4%, el 14,2% y el 11,8% de participación en el total del activo respectivamente. Los demás conceptos, estructurados de acuerdo con el catálogo general de cuentas, en conjunto representan el 38,7%.</w:t>
      </w:r>
    </w:p>
    <w:p w:rsidR="00937767" w:rsidRPr="004D34E2" w:rsidRDefault="00937767" w:rsidP="00937767">
      <w:pPr>
        <w:ind w:left="-142"/>
        <w:jc w:val="both"/>
        <w:rPr>
          <w:rFonts w:ascii="Arial" w:hAnsi="Arial" w:cs="Arial"/>
          <w:sz w:val="28"/>
          <w:szCs w:val="28"/>
          <w:lang w:val="es-CO"/>
        </w:rPr>
      </w:pPr>
    </w:p>
    <w:p w:rsidR="00937767" w:rsidRPr="004D34E2" w:rsidRDefault="00937767" w:rsidP="00937767">
      <w:pPr>
        <w:ind w:left="-142"/>
        <w:jc w:val="both"/>
        <w:rPr>
          <w:rFonts w:ascii="Arial" w:hAnsi="Arial" w:cs="Arial"/>
        </w:rPr>
      </w:pPr>
      <w:r w:rsidRPr="004D34E2">
        <w:rPr>
          <w:rFonts w:ascii="Arial" w:hAnsi="Arial" w:cs="Arial"/>
          <w:b/>
          <w:u w:val="single"/>
        </w:rPr>
        <w:t>Al comparar el valor de los Activos consolidados de 2023 por $895.837,7, frente al de 2022 por $923.753,0, se observa una disminución de ($27.915,3), lo que equivale al (3,0%),</w:t>
      </w:r>
      <w:r w:rsidRPr="004D34E2">
        <w:rPr>
          <w:rFonts w:ascii="Arial" w:hAnsi="Arial" w:cs="Arial"/>
        </w:rPr>
        <w:t xml:space="preserve"> </w:t>
      </w:r>
      <w:bookmarkStart w:id="37" w:name="_Hlk164842886"/>
      <w:r w:rsidRPr="004D34E2">
        <w:rPr>
          <w:rFonts w:ascii="Arial" w:hAnsi="Arial" w:cs="Arial"/>
        </w:rPr>
        <w:t xml:space="preserve">variación de la cual los conceptos más representativos son: Recursos naturales no renovables con ($68.849,8), en tanto que los conceptos con variaciones positivas más representativas son: Inversiones e instrumentos derivados con $12.289,3, seguida de Otros activos con $11.685,2. </w:t>
      </w:r>
      <w:bookmarkEnd w:id="37"/>
      <w:r w:rsidRPr="004D34E2">
        <w:rPr>
          <w:rFonts w:ascii="Arial" w:hAnsi="Arial" w:cs="Arial"/>
        </w:rPr>
        <w:t>(Subrayado y resaltado fuera de texto).</w:t>
      </w:r>
    </w:p>
    <w:p w:rsidR="00937767" w:rsidRPr="004D34E2" w:rsidRDefault="00937767" w:rsidP="00937767">
      <w:pPr>
        <w:ind w:left="-142"/>
        <w:jc w:val="both"/>
        <w:rPr>
          <w:rFonts w:ascii="Arial" w:hAnsi="Arial" w:cs="Arial"/>
          <w:sz w:val="28"/>
          <w:szCs w:val="28"/>
          <w:lang w:val="es-CO"/>
        </w:rPr>
      </w:pPr>
    </w:p>
    <w:p w:rsidR="00937767" w:rsidRPr="004D34E2" w:rsidRDefault="00937767" w:rsidP="00D17C23">
      <w:pPr>
        <w:pStyle w:val="Ttulo4"/>
      </w:pPr>
      <w:bookmarkStart w:id="38" w:name="_Toc166618731"/>
      <w:r w:rsidRPr="004D34E2">
        <w:t>3.3.1.2.- PASIVOS CONSOLIDADOS</w:t>
      </w:r>
      <w:bookmarkEnd w:id="38"/>
      <w:r w:rsidRPr="004D34E2">
        <w:t>.</w:t>
      </w:r>
    </w:p>
    <w:p w:rsidR="00937767" w:rsidRPr="004D34E2" w:rsidRDefault="00937767" w:rsidP="00937767">
      <w:pPr>
        <w:rPr>
          <w:rFonts w:ascii="Arial" w:hAnsi="Arial" w:cs="Arial"/>
          <w:lang w:val="es-CO" w:eastAsia="es-CO"/>
        </w:rPr>
      </w:pPr>
    </w:p>
    <w:p w:rsidR="00937767" w:rsidRPr="004D34E2" w:rsidRDefault="00937767" w:rsidP="00937767">
      <w:pPr>
        <w:ind w:left="-142"/>
        <w:jc w:val="both"/>
        <w:rPr>
          <w:rFonts w:ascii="Arial" w:hAnsi="Arial" w:cs="Arial"/>
        </w:rPr>
      </w:pPr>
      <w:r w:rsidRPr="004D34E2">
        <w:rPr>
          <w:rFonts w:ascii="Arial" w:hAnsi="Arial" w:cs="Arial"/>
          <w:b/>
          <w:u w:val="single"/>
        </w:rPr>
        <w:t>Los pasivos consolidados del nivel nacional al 31 de diciembre de 2023 ascienden a $2.145.592,0, valor equivalente al 136,4% del PIB preliminar de 2023</w:t>
      </w:r>
      <w:r w:rsidRPr="004D34E2">
        <w:rPr>
          <w:rFonts w:ascii="Arial" w:hAnsi="Arial" w:cs="Arial"/>
        </w:rPr>
        <w:t>. Los pasivos consolidados del nivel nacional, teniendo en cuenta su exigibilidad, se clasifican en obligaciones corrientes, exigibles dentro del año siguiente por un monto de $585.399,8, representando el 27,3%, de los pasivos; mientras que el 72,7%, es decir, $1.560.192,2, representan obligaciones no corrientes, cuyo vencimiento es superior a un año. La composición de los pasivos consolidados se indica en la siguiente tabla: (Subrayado y resaltado fuera de texto).</w:t>
      </w:r>
    </w:p>
    <w:p w:rsidR="00937767" w:rsidRPr="004D34E2" w:rsidRDefault="00937767" w:rsidP="00937767">
      <w:pPr>
        <w:jc w:val="both"/>
      </w:pPr>
    </w:p>
    <w:p w:rsidR="00937767" w:rsidRPr="004D34E2" w:rsidRDefault="00937767" w:rsidP="00937767">
      <w:pPr>
        <w:jc w:val="center"/>
        <w:rPr>
          <w:rFonts w:ascii="Arial" w:hAnsi="Arial" w:cs="Arial"/>
          <w:iCs/>
        </w:rPr>
      </w:pPr>
      <w:bookmarkStart w:id="39" w:name="_Toc165648997"/>
      <w:bookmarkStart w:id="40" w:name="_Toc166618842"/>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7</w:t>
      </w:r>
      <w:r w:rsidRPr="004D34E2">
        <w:rPr>
          <w:rFonts w:ascii="Arial" w:hAnsi="Arial" w:cs="Arial"/>
          <w:iCs/>
        </w:rPr>
        <w:fldChar w:fldCharType="end"/>
      </w:r>
      <w:r w:rsidRPr="004D34E2">
        <w:rPr>
          <w:rFonts w:ascii="Arial" w:hAnsi="Arial" w:cs="Arial"/>
          <w:iCs/>
        </w:rPr>
        <w:t xml:space="preserve"> Pasivos consolidados del nivel nacional</w:t>
      </w:r>
      <w:bookmarkEnd w:id="39"/>
      <w:bookmarkEnd w:id="40"/>
    </w:p>
    <w:p w:rsidR="00937767" w:rsidRPr="004D34E2" w:rsidRDefault="00937767" w:rsidP="00937767">
      <w:pPr>
        <w:jc w:val="center"/>
        <w:rPr>
          <w:rFonts w:ascii="Arial" w:hAnsi="Arial" w:cs="Arial"/>
          <w:iCs/>
        </w:rPr>
      </w:pPr>
    </w:p>
    <w:p w:rsidR="00937767" w:rsidRPr="004D34E2" w:rsidRDefault="00937767" w:rsidP="00937767">
      <w:r w:rsidRPr="004D34E2">
        <w:rPr>
          <w:noProof/>
          <w:lang w:val="es-CO" w:eastAsia="es-CO"/>
        </w:rPr>
        <w:lastRenderedPageBreak/>
        <w:drawing>
          <wp:inline distT="0" distB="0" distL="0" distR="0" wp14:anchorId="31B2C1FF" wp14:editId="31C921DD">
            <wp:extent cx="5942912" cy="1670581"/>
            <wp:effectExtent l="0" t="0" r="1270" b="6350"/>
            <wp:docPr id="139456535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a:extLst>
                        <a:ext uri="{28A0092B-C50C-407E-A947-70E740481C1C}">
                          <a14:useLocalDpi xmlns:a14="http://schemas.microsoft.com/office/drawing/2010/main" val="0"/>
                        </a:ext>
                      </a:extLst>
                    </a:blip>
                    <a:srcRect l="5806" t="8715"/>
                    <a:stretch/>
                  </pic:blipFill>
                  <pic:spPr bwMode="auto">
                    <a:xfrm>
                      <a:off x="0" y="0"/>
                      <a:ext cx="5943600" cy="1670775"/>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4D34E2" w:rsidRDefault="00937767" w:rsidP="00937767">
      <w:pPr>
        <w:jc w:val="both"/>
      </w:pPr>
    </w:p>
    <w:p w:rsidR="00937767" w:rsidRPr="004D34E2" w:rsidRDefault="00937767" w:rsidP="00937767">
      <w:pPr>
        <w:ind w:left="-142"/>
        <w:jc w:val="both"/>
        <w:rPr>
          <w:rFonts w:ascii="Arial" w:hAnsi="Arial" w:cs="Arial"/>
        </w:rPr>
      </w:pPr>
      <w:r w:rsidRPr="004D34E2">
        <w:rPr>
          <w:rFonts w:ascii="Arial" w:hAnsi="Arial" w:cs="Arial"/>
          <w:b/>
          <w:u w:val="single"/>
        </w:rPr>
        <w:t>El pasivo por la Emisión y colocación de títulos de deuda, cuyo monto es de $686.239,4 es el concepto más representativo con el 32,0% del total de los pasivos</w:t>
      </w:r>
      <w:r w:rsidRPr="004D34E2">
        <w:rPr>
          <w:rFonts w:ascii="Arial" w:hAnsi="Arial" w:cs="Arial"/>
        </w:rPr>
        <w:t>. Le siguen en su orden, las obligaciones por Beneficios a los empleados con $643.747,9, representando el 30,0%; Otros pasivos el 15,3% y Préstamos por pagar el 11,3%; y Los demás conceptos del pasivo, estructurados de acuerdo con el catálogo general de cuentas, en conjunto representan el 11,4%. (Subrayado y resaltado fuera de texto).</w:t>
      </w:r>
    </w:p>
    <w:p w:rsidR="00937767" w:rsidRPr="004D34E2" w:rsidRDefault="00937767" w:rsidP="00937767">
      <w:pPr>
        <w:ind w:left="-142"/>
        <w:jc w:val="both"/>
        <w:rPr>
          <w:rFonts w:ascii="Arial" w:hAnsi="Arial" w:cs="Arial"/>
          <w:sz w:val="28"/>
          <w:szCs w:val="28"/>
          <w:lang w:val="es-CO"/>
        </w:rPr>
      </w:pPr>
    </w:p>
    <w:p w:rsidR="00937767" w:rsidRPr="004D34E2" w:rsidRDefault="00937767" w:rsidP="00937767">
      <w:pPr>
        <w:ind w:left="-142"/>
        <w:jc w:val="both"/>
        <w:rPr>
          <w:rFonts w:ascii="Arial" w:hAnsi="Arial" w:cs="Arial"/>
        </w:rPr>
      </w:pPr>
      <w:r w:rsidRPr="004D34E2">
        <w:rPr>
          <w:rFonts w:ascii="Arial" w:hAnsi="Arial" w:cs="Arial"/>
        </w:rPr>
        <w:t>Al comparar el valor de los pasivos consolidados de 2023, por $2.145.592,0, frente al monto de dicha clase en 2022, por $2.014.333,1, se observa una variación del 6,5%, explicado principalmente por los incrementos en Otros pasivos, Beneficios a los empleados, Cuentas por pagar y Provisiones.</w:t>
      </w:r>
    </w:p>
    <w:p w:rsidR="00937767" w:rsidRPr="004D34E2" w:rsidRDefault="00937767" w:rsidP="00937767">
      <w:pPr>
        <w:ind w:left="-142"/>
        <w:jc w:val="both"/>
        <w:rPr>
          <w:rFonts w:ascii="Arial" w:hAnsi="Arial" w:cs="Arial"/>
        </w:rPr>
      </w:pPr>
    </w:p>
    <w:p w:rsidR="00937767" w:rsidRPr="004D34E2" w:rsidRDefault="00937767" w:rsidP="00D17C23">
      <w:pPr>
        <w:pStyle w:val="Ttulo4"/>
      </w:pPr>
      <w:bookmarkStart w:id="41" w:name="_Toc166618732"/>
      <w:r w:rsidRPr="004D34E2">
        <w:t>3.3.1.3.- PATRIMONIO CONSOLIDADO</w:t>
      </w:r>
      <w:bookmarkEnd w:id="41"/>
      <w:r w:rsidRPr="004D34E2">
        <w:t>.</w:t>
      </w:r>
    </w:p>
    <w:p w:rsidR="00937767" w:rsidRPr="004D34E2" w:rsidRDefault="00937767" w:rsidP="00937767">
      <w:pPr>
        <w:rPr>
          <w:lang w:val="es-CO" w:eastAsia="es-CO"/>
        </w:rPr>
      </w:pPr>
    </w:p>
    <w:p w:rsidR="00937767" w:rsidRPr="004D34E2" w:rsidRDefault="00937767" w:rsidP="00937767">
      <w:pPr>
        <w:ind w:left="-142"/>
        <w:jc w:val="both"/>
        <w:rPr>
          <w:rFonts w:ascii="Arial" w:hAnsi="Arial" w:cs="Arial"/>
        </w:rPr>
      </w:pPr>
      <w:r w:rsidRPr="004D34E2">
        <w:rPr>
          <w:rFonts w:ascii="Arial" w:hAnsi="Arial" w:cs="Arial"/>
          <w:b/>
          <w:u w:val="single"/>
        </w:rPr>
        <w:t>El Patrimonio consolidado del nivel nacional al 31 de diciembre de 2023, registra un saldo negativo de ($1.249.754,3), presentando una variación del 14,6% con relación al valor de 2022</w:t>
      </w:r>
      <w:r w:rsidRPr="004D34E2">
        <w:rPr>
          <w:rFonts w:ascii="Arial" w:hAnsi="Arial" w:cs="Arial"/>
        </w:rPr>
        <w:t xml:space="preserve"> el cual ascendía a ($1.090.580,1). La estructura del patrimonio consolidado del nivel nacional por los diferentes grupos que lo conforman presenta los siguientes saldos comparativos: (Subrayado y resaltado fuera de texto).</w:t>
      </w:r>
    </w:p>
    <w:p w:rsidR="00937767" w:rsidRPr="004D34E2" w:rsidRDefault="00937767" w:rsidP="00937767">
      <w:pPr>
        <w:jc w:val="both"/>
      </w:pPr>
    </w:p>
    <w:p w:rsidR="00937767" w:rsidRPr="004D34E2" w:rsidRDefault="00937767" w:rsidP="00937767">
      <w:pPr>
        <w:jc w:val="center"/>
        <w:rPr>
          <w:rFonts w:ascii="Arial" w:hAnsi="Arial" w:cs="Arial"/>
          <w:iCs/>
        </w:rPr>
      </w:pPr>
      <w:bookmarkStart w:id="42" w:name="_Toc165648998"/>
      <w:bookmarkStart w:id="43" w:name="_Toc166618843"/>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8</w:t>
      </w:r>
      <w:r w:rsidRPr="004D34E2">
        <w:rPr>
          <w:rFonts w:ascii="Arial" w:hAnsi="Arial" w:cs="Arial"/>
          <w:iCs/>
        </w:rPr>
        <w:fldChar w:fldCharType="end"/>
      </w:r>
      <w:r w:rsidRPr="004D34E2">
        <w:rPr>
          <w:rFonts w:ascii="Arial" w:hAnsi="Arial" w:cs="Arial"/>
          <w:iCs/>
        </w:rPr>
        <w:t xml:space="preserve"> Patrimonio consolidado del nivel nacional</w:t>
      </w:r>
      <w:bookmarkEnd w:id="42"/>
      <w:bookmarkEnd w:id="43"/>
    </w:p>
    <w:p w:rsidR="00937767" w:rsidRPr="004D34E2" w:rsidRDefault="00937767" w:rsidP="00937767">
      <w:pPr>
        <w:jc w:val="center"/>
        <w:rPr>
          <w:rFonts w:ascii="Arial" w:hAnsi="Arial" w:cs="Arial"/>
          <w:iCs/>
        </w:rPr>
      </w:pPr>
    </w:p>
    <w:p w:rsidR="00937767" w:rsidRPr="004D34E2" w:rsidRDefault="00937767" w:rsidP="00937767">
      <w:pPr>
        <w:keepNext/>
        <w:rPr>
          <w:rFonts w:eastAsia="Arial"/>
          <w:iCs/>
          <w:lang w:eastAsia="es-CO"/>
        </w:rPr>
      </w:pPr>
      <w:bookmarkStart w:id="44" w:name="_Toc513813203"/>
      <w:r w:rsidRPr="004D34E2">
        <w:rPr>
          <w:noProof/>
          <w:lang w:val="es-CO" w:eastAsia="es-CO"/>
        </w:rPr>
        <w:drawing>
          <wp:inline distT="0" distB="0" distL="0" distR="0" wp14:anchorId="0C24E70B" wp14:editId="7EC0369B">
            <wp:extent cx="5943600" cy="1222596"/>
            <wp:effectExtent l="0" t="0" r="0" b="0"/>
            <wp:docPr id="8201960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t="12880"/>
                    <a:stretch/>
                  </pic:blipFill>
                  <pic:spPr bwMode="auto">
                    <a:xfrm>
                      <a:off x="0" y="0"/>
                      <a:ext cx="5943600" cy="1222596"/>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4D34E2" w:rsidRDefault="00937767" w:rsidP="00937767">
      <w:pPr>
        <w:keepNext/>
        <w:rPr>
          <w:rFonts w:eastAsia="Arial"/>
          <w:iCs/>
          <w:lang w:eastAsia="es-CO"/>
        </w:rPr>
      </w:pPr>
    </w:p>
    <w:bookmarkEnd w:id="44"/>
    <w:p w:rsidR="00937767" w:rsidRPr="004D34E2" w:rsidRDefault="00937767" w:rsidP="00937767">
      <w:pPr>
        <w:ind w:left="-142"/>
        <w:jc w:val="both"/>
        <w:rPr>
          <w:rFonts w:ascii="Arial" w:hAnsi="Arial" w:cs="Arial"/>
        </w:rPr>
      </w:pPr>
      <w:r w:rsidRPr="004D34E2">
        <w:rPr>
          <w:rFonts w:ascii="Arial" w:hAnsi="Arial" w:cs="Arial"/>
        </w:rPr>
        <w:t xml:space="preserve">Como se observa, el patrimonio de las empresas registra un valor positivo de $39.909,1; así mismo, la participación no controladora o inversionistas privados muestra la suma de $16.515,2 y el Resultado consolidado del ejercicio por $11.019,1. Los valores negativos están representados en el Patrimonio de entidades de gobierno ($1.306.180,1), y en el Neto saldos de operaciones recíprocas en el patrimonio de ($11.017,6)”. </w:t>
      </w:r>
    </w:p>
    <w:p w:rsidR="00937767" w:rsidRPr="004D34E2" w:rsidRDefault="00937767" w:rsidP="00937767">
      <w:pPr>
        <w:ind w:left="-142"/>
        <w:jc w:val="both"/>
        <w:rPr>
          <w:rFonts w:ascii="Arial" w:hAnsi="Arial" w:cs="Arial"/>
        </w:rPr>
      </w:pPr>
    </w:p>
    <w:p w:rsidR="00937767" w:rsidRPr="004D34E2" w:rsidRDefault="00937767" w:rsidP="00D17C23">
      <w:pPr>
        <w:pStyle w:val="Ttulo4"/>
      </w:pPr>
      <w:bookmarkStart w:id="45" w:name="_Toc166618733"/>
      <w:r w:rsidRPr="004D34E2">
        <w:lastRenderedPageBreak/>
        <w:t>3.3.1.4.- CUENTAS DE ORDEN</w:t>
      </w:r>
      <w:bookmarkEnd w:id="45"/>
      <w:r w:rsidRPr="004D34E2">
        <w:t>.</w:t>
      </w:r>
    </w:p>
    <w:p w:rsidR="00937767" w:rsidRPr="004D34E2" w:rsidRDefault="00937767" w:rsidP="00937767">
      <w:pPr>
        <w:rPr>
          <w:lang w:val="es-CO" w:eastAsia="es-CO"/>
        </w:rPr>
      </w:pPr>
    </w:p>
    <w:p w:rsidR="00937767" w:rsidRPr="004D34E2" w:rsidRDefault="00937767" w:rsidP="00937767">
      <w:pPr>
        <w:ind w:left="-142"/>
        <w:jc w:val="both"/>
        <w:rPr>
          <w:rFonts w:ascii="Arial" w:hAnsi="Arial" w:cs="Arial"/>
        </w:rPr>
      </w:pPr>
      <w:r w:rsidRPr="004D34E2">
        <w:rPr>
          <w:rFonts w:ascii="Arial" w:hAnsi="Arial" w:cs="Arial"/>
        </w:rPr>
        <w:t xml:space="preserve">Hacen parte de las cuentas de orden partidas que permiten controlar las operaciones que la entidad realiza con terceros y que, por su naturaleza, no afectan su situación financiera ni su rendimiento, y los que permiten ejercer control administrativo sobre bienes, derechos y obligaciones. </w:t>
      </w:r>
    </w:p>
    <w:p w:rsidR="00937767" w:rsidRPr="004D34E2" w:rsidRDefault="00937767" w:rsidP="00937767">
      <w:pPr>
        <w:ind w:left="-142"/>
        <w:jc w:val="both"/>
        <w:rPr>
          <w:rFonts w:ascii="Arial" w:hAnsi="Arial" w:cs="Arial"/>
        </w:rPr>
      </w:pPr>
    </w:p>
    <w:p w:rsidR="00937767" w:rsidRPr="004D34E2" w:rsidRDefault="00937767" w:rsidP="00937767">
      <w:pPr>
        <w:ind w:left="-142"/>
        <w:jc w:val="both"/>
        <w:rPr>
          <w:rFonts w:ascii="Arial" w:hAnsi="Arial" w:cs="Arial"/>
        </w:rPr>
      </w:pPr>
      <w:r w:rsidRPr="004D34E2">
        <w:rPr>
          <w:rFonts w:ascii="Arial" w:hAnsi="Arial" w:cs="Arial"/>
        </w:rPr>
        <w:t xml:space="preserve">Al 31 de diciembre de 2023, el detalle de los conceptos que conforman las Cuentas de orden consolidadas se muestra en la siguiente tabla: </w:t>
      </w:r>
    </w:p>
    <w:p w:rsidR="00937767" w:rsidRPr="004D34E2" w:rsidRDefault="00937767" w:rsidP="00937767"/>
    <w:p w:rsidR="00937767" w:rsidRPr="004D34E2" w:rsidRDefault="00937767" w:rsidP="00937767">
      <w:pPr>
        <w:jc w:val="center"/>
        <w:rPr>
          <w:rFonts w:ascii="Arial" w:hAnsi="Arial" w:cs="Arial"/>
          <w:iCs/>
        </w:rPr>
      </w:pPr>
      <w:bookmarkStart w:id="46" w:name="_Toc165648999"/>
      <w:bookmarkStart w:id="47" w:name="_Toc166618844"/>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9</w:t>
      </w:r>
      <w:r w:rsidRPr="004D34E2">
        <w:rPr>
          <w:rFonts w:ascii="Arial" w:hAnsi="Arial" w:cs="Arial"/>
          <w:iCs/>
        </w:rPr>
        <w:fldChar w:fldCharType="end"/>
      </w:r>
      <w:r w:rsidRPr="004D34E2">
        <w:rPr>
          <w:rFonts w:ascii="Arial" w:hAnsi="Arial" w:cs="Arial"/>
          <w:iCs/>
        </w:rPr>
        <w:t xml:space="preserve"> Cuentas de orden consolidadas del nivel nacional</w:t>
      </w:r>
      <w:bookmarkEnd w:id="46"/>
      <w:bookmarkEnd w:id="47"/>
    </w:p>
    <w:p w:rsidR="00937767" w:rsidRPr="004D34E2" w:rsidRDefault="00937767" w:rsidP="00937767">
      <w:pPr>
        <w:jc w:val="center"/>
        <w:rPr>
          <w:rFonts w:ascii="Arial" w:hAnsi="Arial" w:cs="Arial"/>
          <w:iCs/>
        </w:rPr>
      </w:pPr>
    </w:p>
    <w:p w:rsidR="00937767" w:rsidRPr="004D34E2" w:rsidRDefault="00937767" w:rsidP="00937767">
      <w:r w:rsidRPr="004D34E2">
        <w:rPr>
          <w:noProof/>
          <w:lang w:val="es-CO" w:eastAsia="es-CO"/>
        </w:rPr>
        <w:drawing>
          <wp:inline distT="0" distB="0" distL="0" distR="0" wp14:anchorId="2EFBDF8E" wp14:editId="0FBC1F2F">
            <wp:extent cx="5943600" cy="1547407"/>
            <wp:effectExtent l="0" t="0" r="0" b="0"/>
            <wp:docPr id="82954887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t="11548"/>
                    <a:stretch/>
                  </pic:blipFill>
                  <pic:spPr bwMode="auto">
                    <a:xfrm>
                      <a:off x="0" y="0"/>
                      <a:ext cx="5943600" cy="1547407"/>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4D34E2" w:rsidRDefault="00937767" w:rsidP="00937767">
      <w:pPr>
        <w:jc w:val="both"/>
      </w:pPr>
      <w:bookmarkStart w:id="48" w:name="_Toc393462531"/>
      <w:bookmarkStart w:id="49" w:name="_Toc444766108"/>
      <w:bookmarkStart w:id="50" w:name="_Toc513810842"/>
    </w:p>
    <w:p w:rsidR="00937767" w:rsidRPr="004D34E2" w:rsidRDefault="00937767" w:rsidP="00937767">
      <w:pPr>
        <w:ind w:left="-142"/>
        <w:jc w:val="both"/>
        <w:rPr>
          <w:rFonts w:ascii="Arial" w:hAnsi="Arial" w:cs="Arial"/>
        </w:rPr>
      </w:pPr>
      <w:r w:rsidRPr="004D34E2">
        <w:rPr>
          <w:rFonts w:ascii="Arial" w:hAnsi="Arial" w:cs="Arial"/>
        </w:rPr>
        <w:t>A diciembre 31 de 2023, las cuentas de orden Deudoras revelan un valor de $2.096.622,1, lo que representa el 133,3% del PIB para el 2023. El 76,7% de las cuentas de orden deudoras corresponde Activos contingentes, el 19,9% a Deudoras de control y el 3,4% a Deudoras fiscales. En comparación con el año anterior las cuentas de orden deudoras presentaron un incremento del 13,4%.</w:t>
      </w:r>
    </w:p>
    <w:p w:rsidR="00937767" w:rsidRPr="004D34E2" w:rsidRDefault="00937767" w:rsidP="00937767">
      <w:pPr>
        <w:ind w:left="-142"/>
        <w:jc w:val="both"/>
        <w:rPr>
          <w:rFonts w:ascii="Arial" w:hAnsi="Arial" w:cs="Arial"/>
        </w:rPr>
      </w:pPr>
    </w:p>
    <w:p w:rsidR="00937767" w:rsidRPr="004D34E2" w:rsidRDefault="00937767" w:rsidP="00937767">
      <w:pPr>
        <w:ind w:left="-142"/>
        <w:jc w:val="both"/>
        <w:rPr>
          <w:rFonts w:ascii="Arial" w:hAnsi="Arial" w:cs="Arial"/>
        </w:rPr>
      </w:pPr>
      <w:r w:rsidRPr="004D34E2">
        <w:rPr>
          <w:rFonts w:ascii="Arial" w:hAnsi="Arial" w:cs="Arial"/>
        </w:rPr>
        <w:t>Las Cuentas de orden Acreedoras totalizan un valor de $14.939.796,9, lo que representa un 950,0% del PIB del 2023. El 96,0% corresponde a responsabilidades contingentes, el 3,9% son acreedoras de control y menos del 0,1% a acreedoras fiscales. En comparación con el año anterior las cuentas de orden acreedoras presentaron un incremento del 12,3%.</w:t>
      </w:r>
    </w:p>
    <w:p w:rsidR="00937767" w:rsidRPr="004D34E2" w:rsidRDefault="00937767" w:rsidP="00937767">
      <w:pPr>
        <w:ind w:left="-142"/>
        <w:jc w:val="both"/>
      </w:pPr>
    </w:p>
    <w:p w:rsidR="00937767" w:rsidRPr="004D34E2" w:rsidRDefault="00937767" w:rsidP="00D17C23">
      <w:pPr>
        <w:pStyle w:val="Ttulo2"/>
      </w:pPr>
      <w:bookmarkStart w:id="51" w:name="_Toc165650377"/>
      <w:bookmarkStart w:id="52" w:name="_Toc166618734"/>
      <w:bookmarkEnd w:id="48"/>
      <w:bookmarkEnd w:id="49"/>
      <w:bookmarkEnd w:id="50"/>
      <w:r w:rsidRPr="004D34E2">
        <w:t>3.4.- ESTADO DE CAMBIOS EN EL PATRIMONIO CONSOLIDADO</w:t>
      </w:r>
      <w:bookmarkEnd w:id="51"/>
      <w:bookmarkEnd w:id="52"/>
      <w:r w:rsidRPr="004D34E2">
        <w:t>.</w:t>
      </w:r>
    </w:p>
    <w:p w:rsidR="00937767" w:rsidRPr="004D34E2" w:rsidRDefault="00937767" w:rsidP="00937767">
      <w:pPr>
        <w:ind w:left="-142"/>
        <w:jc w:val="both"/>
        <w:rPr>
          <w:rFonts w:ascii="Arial" w:hAnsi="Arial" w:cs="Arial"/>
        </w:rPr>
      </w:pPr>
    </w:p>
    <w:p w:rsidR="00937767" w:rsidRPr="004D34E2" w:rsidRDefault="00937767" w:rsidP="00937767">
      <w:pPr>
        <w:jc w:val="center"/>
        <w:rPr>
          <w:rFonts w:ascii="Arial" w:hAnsi="Arial" w:cs="Arial"/>
          <w:iCs/>
        </w:rPr>
      </w:pPr>
      <w:bookmarkStart w:id="53" w:name="_Toc165649000"/>
      <w:bookmarkStart w:id="54" w:name="_Toc166618845"/>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10</w:t>
      </w:r>
      <w:r w:rsidRPr="004D34E2">
        <w:rPr>
          <w:rFonts w:ascii="Arial" w:hAnsi="Arial" w:cs="Arial"/>
          <w:iCs/>
        </w:rPr>
        <w:fldChar w:fldCharType="end"/>
      </w:r>
      <w:r w:rsidRPr="004D34E2">
        <w:rPr>
          <w:rFonts w:ascii="Arial" w:hAnsi="Arial" w:cs="Arial"/>
          <w:iCs/>
        </w:rPr>
        <w:t xml:space="preserve"> Estado de cambios en el patrimonio consolidado</w:t>
      </w:r>
      <w:bookmarkEnd w:id="53"/>
      <w:r w:rsidRPr="004D34E2">
        <w:rPr>
          <w:rFonts w:ascii="Arial" w:hAnsi="Arial" w:cs="Arial"/>
          <w:iCs/>
        </w:rPr>
        <w:t xml:space="preserve"> nivel nacional</w:t>
      </w:r>
      <w:bookmarkEnd w:id="54"/>
    </w:p>
    <w:p w:rsidR="00937767" w:rsidRPr="004D34E2" w:rsidRDefault="00937767" w:rsidP="00937767">
      <w:pPr>
        <w:jc w:val="center"/>
        <w:rPr>
          <w:rFonts w:ascii="Arial" w:hAnsi="Arial" w:cs="Arial"/>
          <w:iCs/>
        </w:rPr>
      </w:pPr>
    </w:p>
    <w:p w:rsidR="00937767" w:rsidRPr="004D34E2" w:rsidRDefault="00937767" w:rsidP="00937767">
      <w:r w:rsidRPr="004D34E2">
        <w:rPr>
          <w:noProof/>
          <w:lang w:val="es-CO" w:eastAsia="es-CO"/>
        </w:rPr>
        <w:lastRenderedPageBreak/>
        <w:drawing>
          <wp:inline distT="0" distB="0" distL="0" distR="0" wp14:anchorId="3F050453" wp14:editId="3E83AB1C">
            <wp:extent cx="5943600" cy="3851275"/>
            <wp:effectExtent l="0" t="0" r="0" b="0"/>
            <wp:docPr id="500445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51275"/>
                    </a:xfrm>
                    <a:prstGeom prst="rect">
                      <a:avLst/>
                    </a:prstGeom>
                    <a:noFill/>
                    <a:ln>
                      <a:noFill/>
                    </a:ln>
                  </pic:spPr>
                </pic:pic>
              </a:graphicData>
            </a:graphic>
          </wp:inline>
        </w:drawing>
      </w:r>
    </w:p>
    <w:p w:rsidR="00937767" w:rsidRPr="004D34E2" w:rsidRDefault="00937767" w:rsidP="00937767">
      <w:pPr>
        <w:jc w:val="both"/>
      </w:pPr>
    </w:p>
    <w:p w:rsidR="00937767" w:rsidRPr="004D34E2" w:rsidRDefault="00937767" w:rsidP="00937767">
      <w:pPr>
        <w:ind w:left="-142"/>
        <w:jc w:val="both"/>
        <w:rPr>
          <w:rFonts w:ascii="Arial" w:hAnsi="Arial" w:cs="Arial"/>
        </w:rPr>
      </w:pPr>
      <w:r w:rsidRPr="004D34E2">
        <w:rPr>
          <w:rFonts w:ascii="Arial" w:hAnsi="Arial" w:cs="Arial"/>
        </w:rPr>
        <w:t xml:space="preserve">El Patrimonio consolidado del nivel nacional al 31 de diciembre de 2023 registra un valor negativo de ($1.249.754,3), distribuido en: Entidades de gobierno ($1.306.180,1); Empresas $39.909,1; Resultado consolidado $11.019,1; Participación no controladora $16.515,2; y Efecto de las operaciones recíprocas por ($11.017,6). </w:t>
      </w:r>
    </w:p>
    <w:p w:rsidR="00937767" w:rsidRPr="004D34E2" w:rsidRDefault="00937767" w:rsidP="00937767">
      <w:pPr>
        <w:ind w:left="-142"/>
        <w:jc w:val="center"/>
        <w:rPr>
          <w:rFonts w:ascii="Arial" w:hAnsi="Arial" w:cs="Arial"/>
        </w:rPr>
      </w:pPr>
    </w:p>
    <w:p w:rsidR="00937767" w:rsidRPr="004D34E2" w:rsidRDefault="00937767" w:rsidP="00937767">
      <w:pPr>
        <w:jc w:val="center"/>
        <w:rPr>
          <w:rFonts w:ascii="Arial" w:hAnsi="Arial" w:cs="Arial"/>
          <w:iCs/>
        </w:rPr>
      </w:pPr>
      <w:bookmarkStart w:id="55" w:name="_Toc165649001"/>
      <w:bookmarkStart w:id="56" w:name="_Toc166618846"/>
      <w:r w:rsidRPr="004D34E2">
        <w:rPr>
          <w:rFonts w:ascii="Arial" w:hAnsi="Arial" w:cs="Arial"/>
          <w:iCs/>
        </w:rPr>
        <w:t xml:space="preserve">Tabla </w:t>
      </w:r>
      <w:r w:rsidRPr="004D34E2">
        <w:rPr>
          <w:rFonts w:ascii="Arial" w:hAnsi="Arial" w:cs="Arial"/>
          <w:iCs/>
        </w:rPr>
        <w:fldChar w:fldCharType="begin"/>
      </w:r>
      <w:r w:rsidRPr="004D34E2">
        <w:rPr>
          <w:rFonts w:ascii="Arial" w:hAnsi="Arial" w:cs="Arial"/>
          <w:iCs/>
        </w:rPr>
        <w:instrText xml:space="preserve"> STYLEREF 1 \s </w:instrText>
      </w:r>
      <w:r w:rsidRPr="004D34E2">
        <w:rPr>
          <w:rFonts w:ascii="Arial" w:hAnsi="Arial" w:cs="Arial"/>
          <w:iCs/>
        </w:rPr>
        <w:fldChar w:fldCharType="separate"/>
      </w:r>
      <w:r w:rsidRPr="004D34E2">
        <w:rPr>
          <w:rFonts w:ascii="Arial" w:hAnsi="Arial" w:cs="Arial"/>
          <w:iCs/>
          <w:noProof/>
        </w:rPr>
        <w:t>3</w:t>
      </w:r>
      <w:r w:rsidRPr="004D34E2">
        <w:rPr>
          <w:rFonts w:ascii="Arial" w:hAnsi="Arial" w:cs="Arial"/>
          <w:iCs/>
        </w:rPr>
        <w:fldChar w:fldCharType="end"/>
      </w:r>
      <w:r w:rsidRPr="004D34E2">
        <w:rPr>
          <w:rFonts w:ascii="Arial" w:hAnsi="Arial" w:cs="Arial"/>
          <w:iCs/>
        </w:rPr>
        <w:noBreakHyphen/>
      </w:r>
      <w:r w:rsidRPr="004D34E2">
        <w:rPr>
          <w:rFonts w:ascii="Arial" w:hAnsi="Arial" w:cs="Arial"/>
          <w:iCs/>
        </w:rPr>
        <w:fldChar w:fldCharType="begin"/>
      </w:r>
      <w:r w:rsidRPr="004D34E2">
        <w:rPr>
          <w:rFonts w:ascii="Arial" w:hAnsi="Arial" w:cs="Arial"/>
          <w:iCs/>
        </w:rPr>
        <w:instrText xml:space="preserve"> SEQ Tabla \* ARABIC \s 1 </w:instrText>
      </w:r>
      <w:r w:rsidRPr="004D34E2">
        <w:rPr>
          <w:rFonts w:ascii="Arial" w:hAnsi="Arial" w:cs="Arial"/>
          <w:iCs/>
        </w:rPr>
        <w:fldChar w:fldCharType="separate"/>
      </w:r>
      <w:r w:rsidRPr="004D34E2">
        <w:rPr>
          <w:rFonts w:ascii="Arial" w:hAnsi="Arial" w:cs="Arial"/>
          <w:iCs/>
          <w:noProof/>
        </w:rPr>
        <w:t>11</w:t>
      </w:r>
      <w:r w:rsidRPr="004D34E2">
        <w:rPr>
          <w:rFonts w:ascii="Arial" w:hAnsi="Arial" w:cs="Arial"/>
          <w:iCs/>
        </w:rPr>
        <w:fldChar w:fldCharType="end"/>
      </w:r>
      <w:r w:rsidRPr="004D34E2">
        <w:rPr>
          <w:rFonts w:ascii="Arial" w:hAnsi="Arial" w:cs="Arial"/>
          <w:iCs/>
        </w:rPr>
        <w:t xml:space="preserve"> Estado de cambios en el patrimonio consolidado del nivel nacional - Variaciones patrimoniales</w:t>
      </w:r>
      <w:bookmarkEnd w:id="55"/>
      <w:bookmarkEnd w:id="56"/>
    </w:p>
    <w:p w:rsidR="00937767" w:rsidRPr="004D34E2" w:rsidRDefault="00937767" w:rsidP="00937767">
      <w:pPr>
        <w:jc w:val="center"/>
        <w:rPr>
          <w:rStyle w:val="Refdecomentario"/>
          <w:rFonts w:ascii="Arial" w:hAnsi="Arial" w:cs="Arial"/>
          <w:sz w:val="24"/>
          <w:szCs w:val="24"/>
        </w:rPr>
      </w:pPr>
    </w:p>
    <w:p w:rsidR="00937767" w:rsidRPr="004D34E2" w:rsidRDefault="00937767" w:rsidP="00937767">
      <w:pPr>
        <w:jc w:val="center"/>
      </w:pPr>
      <w:r w:rsidRPr="004D34E2">
        <w:rPr>
          <w:noProof/>
          <w:lang w:val="es-CO" w:eastAsia="es-CO"/>
        </w:rPr>
        <w:lastRenderedPageBreak/>
        <w:drawing>
          <wp:inline distT="0" distB="0" distL="0" distR="0" wp14:anchorId="5C482B89" wp14:editId="57BB02DB">
            <wp:extent cx="5794882" cy="4305300"/>
            <wp:effectExtent l="0" t="0" r="0" b="0"/>
            <wp:docPr id="17283062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5976" cy="4306113"/>
                    </a:xfrm>
                    <a:prstGeom prst="rect">
                      <a:avLst/>
                    </a:prstGeom>
                    <a:noFill/>
                    <a:ln>
                      <a:noFill/>
                    </a:ln>
                  </pic:spPr>
                </pic:pic>
              </a:graphicData>
            </a:graphic>
          </wp:inline>
        </w:drawing>
      </w:r>
    </w:p>
    <w:p w:rsidR="00937767" w:rsidRPr="004D34E2" w:rsidRDefault="00937767" w:rsidP="00937767">
      <w:pPr>
        <w:ind w:left="-142"/>
        <w:jc w:val="both"/>
      </w:pPr>
    </w:p>
    <w:p w:rsidR="00937767" w:rsidRPr="004D34E2" w:rsidRDefault="00937767" w:rsidP="00937767">
      <w:pPr>
        <w:ind w:left="-142"/>
        <w:jc w:val="both"/>
        <w:rPr>
          <w:rFonts w:ascii="Arial" w:hAnsi="Arial" w:cs="Arial"/>
        </w:rPr>
      </w:pPr>
      <w:r w:rsidRPr="004D34E2">
        <w:rPr>
          <w:rFonts w:ascii="Arial" w:hAnsi="Arial" w:cs="Arial"/>
          <w:b/>
          <w:u w:val="single"/>
        </w:rPr>
        <w:t>Al 31 de diciembre de 2023 el Patrimonio consolidado del nivel nacional es negativo en ($1.249.754,3)</w:t>
      </w:r>
      <w:r w:rsidRPr="004D34E2">
        <w:rPr>
          <w:rFonts w:ascii="Arial" w:hAnsi="Arial" w:cs="Arial"/>
        </w:rPr>
        <w:t xml:space="preserve"> y presentó una variación neta en ($159.174,2) teniendo en cuenta que al 31 de diciembre del año 2022 el patrimonio presentaba un valor negativo de ($1.090.580,1”). (Subrayado y resaltado fuera de texto).</w:t>
      </w:r>
    </w:p>
    <w:p w:rsidR="00937767" w:rsidRPr="004D34E2" w:rsidRDefault="00937767" w:rsidP="00937767">
      <w:pPr>
        <w:jc w:val="both"/>
      </w:pPr>
    </w:p>
    <w:p w:rsidR="00937767" w:rsidRPr="004D34E2" w:rsidRDefault="00937767" w:rsidP="00937767">
      <w:pPr>
        <w:pStyle w:val="Textoindependiente"/>
        <w:ind w:left="-142" w:right="49"/>
        <w:jc w:val="both"/>
        <w:rPr>
          <w:rFonts w:ascii="Arial" w:hAnsi="Arial" w:cs="Arial"/>
          <w:b/>
          <w:sz w:val="28"/>
          <w:szCs w:val="28"/>
        </w:rPr>
      </w:pPr>
      <w:r w:rsidRPr="004D34E2">
        <w:rPr>
          <w:rFonts w:ascii="Arial" w:hAnsi="Arial" w:cs="Arial"/>
          <w:b/>
          <w:sz w:val="28"/>
          <w:szCs w:val="28"/>
        </w:rPr>
        <w:t>-EVOLUCIÓN DEL PATRIMONIO DE LA NACIÓN PARA LAS VIGENCIAS FISCALES 2019, 2020, 2021, 2022 y 2023.</w:t>
      </w:r>
    </w:p>
    <w:p w:rsidR="00937767" w:rsidRPr="004D34E2" w:rsidRDefault="00937767" w:rsidP="00937767">
      <w:pPr>
        <w:pStyle w:val="Textoindependiente"/>
        <w:ind w:left="-142" w:right="-518"/>
        <w:jc w:val="both"/>
        <w:rPr>
          <w:rFonts w:ascii="Arial" w:hAnsi="Arial" w:cs="Arial"/>
          <w:b/>
          <w:sz w:val="28"/>
          <w:szCs w:val="28"/>
        </w:rPr>
      </w:pPr>
    </w:p>
    <w:p w:rsidR="00937767" w:rsidRPr="004D34E2" w:rsidRDefault="00937767" w:rsidP="00937767">
      <w:pPr>
        <w:pStyle w:val="Textoindependiente"/>
        <w:ind w:left="-142" w:right="-518"/>
        <w:jc w:val="center"/>
        <w:rPr>
          <w:rFonts w:ascii="Arial" w:hAnsi="Arial" w:cs="Arial"/>
          <w:sz w:val="24"/>
        </w:rPr>
      </w:pPr>
      <w:r w:rsidRPr="004D34E2">
        <w:rPr>
          <w:rFonts w:ascii="Arial" w:hAnsi="Arial" w:cs="Arial"/>
          <w:sz w:val="24"/>
        </w:rPr>
        <w:t>Miles de millones de pesos</w:t>
      </w:r>
    </w:p>
    <w:p w:rsidR="00937767" w:rsidRPr="004D34E2" w:rsidRDefault="00937767" w:rsidP="00937767">
      <w:pPr>
        <w:pStyle w:val="Textoindependiente"/>
        <w:ind w:left="-142" w:right="-518"/>
        <w:jc w:val="both"/>
        <w:rPr>
          <w:rFonts w:ascii="Arial" w:hAnsi="Arial" w:cs="Arial"/>
          <w:b/>
          <w:sz w:val="28"/>
          <w:szCs w:val="28"/>
        </w:rPr>
      </w:pPr>
    </w:p>
    <w:tbl>
      <w:tblPr>
        <w:tblStyle w:val="Tablaconcuadrcula"/>
        <w:tblW w:w="10060" w:type="dxa"/>
        <w:tblInd w:w="-142" w:type="dxa"/>
        <w:tblLook w:val="04A0" w:firstRow="1" w:lastRow="0" w:firstColumn="1" w:lastColumn="0" w:noHBand="0" w:noVBand="1"/>
      </w:tblPr>
      <w:tblGrid>
        <w:gridCol w:w="5240"/>
        <w:gridCol w:w="4820"/>
      </w:tblGrid>
      <w:tr w:rsidR="00937767" w:rsidRPr="004D34E2" w:rsidTr="00D17C23">
        <w:tc>
          <w:tcPr>
            <w:tcW w:w="5240" w:type="dxa"/>
          </w:tcPr>
          <w:p w:rsidR="00937767" w:rsidRPr="004D34E2" w:rsidRDefault="00937767" w:rsidP="00D17C23">
            <w:pPr>
              <w:pStyle w:val="Textoindependiente"/>
              <w:ind w:right="-518"/>
              <w:jc w:val="center"/>
              <w:rPr>
                <w:rFonts w:ascii="Arial" w:hAnsi="Arial" w:cs="Arial"/>
                <w:b/>
                <w:sz w:val="28"/>
                <w:szCs w:val="28"/>
                <w:lang w:eastAsia="es-ES"/>
              </w:rPr>
            </w:pPr>
            <w:r w:rsidRPr="004D34E2">
              <w:rPr>
                <w:rFonts w:ascii="Arial" w:hAnsi="Arial" w:cs="Arial"/>
                <w:b/>
                <w:sz w:val="28"/>
                <w:szCs w:val="28"/>
                <w:lang w:eastAsia="es-ES"/>
              </w:rPr>
              <w:t>AÑO</w:t>
            </w:r>
          </w:p>
        </w:tc>
        <w:tc>
          <w:tcPr>
            <w:tcW w:w="4820" w:type="dxa"/>
          </w:tcPr>
          <w:p w:rsidR="00937767" w:rsidRPr="004D34E2" w:rsidRDefault="00937767" w:rsidP="00D17C23">
            <w:pPr>
              <w:pStyle w:val="Textoindependiente"/>
              <w:ind w:left="-668" w:right="-518"/>
              <w:jc w:val="center"/>
              <w:rPr>
                <w:rFonts w:ascii="Arial" w:hAnsi="Arial" w:cs="Arial"/>
                <w:b/>
                <w:sz w:val="28"/>
                <w:szCs w:val="28"/>
                <w:lang w:eastAsia="es-ES"/>
              </w:rPr>
            </w:pPr>
            <w:r w:rsidRPr="004D34E2">
              <w:rPr>
                <w:rFonts w:ascii="Arial" w:hAnsi="Arial" w:cs="Arial"/>
                <w:b/>
                <w:sz w:val="28"/>
                <w:szCs w:val="28"/>
                <w:lang w:eastAsia="es-ES"/>
              </w:rPr>
              <w:t>VALOR PATRIMONIO</w:t>
            </w:r>
          </w:p>
          <w:p w:rsidR="00937767" w:rsidRPr="004D34E2" w:rsidRDefault="00937767" w:rsidP="00D17C23">
            <w:pPr>
              <w:pStyle w:val="Textoindependiente"/>
              <w:ind w:left="-668" w:right="-518"/>
              <w:jc w:val="center"/>
              <w:rPr>
                <w:rFonts w:ascii="Arial" w:hAnsi="Arial" w:cs="Arial"/>
                <w:b/>
                <w:sz w:val="28"/>
                <w:szCs w:val="28"/>
                <w:lang w:eastAsia="es-ES"/>
              </w:rPr>
            </w:pPr>
          </w:p>
        </w:tc>
      </w:tr>
      <w:tr w:rsidR="00937767" w:rsidRPr="004D34E2" w:rsidTr="00D17C23">
        <w:tc>
          <w:tcPr>
            <w:tcW w:w="5240" w:type="dxa"/>
          </w:tcPr>
          <w:p w:rsidR="00937767" w:rsidRPr="004D34E2" w:rsidRDefault="00937767" w:rsidP="00D17C23">
            <w:pPr>
              <w:pStyle w:val="Textoindependiente"/>
              <w:ind w:right="-518"/>
              <w:jc w:val="center"/>
              <w:rPr>
                <w:rFonts w:ascii="Arial" w:hAnsi="Arial" w:cs="Arial"/>
                <w:b/>
                <w:sz w:val="28"/>
                <w:szCs w:val="28"/>
                <w:lang w:eastAsia="es-ES"/>
              </w:rPr>
            </w:pPr>
            <w:r w:rsidRPr="004D34E2">
              <w:rPr>
                <w:rFonts w:ascii="Arial" w:hAnsi="Arial" w:cs="Arial"/>
                <w:b/>
                <w:sz w:val="28"/>
                <w:szCs w:val="28"/>
                <w:lang w:eastAsia="es-ES"/>
              </w:rPr>
              <w:t>2019</w:t>
            </w:r>
          </w:p>
        </w:tc>
        <w:tc>
          <w:tcPr>
            <w:tcW w:w="4820" w:type="dxa"/>
          </w:tcPr>
          <w:p w:rsidR="00937767" w:rsidRPr="004D34E2" w:rsidRDefault="00937767" w:rsidP="00D17C23">
            <w:pPr>
              <w:spacing w:line="276" w:lineRule="auto"/>
              <w:jc w:val="center"/>
              <w:rPr>
                <w:rFonts w:ascii="Arial" w:hAnsi="Arial" w:cs="Arial"/>
                <w:b/>
              </w:rPr>
            </w:pPr>
            <w:r w:rsidRPr="004D34E2">
              <w:rPr>
                <w:rFonts w:ascii="Arial" w:hAnsi="Arial" w:cs="Arial"/>
                <w:b/>
              </w:rPr>
              <w:t>(762.546,0)</w:t>
            </w:r>
          </w:p>
        </w:tc>
      </w:tr>
      <w:tr w:rsidR="00937767" w:rsidRPr="004D34E2" w:rsidTr="00D17C23">
        <w:tc>
          <w:tcPr>
            <w:tcW w:w="5240" w:type="dxa"/>
          </w:tcPr>
          <w:p w:rsidR="00937767" w:rsidRPr="004D34E2" w:rsidRDefault="00937767" w:rsidP="00D17C23">
            <w:pPr>
              <w:pStyle w:val="Textoindependiente"/>
              <w:ind w:right="-518"/>
              <w:jc w:val="center"/>
              <w:rPr>
                <w:rFonts w:ascii="Arial" w:hAnsi="Arial" w:cs="Arial"/>
                <w:b/>
                <w:sz w:val="28"/>
                <w:szCs w:val="28"/>
                <w:lang w:eastAsia="es-ES"/>
              </w:rPr>
            </w:pPr>
            <w:r w:rsidRPr="004D34E2">
              <w:rPr>
                <w:rFonts w:ascii="Arial" w:hAnsi="Arial" w:cs="Arial"/>
                <w:b/>
                <w:sz w:val="28"/>
                <w:szCs w:val="28"/>
                <w:lang w:eastAsia="es-ES"/>
              </w:rPr>
              <w:t>2020</w:t>
            </w:r>
          </w:p>
        </w:tc>
        <w:tc>
          <w:tcPr>
            <w:tcW w:w="4820" w:type="dxa"/>
          </w:tcPr>
          <w:p w:rsidR="00937767" w:rsidRPr="004D34E2" w:rsidRDefault="00937767" w:rsidP="00D17C23">
            <w:pPr>
              <w:spacing w:line="276" w:lineRule="auto"/>
              <w:jc w:val="center"/>
              <w:rPr>
                <w:rFonts w:ascii="Arial" w:hAnsi="Arial" w:cs="Arial"/>
                <w:b/>
              </w:rPr>
            </w:pPr>
            <w:r w:rsidRPr="004D34E2">
              <w:rPr>
                <w:rFonts w:ascii="Arial" w:hAnsi="Arial" w:cs="Arial"/>
                <w:b/>
              </w:rPr>
              <w:t>(830.581,6)</w:t>
            </w:r>
          </w:p>
        </w:tc>
      </w:tr>
      <w:tr w:rsidR="00937767" w:rsidRPr="004D34E2" w:rsidTr="00D17C23">
        <w:tc>
          <w:tcPr>
            <w:tcW w:w="5240" w:type="dxa"/>
          </w:tcPr>
          <w:p w:rsidR="00937767" w:rsidRPr="004D34E2" w:rsidRDefault="00937767" w:rsidP="00D17C23">
            <w:pPr>
              <w:pStyle w:val="Textoindependiente"/>
              <w:ind w:right="-518"/>
              <w:jc w:val="center"/>
              <w:rPr>
                <w:rFonts w:ascii="Arial" w:hAnsi="Arial" w:cs="Arial"/>
                <w:b/>
                <w:sz w:val="28"/>
                <w:szCs w:val="28"/>
                <w:lang w:eastAsia="es-ES"/>
              </w:rPr>
            </w:pPr>
            <w:r w:rsidRPr="004D34E2">
              <w:rPr>
                <w:rFonts w:ascii="Arial" w:hAnsi="Arial" w:cs="Arial"/>
                <w:b/>
                <w:sz w:val="28"/>
                <w:szCs w:val="28"/>
                <w:lang w:eastAsia="es-ES"/>
              </w:rPr>
              <w:t>2021</w:t>
            </w:r>
          </w:p>
        </w:tc>
        <w:tc>
          <w:tcPr>
            <w:tcW w:w="4820" w:type="dxa"/>
          </w:tcPr>
          <w:p w:rsidR="00937767" w:rsidRPr="004D34E2" w:rsidRDefault="00937767" w:rsidP="00D17C23">
            <w:pPr>
              <w:spacing w:line="276" w:lineRule="auto"/>
              <w:jc w:val="center"/>
              <w:rPr>
                <w:rFonts w:ascii="Arial" w:hAnsi="Arial" w:cs="Arial"/>
                <w:b/>
              </w:rPr>
            </w:pPr>
            <w:r w:rsidRPr="004D34E2">
              <w:rPr>
                <w:rFonts w:ascii="Arial" w:hAnsi="Arial" w:cs="Arial"/>
                <w:b/>
              </w:rPr>
              <w:t>(1.023.212,9)</w:t>
            </w:r>
          </w:p>
        </w:tc>
      </w:tr>
      <w:tr w:rsidR="00937767" w:rsidRPr="004D34E2" w:rsidTr="00D17C23">
        <w:tc>
          <w:tcPr>
            <w:tcW w:w="5240" w:type="dxa"/>
          </w:tcPr>
          <w:p w:rsidR="00937767" w:rsidRPr="004D34E2" w:rsidRDefault="00937767" w:rsidP="00D17C23">
            <w:pPr>
              <w:pStyle w:val="Textoindependiente"/>
              <w:ind w:right="-518"/>
              <w:jc w:val="center"/>
              <w:rPr>
                <w:rFonts w:ascii="Arial" w:hAnsi="Arial" w:cs="Arial"/>
                <w:b/>
                <w:sz w:val="28"/>
                <w:szCs w:val="28"/>
                <w:lang w:eastAsia="es-ES"/>
              </w:rPr>
            </w:pPr>
            <w:r w:rsidRPr="004D34E2">
              <w:rPr>
                <w:rFonts w:ascii="Arial" w:hAnsi="Arial" w:cs="Arial"/>
                <w:b/>
                <w:sz w:val="28"/>
                <w:szCs w:val="28"/>
                <w:lang w:eastAsia="es-ES"/>
              </w:rPr>
              <w:t>2022</w:t>
            </w:r>
          </w:p>
        </w:tc>
        <w:tc>
          <w:tcPr>
            <w:tcW w:w="4820" w:type="dxa"/>
          </w:tcPr>
          <w:p w:rsidR="00937767" w:rsidRPr="004D34E2" w:rsidRDefault="00937767" w:rsidP="00D17C23">
            <w:pPr>
              <w:pStyle w:val="Textoindependiente"/>
              <w:ind w:left="-526" w:right="-518"/>
              <w:jc w:val="center"/>
              <w:rPr>
                <w:rFonts w:ascii="Arial" w:hAnsi="Arial" w:cs="Arial"/>
                <w:b/>
                <w:sz w:val="24"/>
                <w:lang w:eastAsia="es-ES"/>
              </w:rPr>
            </w:pPr>
            <w:r w:rsidRPr="004D34E2">
              <w:rPr>
                <w:rFonts w:ascii="Arial" w:hAnsi="Arial" w:cs="Arial"/>
                <w:b/>
                <w:sz w:val="24"/>
                <w:lang w:eastAsia="es-ES"/>
              </w:rPr>
              <w:t>(1.090.580,1)</w:t>
            </w:r>
          </w:p>
        </w:tc>
      </w:tr>
      <w:tr w:rsidR="00937767" w:rsidRPr="004D34E2" w:rsidTr="00D17C23">
        <w:tc>
          <w:tcPr>
            <w:tcW w:w="5240" w:type="dxa"/>
          </w:tcPr>
          <w:p w:rsidR="00937767" w:rsidRPr="004D34E2" w:rsidRDefault="00937767" w:rsidP="00D17C23">
            <w:pPr>
              <w:pStyle w:val="Textoindependiente"/>
              <w:ind w:right="-518"/>
              <w:jc w:val="center"/>
              <w:rPr>
                <w:rFonts w:ascii="Arial" w:hAnsi="Arial" w:cs="Arial"/>
                <w:b/>
                <w:sz w:val="28"/>
                <w:szCs w:val="28"/>
                <w:lang w:eastAsia="es-ES"/>
              </w:rPr>
            </w:pPr>
            <w:r w:rsidRPr="004D34E2">
              <w:rPr>
                <w:rFonts w:ascii="Arial" w:hAnsi="Arial" w:cs="Arial"/>
                <w:b/>
                <w:sz w:val="28"/>
                <w:szCs w:val="28"/>
                <w:lang w:eastAsia="es-ES"/>
              </w:rPr>
              <w:t>2023</w:t>
            </w:r>
          </w:p>
        </w:tc>
        <w:tc>
          <w:tcPr>
            <w:tcW w:w="4820" w:type="dxa"/>
          </w:tcPr>
          <w:p w:rsidR="00937767" w:rsidRPr="004D34E2" w:rsidRDefault="00937767" w:rsidP="00D17C23">
            <w:pPr>
              <w:pStyle w:val="Textoindependiente"/>
              <w:ind w:left="-526" w:right="-518"/>
              <w:jc w:val="center"/>
              <w:rPr>
                <w:rFonts w:ascii="Arial" w:hAnsi="Arial" w:cs="Arial"/>
                <w:b/>
                <w:sz w:val="24"/>
                <w:lang w:eastAsia="es-ES"/>
              </w:rPr>
            </w:pPr>
            <w:r w:rsidRPr="004D34E2">
              <w:rPr>
                <w:rFonts w:ascii="Arial" w:hAnsi="Arial" w:cs="Arial"/>
                <w:b/>
                <w:sz w:val="24"/>
                <w:lang w:eastAsia="es-ES"/>
              </w:rPr>
              <w:t>(1.249.754,3)</w:t>
            </w:r>
          </w:p>
        </w:tc>
      </w:tr>
    </w:tbl>
    <w:p w:rsidR="00937767" w:rsidRPr="004D34E2" w:rsidRDefault="00937767" w:rsidP="00937767">
      <w:pPr>
        <w:pStyle w:val="Textoindependiente"/>
        <w:ind w:left="-142" w:right="-518"/>
        <w:jc w:val="both"/>
        <w:rPr>
          <w:rFonts w:ascii="Arial" w:hAnsi="Arial" w:cs="Arial"/>
          <w:sz w:val="18"/>
          <w:szCs w:val="18"/>
          <w:lang w:eastAsia="es-ES"/>
        </w:rPr>
      </w:pPr>
      <w:r w:rsidRPr="004D34E2">
        <w:rPr>
          <w:rFonts w:ascii="Arial" w:hAnsi="Arial" w:cs="Arial"/>
          <w:sz w:val="18"/>
          <w:szCs w:val="18"/>
          <w:lang w:eastAsia="es-ES"/>
        </w:rPr>
        <w:t>Fuente: Contaduría General de la Nación</w:t>
      </w:r>
    </w:p>
    <w:p w:rsidR="00937767" w:rsidRPr="004D34E2" w:rsidRDefault="00937767" w:rsidP="00937767">
      <w:pPr>
        <w:rPr>
          <w:rFonts w:ascii="Arial" w:hAnsi="Arial" w:cs="Arial"/>
        </w:rPr>
      </w:pPr>
      <w:r w:rsidRPr="004D34E2">
        <w:rPr>
          <w:rFonts w:ascii="Arial" w:hAnsi="Arial" w:cs="Arial"/>
        </w:rPr>
        <w:t xml:space="preserve">                                                </w:t>
      </w:r>
    </w:p>
    <w:p w:rsidR="00937767" w:rsidRPr="004D34E2" w:rsidRDefault="00937767" w:rsidP="00937767">
      <w:pPr>
        <w:ind w:left="-142"/>
        <w:jc w:val="both"/>
        <w:rPr>
          <w:rFonts w:ascii="Arial" w:hAnsi="Arial" w:cs="Arial"/>
          <w:b/>
          <w:sz w:val="28"/>
          <w:szCs w:val="28"/>
          <w:lang w:val="es-CO"/>
        </w:rPr>
      </w:pPr>
      <w:r w:rsidRPr="004D34E2">
        <w:rPr>
          <w:rFonts w:ascii="Arial" w:hAnsi="Arial" w:cs="Arial"/>
          <w:sz w:val="28"/>
          <w:szCs w:val="28"/>
          <w:lang w:val="es-CO"/>
        </w:rPr>
        <w:lastRenderedPageBreak/>
        <w:t>“</w:t>
      </w:r>
      <w:r w:rsidRPr="004D34E2">
        <w:rPr>
          <w:rFonts w:ascii="Arial" w:hAnsi="Arial" w:cs="Arial"/>
          <w:b/>
          <w:sz w:val="28"/>
          <w:szCs w:val="28"/>
          <w:lang w:val="es-CO"/>
        </w:rPr>
        <w:t>4.2.- NOTAS DE CARÁCTER ESPECÍFICO.</w:t>
      </w:r>
    </w:p>
    <w:p w:rsidR="00937767" w:rsidRPr="004D34E2" w:rsidRDefault="00937767" w:rsidP="00937767">
      <w:pPr>
        <w:ind w:left="-142"/>
        <w:jc w:val="both"/>
        <w:rPr>
          <w:rFonts w:ascii="Arial" w:hAnsi="Arial" w:cs="Arial"/>
          <w:b/>
          <w:sz w:val="28"/>
          <w:szCs w:val="28"/>
          <w:lang w:val="es-CO"/>
        </w:rPr>
      </w:pPr>
    </w:p>
    <w:p w:rsidR="00937767" w:rsidRPr="004D34E2" w:rsidRDefault="00937767" w:rsidP="00937767">
      <w:pPr>
        <w:ind w:left="-142"/>
        <w:jc w:val="both"/>
        <w:rPr>
          <w:rFonts w:ascii="Arial" w:hAnsi="Arial" w:cs="Arial"/>
          <w:b/>
          <w:sz w:val="28"/>
          <w:szCs w:val="28"/>
          <w:lang w:val="es-CO"/>
        </w:rPr>
      </w:pPr>
      <w:r w:rsidRPr="004D34E2">
        <w:rPr>
          <w:rFonts w:ascii="Arial" w:hAnsi="Arial" w:cs="Arial"/>
          <w:b/>
          <w:sz w:val="28"/>
          <w:szCs w:val="28"/>
          <w:lang w:val="es-CO"/>
        </w:rPr>
        <w:t>NOTA 5.- EFECTIVO Y EQUIVALENTE AL EFECTIVO.</w:t>
      </w:r>
    </w:p>
    <w:p w:rsidR="00937767" w:rsidRPr="00541020" w:rsidRDefault="00937767" w:rsidP="00937767">
      <w:pPr>
        <w:ind w:left="-142"/>
        <w:jc w:val="center"/>
        <w:rPr>
          <w:rFonts w:ascii="Arial" w:hAnsi="Arial" w:cs="Arial"/>
          <w:b/>
          <w:lang w:val="es-CO"/>
        </w:rPr>
      </w:pPr>
    </w:p>
    <w:p w:rsidR="00937767" w:rsidRDefault="00937767" w:rsidP="00937767">
      <w:pPr>
        <w:pStyle w:val="Descripcin"/>
        <w:jc w:val="center"/>
        <w:rPr>
          <w:rFonts w:ascii="Arial" w:hAnsi="Arial" w:cs="Arial"/>
          <w:color w:val="auto"/>
          <w:sz w:val="24"/>
          <w:szCs w:val="24"/>
        </w:rPr>
      </w:pPr>
      <w:bookmarkStart w:id="57" w:name="_Toc166618859"/>
      <w:r w:rsidRPr="00541020">
        <w:rPr>
          <w:rFonts w:ascii="Arial" w:hAnsi="Arial" w:cs="Arial"/>
          <w:color w:val="auto"/>
          <w:sz w:val="24"/>
          <w:szCs w:val="24"/>
        </w:rPr>
        <w:t xml:space="preserve">Tabla </w:t>
      </w:r>
      <w:r w:rsidRPr="00541020">
        <w:rPr>
          <w:rFonts w:ascii="Arial" w:hAnsi="Arial" w:cs="Arial"/>
          <w:color w:val="auto"/>
          <w:sz w:val="24"/>
          <w:szCs w:val="24"/>
        </w:rPr>
        <w:fldChar w:fldCharType="begin"/>
      </w:r>
      <w:r w:rsidRPr="00541020">
        <w:rPr>
          <w:rFonts w:ascii="Arial" w:hAnsi="Arial" w:cs="Arial"/>
          <w:color w:val="auto"/>
          <w:sz w:val="24"/>
          <w:szCs w:val="24"/>
        </w:rPr>
        <w:instrText xml:space="preserve"> STYLEREF 1 \s </w:instrText>
      </w:r>
      <w:r w:rsidRPr="00541020">
        <w:rPr>
          <w:rFonts w:ascii="Arial" w:hAnsi="Arial" w:cs="Arial"/>
          <w:color w:val="auto"/>
          <w:sz w:val="24"/>
          <w:szCs w:val="24"/>
        </w:rPr>
        <w:fldChar w:fldCharType="separate"/>
      </w:r>
      <w:r w:rsidRPr="00541020">
        <w:rPr>
          <w:rFonts w:ascii="Arial" w:hAnsi="Arial" w:cs="Arial"/>
          <w:noProof/>
          <w:color w:val="auto"/>
          <w:sz w:val="24"/>
          <w:szCs w:val="24"/>
        </w:rPr>
        <w:t>4</w:t>
      </w:r>
      <w:r w:rsidRPr="00541020">
        <w:rPr>
          <w:rFonts w:ascii="Arial" w:hAnsi="Arial" w:cs="Arial"/>
          <w:noProof/>
          <w:color w:val="auto"/>
          <w:sz w:val="24"/>
          <w:szCs w:val="24"/>
        </w:rPr>
        <w:fldChar w:fldCharType="end"/>
      </w:r>
      <w:r w:rsidRPr="00541020">
        <w:rPr>
          <w:rFonts w:ascii="Arial" w:hAnsi="Arial" w:cs="Arial"/>
          <w:color w:val="auto"/>
          <w:sz w:val="24"/>
          <w:szCs w:val="24"/>
        </w:rPr>
        <w:noBreakHyphen/>
      </w:r>
      <w:r w:rsidRPr="00541020">
        <w:rPr>
          <w:rFonts w:ascii="Arial" w:hAnsi="Arial" w:cs="Arial"/>
          <w:color w:val="auto"/>
          <w:sz w:val="24"/>
          <w:szCs w:val="24"/>
        </w:rPr>
        <w:fldChar w:fldCharType="begin"/>
      </w:r>
      <w:r w:rsidRPr="00541020">
        <w:rPr>
          <w:rFonts w:ascii="Arial" w:hAnsi="Arial" w:cs="Arial"/>
          <w:color w:val="auto"/>
          <w:sz w:val="24"/>
          <w:szCs w:val="24"/>
        </w:rPr>
        <w:instrText xml:space="preserve"> SEQ Tabla \* ARABIC \s 1 </w:instrText>
      </w:r>
      <w:r w:rsidRPr="00541020">
        <w:rPr>
          <w:rFonts w:ascii="Arial" w:hAnsi="Arial" w:cs="Arial"/>
          <w:color w:val="auto"/>
          <w:sz w:val="24"/>
          <w:szCs w:val="24"/>
        </w:rPr>
        <w:fldChar w:fldCharType="separate"/>
      </w:r>
      <w:r w:rsidRPr="00541020">
        <w:rPr>
          <w:rFonts w:ascii="Arial" w:hAnsi="Arial" w:cs="Arial"/>
          <w:noProof/>
          <w:color w:val="auto"/>
          <w:sz w:val="24"/>
          <w:szCs w:val="24"/>
        </w:rPr>
        <w:t>13</w:t>
      </w:r>
      <w:r w:rsidRPr="00541020">
        <w:rPr>
          <w:rFonts w:ascii="Arial" w:hAnsi="Arial" w:cs="Arial"/>
          <w:noProof/>
          <w:color w:val="auto"/>
          <w:sz w:val="24"/>
          <w:szCs w:val="24"/>
        </w:rPr>
        <w:fldChar w:fldCharType="end"/>
      </w:r>
      <w:r w:rsidRPr="00541020">
        <w:rPr>
          <w:rFonts w:ascii="Arial" w:hAnsi="Arial" w:cs="Arial"/>
          <w:color w:val="auto"/>
          <w:sz w:val="24"/>
          <w:szCs w:val="24"/>
        </w:rPr>
        <w:t xml:space="preserve"> Efectivo y equivalentes al efectivo (EFE) – Composición</w:t>
      </w:r>
      <w:bookmarkEnd w:id="57"/>
    </w:p>
    <w:p w:rsidR="00937767" w:rsidRPr="00541020" w:rsidRDefault="00937767" w:rsidP="00937767">
      <w:pPr>
        <w:rPr>
          <w:lang w:val="es-CO" w:eastAsia="en-US"/>
        </w:rPr>
      </w:pPr>
    </w:p>
    <w:p w:rsidR="00937767" w:rsidRPr="006500D9" w:rsidRDefault="00937767" w:rsidP="00937767">
      <w:pPr>
        <w:contextualSpacing/>
      </w:pPr>
      <w:r w:rsidRPr="00906FD8">
        <w:rPr>
          <w:noProof/>
          <w:lang w:val="es-CO" w:eastAsia="es-CO"/>
        </w:rPr>
        <w:drawing>
          <wp:inline distT="0" distB="0" distL="0" distR="0" wp14:anchorId="3C696E77" wp14:editId="33BF9C14">
            <wp:extent cx="5943600" cy="1842447"/>
            <wp:effectExtent l="0" t="0" r="0" b="5715"/>
            <wp:docPr id="1106004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6864" b="4623"/>
                    <a:stretch/>
                  </pic:blipFill>
                  <pic:spPr bwMode="auto">
                    <a:xfrm>
                      <a:off x="0" y="0"/>
                      <a:ext cx="5943600" cy="1842447"/>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6500D9" w:rsidRDefault="00937767" w:rsidP="00937767">
      <w:pPr>
        <w:contextualSpacing/>
      </w:pPr>
    </w:p>
    <w:p w:rsidR="00937767" w:rsidRPr="00541020" w:rsidRDefault="00937767" w:rsidP="00937767">
      <w:pPr>
        <w:ind w:left="-142"/>
        <w:contextualSpacing/>
        <w:jc w:val="both"/>
        <w:rPr>
          <w:rFonts w:ascii="Arial" w:hAnsi="Arial" w:cs="Arial"/>
          <w:color w:val="000000" w:themeColor="text1"/>
        </w:rPr>
      </w:pPr>
      <w:r w:rsidRPr="00541020">
        <w:rPr>
          <w:rFonts w:ascii="Arial" w:hAnsi="Arial" w:cs="Arial"/>
          <w:color w:val="000000" w:themeColor="text1"/>
        </w:rPr>
        <w:t>Una vez ejecutado el proceso de consolidación al cierre de 2023, se presenta la disminución por el efecto neto de eliminaciones y reclasificaciones de ($771,1), equivalente al 1,3% del total consolidado, y se obtiene un saldo final consolidado de $59.787,4, que representa el 6,7% del total del valor del activo del nivel nacional en 2023, que asciende a la suma de $895.837,7.</w:t>
      </w:r>
    </w:p>
    <w:p w:rsidR="00937767" w:rsidRDefault="00937767" w:rsidP="00937767">
      <w:pPr>
        <w:ind w:left="-142"/>
        <w:jc w:val="both"/>
        <w:rPr>
          <w:rFonts w:ascii="Arial" w:hAnsi="Arial" w:cs="Arial"/>
          <w:sz w:val="28"/>
          <w:szCs w:val="28"/>
          <w:lang w:val="es-CO"/>
        </w:rPr>
      </w:pPr>
    </w:p>
    <w:p w:rsidR="00937767" w:rsidRDefault="00937767" w:rsidP="00937767">
      <w:pPr>
        <w:ind w:left="-142"/>
        <w:jc w:val="both"/>
        <w:rPr>
          <w:rFonts w:ascii="Arial" w:hAnsi="Arial" w:cs="Arial"/>
          <w:sz w:val="28"/>
          <w:szCs w:val="28"/>
          <w:lang w:val="es-CO"/>
        </w:rPr>
      </w:pPr>
      <w:r w:rsidRPr="00E571DC">
        <w:rPr>
          <w:rFonts w:ascii="Arial" w:hAnsi="Arial" w:cs="Arial"/>
          <w:b/>
          <w:sz w:val="28"/>
          <w:szCs w:val="28"/>
          <w:lang w:val="es-CO"/>
        </w:rPr>
        <w:t>NOTA 6.- INVERSIONES EN INSTRUMENTOS DERIVADOS</w:t>
      </w:r>
      <w:r>
        <w:rPr>
          <w:rFonts w:ascii="Arial" w:hAnsi="Arial" w:cs="Arial"/>
          <w:sz w:val="28"/>
          <w:szCs w:val="28"/>
          <w:lang w:val="es-CO"/>
        </w:rPr>
        <w:t>.</w:t>
      </w:r>
    </w:p>
    <w:p w:rsidR="00937767" w:rsidRPr="003C685F" w:rsidRDefault="00937767" w:rsidP="00937767">
      <w:pPr>
        <w:pStyle w:val="Textoindependiente"/>
        <w:jc w:val="both"/>
        <w:rPr>
          <w:rFonts w:ascii="Verdana" w:hAnsi="Verdana"/>
          <w:lang w:val="es-CO"/>
        </w:rPr>
      </w:pPr>
    </w:p>
    <w:p w:rsidR="00937767" w:rsidRDefault="00937767" w:rsidP="00937767">
      <w:pPr>
        <w:pStyle w:val="Descripcin"/>
        <w:jc w:val="center"/>
        <w:rPr>
          <w:rFonts w:ascii="Arial" w:hAnsi="Arial" w:cs="Arial"/>
          <w:color w:val="auto"/>
          <w:sz w:val="24"/>
          <w:szCs w:val="24"/>
        </w:rPr>
      </w:pPr>
      <w:bookmarkStart w:id="58" w:name="_Toc135044778"/>
      <w:bookmarkStart w:id="59" w:name="_Toc166618862"/>
      <w:r w:rsidRPr="00E571DC">
        <w:rPr>
          <w:rFonts w:ascii="Arial" w:hAnsi="Arial" w:cs="Arial"/>
          <w:color w:val="auto"/>
          <w:sz w:val="24"/>
          <w:szCs w:val="24"/>
        </w:rPr>
        <w:t xml:space="preserve">Tabla </w:t>
      </w:r>
      <w:r w:rsidRPr="00E571DC">
        <w:rPr>
          <w:rFonts w:ascii="Arial" w:hAnsi="Arial" w:cs="Arial"/>
          <w:color w:val="auto"/>
          <w:sz w:val="24"/>
          <w:szCs w:val="24"/>
        </w:rPr>
        <w:fldChar w:fldCharType="begin"/>
      </w:r>
      <w:r w:rsidRPr="00E571DC">
        <w:rPr>
          <w:rFonts w:ascii="Arial" w:hAnsi="Arial" w:cs="Arial"/>
          <w:color w:val="auto"/>
          <w:sz w:val="24"/>
          <w:szCs w:val="24"/>
        </w:rPr>
        <w:instrText xml:space="preserve"> STYLEREF 1 \s </w:instrText>
      </w:r>
      <w:r w:rsidRPr="00E571DC">
        <w:rPr>
          <w:rFonts w:ascii="Arial" w:hAnsi="Arial" w:cs="Arial"/>
          <w:color w:val="auto"/>
          <w:sz w:val="24"/>
          <w:szCs w:val="24"/>
        </w:rPr>
        <w:fldChar w:fldCharType="separate"/>
      </w:r>
      <w:r w:rsidRPr="00E571DC">
        <w:rPr>
          <w:rFonts w:ascii="Arial" w:hAnsi="Arial" w:cs="Arial"/>
          <w:noProof/>
          <w:color w:val="auto"/>
          <w:sz w:val="24"/>
          <w:szCs w:val="24"/>
        </w:rPr>
        <w:t>4</w:t>
      </w:r>
      <w:r w:rsidRPr="00E571DC">
        <w:rPr>
          <w:rFonts w:ascii="Arial" w:hAnsi="Arial" w:cs="Arial"/>
          <w:noProof/>
          <w:color w:val="auto"/>
          <w:sz w:val="24"/>
          <w:szCs w:val="24"/>
        </w:rPr>
        <w:fldChar w:fldCharType="end"/>
      </w:r>
      <w:r w:rsidRPr="00E571DC">
        <w:rPr>
          <w:rFonts w:ascii="Arial" w:hAnsi="Arial" w:cs="Arial"/>
          <w:color w:val="auto"/>
          <w:sz w:val="24"/>
          <w:szCs w:val="24"/>
        </w:rPr>
        <w:noBreakHyphen/>
      </w:r>
      <w:r w:rsidRPr="00E571DC">
        <w:rPr>
          <w:rFonts w:ascii="Arial" w:hAnsi="Arial" w:cs="Arial"/>
          <w:color w:val="auto"/>
          <w:sz w:val="24"/>
          <w:szCs w:val="24"/>
        </w:rPr>
        <w:fldChar w:fldCharType="begin"/>
      </w:r>
      <w:r w:rsidRPr="00E571DC">
        <w:rPr>
          <w:rFonts w:ascii="Arial" w:hAnsi="Arial" w:cs="Arial"/>
          <w:color w:val="auto"/>
          <w:sz w:val="24"/>
          <w:szCs w:val="24"/>
        </w:rPr>
        <w:instrText xml:space="preserve"> SEQ Tabla \* ARABIC \s 1 </w:instrText>
      </w:r>
      <w:r w:rsidRPr="00E571DC">
        <w:rPr>
          <w:rFonts w:ascii="Arial" w:hAnsi="Arial" w:cs="Arial"/>
          <w:color w:val="auto"/>
          <w:sz w:val="24"/>
          <w:szCs w:val="24"/>
        </w:rPr>
        <w:fldChar w:fldCharType="separate"/>
      </w:r>
      <w:r w:rsidRPr="00E571DC">
        <w:rPr>
          <w:rFonts w:ascii="Arial" w:hAnsi="Arial" w:cs="Arial"/>
          <w:noProof/>
          <w:color w:val="auto"/>
          <w:sz w:val="24"/>
          <w:szCs w:val="24"/>
        </w:rPr>
        <w:t>16</w:t>
      </w:r>
      <w:r w:rsidRPr="00E571DC">
        <w:rPr>
          <w:rFonts w:ascii="Arial" w:hAnsi="Arial" w:cs="Arial"/>
          <w:noProof/>
          <w:color w:val="auto"/>
          <w:sz w:val="24"/>
          <w:szCs w:val="24"/>
        </w:rPr>
        <w:fldChar w:fldCharType="end"/>
      </w:r>
      <w:r w:rsidRPr="00E571DC">
        <w:rPr>
          <w:rFonts w:ascii="Arial" w:hAnsi="Arial" w:cs="Arial"/>
          <w:color w:val="auto"/>
          <w:sz w:val="24"/>
          <w:szCs w:val="24"/>
        </w:rPr>
        <w:t xml:space="preserve"> Inversiones e instrumentos derivados (IID) – composición</w:t>
      </w:r>
      <w:bookmarkEnd w:id="58"/>
      <w:bookmarkEnd w:id="59"/>
    </w:p>
    <w:p w:rsidR="00937767" w:rsidRPr="00E571DC" w:rsidRDefault="00937767" w:rsidP="00937767">
      <w:pPr>
        <w:rPr>
          <w:lang w:val="es-CO" w:eastAsia="en-US"/>
        </w:rPr>
      </w:pPr>
    </w:p>
    <w:p w:rsidR="00937767" w:rsidRDefault="00937767" w:rsidP="00937767">
      <w:pPr>
        <w:pStyle w:val="Textoindependiente"/>
        <w:jc w:val="both"/>
        <w:rPr>
          <w:rFonts w:ascii="Verdana" w:hAnsi="Verdana"/>
          <w:lang w:val="es-CO"/>
        </w:rPr>
      </w:pPr>
      <w:r w:rsidRPr="003C685F">
        <w:rPr>
          <w:noProof/>
          <w:lang w:val="es-CO" w:eastAsia="es-CO"/>
        </w:rPr>
        <w:drawing>
          <wp:inline distT="0" distB="0" distL="0" distR="0" wp14:anchorId="58D384BB" wp14:editId="4597CF21">
            <wp:extent cx="5943600" cy="2564765"/>
            <wp:effectExtent l="0" t="0" r="0" b="6985"/>
            <wp:docPr id="1949239543" name="Imagen 194923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2564765"/>
                    </a:xfrm>
                    <a:prstGeom prst="rect">
                      <a:avLst/>
                    </a:prstGeom>
                    <a:noFill/>
                    <a:ln>
                      <a:noFill/>
                    </a:ln>
                  </pic:spPr>
                </pic:pic>
              </a:graphicData>
            </a:graphic>
          </wp:inline>
        </w:drawing>
      </w:r>
    </w:p>
    <w:p w:rsidR="00937767" w:rsidRDefault="00937767" w:rsidP="00937767">
      <w:pPr>
        <w:ind w:left="-142"/>
        <w:jc w:val="both"/>
        <w:rPr>
          <w:rFonts w:ascii="Arial" w:hAnsi="Arial" w:cs="Arial"/>
          <w:lang w:val="es-CO"/>
        </w:rPr>
      </w:pPr>
      <w:r w:rsidRPr="00E571DC">
        <w:rPr>
          <w:rFonts w:ascii="Arial" w:hAnsi="Arial" w:cs="Arial"/>
          <w:lang w:val="es-CO"/>
        </w:rPr>
        <w:t xml:space="preserve">El saldo agregado del grupo alcanzó la suma de $335.671,9 y, una vez ejecutado el proceso de consolidación, se aplicó el efecto neto de las eliminaciones y reclasificaciones, que fue de ($207.005,8), para llegar a un saldo final consolidado de $128.666,1; este valor </w:t>
      </w:r>
      <w:r w:rsidRPr="00E571DC">
        <w:rPr>
          <w:rFonts w:ascii="Arial" w:hAnsi="Arial" w:cs="Arial"/>
          <w:lang w:val="es-CO"/>
        </w:rPr>
        <w:lastRenderedPageBreak/>
        <w:t>representa el 14,4% del total de los Activos del nivel nacional, que asciende a la suma de $895.837,7.</w:t>
      </w:r>
    </w:p>
    <w:p w:rsidR="00937767" w:rsidRPr="008055AF" w:rsidRDefault="00937767" w:rsidP="00937767">
      <w:pPr>
        <w:ind w:left="-142"/>
        <w:jc w:val="both"/>
        <w:rPr>
          <w:rFonts w:ascii="Arial" w:hAnsi="Arial" w:cs="Arial"/>
          <w:b/>
          <w:sz w:val="28"/>
          <w:szCs w:val="28"/>
          <w:lang w:val="es-CO"/>
        </w:rPr>
      </w:pPr>
    </w:p>
    <w:p w:rsidR="00937767" w:rsidRDefault="00937767" w:rsidP="00937767">
      <w:pPr>
        <w:ind w:left="-142"/>
        <w:jc w:val="both"/>
        <w:rPr>
          <w:rFonts w:ascii="Arial" w:hAnsi="Arial" w:cs="Arial"/>
          <w:b/>
          <w:sz w:val="28"/>
          <w:szCs w:val="28"/>
          <w:lang w:val="es-CO"/>
        </w:rPr>
      </w:pPr>
      <w:r w:rsidRPr="008055AF">
        <w:rPr>
          <w:rFonts w:ascii="Arial" w:hAnsi="Arial" w:cs="Arial"/>
          <w:b/>
          <w:sz w:val="28"/>
          <w:szCs w:val="28"/>
          <w:lang w:val="es-CO"/>
        </w:rPr>
        <w:t>NOTA 7. CUENTAS POR COBRAR</w:t>
      </w:r>
      <w:r>
        <w:rPr>
          <w:rFonts w:ascii="Arial" w:hAnsi="Arial" w:cs="Arial"/>
          <w:b/>
          <w:sz w:val="28"/>
          <w:szCs w:val="28"/>
          <w:lang w:val="es-CO"/>
        </w:rPr>
        <w:t xml:space="preserve"> - CXC</w:t>
      </w:r>
      <w:r w:rsidRPr="008055AF">
        <w:rPr>
          <w:rFonts w:ascii="Arial" w:hAnsi="Arial" w:cs="Arial"/>
          <w:b/>
          <w:sz w:val="28"/>
          <w:szCs w:val="28"/>
          <w:lang w:val="es-CO"/>
        </w:rPr>
        <w:t>.</w:t>
      </w:r>
    </w:p>
    <w:p w:rsidR="00937767" w:rsidRDefault="00937767" w:rsidP="00937767">
      <w:pPr>
        <w:ind w:left="-142"/>
        <w:jc w:val="both"/>
        <w:rPr>
          <w:rFonts w:ascii="Arial" w:hAnsi="Arial" w:cs="Arial"/>
          <w:b/>
          <w:sz w:val="28"/>
          <w:szCs w:val="28"/>
          <w:lang w:val="es-CO"/>
        </w:rPr>
      </w:pPr>
    </w:p>
    <w:p w:rsidR="00937767" w:rsidRDefault="00937767" w:rsidP="00937767">
      <w:pPr>
        <w:pStyle w:val="Descripcin"/>
        <w:jc w:val="center"/>
        <w:rPr>
          <w:rFonts w:ascii="Arial" w:hAnsi="Arial" w:cs="Arial"/>
          <w:color w:val="auto"/>
          <w:sz w:val="24"/>
          <w:szCs w:val="24"/>
        </w:rPr>
      </w:pPr>
      <w:bookmarkStart w:id="60" w:name="_Toc164701976"/>
      <w:bookmarkStart w:id="61" w:name="_Toc166618873"/>
      <w:r w:rsidRPr="00725B12">
        <w:rPr>
          <w:rFonts w:ascii="Arial" w:hAnsi="Arial" w:cs="Arial"/>
          <w:color w:val="auto"/>
          <w:sz w:val="24"/>
          <w:szCs w:val="24"/>
        </w:rPr>
        <w:t xml:space="preserve">Tabla </w:t>
      </w:r>
      <w:r w:rsidRPr="00725B12">
        <w:rPr>
          <w:rFonts w:ascii="Arial" w:hAnsi="Arial" w:cs="Arial"/>
          <w:color w:val="auto"/>
          <w:sz w:val="24"/>
          <w:szCs w:val="24"/>
        </w:rPr>
        <w:fldChar w:fldCharType="begin"/>
      </w:r>
      <w:r w:rsidRPr="00725B12">
        <w:rPr>
          <w:rFonts w:ascii="Arial" w:hAnsi="Arial" w:cs="Arial"/>
          <w:color w:val="auto"/>
          <w:sz w:val="24"/>
          <w:szCs w:val="24"/>
        </w:rPr>
        <w:instrText xml:space="preserve"> STYLEREF 1 \s </w:instrText>
      </w:r>
      <w:r w:rsidRPr="00725B12">
        <w:rPr>
          <w:rFonts w:ascii="Arial" w:hAnsi="Arial" w:cs="Arial"/>
          <w:color w:val="auto"/>
          <w:sz w:val="24"/>
          <w:szCs w:val="24"/>
        </w:rPr>
        <w:fldChar w:fldCharType="separate"/>
      </w:r>
      <w:r w:rsidRPr="00725B12">
        <w:rPr>
          <w:rFonts w:ascii="Arial" w:hAnsi="Arial" w:cs="Arial"/>
          <w:noProof/>
          <w:color w:val="auto"/>
          <w:sz w:val="24"/>
          <w:szCs w:val="24"/>
        </w:rPr>
        <w:t>4</w:t>
      </w:r>
      <w:r w:rsidRPr="00725B12">
        <w:rPr>
          <w:rFonts w:ascii="Arial" w:hAnsi="Arial" w:cs="Arial"/>
          <w:noProof/>
          <w:color w:val="auto"/>
          <w:sz w:val="24"/>
          <w:szCs w:val="24"/>
        </w:rPr>
        <w:fldChar w:fldCharType="end"/>
      </w:r>
      <w:r w:rsidRPr="00725B12">
        <w:rPr>
          <w:rFonts w:ascii="Arial" w:hAnsi="Arial" w:cs="Arial"/>
          <w:color w:val="auto"/>
          <w:sz w:val="24"/>
          <w:szCs w:val="24"/>
        </w:rPr>
        <w:noBreakHyphen/>
      </w:r>
      <w:r w:rsidRPr="00725B12">
        <w:rPr>
          <w:rFonts w:ascii="Arial" w:hAnsi="Arial" w:cs="Arial"/>
          <w:color w:val="auto"/>
          <w:sz w:val="24"/>
          <w:szCs w:val="24"/>
        </w:rPr>
        <w:fldChar w:fldCharType="begin"/>
      </w:r>
      <w:r w:rsidRPr="00725B12">
        <w:rPr>
          <w:rFonts w:ascii="Arial" w:hAnsi="Arial" w:cs="Arial"/>
          <w:color w:val="auto"/>
          <w:sz w:val="24"/>
          <w:szCs w:val="24"/>
        </w:rPr>
        <w:instrText xml:space="preserve"> SEQ Tabla \* ARABIC \s 1 </w:instrText>
      </w:r>
      <w:r w:rsidRPr="00725B12">
        <w:rPr>
          <w:rFonts w:ascii="Arial" w:hAnsi="Arial" w:cs="Arial"/>
          <w:color w:val="auto"/>
          <w:sz w:val="24"/>
          <w:szCs w:val="24"/>
        </w:rPr>
        <w:fldChar w:fldCharType="separate"/>
      </w:r>
      <w:r w:rsidRPr="00725B12">
        <w:rPr>
          <w:rFonts w:ascii="Arial" w:hAnsi="Arial" w:cs="Arial"/>
          <w:noProof/>
          <w:color w:val="auto"/>
          <w:sz w:val="24"/>
          <w:szCs w:val="24"/>
        </w:rPr>
        <w:t>27</w:t>
      </w:r>
      <w:r w:rsidRPr="00725B12">
        <w:rPr>
          <w:rFonts w:ascii="Arial" w:hAnsi="Arial" w:cs="Arial"/>
          <w:noProof/>
          <w:color w:val="auto"/>
          <w:sz w:val="24"/>
          <w:szCs w:val="24"/>
        </w:rPr>
        <w:fldChar w:fldCharType="end"/>
      </w:r>
      <w:r w:rsidRPr="00725B12">
        <w:rPr>
          <w:rFonts w:ascii="Arial" w:hAnsi="Arial" w:cs="Arial"/>
          <w:color w:val="auto"/>
          <w:sz w:val="24"/>
          <w:szCs w:val="24"/>
        </w:rPr>
        <w:t xml:space="preserve"> Cuentas por cobrar (CxC) – Composición</w:t>
      </w:r>
      <w:bookmarkEnd w:id="60"/>
      <w:bookmarkEnd w:id="61"/>
    </w:p>
    <w:p w:rsidR="00937767" w:rsidRPr="00725B12" w:rsidRDefault="00937767" w:rsidP="00937767">
      <w:pPr>
        <w:rPr>
          <w:lang w:val="es-CO" w:eastAsia="en-US"/>
        </w:rPr>
      </w:pPr>
    </w:p>
    <w:p w:rsidR="00937767" w:rsidRPr="00975504" w:rsidRDefault="00937767" w:rsidP="00937767">
      <w:pPr>
        <w:contextualSpacing/>
      </w:pPr>
      <w:r w:rsidRPr="00975504">
        <w:rPr>
          <w:noProof/>
          <w:lang w:val="es-CO" w:eastAsia="es-CO"/>
        </w:rPr>
        <w:drawing>
          <wp:inline distT="0" distB="0" distL="0" distR="0" wp14:anchorId="6BF1EC9E" wp14:editId="3B0F5C1D">
            <wp:extent cx="5942237" cy="2395855"/>
            <wp:effectExtent l="0" t="0" r="1905" b="4445"/>
            <wp:docPr id="2120114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059" b="3163"/>
                    <a:stretch/>
                  </pic:blipFill>
                  <pic:spPr bwMode="auto">
                    <a:xfrm>
                      <a:off x="0" y="0"/>
                      <a:ext cx="5943600" cy="2396405"/>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975504" w:rsidRDefault="00937767" w:rsidP="00937767">
      <w:pPr>
        <w:contextualSpacing/>
      </w:pPr>
    </w:p>
    <w:p w:rsidR="00937767" w:rsidRDefault="00937767" w:rsidP="00937767">
      <w:pPr>
        <w:ind w:left="-142"/>
        <w:contextualSpacing/>
        <w:jc w:val="both"/>
        <w:rPr>
          <w:rFonts w:ascii="Arial" w:hAnsi="Arial" w:cs="Arial"/>
          <w:color w:val="000000" w:themeColor="text1"/>
        </w:rPr>
      </w:pPr>
      <w:r w:rsidRPr="00725B12">
        <w:rPr>
          <w:rFonts w:ascii="Arial" w:hAnsi="Arial" w:cs="Arial"/>
          <w:b/>
          <w:color w:val="000000" w:themeColor="text1"/>
          <w:u w:val="single"/>
        </w:rPr>
        <w:t>Como se observa, al 31 de diciembre de 2023, el grupo Cuentas por cobrar alcanzó un total agregado de $116.315,0 que incluye el valor del Deterioro acumulado</w:t>
      </w:r>
      <w:r w:rsidRPr="00725B12">
        <w:rPr>
          <w:rFonts w:ascii="Arial" w:hAnsi="Arial" w:cs="Arial"/>
          <w:color w:val="000000" w:themeColor="text1"/>
        </w:rPr>
        <w:t>. Los conceptos a nivel agregado con mayor importancia relativa fueron: Otras cuentas por cobrar, con un monto de $49.788,0 y un incremento del 4,5% equivalente a $2.122,1 respecto al año anterior; seguido por Impuestos, retención en la fuente y anticipos de impuestos, con un valor de $28.034,4 y una variación positiva del 26,9%, equivalente a $5.946,0 respecto a 2022.</w:t>
      </w:r>
      <w:r>
        <w:rPr>
          <w:rFonts w:ascii="Arial" w:hAnsi="Arial" w:cs="Arial"/>
          <w:color w:val="000000" w:themeColor="text1"/>
        </w:rPr>
        <w:t xml:space="preserve"> (Subrayado y resaltado fuera de texto).</w:t>
      </w:r>
    </w:p>
    <w:p w:rsidR="00937767" w:rsidRDefault="00937767" w:rsidP="00937767">
      <w:pPr>
        <w:ind w:left="-142"/>
        <w:contextualSpacing/>
        <w:jc w:val="both"/>
        <w:rPr>
          <w:rFonts w:ascii="Arial" w:hAnsi="Arial" w:cs="Arial"/>
          <w:color w:val="000000" w:themeColor="text1"/>
        </w:rPr>
      </w:pPr>
    </w:p>
    <w:p w:rsidR="00937767" w:rsidRDefault="00937767" w:rsidP="00937767">
      <w:pPr>
        <w:ind w:left="-142"/>
        <w:contextualSpacing/>
        <w:jc w:val="both"/>
        <w:rPr>
          <w:rFonts w:ascii="Arial" w:hAnsi="Arial" w:cs="Arial"/>
          <w:color w:val="000000" w:themeColor="text1"/>
        </w:rPr>
      </w:pPr>
      <w:r w:rsidRPr="00535E4B">
        <w:rPr>
          <w:rFonts w:ascii="Arial" w:hAnsi="Arial" w:cs="Arial"/>
          <w:color w:val="000000" w:themeColor="text1"/>
        </w:rPr>
        <w:t>Como resultado, se obtiene un saldo final consolidado del grupo Cuentas por cobrar por valor de $94.090,1, representando el 10,5% del valor total del activo del nivel nacional, que asciende a $895.837,7</w:t>
      </w:r>
      <w:r>
        <w:rPr>
          <w:rFonts w:ascii="Arial" w:hAnsi="Arial" w:cs="Arial"/>
          <w:color w:val="000000" w:themeColor="text1"/>
        </w:rPr>
        <w:t>”</w:t>
      </w:r>
    </w:p>
    <w:p w:rsidR="00937767" w:rsidRPr="009D75F0" w:rsidRDefault="00937767" w:rsidP="00937767">
      <w:pPr>
        <w:ind w:left="-142"/>
        <w:contextualSpacing/>
        <w:jc w:val="both"/>
        <w:rPr>
          <w:rFonts w:ascii="Arial" w:hAnsi="Arial" w:cs="Arial"/>
          <w:b/>
          <w:color w:val="000000" w:themeColor="text1"/>
        </w:rPr>
      </w:pPr>
    </w:p>
    <w:p w:rsidR="00937767" w:rsidRDefault="00937767" w:rsidP="00937767">
      <w:pPr>
        <w:ind w:left="-142"/>
        <w:contextualSpacing/>
        <w:jc w:val="both"/>
        <w:rPr>
          <w:rFonts w:ascii="Arial" w:hAnsi="Arial" w:cs="Arial"/>
          <w:color w:val="000000" w:themeColor="text1"/>
        </w:rPr>
      </w:pPr>
      <w:r w:rsidRPr="009D75F0">
        <w:rPr>
          <w:rFonts w:ascii="Arial" w:hAnsi="Arial" w:cs="Arial"/>
          <w:b/>
          <w:color w:val="000000" w:themeColor="text1"/>
          <w:sz w:val="28"/>
          <w:szCs w:val="28"/>
        </w:rPr>
        <w:t>NOTA</w:t>
      </w:r>
      <w:r w:rsidRPr="009D75F0">
        <w:rPr>
          <w:rFonts w:ascii="Arial" w:hAnsi="Arial" w:cs="Arial"/>
          <w:color w:val="000000" w:themeColor="text1"/>
          <w:sz w:val="28"/>
          <w:szCs w:val="28"/>
        </w:rPr>
        <w:t xml:space="preserve">: </w:t>
      </w:r>
      <w:r w:rsidRPr="009D75F0">
        <w:rPr>
          <w:rFonts w:ascii="Arial" w:hAnsi="Arial" w:cs="Arial"/>
          <w:b/>
          <w:color w:val="000000" w:themeColor="text1"/>
          <w:sz w:val="28"/>
          <w:szCs w:val="28"/>
          <w:u w:val="single"/>
        </w:rPr>
        <w:t xml:space="preserve">Resaltamos que las cuentas por cobrar de difícil recaudo a 31 de diciembre de 2023 </w:t>
      </w:r>
      <w:r>
        <w:rPr>
          <w:rFonts w:ascii="Arial" w:hAnsi="Arial" w:cs="Arial"/>
          <w:b/>
          <w:color w:val="000000" w:themeColor="text1"/>
          <w:sz w:val="28"/>
          <w:szCs w:val="28"/>
          <w:u w:val="single"/>
        </w:rPr>
        <w:t xml:space="preserve">sumaron </w:t>
      </w:r>
      <w:r w:rsidRPr="009D75F0">
        <w:rPr>
          <w:rFonts w:ascii="Arial" w:hAnsi="Arial" w:cs="Arial"/>
          <w:b/>
          <w:color w:val="000000" w:themeColor="text1"/>
          <w:sz w:val="28"/>
          <w:szCs w:val="28"/>
          <w:u w:val="single"/>
        </w:rPr>
        <w:t>$ 5.8 billones</w:t>
      </w:r>
      <w:r w:rsidRPr="00535E4B">
        <w:rPr>
          <w:rFonts w:ascii="Arial" w:hAnsi="Arial" w:cs="Arial"/>
          <w:color w:val="000000" w:themeColor="text1"/>
        </w:rPr>
        <w:t>.</w:t>
      </w:r>
    </w:p>
    <w:p w:rsidR="00937767" w:rsidRDefault="00937767" w:rsidP="00937767">
      <w:pPr>
        <w:ind w:left="-142"/>
        <w:contextualSpacing/>
        <w:jc w:val="both"/>
        <w:rPr>
          <w:rFonts w:ascii="Arial" w:hAnsi="Arial" w:cs="Arial"/>
          <w:color w:val="000000" w:themeColor="text1"/>
        </w:rPr>
      </w:pPr>
    </w:p>
    <w:p w:rsidR="00937767" w:rsidRPr="009D75F0" w:rsidRDefault="00937767" w:rsidP="00937767">
      <w:pPr>
        <w:ind w:left="-142"/>
        <w:contextualSpacing/>
        <w:jc w:val="both"/>
        <w:rPr>
          <w:rFonts w:ascii="Arial" w:hAnsi="Arial" w:cs="Arial"/>
          <w:b/>
          <w:sz w:val="28"/>
          <w:szCs w:val="28"/>
        </w:rPr>
      </w:pPr>
      <w:r w:rsidRPr="009D75F0">
        <w:rPr>
          <w:rFonts w:ascii="Arial" w:hAnsi="Arial" w:cs="Arial"/>
          <w:b/>
          <w:sz w:val="28"/>
          <w:szCs w:val="28"/>
        </w:rPr>
        <w:t>“ENTIDADES QUE REGISTRAN LOS MAYORES VALORES DE C</w:t>
      </w:r>
      <w:r>
        <w:rPr>
          <w:rFonts w:ascii="Arial" w:hAnsi="Arial" w:cs="Arial"/>
          <w:b/>
          <w:sz w:val="28"/>
          <w:szCs w:val="28"/>
        </w:rPr>
        <w:t>UENTAS POR COBRAR - C</w:t>
      </w:r>
      <w:r w:rsidRPr="009D75F0">
        <w:rPr>
          <w:rFonts w:ascii="Arial" w:hAnsi="Arial" w:cs="Arial"/>
          <w:b/>
          <w:sz w:val="28"/>
          <w:szCs w:val="28"/>
        </w:rPr>
        <w:t>XC</w:t>
      </w:r>
      <w:r>
        <w:rPr>
          <w:rFonts w:ascii="Arial" w:hAnsi="Arial" w:cs="Arial"/>
          <w:b/>
          <w:sz w:val="28"/>
          <w:szCs w:val="28"/>
        </w:rPr>
        <w:t>.</w:t>
      </w:r>
    </w:p>
    <w:p w:rsidR="00937767" w:rsidRPr="00975504" w:rsidRDefault="00937767" w:rsidP="00937767">
      <w:pPr>
        <w:ind w:left="-142"/>
        <w:contextualSpacing/>
      </w:pPr>
    </w:p>
    <w:p w:rsidR="00937767" w:rsidRPr="009D75F0" w:rsidRDefault="00937767" w:rsidP="00937767">
      <w:pPr>
        <w:ind w:left="-142"/>
        <w:contextualSpacing/>
        <w:jc w:val="both"/>
        <w:rPr>
          <w:rFonts w:ascii="Arial" w:hAnsi="Arial" w:cs="Arial"/>
        </w:rPr>
      </w:pPr>
      <w:r w:rsidRPr="009D75F0">
        <w:rPr>
          <w:rFonts w:ascii="Arial" w:hAnsi="Arial" w:cs="Arial"/>
        </w:rPr>
        <w:t>Teniendo en cuenta que el saldo agregado del grupo Cuentas por cobrar es $116.315,0, a continuación, se listan las entidades que registran los mayores valores en los conceptos de mayor importancia relativa de los saldos reportados en 2023 comparados con el 2022, a saber: Otras cuentas por cobrar, Impuestos, retención en la fuente y anticipos de impuestos, Contribuciones tasas e ingresos no tributarios, y Deterioro acumulado de cuentas por cobrar (cr).</w:t>
      </w:r>
    </w:p>
    <w:p w:rsidR="00937767" w:rsidRDefault="00937767" w:rsidP="00937767">
      <w:pPr>
        <w:pStyle w:val="Descripcin"/>
        <w:jc w:val="center"/>
        <w:rPr>
          <w:rFonts w:ascii="Arial" w:hAnsi="Arial" w:cs="Arial"/>
          <w:color w:val="auto"/>
          <w:sz w:val="24"/>
          <w:szCs w:val="24"/>
        </w:rPr>
      </w:pPr>
      <w:bookmarkStart w:id="62" w:name="_Toc164701978"/>
      <w:bookmarkStart w:id="63" w:name="_Toc166618875"/>
      <w:r w:rsidRPr="009D75F0">
        <w:rPr>
          <w:rFonts w:ascii="Arial" w:hAnsi="Arial" w:cs="Arial"/>
          <w:color w:val="auto"/>
          <w:sz w:val="24"/>
          <w:szCs w:val="24"/>
        </w:rPr>
        <w:lastRenderedPageBreak/>
        <w:t xml:space="preserve">Tabla </w:t>
      </w:r>
      <w:r w:rsidRPr="009D75F0">
        <w:rPr>
          <w:rFonts w:ascii="Arial" w:hAnsi="Arial" w:cs="Arial"/>
          <w:color w:val="auto"/>
          <w:sz w:val="24"/>
          <w:szCs w:val="24"/>
        </w:rPr>
        <w:fldChar w:fldCharType="begin"/>
      </w:r>
      <w:r w:rsidRPr="009D75F0">
        <w:rPr>
          <w:rFonts w:ascii="Arial" w:hAnsi="Arial" w:cs="Arial"/>
          <w:color w:val="auto"/>
          <w:sz w:val="24"/>
          <w:szCs w:val="24"/>
        </w:rPr>
        <w:instrText xml:space="preserve"> STYLEREF 1 \s </w:instrText>
      </w:r>
      <w:r w:rsidRPr="009D75F0">
        <w:rPr>
          <w:rFonts w:ascii="Arial" w:hAnsi="Arial" w:cs="Arial"/>
          <w:color w:val="auto"/>
          <w:sz w:val="24"/>
          <w:szCs w:val="24"/>
        </w:rPr>
        <w:fldChar w:fldCharType="separate"/>
      </w:r>
      <w:r w:rsidRPr="009D75F0">
        <w:rPr>
          <w:rFonts w:ascii="Arial" w:hAnsi="Arial" w:cs="Arial"/>
          <w:noProof/>
          <w:color w:val="auto"/>
          <w:sz w:val="24"/>
          <w:szCs w:val="24"/>
        </w:rPr>
        <w:t>4</w:t>
      </w:r>
      <w:r w:rsidRPr="009D75F0">
        <w:rPr>
          <w:rFonts w:ascii="Arial" w:hAnsi="Arial" w:cs="Arial"/>
          <w:noProof/>
          <w:color w:val="auto"/>
          <w:sz w:val="24"/>
          <w:szCs w:val="24"/>
        </w:rPr>
        <w:fldChar w:fldCharType="end"/>
      </w:r>
      <w:r w:rsidRPr="009D75F0">
        <w:rPr>
          <w:rFonts w:ascii="Arial" w:hAnsi="Arial" w:cs="Arial"/>
          <w:color w:val="auto"/>
          <w:sz w:val="24"/>
          <w:szCs w:val="24"/>
        </w:rPr>
        <w:noBreakHyphen/>
      </w:r>
      <w:r w:rsidRPr="009D75F0">
        <w:rPr>
          <w:rFonts w:ascii="Arial" w:hAnsi="Arial" w:cs="Arial"/>
          <w:color w:val="auto"/>
          <w:sz w:val="24"/>
          <w:szCs w:val="24"/>
        </w:rPr>
        <w:fldChar w:fldCharType="begin"/>
      </w:r>
      <w:r w:rsidRPr="009D75F0">
        <w:rPr>
          <w:rFonts w:ascii="Arial" w:hAnsi="Arial" w:cs="Arial"/>
          <w:color w:val="auto"/>
          <w:sz w:val="24"/>
          <w:szCs w:val="24"/>
        </w:rPr>
        <w:instrText xml:space="preserve"> SEQ Tabla \* ARABIC \s 1 </w:instrText>
      </w:r>
      <w:r w:rsidRPr="009D75F0">
        <w:rPr>
          <w:rFonts w:ascii="Arial" w:hAnsi="Arial" w:cs="Arial"/>
          <w:color w:val="auto"/>
          <w:sz w:val="24"/>
          <w:szCs w:val="24"/>
        </w:rPr>
        <w:fldChar w:fldCharType="separate"/>
      </w:r>
      <w:r w:rsidRPr="009D75F0">
        <w:rPr>
          <w:rFonts w:ascii="Arial" w:hAnsi="Arial" w:cs="Arial"/>
          <w:noProof/>
          <w:color w:val="auto"/>
          <w:sz w:val="24"/>
          <w:szCs w:val="24"/>
        </w:rPr>
        <w:t>29</w:t>
      </w:r>
      <w:r w:rsidRPr="009D75F0">
        <w:rPr>
          <w:rFonts w:ascii="Arial" w:hAnsi="Arial" w:cs="Arial"/>
          <w:noProof/>
          <w:color w:val="auto"/>
          <w:sz w:val="24"/>
          <w:szCs w:val="24"/>
        </w:rPr>
        <w:fldChar w:fldCharType="end"/>
      </w:r>
      <w:r w:rsidRPr="009D75F0">
        <w:rPr>
          <w:rFonts w:ascii="Arial" w:hAnsi="Arial" w:cs="Arial"/>
          <w:color w:val="auto"/>
          <w:sz w:val="24"/>
          <w:szCs w:val="24"/>
        </w:rPr>
        <w:t xml:space="preserve"> CxC - Entidades más representativas</w:t>
      </w:r>
      <w:bookmarkEnd w:id="62"/>
      <w:bookmarkEnd w:id="63"/>
    </w:p>
    <w:p w:rsidR="00937767" w:rsidRPr="009D75F0" w:rsidRDefault="00937767" w:rsidP="00937767">
      <w:pPr>
        <w:rPr>
          <w:lang w:val="es-CO" w:eastAsia="en-US"/>
        </w:rPr>
      </w:pPr>
    </w:p>
    <w:p w:rsidR="00937767" w:rsidRPr="00975504" w:rsidRDefault="00937767" w:rsidP="00937767">
      <w:pPr>
        <w:widowControl w:val="0"/>
        <w:autoSpaceDE w:val="0"/>
        <w:autoSpaceDN w:val="0"/>
        <w:contextualSpacing/>
        <w:jc w:val="center"/>
      </w:pPr>
      <w:r w:rsidRPr="00975504">
        <w:rPr>
          <w:noProof/>
          <w:lang w:val="es-CO" w:eastAsia="es-CO"/>
        </w:rPr>
        <w:drawing>
          <wp:inline distT="0" distB="0" distL="0" distR="0" wp14:anchorId="574DA1F8" wp14:editId="584B9457">
            <wp:extent cx="5942965" cy="4908186"/>
            <wp:effectExtent l="0" t="0" r="635" b="6985"/>
            <wp:docPr id="20838977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433" b="1635"/>
                    <a:stretch/>
                  </pic:blipFill>
                  <pic:spPr bwMode="auto">
                    <a:xfrm>
                      <a:off x="0" y="0"/>
                      <a:ext cx="5943600" cy="4908710"/>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975504" w:rsidRDefault="00937767" w:rsidP="00937767">
      <w:pPr>
        <w:ind w:right="4"/>
        <w:contextualSpacing/>
        <w:jc w:val="both"/>
        <w:rPr>
          <w:sz w:val="18"/>
          <w:szCs w:val="18"/>
        </w:rPr>
      </w:pPr>
      <w:r w:rsidRPr="00975504">
        <w:rPr>
          <w:sz w:val="18"/>
          <w:szCs w:val="18"/>
        </w:rPr>
        <w:t>* En la clasificación “Resto de Entidades que reportan” se reflejan los saldos reportados por las demás entidades, los cuales analizados individualmente son inferiores a los reportados por las entidades más representativas.</w:t>
      </w:r>
    </w:p>
    <w:p w:rsidR="00937767" w:rsidRPr="00162A66" w:rsidRDefault="00937767" w:rsidP="00937767">
      <w:pPr>
        <w:jc w:val="both"/>
        <w:rPr>
          <w:sz w:val="18"/>
          <w:szCs w:val="18"/>
        </w:rPr>
      </w:pPr>
      <w:r w:rsidRPr="00162A66">
        <w:rPr>
          <w:sz w:val="18"/>
          <w:szCs w:val="18"/>
        </w:rPr>
        <w:t>**La entidad no reportó saldos en esta cuenta en la vigencia 2022, razón por la cual no se establece una relación porcentual.</w:t>
      </w:r>
    </w:p>
    <w:p w:rsidR="00937767" w:rsidRPr="00975504" w:rsidRDefault="00937767" w:rsidP="00937767">
      <w:pPr>
        <w:widowControl w:val="0"/>
        <w:autoSpaceDE w:val="0"/>
        <w:autoSpaceDN w:val="0"/>
        <w:contextualSpacing/>
        <w:rPr>
          <w:sz w:val="18"/>
          <w:szCs w:val="18"/>
        </w:rPr>
      </w:pPr>
    </w:p>
    <w:p w:rsidR="00937767" w:rsidRPr="009D75F0" w:rsidRDefault="00937767" w:rsidP="00937767">
      <w:pPr>
        <w:ind w:left="-142"/>
        <w:contextualSpacing/>
        <w:jc w:val="both"/>
        <w:rPr>
          <w:rFonts w:ascii="Arial" w:hAnsi="Arial" w:cs="Arial"/>
          <w:color w:val="000000" w:themeColor="text1"/>
        </w:rPr>
      </w:pPr>
      <w:r w:rsidRPr="009D75F0">
        <w:rPr>
          <w:rFonts w:ascii="Arial" w:hAnsi="Arial" w:cs="Arial"/>
          <w:b/>
          <w:color w:val="000000" w:themeColor="text1"/>
          <w:u w:val="single"/>
        </w:rPr>
        <w:t>Teniendo en cuenta que para el año 2023 las entidades consolidadas del nivel nacional fueron 350 es importante mencionar que: 313 entidades reportaron saldos en la cuenta Otras cuentas por cobrar;</w:t>
      </w:r>
      <w:r w:rsidRPr="009D75F0">
        <w:rPr>
          <w:rFonts w:ascii="Arial" w:hAnsi="Arial" w:cs="Arial"/>
          <w:color w:val="000000" w:themeColor="text1"/>
        </w:rPr>
        <w:t xml:space="preserve"> 8 en Impuestos, retención en la fuente y anticipos de impuestos; 117 en Contribuciones, tasas e ingresos no tributarios; y 229 en Deterioro acumulado de cuentas por cobrar (cr).</w:t>
      </w:r>
      <w:r>
        <w:rPr>
          <w:rFonts w:ascii="Arial" w:hAnsi="Arial" w:cs="Arial"/>
          <w:color w:val="000000" w:themeColor="text1"/>
        </w:rPr>
        <w:t xml:space="preserve"> (Subrayado y resaltado fuera de texto).</w:t>
      </w:r>
    </w:p>
    <w:p w:rsidR="00937767" w:rsidRPr="009D75F0" w:rsidRDefault="00937767" w:rsidP="00937767">
      <w:pPr>
        <w:ind w:left="-142"/>
        <w:contextualSpacing/>
        <w:jc w:val="both"/>
        <w:rPr>
          <w:rFonts w:ascii="Arial" w:hAnsi="Arial" w:cs="Arial"/>
        </w:rPr>
      </w:pPr>
    </w:p>
    <w:p w:rsidR="00937767" w:rsidRPr="009D75F0" w:rsidRDefault="00937767" w:rsidP="00937767">
      <w:pPr>
        <w:ind w:left="-142"/>
        <w:contextualSpacing/>
        <w:jc w:val="both"/>
        <w:rPr>
          <w:rFonts w:ascii="Arial" w:hAnsi="Arial" w:cs="Arial"/>
        </w:rPr>
      </w:pPr>
      <w:r w:rsidRPr="009D75F0">
        <w:rPr>
          <w:rFonts w:ascii="Arial" w:hAnsi="Arial" w:cs="Arial"/>
        </w:rPr>
        <w:t xml:space="preserve">En el total agregado de la cuenta Otras cuentas por cobrar al cierre de 2023, las entidades con mayor participación fueron: </w:t>
      </w:r>
      <w:r w:rsidRPr="009D75F0">
        <w:rPr>
          <w:rFonts w:ascii="Arial" w:hAnsi="Arial" w:cs="Arial"/>
          <w:b/>
          <w:u w:val="single"/>
        </w:rPr>
        <w:t>Ecopetrol S.A., que representó el 33,2% del concepto, seguido por la Refinería de Cartagena S.A.S., con el 8,2%. De igual manera, en Impuestos, retención en la fuente y anticipos de impuestos, la mayor participación se encuentra en: Dirección de Impuestos y Aduanas Nacionales (Función recaudadora), con el 99,6% del concepto a nivel agregado</w:t>
      </w:r>
      <w:r w:rsidRPr="009D75F0">
        <w:rPr>
          <w:rFonts w:ascii="Arial" w:hAnsi="Arial" w:cs="Arial"/>
        </w:rPr>
        <w:t>.</w:t>
      </w:r>
      <w:r>
        <w:rPr>
          <w:rFonts w:ascii="Arial" w:hAnsi="Arial" w:cs="Arial"/>
        </w:rPr>
        <w:t xml:space="preserve"> (Subrayado y resaltado fuera de texto).</w:t>
      </w:r>
    </w:p>
    <w:p w:rsidR="00937767" w:rsidRPr="0052795B" w:rsidRDefault="00937767" w:rsidP="00937767">
      <w:pPr>
        <w:ind w:left="-142"/>
        <w:contextualSpacing/>
        <w:jc w:val="both"/>
        <w:rPr>
          <w:rFonts w:ascii="Arial" w:hAnsi="Arial" w:cs="Arial"/>
          <w:b/>
          <w:sz w:val="28"/>
          <w:szCs w:val="28"/>
        </w:rPr>
      </w:pPr>
      <w:r w:rsidRPr="0052795B">
        <w:rPr>
          <w:rFonts w:ascii="Arial" w:hAnsi="Arial" w:cs="Arial"/>
          <w:b/>
          <w:sz w:val="28"/>
          <w:szCs w:val="28"/>
        </w:rPr>
        <w:lastRenderedPageBreak/>
        <w:t>NOTA 8.- PRÉSTAMOS POR COBRAR.</w:t>
      </w:r>
    </w:p>
    <w:p w:rsidR="00937767" w:rsidRPr="0052795B" w:rsidRDefault="00937767" w:rsidP="00937767">
      <w:pPr>
        <w:contextualSpacing/>
        <w:jc w:val="both"/>
        <w:rPr>
          <w:rFonts w:ascii="Arial" w:hAnsi="Arial" w:cs="Arial"/>
          <w:b/>
          <w:sz w:val="28"/>
          <w:szCs w:val="28"/>
        </w:rPr>
      </w:pPr>
    </w:p>
    <w:p w:rsidR="00937767" w:rsidRDefault="00937767" w:rsidP="00937767">
      <w:pPr>
        <w:pStyle w:val="Descripcin"/>
        <w:jc w:val="center"/>
        <w:rPr>
          <w:rFonts w:ascii="Arial" w:hAnsi="Arial" w:cs="Arial"/>
          <w:color w:val="auto"/>
          <w:sz w:val="24"/>
          <w:szCs w:val="24"/>
        </w:rPr>
      </w:pPr>
      <w:bookmarkStart w:id="64" w:name="_Toc166618876"/>
      <w:r w:rsidRPr="0052795B">
        <w:rPr>
          <w:rFonts w:ascii="Arial" w:hAnsi="Arial" w:cs="Arial"/>
          <w:color w:val="auto"/>
          <w:sz w:val="24"/>
          <w:szCs w:val="24"/>
        </w:rPr>
        <w:t xml:space="preserve">Tabla </w:t>
      </w:r>
      <w:r w:rsidRPr="0052795B">
        <w:rPr>
          <w:rFonts w:ascii="Arial" w:hAnsi="Arial" w:cs="Arial"/>
          <w:color w:val="auto"/>
          <w:sz w:val="24"/>
          <w:szCs w:val="24"/>
        </w:rPr>
        <w:fldChar w:fldCharType="begin"/>
      </w:r>
      <w:r w:rsidRPr="0052795B">
        <w:rPr>
          <w:rFonts w:ascii="Arial" w:hAnsi="Arial" w:cs="Arial"/>
          <w:color w:val="auto"/>
          <w:sz w:val="24"/>
          <w:szCs w:val="24"/>
        </w:rPr>
        <w:instrText xml:space="preserve"> STYLEREF 1 \s </w:instrText>
      </w:r>
      <w:r w:rsidRPr="0052795B">
        <w:rPr>
          <w:rFonts w:ascii="Arial" w:hAnsi="Arial" w:cs="Arial"/>
          <w:color w:val="auto"/>
          <w:sz w:val="24"/>
          <w:szCs w:val="24"/>
        </w:rPr>
        <w:fldChar w:fldCharType="separate"/>
      </w:r>
      <w:r w:rsidRPr="0052795B">
        <w:rPr>
          <w:rFonts w:ascii="Arial" w:hAnsi="Arial" w:cs="Arial"/>
          <w:noProof/>
          <w:color w:val="auto"/>
          <w:sz w:val="24"/>
          <w:szCs w:val="24"/>
        </w:rPr>
        <w:t>4</w:t>
      </w:r>
      <w:r w:rsidRPr="0052795B">
        <w:rPr>
          <w:rFonts w:ascii="Arial" w:hAnsi="Arial" w:cs="Arial"/>
          <w:noProof/>
          <w:color w:val="auto"/>
          <w:sz w:val="24"/>
          <w:szCs w:val="24"/>
        </w:rPr>
        <w:fldChar w:fldCharType="end"/>
      </w:r>
      <w:r w:rsidRPr="0052795B">
        <w:rPr>
          <w:rFonts w:ascii="Arial" w:hAnsi="Arial" w:cs="Arial"/>
          <w:color w:val="auto"/>
          <w:sz w:val="24"/>
          <w:szCs w:val="24"/>
        </w:rPr>
        <w:noBreakHyphen/>
      </w:r>
      <w:r w:rsidRPr="0052795B">
        <w:rPr>
          <w:rFonts w:ascii="Arial" w:hAnsi="Arial" w:cs="Arial"/>
          <w:color w:val="auto"/>
          <w:sz w:val="24"/>
          <w:szCs w:val="24"/>
        </w:rPr>
        <w:fldChar w:fldCharType="begin"/>
      </w:r>
      <w:r w:rsidRPr="0052795B">
        <w:rPr>
          <w:rFonts w:ascii="Arial" w:hAnsi="Arial" w:cs="Arial"/>
          <w:color w:val="auto"/>
          <w:sz w:val="24"/>
          <w:szCs w:val="24"/>
        </w:rPr>
        <w:instrText xml:space="preserve"> SEQ Tabla \* ARABIC \s 1 </w:instrText>
      </w:r>
      <w:r w:rsidRPr="0052795B">
        <w:rPr>
          <w:rFonts w:ascii="Arial" w:hAnsi="Arial" w:cs="Arial"/>
          <w:color w:val="auto"/>
          <w:sz w:val="24"/>
          <w:szCs w:val="24"/>
        </w:rPr>
        <w:fldChar w:fldCharType="separate"/>
      </w:r>
      <w:r w:rsidRPr="0052795B">
        <w:rPr>
          <w:rFonts w:ascii="Arial" w:hAnsi="Arial" w:cs="Arial"/>
          <w:noProof/>
          <w:color w:val="auto"/>
          <w:sz w:val="24"/>
          <w:szCs w:val="24"/>
        </w:rPr>
        <w:t>30</w:t>
      </w:r>
      <w:r w:rsidRPr="0052795B">
        <w:rPr>
          <w:rFonts w:ascii="Arial" w:hAnsi="Arial" w:cs="Arial"/>
          <w:noProof/>
          <w:color w:val="auto"/>
          <w:sz w:val="24"/>
          <w:szCs w:val="24"/>
        </w:rPr>
        <w:fldChar w:fldCharType="end"/>
      </w:r>
      <w:r w:rsidRPr="0052795B">
        <w:rPr>
          <w:rFonts w:ascii="Arial" w:hAnsi="Arial" w:cs="Arial"/>
          <w:color w:val="auto"/>
          <w:sz w:val="24"/>
          <w:szCs w:val="24"/>
        </w:rPr>
        <w:t xml:space="preserve"> Préstamos por Cobrar (</w:t>
      </w:r>
      <w:proofErr w:type="spellStart"/>
      <w:r w:rsidRPr="0052795B">
        <w:rPr>
          <w:rFonts w:ascii="Arial" w:hAnsi="Arial" w:cs="Arial"/>
          <w:color w:val="auto"/>
          <w:sz w:val="24"/>
          <w:szCs w:val="24"/>
        </w:rPr>
        <w:t>PxC</w:t>
      </w:r>
      <w:proofErr w:type="spellEnd"/>
      <w:r w:rsidRPr="0052795B">
        <w:rPr>
          <w:rFonts w:ascii="Arial" w:hAnsi="Arial" w:cs="Arial"/>
          <w:color w:val="auto"/>
          <w:sz w:val="24"/>
          <w:szCs w:val="24"/>
        </w:rPr>
        <w:t>) – Composición</w:t>
      </w:r>
      <w:bookmarkEnd w:id="64"/>
    </w:p>
    <w:p w:rsidR="00937767" w:rsidRPr="0052795B" w:rsidRDefault="00937767" w:rsidP="00937767">
      <w:pPr>
        <w:rPr>
          <w:lang w:val="es-CO" w:eastAsia="en-US"/>
        </w:rPr>
      </w:pPr>
    </w:p>
    <w:p w:rsidR="00937767" w:rsidRPr="00A320BE" w:rsidRDefault="00937767" w:rsidP="00937767">
      <w:pPr>
        <w:contextualSpacing/>
        <w:jc w:val="center"/>
      </w:pPr>
      <w:r w:rsidRPr="00E10E2C">
        <w:rPr>
          <w:noProof/>
          <w:lang w:val="es-CO" w:eastAsia="es-CO"/>
        </w:rPr>
        <w:drawing>
          <wp:inline distT="0" distB="0" distL="0" distR="0" wp14:anchorId="6686A100" wp14:editId="55DB5D35">
            <wp:extent cx="5943600" cy="2324735"/>
            <wp:effectExtent l="0" t="0" r="0" b="0"/>
            <wp:docPr id="510518725" name="Imagen 51051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324735"/>
                    </a:xfrm>
                    <a:prstGeom prst="rect">
                      <a:avLst/>
                    </a:prstGeom>
                    <a:noFill/>
                    <a:ln>
                      <a:noFill/>
                    </a:ln>
                  </pic:spPr>
                </pic:pic>
              </a:graphicData>
            </a:graphic>
          </wp:inline>
        </w:drawing>
      </w:r>
    </w:p>
    <w:p w:rsidR="00937767" w:rsidRPr="00A320BE" w:rsidRDefault="00937767" w:rsidP="00937767">
      <w:pPr>
        <w:jc w:val="both"/>
      </w:pPr>
    </w:p>
    <w:p w:rsidR="00937767" w:rsidRPr="0052795B" w:rsidRDefault="00937767" w:rsidP="00937767">
      <w:pPr>
        <w:ind w:left="-142"/>
        <w:jc w:val="both"/>
        <w:rPr>
          <w:rFonts w:ascii="Arial" w:hAnsi="Arial" w:cs="Arial"/>
        </w:rPr>
      </w:pPr>
      <w:r w:rsidRPr="0052795B">
        <w:rPr>
          <w:rFonts w:ascii="Arial" w:hAnsi="Arial" w:cs="Arial"/>
          <w:b/>
          <w:u w:val="single"/>
        </w:rPr>
        <w:t>Como se observa, al 31 de diciembre de 2023 el grupo Préstamos por cobrar alcanzaron la suma agregada de $97.544,3, incluyendo el valor del Deterioro acumulado. Una vez ejecutado el proceso de consolidación se presenta el Efecto neto de las eliminaciones y reclasificaciones por valor de ($18.033,0), para un total consolidado de $79.511,3. Este monto representa el 8,9% del total de los Activos cuyo valor asciende a $895.837,7</w:t>
      </w:r>
      <w:r>
        <w:rPr>
          <w:rFonts w:ascii="Arial" w:hAnsi="Arial" w:cs="Arial"/>
          <w:b/>
          <w:u w:val="single"/>
        </w:rPr>
        <w:t>”</w:t>
      </w:r>
      <w:r w:rsidRPr="0052795B">
        <w:rPr>
          <w:rFonts w:ascii="Arial" w:hAnsi="Arial" w:cs="Arial"/>
          <w:b/>
        </w:rPr>
        <w:t xml:space="preserve">. </w:t>
      </w:r>
      <w:r w:rsidRPr="0052795B">
        <w:rPr>
          <w:rFonts w:ascii="Arial" w:hAnsi="Arial" w:cs="Arial"/>
        </w:rPr>
        <w:t>(Subrayado y resaltado fuera de texto).</w:t>
      </w:r>
    </w:p>
    <w:p w:rsidR="00937767" w:rsidRPr="0052795B" w:rsidRDefault="00937767" w:rsidP="00937767">
      <w:pPr>
        <w:ind w:left="-142"/>
        <w:contextualSpacing/>
        <w:jc w:val="both"/>
        <w:rPr>
          <w:rFonts w:ascii="Arial" w:hAnsi="Arial" w:cs="Arial"/>
        </w:rPr>
      </w:pPr>
    </w:p>
    <w:p w:rsidR="00937767" w:rsidRDefault="00937767" w:rsidP="00937767">
      <w:pPr>
        <w:ind w:left="-142"/>
        <w:contextualSpacing/>
        <w:jc w:val="both"/>
        <w:rPr>
          <w:rFonts w:ascii="Arial" w:hAnsi="Arial" w:cs="Arial"/>
          <w:color w:val="000000" w:themeColor="text1"/>
        </w:rPr>
      </w:pPr>
      <w:r w:rsidRPr="009D75F0">
        <w:rPr>
          <w:rFonts w:ascii="Arial" w:hAnsi="Arial" w:cs="Arial"/>
          <w:b/>
          <w:color w:val="000000" w:themeColor="text1"/>
          <w:sz w:val="28"/>
          <w:szCs w:val="28"/>
        </w:rPr>
        <w:t>NOTA</w:t>
      </w:r>
      <w:r w:rsidRPr="009D75F0">
        <w:rPr>
          <w:rFonts w:ascii="Arial" w:hAnsi="Arial" w:cs="Arial"/>
          <w:color w:val="000000" w:themeColor="text1"/>
          <w:sz w:val="28"/>
          <w:szCs w:val="28"/>
        </w:rPr>
        <w:t xml:space="preserve">: </w:t>
      </w:r>
      <w:r w:rsidRPr="009D75F0">
        <w:rPr>
          <w:rFonts w:ascii="Arial" w:hAnsi="Arial" w:cs="Arial"/>
          <w:b/>
          <w:color w:val="000000" w:themeColor="text1"/>
          <w:sz w:val="28"/>
          <w:szCs w:val="28"/>
          <w:u w:val="single"/>
        </w:rPr>
        <w:t>Resaltamos que l</w:t>
      </w:r>
      <w:r>
        <w:rPr>
          <w:rFonts w:ascii="Arial" w:hAnsi="Arial" w:cs="Arial"/>
          <w:b/>
          <w:color w:val="000000" w:themeColor="text1"/>
          <w:sz w:val="28"/>
          <w:szCs w:val="28"/>
          <w:u w:val="single"/>
        </w:rPr>
        <w:t>o</w:t>
      </w:r>
      <w:r w:rsidRPr="009D75F0">
        <w:rPr>
          <w:rFonts w:ascii="Arial" w:hAnsi="Arial" w:cs="Arial"/>
          <w:b/>
          <w:color w:val="000000" w:themeColor="text1"/>
          <w:sz w:val="28"/>
          <w:szCs w:val="28"/>
          <w:u w:val="single"/>
        </w:rPr>
        <w:t xml:space="preserve">s </w:t>
      </w:r>
      <w:r>
        <w:rPr>
          <w:rFonts w:ascii="Arial" w:hAnsi="Arial" w:cs="Arial"/>
          <w:b/>
          <w:color w:val="000000" w:themeColor="text1"/>
          <w:sz w:val="28"/>
          <w:szCs w:val="28"/>
          <w:u w:val="single"/>
        </w:rPr>
        <w:t xml:space="preserve">préstamos </w:t>
      </w:r>
      <w:r w:rsidRPr="009D75F0">
        <w:rPr>
          <w:rFonts w:ascii="Arial" w:hAnsi="Arial" w:cs="Arial"/>
          <w:b/>
          <w:color w:val="000000" w:themeColor="text1"/>
          <w:sz w:val="28"/>
          <w:szCs w:val="28"/>
          <w:u w:val="single"/>
        </w:rPr>
        <w:t xml:space="preserve">por cobrar </w:t>
      </w:r>
      <w:r>
        <w:rPr>
          <w:rFonts w:ascii="Arial" w:hAnsi="Arial" w:cs="Arial"/>
          <w:b/>
          <w:color w:val="000000" w:themeColor="text1"/>
          <w:sz w:val="28"/>
          <w:szCs w:val="28"/>
          <w:u w:val="single"/>
        </w:rPr>
        <w:t xml:space="preserve">de difícil recaudo </w:t>
      </w:r>
      <w:r w:rsidRPr="009D75F0">
        <w:rPr>
          <w:rFonts w:ascii="Arial" w:hAnsi="Arial" w:cs="Arial"/>
          <w:b/>
          <w:color w:val="000000" w:themeColor="text1"/>
          <w:sz w:val="28"/>
          <w:szCs w:val="28"/>
          <w:u w:val="single"/>
        </w:rPr>
        <w:t xml:space="preserve">a 31 de diciembre de 2023 </w:t>
      </w:r>
      <w:r>
        <w:rPr>
          <w:rFonts w:ascii="Arial" w:hAnsi="Arial" w:cs="Arial"/>
          <w:b/>
          <w:color w:val="000000" w:themeColor="text1"/>
          <w:sz w:val="28"/>
          <w:szCs w:val="28"/>
          <w:u w:val="single"/>
        </w:rPr>
        <w:t xml:space="preserve">sumaron </w:t>
      </w:r>
      <w:r w:rsidRPr="009D75F0">
        <w:rPr>
          <w:rFonts w:ascii="Arial" w:hAnsi="Arial" w:cs="Arial"/>
          <w:b/>
          <w:color w:val="000000" w:themeColor="text1"/>
          <w:sz w:val="28"/>
          <w:szCs w:val="28"/>
          <w:u w:val="single"/>
        </w:rPr>
        <w:t xml:space="preserve">$ </w:t>
      </w:r>
      <w:r>
        <w:rPr>
          <w:rFonts w:ascii="Arial" w:hAnsi="Arial" w:cs="Arial"/>
          <w:b/>
          <w:color w:val="000000" w:themeColor="text1"/>
          <w:sz w:val="28"/>
          <w:szCs w:val="28"/>
          <w:u w:val="single"/>
        </w:rPr>
        <w:t>5.5</w:t>
      </w:r>
      <w:r w:rsidRPr="009D75F0">
        <w:rPr>
          <w:rFonts w:ascii="Arial" w:hAnsi="Arial" w:cs="Arial"/>
          <w:b/>
          <w:color w:val="000000" w:themeColor="text1"/>
          <w:sz w:val="28"/>
          <w:szCs w:val="28"/>
          <w:u w:val="single"/>
        </w:rPr>
        <w:t xml:space="preserve"> billones</w:t>
      </w:r>
      <w:r w:rsidRPr="00535E4B">
        <w:rPr>
          <w:rFonts w:ascii="Arial" w:hAnsi="Arial" w:cs="Arial"/>
          <w:color w:val="000000" w:themeColor="text1"/>
        </w:rPr>
        <w:t>.</w:t>
      </w:r>
    </w:p>
    <w:p w:rsidR="00937767" w:rsidRPr="0052795B" w:rsidRDefault="00937767" w:rsidP="00937767">
      <w:pPr>
        <w:ind w:left="-142"/>
        <w:contextualSpacing/>
        <w:jc w:val="both"/>
        <w:rPr>
          <w:rFonts w:ascii="Arial" w:hAnsi="Arial" w:cs="Arial"/>
          <w:color w:val="000000" w:themeColor="text1"/>
        </w:rPr>
      </w:pPr>
    </w:p>
    <w:p w:rsidR="00937767" w:rsidRDefault="00937767" w:rsidP="00937767">
      <w:pPr>
        <w:ind w:left="-142"/>
        <w:contextualSpacing/>
        <w:jc w:val="both"/>
        <w:rPr>
          <w:rFonts w:ascii="Arial" w:hAnsi="Arial" w:cs="Arial"/>
          <w:b/>
          <w:color w:val="000000" w:themeColor="text1"/>
          <w:sz w:val="28"/>
          <w:szCs w:val="28"/>
        </w:rPr>
      </w:pPr>
      <w:r>
        <w:rPr>
          <w:rFonts w:ascii="Arial" w:hAnsi="Arial" w:cs="Arial"/>
          <w:b/>
          <w:color w:val="000000" w:themeColor="text1"/>
          <w:sz w:val="28"/>
          <w:szCs w:val="28"/>
        </w:rPr>
        <w:t>“</w:t>
      </w:r>
      <w:r w:rsidRPr="00D37E03">
        <w:rPr>
          <w:rFonts w:ascii="Arial" w:hAnsi="Arial" w:cs="Arial"/>
          <w:b/>
          <w:color w:val="000000" w:themeColor="text1"/>
          <w:sz w:val="28"/>
          <w:szCs w:val="28"/>
        </w:rPr>
        <w:t>NOTA 9.- INVENTARIOS.</w:t>
      </w:r>
    </w:p>
    <w:p w:rsidR="00937767" w:rsidRDefault="00937767" w:rsidP="00937767">
      <w:pPr>
        <w:ind w:left="-142"/>
        <w:contextualSpacing/>
        <w:jc w:val="both"/>
        <w:rPr>
          <w:rFonts w:ascii="Arial" w:hAnsi="Arial" w:cs="Arial"/>
          <w:b/>
          <w:color w:val="000000" w:themeColor="text1"/>
          <w:sz w:val="28"/>
          <w:szCs w:val="28"/>
        </w:rPr>
      </w:pPr>
    </w:p>
    <w:p w:rsidR="00937767" w:rsidRDefault="00937767" w:rsidP="00937767">
      <w:pPr>
        <w:pStyle w:val="Descripcin"/>
        <w:jc w:val="center"/>
        <w:rPr>
          <w:rFonts w:ascii="Arial" w:hAnsi="Arial" w:cs="Arial"/>
          <w:color w:val="auto"/>
          <w:sz w:val="24"/>
          <w:szCs w:val="24"/>
        </w:rPr>
      </w:pPr>
      <w:bookmarkStart w:id="65" w:name="_Toc166618879"/>
      <w:r w:rsidRPr="00B12D09">
        <w:rPr>
          <w:rFonts w:ascii="Arial" w:hAnsi="Arial" w:cs="Arial"/>
          <w:color w:val="auto"/>
          <w:sz w:val="24"/>
          <w:szCs w:val="24"/>
        </w:rPr>
        <w:t xml:space="preserve">Tabla </w:t>
      </w:r>
      <w:r w:rsidRPr="00B12D09">
        <w:rPr>
          <w:rFonts w:ascii="Arial" w:hAnsi="Arial" w:cs="Arial"/>
          <w:color w:val="auto"/>
          <w:sz w:val="24"/>
          <w:szCs w:val="24"/>
        </w:rPr>
        <w:fldChar w:fldCharType="begin"/>
      </w:r>
      <w:r w:rsidRPr="00B12D09">
        <w:rPr>
          <w:rFonts w:ascii="Arial" w:hAnsi="Arial" w:cs="Arial"/>
          <w:color w:val="auto"/>
          <w:sz w:val="24"/>
          <w:szCs w:val="24"/>
        </w:rPr>
        <w:instrText xml:space="preserve"> STYLEREF 1 \s </w:instrText>
      </w:r>
      <w:r w:rsidRPr="00B12D09">
        <w:rPr>
          <w:rFonts w:ascii="Arial" w:hAnsi="Arial" w:cs="Arial"/>
          <w:color w:val="auto"/>
          <w:sz w:val="24"/>
          <w:szCs w:val="24"/>
        </w:rPr>
        <w:fldChar w:fldCharType="separate"/>
      </w:r>
      <w:r w:rsidRPr="00B12D09">
        <w:rPr>
          <w:rFonts w:ascii="Arial" w:hAnsi="Arial" w:cs="Arial"/>
          <w:noProof/>
          <w:color w:val="auto"/>
          <w:sz w:val="24"/>
          <w:szCs w:val="24"/>
        </w:rPr>
        <w:t>4</w:t>
      </w:r>
      <w:r w:rsidRPr="00B12D09">
        <w:rPr>
          <w:rFonts w:ascii="Arial" w:hAnsi="Arial" w:cs="Arial"/>
          <w:noProof/>
          <w:color w:val="auto"/>
          <w:sz w:val="24"/>
          <w:szCs w:val="24"/>
        </w:rPr>
        <w:fldChar w:fldCharType="end"/>
      </w:r>
      <w:r w:rsidRPr="00B12D09">
        <w:rPr>
          <w:rFonts w:ascii="Arial" w:hAnsi="Arial" w:cs="Arial"/>
          <w:color w:val="auto"/>
          <w:sz w:val="24"/>
          <w:szCs w:val="24"/>
        </w:rPr>
        <w:noBreakHyphen/>
      </w:r>
      <w:r w:rsidRPr="00B12D09">
        <w:rPr>
          <w:rFonts w:ascii="Arial" w:hAnsi="Arial" w:cs="Arial"/>
          <w:color w:val="auto"/>
          <w:sz w:val="24"/>
          <w:szCs w:val="24"/>
        </w:rPr>
        <w:fldChar w:fldCharType="begin"/>
      </w:r>
      <w:r w:rsidRPr="00B12D09">
        <w:rPr>
          <w:rFonts w:ascii="Arial" w:hAnsi="Arial" w:cs="Arial"/>
          <w:color w:val="auto"/>
          <w:sz w:val="24"/>
          <w:szCs w:val="24"/>
        </w:rPr>
        <w:instrText xml:space="preserve"> SEQ Tabla \* ARABIC \s 1 </w:instrText>
      </w:r>
      <w:r w:rsidRPr="00B12D09">
        <w:rPr>
          <w:rFonts w:ascii="Arial" w:hAnsi="Arial" w:cs="Arial"/>
          <w:color w:val="auto"/>
          <w:sz w:val="24"/>
          <w:szCs w:val="24"/>
        </w:rPr>
        <w:fldChar w:fldCharType="separate"/>
      </w:r>
      <w:r w:rsidRPr="00B12D09">
        <w:rPr>
          <w:rFonts w:ascii="Arial" w:hAnsi="Arial" w:cs="Arial"/>
          <w:noProof/>
          <w:color w:val="auto"/>
          <w:sz w:val="24"/>
          <w:szCs w:val="24"/>
        </w:rPr>
        <w:t>33</w:t>
      </w:r>
      <w:r w:rsidRPr="00B12D09">
        <w:rPr>
          <w:rFonts w:ascii="Arial" w:hAnsi="Arial" w:cs="Arial"/>
          <w:noProof/>
          <w:color w:val="auto"/>
          <w:sz w:val="24"/>
          <w:szCs w:val="24"/>
        </w:rPr>
        <w:fldChar w:fldCharType="end"/>
      </w:r>
      <w:r w:rsidRPr="00B12D09">
        <w:rPr>
          <w:rFonts w:ascii="Arial" w:hAnsi="Arial" w:cs="Arial"/>
          <w:color w:val="auto"/>
          <w:sz w:val="24"/>
          <w:szCs w:val="24"/>
        </w:rPr>
        <w:t xml:space="preserve"> Inventarios (INVE) – Composición</w:t>
      </w:r>
      <w:bookmarkEnd w:id="65"/>
    </w:p>
    <w:p w:rsidR="00937767" w:rsidRDefault="00937767" w:rsidP="00937767">
      <w:pPr>
        <w:pStyle w:val="Textoindependiente"/>
        <w:jc w:val="center"/>
        <w:rPr>
          <w:rFonts w:ascii="Verdana" w:hAnsi="Verdana"/>
          <w:color w:val="000000" w:themeColor="text1"/>
          <w:szCs w:val="22"/>
        </w:rPr>
      </w:pPr>
      <w:r w:rsidRPr="00A24F76">
        <w:rPr>
          <w:rFonts w:ascii="Verdana" w:hAnsi="Verdana"/>
          <w:noProof/>
          <w:lang w:val="es-CO" w:eastAsia="es-CO"/>
        </w:rPr>
        <w:lastRenderedPageBreak/>
        <w:drawing>
          <wp:inline distT="0" distB="0" distL="0" distR="0" wp14:anchorId="5B939CC9" wp14:editId="48F29F63">
            <wp:extent cx="5943600" cy="2727325"/>
            <wp:effectExtent l="0" t="0" r="0" b="0"/>
            <wp:docPr id="1888473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727325"/>
                    </a:xfrm>
                    <a:prstGeom prst="rect">
                      <a:avLst/>
                    </a:prstGeom>
                    <a:noFill/>
                    <a:ln>
                      <a:noFill/>
                    </a:ln>
                  </pic:spPr>
                </pic:pic>
              </a:graphicData>
            </a:graphic>
          </wp:inline>
        </w:drawing>
      </w:r>
    </w:p>
    <w:p w:rsidR="00937767" w:rsidRPr="00B12D09" w:rsidRDefault="00937767" w:rsidP="00937767">
      <w:pPr>
        <w:ind w:left="-142"/>
        <w:jc w:val="both"/>
        <w:rPr>
          <w:rFonts w:ascii="Arial" w:hAnsi="Arial" w:cs="Arial"/>
        </w:rPr>
      </w:pPr>
      <w:r w:rsidRPr="00B12D09">
        <w:rPr>
          <w:rFonts w:ascii="Arial" w:hAnsi="Arial" w:cs="Arial"/>
        </w:rPr>
        <w:t>Al 31 de diciembre de 2023, este grupo alcanzó la suma de $18.347,8. Al comparar el total consolidado de la vigencia actual con 2022 se observa que hubo una disminución de (8,8%) en los inventarios consolidados del nivel nacional y que dicho grupo representa el 2,0% del total de los Activos consolidados, cuyo monto total fue de $895.837,7.</w:t>
      </w:r>
    </w:p>
    <w:p w:rsidR="00937767" w:rsidRPr="00B12D09" w:rsidRDefault="00937767" w:rsidP="00937767">
      <w:pPr>
        <w:ind w:left="-142"/>
        <w:jc w:val="both"/>
        <w:rPr>
          <w:rFonts w:ascii="Arial" w:hAnsi="Arial" w:cs="Arial"/>
        </w:rPr>
      </w:pPr>
    </w:p>
    <w:p w:rsidR="00937767" w:rsidRPr="00B12D09" w:rsidRDefault="00937767" w:rsidP="00937767">
      <w:pPr>
        <w:ind w:left="-142"/>
        <w:jc w:val="both"/>
        <w:rPr>
          <w:rFonts w:ascii="Arial" w:hAnsi="Arial" w:cs="Arial"/>
        </w:rPr>
      </w:pPr>
      <w:r w:rsidRPr="00B12D09">
        <w:rPr>
          <w:rFonts w:ascii="Arial" w:hAnsi="Arial" w:cs="Arial"/>
        </w:rPr>
        <w:t xml:space="preserve">De otra parte, el Deterioro acumulado de inventarios muestra una disminución del (30,6%) en comparación con el periodo anterior, </w:t>
      </w:r>
      <w:bookmarkStart w:id="66" w:name="_Hlk132873656"/>
      <w:r w:rsidRPr="00B12D09">
        <w:rPr>
          <w:rFonts w:ascii="Arial" w:hAnsi="Arial" w:cs="Arial"/>
        </w:rPr>
        <w:t>producto de la aplicación de la norma respectiva por parte de las entidades consolidadas</w:t>
      </w:r>
      <w:bookmarkEnd w:id="66"/>
      <w:r w:rsidRPr="00B12D09">
        <w:rPr>
          <w:rFonts w:ascii="Arial" w:hAnsi="Arial" w:cs="Arial"/>
        </w:rPr>
        <w:t>.</w:t>
      </w:r>
    </w:p>
    <w:p w:rsidR="00937767" w:rsidRDefault="00937767" w:rsidP="00937767">
      <w:pPr>
        <w:ind w:left="-142"/>
        <w:contextualSpacing/>
        <w:jc w:val="both"/>
        <w:rPr>
          <w:rFonts w:ascii="Arial" w:hAnsi="Arial" w:cs="Arial"/>
          <w:b/>
          <w:color w:val="000000" w:themeColor="text1"/>
          <w:sz w:val="28"/>
          <w:szCs w:val="28"/>
        </w:rPr>
      </w:pPr>
    </w:p>
    <w:p w:rsidR="00937767" w:rsidRPr="00D37E03" w:rsidRDefault="00937767" w:rsidP="00937767">
      <w:pPr>
        <w:ind w:left="-142"/>
        <w:contextualSpacing/>
        <w:jc w:val="both"/>
        <w:rPr>
          <w:rFonts w:ascii="Arial" w:hAnsi="Arial" w:cs="Arial"/>
          <w:b/>
          <w:color w:val="000000" w:themeColor="text1"/>
          <w:sz w:val="28"/>
          <w:szCs w:val="28"/>
        </w:rPr>
      </w:pPr>
      <w:r>
        <w:rPr>
          <w:rFonts w:ascii="Arial" w:hAnsi="Arial" w:cs="Arial"/>
          <w:b/>
          <w:color w:val="000000" w:themeColor="text1"/>
          <w:sz w:val="28"/>
          <w:szCs w:val="28"/>
        </w:rPr>
        <w:t>NOTA 10.- PROPIEDADES, PLANTA Y EQUIPO.</w:t>
      </w:r>
    </w:p>
    <w:p w:rsidR="00937767" w:rsidRDefault="00937767" w:rsidP="00937767">
      <w:pPr>
        <w:ind w:left="-142"/>
        <w:jc w:val="both"/>
        <w:rPr>
          <w:rFonts w:ascii="Arial" w:hAnsi="Arial" w:cs="Arial"/>
          <w:b/>
          <w:sz w:val="28"/>
          <w:szCs w:val="28"/>
          <w:lang w:val="es-CO"/>
        </w:rPr>
      </w:pPr>
    </w:p>
    <w:p w:rsidR="00937767" w:rsidRDefault="00937767" w:rsidP="00937767">
      <w:pPr>
        <w:pStyle w:val="Descripcin"/>
        <w:jc w:val="center"/>
        <w:rPr>
          <w:rFonts w:ascii="Arial" w:hAnsi="Arial" w:cs="Arial"/>
          <w:color w:val="auto"/>
          <w:sz w:val="24"/>
          <w:szCs w:val="24"/>
        </w:rPr>
      </w:pPr>
      <w:bookmarkStart w:id="67" w:name="_Toc164701979"/>
      <w:bookmarkStart w:id="68" w:name="_Toc166618881"/>
      <w:r w:rsidRPr="00B12D09">
        <w:rPr>
          <w:rFonts w:ascii="Arial" w:hAnsi="Arial" w:cs="Arial"/>
          <w:color w:val="auto"/>
          <w:sz w:val="24"/>
          <w:szCs w:val="24"/>
        </w:rPr>
        <w:t xml:space="preserve">Tabla </w:t>
      </w:r>
      <w:r w:rsidRPr="00B12D09">
        <w:rPr>
          <w:rFonts w:ascii="Arial" w:hAnsi="Arial" w:cs="Arial"/>
          <w:color w:val="auto"/>
          <w:sz w:val="24"/>
          <w:szCs w:val="24"/>
        </w:rPr>
        <w:fldChar w:fldCharType="begin"/>
      </w:r>
      <w:r w:rsidRPr="00B12D09">
        <w:rPr>
          <w:rFonts w:ascii="Arial" w:hAnsi="Arial" w:cs="Arial"/>
          <w:color w:val="auto"/>
          <w:sz w:val="24"/>
          <w:szCs w:val="24"/>
        </w:rPr>
        <w:instrText xml:space="preserve"> STYLEREF 1 \s </w:instrText>
      </w:r>
      <w:r w:rsidRPr="00B12D09">
        <w:rPr>
          <w:rFonts w:ascii="Arial" w:hAnsi="Arial" w:cs="Arial"/>
          <w:color w:val="auto"/>
          <w:sz w:val="24"/>
          <w:szCs w:val="24"/>
        </w:rPr>
        <w:fldChar w:fldCharType="separate"/>
      </w:r>
      <w:r w:rsidRPr="00B12D09">
        <w:rPr>
          <w:rFonts w:ascii="Arial" w:hAnsi="Arial" w:cs="Arial"/>
          <w:noProof/>
          <w:color w:val="auto"/>
          <w:sz w:val="24"/>
          <w:szCs w:val="24"/>
        </w:rPr>
        <w:t>4</w:t>
      </w:r>
      <w:r w:rsidRPr="00B12D09">
        <w:rPr>
          <w:rFonts w:ascii="Arial" w:hAnsi="Arial" w:cs="Arial"/>
          <w:noProof/>
          <w:color w:val="auto"/>
          <w:sz w:val="24"/>
          <w:szCs w:val="24"/>
        </w:rPr>
        <w:fldChar w:fldCharType="end"/>
      </w:r>
      <w:r w:rsidRPr="00B12D09">
        <w:rPr>
          <w:rFonts w:ascii="Arial" w:hAnsi="Arial" w:cs="Arial"/>
          <w:color w:val="auto"/>
          <w:sz w:val="24"/>
          <w:szCs w:val="24"/>
        </w:rPr>
        <w:noBreakHyphen/>
      </w:r>
      <w:r w:rsidRPr="00B12D09">
        <w:rPr>
          <w:rFonts w:ascii="Arial" w:hAnsi="Arial" w:cs="Arial"/>
          <w:color w:val="auto"/>
          <w:sz w:val="24"/>
          <w:szCs w:val="24"/>
        </w:rPr>
        <w:fldChar w:fldCharType="begin"/>
      </w:r>
      <w:r w:rsidRPr="00B12D09">
        <w:rPr>
          <w:rFonts w:ascii="Arial" w:hAnsi="Arial" w:cs="Arial"/>
          <w:color w:val="auto"/>
          <w:sz w:val="24"/>
          <w:szCs w:val="24"/>
        </w:rPr>
        <w:instrText xml:space="preserve"> SEQ Tabla \* ARABIC \s 1 </w:instrText>
      </w:r>
      <w:r w:rsidRPr="00B12D09">
        <w:rPr>
          <w:rFonts w:ascii="Arial" w:hAnsi="Arial" w:cs="Arial"/>
          <w:color w:val="auto"/>
          <w:sz w:val="24"/>
          <w:szCs w:val="24"/>
        </w:rPr>
        <w:fldChar w:fldCharType="separate"/>
      </w:r>
      <w:r w:rsidRPr="00B12D09">
        <w:rPr>
          <w:rFonts w:ascii="Arial" w:hAnsi="Arial" w:cs="Arial"/>
          <w:noProof/>
          <w:color w:val="auto"/>
          <w:sz w:val="24"/>
          <w:szCs w:val="24"/>
        </w:rPr>
        <w:t>35</w:t>
      </w:r>
      <w:r w:rsidRPr="00B12D09">
        <w:rPr>
          <w:rFonts w:ascii="Arial" w:hAnsi="Arial" w:cs="Arial"/>
          <w:noProof/>
          <w:color w:val="auto"/>
          <w:sz w:val="24"/>
          <w:szCs w:val="24"/>
        </w:rPr>
        <w:fldChar w:fldCharType="end"/>
      </w:r>
      <w:r w:rsidRPr="00B12D09">
        <w:rPr>
          <w:rFonts w:ascii="Arial" w:hAnsi="Arial" w:cs="Arial"/>
          <w:color w:val="auto"/>
          <w:sz w:val="24"/>
          <w:szCs w:val="24"/>
        </w:rPr>
        <w:t xml:space="preserve"> Propiedades, planta y equipo (PPE) – Composición</w:t>
      </w:r>
      <w:bookmarkEnd w:id="67"/>
      <w:bookmarkEnd w:id="68"/>
    </w:p>
    <w:p w:rsidR="00937767" w:rsidRPr="00B12D09" w:rsidRDefault="00937767" w:rsidP="00937767">
      <w:pPr>
        <w:rPr>
          <w:lang w:val="es-CO" w:eastAsia="en-US"/>
        </w:rPr>
      </w:pPr>
    </w:p>
    <w:p w:rsidR="00937767" w:rsidRPr="009C2E41" w:rsidRDefault="00937767" w:rsidP="00937767">
      <w:pPr>
        <w:pStyle w:val="Textoindependiente"/>
        <w:jc w:val="center"/>
        <w:rPr>
          <w:rFonts w:ascii="Verdana" w:hAnsi="Verdana"/>
          <w:lang w:val="es-CO"/>
        </w:rPr>
      </w:pPr>
      <w:r w:rsidRPr="009842D0">
        <w:rPr>
          <w:noProof/>
          <w:lang w:val="es-CO" w:eastAsia="es-CO"/>
        </w:rPr>
        <w:lastRenderedPageBreak/>
        <w:drawing>
          <wp:inline distT="0" distB="0" distL="0" distR="0" wp14:anchorId="1ED98709" wp14:editId="1A1E3798">
            <wp:extent cx="5943600" cy="3173876"/>
            <wp:effectExtent l="0" t="0" r="0" b="7620"/>
            <wp:docPr id="165123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extLst>
                        <a:ext uri="{28A0092B-C50C-407E-A947-70E740481C1C}">
                          <a14:useLocalDpi xmlns:a14="http://schemas.microsoft.com/office/drawing/2010/main" val="0"/>
                        </a:ext>
                      </a:extLst>
                    </a:blip>
                    <a:srcRect t="4414"/>
                    <a:stretch/>
                  </pic:blipFill>
                  <pic:spPr bwMode="auto">
                    <a:xfrm>
                      <a:off x="0" y="0"/>
                      <a:ext cx="5943600" cy="3173876"/>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9C2E41" w:rsidRDefault="00937767" w:rsidP="00937767">
      <w:pPr>
        <w:pStyle w:val="Textoindependiente"/>
        <w:jc w:val="center"/>
        <w:rPr>
          <w:rFonts w:ascii="Verdana" w:hAnsi="Verdana"/>
          <w:lang w:val="es-CO"/>
        </w:rPr>
      </w:pPr>
    </w:p>
    <w:p w:rsidR="00937767" w:rsidRPr="009C2E41" w:rsidRDefault="00937767" w:rsidP="00937767">
      <w:pPr>
        <w:pStyle w:val="Textoindependiente"/>
        <w:ind w:left="-142"/>
        <w:jc w:val="both"/>
        <w:rPr>
          <w:rFonts w:ascii="Verdana" w:hAnsi="Verdana"/>
        </w:rPr>
      </w:pPr>
      <w:r w:rsidRPr="00B12D09">
        <w:rPr>
          <w:rFonts w:ascii="Arial" w:hAnsi="Arial" w:cs="Arial"/>
          <w:sz w:val="24"/>
          <w:lang w:val="es-CO"/>
        </w:rPr>
        <w:t xml:space="preserve">Al 31 de diciembre de 2023 el grupo PPE alcanzó un total agregado y consolidado de $187.943,7, lo cual representa 21,0% sobre el total de los activos consolidados que ascienden a $895.837,7. Al mismo tiempo, se evidencia una disminución del (1,3%), </w:t>
      </w:r>
      <w:r w:rsidRPr="00B12D09">
        <w:rPr>
          <w:rFonts w:ascii="Arial" w:hAnsi="Arial" w:cs="Arial"/>
          <w:sz w:val="24"/>
        </w:rPr>
        <w:t>total consolidado del grupo respecto al año anterior</w:t>
      </w:r>
      <w:r w:rsidRPr="009C2E41">
        <w:rPr>
          <w:rFonts w:ascii="Verdana" w:hAnsi="Verdana"/>
        </w:rPr>
        <w:t>.</w:t>
      </w:r>
    </w:p>
    <w:p w:rsidR="00937767" w:rsidRPr="009C2E41" w:rsidRDefault="00937767" w:rsidP="00937767">
      <w:pPr>
        <w:pStyle w:val="Textoindependiente"/>
        <w:jc w:val="both"/>
        <w:rPr>
          <w:rFonts w:ascii="Verdana" w:hAnsi="Verdana"/>
          <w:lang w:val="es-CO"/>
        </w:rPr>
      </w:pPr>
    </w:p>
    <w:p w:rsidR="00937767" w:rsidRDefault="00937767" w:rsidP="00937767">
      <w:pPr>
        <w:ind w:left="-142"/>
        <w:jc w:val="both"/>
        <w:rPr>
          <w:rFonts w:ascii="Arial" w:hAnsi="Arial" w:cs="Arial"/>
          <w:b/>
          <w:sz w:val="28"/>
          <w:szCs w:val="28"/>
          <w:lang w:val="es-CO"/>
        </w:rPr>
      </w:pPr>
      <w:r>
        <w:rPr>
          <w:rFonts w:ascii="Arial" w:hAnsi="Arial" w:cs="Arial"/>
          <w:b/>
          <w:sz w:val="28"/>
          <w:szCs w:val="28"/>
          <w:lang w:val="es-CO"/>
        </w:rPr>
        <w:t>NOTA 11.- BIENES DE USO PÚBLICO HISTÓRICOS Y CULTURALES.</w:t>
      </w:r>
    </w:p>
    <w:p w:rsidR="00937767" w:rsidRDefault="00937767" w:rsidP="00937767">
      <w:pPr>
        <w:ind w:left="-142"/>
        <w:jc w:val="both"/>
        <w:rPr>
          <w:rFonts w:ascii="Arial" w:hAnsi="Arial" w:cs="Arial"/>
          <w:b/>
          <w:sz w:val="28"/>
          <w:szCs w:val="28"/>
          <w:lang w:val="es-CO"/>
        </w:rPr>
      </w:pPr>
    </w:p>
    <w:p w:rsidR="00937767" w:rsidRPr="00B12D09" w:rsidRDefault="00937767" w:rsidP="00937767">
      <w:pPr>
        <w:ind w:left="-142"/>
        <w:jc w:val="both"/>
        <w:rPr>
          <w:rFonts w:ascii="Arial" w:hAnsi="Arial" w:cs="Arial"/>
        </w:rPr>
      </w:pPr>
      <w:r w:rsidRPr="00B12D09">
        <w:rPr>
          <w:rFonts w:ascii="Arial" w:hAnsi="Arial" w:cs="Arial"/>
        </w:rPr>
        <w:t xml:space="preserve">A continuación, se presentan los conceptos de mayor importancia relativa para el año 2023 que componen el grupo Bienes de uso público e históricos y culturales - BUPHC, en forma comparativa con el año inmediatamente anterior, partiendo de los saldos agregados, los valores de la depreciación y del deterioro acumulados. Dado que a este grupo no le aplican eliminaciones y reclasificaciones por operaciones recíprocas, su saldo agregado es el mismo saldo consolidado. </w:t>
      </w:r>
    </w:p>
    <w:p w:rsidR="00937767" w:rsidRDefault="00937767" w:rsidP="00937767">
      <w:pPr>
        <w:jc w:val="both"/>
      </w:pPr>
    </w:p>
    <w:p w:rsidR="00937767" w:rsidRPr="00B12D09" w:rsidRDefault="00937767" w:rsidP="00937767">
      <w:pPr>
        <w:jc w:val="center"/>
        <w:rPr>
          <w:rFonts w:ascii="Arial" w:hAnsi="Arial" w:cs="Arial"/>
          <w:iCs/>
        </w:rPr>
      </w:pPr>
      <w:bookmarkStart w:id="69" w:name="_Toc135044800"/>
      <w:bookmarkStart w:id="70" w:name="_Toc165649002"/>
      <w:bookmarkStart w:id="71" w:name="_Toc166618885"/>
      <w:r w:rsidRPr="00B12D09">
        <w:rPr>
          <w:rFonts w:ascii="Arial" w:hAnsi="Arial" w:cs="Arial"/>
          <w:iCs/>
        </w:rPr>
        <w:t xml:space="preserve">Tabla </w:t>
      </w:r>
      <w:r w:rsidRPr="00B12D09">
        <w:rPr>
          <w:rFonts w:ascii="Arial" w:hAnsi="Arial" w:cs="Arial"/>
          <w:iCs/>
        </w:rPr>
        <w:fldChar w:fldCharType="begin"/>
      </w:r>
      <w:r w:rsidRPr="00B12D09">
        <w:rPr>
          <w:rFonts w:ascii="Arial" w:hAnsi="Arial" w:cs="Arial"/>
          <w:iCs/>
        </w:rPr>
        <w:instrText xml:space="preserve"> STYLEREF 1 \s </w:instrText>
      </w:r>
      <w:r w:rsidRPr="00B12D09">
        <w:rPr>
          <w:rFonts w:ascii="Arial" w:hAnsi="Arial" w:cs="Arial"/>
          <w:iCs/>
        </w:rPr>
        <w:fldChar w:fldCharType="separate"/>
      </w:r>
      <w:r w:rsidRPr="00B12D09">
        <w:rPr>
          <w:rFonts w:ascii="Arial" w:hAnsi="Arial" w:cs="Arial"/>
          <w:iCs/>
          <w:noProof/>
        </w:rPr>
        <w:t>4</w:t>
      </w:r>
      <w:r w:rsidRPr="00B12D09">
        <w:rPr>
          <w:rFonts w:ascii="Arial" w:hAnsi="Arial" w:cs="Arial"/>
          <w:iCs/>
        </w:rPr>
        <w:fldChar w:fldCharType="end"/>
      </w:r>
      <w:r w:rsidRPr="00B12D09">
        <w:rPr>
          <w:rFonts w:ascii="Arial" w:hAnsi="Arial" w:cs="Arial"/>
          <w:iCs/>
        </w:rPr>
        <w:noBreakHyphen/>
      </w:r>
      <w:r w:rsidRPr="00B12D09">
        <w:rPr>
          <w:rFonts w:ascii="Arial" w:hAnsi="Arial" w:cs="Arial"/>
          <w:iCs/>
        </w:rPr>
        <w:fldChar w:fldCharType="begin"/>
      </w:r>
      <w:r w:rsidRPr="00B12D09">
        <w:rPr>
          <w:rFonts w:ascii="Arial" w:hAnsi="Arial" w:cs="Arial"/>
          <w:iCs/>
        </w:rPr>
        <w:instrText xml:space="preserve"> SEQ Tabla \* ARABIC \s 1 </w:instrText>
      </w:r>
      <w:r w:rsidRPr="00B12D09">
        <w:rPr>
          <w:rFonts w:ascii="Arial" w:hAnsi="Arial" w:cs="Arial"/>
          <w:iCs/>
        </w:rPr>
        <w:fldChar w:fldCharType="separate"/>
      </w:r>
      <w:r w:rsidRPr="00B12D09">
        <w:rPr>
          <w:rFonts w:ascii="Arial" w:hAnsi="Arial" w:cs="Arial"/>
          <w:iCs/>
          <w:noProof/>
        </w:rPr>
        <w:t>39</w:t>
      </w:r>
      <w:r w:rsidRPr="00B12D09">
        <w:rPr>
          <w:rFonts w:ascii="Arial" w:hAnsi="Arial" w:cs="Arial"/>
          <w:iCs/>
        </w:rPr>
        <w:fldChar w:fldCharType="end"/>
      </w:r>
      <w:r w:rsidRPr="00B12D09">
        <w:rPr>
          <w:rFonts w:ascii="Arial" w:hAnsi="Arial" w:cs="Arial"/>
          <w:iCs/>
        </w:rPr>
        <w:t xml:space="preserve"> Bienes de Uso público, históricos y culturales (BUPHC) – Composición</w:t>
      </w:r>
      <w:bookmarkEnd w:id="69"/>
      <w:bookmarkEnd w:id="70"/>
      <w:bookmarkEnd w:id="71"/>
    </w:p>
    <w:p w:rsidR="00937767" w:rsidRPr="00EE143B" w:rsidRDefault="00937767" w:rsidP="00937767">
      <w:pPr>
        <w:widowControl w:val="0"/>
        <w:autoSpaceDE w:val="0"/>
        <w:autoSpaceDN w:val="0"/>
        <w:jc w:val="center"/>
      </w:pPr>
      <w:r w:rsidRPr="00EE143B">
        <w:rPr>
          <w:noProof/>
          <w:lang w:val="es-CO" w:eastAsia="es-CO"/>
        </w:rPr>
        <w:lastRenderedPageBreak/>
        <w:drawing>
          <wp:inline distT="0" distB="0" distL="0" distR="0" wp14:anchorId="14477519" wp14:editId="14640060">
            <wp:extent cx="5858411" cy="4131646"/>
            <wp:effectExtent l="0" t="0" r="9525" b="2540"/>
            <wp:docPr id="1724238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3266"/>
                    <a:stretch/>
                  </pic:blipFill>
                  <pic:spPr bwMode="auto">
                    <a:xfrm>
                      <a:off x="0" y="0"/>
                      <a:ext cx="5861516" cy="4133836"/>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F24EA3" w:rsidRDefault="00937767" w:rsidP="00937767">
      <w:pPr>
        <w:ind w:left="-142"/>
        <w:jc w:val="both"/>
        <w:rPr>
          <w:rFonts w:ascii="Arial" w:hAnsi="Arial" w:cs="Arial"/>
        </w:rPr>
      </w:pPr>
      <w:r w:rsidRPr="00F24EA3">
        <w:rPr>
          <w:rFonts w:ascii="Arial" w:hAnsi="Arial" w:cs="Arial"/>
        </w:rPr>
        <w:t>A partir de la tabla previa se observa que al 31 de diciembre de 2023 el grupo de BUPHC alcanzó la suma agregada y consolidada de $105.511,1, la cual representa el 11,8% del valor total de los Activos consolidados que ascienden a la suma de $895.837,7. De igual forma, frente al año anterior, se evidencia un aumento del 4,8% en este grupo, equivalente $4.800,5.</w:t>
      </w:r>
    </w:p>
    <w:p w:rsidR="00937767" w:rsidRDefault="00937767" w:rsidP="00937767">
      <w:pPr>
        <w:ind w:left="-142"/>
        <w:jc w:val="both"/>
        <w:rPr>
          <w:rFonts w:ascii="Arial" w:hAnsi="Arial" w:cs="Arial"/>
          <w:b/>
          <w:sz w:val="28"/>
          <w:szCs w:val="28"/>
          <w:lang w:val="es-CO"/>
        </w:rPr>
      </w:pPr>
    </w:p>
    <w:p w:rsidR="00937767" w:rsidRDefault="00937767" w:rsidP="00937767">
      <w:pPr>
        <w:ind w:left="-142"/>
        <w:jc w:val="both"/>
        <w:rPr>
          <w:rFonts w:ascii="Arial" w:hAnsi="Arial" w:cs="Arial"/>
          <w:b/>
          <w:sz w:val="28"/>
          <w:szCs w:val="28"/>
          <w:lang w:val="es-CO"/>
        </w:rPr>
      </w:pPr>
      <w:r>
        <w:rPr>
          <w:rFonts w:ascii="Arial" w:hAnsi="Arial" w:cs="Arial"/>
          <w:b/>
          <w:sz w:val="28"/>
          <w:szCs w:val="28"/>
          <w:lang w:val="es-CO"/>
        </w:rPr>
        <w:t>NOTA 12.- RECURSOS NATURALES NO RENOVABLES.</w:t>
      </w:r>
    </w:p>
    <w:p w:rsidR="00937767" w:rsidRDefault="00937767" w:rsidP="00937767">
      <w:pPr>
        <w:ind w:left="-142"/>
        <w:jc w:val="both"/>
        <w:rPr>
          <w:rFonts w:ascii="Arial" w:hAnsi="Arial" w:cs="Arial"/>
          <w:b/>
          <w:sz w:val="28"/>
          <w:szCs w:val="28"/>
          <w:lang w:val="es-CO"/>
        </w:rPr>
      </w:pPr>
    </w:p>
    <w:p w:rsidR="00937767" w:rsidRDefault="00937767" w:rsidP="00937767">
      <w:pPr>
        <w:pStyle w:val="Descripcin"/>
        <w:jc w:val="center"/>
        <w:rPr>
          <w:rFonts w:ascii="Arial" w:hAnsi="Arial" w:cs="Arial"/>
          <w:color w:val="auto"/>
          <w:sz w:val="24"/>
          <w:szCs w:val="24"/>
        </w:rPr>
      </w:pPr>
      <w:bookmarkStart w:id="72" w:name="_Toc135044803"/>
      <w:bookmarkStart w:id="73" w:name="_Toc166618888"/>
      <w:r w:rsidRPr="00B50861">
        <w:rPr>
          <w:rFonts w:ascii="Arial" w:hAnsi="Arial" w:cs="Arial"/>
          <w:color w:val="auto"/>
          <w:sz w:val="24"/>
          <w:szCs w:val="24"/>
        </w:rPr>
        <w:t xml:space="preserve">Tabla </w:t>
      </w:r>
      <w:r w:rsidRPr="00B50861">
        <w:rPr>
          <w:rFonts w:ascii="Arial" w:hAnsi="Arial" w:cs="Arial"/>
          <w:color w:val="auto"/>
          <w:sz w:val="24"/>
          <w:szCs w:val="24"/>
        </w:rPr>
        <w:fldChar w:fldCharType="begin"/>
      </w:r>
      <w:r w:rsidRPr="00B50861">
        <w:rPr>
          <w:rFonts w:ascii="Arial" w:hAnsi="Arial" w:cs="Arial"/>
          <w:color w:val="auto"/>
          <w:sz w:val="24"/>
          <w:szCs w:val="24"/>
        </w:rPr>
        <w:instrText xml:space="preserve"> STYLEREF 1 \s </w:instrText>
      </w:r>
      <w:r w:rsidRPr="00B50861">
        <w:rPr>
          <w:rFonts w:ascii="Arial" w:hAnsi="Arial" w:cs="Arial"/>
          <w:color w:val="auto"/>
          <w:sz w:val="24"/>
          <w:szCs w:val="24"/>
        </w:rPr>
        <w:fldChar w:fldCharType="separate"/>
      </w:r>
      <w:r w:rsidRPr="00B50861">
        <w:rPr>
          <w:rFonts w:ascii="Arial" w:hAnsi="Arial" w:cs="Arial"/>
          <w:noProof/>
          <w:color w:val="auto"/>
          <w:sz w:val="24"/>
          <w:szCs w:val="24"/>
        </w:rPr>
        <w:t>4</w:t>
      </w:r>
      <w:r w:rsidRPr="00B50861">
        <w:rPr>
          <w:rFonts w:ascii="Arial" w:hAnsi="Arial" w:cs="Arial"/>
          <w:noProof/>
          <w:color w:val="auto"/>
          <w:sz w:val="24"/>
          <w:szCs w:val="24"/>
        </w:rPr>
        <w:fldChar w:fldCharType="end"/>
      </w:r>
      <w:r w:rsidRPr="00B50861">
        <w:rPr>
          <w:rFonts w:ascii="Arial" w:hAnsi="Arial" w:cs="Arial"/>
          <w:color w:val="auto"/>
          <w:sz w:val="24"/>
          <w:szCs w:val="24"/>
        </w:rPr>
        <w:noBreakHyphen/>
      </w:r>
      <w:r w:rsidRPr="00B50861">
        <w:rPr>
          <w:rFonts w:ascii="Arial" w:hAnsi="Arial" w:cs="Arial"/>
          <w:color w:val="auto"/>
          <w:sz w:val="24"/>
          <w:szCs w:val="24"/>
        </w:rPr>
        <w:fldChar w:fldCharType="begin"/>
      </w:r>
      <w:r w:rsidRPr="00B50861">
        <w:rPr>
          <w:rFonts w:ascii="Arial" w:hAnsi="Arial" w:cs="Arial"/>
          <w:color w:val="auto"/>
          <w:sz w:val="24"/>
          <w:szCs w:val="24"/>
        </w:rPr>
        <w:instrText xml:space="preserve"> SEQ Tabla \* ARABIC \s 1 </w:instrText>
      </w:r>
      <w:r w:rsidRPr="00B50861">
        <w:rPr>
          <w:rFonts w:ascii="Arial" w:hAnsi="Arial" w:cs="Arial"/>
          <w:color w:val="auto"/>
          <w:sz w:val="24"/>
          <w:szCs w:val="24"/>
        </w:rPr>
        <w:fldChar w:fldCharType="separate"/>
      </w:r>
      <w:r w:rsidRPr="00B50861">
        <w:rPr>
          <w:rFonts w:ascii="Arial" w:hAnsi="Arial" w:cs="Arial"/>
          <w:noProof/>
          <w:color w:val="auto"/>
          <w:sz w:val="24"/>
          <w:szCs w:val="24"/>
        </w:rPr>
        <w:t>42</w:t>
      </w:r>
      <w:r w:rsidRPr="00B50861">
        <w:rPr>
          <w:rFonts w:ascii="Arial" w:hAnsi="Arial" w:cs="Arial"/>
          <w:noProof/>
          <w:color w:val="auto"/>
          <w:sz w:val="24"/>
          <w:szCs w:val="24"/>
        </w:rPr>
        <w:fldChar w:fldCharType="end"/>
      </w:r>
      <w:r w:rsidRPr="00B50861">
        <w:rPr>
          <w:rFonts w:ascii="Arial" w:hAnsi="Arial" w:cs="Arial"/>
          <w:color w:val="auto"/>
          <w:sz w:val="24"/>
          <w:szCs w:val="24"/>
        </w:rPr>
        <w:t xml:space="preserve"> Recursos naturales no renovables (RNNR) – Composición</w:t>
      </w:r>
      <w:bookmarkEnd w:id="72"/>
      <w:bookmarkEnd w:id="73"/>
    </w:p>
    <w:p w:rsidR="00937767" w:rsidRPr="00B50861" w:rsidRDefault="00937767" w:rsidP="00937767">
      <w:pPr>
        <w:rPr>
          <w:lang w:val="es-CO" w:eastAsia="en-US"/>
        </w:rPr>
      </w:pPr>
    </w:p>
    <w:p w:rsidR="00937767" w:rsidRPr="00A320BE" w:rsidRDefault="00937767" w:rsidP="00937767">
      <w:pPr>
        <w:pStyle w:val="Textoindependiente"/>
        <w:jc w:val="both"/>
        <w:rPr>
          <w:rFonts w:ascii="Montserrat Medium" w:hAnsi="Montserrat Medium"/>
          <w:color w:val="000000" w:themeColor="text1"/>
          <w:lang w:val="es-CO"/>
        </w:rPr>
      </w:pPr>
      <w:r w:rsidRPr="00B370BB">
        <w:rPr>
          <w:noProof/>
          <w:lang w:val="es-CO" w:eastAsia="es-CO"/>
        </w:rPr>
        <w:drawing>
          <wp:inline distT="0" distB="0" distL="0" distR="0" wp14:anchorId="5B6F1081" wp14:editId="4ED91674">
            <wp:extent cx="5943600" cy="1698208"/>
            <wp:effectExtent l="0" t="0" r="0" b="0"/>
            <wp:docPr id="1927323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129"/>
                    <a:stretch/>
                  </pic:blipFill>
                  <pic:spPr bwMode="auto">
                    <a:xfrm>
                      <a:off x="0" y="0"/>
                      <a:ext cx="5943600" cy="1698208"/>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A320BE" w:rsidRDefault="00937767" w:rsidP="00937767">
      <w:pPr>
        <w:pStyle w:val="Textoindependiente"/>
        <w:jc w:val="both"/>
        <w:rPr>
          <w:rFonts w:ascii="Montserrat Medium" w:hAnsi="Montserrat Medium"/>
          <w:color w:val="000000" w:themeColor="text1"/>
          <w:lang w:val="es-CO"/>
        </w:rPr>
      </w:pPr>
    </w:p>
    <w:p w:rsidR="00937767" w:rsidRDefault="00937767" w:rsidP="00937767">
      <w:pPr>
        <w:ind w:left="-142"/>
        <w:jc w:val="both"/>
        <w:rPr>
          <w:rFonts w:ascii="Arial" w:hAnsi="Arial" w:cs="Arial"/>
        </w:rPr>
      </w:pPr>
      <w:r w:rsidRPr="00B50861">
        <w:rPr>
          <w:rFonts w:ascii="Arial" w:hAnsi="Arial" w:cs="Arial"/>
        </w:rPr>
        <w:lastRenderedPageBreak/>
        <w:t xml:space="preserve">El saldo del grupo es de $95.134,0, lo que representa un 10,6% del total del Activo consolidado del nivel nacional, que en 2023 ascendió a $895.837,7. Este saldo es reportado exclusivamente por el Ministerio de Minas y Energía. </w:t>
      </w:r>
    </w:p>
    <w:p w:rsidR="00937767" w:rsidRDefault="00937767" w:rsidP="00937767">
      <w:pPr>
        <w:ind w:left="-142"/>
        <w:jc w:val="both"/>
        <w:rPr>
          <w:rFonts w:ascii="Arial" w:hAnsi="Arial" w:cs="Arial"/>
        </w:rPr>
      </w:pPr>
    </w:p>
    <w:p w:rsidR="00937767" w:rsidRPr="007B726E" w:rsidRDefault="00937767" w:rsidP="00937767">
      <w:pPr>
        <w:ind w:left="-142"/>
        <w:jc w:val="both"/>
        <w:rPr>
          <w:rFonts w:ascii="Arial" w:hAnsi="Arial" w:cs="Arial"/>
          <w:b/>
          <w:sz w:val="28"/>
          <w:szCs w:val="28"/>
        </w:rPr>
      </w:pPr>
      <w:r w:rsidRPr="007B726E">
        <w:rPr>
          <w:rFonts w:ascii="Arial" w:hAnsi="Arial" w:cs="Arial"/>
          <w:b/>
          <w:sz w:val="28"/>
          <w:szCs w:val="28"/>
        </w:rPr>
        <w:t>NOTA 13.- PROPIEDADES DE INVERSIÓN.</w:t>
      </w:r>
    </w:p>
    <w:p w:rsidR="00937767" w:rsidRDefault="00937767" w:rsidP="00937767">
      <w:pPr>
        <w:ind w:left="-142"/>
        <w:jc w:val="both"/>
        <w:rPr>
          <w:rFonts w:ascii="Arial" w:hAnsi="Arial" w:cs="Arial"/>
        </w:rPr>
      </w:pPr>
    </w:p>
    <w:p w:rsidR="00937767" w:rsidRDefault="00937767" w:rsidP="00937767">
      <w:pPr>
        <w:pStyle w:val="Descripcin"/>
        <w:jc w:val="center"/>
        <w:rPr>
          <w:rFonts w:ascii="Arial" w:hAnsi="Arial" w:cs="Arial"/>
          <w:color w:val="auto"/>
          <w:sz w:val="24"/>
          <w:szCs w:val="24"/>
        </w:rPr>
      </w:pPr>
      <w:bookmarkStart w:id="74" w:name="_Toc135044804"/>
      <w:bookmarkStart w:id="75" w:name="_Toc166618889"/>
      <w:r w:rsidRPr="007B726E">
        <w:rPr>
          <w:rFonts w:ascii="Arial" w:hAnsi="Arial" w:cs="Arial"/>
          <w:color w:val="auto"/>
          <w:sz w:val="24"/>
          <w:szCs w:val="24"/>
        </w:rPr>
        <w:t xml:space="preserve">Tabla </w:t>
      </w:r>
      <w:r w:rsidRPr="007B726E">
        <w:rPr>
          <w:rFonts w:ascii="Arial" w:hAnsi="Arial" w:cs="Arial"/>
          <w:color w:val="auto"/>
          <w:sz w:val="24"/>
          <w:szCs w:val="24"/>
        </w:rPr>
        <w:fldChar w:fldCharType="begin"/>
      </w:r>
      <w:r w:rsidRPr="007B726E">
        <w:rPr>
          <w:rFonts w:ascii="Arial" w:hAnsi="Arial" w:cs="Arial"/>
          <w:color w:val="auto"/>
          <w:sz w:val="24"/>
          <w:szCs w:val="24"/>
        </w:rPr>
        <w:instrText xml:space="preserve"> STYLEREF 1 \s </w:instrText>
      </w:r>
      <w:r w:rsidRPr="007B726E">
        <w:rPr>
          <w:rFonts w:ascii="Arial" w:hAnsi="Arial" w:cs="Arial"/>
          <w:color w:val="auto"/>
          <w:sz w:val="24"/>
          <w:szCs w:val="24"/>
        </w:rPr>
        <w:fldChar w:fldCharType="separate"/>
      </w:r>
      <w:r w:rsidRPr="007B726E">
        <w:rPr>
          <w:rFonts w:ascii="Arial" w:hAnsi="Arial" w:cs="Arial"/>
          <w:noProof/>
          <w:color w:val="auto"/>
          <w:sz w:val="24"/>
          <w:szCs w:val="24"/>
        </w:rPr>
        <w:t>4</w:t>
      </w:r>
      <w:r w:rsidRPr="007B726E">
        <w:rPr>
          <w:rFonts w:ascii="Arial" w:hAnsi="Arial" w:cs="Arial"/>
          <w:noProof/>
          <w:color w:val="auto"/>
          <w:sz w:val="24"/>
          <w:szCs w:val="24"/>
        </w:rPr>
        <w:fldChar w:fldCharType="end"/>
      </w:r>
      <w:r w:rsidRPr="007B726E">
        <w:rPr>
          <w:rFonts w:ascii="Arial" w:hAnsi="Arial" w:cs="Arial"/>
          <w:color w:val="auto"/>
          <w:sz w:val="24"/>
          <w:szCs w:val="24"/>
        </w:rPr>
        <w:noBreakHyphen/>
      </w:r>
      <w:r w:rsidRPr="007B726E">
        <w:rPr>
          <w:rFonts w:ascii="Arial" w:hAnsi="Arial" w:cs="Arial"/>
          <w:color w:val="auto"/>
          <w:sz w:val="24"/>
          <w:szCs w:val="24"/>
        </w:rPr>
        <w:fldChar w:fldCharType="begin"/>
      </w:r>
      <w:r w:rsidRPr="007B726E">
        <w:rPr>
          <w:rFonts w:ascii="Arial" w:hAnsi="Arial" w:cs="Arial"/>
          <w:color w:val="auto"/>
          <w:sz w:val="24"/>
          <w:szCs w:val="24"/>
        </w:rPr>
        <w:instrText xml:space="preserve"> SEQ Tabla \* ARABIC \s 1 </w:instrText>
      </w:r>
      <w:r w:rsidRPr="007B726E">
        <w:rPr>
          <w:rFonts w:ascii="Arial" w:hAnsi="Arial" w:cs="Arial"/>
          <w:color w:val="auto"/>
          <w:sz w:val="24"/>
          <w:szCs w:val="24"/>
        </w:rPr>
        <w:fldChar w:fldCharType="separate"/>
      </w:r>
      <w:r w:rsidRPr="007B726E">
        <w:rPr>
          <w:rFonts w:ascii="Arial" w:hAnsi="Arial" w:cs="Arial"/>
          <w:noProof/>
          <w:color w:val="auto"/>
          <w:sz w:val="24"/>
          <w:szCs w:val="24"/>
        </w:rPr>
        <w:t>43</w:t>
      </w:r>
      <w:r w:rsidRPr="007B726E">
        <w:rPr>
          <w:rFonts w:ascii="Arial" w:hAnsi="Arial" w:cs="Arial"/>
          <w:noProof/>
          <w:color w:val="auto"/>
          <w:sz w:val="24"/>
          <w:szCs w:val="24"/>
        </w:rPr>
        <w:fldChar w:fldCharType="end"/>
      </w:r>
      <w:r w:rsidRPr="007B726E">
        <w:rPr>
          <w:rFonts w:ascii="Arial" w:hAnsi="Arial" w:cs="Arial"/>
          <w:color w:val="auto"/>
          <w:sz w:val="24"/>
          <w:szCs w:val="24"/>
        </w:rPr>
        <w:t xml:space="preserve"> Propiedades de inversión (PRIN) – Composición</w:t>
      </w:r>
      <w:bookmarkEnd w:id="74"/>
      <w:bookmarkEnd w:id="75"/>
    </w:p>
    <w:p w:rsidR="00937767" w:rsidRPr="007B726E" w:rsidRDefault="00937767" w:rsidP="00937767">
      <w:pPr>
        <w:rPr>
          <w:lang w:val="es-CO" w:eastAsia="en-US"/>
        </w:rPr>
      </w:pPr>
    </w:p>
    <w:p w:rsidR="00937767" w:rsidRPr="00701179" w:rsidRDefault="00937767" w:rsidP="00937767">
      <w:pPr>
        <w:pStyle w:val="Textoindependiente"/>
        <w:jc w:val="center"/>
        <w:rPr>
          <w:rFonts w:ascii="Verdana" w:hAnsi="Verdana"/>
          <w:lang w:val="es-CO"/>
        </w:rPr>
      </w:pPr>
      <w:r w:rsidRPr="00701179">
        <w:rPr>
          <w:rFonts w:ascii="Verdana" w:hAnsi="Verdana"/>
          <w:noProof/>
          <w:lang w:val="es-CO" w:eastAsia="es-CO"/>
        </w:rPr>
        <w:drawing>
          <wp:inline distT="0" distB="0" distL="0" distR="0" wp14:anchorId="793F4810" wp14:editId="0BBC8B8C">
            <wp:extent cx="5943600" cy="3519170"/>
            <wp:effectExtent l="0" t="0" r="0" b="5080"/>
            <wp:docPr id="15062619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519170"/>
                    </a:xfrm>
                    <a:prstGeom prst="rect">
                      <a:avLst/>
                    </a:prstGeom>
                    <a:noFill/>
                    <a:ln>
                      <a:noFill/>
                    </a:ln>
                  </pic:spPr>
                </pic:pic>
              </a:graphicData>
            </a:graphic>
          </wp:inline>
        </w:drawing>
      </w:r>
    </w:p>
    <w:p w:rsidR="00937767" w:rsidRDefault="00937767" w:rsidP="00937767">
      <w:pPr>
        <w:ind w:left="-142"/>
        <w:jc w:val="both"/>
        <w:rPr>
          <w:rFonts w:ascii="Verdana" w:hAnsi="Verdana"/>
          <w:bCs/>
          <w:lang w:val="es-CO"/>
        </w:rPr>
      </w:pPr>
    </w:p>
    <w:p w:rsidR="00937767" w:rsidRPr="007B726E" w:rsidRDefault="00937767" w:rsidP="00937767">
      <w:pPr>
        <w:pStyle w:val="Textoindependiente"/>
        <w:ind w:left="-142"/>
        <w:jc w:val="both"/>
        <w:rPr>
          <w:rFonts w:ascii="Arial" w:hAnsi="Arial" w:cs="Arial"/>
          <w:sz w:val="24"/>
          <w:lang w:val="es-CO"/>
        </w:rPr>
      </w:pPr>
      <w:r w:rsidRPr="007B726E">
        <w:rPr>
          <w:rFonts w:ascii="Arial" w:hAnsi="Arial" w:cs="Arial"/>
          <w:bCs/>
          <w:sz w:val="24"/>
          <w:lang w:val="es-CO"/>
        </w:rPr>
        <w:t>El saldo consolidado de las Propiedades de inversión asciende a $2.740,5,</w:t>
      </w:r>
      <w:r w:rsidRPr="007B726E">
        <w:rPr>
          <w:rFonts w:ascii="Arial" w:hAnsi="Arial" w:cs="Arial"/>
          <w:sz w:val="24"/>
          <w:lang w:val="es-CO"/>
        </w:rPr>
        <w:t xml:space="preserve"> representa </w:t>
      </w:r>
      <w:r w:rsidRPr="007B726E">
        <w:rPr>
          <w:rFonts w:ascii="Arial" w:hAnsi="Arial" w:cs="Arial"/>
          <w:bCs/>
          <w:sz w:val="24"/>
          <w:lang w:val="es-CO"/>
        </w:rPr>
        <w:t>el 0,3% del total de los Activos consolidados del nivel nacional, que alcanzan la suma de $</w:t>
      </w:r>
      <w:r w:rsidRPr="007B726E">
        <w:rPr>
          <w:rFonts w:ascii="Arial" w:hAnsi="Arial" w:cs="Arial"/>
          <w:sz w:val="24"/>
          <w:lang w:val="es-CO"/>
        </w:rPr>
        <w:t>895.837,7</w:t>
      </w:r>
      <w:r w:rsidRPr="007B726E">
        <w:rPr>
          <w:rFonts w:ascii="Arial" w:hAnsi="Arial" w:cs="Arial"/>
          <w:bCs/>
          <w:sz w:val="24"/>
          <w:lang w:val="es-CO"/>
        </w:rPr>
        <w:t xml:space="preserve"> y como cuenta muestra un incremento del 0,4% frente al periodo 2022</w:t>
      </w:r>
      <w:r w:rsidRPr="007B726E">
        <w:rPr>
          <w:rFonts w:ascii="Arial" w:hAnsi="Arial" w:cs="Arial"/>
          <w:sz w:val="24"/>
          <w:lang w:val="es-CO"/>
        </w:rPr>
        <w:t>.</w:t>
      </w:r>
    </w:p>
    <w:p w:rsidR="00937767" w:rsidRPr="007B726E" w:rsidRDefault="00937767" w:rsidP="00937767">
      <w:pPr>
        <w:ind w:left="-142"/>
        <w:jc w:val="both"/>
        <w:rPr>
          <w:rFonts w:ascii="Arial" w:hAnsi="Arial" w:cs="Arial"/>
          <w:b/>
          <w:lang w:val="es-CO"/>
        </w:rPr>
      </w:pPr>
    </w:p>
    <w:p w:rsidR="00937767" w:rsidRDefault="00937767" w:rsidP="00937767">
      <w:pPr>
        <w:ind w:left="-142"/>
        <w:jc w:val="both"/>
        <w:rPr>
          <w:rFonts w:ascii="Arial" w:hAnsi="Arial" w:cs="Arial"/>
          <w:b/>
          <w:sz w:val="28"/>
          <w:szCs w:val="28"/>
        </w:rPr>
      </w:pPr>
      <w:r w:rsidRPr="007B726E">
        <w:rPr>
          <w:rFonts w:ascii="Arial" w:hAnsi="Arial" w:cs="Arial"/>
          <w:b/>
          <w:sz w:val="28"/>
          <w:szCs w:val="28"/>
        </w:rPr>
        <w:t>ENTIDADES QUE REGISTRAN LOS MAYORES VALORES DE PROPIEDADES DE INVERSIÓN</w:t>
      </w:r>
      <w:r>
        <w:rPr>
          <w:rFonts w:ascii="Arial" w:hAnsi="Arial" w:cs="Arial"/>
          <w:b/>
          <w:sz w:val="28"/>
          <w:szCs w:val="28"/>
        </w:rPr>
        <w:t>.</w:t>
      </w:r>
      <w:r w:rsidRPr="007B726E">
        <w:rPr>
          <w:rFonts w:ascii="Arial" w:hAnsi="Arial" w:cs="Arial"/>
          <w:b/>
          <w:sz w:val="28"/>
          <w:szCs w:val="28"/>
        </w:rPr>
        <w:t xml:space="preserve"> </w:t>
      </w:r>
    </w:p>
    <w:p w:rsidR="00937767" w:rsidRDefault="00937767" w:rsidP="00937767">
      <w:pPr>
        <w:ind w:left="-142"/>
        <w:jc w:val="both"/>
        <w:rPr>
          <w:rFonts w:ascii="Arial" w:hAnsi="Arial" w:cs="Arial"/>
          <w:b/>
          <w:sz w:val="28"/>
          <w:szCs w:val="28"/>
        </w:rPr>
      </w:pPr>
    </w:p>
    <w:p w:rsidR="00937767" w:rsidRPr="00FA37ED" w:rsidRDefault="00937767" w:rsidP="00937767">
      <w:pPr>
        <w:pStyle w:val="Textoindependiente"/>
        <w:ind w:left="-142"/>
        <w:jc w:val="both"/>
        <w:rPr>
          <w:rFonts w:ascii="Arial" w:hAnsi="Arial" w:cs="Arial"/>
          <w:sz w:val="24"/>
          <w:lang w:val="es-CO"/>
        </w:rPr>
      </w:pPr>
      <w:r w:rsidRPr="00FA37ED">
        <w:rPr>
          <w:rFonts w:ascii="Arial" w:hAnsi="Arial" w:cs="Arial"/>
          <w:sz w:val="24"/>
          <w:lang w:val="es-CO"/>
        </w:rPr>
        <w:t>Las entidades que registran los saldos agregados más significativos en los conceptos de Propiedades de inversión se detallan a continuación:</w:t>
      </w:r>
    </w:p>
    <w:p w:rsidR="00937767" w:rsidRPr="00FA37ED" w:rsidRDefault="00937767" w:rsidP="00937767">
      <w:pPr>
        <w:jc w:val="both"/>
        <w:rPr>
          <w:rFonts w:ascii="Arial" w:hAnsi="Arial" w:cs="Arial"/>
          <w:b/>
        </w:rPr>
      </w:pPr>
    </w:p>
    <w:p w:rsidR="00937767" w:rsidRDefault="00937767" w:rsidP="00937767">
      <w:pPr>
        <w:jc w:val="both"/>
        <w:rPr>
          <w:rFonts w:ascii="Arial" w:hAnsi="Arial" w:cs="Arial"/>
          <w:b/>
          <w:sz w:val="28"/>
          <w:szCs w:val="28"/>
        </w:rPr>
      </w:pPr>
    </w:p>
    <w:p w:rsidR="00937767" w:rsidRDefault="00937767" w:rsidP="00937767">
      <w:pPr>
        <w:jc w:val="both"/>
        <w:rPr>
          <w:rFonts w:ascii="Arial" w:hAnsi="Arial" w:cs="Arial"/>
          <w:b/>
          <w:sz w:val="28"/>
          <w:szCs w:val="28"/>
        </w:rPr>
      </w:pPr>
    </w:p>
    <w:p w:rsidR="00937767" w:rsidRDefault="00937767" w:rsidP="00937767">
      <w:pPr>
        <w:jc w:val="both"/>
        <w:rPr>
          <w:rFonts w:ascii="Arial" w:hAnsi="Arial" w:cs="Arial"/>
          <w:b/>
          <w:sz w:val="28"/>
          <w:szCs w:val="28"/>
        </w:rPr>
      </w:pPr>
    </w:p>
    <w:p w:rsidR="00937767" w:rsidRDefault="00937767" w:rsidP="00937767">
      <w:pPr>
        <w:jc w:val="both"/>
        <w:rPr>
          <w:rFonts w:ascii="Arial" w:hAnsi="Arial" w:cs="Arial"/>
          <w:b/>
          <w:sz w:val="28"/>
          <w:szCs w:val="28"/>
        </w:rPr>
      </w:pPr>
    </w:p>
    <w:p w:rsidR="00937767" w:rsidRDefault="00937767" w:rsidP="00937767">
      <w:pPr>
        <w:jc w:val="both"/>
        <w:rPr>
          <w:rFonts w:ascii="Arial" w:hAnsi="Arial" w:cs="Arial"/>
          <w:b/>
          <w:sz w:val="28"/>
          <w:szCs w:val="28"/>
        </w:rPr>
      </w:pPr>
    </w:p>
    <w:p w:rsidR="00937767" w:rsidRDefault="00937767" w:rsidP="00937767">
      <w:pPr>
        <w:jc w:val="both"/>
        <w:rPr>
          <w:rFonts w:ascii="Arial" w:hAnsi="Arial" w:cs="Arial"/>
          <w:b/>
          <w:sz w:val="28"/>
          <w:szCs w:val="28"/>
        </w:rPr>
      </w:pPr>
    </w:p>
    <w:p w:rsidR="00937767" w:rsidRDefault="00937767" w:rsidP="00937767">
      <w:pPr>
        <w:pStyle w:val="Descripcin"/>
        <w:jc w:val="center"/>
        <w:rPr>
          <w:rFonts w:ascii="Arial" w:hAnsi="Arial" w:cs="Arial"/>
          <w:color w:val="auto"/>
          <w:sz w:val="24"/>
          <w:szCs w:val="24"/>
        </w:rPr>
      </w:pPr>
      <w:bookmarkStart w:id="76" w:name="_Toc135044805"/>
      <w:bookmarkStart w:id="77" w:name="_Toc166618890"/>
      <w:r w:rsidRPr="007B726E">
        <w:rPr>
          <w:rFonts w:ascii="Arial" w:hAnsi="Arial" w:cs="Arial"/>
          <w:color w:val="auto"/>
          <w:sz w:val="24"/>
          <w:szCs w:val="24"/>
        </w:rPr>
        <w:lastRenderedPageBreak/>
        <w:t xml:space="preserve">Tabla </w:t>
      </w:r>
      <w:r w:rsidRPr="007B726E">
        <w:rPr>
          <w:rFonts w:ascii="Arial" w:hAnsi="Arial" w:cs="Arial"/>
          <w:color w:val="auto"/>
          <w:sz w:val="24"/>
          <w:szCs w:val="24"/>
        </w:rPr>
        <w:fldChar w:fldCharType="begin"/>
      </w:r>
      <w:r w:rsidRPr="007B726E">
        <w:rPr>
          <w:rFonts w:ascii="Arial" w:hAnsi="Arial" w:cs="Arial"/>
          <w:color w:val="auto"/>
          <w:sz w:val="24"/>
          <w:szCs w:val="24"/>
        </w:rPr>
        <w:instrText xml:space="preserve"> STYLEREF 1 \s </w:instrText>
      </w:r>
      <w:r w:rsidRPr="007B726E">
        <w:rPr>
          <w:rFonts w:ascii="Arial" w:hAnsi="Arial" w:cs="Arial"/>
          <w:color w:val="auto"/>
          <w:sz w:val="24"/>
          <w:szCs w:val="24"/>
        </w:rPr>
        <w:fldChar w:fldCharType="separate"/>
      </w:r>
      <w:r w:rsidRPr="007B726E">
        <w:rPr>
          <w:rFonts w:ascii="Arial" w:hAnsi="Arial" w:cs="Arial"/>
          <w:noProof/>
          <w:color w:val="auto"/>
          <w:sz w:val="24"/>
          <w:szCs w:val="24"/>
        </w:rPr>
        <w:t>4</w:t>
      </w:r>
      <w:r w:rsidRPr="007B726E">
        <w:rPr>
          <w:rFonts w:ascii="Arial" w:hAnsi="Arial" w:cs="Arial"/>
          <w:noProof/>
          <w:color w:val="auto"/>
          <w:sz w:val="24"/>
          <w:szCs w:val="24"/>
        </w:rPr>
        <w:fldChar w:fldCharType="end"/>
      </w:r>
      <w:r w:rsidRPr="007B726E">
        <w:rPr>
          <w:rFonts w:ascii="Arial" w:hAnsi="Arial" w:cs="Arial"/>
          <w:color w:val="auto"/>
          <w:sz w:val="24"/>
          <w:szCs w:val="24"/>
        </w:rPr>
        <w:noBreakHyphen/>
      </w:r>
      <w:r w:rsidRPr="007B726E">
        <w:rPr>
          <w:rFonts w:ascii="Arial" w:hAnsi="Arial" w:cs="Arial"/>
          <w:color w:val="auto"/>
          <w:sz w:val="24"/>
          <w:szCs w:val="24"/>
        </w:rPr>
        <w:fldChar w:fldCharType="begin"/>
      </w:r>
      <w:r w:rsidRPr="007B726E">
        <w:rPr>
          <w:rFonts w:ascii="Arial" w:hAnsi="Arial" w:cs="Arial"/>
          <w:color w:val="auto"/>
          <w:sz w:val="24"/>
          <w:szCs w:val="24"/>
        </w:rPr>
        <w:instrText xml:space="preserve"> SEQ Tabla \* ARABIC \s 1 </w:instrText>
      </w:r>
      <w:r w:rsidRPr="007B726E">
        <w:rPr>
          <w:rFonts w:ascii="Arial" w:hAnsi="Arial" w:cs="Arial"/>
          <w:color w:val="auto"/>
          <w:sz w:val="24"/>
          <w:szCs w:val="24"/>
        </w:rPr>
        <w:fldChar w:fldCharType="separate"/>
      </w:r>
      <w:r w:rsidRPr="007B726E">
        <w:rPr>
          <w:rFonts w:ascii="Arial" w:hAnsi="Arial" w:cs="Arial"/>
          <w:noProof/>
          <w:color w:val="auto"/>
          <w:sz w:val="24"/>
          <w:szCs w:val="24"/>
        </w:rPr>
        <w:t>44</w:t>
      </w:r>
      <w:r w:rsidRPr="007B726E">
        <w:rPr>
          <w:rFonts w:ascii="Arial" w:hAnsi="Arial" w:cs="Arial"/>
          <w:noProof/>
          <w:color w:val="auto"/>
          <w:sz w:val="24"/>
          <w:szCs w:val="24"/>
        </w:rPr>
        <w:fldChar w:fldCharType="end"/>
      </w:r>
      <w:r w:rsidRPr="007B726E">
        <w:rPr>
          <w:rFonts w:ascii="Arial" w:hAnsi="Arial" w:cs="Arial"/>
          <w:color w:val="auto"/>
          <w:sz w:val="24"/>
          <w:szCs w:val="24"/>
        </w:rPr>
        <w:t xml:space="preserve"> PRIN - Entidades más representativas</w:t>
      </w:r>
      <w:bookmarkEnd w:id="76"/>
      <w:bookmarkEnd w:id="77"/>
    </w:p>
    <w:p w:rsidR="00937767" w:rsidRPr="007B726E" w:rsidRDefault="00937767" w:rsidP="00937767">
      <w:pPr>
        <w:rPr>
          <w:lang w:val="es-CO" w:eastAsia="en-US"/>
        </w:rPr>
      </w:pPr>
    </w:p>
    <w:p w:rsidR="00937767" w:rsidRDefault="00937767" w:rsidP="00937767">
      <w:pPr>
        <w:pStyle w:val="Textoindependiente"/>
        <w:jc w:val="center"/>
        <w:rPr>
          <w:rFonts w:ascii="Verdana" w:hAnsi="Verdana"/>
          <w:noProof/>
          <w:lang w:val="es-CO"/>
        </w:rPr>
      </w:pPr>
      <w:r w:rsidRPr="00701179">
        <w:rPr>
          <w:rFonts w:ascii="Verdana" w:hAnsi="Verdana"/>
          <w:noProof/>
          <w:lang w:val="es-CO" w:eastAsia="es-CO"/>
        </w:rPr>
        <w:drawing>
          <wp:inline distT="0" distB="0" distL="0" distR="0" wp14:anchorId="5B42258B" wp14:editId="13A71B5E">
            <wp:extent cx="5943600" cy="3289465"/>
            <wp:effectExtent l="0" t="0" r="0" b="6350"/>
            <wp:docPr id="1581836441" name="Imagen 158183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b="9182"/>
                    <a:stretch/>
                  </pic:blipFill>
                  <pic:spPr bwMode="auto">
                    <a:xfrm>
                      <a:off x="0" y="0"/>
                      <a:ext cx="5943600" cy="3289465"/>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FF432F" w:rsidRDefault="00937767" w:rsidP="00937767">
      <w:pPr>
        <w:ind w:right="4"/>
        <w:jc w:val="both"/>
        <w:rPr>
          <w:sz w:val="18"/>
          <w:szCs w:val="18"/>
        </w:rPr>
      </w:pPr>
      <w:r w:rsidRPr="00FF432F">
        <w:rPr>
          <w:sz w:val="18"/>
          <w:szCs w:val="18"/>
        </w:rPr>
        <w:t>*En la clasificación “Resto de Entidades que reportan” se reflejan los saldos reportados por las demás entidades, los cuales analizados individualmente son inferiores a los reportados por las entidades más representativas.</w:t>
      </w:r>
    </w:p>
    <w:p w:rsidR="00937767" w:rsidRDefault="00937767" w:rsidP="00937767">
      <w:pPr>
        <w:ind w:left="-142"/>
        <w:jc w:val="both"/>
        <w:rPr>
          <w:rFonts w:ascii="Arial" w:hAnsi="Arial" w:cs="Arial"/>
          <w:b/>
          <w:sz w:val="28"/>
          <w:szCs w:val="28"/>
          <w:lang w:val="es-CO"/>
        </w:rPr>
      </w:pPr>
    </w:p>
    <w:p w:rsidR="00937767" w:rsidRDefault="00937767" w:rsidP="00937767">
      <w:pPr>
        <w:ind w:left="-142"/>
        <w:jc w:val="both"/>
        <w:rPr>
          <w:rFonts w:ascii="Arial" w:hAnsi="Arial" w:cs="Arial"/>
          <w:b/>
          <w:sz w:val="28"/>
          <w:szCs w:val="28"/>
          <w:lang w:val="es-CO"/>
        </w:rPr>
      </w:pPr>
      <w:r>
        <w:rPr>
          <w:rFonts w:ascii="Arial" w:hAnsi="Arial" w:cs="Arial"/>
          <w:b/>
          <w:sz w:val="28"/>
          <w:szCs w:val="28"/>
          <w:lang w:val="es-CO"/>
        </w:rPr>
        <w:t>NOTA 14.- ACTIVOS INTANGIBLES.</w:t>
      </w:r>
    </w:p>
    <w:p w:rsidR="00937767" w:rsidRDefault="00937767" w:rsidP="00937767">
      <w:pPr>
        <w:ind w:left="-142"/>
        <w:jc w:val="both"/>
        <w:rPr>
          <w:rFonts w:ascii="Arial" w:hAnsi="Arial" w:cs="Arial"/>
          <w:b/>
          <w:sz w:val="28"/>
          <w:szCs w:val="28"/>
          <w:lang w:val="es-CO"/>
        </w:rPr>
      </w:pPr>
    </w:p>
    <w:p w:rsidR="00937767" w:rsidRPr="00FA37ED" w:rsidRDefault="00937767" w:rsidP="00937767">
      <w:pPr>
        <w:ind w:left="-142"/>
        <w:jc w:val="both"/>
        <w:rPr>
          <w:rFonts w:ascii="Arial" w:hAnsi="Arial" w:cs="Arial"/>
        </w:rPr>
      </w:pPr>
      <w:r w:rsidRPr="00FA37ED">
        <w:rPr>
          <w:rFonts w:ascii="Arial" w:hAnsi="Arial" w:cs="Arial"/>
        </w:rPr>
        <w:t>Al 31 de diciembre de 2023, los Activos intangibles sumaron $95.631,1 antes de considerar la Amortización y el Deterioro acumulados. Los conceptos con mayor importancia relativa son: Activos intangibles en fase de exploración y evaluación de recursos minerales, con un monto de $78.092,5 y un incremento de $8.803,5 equivalente a una variación del 12,7% respecto al año anterior; seguido por Derechos con un valor de $5.231,2 y una variación de ($295,7) equivalente al (5,4%) respecto a 2022.</w:t>
      </w:r>
    </w:p>
    <w:p w:rsidR="00937767" w:rsidRPr="00FA37ED" w:rsidRDefault="00937767" w:rsidP="00937767">
      <w:pPr>
        <w:ind w:left="-142"/>
        <w:jc w:val="both"/>
        <w:rPr>
          <w:rFonts w:ascii="Arial" w:hAnsi="Arial" w:cs="Arial"/>
          <w:b/>
          <w:sz w:val="28"/>
          <w:szCs w:val="28"/>
          <w:lang w:val="es-CO"/>
        </w:rPr>
      </w:pPr>
    </w:p>
    <w:p w:rsidR="00937767" w:rsidRPr="00FA37ED" w:rsidRDefault="00937767" w:rsidP="00937767">
      <w:pPr>
        <w:ind w:left="-142"/>
        <w:jc w:val="both"/>
        <w:rPr>
          <w:rFonts w:ascii="Arial" w:hAnsi="Arial" w:cs="Arial"/>
          <w:b/>
          <w:sz w:val="28"/>
          <w:szCs w:val="28"/>
          <w:lang w:val="es-CO"/>
        </w:rPr>
      </w:pPr>
    </w:p>
    <w:p w:rsidR="00937767" w:rsidRDefault="00937767" w:rsidP="00937767">
      <w:pPr>
        <w:ind w:left="-142"/>
        <w:jc w:val="both"/>
        <w:rPr>
          <w:rFonts w:ascii="Arial" w:hAnsi="Arial" w:cs="Arial"/>
          <w:b/>
          <w:sz w:val="28"/>
          <w:szCs w:val="28"/>
          <w:lang w:val="es-CO"/>
        </w:rPr>
      </w:pPr>
    </w:p>
    <w:p w:rsidR="00937767" w:rsidRDefault="00937767" w:rsidP="00937767">
      <w:pPr>
        <w:pStyle w:val="Descripcin"/>
      </w:pPr>
      <w:bookmarkStart w:id="78" w:name="_Hlk164676325"/>
      <w:bookmarkStart w:id="79" w:name="_Toc135044806"/>
      <w:bookmarkStart w:id="80" w:name="_Toc166618891"/>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jc w:val="center"/>
        <w:rPr>
          <w:rFonts w:ascii="Arial" w:hAnsi="Arial" w:cs="Arial"/>
          <w:color w:val="auto"/>
          <w:sz w:val="24"/>
          <w:szCs w:val="24"/>
        </w:rPr>
      </w:pPr>
      <w:r w:rsidRPr="00FA37ED">
        <w:rPr>
          <w:rFonts w:ascii="Arial" w:hAnsi="Arial" w:cs="Arial"/>
          <w:color w:val="auto"/>
          <w:sz w:val="24"/>
          <w:szCs w:val="24"/>
        </w:rPr>
        <w:lastRenderedPageBreak/>
        <w:t xml:space="preserve">Tabla </w:t>
      </w:r>
      <w:r w:rsidRPr="00FA37ED">
        <w:rPr>
          <w:rFonts w:ascii="Arial" w:hAnsi="Arial" w:cs="Arial"/>
          <w:color w:val="auto"/>
          <w:sz w:val="24"/>
          <w:szCs w:val="24"/>
        </w:rPr>
        <w:fldChar w:fldCharType="begin"/>
      </w:r>
      <w:r w:rsidRPr="00FA37ED">
        <w:rPr>
          <w:rFonts w:ascii="Arial" w:hAnsi="Arial" w:cs="Arial"/>
          <w:color w:val="auto"/>
          <w:sz w:val="24"/>
          <w:szCs w:val="24"/>
        </w:rPr>
        <w:instrText xml:space="preserve"> STYLEREF 1 \s </w:instrText>
      </w:r>
      <w:r w:rsidRPr="00FA37ED">
        <w:rPr>
          <w:rFonts w:ascii="Arial" w:hAnsi="Arial" w:cs="Arial"/>
          <w:color w:val="auto"/>
          <w:sz w:val="24"/>
          <w:szCs w:val="24"/>
        </w:rPr>
        <w:fldChar w:fldCharType="separate"/>
      </w:r>
      <w:r w:rsidRPr="00FA37ED">
        <w:rPr>
          <w:rFonts w:ascii="Arial" w:hAnsi="Arial" w:cs="Arial"/>
          <w:noProof/>
          <w:color w:val="auto"/>
          <w:sz w:val="24"/>
          <w:szCs w:val="24"/>
        </w:rPr>
        <w:t>4</w:t>
      </w:r>
      <w:r w:rsidRPr="00FA37ED">
        <w:rPr>
          <w:rFonts w:ascii="Arial" w:hAnsi="Arial" w:cs="Arial"/>
          <w:noProof/>
          <w:color w:val="auto"/>
          <w:sz w:val="24"/>
          <w:szCs w:val="24"/>
        </w:rPr>
        <w:fldChar w:fldCharType="end"/>
      </w:r>
      <w:r w:rsidRPr="00FA37ED">
        <w:rPr>
          <w:rFonts w:ascii="Arial" w:hAnsi="Arial" w:cs="Arial"/>
          <w:color w:val="auto"/>
          <w:sz w:val="24"/>
          <w:szCs w:val="24"/>
        </w:rPr>
        <w:noBreakHyphen/>
      </w:r>
      <w:r w:rsidRPr="00FA37ED">
        <w:rPr>
          <w:rFonts w:ascii="Arial" w:hAnsi="Arial" w:cs="Arial"/>
          <w:color w:val="auto"/>
          <w:sz w:val="24"/>
          <w:szCs w:val="24"/>
        </w:rPr>
        <w:fldChar w:fldCharType="begin"/>
      </w:r>
      <w:r w:rsidRPr="00FA37ED">
        <w:rPr>
          <w:rFonts w:ascii="Arial" w:hAnsi="Arial" w:cs="Arial"/>
          <w:color w:val="auto"/>
          <w:sz w:val="24"/>
          <w:szCs w:val="24"/>
        </w:rPr>
        <w:instrText xml:space="preserve"> SEQ Tabla \* ARABIC \s 1 </w:instrText>
      </w:r>
      <w:r w:rsidRPr="00FA37ED">
        <w:rPr>
          <w:rFonts w:ascii="Arial" w:hAnsi="Arial" w:cs="Arial"/>
          <w:color w:val="auto"/>
          <w:sz w:val="24"/>
          <w:szCs w:val="24"/>
        </w:rPr>
        <w:fldChar w:fldCharType="separate"/>
      </w:r>
      <w:r w:rsidRPr="00FA37ED">
        <w:rPr>
          <w:rFonts w:ascii="Arial" w:hAnsi="Arial" w:cs="Arial"/>
          <w:noProof/>
          <w:color w:val="auto"/>
          <w:sz w:val="24"/>
          <w:szCs w:val="24"/>
        </w:rPr>
        <w:t>45</w:t>
      </w:r>
      <w:r w:rsidRPr="00FA37ED">
        <w:rPr>
          <w:rFonts w:ascii="Arial" w:hAnsi="Arial" w:cs="Arial"/>
          <w:noProof/>
          <w:color w:val="auto"/>
          <w:sz w:val="24"/>
          <w:szCs w:val="24"/>
        </w:rPr>
        <w:fldChar w:fldCharType="end"/>
      </w:r>
      <w:r w:rsidRPr="00FA37ED">
        <w:rPr>
          <w:rFonts w:ascii="Arial" w:hAnsi="Arial" w:cs="Arial"/>
          <w:color w:val="auto"/>
          <w:sz w:val="24"/>
          <w:szCs w:val="24"/>
        </w:rPr>
        <w:t xml:space="preserve"> </w:t>
      </w:r>
      <w:bookmarkEnd w:id="78"/>
      <w:r w:rsidRPr="00FA37ED">
        <w:rPr>
          <w:rFonts w:ascii="Arial" w:hAnsi="Arial" w:cs="Arial"/>
          <w:color w:val="auto"/>
          <w:sz w:val="24"/>
          <w:szCs w:val="24"/>
        </w:rPr>
        <w:t>Activos Intangibles (INT) – Composición</w:t>
      </w:r>
      <w:bookmarkEnd w:id="79"/>
      <w:bookmarkEnd w:id="80"/>
    </w:p>
    <w:p w:rsidR="00937767" w:rsidRPr="00FA37ED" w:rsidRDefault="00937767" w:rsidP="00937767">
      <w:pPr>
        <w:rPr>
          <w:lang w:val="es-CO" w:eastAsia="en-US"/>
        </w:rPr>
      </w:pPr>
    </w:p>
    <w:p w:rsidR="00937767" w:rsidRDefault="00937767" w:rsidP="00937767">
      <w:pPr>
        <w:pStyle w:val="Textoindependiente"/>
        <w:jc w:val="center"/>
        <w:rPr>
          <w:rFonts w:ascii="Montserrat Medium" w:hAnsi="Montserrat Medium"/>
          <w:color w:val="000000" w:themeColor="text1"/>
          <w:lang w:val="es-CO"/>
        </w:rPr>
      </w:pPr>
      <w:r w:rsidRPr="00133484">
        <w:rPr>
          <w:noProof/>
          <w:lang w:val="es-CO" w:eastAsia="es-CO"/>
        </w:rPr>
        <w:drawing>
          <wp:inline distT="0" distB="0" distL="0" distR="0" wp14:anchorId="0CD19EC6" wp14:editId="60C4B931">
            <wp:extent cx="5943600" cy="5507412"/>
            <wp:effectExtent l="0" t="0" r="0" b="0"/>
            <wp:docPr id="16505132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2888"/>
                    <a:stretch/>
                  </pic:blipFill>
                  <pic:spPr bwMode="auto">
                    <a:xfrm>
                      <a:off x="0" y="0"/>
                      <a:ext cx="5943600" cy="5507412"/>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5952CC" w:rsidRDefault="00937767" w:rsidP="00937767">
      <w:pPr>
        <w:pStyle w:val="Textoindependiente"/>
        <w:jc w:val="both"/>
        <w:rPr>
          <w:rFonts w:ascii="Arial" w:hAnsi="Arial" w:cs="Arial"/>
          <w:b/>
          <w:color w:val="000000" w:themeColor="text1"/>
          <w:sz w:val="28"/>
          <w:szCs w:val="28"/>
          <w:lang w:val="es-CO"/>
        </w:rPr>
      </w:pPr>
    </w:p>
    <w:p w:rsidR="00937767" w:rsidRDefault="00937767" w:rsidP="00937767">
      <w:pPr>
        <w:pStyle w:val="Textoindependiente"/>
        <w:ind w:left="-142"/>
        <w:jc w:val="both"/>
        <w:rPr>
          <w:rFonts w:ascii="Arial" w:hAnsi="Arial" w:cs="Arial"/>
          <w:b/>
          <w:color w:val="000000" w:themeColor="text1"/>
          <w:sz w:val="28"/>
          <w:szCs w:val="28"/>
          <w:lang w:val="es-CO"/>
        </w:rPr>
      </w:pPr>
      <w:r w:rsidRPr="005952CC">
        <w:rPr>
          <w:rFonts w:ascii="Arial" w:hAnsi="Arial" w:cs="Arial"/>
          <w:b/>
          <w:color w:val="000000" w:themeColor="text1"/>
          <w:sz w:val="28"/>
          <w:szCs w:val="28"/>
          <w:lang w:val="es-CO"/>
        </w:rPr>
        <w:t>NOTA 15.- ACTIVOS BIOLÓGICOS.</w:t>
      </w:r>
    </w:p>
    <w:p w:rsidR="00937767" w:rsidRDefault="00937767" w:rsidP="00937767">
      <w:pPr>
        <w:pStyle w:val="Textoindependiente"/>
        <w:jc w:val="both"/>
        <w:rPr>
          <w:rFonts w:ascii="Arial" w:hAnsi="Arial" w:cs="Arial"/>
          <w:b/>
          <w:color w:val="000000" w:themeColor="text1"/>
          <w:sz w:val="28"/>
          <w:szCs w:val="28"/>
          <w:lang w:val="es-CO"/>
        </w:rPr>
      </w:pPr>
    </w:p>
    <w:p w:rsidR="00937767" w:rsidRPr="005952CC" w:rsidRDefault="00937767" w:rsidP="00937767">
      <w:pPr>
        <w:ind w:left="-142"/>
        <w:contextualSpacing/>
        <w:jc w:val="both"/>
        <w:rPr>
          <w:rFonts w:ascii="Arial" w:hAnsi="Arial" w:cs="Arial"/>
          <w:color w:val="000000" w:themeColor="text1"/>
        </w:rPr>
      </w:pPr>
      <w:r w:rsidRPr="005952CC">
        <w:rPr>
          <w:rFonts w:ascii="Arial" w:hAnsi="Arial" w:cs="Arial"/>
          <w:color w:val="000000" w:themeColor="text1"/>
        </w:rPr>
        <w:t>Como se observa en la tabla</w:t>
      </w:r>
      <w:r>
        <w:rPr>
          <w:rFonts w:ascii="Arial" w:hAnsi="Arial" w:cs="Arial"/>
          <w:color w:val="000000" w:themeColor="text1"/>
        </w:rPr>
        <w:t xml:space="preserve"> anterior</w:t>
      </w:r>
      <w:r w:rsidRPr="005952CC">
        <w:rPr>
          <w:rFonts w:ascii="Arial" w:hAnsi="Arial" w:cs="Arial"/>
          <w:color w:val="000000" w:themeColor="text1"/>
        </w:rPr>
        <w:t xml:space="preserve"> al 31 de diciembre de 2023, al agrupar las cuentas correspondientes a Activos biológicos, estas alcanzaron la suma de $9,8, con una mínima participación, tanto del valor total del Activo del nivel nacional, que asciende a la suma de $895.837,7, como del grupo Otros activos, que tiene un valor de $126.846,2. De igual forma, comparado con el año anterior, se evidencia una disminución en ($3,0), equivalente al (23,4%) respecto del total agregado de 2022.</w:t>
      </w:r>
    </w:p>
    <w:p w:rsidR="00937767" w:rsidRPr="005952CC" w:rsidRDefault="00937767" w:rsidP="00937767">
      <w:pPr>
        <w:ind w:left="-142"/>
        <w:contextualSpacing/>
        <w:jc w:val="both"/>
        <w:rPr>
          <w:rFonts w:ascii="Arial" w:hAnsi="Arial" w:cs="Arial"/>
          <w:color w:val="000000" w:themeColor="text1"/>
        </w:rPr>
      </w:pPr>
    </w:p>
    <w:p w:rsidR="00937767" w:rsidRPr="005952CC" w:rsidRDefault="00937767" w:rsidP="00937767">
      <w:pPr>
        <w:pStyle w:val="Textoindependiente"/>
        <w:ind w:left="-142"/>
        <w:jc w:val="both"/>
        <w:rPr>
          <w:rFonts w:ascii="Arial" w:hAnsi="Arial" w:cs="Arial"/>
          <w:b/>
          <w:color w:val="000000" w:themeColor="text1"/>
          <w:sz w:val="28"/>
          <w:szCs w:val="28"/>
          <w:lang w:val="es-CO"/>
        </w:rPr>
      </w:pPr>
    </w:p>
    <w:p w:rsidR="00937767" w:rsidRDefault="00937767" w:rsidP="00937767">
      <w:pPr>
        <w:pStyle w:val="Textoindependiente"/>
        <w:ind w:left="-142"/>
        <w:jc w:val="both"/>
        <w:rPr>
          <w:rFonts w:ascii="Arial" w:hAnsi="Arial" w:cs="Arial"/>
          <w:b/>
          <w:color w:val="000000" w:themeColor="text1"/>
          <w:sz w:val="28"/>
          <w:szCs w:val="28"/>
          <w:lang w:val="es-CO"/>
        </w:rPr>
      </w:pPr>
    </w:p>
    <w:p w:rsidR="00937767" w:rsidRDefault="00937767" w:rsidP="00937767">
      <w:pPr>
        <w:pStyle w:val="Descripcin"/>
        <w:jc w:val="center"/>
        <w:rPr>
          <w:rFonts w:ascii="Arial" w:hAnsi="Arial" w:cs="Arial"/>
          <w:color w:val="auto"/>
          <w:sz w:val="24"/>
          <w:szCs w:val="24"/>
        </w:rPr>
      </w:pPr>
      <w:bookmarkStart w:id="81" w:name="_Toc164701983"/>
      <w:bookmarkStart w:id="82" w:name="_Toc166618893"/>
      <w:r w:rsidRPr="005952CC">
        <w:rPr>
          <w:rFonts w:ascii="Arial" w:hAnsi="Arial" w:cs="Arial"/>
          <w:color w:val="auto"/>
          <w:sz w:val="24"/>
          <w:szCs w:val="24"/>
        </w:rPr>
        <w:lastRenderedPageBreak/>
        <w:t xml:space="preserve">Tabla </w:t>
      </w:r>
      <w:r w:rsidRPr="005952CC">
        <w:rPr>
          <w:rFonts w:ascii="Arial" w:hAnsi="Arial" w:cs="Arial"/>
          <w:color w:val="auto"/>
          <w:sz w:val="24"/>
          <w:szCs w:val="24"/>
        </w:rPr>
        <w:fldChar w:fldCharType="begin"/>
      </w:r>
      <w:r w:rsidRPr="005952CC">
        <w:rPr>
          <w:rFonts w:ascii="Arial" w:hAnsi="Arial" w:cs="Arial"/>
          <w:color w:val="auto"/>
          <w:sz w:val="24"/>
          <w:szCs w:val="24"/>
        </w:rPr>
        <w:instrText xml:space="preserve"> STYLEREF 1 \s </w:instrText>
      </w:r>
      <w:r w:rsidRPr="005952CC">
        <w:rPr>
          <w:rFonts w:ascii="Arial" w:hAnsi="Arial" w:cs="Arial"/>
          <w:color w:val="auto"/>
          <w:sz w:val="24"/>
          <w:szCs w:val="24"/>
        </w:rPr>
        <w:fldChar w:fldCharType="separate"/>
      </w:r>
      <w:r w:rsidRPr="005952CC">
        <w:rPr>
          <w:rFonts w:ascii="Arial" w:hAnsi="Arial" w:cs="Arial"/>
          <w:noProof/>
          <w:color w:val="auto"/>
          <w:sz w:val="24"/>
          <w:szCs w:val="24"/>
        </w:rPr>
        <w:t>4</w:t>
      </w:r>
      <w:r w:rsidRPr="005952CC">
        <w:rPr>
          <w:rFonts w:ascii="Arial" w:hAnsi="Arial" w:cs="Arial"/>
          <w:noProof/>
          <w:color w:val="auto"/>
          <w:sz w:val="24"/>
          <w:szCs w:val="24"/>
        </w:rPr>
        <w:fldChar w:fldCharType="end"/>
      </w:r>
      <w:r w:rsidRPr="005952CC">
        <w:rPr>
          <w:rFonts w:ascii="Arial" w:hAnsi="Arial" w:cs="Arial"/>
          <w:color w:val="auto"/>
          <w:sz w:val="24"/>
          <w:szCs w:val="24"/>
        </w:rPr>
        <w:noBreakHyphen/>
      </w:r>
      <w:r w:rsidRPr="005952CC">
        <w:rPr>
          <w:rFonts w:ascii="Arial" w:hAnsi="Arial" w:cs="Arial"/>
          <w:color w:val="auto"/>
          <w:sz w:val="24"/>
          <w:szCs w:val="24"/>
        </w:rPr>
        <w:fldChar w:fldCharType="begin"/>
      </w:r>
      <w:r w:rsidRPr="005952CC">
        <w:rPr>
          <w:rFonts w:ascii="Arial" w:hAnsi="Arial" w:cs="Arial"/>
          <w:color w:val="auto"/>
          <w:sz w:val="24"/>
          <w:szCs w:val="24"/>
        </w:rPr>
        <w:instrText xml:space="preserve"> SEQ Tabla \* ARABIC \s 1 </w:instrText>
      </w:r>
      <w:r w:rsidRPr="005952CC">
        <w:rPr>
          <w:rFonts w:ascii="Arial" w:hAnsi="Arial" w:cs="Arial"/>
          <w:color w:val="auto"/>
          <w:sz w:val="24"/>
          <w:szCs w:val="24"/>
        </w:rPr>
        <w:fldChar w:fldCharType="separate"/>
      </w:r>
      <w:r w:rsidRPr="005952CC">
        <w:rPr>
          <w:rFonts w:ascii="Arial" w:hAnsi="Arial" w:cs="Arial"/>
          <w:noProof/>
          <w:color w:val="auto"/>
          <w:sz w:val="24"/>
          <w:szCs w:val="24"/>
        </w:rPr>
        <w:t>47</w:t>
      </w:r>
      <w:r w:rsidRPr="005952CC">
        <w:rPr>
          <w:rFonts w:ascii="Arial" w:hAnsi="Arial" w:cs="Arial"/>
          <w:noProof/>
          <w:color w:val="auto"/>
          <w:sz w:val="24"/>
          <w:szCs w:val="24"/>
        </w:rPr>
        <w:fldChar w:fldCharType="end"/>
      </w:r>
      <w:r w:rsidRPr="005952CC">
        <w:rPr>
          <w:rFonts w:ascii="Arial" w:hAnsi="Arial" w:cs="Arial"/>
          <w:color w:val="auto"/>
          <w:sz w:val="24"/>
          <w:szCs w:val="24"/>
        </w:rPr>
        <w:t xml:space="preserve"> Activos biológicos (BIO) – Composición</w:t>
      </w:r>
      <w:bookmarkEnd w:id="81"/>
      <w:bookmarkEnd w:id="82"/>
    </w:p>
    <w:p w:rsidR="00937767" w:rsidRPr="005952CC" w:rsidRDefault="00937767" w:rsidP="00937767">
      <w:pPr>
        <w:rPr>
          <w:lang w:val="es-CO" w:eastAsia="en-US"/>
        </w:rPr>
      </w:pPr>
    </w:p>
    <w:p w:rsidR="00937767" w:rsidRPr="004E2ACF" w:rsidRDefault="00937767" w:rsidP="00937767">
      <w:pPr>
        <w:contextualSpacing/>
        <w:jc w:val="center"/>
      </w:pPr>
      <w:r w:rsidRPr="00FC133C">
        <w:rPr>
          <w:noProof/>
          <w:lang w:val="es-CO" w:eastAsia="es-CO"/>
        </w:rPr>
        <w:drawing>
          <wp:inline distT="0" distB="0" distL="0" distR="0" wp14:anchorId="76016D88" wp14:editId="2FD3E75A">
            <wp:extent cx="5943600" cy="2062138"/>
            <wp:effectExtent l="0" t="0" r="0" b="0"/>
            <wp:docPr id="1763614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386"/>
                    <a:stretch/>
                  </pic:blipFill>
                  <pic:spPr bwMode="auto">
                    <a:xfrm>
                      <a:off x="0" y="0"/>
                      <a:ext cx="5943600" cy="2062138"/>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Default="00937767" w:rsidP="00937767">
      <w:pPr>
        <w:ind w:left="-142"/>
        <w:contextualSpacing/>
        <w:jc w:val="both"/>
        <w:rPr>
          <w:color w:val="000000" w:themeColor="text1"/>
        </w:rPr>
      </w:pPr>
    </w:p>
    <w:p w:rsidR="00937767" w:rsidRPr="00F70FC2" w:rsidRDefault="00937767" w:rsidP="00937767">
      <w:pPr>
        <w:ind w:left="-142"/>
        <w:contextualSpacing/>
        <w:jc w:val="both"/>
        <w:rPr>
          <w:rFonts w:ascii="Arial" w:hAnsi="Arial" w:cs="Arial"/>
          <w:b/>
          <w:color w:val="000000" w:themeColor="text1"/>
          <w:sz w:val="28"/>
          <w:szCs w:val="28"/>
        </w:rPr>
      </w:pPr>
      <w:r w:rsidRPr="00F70FC2">
        <w:rPr>
          <w:rFonts w:ascii="Arial" w:hAnsi="Arial" w:cs="Arial"/>
          <w:b/>
          <w:color w:val="000000" w:themeColor="text1"/>
          <w:sz w:val="28"/>
          <w:szCs w:val="28"/>
        </w:rPr>
        <w:t>NOTA 16.- OTROS DERECHOS Y GARANTÍAS.</w:t>
      </w:r>
    </w:p>
    <w:p w:rsidR="00937767" w:rsidRDefault="00937767" w:rsidP="00937767">
      <w:pPr>
        <w:ind w:left="-142"/>
        <w:contextualSpacing/>
        <w:jc w:val="both"/>
        <w:rPr>
          <w:color w:val="000000" w:themeColor="text1"/>
        </w:rPr>
      </w:pPr>
    </w:p>
    <w:p w:rsidR="00937767" w:rsidRDefault="00937767" w:rsidP="00937767">
      <w:pPr>
        <w:pStyle w:val="Descripcin"/>
        <w:jc w:val="center"/>
        <w:rPr>
          <w:rFonts w:ascii="Arial" w:hAnsi="Arial" w:cs="Arial"/>
          <w:color w:val="auto"/>
          <w:sz w:val="24"/>
          <w:szCs w:val="24"/>
        </w:rPr>
      </w:pPr>
      <w:bookmarkStart w:id="83" w:name="_Toc165649005"/>
      <w:bookmarkStart w:id="84" w:name="_Toc166618895"/>
      <w:r w:rsidRPr="00F70FC2">
        <w:rPr>
          <w:rFonts w:ascii="Arial" w:hAnsi="Arial" w:cs="Arial"/>
          <w:color w:val="auto"/>
          <w:sz w:val="24"/>
          <w:szCs w:val="24"/>
        </w:rPr>
        <w:t xml:space="preserve">Tabla </w:t>
      </w:r>
      <w:r w:rsidRPr="00F70FC2">
        <w:rPr>
          <w:rFonts w:ascii="Arial" w:hAnsi="Arial" w:cs="Arial"/>
          <w:color w:val="auto"/>
          <w:sz w:val="24"/>
          <w:szCs w:val="24"/>
        </w:rPr>
        <w:fldChar w:fldCharType="begin"/>
      </w:r>
      <w:r w:rsidRPr="00F70FC2">
        <w:rPr>
          <w:rFonts w:ascii="Arial" w:hAnsi="Arial" w:cs="Arial"/>
          <w:color w:val="auto"/>
          <w:sz w:val="24"/>
          <w:szCs w:val="24"/>
        </w:rPr>
        <w:instrText xml:space="preserve"> STYLEREF 1 \s </w:instrText>
      </w:r>
      <w:r w:rsidRPr="00F70FC2">
        <w:rPr>
          <w:rFonts w:ascii="Arial" w:hAnsi="Arial" w:cs="Arial"/>
          <w:color w:val="auto"/>
          <w:sz w:val="24"/>
          <w:szCs w:val="24"/>
        </w:rPr>
        <w:fldChar w:fldCharType="separate"/>
      </w:r>
      <w:r w:rsidRPr="00F70FC2">
        <w:rPr>
          <w:rFonts w:ascii="Arial" w:hAnsi="Arial" w:cs="Arial"/>
          <w:noProof/>
          <w:color w:val="auto"/>
          <w:sz w:val="24"/>
          <w:szCs w:val="24"/>
        </w:rPr>
        <w:t>4</w:t>
      </w:r>
      <w:r w:rsidRPr="00F70FC2">
        <w:rPr>
          <w:rFonts w:ascii="Arial" w:hAnsi="Arial" w:cs="Arial"/>
          <w:noProof/>
          <w:color w:val="auto"/>
          <w:sz w:val="24"/>
          <w:szCs w:val="24"/>
        </w:rPr>
        <w:fldChar w:fldCharType="end"/>
      </w:r>
      <w:r w:rsidRPr="00F70FC2">
        <w:rPr>
          <w:rFonts w:ascii="Arial" w:hAnsi="Arial" w:cs="Arial"/>
          <w:color w:val="auto"/>
          <w:sz w:val="24"/>
          <w:szCs w:val="24"/>
        </w:rPr>
        <w:noBreakHyphen/>
      </w:r>
      <w:r w:rsidRPr="00F70FC2">
        <w:rPr>
          <w:rFonts w:ascii="Arial" w:hAnsi="Arial" w:cs="Arial"/>
          <w:color w:val="auto"/>
          <w:sz w:val="24"/>
          <w:szCs w:val="24"/>
        </w:rPr>
        <w:fldChar w:fldCharType="begin"/>
      </w:r>
      <w:r w:rsidRPr="00F70FC2">
        <w:rPr>
          <w:rFonts w:ascii="Arial" w:hAnsi="Arial" w:cs="Arial"/>
          <w:color w:val="auto"/>
          <w:sz w:val="24"/>
          <w:szCs w:val="24"/>
        </w:rPr>
        <w:instrText xml:space="preserve"> SEQ Tabla \* ARABIC \s 1 </w:instrText>
      </w:r>
      <w:r w:rsidRPr="00F70FC2">
        <w:rPr>
          <w:rFonts w:ascii="Arial" w:hAnsi="Arial" w:cs="Arial"/>
          <w:color w:val="auto"/>
          <w:sz w:val="24"/>
          <w:szCs w:val="24"/>
        </w:rPr>
        <w:fldChar w:fldCharType="separate"/>
      </w:r>
      <w:r w:rsidRPr="00F70FC2">
        <w:rPr>
          <w:rFonts w:ascii="Arial" w:hAnsi="Arial" w:cs="Arial"/>
          <w:noProof/>
          <w:color w:val="auto"/>
          <w:sz w:val="24"/>
          <w:szCs w:val="24"/>
        </w:rPr>
        <w:t>49</w:t>
      </w:r>
      <w:r w:rsidRPr="00F70FC2">
        <w:rPr>
          <w:rFonts w:ascii="Arial" w:hAnsi="Arial" w:cs="Arial"/>
          <w:noProof/>
          <w:color w:val="auto"/>
          <w:sz w:val="24"/>
          <w:szCs w:val="24"/>
        </w:rPr>
        <w:fldChar w:fldCharType="end"/>
      </w:r>
      <w:r w:rsidRPr="00F70FC2">
        <w:rPr>
          <w:rFonts w:ascii="Arial" w:hAnsi="Arial" w:cs="Arial"/>
          <w:color w:val="auto"/>
          <w:sz w:val="24"/>
          <w:szCs w:val="24"/>
        </w:rPr>
        <w:t xml:space="preserve"> Otros derechos y garantías (ODG) – Composición</w:t>
      </w:r>
      <w:bookmarkEnd w:id="83"/>
      <w:bookmarkEnd w:id="84"/>
    </w:p>
    <w:p w:rsidR="00937767" w:rsidRPr="00F70FC2" w:rsidRDefault="00937767" w:rsidP="00937767">
      <w:pPr>
        <w:rPr>
          <w:lang w:val="es-CO" w:eastAsia="en-US"/>
        </w:rPr>
      </w:pPr>
    </w:p>
    <w:p w:rsidR="00937767" w:rsidRDefault="00937767" w:rsidP="00937767">
      <w:pPr>
        <w:jc w:val="both"/>
      </w:pPr>
      <w:r w:rsidRPr="002F0702">
        <w:rPr>
          <w:noProof/>
          <w:lang w:val="es-CO" w:eastAsia="es-CO"/>
        </w:rPr>
        <w:drawing>
          <wp:inline distT="0" distB="0" distL="0" distR="0" wp14:anchorId="6F5F45BA" wp14:editId="3502EF33">
            <wp:extent cx="5943600" cy="2766255"/>
            <wp:effectExtent l="0" t="0" r="0" b="0"/>
            <wp:docPr id="14631278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5008"/>
                    <a:stretch/>
                  </pic:blipFill>
                  <pic:spPr bwMode="auto">
                    <a:xfrm>
                      <a:off x="0" y="0"/>
                      <a:ext cx="5943600" cy="2766255"/>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Default="00937767" w:rsidP="00937767">
      <w:pPr>
        <w:ind w:left="-142"/>
        <w:jc w:val="both"/>
        <w:rPr>
          <w:rFonts w:ascii="Arial" w:hAnsi="Arial" w:cs="Arial"/>
        </w:rPr>
      </w:pPr>
      <w:r w:rsidRPr="00F70FC2">
        <w:rPr>
          <w:rFonts w:ascii="Arial" w:hAnsi="Arial" w:cs="Arial"/>
        </w:rPr>
        <w:t>Como se observa en la tabla previa, al 31 de diciembre de 2023, los Otros derechos y garantías alcanzaron el valor agregado $103.793,5. Una vez ejecutado el proceso de consolidación, se presenta el efecto neto de eliminaciones y reclasificaciones por ($29.901,9) y se obtiene un saldo consolidado de $73.891,6, el cual representa el 8,2% del valor total del activo consolidado, que corresponde a la suma de $895.837,7. De igual forma, en comparación con 2022, en los saldos consolidados se evidencia un aumento de $12.843,9, equivalente a una variación del 21,0%.</w:t>
      </w:r>
    </w:p>
    <w:p w:rsidR="00937767" w:rsidRDefault="00937767" w:rsidP="00937767">
      <w:pPr>
        <w:ind w:left="-142"/>
        <w:jc w:val="both"/>
        <w:rPr>
          <w:rFonts w:ascii="Arial" w:hAnsi="Arial" w:cs="Arial"/>
        </w:rPr>
      </w:pPr>
    </w:p>
    <w:p w:rsidR="00937767" w:rsidRPr="00A2369E" w:rsidRDefault="00937767" w:rsidP="00937767">
      <w:pPr>
        <w:ind w:left="-142"/>
        <w:jc w:val="both"/>
        <w:rPr>
          <w:rFonts w:ascii="Arial" w:hAnsi="Arial" w:cs="Arial"/>
          <w:b/>
          <w:sz w:val="28"/>
          <w:szCs w:val="28"/>
        </w:rPr>
      </w:pPr>
      <w:r w:rsidRPr="00A2369E">
        <w:rPr>
          <w:rFonts w:ascii="Arial" w:hAnsi="Arial" w:cs="Arial"/>
          <w:b/>
          <w:sz w:val="28"/>
          <w:szCs w:val="28"/>
        </w:rPr>
        <w:t>NOTA 17.- ARRENDAMIENTOS.</w:t>
      </w:r>
    </w:p>
    <w:p w:rsidR="00937767" w:rsidRDefault="00937767" w:rsidP="00937767">
      <w:pPr>
        <w:ind w:left="-142"/>
        <w:jc w:val="both"/>
        <w:rPr>
          <w:rFonts w:ascii="Arial" w:hAnsi="Arial" w:cs="Arial"/>
        </w:rPr>
      </w:pPr>
    </w:p>
    <w:p w:rsidR="00937767" w:rsidRPr="00A2369E" w:rsidRDefault="00937767" w:rsidP="00937767">
      <w:pPr>
        <w:ind w:left="-142"/>
        <w:jc w:val="both"/>
        <w:rPr>
          <w:rFonts w:ascii="Arial" w:hAnsi="Arial" w:cs="Arial"/>
          <w:b/>
          <w:sz w:val="28"/>
          <w:szCs w:val="28"/>
        </w:rPr>
      </w:pPr>
      <w:r w:rsidRPr="00A2369E">
        <w:rPr>
          <w:rFonts w:ascii="Arial" w:hAnsi="Arial" w:cs="Arial"/>
          <w:b/>
          <w:sz w:val="28"/>
          <w:szCs w:val="28"/>
        </w:rPr>
        <w:t>17,.1.- ARRENDAMIENTO FINANCIERO.</w:t>
      </w:r>
    </w:p>
    <w:p w:rsidR="00937767" w:rsidRDefault="00937767" w:rsidP="00937767">
      <w:pPr>
        <w:ind w:left="-142"/>
        <w:jc w:val="both"/>
        <w:rPr>
          <w:rFonts w:ascii="Arial" w:hAnsi="Arial" w:cs="Arial"/>
        </w:rPr>
      </w:pPr>
    </w:p>
    <w:p w:rsidR="00937767" w:rsidRPr="00A2369E" w:rsidRDefault="00937767" w:rsidP="00937767">
      <w:pPr>
        <w:pStyle w:val="Textoindependiente"/>
        <w:ind w:left="-142"/>
        <w:jc w:val="both"/>
        <w:rPr>
          <w:rFonts w:ascii="Arial" w:hAnsi="Arial" w:cs="Arial"/>
          <w:sz w:val="24"/>
        </w:rPr>
      </w:pPr>
      <w:r w:rsidRPr="00A2369E">
        <w:rPr>
          <w:rFonts w:ascii="Arial" w:hAnsi="Arial" w:cs="Arial"/>
          <w:sz w:val="24"/>
        </w:rPr>
        <w:lastRenderedPageBreak/>
        <w:t>Al 31 de diciembre de 2023, e</w:t>
      </w:r>
      <w:r w:rsidRPr="00A2369E">
        <w:rPr>
          <w:rFonts w:ascii="Arial" w:hAnsi="Arial" w:cs="Arial"/>
          <w:bCs/>
          <w:sz w:val="24"/>
        </w:rPr>
        <w:t>l saldo agregado del arrendamiento financiero reconocido en el activo asciende a $121,2; este valor no se vio afectado por</w:t>
      </w:r>
      <w:r w:rsidRPr="00A2369E">
        <w:rPr>
          <w:rFonts w:ascii="Arial" w:hAnsi="Arial" w:cs="Arial"/>
          <w:sz w:val="24"/>
        </w:rPr>
        <w:t xml:space="preserve"> eliminaciones y reclasificaciones durante el proceso de consolidación, por tanto, el saldo agregado es el mismo saldo consolidado que hace parte del Estado de Situación Financiera Consolidado. </w:t>
      </w:r>
    </w:p>
    <w:p w:rsidR="00937767" w:rsidRPr="00A2369E" w:rsidRDefault="00937767" w:rsidP="00937767">
      <w:pPr>
        <w:ind w:left="-142"/>
        <w:jc w:val="both"/>
        <w:rPr>
          <w:rFonts w:ascii="Arial" w:hAnsi="Arial" w:cs="Arial"/>
        </w:rPr>
      </w:pPr>
    </w:p>
    <w:p w:rsidR="00937767" w:rsidRDefault="00937767" w:rsidP="00937767">
      <w:pPr>
        <w:pStyle w:val="Descripcin"/>
        <w:jc w:val="center"/>
        <w:rPr>
          <w:rFonts w:ascii="Arial" w:hAnsi="Arial" w:cs="Arial"/>
          <w:color w:val="auto"/>
          <w:sz w:val="24"/>
          <w:szCs w:val="24"/>
        </w:rPr>
      </w:pPr>
      <w:bookmarkStart w:id="85" w:name="_Toc135046381"/>
      <w:bookmarkStart w:id="86" w:name="_Toc166618898"/>
      <w:r w:rsidRPr="00A2369E">
        <w:rPr>
          <w:rFonts w:ascii="Arial" w:hAnsi="Arial" w:cs="Arial"/>
          <w:color w:val="auto"/>
          <w:sz w:val="24"/>
          <w:szCs w:val="24"/>
        </w:rPr>
        <w:t xml:space="preserve">Tabla </w:t>
      </w:r>
      <w:r w:rsidRPr="00A2369E">
        <w:rPr>
          <w:rFonts w:ascii="Arial" w:hAnsi="Arial" w:cs="Arial"/>
          <w:color w:val="auto"/>
          <w:sz w:val="24"/>
          <w:szCs w:val="24"/>
        </w:rPr>
        <w:fldChar w:fldCharType="begin"/>
      </w:r>
      <w:r w:rsidRPr="00A2369E">
        <w:rPr>
          <w:rFonts w:ascii="Arial" w:hAnsi="Arial" w:cs="Arial"/>
          <w:color w:val="auto"/>
          <w:sz w:val="24"/>
          <w:szCs w:val="24"/>
        </w:rPr>
        <w:instrText xml:space="preserve"> STYLEREF 1 \s </w:instrText>
      </w:r>
      <w:r w:rsidRPr="00A2369E">
        <w:rPr>
          <w:rFonts w:ascii="Arial" w:hAnsi="Arial" w:cs="Arial"/>
          <w:color w:val="auto"/>
          <w:sz w:val="24"/>
          <w:szCs w:val="24"/>
        </w:rPr>
        <w:fldChar w:fldCharType="separate"/>
      </w:r>
      <w:r w:rsidRPr="00A2369E">
        <w:rPr>
          <w:rFonts w:ascii="Arial" w:hAnsi="Arial" w:cs="Arial"/>
          <w:noProof/>
          <w:color w:val="auto"/>
          <w:sz w:val="24"/>
          <w:szCs w:val="24"/>
        </w:rPr>
        <w:t>4</w:t>
      </w:r>
      <w:r w:rsidRPr="00A2369E">
        <w:rPr>
          <w:rFonts w:ascii="Arial" w:hAnsi="Arial" w:cs="Arial"/>
          <w:noProof/>
          <w:color w:val="auto"/>
          <w:sz w:val="24"/>
          <w:szCs w:val="24"/>
        </w:rPr>
        <w:fldChar w:fldCharType="end"/>
      </w:r>
      <w:r w:rsidRPr="00A2369E">
        <w:rPr>
          <w:rFonts w:ascii="Arial" w:hAnsi="Arial" w:cs="Arial"/>
          <w:color w:val="auto"/>
          <w:sz w:val="24"/>
          <w:szCs w:val="24"/>
        </w:rPr>
        <w:noBreakHyphen/>
      </w:r>
      <w:r w:rsidRPr="00A2369E">
        <w:rPr>
          <w:rFonts w:ascii="Arial" w:hAnsi="Arial" w:cs="Arial"/>
          <w:color w:val="auto"/>
          <w:sz w:val="24"/>
          <w:szCs w:val="24"/>
        </w:rPr>
        <w:fldChar w:fldCharType="begin"/>
      </w:r>
      <w:r w:rsidRPr="00A2369E">
        <w:rPr>
          <w:rFonts w:ascii="Arial" w:hAnsi="Arial" w:cs="Arial"/>
          <w:color w:val="auto"/>
          <w:sz w:val="24"/>
          <w:szCs w:val="24"/>
        </w:rPr>
        <w:instrText xml:space="preserve"> SEQ Tabla \* ARABIC \s 1 </w:instrText>
      </w:r>
      <w:r w:rsidRPr="00A2369E">
        <w:rPr>
          <w:rFonts w:ascii="Arial" w:hAnsi="Arial" w:cs="Arial"/>
          <w:color w:val="auto"/>
          <w:sz w:val="24"/>
          <w:szCs w:val="24"/>
        </w:rPr>
        <w:fldChar w:fldCharType="separate"/>
      </w:r>
      <w:r w:rsidRPr="00A2369E">
        <w:rPr>
          <w:rFonts w:ascii="Arial" w:hAnsi="Arial" w:cs="Arial"/>
          <w:noProof/>
          <w:color w:val="auto"/>
          <w:sz w:val="24"/>
          <w:szCs w:val="24"/>
        </w:rPr>
        <w:t>52</w:t>
      </w:r>
      <w:r w:rsidRPr="00A2369E">
        <w:rPr>
          <w:rFonts w:ascii="Arial" w:hAnsi="Arial" w:cs="Arial"/>
          <w:noProof/>
          <w:color w:val="auto"/>
          <w:sz w:val="24"/>
          <w:szCs w:val="24"/>
        </w:rPr>
        <w:fldChar w:fldCharType="end"/>
      </w:r>
      <w:r w:rsidRPr="00A2369E">
        <w:rPr>
          <w:rFonts w:ascii="Arial" w:hAnsi="Arial" w:cs="Arial"/>
          <w:color w:val="auto"/>
          <w:sz w:val="24"/>
          <w:szCs w:val="24"/>
        </w:rPr>
        <w:t xml:space="preserve"> Arrendamiento financiero Activo (ARRFA) – composición</w:t>
      </w:r>
      <w:bookmarkEnd w:id="85"/>
      <w:bookmarkEnd w:id="86"/>
    </w:p>
    <w:p w:rsidR="00937767" w:rsidRPr="00A2369E" w:rsidRDefault="00937767" w:rsidP="00937767">
      <w:pPr>
        <w:rPr>
          <w:lang w:val="es-CO" w:eastAsia="en-US"/>
        </w:rPr>
      </w:pPr>
    </w:p>
    <w:p w:rsidR="00937767" w:rsidRPr="00744BE9" w:rsidRDefault="00937767" w:rsidP="00937767">
      <w:pPr>
        <w:pStyle w:val="Textoindependiente"/>
        <w:jc w:val="center"/>
        <w:rPr>
          <w:rFonts w:ascii="Verdana" w:hAnsi="Verdana"/>
        </w:rPr>
      </w:pPr>
      <w:r w:rsidRPr="00744BE9">
        <w:rPr>
          <w:rFonts w:ascii="Verdana" w:hAnsi="Verdana"/>
          <w:noProof/>
          <w:lang w:val="es-CO" w:eastAsia="es-CO"/>
        </w:rPr>
        <w:drawing>
          <wp:inline distT="0" distB="0" distL="0" distR="0" wp14:anchorId="4C9F5077" wp14:editId="16DED660">
            <wp:extent cx="5580807" cy="1497755"/>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1370" cy="1503274"/>
                    </a:xfrm>
                    <a:prstGeom prst="rect">
                      <a:avLst/>
                    </a:prstGeom>
                    <a:noFill/>
                    <a:ln>
                      <a:noFill/>
                    </a:ln>
                  </pic:spPr>
                </pic:pic>
              </a:graphicData>
            </a:graphic>
          </wp:inline>
        </w:drawing>
      </w:r>
    </w:p>
    <w:p w:rsidR="00937767" w:rsidRDefault="00937767" w:rsidP="00937767">
      <w:pPr>
        <w:ind w:left="-142"/>
        <w:jc w:val="both"/>
        <w:rPr>
          <w:rFonts w:ascii="Arial" w:hAnsi="Arial" w:cs="Arial"/>
        </w:rPr>
      </w:pPr>
    </w:p>
    <w:p w:rsidR="00937767" w:rsidRPr="00A2369E" w:rsidRDefault="00937767" w:rsidP="00937767">
      <w:pPr>
        <w:ind w:left="-142"/>
        <w:jc w:val="both"/>
        <w:rPr>
          <w:rFonts w:ascii="Arial" w:hAnsi="Arial" w:cs="Arial"/>
          <w:b/>
          <w:sz w:val="28"/>
          <w:szCs w:val="28"/>
        </w:rPr>
      </w:pPr>
      <w:r w:rsidRPr="00A2369E">
        <w:rPr>
          <w:rFonts w:ascii="Arial" w:hAnsi="Arial" w:cs="Arial"/>
          <w:b/>
          <w:sz w:val="28"/>
          <w:szCs w:val="28"/>
        </w:rPr>
        <w:t>17..2.- ARRENDAMIENTO OPERATIVO.</w:t>
      </w:r>
    </w:p>
    <w:p w:rsidR="00937767" w:rsidRDefault="00937767" w:rsidP="00937767">
      <w:pPr>
        <w:ind w:left="-142"/>
        <w:jc w:val="both"/>
        <w:rPr>
          <w:rFonts w:ascii="Arial" w:hAnsi="Arial" w:cs="Arial"/>
        </w:rPr>
      </w:pPr>
    </w:p>
    <w:p w:rsidR="00937767" w:rsidRDefault="00937767" w:rsidP="00937767">
      <w:pPr>
        <w:pStyle w:val="Descripcin"/>
        <w:jc w:val="center"/>
        <w:rPr>
          <w:rFonts w:ascii="Arial" w:hAnsi="Arial" w:cs="Arial"/>
          <w:color w:val="auto"/>
          <w:sz w:val="24"/>
          <w:szCs w:val="24"/>
        </w:rPr>
      </w:pPr>
      <w:bookmarkStart w:id="87" w:name="_Toc135046384"/>
      <w:bookmarkStart w:id="88" w:name="_Toc166618902"/>
      <w:r w:rsidRPr="00A2369E">
        <w:rPr>
          <w:rFonts w:ascii="Arial" w:hAnsi="Arial" w:cs="Arial"/>
          <w:color w:val="auto"/>
          <w:sz w:val="24"/>
          <w:szCs w:val="24"/>
        </w:rPr>
        <w:t xml:space="preserve">Tabla </w:t>
      </w:r>
      <w:r w:rsidRPr="00A2369E">
        <w:rPr>
          <w:rFonts w:ascii="Arial" w:hAnsi="Arial" w:cs="Arial"/>
          <w:color w:val="auto"/>
          <w:sz w:val="24"/>
          <w:szCs w:val="24"/>
        </w:rPr>
        <w:fldChar w:fldCharType="begin"/>
      </w:r>
      <w:r w:rsidRPr="00A2369E">
        <w:rPr>
          <w:rFonts w:ascii="Arial" w:hAnsi="Arial" w:cs="Arial"/>
          <w:color w:val="auto"/>
          <w:sz w:val="24"/>
          <w:szCs w:val="24"/>
        </w:rPr>
        <w:instrText xml:space="preserve"> STYLEREF 1 \s </w:instrText>
      </w:r>
      <w:r w:rsidRPr="00A2369E">
        <w:rPr>
          <w:rFonts w:ascii="Arial" w:hAnsi="Arial" w:cs="Arial"/>
          <w:color w:val="auto"/>
          <w:sz w:val="24"/>
          <w:szCs w:val="24"/>
        </w:rPr>
        <w:fldChar w:fldCharType="separate"/>
      </w:r>
      <w:r w:rsidRPr="00A2369E">
        <w:rPr>
          <w:rFonts w:ascii="Arial" w:hAnsi="Arial" w:cs="Arial"/>
          <w:noProof/>
          <w:color w:val="auto"/>
          <w:sz w:val="24"/>
          <w:szCs w:val="24"/>
        </w:rPr>
        <w:t>4</w:t>
      </w:r>
      <w:r w:rsidRPr="00A2369E">
        <w:rPr>
          <w:rFonts w:ascii="Arial" w:hAnsi="Arial" w:cs="Arial"/>
          <w:noProof/>
          <w:color w:val="auto"/>
          <w:sz w:val="24"/>
          <w:szCs w:val="24"/>
        </w:rPr>
        <w:fldChar w:fldCharType="end"/>
      </w:r>
      <w:r w:rsidRPr="00A2369E">
        <w:rPr>
          <w:rFonts w:ascii="Arial" w:hAnsi="Arial" w:cs="Arial"/>
          <w:color w:val="auto"/>
          <w:sz w:val="24"/>
          <w:szCs w:val="24"/>
        </w:rPr>
        <w:noBreakHyphen/>
      </w:r>
      <w:r w:rsidRPr="00A2369E">
        <w:rPr>
          <w:rFonts w:ascii="Arial" w:hAnsi="Arial" w:cs="Arial"/>
          <w:color w:val="auto"/>
          <w:sz w:val="24"/>
          <w:szCs w:val="24"/>
        </w:rPr>
        <w:fldChar w:fldCharType="begin"/>
      </w:r>
      <w:r w:rsidRPr="00A2369E">
        <w:rPr>
          <w:rFonts w:ascii="Arial" w:hAnsi="Arial" w:cs="Arial"/>
          <w:color w:val="auto"/>
          <w:sz w:val="24"/>
          <w:szCs w:val="24"/>
        </w:rPr>
        <w:instrText xml:space="preserve"> SEQ Tabla \* ARABIC \s 1 </w:instrText>
      </w:r>
      <w:r w:rsidRPr="00A2369E">
        <w:rPr>
          <w:rFonts w:ascii="Arial" w:hAnsi="Arial" w:cs="Arial"/>
          <w:color w:val="auto"/>
          <w:sz w:val="24"/>
          <w:szCs w:val="24"/>
        </w:rPr>
        <w:fldChar w:fldCharType="separate"/>
      </w:r>
      <w:r w:rsidRPr="00A2369E">
        <w:rPr>
          <w:rFonts w:ascii="Arial" w:hAnsi="Arial" w:cs="Arial"/>
          <w:noProof/>
          <w:color w:val="auto"/>
          <w:sz w:val="24"/>
          <w:szCs w:val="24"/>
        </w:rPr>
        <w:t>56</w:t>
      </w:r>
      <w:r w:rsidRPr="00A2369E">
        <w:rPr>
          <w:rFonts w:ascii="Arial" w:hAnsi="Arial" w:cs="Arial"/>
          <w:noProof/>
          <w:color w:val="auto"/>
          <w:sz w:val="24"/>
          <w:szCs w:val="24"/>
        </w:rPr>
        <w:fldChar w:fldCharType="end"/>
      </w:r>
      <w:r w:rsidRPr="00A2369E">
        <w:rPr>
          <w:rFonts w:ascii="Arial" w:hAnsi="Arial" w:cs="Arial"/>
          <w:color w:val="auto"/>
          <w:sz w:val="24"/>
          <w:szCs w:val="24"/>
        </w:rPr>
        <w:t xml:space="preserve"> Arrendamiento operativo Activo (ARROA) – composición</w:t>
      </w:r>
      <w:bookmarkEnd w:id="87"/>
      <w:bookmarkEnd w:id="88"/>
    </w:p>
    <w:p w:rsidR="00937767" w:rsidRPr="00A2369E" w:rsidRDefault="00937767" w:rsidP="00937767">
      <w:pPr>
        <w:rPr>
          <w:lang w:val="es-CO" w:eastAsia="en-US"/>
        </w:rPr>
      </w:pPr>
    </w:p>
    <w:p w:rsidR="00937767" w:rsidRPr="00744BE9" w:rsidRDefault="00937767" w:rsidP="00937767">
      <w:pPr>
        <w:pStyle w:val="Textoindependiente"/>
        <w:jc w:val="center"/>
        <w:rPr>
          <w:rFonts w:ascii="Verdana" w:hAnsi="Verdana"/>
        </w:rPr>
      </w:pPr>
      <w:r w:rsidRPr="00744BE9">
        <w:rPr>
          <w:rFonts w:ascii="Verdana" w:hAnsi="Verdana"/>
          <w:noProof/>
          <w:lang w:val="es-CO" w:eastAsia="es-CO"/>
        </w:rPr>
        <w:drawing>
          <wp:inline distT="0" distB="0" distL="0" distR="0" wp14:anchorId="7DD2DEFD" wp14:editId="1DC18001">
            <wp:extent cx="5829300" cy="1703632"/>
            <wp:effectExtent l="0" t="0" r="0" b="0"/>
            <wp:docPr id="1334171097" name="Imagen 133417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8766" cy="1709321"/>
                    </a:xfrm>
                    <a:prstGeom prst="rect">
                      <a:avLst/>
                    </a:prstGeom>
                    <a:noFill/>
                    <a:ln>
                      <a:noFill/>
                    </a:ln>
                  </pic:spPr>
                </pic:pic>
              </a:graphicData>
            </a:graphic>
          </wp:inline>
        </w:drawing>
      </w:r>
    </w:p>
    <w:p w:rsidR="00937767" w:rsidRPr="00744BE9" w:rsidRDefault="00937767" w:rsidP="00937767">
      <w:pPr>
        <w:pStyle w:val="Textoindependiente"/>
        <w:jc w:val="center"/>
        <w:rPr>
          <w:rFonts w:ascii="Verdana" w:hAnsi="Verdana"/>
        </w:rPr>
      </w:pPr>
    </w:p>
    <w:p w:rsidR="00937767" w:rsidRPr="00A2369E" w:rsidRDefault="00937767" w:rsidP="00937767">
      <w:pPr>
        <w:pStyle w:val="Textoindependiente"/>
        <w:ind w:left="-142"/>
        <w:jc w:val="both"/>
        <w:rPr>
          <w:rFonts w:ascii="Arial" w:eastAsiaTheme="minorHAnsi" w:hAnsi="Arial" w:cs="Arial"/>
          <w:sz w:val="24"/>
          <w:lang w:val="es-CO"/>
        </w:rPr>
      </w:pPr>
      <w:r w:rsidRPr="00A2369E">
        <w:rPr>
          <w:rFonts w:ascii="Arial" w:eastAsiaTheme="minorHAnsi" w:hAnsi="Arial" w:cs="Arial"/>
          <w:sz w:val="24"/>
          <w:lang w:val="es-CO"/>
        </w:rPr>
        <w:t>El concepto de arrendamiento operativo en el activo presentó un total agregado de $111,3. Después de ejecutar el proceso de consolidación, se registra un efecto neto de eliminaciones y reclasificaciones de ($2,5), lo que resulta en un saldo final consolidado de $108,8. Este saldo final refleja una disminución del (6,0%) con respecto al año 2022.</w:t>
      </w:r>
    </w:p>
    <w:p w:rsidR="00937767" w:rsidRPr="00A2369E" w:rsidRDefault="00937767" w:rsidP="00937767">
      <w:pPr>
        <w:ind w:left="-142"/>
        <w:jc w:val="both"/>
        <w:rPr>
          <w:rFonts w:ascii="Arial" w:hAnsi="Arial" w:cs="Arial"/>
        </w:rPr>
      </w:pPr>
    </w:p>
    <w:p w:rsidR="00937767" w:rsidRPr="0010023C" w:rsidRDefault="00937767" w:rsidP="00937767">
      <w:pPr>
        <w:ind w:left="-142"/>
        <w:contextualSpacing/>
        <w:jc w:val="both"/>
        <w:rPr>
          <w:rFonts w:ascii="Arial" w:hAnsi="Arial" w:cs="Arial"/>
          <w:b/>
          <w:color w:val="000000" w:themeColor="text1"/>
          <w:sz w:val="28"/>
          <w:szCs w:val="28"/>
        </w:rPr>
      </w:pPr>
      <w:r w:rsidRPr="0010023C">
        <w:rPr>
          <w:rFonts w:ascii="Arial" w:hAnsi="Arial" w:cs="Arial"/>
          <w:b/>
          <w:color w:val="000000" w:themeColor="text1"/>
          <w:sz w:val="28"/>
          <w:szCs w:val="28"/>
        </w:rPr>
        <w:t>NOTA 18.- COSTO DE FINANCIACIÓN.</w:t>
      </w:r>
    </w:p>
    <w:p w:rsidR="00937767" w:rsidRPr="0010023C" w:rsidRDefault="00937767" w:rsidP="00937767">
      <w:pPr>
        <w:ind w:left="-142"/>
        <w:contextualSpacing/>
        <w:jc w:val="both"/>
        <w:rPr>
          <w:rFonts w:ascii="Arial" w:hAnsi="Arial" w:cs="Arial"/>
          <w:b/>
          <w:color w:val="000000" w:themeColor="text1"/>
          <w:sz w:val="28"/>
          <w:szCs w:val="28"/>
        </w:rPr>
      </w:pPr>
    </w:p>
    <w:p w:rsidR="00937767" w:rsidRPr="005C2018" w:rsidRDefault="00937767" w:rsidP="00937767">
      <w:pPr>
        <w:ind w:left="-142"/>
        <w:contextualSpacing/>
        <w:jc w:val="both"/>
        <w:rPr>
          <w:rFonts w:ascii="Arial" w:hAnsi="Arial" w:cs="Arial"/>
        </w:rPr>
      </w:pPr>
      <w:r w:rsidRPr="005C2018">
        <w:rPr>
          <w:rFonts w:ascii="Arial" w:hAnsi="Arial" w:cs="Arial"/>
        </w:rPr>
        <w:t>En el Estado de Resultados Consolidado a nivel nacional, están las cuentas y subcuentas que hacen parte de los Costos de financiación, que a su vez hacen parte de los Gastos dentro del grupo Otros gastos. Específicamente, se consideran las cuentas Ajuste por diferencia en cambio, Gastos financieros y Gastos por Comisiones, y se agrupan las subcuentas relacionadas bajo el concepto de Costos de financiación.</w:t>
      </w:r>
    </w:p>
    <w:p w:rsidR="00937767" w:rsidRPr="005C2018" w:rsidRDefault="00937767" w:rsidP="00937767">
      <w:pPr>
        <w:ind w:left="-142"/>
        <w:contextualSpacing/>
        <w:jc w:val="both"/>
        <w:rPr>
          <w:rFonts w:ascii="Arial" w:hAnsi="Arial" w:cs="Arial"/>
        </w:rPr>
      </w:pPr>
    </w:p>
    <w:p w:rsidR="00937767" w:rsidRDefault="00937767" w:rsidP="00937767">
      <w:pPr>
        <w:pStyle w:val="Descripcin"/>
      </w:pPr>
      <w:bookmarkStart w:id="89" w:name="_Toc166618914"/>
    </w:p>
    <w:p w:rsidR="00937767" w:rsidRDefault="00937767" w:rsidP="00937767">
      <w:pPr>
        <w:pStyle w:val="Descripcin"/>
      </w:pPr>
    </w:p>
    <w:p w:rsidR="00937767" w:rsidRDefault="00937767" w:rsidP="00937767">
      <w:pPr>
        <w:pStyle w:val="Descripcin"/>
      </w:pPr>
    </w:p>
    <w:p w:rsidR="00937767" w:rsidRPr="005C2018" w:rsidRDefault="00937767" w:rsidP="00937767">
      <w:pPr>
        <w:pStyle w:val="Descripcin"/>
        <w:jc w:val="center"/>
        <w:rPr>
          <w:rFonts w:ascii="Arial" w:hAnsi="Arial" w:cs="Arial"/>
          <w:color w:val="auto"/>
          <w:sz w:val="24"/>
          <w:szCs w:val="24"/>
        </w:rPr>
      </w:pPr>
      <w:r w:rsidRPr="005C2018">
        <w:rPr>
          <w:rFonts w:ascii="Arial" w:hAnsi="Arial" w:cs="Arial"/>
          <w:color w:val="auto"/>
          <w:sz w:val="24"/>
          <w:szCs w:val="24"/>
        </w:rPr>
        <w:lastRenderedPageBreak/>
        <w:t xml:space="preserve">Tabla </w:t>
      </w:r>
      <w:r w:rsidRPr="005C2018">
        <w:rPr>
          <w:rFonts w:ascii="Arial" w:hAnsi="Arial" w:cs="Arial"/>
          <w:color w:val="auto"/>
          <w:sz w:val="24"/>
          <w:szCs w:val="24"/>
        </w:rPr>
        <w:fldChar w:fldCharType="begin"/>
      </w:r>
      <w:r w:rsidRPr="005C2018">
        <w:rPr>
          <w:rFonts w:ascii="Arial" w:hAnsi="Arial" w:cs="Arial"/>
          <w:color w:val="auto"/>
          <w:sz w:val="24"/>
          <w:szCs w:val="24"/>
        </w:rPr>
        <w:instrText xml:space="preserve"> STYLEREF 1 \s </w:instrText>
      </w:r>
      <w:r w:rsidRPr="005C2018">
        <w:rPr>
          <w:rFonts w:ascii="Arial" w:hAnsi="Arial" w:cs="Arial"/>
          <w:color w:val="auto"/>
          <w:sz w:val="24"/>
          <w:szCs w:val="24"/>
        </w:rPr>
        <w:fldChar w:fldCharType="separate"/>
      </w:r>
      <w:r w:rsidRPr="005C2018">
        <w:rPr>
          <w:rFonts w:ascii="Arial" w:hAnsi="Arial" w:cs="Arial"/>
          <w:noProof/>
          <w:color w:val="auto"/>
          <w:sz w:val="24"/>
          <w:szCs w:val="24"/>
        </w:rPr>
        <w:t>4</w:t>
      </w:r>
      <w:r w:rsidRPr="005C2018">
        <w:rPr>
          <w:rFonts w:ascii="Arial" w:hAnsi="Arial" w:cs="Arial"/>
          <w:noProof/>
          <w:color w:val="auto"/>
          <w:sz w:val="24"/>
          <w:szCs w:val="24"/>
        </w:rPr>
        <w:fldChar w:fldCharType="end"/>
      </w:r>
      <w:r w:rsidRPr="005C2018">
        <w:rPr>
          <w:rFonts w:ascii="Arial" w:hAnsi="Arial" w:cs="Arial"/>
          <w:color w:val="auto"/>
          <w:sz w:val="24"/>
          <w:szCs w:val="24"/>
        </w:rPr>
        <w:noBreakHyphen/>
      </w:r>
      <w:r w:rsidRPr="005C2018">
        <w:rPr>
          <w:rFonts w:ascii="Arial" w:hAnsi="Arial" w:cs="Arial"/>
          <w:color w:val="auto"/>
          <w:sz w:val="24"/>
          <w:szCs w:val="24"/>
        </w:rPr>
        <w:fldChar w:fldCharType="begin"/>
      </w:r>
      <w:r w:rsidRPr="005C2018">
        <w:rPr>
          <w:rFonts w:ascii="Arial" w:hAnsi="Arial" w:cs="Arial"/>
          <w:color w:val="auto"/>
          <w:sz w:val="24"/>
          <w:szCs w:val="24"/>
        </w:rPr>
        <w:instrText xml:space="preserve"> SEQ Tabla \* ARABIC \s 1 </w:instrText>
      </w:r>
      <w:r w:rsidRPr="005C2018">
        <w:rPr>
          <w:rFonts w:ascii="Arial" w:hAnsi="Arial" w:cs="Arial"/>
          <w:color w:val="auto"/>
          <w:sz w:val="24"/>
          <w:szCs w:val="24"/>
        </w:rPr>
        <w:fldChar w:fldCharType="separate"/>
      </w:r>
      <w:r w:rsidRPr="005C2018">
        <w:rPr>
          <w:rFonts w:ascii="Arial" w:hAnsi="Arial" w:cs="Arial"/>
          <w:noProof/>
          <w:color w:val="auto"/>
          <w:sz w:val="24"/>
          <w:szCs w:val="24"/>
        </w:rPr>
        <w:t>68</w:t>
      </w:r>
      <w:r w:rsidRPr="005C2018">
        <w:rPr>
          <w:rFonts w:ascii="Arial" w:hAnsi="Arial" w:cs="Arial"/>
          <w:noProof/>
          <w:color w:val="auto"/>
          <w:sz w:val="24"/>
          <w:szCs w:val="24"/>
        </w:rPr>
        <w:fldChar w:fldCharType="end"/>
      </w:r>
      <w:r w:rsidRPr="005C2018">
        <w:rPr>
          <w:rFonts w:ascii="Arial" w:hAnsi="Arial" w:cs="Arial"/>
          <w:color w:val="auto"/>
          <w:sz w:val="24"/>
          <w:szCs w:val="24"/>
        </w:rPr>
        <w:t xml:space="preserve"> Costos de financiación (CFIN) – Composición</w:t>
      </w:r>
      <w:bookmarkEnd w:id="89"/>
    </w:p>
    <w:p w:rsidR="00937767" w:rsidRPr="005C2018" w:rsidRDefault="00937767" w:rsidP="00937767">
      <w:pPr>
        <w:rPr>
          <w:lang w:val="es-CO" w:eastAsia="en-US"/>
        </w:rPr>
      </w:pPr>
    </w:p>
    <w:p w:rsidR="00937767" w:rsidRPr="00592191" w:rsidRDefault="00937767" w:rsidP="00937767">
      <w:pPr>
        <w:contextualSpacing/>
        <w:jc w:val="center"/>
        <w:rPr>
          <w:color w:val="000000" w:themeColor="text1"/>
        </w:rPr>
      </w:pPr>
      <w:r w:rsidRPr="00A226EA">
        <w:rPr>
          <w:noProof/>
          <w:lang w:val="es-CO" w:eastAsia="es-CO"/>
        </w:rPr>
        <w:drawing>
          <wp:inline distT="0" distB="0" distL="0" distR="0" wp14:anchorId="23587604" wp14:editId="13B42E27">
            <wp:extent cx="5453430" cy="3641055"/>
            <wp:effectExtent l="0" t="0" r="0" b="0"/>
            <wp:docPr id="14726110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486"/>
                    <a:stretch/>
                  </pic:blipFill>
                  <pic:spPr bwMode="auto">
                    <a:xfrm>
                      <a:off x="0" y="0"/>
                      <a:ext cx="5461671" cy="3646557"/>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592191" w:rsidRDefault="00937767" w:rsidP="00937767">
      <w:pPr>
        <w:contextualSpacing/>
        <w:jc w:val="both"/>
        <w:rPr>
          <w:color w:val="000000" w:themeColor="text1"/>
        </w:rPr>
      </w:pPr>
    </w:p>
    <w:p w:rsidR="00937767" w:rsidRPr="005C2018" w:rsidRDefault="00937767" w:rsidP="00937767">
      <w:pPr>
        <w:ind w:left="-142"/>
        <w:contextualSpacing/>
        <w:jc w:val="both"/>
        <w:rPr>
          <w:rFonts w:ascii="Arial" w:hAnsi="Arial" w:cs="Arial"/>
        </w:rPr>
      </w:pPr>
      <w:r w:rsidRPr="005C2018">
        <w:rPr>
          <w:rFonts w:ascii="Arial" w:hAnsi="Arial" w:cs="Arial"/>
        </w:rPr>
        <w:t>Como se observa, a 31 de diciembre de 2023, los Costos de financiación alcanzaron la suma agregada de $131.380,6; entre las cuentas a nivel agregado con mayor importancia relativa se encuentran: Ajuste por diferencia en cambio con una disminución del (41,0%), seguido por Gastos financieros, con un aumento del 19,2% en relación con el año anterior.</w:t>
      </w:r>
    </w:p>
    <w:p w:rsidR="00937767" w:rsidRPr="005C2018" w:rsidRDefault="00937767" w:rsidP="00937767">
      <w:pPr>
        <w:ind w:left="-142"/>
        <w:contextualSpacing/>
        <w:jc w:val="both"/>
        <w:rPr>
          <w:rFonts w:ascii="Arial" w:hAnsi="Arial" w:cs="Arial"/>
        </w:rPr>
      </w:pPr>
    </w:p>
    <w:p w:rsidR="00937767" w:rsidRPr="005C2018" w:rsidRDefault="00937767" w:rsidP="00937767">
      <w:pPr>
        <w:ind w:left="-142"/>
        <w:contextualSpacing/>
        <w:jc w:val="both"/>
        <w:rPr>
          <w:rFonts w:ascii="Arial" w:hAnsi="Arial" w:cs="Arial"/>
        </w:rPr>
      </w:pPr>
      <w:r w:rsidRPr="005C2018">
        <w:rPr>
          <w:rFonts w:ascii="Arial" w:hAnsi="Arial" w:cs="Arial"/>
        </w:rPr>
        <w:t>Por otra parte, la subcuenta Financiamiento externo de largo plazo en emisión y colocación de títulos de deuda, reporta la mayor disminución absoluta dentro de los Ajustes por diferencia en cambio, con un monto de ($24.700,7) en relación con el año anterior, lo que equivale a una variación del (39,1%). El caso contrario lo presenta el Costo efectivo de títulos emitidos y colocados - financiamiento interno de largo plazo, con un aumento absoluto dentro de los Gastos financieros por un monto de $4.249,4, lo que representa una variación frente al año anterior del 15,9%.</w:t>
      </w:r>
    </w:p>
    <w:p w:rsidR="00937767" w:rsidRPr="005C2018" w:rsidRDefault="00937767" w:rsidP="00937767">
      <w:pPr>
        <w:ind w:left="-142"/>
        <w:contextualSpacing/>
        <w:jc w:val="both"/>
        <w:rPr>
          <w:rFonts w:ascii="Arial" w:hAnsi="Arial" w:cs="Arial"/>
          <w:color w:val="000000" w:themeColor="text1"/>
        </w:rPr>
      </w:pPr>
    </w:p>
    <w:p w:rsidR="00937767" w:rsidRPr="005C2018" w:rsidRDefault="00937767" w:rsidP="00937767">
      <w:pPr>
        <w:ind w:left="-142"/>
        <w:contextualSpacing/>
        <w:jc w:val="both"/>
        <w:rPr>
          <w:rFonts w:ascii="Arial" w:hAnsi="Arial" w:cs="Arial"/>
          <w:b/>
          <w:sz w:val="28"/>
          <w:szCs w:val="28"/>
        </w:rPr>
      </w:pPr>
      <w:r w:rsidRPr="005C2018">
        <w:rPr>
          <w:rFonts w:ascii="Arial" w:hAnsi="Arial" w:cs="Arial"/>
          <w:b/>
          <w:sz w:val="28"/>
          <w:szCs w:val="28"/>
        </w:rPr>
        <w:t>ENTIDADES QUE REGISTRAN LOS MAYORES VALORES DE CFIN</w:t>
      </w:r>
      <w:r>
        <w:rPr>
          <w:rFonts w:ascii="Arial" w:hAnsi="Arial" w:cs="Arial"/>
          <w:b/>
          <w:sz w:val="28"/>
          <w:szCs w:val="28"/>
        </w:rPr>
        <w:t>,</w:t>
      </w:r>
    </w:p>
    <w:p w:rsidR="00937767" w:rsidRPr="00592191" w:rsidRDefault="00937767" w:rsidP="00937767">
      <w:pPr>
        <w:contextualSpacing/>
        <w:jc w:val="both"/>
      </w:pPr>
    </w:p>
    <w:p w:rsidR="00937767" w:rsidRPr="005C2018" w:rsidRDefault="00937767" w:rsidP="00937767">
      <w:pPr>
        <w:ind w:left="-142"/>
        <w:contextualSpacing/>
        <w:jc w:val="both"/>
        <w:rPr>
          <w:rFonts w:ascii="Arial" w:hAnsi="Arial" w:cs="Arial"/>
        </w:rPr>
      </w:pPr>
      <w:r w:rsidRPr="005C2018">
        <w:rPr>
          <w:rFonts w:ascii="Arial" w:hAnsi="Arial" w:cs="Arial"/>
        </w:rPr>
        <w:t>Partiendo del saldo agregado de los Costos de financiación por valor de $131.380,6, para el periodo de análisis, se listan las entidades que registran los mayores valores en los conceptos de mayor importancia relativa de los saldos reportados en 2023 y comparados con 2022, a saber: Ajustes por diferencia en cambio, Gastos financieros y Gastos por comisiones.</w:t>
      </w:r>
    </w:p>
    <w:p w:rsidR="00937767" w:rsidRDefault="00937767" w:rsidP="00937767">
      <w:pPr>
        <w:pStyle w:val="Descripcin"/>
      </w:pPr>
    </w:p>
    <w:p w:rsidR="00937767" w:rsidRDefault="00937767" w:rsidP="00937767">
      <w:pPr>
        <w:pStyle w:val="Descripcin"/>
        <w:jc w:val="center"/>
        <w:rPr>
          <w:rFonts w:ascii="Arial" w:hAnsi="Arial" w:cs="Arial"/>
          <w:color w:val="auto"/>
          <w:sz w:val="24"/>
          <w:szCs w:val="24"/>
        </w:rPr>
      </w:pPr>
      <w:bookmarkStart w:id="90" w:name="_Toc166618916"/>
    </w:p>
    <w:p w:rsidR="00937767" w:rsidRDefault="00937767" w:rsidP="00937767">
      <w:pPr>
        <w:pStyle w:val="Descripcin"/>
        <w:jc w:val="center"/>
        <w:rPr>
          <w:rFonts w:ascii="Arial" w:hAnsi="Arial" w:cs="Arial"/>
          <w:color w:val="auto"/>
          <w:sz w:val="24"/>
          <w:szCs w:val="24"/>
        </w:rPr>
      </w:pPr>
    </w:p>
    <w:p w:rsidR="00937767" w:rsidRDefault="00937767" w:rsidP="00937767">
      <w:pPr>
        <w:pStyle w:val="Descripcin"/>
        <w:jc w:val="center"/>
        <w:rPr>
          <w:rFonts w:ascii="Arial" w:hAnsi="Arial" w:cs="Arial"/>
          <w:color w:val="auto"/>
          <w:sz w:val="24"/>
          <w:szCs w:val="24"/>
        </w:rPr>
      </w:pPr>
      <w:r w:rsidRPr="005C2018">
        <w:rPr>
          <w:rFonts w:ascii="Arial" w:hAnsi="Arial" w:cs="Arial"/>
          <w:color w:val="auto"/>
          <w:sz w:val="24"/>
          <w:szCs w:val="24"/>
        </w:rPr>
        <w:lastRenderedPageBreak/>
        <w:t xml:space="preserve">Tabla </w:t>
      </w:r>
      <w:r w:rsidRPr="005C2018">
        <w:rPr>
          <w:rFonts w:ascii="Arial" w:hAnsi="Arial" w:cs="Arial"/>
          <w:color w:val="auto"/>
          <w:sz w:val="24"/>
          <w:szCs w:val="24"/>
        </w:rPr>
        <w:fldChar w:fldCharType="begin"/>
      </w:r>
      <w:r w:rsidRPr="005C2018">
        <w:rPr>
          <w:rFonts w:ascii="Arial" w:hAnsi="Arial" w:cs="Arial"/>
          <w:color w:val="auto"/>
          <w:sz w:val="24"/>
          <w:szCs w:val="24"/>
        </w:rPr>
        <w:instrText xml:space="preserve"> STYLEREF 1 \s </w:instrText>
      </w:r>
      <w:r w:rsidRPr="005C2018">
        <w:rPr>
          <w:rFonts w:ascii="Arial" w:hAnsi="Arial" w:cs="Arial"/>
          <w:color w:val="auto"/>
          <w:sz w:val="24"/>
          <w:szCs w:val="24"/>
        </w:rPr>
        <w:fldChar w:fldCharType="separate"/>
      </w:r>
      <w:r w:rsidRPr="005C2018">
        <w:rPr>
          <w:rFonts w:ascii="Arial" w:hAnsi="Arial" w:cs="Arial"/>
          <w:noProof/>
          <w:color w:val="auto"/>
          <w:sz w:val="24"/>
          <w:szCs w:val="24"/>
        </w:rPr>
        <w:t>4</w:t>
      </w:r>
      <w:r w:rsidRPr="005C2018">
        <w:rPr>
          <w:rFonts w:ascii="Arial" w:hAnsi="Arial" w:cs="Arial"/>
          <w:noProof/>
          <w:color w:val="auto"/>
          <w:sz w:val="24"/>
          <w:szCs w:val="24"/>
        </w:rPr>
        <w:fldChar w:fldCharType="end"/>
      </w:r>
      <w:r w:rsidRPr="005C2018">
        <w:rPr>
          <w:rFonts w:ascii="Arial" w:hAnsi="Arial" w:cs="Arial"/>
          <w:color w:val="auto"/>
          <w:sz w:val="24"/>
          <w:szCs w:val="24"/>
        </w:rPr>
        <w:noBreakHyphen/>
      </w:r>
      <w:r w:rsidRPr="005C2018">
        <w:rPr>
          <w:rFonts w:ascii="Arial" w:hAnsi="Arial" w:cs="Arial"/>
          <w:color w:val="auto"/>
          <w:sz w:val="24"/>
          <w:szCs w:val="24"/>
        </w:rPr>
        <w:fldChar w:fldCharType="begin"/>
      </w:r>
      <w:r w:rsidRPr="005C2018">
        <w:rPr>
          <w:rFonts w:ascii="Arial" w:hAnsi="Arial" w:cs="Arial"/>
          <w:color w:val="auto"/>
          <w:sz w:val="24"/>
          <w:szCs w:val="24"/>
        </w:rPr>
        <w:instrText xml:space="preserve"> SEQ Tabla \* ARABIC \s 1 </w:instrText>
      </w:r>
      <w:r w:rsidRPr="005C2018">
        <w:rPr>
          <w:rFonts w:ascii="Arial" w:hAnsi="Arial" w:cs="Arial"/>
          <w:color w:val="auto"/>
          <w:sz w:val="24"/>
          <w:szCs w:val="24"/>
        </w:rPr>
        <w:fldChar w:fldCharType="separate"/>
      </w:r>
      <w:r w:rsidRPr="005C2018">
        <w:rPr>
          <w:rFonts w:ascii="Arial" w:hAnsi="Arial" w:cs="Arial"/>
          <w:noProof/>
          <w:color w:val="auto"/>
          <w:sz w:val="24"/>
          <w:szCs w:val="24"/>
        </w:rPr>
        <w:t>70</w:t>
      </w:r>
      <w:r w:rsidRPr="005C2018">
        <w:rPr>
          <w:rFonts w:ascii="Arial" w:hAnsi="Arial" w:cs="Arial"/>
          <w:noProof/>
          <w:color w:val="auto"/>
          <w:sz w:val="24"/>
          <w:szCs w:val="24"/>
        </w:rPr>
        <w:fldChar w:fldCharType="end"/>
      </w:r>
      <w:r w:rsidRPr="005C2018">
        <w:rPr>
          <w:rFonts w:ascii="Arial" w:hAnsi="Arial" w:cs="Arial"/>
          <w:color w:val="auto"/>
          <w:sz w:val="24"/>
          <w:szCs w:val="24"/>
        </w:rPr>
        <w:t xml:space="preserve"> CFIN - Entidades más representativas</w:t>
      </w:r>
      <w:bookmarkEnd w:id="90"/>
    </w:p>
    <w:p w:rsidR="00937767" w:rsidRPr="005C2018" w:rsidRDefault="00937767" w:rsidP="00937767">
      <w:pPr>
        <w:rPr>
          <w:lang w:val="es-CO" w:eastAsia="en-US"/>
        </w:rPr>
      </w:pPr>
    </w:p>
    <w:p w:rsidR="00937767" w:rsidRPr="00B80208" w:rsidRDefault="00937767" w:rsidP="00937767">
      <w:pPr>
        <w:jc w:val="center"/>
      </w:pPr>
      <w:r w:rsidRPr="00D73A81">
        <w:rPr>
          <w:noProof/>
          <w:lang w:val="es-CO" w:eastAsia="es-CO"/>
        </w:rPr>
        <w:drawing>
          <wp:inline distT="0" distB="0" distL="0" distR="0" wp14:anchorId="025B5893" wp14:editId="0561C10B">
            <wp:extent cx="5562600" cy="6290239"/>
            <wp:effectExtent l="0" t="0" r="0" b="0"/>
            <wp:docPr id="12649692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805" b="1162"/>
                    <a:stretch/>
                  </pic:blipFill>
                  <pic:spPr bwMode="auto">
                    <a:xfrm>
                      <a:off x="0" y="0"/>
                      <a:ext cx="5575061" cy="6304330"/>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592191" w:rsidRDefault="00937767" w:rsidP="00937767">
      <w:pPr>
        <w:ind w:right="4"/>
        <w:contextualSpacing/>
        <w:jc w:val="both"/>
        <w:rPr>
          <w:sz w:val="18"/>
          <w:szCs w:val="18"/>
        </w:rPr>
      </w:pPr>
      <w:r w:rsidRPr="00592191">
        <w:rPr>
          <w:sz w:val="18"/>
          <w:szCs w:val="18"/>
        </w:rPr>
        <w:t>* En la clasificación “Resto de Entidades que reportan” se reflejan los saldos reportados por las demás entidades, los cuales analizados individualmente son inferiores a los reportados por las entidades más representativas.</w:t>
      </w:r>
    </w:p>
    <w:p w:rsidR="00937767" w:rsidRPr="005C2018" w:rsidRDefault="00937767" w:rsidP="00937767">
      <w:pPr>
        <w:pStyle w:val="Textoindependiente"/>
        <w:ind w:left="-142"/>
        <w:jc w:val="both"/>
        <w:rPr>
          <w:rFonts w:ascii="Arial" w:hAnsi="Arial" w:cs="Arial"/>
          <w:b/>
          <w:color w:val="000000" w:themeColor="text1"/>
          <w:sz w:val="24"/>
          <w:lang w:val="es-CO"/>
        </w:rPr>
      </w:pPr>
    </w:p>
    <w:p w:rsidR="00937767" w:rsidRPr="001078D6" w:rsidRDefault="00937767" w:rsidP="00937767">
      <w:pPr>
        <w:pStyle w:val="Textoindependiente"/>
        <w:ind w:left="-142"/>
        <w:jc w:val="both"/>
        <w:rPr>
          <w:rFonts w:ascii="Arial" w:hAnsi="Arial" w:cs="Arial"/>
          <w:b/>
          <w:color w:val="000000" w:themeColor="text1"/>
          <w:sz w:val="28"/>
          <w:szCs w:val="28"/>
          <w:lang w:val="es-CO"/>
        </w:rPr>
      </w:pPr>
      <w:r w:rsidRPr="001078D6">
        <w:rPr>
          <w:rFonts w:ascii="Arial" w:hAnsi="Arial" w:cs="Arial"/>
          <w:b/>
          <w:color w:val="000000" w:themeColor="text1"/>
          <w:sz w:val="28"/>
          <w:szCs w:val="28"/>
          <w:lang w:val="es-CO"/>
        </w:rPr>
        <w:t>NOTA 19.- EMISIÓN Y COLOCACIÓN DE TÍTULOS DE DEUDA.</w:t>
      </w:r>
    </w:p>
    <w:p w:rsidR="00937767" w:rsidRDefault="00937767" w:rsidP="00937767">
      <w:pPr>
        <w:pStyle w:val="Textoindependiente"/>
        <w:ind w:left="-142"/>
        <w:jc w:val="both"/>
        <w:rPr>
          <w:rFonts w:ascii="Arial" w:hAnsi="Arial" w:cs="Arial"/>
          <w:b/>
          <w:color w:val="000000" w:themeColor="text1"/>
          <w:sz w:val="24"/>
          <w:lang w:val="es-CO"/>
        </w:rPr>
      </w:pPr>
    </w:p>
    <w:p w:rsidR="00937767" w:rsidRDefault="00937767" w:rsidP="00937767">
      <w:pPr>
        <w:pStyle w:val="Descripcin"/>
      </w:pPr>
      <w:bookmarkStart w:id="91" w:name="_Toc166618917"/>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jc w:val="center"/>
        <w:rPr>
          <w:rFonts w:ascii="Arial" w:hAnsi="Arial" w:cs="Arial"/>
          <w:color w:val="auto"/>
          <w:sz w:val="24"/>
          <w:szCs w:val="24"/>
        </w:rPr>
      </w:pPr>
      <w:r w:rsidRPr="001078D6">
        <w:rPr>
          <w:rFonts w:ascii="Arial" w:hAnsi="Arial" w:cs="Arial"/>
          <w:color w:val="auto"/>
          <w:sz w:val="24"/>
          <w:szCs w:val="24"/>
        </w:rPr>
        <w:lastRenderedPageBreak/>
        <w:t xml:space="preserve">Tabla </w:t>
      </w:r>
      <w:r w:rsidRPr="001078D6">
        <w:rPr>
          <w:rFonts w:ascii="Arial" w:hAnsi="Arial" w:cs="Arial"/>
          <w:color w:val="auto"/>
          <w:sz w:val="24"/>
          <w:szCs w:val="24"/>
        </w:rPr>
        <w:fldChar w:fldCharType="begin"/>
      </w:r>
      <w:r w:rsidRPr="001078D6">
        <w:rPr>
          <w:rFonts w:ascii="Arial" w:hAnsi="Arial" w:cs="Arial"/>
          <w:color w:val="auto"/>
          <w:sz w:val="24"/>
          <w:szCs w:val="24"/>
        </w:rPr>
        <w:instrText xml:space="preserve"> STYLEREF 1 \s </w:instrText>
      </w:r>
      <w:r w:rsidRPr="001078D6">
        <w:rPr>
          <w:rFonts w:ascii="Arial" w:hAnsi="Arial" w:cs="Arial"/>
          <w:color w:val="auto"/>
          <w:sz w:val="24"/>
          <w:szCs w:val="24"/>
        </w:rPr>
        <w:fldChar w:fldCharType="separate"/>
      </w:r>
      <w:r w:rsidRPr="001078D6">
        <w:rPr>
          <w:rFonts w:ascii="Arial" w:hAnsi="Arial" w:cs="Arial"/>
          <w:noProof/>
          <w:color w:val="auto"/>
          <w:sz w:val="24"/>
          <w:szCs w:val="24"/>
        </w:rPr>
        <w:t>4</w:t>
      </w:r>
      <w:r w:rsidRPr="001078D6">
        <w:rPr>
          <w:rFonts w:ascii="Arial" w:hAnsi="Arial" w:cs="Arial"/>
          <w:noProof/>
          <w:color w:val="auto"/>
          <w:sz w:val="24"/>
          <w:szCs w:val="24"/>
        </w:rPr>
        <w:fldChar w:fldCharType="end"/>
      </w:r>
      <w:r w:rsidRPr="001078D6">
        <w:rPr>
          <w:rFonts w:ascii="Arial" w:hAnsi="Arial" w:cs="Arial"/>
          <w:color w:val="auto"/>
          <w:sz w:val="24"/>
          <w:szCs w:val="24"/>
        </w:rPr>
        <w:noBreakHyphen/>
      </w:r>
      <w:r w:rsidRPr="001078D6">
        <w:rPr>
          <w:rFonts w:ascii="Arial" w:hAnsi="Arial" w:cs="Arial"/>
          <w:color w:val="auto"/>
          <w:sz w:val="24"/>
          <w:szCs w:val="24"/>
        </w:rPr>
        <w:fldChar w:fldCharType="begin"/>
      </w:r>
      <w:r w:rsidRPr="001078D6">
        <w:rPr>
          <w:rFonts w:ascii="Arial" w:hAnsi="Arial" w:cs="Arial"/>
          <w:color w:val="auto"/>
          <w:sz w:val="24"/>
          <w:szCs w:val="24"/>
        </w:rPr>
        <w:instrText xml:space="preserve"> SEQ Tabla \* ARABIC \s 1 </w:instrText>
      </w:r>
      <w:r w:rsidRPr="001078D6">
        <w:rPr>
          <w:rFonts w:ascii="Arial" w:hAnsi="Arial" w:cs="Arial"/>
          <w:color w:val="auto"/>
          <w:sz w:val="24"/>
          <w:szCs w:val="24"/>
        </w:rPr>
        <w:fldChar w:fldCharType="separate"/>
      </w:r>
      <w:r w:rsidRPr="001078D6">
        <w:rPr>
          <w:rFonts w:ascii="Arial" w:hAnsi="Arial" w:cs="Arial"/>
          <w:noProof/>
          <w:color w:val="auto"/>
          <w:sz w:val="24"/>
          <w:szCs w:val="24"/>
        </w:rPr>
        <w:t>71</w:t>
      </w:r>
      <w:r w:rsidRPr="001078D6">
        <w:rPr>
          <w:rFonts w:ascii="Arial" w:hAnsi="Arial" w:cs="Arial"/>
          <w:noProof/>
          <w:color w:val="auto"/>
          <w:sz w:val="24"/>
          <w:szCs w:val="24"/>
        </w:rPr>
        <w:fldChar w:fldCharType="end"/>
      </w:r>
      <w:r w:rsidRPr="001078D6">
        <w:rPr>
          <w:rFonts w:ascii="Arial" w:hAnsi="Arial" w:cs="Arial"/>
          <w:color w:val="auto"/>
          <w:sz w:val="24"/>
          <w:szCs w:val="24"/>
        </w:rPr>
        <w:t xml:space="preserve"> Emisión y colocación de títulos de deuda (ECTD) – Composición</w:t>
      </w:r>
      <w:bookmarkEnd w:id="91"/>
    </w:p>
    <w:p w:rsidR="00937767" w:rsidRPr="001078D6" w:rsidRDefault="00937767" w:rsidP="00937767">
      <w:pPr>
        <w:rPr>
          <w:lang w:val="es-CO" w:eastAsia="en-US"/>
        </w:rPr>
      </w:pPr>
    </w:p>
    <w:p w:rsidR="00937767" w:rsidRPr="007B7C89" w:rsidRDefault="00937767" w:rsidP="00937767">
      <w:pPr>
        <w:contextualSpacing/>
        <w:jc w:val="center"/>
        <w:rPr>
          <w:color w:val="000000" w:themeColor="text1"/>
        </w:rPr>
      </w:pPr>
      <w:r w:rsidRPr="007B7C89">
        <w:rPr>
          <w:noProof/>
          <w:lang w:val="es-CO" w:eastAsia="es-CO"/>
        </w:rPr>
        <w:drawing>
          <wp:inline distT="0" distB="0" distL="0" distR="0" wp14:anchorId="12377AF9" wp14:editId="757560DC">
            <wp:extent cx="5942218" cy="1757045"/>
            <wp:effectExtent l="0" t="0" r="1905" b="0"/>
            <wp:docPr id="23224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249" b="3586"/>
                    <a:stretch/>
                  </pic:blipFill>
                  <pic:spPr bwMode="auto">
                    <a:xfrm>
                      <a:off x="0" y="0"/>
                      <a:ext cx="5943600" cy="1757454"/>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7B7C89" w:rsidRDefault="00937767" w:rsidP="00937767">
      <w:pPr>
        <w:contextualSpacing/>
        <w:jc w:val="both"/>
        <w:rPr>
          <w:color w:val="000000" w:themeColor="text1"/>
        </w:rPr>
      </w:pPr>
    </w:p>
    <w:p w:rsidR="00937767" w:rsidRPr="001078D6" w:rsidRDefault="00937767" w:rsidP="00937767">
      <w:pPr>
        <w:ind w:left="-142"/>
        <w:contextualSpacing/>
        <w:jc w:val="both"/>
        <w:rPr>
          <w:rFonts w:ascii="Arial" w:hAnsi="Arial" w:cs="Arial"/>
          <w:color w:val="000000" w:themeColor="text1"/>
        </w:rPr>
      </w:pPr>
      <w:r w:rsidRPr="001078D6">
        <w:rPr>
          <w:rFonts w:ascii="Arial" w:hAnsi="Arial" w:cs="Arial"/>
          <w:color w:val="000000" w:themeColor="text1"/>
        </w:rPr>
        <w:t>Como se observa, al 31 de diciembre de 2023, el grupo de Emisión y colocación de títulos de deuda alcanzó la suma agregada de $723.315,7; entre los conceptos a nivel agregado con mayor importancia relativa, comparados con el año anterior, se encuentran: Financiamiento interno de largo plazo por $480.511,1, con un incremento de $26.590,1 equivalente al 5,9% de variación, seguido de Financiamiento externo de largo plazo por $201.005,3, con una variación negativa de ($23.369,7) equivalente al 10,4%.</w:t>
      </w:r>
    </w:p>
    <w:p w:rsidR="00937767" w:rsidRPr="001078D6" w:rsidRDefault="00937767" w:rsidP="00937767">
      <w:pPr>
        <w:ind w:left="-142"/>
        <w:contextualSpacing/>
        <w:jc w:val="both"/>
        <w:rPr>
          <w:rFonts w:ascii="Arial" w:hAnsi="Arial" w:cs="Arial"/>
          <w:color w:val="000000" w:themeColor="text1"/>
        </w:rPr>
      </w:pPr>
    </w:p>
    <w:p w:rsidR="00937767" w:rsidRPr="001078D6" w:rsidRDefault="00937767" w:rsidP="00937767">
      <w:pPr>
        <w:ind w:left="-142"/>
        <w:contextualSpacing/>
        <w:jc w:val="both"/>
        <w:rPr>
          <w:rFonts w:ascii="Arial" w:hAnsi="Arial" w:cs="Arial"/>
          <w:color w:val="000000" w:themeColor="text1"/>
        </w:rPr>
      </w:pPr>
      <w:r w:rsidRPr="001078D6">
        <w:rPr>
          <w:rFonts w:ascii="Arial" w:hAnsi="Arial" w:cs="Arial"/>
          <w:color w:val="000000" w:themeColor="text1"/>
        </w:rPr>
        <w:t>Una vez ejecutado el proceso de consolidación al cierre de 2023, se presenta una disminución por el efecto neto de eliminaciones y reclasificaciones por valor de ($</w:t>
      </w:r>
      <w:r w:rsidRPr="001078D6">
        <w:rPr>
          <w:rFonts w:ascii="Arial" w:hAnsi="Arial" w:cs="Arial"/>
        </w:rPr>
        <w:t xml:space="preserve">37.076,3), y </w:t>
      </w:r>
      <w:r w:rsidRPr="001078D6">
        <w:rPr>
          <w:rFonts w:ascii="Arial" w:hAnsi="Arial" w:cs="Arial"/>
          <w:color w:val="000000" w:themeColor="text1"/>
        </w:rPr>
        <w:t>se obtiene un saldo final consolidado de $686.239,4, que representa el 32,0% del total del Pasivo consolidado del nivel nacional que asciende a la suma de $2.145.592,0.</w:t>
      </w:r>
    </w:p>
    <w:p w:rsidR="00937767" w:rsidRPr="001078D6" w:rsidRDefault="00937767" w:rsidP="00937767">
      <w:pPr>
        <w:pStyle w:val="Textoindependiente"/>
        <w:ind w:left="-142"/>
        <w:jc w:val="both"/>
        <w:rPr>
          <w:rFonts w:ascii="Arial" w:hAnsi="Arial" w:cs="Arial"/>
          <w:b/>
          <w:color w:val="000000" w:themeColor="text1"/>
          <w:sz w:val="24"/>
          <w:lang w:val="es-CO"/>
        </w:rPr>
      </w:pPr>
    </w:p>
    <w:p w:rsidR="00937767" w:rsidRPr="001078D6" w:rsidRDefault="00937767" w:rsidP="00937767">
      <w:pPr>
        <w:pStyle w:val="Textoindependiente"/>
        <w:ind w:left="-142"/>
        <w:contextualSpacing/>
        <w:jc w:val="both"/>
        <w:rPr>
          <w:rFonts w:ascii="Arial" w:hAnsi="Arial" w:cs="Arial"/>
          <w:sz w:val="24"/>
          <w:lang w:val="es-CO"/>
        </w:rPr>
      </w:pPr>
      <w:r w:rsidRPr="001078D6">
        <w:rPr>
          <w:rFonts w:ascii="Arial" w:hAnsi="Arial" w:cs="Arial"/>
          <w:sz w:val="24"/>
          <w:lang w:val="es-CO"/>
        </w:rPr>
        <w:t>El valor consolidado para 2023 del grupo Emisión y colocación de títulos de deuda fue de $686.239,4, con una disminución del (0,5%) por valor de ($3.603,4) frente al año anterior, en el cual presentó un saldo de $689.842,8. Así mismo, de los saldos consolidados se destacan las variaciones del Financiamiento interno de largo plazo con un aumento de $27.297,2 equivalente al 6,6% y el Financiamiento externo de largo plazo con una disminución de ($23.369,7) es decir una variación de (10,4%).</w:t>
      </w:r>
    </w:p>
    <w:p w:rsidR="00937767" w:rsidRPr="001078D6" w:rsidRDefault="00937767" w:rsidP="00937767">
      <w:pPr>
        <w:pStyle w:val="Textoindependiente"/>
        <w:ind w:left="-142"/>
        <w:contextualSpacing/>
        <w:jc w:val="both"/>
        <w:rPr>
          <w:rFonts w:ascii="Arial" w:hAnsi="Arial" w:cs="Arial"/>
          <w:color w:val="000000" w:themeColor="text1"/>
          <w:sz w:val="24"/>
          <w:lang w:val="es-CO"/>
        </w:rPr>
      </w:pPr>
    </w:p>
    <w:p w:rsidR="00937767" w:rsidRPr="001078D6" w:rsidRDefault="00937767" w:rsidP="00937767">
      <w:pPr>
        <w:ind w:left="-142"/>
        <w:contextualSpacing/>
        <w:rPr>
          <w:rFonts w:ascii="Arial" w:hAnsi="Arial" w:cs="Arial"/>
          <w:b/>
          <w:sz w:val="28"/>
          <w:szCs w:val="28"/>
        </w:rPr>
      </w:pPr>
      <w:r w:rsidRPr="001078D6">
        <w:rPr>
          <w:rFonts w:ascii="Arial" w:hAnsi="Arial" w:cs="Arial"/>
          <w:b/>
          <w:sz w:val="28"/>
          <w:szCs w:val="28"/>
        </w:rPr>
        <w:t>ENTIDADES QUE REGISTRAN LOS MAYORES VALORES DE ECTD</w:t>
      </w:r>
      <w:r>
        <w:rPr>
          <w:rFonts w:ascii="Arial" w:hAnsi="Arial" w:cs="Arial"/>
          <w:b/>
          <w:sz w:val="28"/>
          <w:szCs w:val="28"/>
        </w:rPr>
        <w:t>.</w:t>
      </w:r>
    </w:p>
    <w:p w:rsidR="00937767" w:rsidRPr="001078D6" w:rsidRDefault="00937767" w:rsidP="00937767">
      <w:pPr>
        <w:ind w:left="-142"/>
        <w:contextualSpacing/>
        <w:jc w:val="both"/>
        <w:rPr>
          <w:rFonts w:ascii="Arial" w:hAnsi="Arial" w:cs="Arial"/>
        </w:rPr>
      </w:pPr>
    </w:p>
    <w:p w:rsidR="00937767" w:rsidRPr="001078D6" w:rsidRDefault="00937767" w:rsidP="00937767">
      <w:pPr>
        <w:ind w:left="-142"/>
        <w:jc w:val="both"/>
        <w:rPr>
          <w:rFonts w:ascii="Arial" w:hAnsi="Arial" w:cs="Arial"/>
        </w:rPr>
      </w:pPr>
      <w:r w:rsidRPr="001078D6">
        <w:rPr>
          <w:rFonts w:ascii="Arial" w:hAnsi="Arial" w:cs="Arial"/>
        </w:rPr>
        <w:t>Partiendo del saldo agregado del grupo Emisión y colocación de títulos de deuda de $723.315,7, en 2023, se listan las entidades en orden de importancia relativa que registran los mayores valores de los saldos reportados en 2023, comparativo con 2022: Financiamiento interno de largo plazo, Financiamiento externo de largo plazo, Financiamiento interno de corto plazo, Financiamiento externo de corto plazo y Bonos y títulos de incentivo.</w:t>
      </w:r>
    </w:p>
    <w:p w:rsidR="00937767" w:rsidRDefault="00937767" w:rsidP="00937767">
      <w:pPr>
        <w:pStyle w:val="Textoindependiente"/>
        <w:ind w:left="-142"/>
        <w:jc w:val="both"/>
        <w:rPr>
          <w:rFonts w:ascii="Arial" w:hAnsi="Arial" w:cs="Arial"/>
          <w:b/>
          <w:color w:val="000000" w:themeColor="text1"/>
          <w:sz w:val="24"/>
          <w:lang w:val="es-CO"/>
        </w:rPr>
      </w:pPr>
    </w:p>
    <w:p w:rsidR="00937767" w:rsidRPr="001078D6" w:rsidRDefault="00937767" w:rsidP="00937767">
      <w:pPr>
        <w:ind w:left="-142"/>
        <w:contextualSpacing/>
        <w:jc w:val="both"/>
        <w:rPr>
          <w:rFonts w:ascii="Arial" w:hAnsi="Arial" w:cs="Arial"/>
          <w:color w:val="000000" w:themeColor="text1"/>
        </w:rPr>
      </w:pPr>
      <w:r w:rsidRPr="001078D6">
        <w:rPr>
          <w:rFonts w:ascii="Arial" w:hAnsi="Arial" w:cs="Arial"/>
          <w:color w:val="000000" w:themeColor="text1"/>
        </w:rPr>
        <w:t xml:space="preserve">Teniendo en cuenta que en el año 2023 el universo de entidades consolidadas fue de 350, es importante mencionar que: 8 entidades reportaron saldos en la cuenta </w:t>
      </w:r>
      <w:r w:rsidRPr="001078D6">
        <w:rPr>
          <w:rFonts w:ascii="Arial" w:hAnsi="Arial" w:cs="Arial"/>
        </w:rPr>
        <w:t xml:space="preserve">Financiamiento interno de largo plazo; 5 entidades reportaron en Financiamiento externo de largo plazo; 5 </w:t>
      </w:r>
      <w:r w:rsidRPr="001078D6">
        <w:rPr>
          <w:rFonts w:ascii="Arial" w:hAnsi="Arial" w:cs="Arial"/>
        </w:rPr>
        <w:lastRenderedPageBreak/>
        <w:t>entidades en Financiamiento interno de corto plazo; 2 en Financiamiento externo de corto plazo; y 2 en Bonos y títulos de incentivo.</w:t>
      </w:r>
    </w:p>
    <w:p w:rsidR="00937767" w:rsidRDefault="00937767" w:rsidP="00937767">
      <w:pPr>
        <w:pStyle w:val="Descripcin"/>
      </w:pPr>
      <w:bookmarkStart w:id="92" w:name="_Toc166618919"/>
    </w:p>
    <w:p w:rsidR="00937767" w:rsidRDefault="00937767" w:rsidP="00937767">
      <w:pPr>
        <w:pStyle w:val="Descripcin"/>
        <w:jc w:val="center"/>
        <w:rPr>
          <w:rFonts w:ascii="Arial" w:hAnsi="Arial" w:cs="Arial"/>
          <w:color w:val="auto"/>
          <w:sz w:val="24"/>
          <w:szCs w:val="24"/>
        </w:rPr>
      </w:pPr>
      <w:r w:rsidRPr="001078D6">
        <w:rPr>
          <w:rFonts w:ascii="Arial" w:hAnsi="Arial" w:cs="Arial"/>
          <w:color w:val="auto"/>
          <w:sz w:val="24"/>
          <w:szCs w:val="24"/>
        </w:rPr>
        <w:t xml:space="preserve">Tabla </w:t>
      </w:r>
      <w:r w:rsidRPr="001078D6">
        <w:rPr>
          <w:rFonts w:ascii="Arial" w:hAnsi="Arial" w:cs="Arial"/>
          <w:color w:val="auto"/>
          <w:sz w:val="24"/>
          <w:szCs w:val="24"/>
        </w:rPr>
        <w:fldChar w:fldCharType="begin"/>
      </w:r>
      <w:r w:rsidRPr="001078D6">
        <w:rPr>
          <w:rFonts w:ascii="Arial" w:hAnsi="Arial" w:cs="Arial"/>
          <w:color w:val="auto"/>
          <w:sz w:val="24"/>
          <w:szCs w:val="24"/>
        </w:rPr>
        <w:instrText xml:space="preserve"> STYLEREF 1 \s </w:instrText>
      </w:r>
      <w:r w:rsidRPr="001078D6">
        <w:rPr>
          <w:rFonts w:ascii="Arial" w:hAnsi="Arial" w:cs="Arial"/>
          <w:color w:val="auto"/>
          <w:sz w:val="24"/>
          <w:szCs w:val="24"/>
        </w:rPr>
        <w:fldChar w:fldCharType="separate"/>
      </w:r>
      <w:r w:rsidRPr="001078D6">
        <w:rPr>
          <w:rFonts w:ascii="Arial" w:hAnsi="Arial" w:cs="Arial"/>
          <w:noProof/>
          <w:color w:val="auto"/>
          <w:sz w:val="24"/>
          <w:szCs w:val="24"/>
        </w:rPr>
        <w:t>4</w:t>
      </w:r>
      <w:r w:rsidRPr="001078D6">
        <w:rPr>
          <w:rFonts w:ascii="Arial" w:hAnsi="Arial" w:cs="Arial"/>
          <w:noProof/>
          <w:color w:val="auto"/>
          <w:sz w:val="24"/>
          <w:szCs w:val="24"/>
        </w:rPr>
        <w:fldChar w:fldCharType="end"/>
      </w:r>
      <w:r w:rsidRPr="001078D6">
        <w:rPr>
          <w:rFonts w:ascii="Arial" w:hAnsi="Arial" w:cs="Arial"/>
          <w:color w:val="auto"/>
          <w:sz w:val="24"/>
          <w:szCs w:val="24"/>
        </w:rPr>
        <w:noBreakHyphen/>
      </w:r>
      <w:r w:rsidRPr="001078D6">
        <w:rPr>
          <w:rFonts w:ascii="Arial" w:hAnsi="Arial" w:cs="Arial"/>
          <w:color w:val="auto"/>
          <w:sz w:val="24"/>
          <w:szCs w:val="24"/>
        </w:rPr>
        <w:fldChar w:fldCharType="begin"/>
      </w:r>
      <w:r w:rsidRPr="001078D6">
        <w:rPr>
          <w:rFonts w:ascii="Arial" w:hAnsi="Arial" w:cs="Arial"/>
          <w:color w:val="auto"/>
          <w:sz w:val="24"/>
          <w:szCs w:val="24"/>
        </w:rPr>
        <w:instrText xml:space="preserve"> SEQ Tabla \* ARABIC \s 1 </w:instrText>
      </w:r>
      <w:r w:rsidRPr="001078D6">
        <w:rPr>
          <w:rFonts w:ascii="Arial" w:hAnsi="Arial" w:cs="Arial"/>
          <w:color w:val="auto"/>
          <w:sz w:val="24"/>
          <w:szCs w:val="24"/>
        </w:rPr>
        <w:fldChar w:fldCharType="separate"/>
      </w:r>
      <w:r w:rsidRPr="001078D6">
        <w:rPr>
          <w:rFonts w:ascii="Arial" w:hAnsi="Arial" w:cs="Arial"/>
          <w:noProof/>
          <w:color w:val="auto"/>
          <w:sz w:val="24"/>
          <w:szCs w:val="24"/>
        </w:rPr>
        <w:t>73</w:t>
      </w:r>
      <w:r w:rsidRPr="001078D6">
        <w:rPr>
          <w:rFonts w:ascii="Arial" w:hAnsi="Arial" w:cs="Arial"/>
          <w:noProof/>
          <w:color w:val="auto"/>
          <w:sz w:val="24"/>
          <w:szCs w:val="24"/>
        </w:rPr>
        <w:fldChar w:fldCharType="end"/>
      </w:r>
      <w:r w:rsidRPr="001078D6">
        <w:rPr>
          <w:rFonts w:ascii="Arial" w:hAnsi="Arial" w:cs="Arial"/>
          <w:color w:val="auto"/>
          <w:sz w:val="24"/>
          <w:szCs w:val="24"/>
        </w:rPr>
        <w:t xml:space="preserve"> ECTD - Entidades más representativas</w:t>
      </w:r>
      <w:bookmarkEnd w:id="92"/>
    </w:p>
    <w:p w:rsidR="00937767" w:rsidRPr="001078D6" w:rsidRDefault="00937767" w:rsidP="00937767">
      <w:pPr>
        <w:rPr>
          <w:lang w:val="es-CO" w:eastAsia="en-US"/>
        </w:rPr>
      </w:pPr>
    </w:p>
    <w:p w:rsidR="00937767" w:rsidRPr="007B7C89" w:rsidRDefault="00937767" w:rsidP="00937767">
      <w:pPr>
        <w:contextualSpacing/>
        <w:jc w:val="center"/>
      </w:pPr>
      <w:r w:rsidRPr="007B7C89">
        <w:rPr>
          <w:noProof/>
          <w:lang w:val="es-CO" w:eastAsia="es-CO"/>
        </w:rPr>
        <w:drawing>
          <wp:inline distT="0" distB="0" distL="0" distR="0" wp14:anchorId="3311D4A4" wp14:editId="4E176B6C">
            <wp:extent cx="5943453" cy="4333557"/>
            <wp:effectExtent l="0" t="0" r="635" b="0"/>
            <wp:docPr id="10881900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625" b="1859"/>
                    <a:stretch/>
                  </pic:blipFill>
                  <pic:spPr bwMode="auto">
                    <a:xfrm>
                      <a:off x="0" y="0"/>
                      <a:ext cx="5943600" cy="4333664"/>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7B7C89" w:rsidRDefault="00937767" w:rsidP="00937767">
      <w:pPr>
        <w:ind w:right="4"/>
        <w:contextualSpacing/>
        <w:jc w:val="both"/>
        <w:rPr>
          <w:sz w:val="18"/>
          <w:szCs w:val="18"/>
        </w:rPr>
      </w:pPr>
      <w:r w:rsidRPr="007B7C89">
        <w:rPr>
          <w:sz w:val="18"/>
          <w:szCs w:val="18"/>
        </w:rPr>
        <w:t>* En la clasificación “Resto de Entidades que reportan” se reflejan los saldos reportados por las demás entidades, los cuales analizados individualmente son inferiores a los reportados por las entidades más representativas.</w:t>
      </w:r>
    </w:p>
    <w:p w:rsidR="00937767" w:rsidRPr="007B7C89" w:rsidRDefault="00937767" w:rsidP="00937767">
      <w:pPr>
        <w:pStyle w:val="Textoindependiente"/>
        <w:contextualSpacing/>
        <w:jc w:val="both"/>
        <w:rPr>
          <w:rFonts w:ascii="Verdana" w:hAnsi="Verdana"/>
          <w:color w:val="000000" w:themeColor="text1"/>
          <w:lang w:val="es-CO"/>
        </w:rPr>
      </w:pPr>
    </w:p>
    <w:p w:rsidR="00937767" w:rsidRPr="008D0D70" w:rsidRDefault="00937767" w:rsidP="00937767">
      <w:pPr>
        <w:pStyle w:val="Textoindependiente"/>
        <w:ind w:left="-142"/>
        <w:jc w:val="both"/>
        <w:rPr>
          <w:rFonts w:ascii="Arial" w:hAnsi="Arial" w:cs="Arial"/>
          <w:b/>
          <w:color w:val="000000" w:themeColor="text1"/>
          <w:sz w:val="28"/>
          <w:szCs w:val="28"/>
          <w:lang w:val="es-CO"/>
        </w:rPr>
      </w:pPr>
      <w:r w:rsidRPr="008D0D70">
        <w:rPr>
          <w:rFonts w:ascii="Arial" w:hAnsi="Arial" w:cs="Arial"/>
          <w:b/>
          <w:color w:val="000000" w:themeColor="text1"/>
          <w:sz w:val="28"/>
          <w:szCs w:val="28"/>
          <w:lang w:val="es-CO"/>
        </w:rPr>
        <w:t>NOTA 20.- OPERACIONES DE INSTITUCIONES FINANCIERAS.</w:t>
      </w:r>
    </w:p>
    <w:p w:rsidR="00937767" w:rsidRDefault="00937767" w:rsidP="00937767">
      <w:pPr>
        <w:pStyle w:val="Textoindependiente"/>
        <w:ind w:left="-142"/>
        <w:jc w:val="both"/>
        <w:rPr>
          <w:rFonts w:ascii="Arial" w:hAnsi="Arial" w:cs="Arial"/>
          <w:b/>
          <w:color w:val="000000" w:themeColor="text1"/>
          <w:sz w:val="24"/>
          <w:lang w:val="es-CO"/>
        </w:rPr>
      </w:pPr>
    </w:p>
    <w:p w:rsidR="00937767" w:rsidRDefault="00937767" w:rsidP="00937767">
      <w:pPr>
        <w:pStyle w:val="Descripcin"/>
        <w:jc w:val="center"/>
        <w:rPr>
          <w:rFonts w:ascii="Arial" w:hAnsi="Arial" w:cs="Arial"/>
          <w:color w:val="auto"/>
          <w:sz w:val="24"/>
          <w:szCs w:val="24"/>
        </w:rPr>
      </w:pPr>
      <w:bookmarkStart w:id="93" w:name="_Toc135044824"/>
      <w:bookmarkStart w:id="94" w:name="_Toc165649008"/>
      <w:bookmarkStart w:id="95" w:name="_Toc166618920"/>
      <w:r w:rsidRPr="000F5473">
        <w:rPr>
          <w:rFonts w:ascii="Arial" w:hAnsi="Arial" w:cs="Arial"/>
          <w:color w:val="auto"/>
          <w:sz w:val="24"/>
          <w:szCs w:val="24"/>
        </w:rPr>
        <w:t xml:space="preserve">Tabla </w:t>
      </w:r>
      <w:r w:rsidRPr="000F5473">
        <w:rPr>
          <w:rFonts w:ascii="Arial" w:hAnsi="Arial" w:cs="Arial"/>
          <w:color w:val="auto"/>
          <w:sz w:val="24"/>
          <w:szCs w:val="24"/>
        </w:rPr>
        <w:fldChar w:fldCharType="begin"/>
      </w:r>
      <w:r w:rsidRPr="000F5473">
        <w:rPr>
          <w:rFonts w:ascii="Arial" w:hAnsi="Arial" w:cs="Arial"/>
          <w:color w:val="auto"/>
          <w:sz w:val="24"/>
          <w:szCs w:val="24"/>
        </w:rPr>
        <w:instrText xml:space="preserve"> STYLEREF 1 \s </w:instrText>
      </w:r>
      <w:r w:rsidRPr="000F5473">
        <w:rPr>
          <w:rFonts w:ascii="Arial" w:hAnsi="Arial" w:cs="Arial"/>
          <w:color w:val="auto"/>
          <w:sz w:val="24"/>
          <w:szCs w:val="24"/>
        </w:rPr>
        <w:fldChar w:fldCharType="separate"/>
      </w:r>
      <w:r w:rsidRPr="000F5473">
        <w:rPr>
          <w:rFonts w:ascii="Arial" w:hAnsi="Arial" w:cs="Arial"/>
          <w:noProof/>
          <w:color w:val="auto"/>
          <w:sz w:val="24"/>
          <w:szCs w:val="24"/>
        </w:rPr>
        <w:t>4</w:t>
      </w:r>
      <w:r w:rsidRPr="000F5473">
        <w:rPr>
          <w:rFonts w:ascii="Arial" w:hAnsi="Arial" w:cs="Arial"/>
          <w:noProof/>
          <w:color w:val="auto"/>
          <w:sz w:val="24"/>
          <w:szCs w:val="24"/>
        </w:rPr>
        <w:fldChar w:fldCharType="end"/>
      </w:r>
      <w:r w:rsidRPr="000F5473">
        <w:rPr>
          <w:rFonts w:ascii="Arial" w:hAnsi="Arial" w:cs="Arial"/>
          <w:color w:val="auto"/>
          <w:sz w:val="24"/>
          <w:szCs w:val="24"/>
        </w:rPr>
        <w:noBreakHyphen/>
      </w:r>
      <w:r w:rsidRPr="000F5473">
        <w:rPr>
          <w:rFonts w:ascii="Arial" w:hAnsi="Arial" w:cs="Arial"/>
          <w:color w:val="auto"/>
          <w:sz w:val="24"/>
          <w:szCs w:val="24"/>
        </w:rPr>
        <w:fldChar w:fldCharType="begin"/>
      </w:r>
      <w:r w:rsidRPr="000F5473">
        <w:rPr>
          <w:rFonts w:ascii="Arial" w:hAnsi="Arial" w:cs="Arial"/>
          <w:color w:val="auto"/>
          <w:sz w:val="24"/>
          <w:szCs w:val="24"/>
        </w:rPr>
        <w:instrText xml:space="preserve"> SEQ Tabla \* ARABIC \s 1 </w:instrText>
      </w:r>
      <w:r w:rsidRPr="000F5473">
        <w:rPr>
          <w:rFonts w:ascii="Arial" w:hAnsi="Arial" w:cs="Arial"/>
          <w:color w:val="auto"/>
          <w:sz w:val="24"/>
          <w:szCs w:val="24"/>
        </w:rPr>
        <w:fldChar w:fldCharType="separate"/>
      </w:r>
      <w:r w:rsidRPr="000F5473">
        <w:rPr>
          <w:rFonts w:ascii="Arial" w:hAnsi="Arial" w:cs="Arial"/>
          <w:noProof/>
          <w:color w:val="auto"/>
          <w:sz w:val="24"/>
          <w:szCs w:val="24"/>
        </w:rPr>
        <w:t>74</w:t>
      </w:r>
      <w:r w:rsidRPr="000F5473">
        <w:rPr>
          <w:rFonts w:ascii="Arial" w:hAnsi="Arial" w:cs="Arial"/>
          <w:noProof/>
          <w:color w:val="auto"/>
          <w:sz w:val="24"/>
          <w:szCs w:val="24"/>
        </w:rPr>
        <w:fldChar w:fldCharType="end"/>
      </w:r>
      <w:r w:rsidRPr="000F5473">
        <w:rPr>
          <w:rFonts w:ascii="Arial" w:hAnsi="Arial" w:cs="Arial"/>
          <w:color w:val="auto"/>
          <w:sz w:val="24"/>
          <w:szCs w:val="24"/>
        </w:rPr>
        <w:t xml:space="preserve"> Operaciones de instituciones financieras (OIF) – Composición</w:t>
      </w:r>
      <w:bookmarkEnd w:id="93"/>
      <w:bookmarkEnd w:id="94"/>
      <w:bookmarkEnd w:id="95"/>
    </w:p>
    <w:p w:rsidR="00937767" w:rsidRPr="000F5473" w:rsidRDefault="00937767" w:rsidP="00937767">
      <w:pPr>
        <w:rPr>
          <w:lang w:val="es-CO" w:eastAsia="en-US"/>
        </w:rPr>
      </w:pPr>
    </w:p>
    <w:p w:rsidR="00937767" w:rsidRPr="00A320BE" w:rsidRDefault="00937767" w:rsidP="00937767">
      <w:pPr>
        <w:pStyle w:val="Textoindependiente"/>
        <w:jc w:val="center"/>
        <w:rPr>
          <w:rFonts w:ascii="Montserrat Medium" w:hAnsi="Montserrat Medium"/>
          <w:szCs w:val="22"/>
          <w:lang w:val="es-CO"/>
        </w:rPr>
      </w:pPr>
      <w:r w:rsidRPr="00F34623">
        <w:rPr>
          <w:noProof/>
          <w:lang w:val="es-CO" w:eastAsia="es-CO"/>
        </w:rPr>
        <w:drawing>
          <wp:inline distT="0" distB="0" distL="0" distR="0" wp14:anchorId="7380F1E3" wp14:editId="34CC81A2">
            <wp:extent cx="5943600" cy="1301750"/>
            <wp:effectExtent l="0" t="0" r="0" b="0"/>
            <wp:docPr id="19345410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301750"/>
                    </a:xfrm>
                    <a:prstGeom prst="rect">
                      <a:avLst/>
                    </a:prstGeom>
                    <a:noFill/>
                    <a:ln>
                      <a:noFill/>
                    </a:ln>
                  </pic:spPr>
                </pic:pic>
              </a:graphicData>
            </a:graphic>
          </wp:inline>
        </w:drawing>
      </w:r>
    </w:p>
    <w:p w:rsidR="00937767" w:rsidRPr="000F5473" w:rsidRDefault="00937767" w:rsidP="00937767">
      <w:pPr>
        <w:pStyle w:val="Textoindependiente"/>
        <w:rPr>
          <w:rFonts w:ascii="Arial" w:hAnsi="Arial" w:cs="Arial"/>
          <w:sz w:val="24"/>
          <w:lang w:val="es-CO"/>
        </w:rPr>
      </w:pPr>
    </w:p>
    <w:p w:rsidR="00937767" w:rsidRPr="000F5473" w:rsidRDefault="00937767" w:rsidP="00937767">
      <w:pPr>
        <w:pStyle w:val="Textoindependiente"/>
        <w:ind w:left="-142"/>
        <w:jc w:val="both"/>
        <w:rPr>
          <w:rFonts w:ascii="Arial" w:hAnsi="Arial" w:cs="Arial"/>
          <w:sz w:val="24"/>
          <w:lang w:val="es-CO"/>
        </w:rPr>
      </w:pPr>
      <w:r w:rsidRPr="000F5473">
        <w:rPr>
          <w:rFonts w:ascii="Arial" w:hAnsi="Arial" w:cs="Arial"/>
          <w:sz w:val="24"/>
          <w:lang w:val="es-CO"/>
        </w:rPr>
        <w:t xml:space="preserve">Como se observa en la tabla anterior, al 31 de diciembre de 2023, el grupo de Operaciones de instituciones financieras presenta una suma agregada de $36.906,4. Una vez ejecutado </w:t>
      </w:r>
      <w:r w:rsidRPr="000F5473">
        <w:rPr>
          <w:rFonts w:ascii="Arial" w:hAnsi="Arial" w:cs="Arial"/>
          <w:sz w:val="24"/>
          <w:lang w:val="es-CO"/>
        </w:rPr>
        <w:lastRenderedPageBreak/>
        <w:t>el proceso de consolidación se presenta el efecto neto de eliminaciones y reclasificaciones por ($1.933,8) y se obtiene un saldo final consolidado de $34.972,6, que representa el 1,6% del total del valor del pasivo que asciende a la suma de $2.145.592,0.</w:t>
      </w:r>
    </w:p>
    <w:p w:rsidR="00937767" w:rsidRDefault="00937767" w:rsidP="00937767">
      <w:pPr>
        <w:pStyle w:val="Textoindependiente"/>
        <w:ind w:left="-142"/>
        <w:jc w:val="both"/>
        <w:rPr>
          <w:rFonts w:ascii="Arial" w:hAnsi="Arial" w:cs="Arial"/>
          <w:b/>
          <w:color w:val="000000" w:themeColor="text1"/>
          <w:sz w:val="24"/>
          <w:lang w:val="es-CO"/>
        </w:rPr>
      </w:pPr>
    </w:p>
    <w:p w:rsidR="00937767" w:rsidRPr="0093781D" w:rsidRDefault="00937767" w:rsidP="00937767">
      <w:pPr>
        <w:pStyle w:val="Textoindependiente"/>
        <w:ind w:left="-142"/>
        <w:jc w:val="both"/>
        <w:rPr>
          <w:rFonts w:ascii="Arial" w:hAnsi="Arial" w:cs="Arial"/>
          <w:b/>
          <w:color w:val="000000" w:themeColor="text1"/>
          <w:sz w:val="28"/>
          <w:szCs w:val="28"/>
          <w:lang w:val="es-CO"/>
        </w:rPr>
      </w:pPr>
      <w:r w:rsidRPr="0093781D">
        <w:rPr>
          <w:rFonts w:ascii="Arial" w:hAnsi="Arial" w:cs="Arial"/>
          <w:b/>
          <w:color w:val="000000" w:themeColor="text1"/>
          <w:sz w:val="28"/>
          <w:szCs w:val="28"/>
          <w:lang w:val="es-CO"/>
        </w:rPr>
        <w:t>NOTA 21. PRÉSTAMOS POR PAGAR.</w:t>
      </w:r>
    </w:p>
    <w:p w:rsidR="00937767" w:rsidRDefault="00937767" w:rsidP="00937767">
      <w:pPr>
        <w:pStyle w:val="Textoindependiente"/>
        <w:ind w:left="-142"/>
        <w:jc w:val="both"/>
        <w:rPr>
          <w:rFonts w:ascii="Arial" w:hAnsi="Arial" w:cs="Arial"/>
          <w:b/>
          <w:color w:val="000000" w:themeColor="text1"/>
          <w:sz w:val="24"/>
          <w:lang w:val="es-CO"/>
        </w:rPr>
      </w:pPr>
    </w:p>
    <w:p w:rsidR="00937767" w:rsidRDefault="00937767" w:rsidP="00937767">
      <w:pPr>
        <w:pStyle w:val="Descripcin"/>
        <w:jc w:val="center"/>
        <w:rPr>
          <w:rFonts w:ascii="Arial" w:hAnsi="Arial" w:cs="Arial"/>
          <w:color w:val="auto"/>
          <w:sz w:val="24"/>
          <w:szCs w:val="24"/>
        </w:rPr>
      </w:pPr>
      <w:bookmarkStart w:id="96" w:name="_Toc166618923"/>
      <w:r w:rsidRPr="0093781D">
        <w:rPr>
          <w:rFonts w:ascii="Arial" w:hAnsi="Arial" w:cs="Arial"/>
          <w:color w:val="auto"/>
          <w:sz w:val="24"/>
          <w:szCs w:val="24"/>
        </w:rPr>
        <w:t xml:space="preserve">Tabla </w:t>
      </w:r>
      <w:r w:rsidRPr="0093781D">
        <w:rPr>
          <w:rFonts w:ascii="Arial" w:hAnsi="Arial" w:cs="Arial"/>
          <w:color w:val="auto"/>
          <w:sz w:val="24"/>
          <w:szCs w:val="24"/>
        </w:rPr>
        <w:fldChar w:fldCharType="begin"/>
      </w:r>
      <w:r w:rsidRPr="0093781D">
        <w:rPr>
          <w:rFonts w:ascii="Arial" w:hAnsi="Arial" w:cs="Arial"/>
          <w:color w:val="auto"/>
          <w:sz w:val="24"/>
          <w:szCs w:val="24"/>
        </w:rPr>
        <w:instrText xml:space="preserve"> STYLEREF 1 \s </w:instrText>
      </w:r>
      <w:r w:rsidRPr="0093781D">
        <w:rPr>
          <w:rFonts w:ascii="Arial" w:hAnsi="Arial" w:cs="Arial"/>
          <w:color w:val="auto"/>
          <w:sz w:val="24"/>
          <w:szCs w:val="24"/>
        </w:rPr>
        <w:fldChar w:fldCharType="separate"/>
      </w:r>
      <w:r w:rsidRPr="0093781D">
        <w:rPr>
          <w:rFonts w:ascii="Arial" w:hAnsi="Arial" w:cs="Arial"/>
          <w:noProof/>
          <w:color w:val="auto"/>
          <w:sz w:val="24"/>
          <w:szCs w:val="24"/>
        </w:rPr>
        <w:t>4</w:t>
      </w:r>
      <w:r w:rsidRPr="0093781D">
        <w:rPr>
          <w:rFonts w:ascii="Arial" w:hAnsi="Arial" w:cs="Arial"/>
          <w:noProof/>
          <w:color w:val="auto"/>
          <w:sz w:val="24"/>
          <w:szCs w:val="24"/>
        </w:rPr>
        <w:fldChar w:fldCharType="end"/>
      </w:r>
      <w:r w:rsidRPr="0093781D">
        <w:rPr>
          <w:rFonts w:ascii="Arial" w:hAnsi="Arial" w:cs="Arial"/>
          <w:color w:val="auto"/>
          <w:sz w:val="24"/>
          <w:szCs w:val="24"/>
        </w:rPr>
        <w:noBreakHyphen/>
      </w:r>
      <w:r w:rsidRPr="0093781D">
        <w:rPr>
          <w:rFonts w:ascii="Arial" w:hAnsi="Arial" w:cs="Arial"/>
          <w:color w:val="auto"/>
          <w:sz w:val="24"/>
          <w:szCs w:val="24"/>
        </w:rPr>
        <w:fldChar w:fldCharType="begin"/>
      </w:r>
      <w:r w:rsidRPr="0093781D">
        <w:rPr>
          <w:rFonts w:ascii="Arial" w:hAnsi="Arial" w:cs="Arial"/>
          <w:color w:val="auto"/>
          <w:sz w:val="24"/>
          <w:szCs w:val="24"/>
        </w:rPr>
        <w:instrText xml:space="preserve"> SEQ Tabla \* ARABIC \s 1 </w:instrText>
      </w:r>
      <w:r w:rsidRPr="0093781D">
        <w:rPr>
          <w:rFonts w:ascii="Arial" w:hAnsi="Arial" w:cs="Arial"/>
          <w:color w:val="auto"/>
          <w:sz w:val="24"/>
          <w:szCs w:val="24"/>
        </w:rPr>
        <w:fldChar w:fldCharType="separate"/>
      </w:r>
      <w:r w:rsidRPr="0093781D">
        <w:rPr>
          <w:rFonts w:ascii="Arial" w:hAnsi="Arial" w:cs="Arial"/>
          <w:noProof/>
          <w:color w:val="auto"/>
          <w:sz w:val="24"/>
          <w:szCs w:val="24"/>
        </w:rPr>
        <w:t>77</w:t>
      </w:r>
      <w:r w:rsidRPr="0093781D">
        <w:rPr>
          <w:rFonts w:ascii="Arial" w:hAnsi="Arial" w:cs="Arial"/>
          <w:noProof/>
          <w:color w:val="auto"/>
          <w:sz w:val="24"/>
          <w:szCs w:val="24"/>
        </w:rPr>
        <w:fldChar w:fldCharType="end"/>
      </w:r>
      <w:r w:rsidRPr="0093781D">
        <w:rPr>
          <w:rFonts w:ascii="Arial" w:hAnsi="Arial" w:cs="Arial"/>
          <w:color w:val="auto"/>
          <w:sz w:val="24"/>
          <w:szCs w:val="24"/>
        </w:rPr>
        <w:t xml:space="preserve"> Préstamos por pagar (</w:t>
      </w:r>
      <w:proofErr w:type="spellStart"/>
      <w:r w:rsidRPr="0093781D">
        <w:rPr>
          <w:rFonts w:ascii="Arial" w:hAnsi="Arial" w:cs="Arial"/>
          <w:color w:val="auto"/>
          <w:sz w:val="24"/>
          <w:szCs w:val="24"/>
        </w:rPr>
        <w:t>PxP</w:t>
      </w:r>
      <w:proofErr w:type="spellEnd"/>
      <w:r w:rsidRPr="0093781D">
        <w:rPr>
          <w:rFonts w:ascii="Arial" w:hAnsi="Arial" w:cs="Arial"/>
          <w:color w:val="auto"/>
          <w:sz w:val="24"/>
          <w:szCs w:val="24"/>
        </w:rPr>
        <w:t>) – Composición</w:t>
      </w:r>
      <w:bookmarkEnd w:id="96"/>
    </w:p>
    <w:p w:rsidR="00937767" w:rsidRPr="0093781D" w:rsidRDefault="00937767" w:rsidP="00937767">
      <w:pPr>
        <w:rPr>
          <w:lang w:val="es-CO" w:eastAsia="en-US"/>
        </w:rPr>
      </w:pPr>
    </w:p>
    <w:p w:rsidR="00937767" w:rsidRPr="00907758" w:rsidRDefault="00937767" w:rsidP="00937767">
      <w:pPr>
        <w:pStyle w:val="Textoindependiente"/>
        <w:jc w:val="both"/>
        <w:rPr>
          <w:rFonts w:ascii="Verdana" w:hAnsi="Verdana"/>
          <w:lang w:val="es-CO"/>
        </w:rPr>
      </w:pPr>
      <w:r w:rsidRPr="00907758">
        <w:rPr>
          <w:rFonts w:ascii="Verdana" w:hAnsi="Verdana"/>
          <w:noProof/>
          <w:lang w:val="es-CO" w:eastAsia="es-CO"/>
        </w:rPr>
        <w:drawing>
          <wp:inline distT="0" distB="0" distL="0" distR="0" wp14:anchorId="2495FA8C" wp14:editId="28B98668">
            <wp:extent cx="5943600" cy="1462140"/>
            <wp:effectExtent l="0" t="0" r="0" b="5080"/>
            <wp:docPr id="1307417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9311"/>
                    <a:stretch/>
                  </pic:blipFill>
                  <pic:spPr bwMode="auto">
                    <a:xfrm>
                      <a:off x="0" y="0"/>
                      <a:ext cx="5943600" cy="1462140"/>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907758" w:rsidRDefault="00937767" w:rsidP="00937767">
      <w:pPr>
        <w:contextualSpacing/>
        <w:jc w:val="both"/>
      </w:pPr>
    </w:p>
    <w:p w:rsidR="00937767" w:rsidRPr="0093781D" w:rsidRDefault="00937767" w:rsidP="00937767">
      <w:pPr>
        <w:ind w:left="-142"/>
        <w:contextualSpacing/>
        <w:jc w:val="both"/>
        <w:rPr>
          <w:rFonts w:ascii="Arial" w:hAnsi="Arial" w:cs="Arial"/>
        </w:rPr>
      </w:pPr>
      <w:r w:rsidRPr="0093781D">
        <w:rPr>
          <w:rFonts w:ascii="Arial" w:hAnsi="Arial" w:cs="Arial"/>
        </w:rPr>
        <w:t>Al 31 de diciembre de 2023, el grupo Préstamos por pagar alcanzó un total agregado de $260.567,0. Los conceptos más relevantes a nivel agregado fueron: Financiamiento externo de largo plazo con una cifra de $187.041,5, reflejando una disminución de (16,8%) respecto al año 2022; seguido por Financiamiento interno de largo plazo con un saldo de $48.496,6, lo que implica una variación del (8,5%); y Financiamiento interno de corto plazo por un monto de $15.110,2, con variación del (9,3%) en relación con el año anterior.</w:t>
      </w:r>
    </w:p>
    <w:p w:rsidR="00937767" w:rsidRDefault="00937767" w:rsidP="00937767">
      <w:pPr>
        <w:pStyle w:val="Textoindependiente"/>
        <w:ind w:left="-142"/>
        <w:jc w:val="both"/>
        <w:rPr>
          <w:rFonts w:ascii="Arial" w:hAnsi="Arial" w:cs="Arial"/>
          <w:b/>
          <w:color w:val="000000" w:themeColor="text1"/>
          <w:sz w:val="24"/>
          <w:lang w:val="es-CO"/>
        </w:rPr>
      </w:pPr>
    </w:p>
    <w:p w:rsidR="00937767" w:rsidRPr="00716E7B" w:rsidRDefault="00937767" w:rsidP="00937767">
      <w:pPr>
        <w:ind w:left="-142"/>
        <w:jc w:val="both"/>
        <w:rPr>
          <w:rFonts w:ascii="Arial" w:hAnsi="Arial" w:cs="Arial"/>
          <w:b/>
          <w:sz w:val="28"/>
          <w:szCs w:val="28"/>
        </w:rPr>
      </w:pPr>
      <w:r w:rsidRPr="00716E7B">
        <w:rPr>
          <w:rFonts w:ascii="Arial" w:hAnsi="Arial" w:cs="Arial"/>
          <w:b/>
          <w:sz w:val="28"/>
          <w:szCs w:val="28"/>
        </w:rPr>
        <w:t>ENTIDADES QUE REGISTRAN LOS MAYORES VALORES DE PXP</w:t>
      </w:r>
      <w:r>
        <w:rPr>
          <w:rFonts w:ascii="Arial" w:hAnsi="Arial" w:cs="Arial"/>
          <w:b/>
          <w:sz w:val="28"/>
          <w:szCs w:val="28"/>
        </w:rPr>
        <w:t>.</w:t>
      </w:r>
    </w:p>
    <w:p w:rsidR="00937767" w:rsidRPr="00716E7B" w:rsidRDefault="00937767" w:rsidP="00937767">
      <w:pPr>
        <w:ind w:left="-142"/>
        <w:contextualSpacing/>
        <w:jc w:val="both"/>
        <w:rPr>
          <w:rFonts w:ascii="Arial" w:hAnsi="Arial" w:cs="Arial"/>
          <w:b/>
          <w:sz w:val="28"/>
          <w:szCs w:val="28"/>
        </w:rPr>
      </w:pPr>
    </w:p>
    <w:p w:rsidR="00937767" w:rsidRPr="00716E7B" w:rsidRDefault="00937767" w:rsidP="00937767">
      <w:pPr>
        <w:ind w:left="-142"/>
        <w:contextualSpacing/>
        <w:jc w:val="both"/>
        <w:rPr>
          <w:rFonts w:ascii="Arial" w:hAnsi="Arial" w:cs="Arial"/>
        </w:rPr>
      </w:pPr>
      <w:r w:rsidRPr="00716E7B">
        <w:rPr>
          <w:rFonts w:ascii="Arial" w:hAnsi="Arial" w:cs="Arial"/>
        </w:rPr>
        <w:t>En la siguiente tabla se identifican las entidades que registran los mayores valores en las cuentas del grupo Préstamos por pagar para el 2023 que, en orden de importancia relativa, son: Financiamiento externo de largo plazo, Financiamiento interno de largo plazo, Financiamiento interno de corto plazo y Financiamiento externo de corto plazo.</w:t>
      </w:r>
    </w:p>
    <w:p w:rsidR="00937767" w:rsidRDefault="00937767" w:rsidP="00937767">
      <w:pPr>
        <w:pStyle w:val="Textoindependiente"/>
        <w:ind w:left="-142"/>
        <w:jc w:val="both"/>
        <w:rPr>
          <w:rFonts w:ascii="Arial" w:hAnsi="Arial" w:cs="Arial"/>
          <w:b/>
          <w:color w:val="000000" w:themeColor="text1"/>
          <w:sz w:val="24"/>
          <w:lang w:val="es-CO"/>
        </w:rPr>
      </w:pPr>
    </w:p>
    <w:p w:rsidR="00937767" w:rsidRPr="00716E7B" w:rsidRDefault="00937767" w:rsidP="00937767">
      <w:pPr>
        <w:ind w:left="-142"/>
        <w:contextualSpacing/>
        <w:jc w:val="both"/>
        <w:rPr>
          <w:rFonts w:ascii="Arial" w:hAnsi="Arial" w:cs="Arial"/>
        </w:rPr>
      </w:pPr>
      <w:bookmarkStart w:id="97" w:name="_Toc166618925"/>
      <w:r w:rsidRPr="00716E7B">
        <w:rPr>
          <w:rFonts w:ascii="Arial" w:hAnsi="Arial" w:cs="Arial"/>
        </w:rPr>
        <w:t>De las 350 entidades consolidadas del nivel nacional para el año 2023: 11 entidades reportaron saldos en la cuenta Financiamiento externo de largo plazo; 57 en Financiamiento interno de largo plazo; 38 en Financiamiento interno de corto plazo; y 5 en Financiamiento externo de corto plazo.</w:t>
      </w:r>
    </w:p>
    <w:p w:rsidR="00937767" w:rsidRPr="00716E7B" w:rsidRDefault="00937767" w:rsidP="00937767">
      <w:pPr>
        <w:pStyle w:val="Textoindependiente"/>
        <w:ind w:left="-142"/>
        <w:jc w:val="both"/>
        <w:rPr>
          <w:rFonts w:ascii="Arial" w:hAnsi="Arial" w:cs="Arial"/>
          <w:b/>
          <w:color w:val="000000" w:themeColor="text1"/>
          <w:sz w:val="24"/>
          <w:lang w:val="es-CO"/>
        </w:rPr>
      </w:pPr>
    </w:p>
    <w:p w:rsidR="00937767" w:rsidRDefault="00937767" w:rsidP="00937767">
      <w:pPr>
        <w:pStyle w:val="Descripcin"/>
      </w:pPr>
    </w:p>
    <w:p w:rsidR="00BC3CEC" w:rsidRDefault="00BC3CEC" w:rsidP="00BC3CEC">
      <w:pPr>
        <w:rPr>
          <w:lang w:val="es-CO" w:eastAsia="en-US"/>
        </w:rPr>
      </w:pPr>
    </w:p>
    <w:p w:rsidR="00BC3CEC" w:rsidRDefault="00BC3CEC" w:rsidP="00BC3CEC">
      <w:pPr>
        <w:rPr>
          <w:lang w:val="es-CO" w:eastAsia="en-US"/>
        </w:rPr>
      </w:pPr>
    </w:p>
    <w:p w:rsidR="00BC3CEC" w:rsidRDefault="00BC3CEC" w:rsidP="00BC3CEC">
      <w:pPr>
        <w:rPr>
          <w:lang w:val="es-CO" w:eastAsia="en-US"/>
        </w:rPr>
      </w:pPr>
    </w:p>
    <w:p w:rsidR="00937767" w:rsidRDefault="00937767" w:rsidP="00937767">
      <w:pPr>
        <w:pStyle w:val="Descripcin"/>
      </w:pPr>
    </w:p>
    <w:p w:rsidR="00BC3CEC" w:rsidRPr="00BC3CEC" w:rsidRDefault="00BC3CEC" w:rsidP="00BC3CEC">
      <w:pPr>
        <w:rPr>
          <w:lang w:val="es-CO" w:eastAsia="en-US"/>
        </w:rPr>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pPr>
    </w:p>
    <w:p w:rsidR="00937767" w:rsidRDefault="00937767" w:rsidP="00937767">
      <w:pPr>
        <w:pStyle w:val="Descripcin"/>
        <w:jc w:val="center"/>
        <w:rPr>
          <w:rFonts w:ascii="Arial" w:hAnsi="Arial" w:cs="Arial"/>
          <w:color w:val="auto"/>
          <w:sz w:val="24"/>
          <w:szCs w:val="24"/>
        </w:rPr>
      </w:pPr>
      <w:r w:rsidRPr="00716E7B">
        <w:rPr>
          <w:rFonts w:ascii="Arial" w:hAnsi="Arial" w:cs="Arial"/>
          <w:color w:val="auto"/>
          <w:sz w:val="24"/>
          <w:szCs w:val="24"/>
        </w:rPr>
        <w:lastRenderedPageBreak/>
        <w:t xml:space="preserve">Tabla </w:t>
      </w:r>
      <w:r w:rsidRPr="00716E7B">
        <w:rPr>
          <w:rFonts w:ascii="Arial" w:hAnsi="Arial" w:cs="Arial"/>
          <w:color w:val="auto"/>
          <w:sz w:val="24"/>
          <w:szCs w:val="24"/>
        </w:rPr>
        <w:fldChar w:fldCharType="begin"/>
      </w:r>
      <w:r w:rsidRPr="00716E7B">
        <w:rPr>
          <w:rFonts w:ascii="Arial" w:hAnsi="Arial" w:cs="Arial"/>
          <w:color w:val="auto"/>
          <w:sz w:val="24"/>
          <w:szCs w:val="24"/>
        </w:rPr>
        <w:instrText xml:space="preserve"> STYLEREF 1 \s </w:instrText>
      </w:r>
      <w:r w:rsidRPr="00716E7B">
        <w:rPr>
          <w:rFonts w:ascii="Arial" w:hAnsi="Arial" w:cs="Arial"/>
          <w:color w:val="auto"/>
          <w:sz w:val="24"/>
          <w:szCs w:val="24"/>
        </w:rPr>
        <w:fldChar w:fldCharType="separate"/>
      </w:r>
      <w:r w:rsidRPr="00716E7B">
        <w:rPr>
          <w:rFonts w:ascii="Arial" w:hAnsi="Arial" w:cs="Arial"/>
          <w:noProof/>
          <w:color w:val="auto"/>
          <w:sz w:val="24"/>
          <w:szCs w:val="24"/>
        </w:rPr>
        <w:t>4</w:t>
      </w:r>
      <w:r w:rsidRPr="00716E7B">
        <w:rPr>
          <w:rFonts w:ascii="Arial" w:hAnsi="Arial" w:cs="Arial"/>
          <w:noProof/>
          <w:color w:val="auto"/>
          <w:sz w:val="24"/>
          <w:szCs w:val="24"/>
        </w:rPr>
        <w:fldChar w:fldCharType="end"/>
      </w:r>
      <w:r w:rsidRPr="00716E7B">
        <w:rPr>
          <w:rFonts w:ascii="Arial" w:hAnsi="Arial" w:cs="Arial"/>
          <w:color w:val="auto"/>
          <w:sz w:val="24"/>
          <w:szCs w:val="24"/>
        </w:rPr>
        <w:noBreakHyphen/>
      </w:r>
      <w:r w:rsidRPr="00716E7B">
        <w:rPr>
          <w:rFonts w:ascii="Arial" w:hAnsi="Arial" w:cs="Arial"/>
          <w:color w:val="auto"/>
          <w:sz w:val="24"/>
          <w:szCs w:val="24"/>
        </w:rPr>
        <w:fldChar w:fldCharType="begin"/>
      </w:r>
      <w:r w:rsidRPr="00716E7B">
        <w:rPr>
          <w:rFonts w:ascii="Arial" w:hAnsi="Arial" w:cs="Arial"/>
          <w:color w:val="auto"/>
          <w:sz w:val="24"/>
          <w:szCs w:val="24"/>
        </w:rPr>
        <w:instrText xml:space="preserve"> SEQ Tabla \* ARABIC \s 1 </w:instrText>
      </w:r>
      <w:r w:rsidRPr="00716E7B">
        <w:rPr>
          <w:rFonts w:ascii="Arial" w:hAnsi="Arial" w:cs="Arial"/>
          <w:color w:val="auto"/>
          <w:sz w:val="24"/>
          <w:szCs w:val="24"/>
        </w:rPr>
        <w:fldChar w:fldCharType="separate"/>
      </w:r>
      <w:r w:rsidRPr="00716E7B">
        <w:rPr>
          <w:rFonts w:ascii="Arial" w:hAnsi="Arial" w:cs="Arial"/>
          <w:noProof/>
          <w:color w:val="auto"/>
          <w:sz w:val="24"/>
          <w:szCs w:val="24"/>
        </w:rPr>
        <w:t>79</w:t>
      </w:r>
      <w:r w:rsidRPr="00716E7B">
        <w:rPr>
          <w:rFonts w:ascii="Arial" w:hAnsi="Arial" w:cs="Arial"/>
          <w:noProof/>
          <w:color w:val="auto"/>
          <w:sz w:val="24"/>
          <w:szCs w:val="24"/>
        </w:rPr>
        <w:fldChar w:fldCharType="end"/>
      </w:r>
      <w:r w:rsidRPr="00716E7B">
        <w:rPr>
          <w:rFonts w:ascii="Arial" w:hAnsi="Arial" w:cs="Arial"/>
          <w:color w:val="auto"/>
          <w:sz w:val="24"/>
          <w:szCs w:val="24"/>
        </w:rPr>
        <w:t xml:space="preserve"> PXP - Entidades más representativas</w:t>
      </w:r>
      <w:bookmarkEnd w:id="97"/>
    </w:p>
    <w:p w:rsidR="00937767" w:rsidRPr="00716E7B" w:rsidRDefault="00937767" w:rsidP="00937767">
      <w:pPr>
        <w:rPr>
          <w:lang w:val="es-CO" w:eastAsia="en-US"/>
        </w:rPr>
      </w:pPr>
    </w:p>
    <w:p w:rsidR="00937767" w:rsidRPr="00907758" w:rsidRDefault="00937767" w:rsidP="00937767">
      <w:pPr>
        <w:pStyle w:val="Descripcin"/>
      </w:pPr>
      <w:r w:rsidRPr="00907758">
        <w:rPr>
          <w:noProof/>
          <w:lang w:eastAsia="es-CO"/>
        </w:rPr>
        <w:drawing>
          <wp:inline distT="0" distB="0" distL="0" distR="0" wp14:anchorId="70660A70" wp14:editId="15AB4F8B">
            <wp:extent cx="5943538" cy="4490085"/>
            <wp:effectExtent l="0" t="0" r="635" b="5715"/>
            <wp:docPr id="13646578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950"/>
                    <a:stretch/>
                  </pic:blipFill>
                  <pic:spPr bwMode="auto">
                    <a:xfrm>
                      <a:off x="0" y="0"/>
                      <a:ext cx="5943538" cy="4490085"/>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907758" w:rsidRDefault="00937767" w:rsidP="00937767">
      <w:pPr>
        <w:jc w:val="both"/>
        <w:rPr>
          <w:sz w:val="18"/>
          <w:szCs w:val="18"/>
        </w:rPr>
      </w:pPr>
      <w:r w:rsidRPr="00907758">
        <w:rPr>
          <w:sz w:val="18"/>
          <w:szCs w:val="18"/>
        </w:rPr>
        <w:t>*En la clasificación “Resto de entidades que reportan” se reflejan los saldos reportados por las demás entidades, los cuales analizados individualmente son inferiores a los reportados por las entidades más representativas.</w:t>
      </w:r>
    </w:p>
    <w:p w:rsidR="00937767" w:rsidRPr="00162A66" w:rsidRDefault="00937767" w:rsidP="00937767">
      <w:pPr>
        <w:jc w:val="both"/>
        <w:rPr>
          <w:sz w:val="18"/>
          <w:szCs w:val="18"/>
        </w:rPr>
      </w:pPr>
      <w:r>
        <w:rPr>
          <w:sz w:val="18"/>
          <w:szCs w:val="18"/>
        </w:rPr>
        <w:t>-</w:t>
      </w:r>
      <w:r w:rsidRPr="00162A66">
        <w:rPr>
          <w:sz w:val="18"/>
          <w:szCs w:val="18"/>
        </w:rPr>
        <w:t>**La entidad no reportó saldos en esta cuenta en la vigencia 2022, razón por la cual no se establece una relación porcentual.</w:t>
      </w:r>
    </w:p>
    <w:p w:rsidR="00937767" w:rsidRDefault="00937767" w:rsidP="00937767">
      <w:pPr>
        <w:contextualSpacing/>
        <w:jc w:val="both"/>
      </w:pPr>
    </w:p>
    <w:p w:rsidR="00937767" w:rsidRPr="000C604B" w:rsidRDefault="00937767" w:rsidP="00937767">
      <w:pPr>
        <w:ind w:left="-142"/>
        <w:contextualSpacing/>
        <w:jc w:val="both"/>
        <w:rPr>
          <w:rFonts w:ascii="Arial" w:hAnsi="Arial" w:cs="Arial"/>
          <w:b/>
          <w:sz w:val="28"/>
          <w:szCs w:val="28"/>
        </w:rPr>
      </w:pPr>
      <w:r w:rsidRPr="000C604B">
        <w:rPr>
          <w:rFonts w:ascii="Arial" w:hAnsi="Arial" w:cs="Arial"/>
          <w:b/>
          <w:sz w:val="28"/>
          <w:szCs w:val="28"/>
        </w:rPr>
        <w:t>NOTA 22.- CUENTAS POR PAGAR – CXP.</w:t>
      </w:r>
    </w:p>
    <w:p w:rsidR="00937767" w:rsidRDefault="00937767" w:rsidP="00937767">
      <w:pPr>
        <w:contextualSpacing/>
        <w:jc w:val="both"/>
      </w:pPr>
    </w:p>
    <w:p w:rsidR="00937767" w:rsidRDefault="00937767" w:rsidP="00937767">
      <w:pPr>
        <w:pStyle w:val="Descripcin"/>
        <w:jc w:val="center"/>
        <w:rPr>
          <w:rFonts w:ascii="Arial" w:hAnsi="Arial" w:cs="Arial"/>
          <w:color w:val="auto"/>
          <w:sz w:val="24"/>
          <w:szCs w:val="24"/>
        </w:rPr>
      </w:pPr>
      <w:bookmarkStart w:id="98" w:name="_Toc166618926"/>
      <w:r w:rsidRPr="00690E2B">
        <w:rPr>
          <w:rFonts w:ascii="Arial" w:hAnsi="Arial" w:cs="Arial"/>
          <w:color w:val="auto"/>
          <w:sz w:val="24"/>
          <w:szCs w:val="24"/>
        </w:rPr>
        <w:t xml:space="preserve">Tabla </w:t>
      </w:r>
      <w:r w:rsidRPr="00690E2B">
        <w:rPr>
          <w:rFonts w:ascii="Arial" w:hAnsi="Arial" w:cs="Arial"/>
          <w:color w:val="auto"/>
          <w:sz w:val="24"/>
          <w:szCs w:val="24"/>
        </w:rPr>
        <w:fldChar w:fldCharType="begin"/>
      </w:r>
      <w:r w:rsidRPr="00690E2B">
        <w:rPr>
          <w:rFonts w:ascii="Arial" w:hAnsi="Arial" w:cs="Arial"/>
          <w:color w:val="auto"/>
          <w:sz w:val="24"/>
          <w:szCs w:val="24"/>
        </w:rPr>
        <w:instrText xml:space="preserve"> STYLEREF 1 \s </w:instrText>
      </w:r>
      <w:r w:rsidRPr="00690E2B">
        <w:rPr>
          <w:rFonts w:ascii="Arial" w:hAnsi="Arial" w:cs="Arial"/>
          <w:color w:val="auto"/>
          <w:sz w:val="24"/>
          <w:szCs w:val="24"/>
        </w:rPr>
        <w:fldChar w:fldCharType="separate"/>
      </w:r>
      <w:r w:rsidRPr="00690E2B">
        <w:rPr>
          <w:rFonts w:ascii="Arial" w:hAnsi="Arial" w:cs="Arial"/>
          <w:noProof/>
          <w:color w:val="auto"/>
          <w:sz w:val="24"/>
          <w:szCs w:val="24"/>
        </w:rPr>
        <w:t>4</w:t>
      </w:r>
      <w:r w:rsidRPr="00690E2B">
        <w:rPr>
          <w:rFonts w:ascii="Arial" w:hAnsi="Arial" w:cs="Arial"/>
          <w:noProof/>
          <w:color w:val="auto"/>
          <w:sz w:val="24"/>
          <w:szCs w:val="24"/>
        </w:rPr>
        <w:fldChar w:fldCharType="end"/>
      </w:r>
      <w:r w:rsidRPr="00690E2B">
        <w:rPr>
          <w:rFonts w:ascii="Arial" w:hAnsi="Arial" w:cs="Arial"/>
          <w:color w:val="auto"/>
          <w:sz w:val="24"/>
          <w:szCs w:val="24"/>
        </w:rPr>
        <w:noBreakHyphen/>
      </w:r>
      <w:r w:rsidRPr="00690E2B">
        <w:rPr>
          <w:rFonts w:ascii="Arial" w:hAnsi="Arial" w:cs="Arial"/>
          <w:color w:val="auto"/>
          <w:sz w:val="24"/>
          <w:szCs w:val="24"/>
        </w:rPr>
        <w:fldChar w:fldCharType="begin"/>
      </w:r>
      <w:r w:rsidRPr="00690E2B">
        <w:rPr>
          <w:rFonts w:ascii="Arial" w:hAnsi="Arial" w:cs="Arial"/>
          <w:color w:val="auto"/>
          <w:sz w:val="24"/>
          <w:szCs w:val="24"/>
        </w:rPr>
        <w:instrText xml:space="preserve"> SEQ Tabla \* ARABIC \s 1 </w:instrText>
      </w:r>
      <w:r w:rsidRPr="00690E2B">
        <w:rPr>
          <w:rFonts w:ascii="Arial" w:hAnsi="Arial" w:cs="Arial"/>
          <w:color w:val="auto"/>
          <w:sz w:val="24"/>
          <w:szCs w:val="24"/>
        </w:rPr>
        <w:fldChar w:fldCharType="separate"/>
      </w:r>
      <w:r w:rsidRPr="00690E2B">
        <w:rPr>
          <w:rFonts w:ascii="Arial" w:hAnsi="Arial" w:cs="Arial"/>
          <w:noProof/>
          <w:color w:val="auto"/>
          <w:sz w:val="24"/>
          <w:szCs w:val="24"/>
        </w:rPr>
        <w:t>80</w:t>
      </w:r>
      <w:r w:rsidRPr="00690E2B">
        <w:rPr>
          <w:rFonts w:ascii="Arial" w:hAnsi="Arial" w:cs="Arial"/>
          <w:noProof/>
          <w:color w:val="auto"/>
          <w:sz w:val="24"/>
          <w:szCs w:val="24"/>
        </w:rPr>
        <w:fldChar w:fldCharType="end"/>
      </w:r>
      <w:r w:rsidRPr="00690E2B">
        <w:rPr>
          <w:rFonts w:ascii="Arial" w:hAnsi="Arial" w:cs="Arial"/>
          <w:color w:val="auto"/>
          <w:sz w:val="24"/>
          <w:szCs w:val="24"/>
        </w:rPr>
        <w:t xml:space="preserve"> Cuentas por pagar (</w:t>
      </w:r>
      <w:proofErr w:type="spellStart"/>
      <w:r w:rsidRPr="00690E2B">
        <w:rPr>
          <w:rFonts w:ascii="Arial" w:hAnsi="Arial" w:cs="Arial"/>
          <w:color w:val="auto"/>
          <w:sz w:val="24"/>
          <w:szCs w:val="24"/>
        </w:rPr>
        <w:t>CxP</w:t>
      </w:r>
      <w:proofErr w:type="spellEnd"/>
      <w:r w:rsidRPr="00690E2B">
        <w:rPr>
          <w:rFonts w:ascii="Arial" w:hAnsi="Arial" w:cs="Arial"/>
          <w:color w:val="auto"/>
          <w:sz w:val="24"/>
          <w:szCs w:val="24"/>
        </w:rPr>
        <w:t xml:space="preserve">) </w:t>
      </w:r>
      <w:r>
        <w:rPr>
          <w:rFonts w:ascii="Arial" w:hAnsi="Arial" w:cs="Arial"/>
          <w:color w:val="auto"/>
          <w:sz w:val="24"/>
          <w:szCs w:val="24"/>
        </w:rPr>
        <w:t>–</w:t>
      </w:r>
      <w:r w:rsidRPr="00690E2B">
        <w:rPr>
          <w:rFonts w:ascii="Arial" w:hAnsi="Arial" w:cs="Arial"/>
          <w:color w:val="auto"/>
          <w:sz w:val="24"/>
          <w:szCs w:val="24"/>
        </w:rPr>
        <w:t xml:space="preserve"> Composición</w:t>
      </w:r>
      <w:bookmarkEnd w:id="98"/>
    </w:p>
    <w:p w:rsidR="00937767" w:rsidRPr="00690E2B" w:rsidRDefault="00937767" w:rsidP="00937767">
      <w:pPr>
        <w:rPr>
          <w:lang w:val="es-CO" w:eastAsia="en-US"/>
        </w:rPr>
      </w:pPr>
    </w:p>
    <w:p w:rsidR="00937767" w:rsidRPr="00952E67" w:rsidRDefault="00937767" w:rsidP="00937767">
      <w:pPr>
        <w:pStyle w:val="Textoindependiente"/>
        <w:jc w:val="both"/>
        <w:rPr>
          <w:rFonts w:ascii="Verdana" w:hAnsi="Verdana"/>
          <w:szCs w:val="22"/>
          <w:lang w:val="es-CO"/>
        </w:rPr>
      </w:pPr>
      <w:r w:rsidRPr="00952E67">
        <w:rPr>
          <w:rFonts w:ascii="Verdana" w:hAnsi="Verdana"/>
          <w:noProof/>
          <w:lang w:val="es-CO" w:eastAsia="es-CO"/>
        </w:rPr>
        <w:drawing>
          <wp:inline distT="0" distB="0" distL="0" distR="0" wp14:anchorId="68174DDA" wp14:editId="61129389">
            <wp:extent cx="5943600" cy="1847215"/>
            <wp:effectExtent l="0" t="0" r="0" b="635"/>
            <wp:docPr id="20705748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847215"/>
                    </a:xfrm>
                    <a:prstGeom prst="rect">
                      <a:avLst/>
                    </a:prstGeom>
                    <a:noFill/>
                    <a:ln>
                      <a:noFill/>
                    </a:ln>
                  </pic:spPr>
                </pic:pic>
              </a:graphicData>
            </a:graphic>
          </wp:inline>
        </w:drawing>
      </w:r>
    </w:p>
    <w:p w:rsidR="00937767" w:rsidRPr="00952E67" w:rsidRDefault="00937767" w:rsidP="00937767">
      <w:pPr>
        <w:pStyle w:val="Textoindependiente"/>
        <w:jc w:val="both"/>
        <w:rPr>
          <w:rFonts w:ascii="Verdana" w:hAnsi="Verdana"/>
          <w:szCs w:val="22"/>
          <w:lang w:val="es-CO"/>
        </w:rPr>
      </w:pPr>
    </w:p>
    <w:p w:rsidR="00937767" w:rsidRPr="00690E2B" w:rsidRDefault="00937767" w:rsidP="00937767">
      <w:pPr>
        <w:pStyle w:val="Textoindependiente"/>
        <w:ind w:left="-142"/>
        <w:jc w:val="both"/>
        <w:rPr>
          <w:rFonts w:ascii="Arial" w:hAnsi="Arial" w:cs="Arial"/>
          <w:sz w:val="24"/>
          <w:lang w:val="es-CO"/>
        </w:rPr>
      </w:pPr>
      <w:r w:rsidRPr="00690E2B">
        <w:rPr>
          <w:rFonts w:ascii="Arial" w:hAnsi="Arial" w:cs="Arial"/>
          <w:sz w:val="24"/>
          <w:lang w:val="es-CO"/>
        </w:rPr>
        <w:lastRenderedPageBreak/>
        <w:t>Como se observa, al 31 de diciembre de 2023, el grupo Cuentas por pagar presenta la suma agregada de $139.360,0. Una vez ejecutado el proceso de consolidación, se presenta el efecto neto de eliminaciones y reclasificaciones por ($24.870,0) y se obtiene un saldo consolidado de $114.490,0, que representa el 5.3% del total del valor de los pasivos del nivel nacional, que ascienden a la suma de $2.145.592,0.</w:t>
      </w:r>
    </w:p>
    <w:p w:rsidR="00937767" w:rsidRPr="00690E2B" w:rsidRDefault="00937767" w:rsidP="00937767">
      <w:pPr>
        <w:pStyle w:val="Textoindependiente"/>
        <w:ind w:left="-142"/>
        <w:jc w:val="both"/>
        <w:rPr>
          <w:rFonts w:ascii="Arial" w:hAnsi="Arial" w:cs="Arial"/>
          <w:sz w:val="24"/>
          <w:lang w:val="es-CO"/>
        </w:rPr>
      </w:pPr>
    </w:p>
    <w:p w:rsidR="00937767" w:rsidRPr="00690E2B" w:rsidRDefault="00937767" w:rsidP="00937767">
      <w:pPr>
        <w:pStyle w:val="Textoindependiente"/>
        <w:ind w:left="-142"/>
        <w:jc w:val="both"/>
        <w:rPr>
          <w:rFonts w:ascii="Arial" w:hAnsi="Arial" w:cs="Arial"/>
          <w:sz w:val="24"/>
          <w:lang w:val="es-CO"/>
        </w:rPr>
      </w:pPr>
      <w:r w:rsidRPr="00690E2B">
        <w:rPr>
          <w:rFonts w:ascii="Arial" w:hAnsi="Arial" w:cs="Arial"/>
          <w:sz w:val="24"/>
          <w:lang w:val="es-CO"/>
        </w:rPr>
        <w:t>Aunque el concepto “Otros conceptos de Cuentas por pagar” es uno de los mayores valores por $11.377,8, no se detalla información al respecto, dado que allí confluyen varias subcuentas que, individualmente consideradas, tienen menor importancia relativa que las presentadas individualmente.</w:t>
      </w:r>
    </w:p>
    <w:p w:rsidR="00937767" w:rsidRDefault="00937767" w:rsidP="00937767">
      <w:pPr>
        <w:contextualSpacing/>
        <w:jc w:val="both"/>
      </w:pPr>
    </w:p>
    <w:p w:rsidR="00937767" w:rsidRPr="001575BD" w:rsidRDefault="00937767" w:rsidP="00937767">
      <w:pPr>
        <w:ind w:left="-142"/>
        <w:rPr>
          <w:rFonts w:ascii="Arial" w:hAnsi="Arial" w:cs="Arial"/>
          <w:b/>
          <w:sz w:val="28"/>
          <w:szCs w:val="28"/>
        </w:rPr>
      </w:pPr>
      <w:r w:rsidRPr="001575BD">
        <w:rPr>
          <w:rFonts w:ascii="Arial" w:hAnsi="Arial" w:cs="Arial"/>
          <w:b/>
          <w:sz w:val="28"/>
          <w:szCs w:val="28"/>
        </w:rPr>
        <w:t>Entidades que registran los mayores valores de CXP</w:t>
      </w:r>
      <w:r>
        <w:rPr>
          <w:rFonts w:ascii="Arial" w:hAnsi="Arial" w:cs="Arial"/>
          <w:b/>
          <w:sz w:val="28"/>
          <w:szCs w:val="28"/>
        </w:rPr>
        <w:t>.</w:t>
      </w:r>
    </w:p>
    <w:p w:rsidR="00937767" w:rsidRPr="001575BD" w:rsidRDefault="00937767" w:rsidP="00937767">
      <w:pPr>
        <w:ind w:left="-142"/>
        <w:jc w:val="both"/>
        <w:rPr>
          <w:rFonts w:ascii="Arial" w:hAnsi="Arial" w:cs="Arial"/>
          <w:b/>
          <w:sz w:val="28"/>
          <w:szCs w:val="28"/>
        </w:rPr>
      </w:pPr>
    </w:p>
    <w:p w:rsidR="00937767" w:rsidRPr="001575BD" w:rsidRDefault="00937767" w:rsidP="00937767">
      <w:pPr>
        <w:ind w:left="-142"/>
        <w:jc w:val="both"/>
        <w:rPr>
          <w:rFonts w:ascii="Arial" w:hAnsi="Arial" w:cs="Arial"/>
        </w:rPr>
      </w:pPr>
      <w:r w:rsidRPr="001575BD">
        <w:rPr>
          <w:rFonts w:ascii="Arial" w:hAnsi="Arial" w:cs="Arial"/>
        </w:rPr>
        <w:t>Considerando que el saldo agregado del grupo de Cuentas por pagar es $139.360,0 para 2023, a continuación, se listan las entidades que registran los mayores valores en los conceptos: Otras cuentas por pagar, Adquisición de bienes y servicios nacionales, Recursos a favor de terceros, créditos judiciales, Aportes por pagar afiliados a fondos de cesantías y Transferencias por pagar.</w:t>
      </w:r>
    </w:p>
    <w:p w:rsidR="00937767" w:rsidRPr="001575BD" w:rsidRDefault="00937767" w:rsidP="00937767">
      <w:pPr>
        <w:ind w:left="-142"/>
        <w:jc w:val="both"/>
        <w:rPr>
          <w:rFonts w:ascii="Arial" w:hAnsi="Arial" w:cs="Arial"/>
        </w:rPr>
      </w:pPr>
    </w:p>
    <w:p w:rsidR="00937767" w:rsidRPr="001575BD" w:rsidRDefault="00937767" w:rsidP="00937767">
      <w:pPr>
        <w:ind w:left="-142"/>
        <w:jc w:val="both"/>
        <w:rPr>
          <w:rFonts w:ascii="Arial" w:hAnsi="Arial" w:cs="Arial"/>
        </w:rPr>
      </w:pPr>
      <w:r w:rsidRPr="001575BD">
        <w:rPr>
          <w:rFonts w:ascii="Arial" w:hAnsi="Arial" w:cs="Arial"/>
        </w:rPr>
        <w:t>Teniendo en cuenta que en el año 2023 las entidades consolidadas fueron 350, es importante mencionar que: 310 reportaron saldos en Otras cuentas por pagar; 273 en Adquisición de bienes y servicios nacionales; 253 en Recursos a favor de terceros; 71 en Créditos judiciales; 1 en Aportes por pagar afiliados fondos de cesantías; y 26 en Transferencias por pagar.</w:t>
      </w:r>
    </w:p>
    <w:p w:rsidR="00937767" w:rsidRPr="001575BD" w:rsidRDefault="00937767" w:rsidP="00937767">
      <w:pPr>
        <w:ind w:left="-142"/>
        <w:jc w:val="both"/>
        <w:rPr>
          <w:rFonts w:ascii="Arial" w:hAnsi="Arial" w:cs="Arial"/>
        </w:rPr>
      </w:pPr>
    </w:p>
    <w:p w:rsidR="00937767" w:rsidRPr="001575BD" w:rsidRDefault="00937767" w:rsidP="00937767">
      <w:pPr>
        <w:ind w:left="-142"/>
        <w:contextualSpacing/>
        <w:jc w:val="both"/>
        <w:rPr>
          <w:rFonts w:ascii="Arial" w:hAnsi="Arial" w:cs="Arial"/>
        </w:rPr>
      </w:pPr>
      <w:r w:rsidRPr="001575BD">
        <w:rPr>
          <w:rFonts w:ascii="Arial" w:hAnsi="Arial" w:cs="Arial"/>
        </w:rPr>
        <w:t>En orden de importancia por variación absoluta, la Dirección General de Crédito Público y Tesoro Nacional (DGCPTN) registra una variación por valor de $3.004,3 en la cuenta Otras cuentas por pagar. Además, dentro de esta cuenta, la subcuenta con mayor valor registrado corresponde a Recursos de acreedores reintegrados por entidades públicas</w:t>
      </w:r>
    </w:p>
    <w:p w:rsidR="00937767" w:rsidRPr="001575BD" w:rsidRDefault="00937767" w:rsidP="00937767">
      <w:pPr>
        <w:ind w:left="-142"/>
        <w:jc w:val="both"/>
        <w:rPr>
          <w:rFonts w:ascii="Arial" w:hAnsi="Arial" w:cs="Arial"/>
        </w:rPr>
      </w:pPr>
    </w:p>
    <w:p w:rsidR="00937767" w:rsidRPr="001575BD" w:rsidRDefault="00937767" w:rsidP="00937767">
      <w:pPr>
        <w:ind w:left="-142"/>
        <w:jc w:val="both"/>
        <w:rPr>
          <w:rFonts w:ascii="Arial" w:hAnsi="Arial" w:cs="Arial"/>
        </w:rPr>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jc w:val="both"/>
      </w:pPr>
    </w:p>
    <w:p w:rsidR="00937767" w:rsidRDefault="00937767" w:rsidP="00937767">
      <w:pPr>
        <w:pStyle w:val="Descripcin"/>
        <w:jc w:val="center"/>
        <w:rPr>
          <w:rFonts w:ascii="Arial" w:hAnsi="Arial" w:cs="Arial"/>
          <w:color w:val="auto"/>
          <w:sz w:val="24"/>
          <w:szCs w:val="24"/>
        </w:rPr>
      </w:pPr>
      <w:bookmarkStart w:id="99" w:name="_Toc166618928"/>
      <w:r w:rsidRPr="001575BD">
        <w:rPr>
          <w:rFonts w:ascii="Arial" w:hAnsi="Arial" w:cs="Arial"/>
          <w:color w:val="auto"/>
          <w:sz w:val="24"/>
          <w:szCs w:val="24"/>
        </w:rPr>
        <w:lastRenderedPageBreak/>
        <w:t xml:space="preserve">Tabla </w:t>
      </w:r>
      <w:r w:rsidRPr="001575BD">
        <w:rPr>
          <w:rFonts w:ascii="Arial" w:hAnsi="Arial" w:cs="Arial"/>
          <w:color w:val="auto"/>
          <w:sz w:val="24"/>
          <w:szCs w:val="24"/>
        </w:rPr>
        <w:fldChar w:fldCharType="begin"/>
      </w:r>
      <w:r w:rsidRPr="001575BD">
        <w:rPr>
          <w:rFonts w:ascii="Arial" w:hAnsi="Arial" w:cs="Arial"/>
          <w:color w:val="auto"/>
          <w:sz w:val="24"/>
          <w:szCs w:val="24"/>
        </w:rPr>
        <w:instrText xml:space="preserve"> STYLEREF 1 \s </w:instrText>
      </w:r>
      <w:r w:rsidRPr="001575BD">
        <w:rPr>
          <w:rFonts w:ascii="Arial" w:hAnsi="Arial" w:cs="Arial"/>
          <w:color w:val="auto"/>
          <w:sz w:val="24"/>
          <w:szCs w:val="24"/>
        </w:rPr>
        <w:fldChar w:fldCharType="separate"/>
      </w:r>
      <w:r w:rsidRPr="001575BD">
        <w:rPr>
          <w:rFonts w:ascii="Arial" w:hAnsi="Arial" w:cs="Arial"/>
          <w:noProof/>
          <w:color w:val="auto"/>
          <w:sz w:val="24"/>
          <w:szCs w:val="24"/>
        </w:rPr>
        <w:t>4</w:t>
      </w:r>
      <w:r w:rsidRPr="001575BD">
        <w:rPr>
          <w:rFonts w:ascii="Arial" w:hAnsi="Arial" w:cs="Arial"/>
          <w:noProof/>
          <w:color w:val="auto"/>
          <w:sz w:val="24"/>
          <w:szCs w:val="24"/>
        </w:rPr>
        <w:fldChar w:fldCharType="end"/>
      </w:r>
      <w:r w:rsidRPr="001575BD">
        <w:rPr>
          <w:rFonts w:ascii="Arial" w:hAnsi="Arial" w:cs="Arial"/>
          <w:color w:val="auto"/>
          <w:sz w:val="24"/>
          <w:szCs w:val="24"/>
        </w:rPr>
        <w:noBreakHyphen/>
      </w:r>
      <w:r w:rsidRPr="001575BD">
        <w:rPr>
          <w:rFonts w:ascii="Arial" w:hAnsi="Arial" w:cs="Arial"/>
          <w:color w:val="auto"/>
          <w:sz w:val="24"/>
          <w:szCs w:val="24"/>
        </w:rPr>
        <w:fldChar w:fldCharType="begin"/>
      </w:r>
      <w:r w:rsidRPr="001575BD">
        <w:rPr>
          <w:rFonts w:ascii="Arial" w:hAnsi="Arial" w:cs="Arial"/>
          <w:color w:val="auto"/>
          <w:sz w:val="24"/>
          <w:szCs w:val="24"/>
        </w:rPr>
        <w:instrText xml:space="preserve"> SEQ Tabla \* ARABIC \s 1 </w:instrText>
      </w:r>
      <w:r w:rsidRPr="001575BD">
        <w:rPr>
          <w:rFonts w:ascii="Arial" w:hAnsi="Arial" w:cs="Arial"/>
          <w:color w:val="auto"/>
          <w:sz w:val="24"/>
          <w:szCs w:val="24"/>
        </w:rPr>
        <w:fldChar w:fldCharType="separate"/>
      </w:r>
      <w:r w:rsidRPr="001575BD">
        <w:rPr>
          <w:rFonts w:ascii="Arial" w:hAnsi="Arial" w:cs="Arial"/>
          <w:noProof/>
          <w:color w:val="auto"/>
          <w:sz w:val="24"/>
          <w:szCs w:val="24"/>
        </w:rPr>
        <w:t>82</w:t>
      </w:r>
      <w:r w:rsidRPr="001575BD">
        <w:rPr>
          <w:rFonts w:ascii="Arial" w:hAnsi="Arial" w:cs="Arial"/>
          <w:noProof/>
          <w:color w:val="auto"/>
          <w:sz w:val="24"/>
          <w:szCs w:val="24"/>
        </w:rPr>
        <w:fldChar w:fldCharType="end"/>
      </w:r>
      <w:r w:rsidRPr="001575BD">
        <w:rPr>
          <w:rFonts w:ascii="Arial" w:hAnsi="Arial" w:cs="Arial"/>
          <w:color w:val="auto"/>
          <w:sz w:val="24"/>
          <w:szCs w:val="24"/>
        </w:rPr>
        <w:t xml:space="preserve"> </w:t>
      </w:r>
      <w:proofErr w:type="spellStart"/>
      <w:r w:rsidRPr="001575BD">
        <w:rPr>
          <w:rFonts w:ascii="Arial" w:hAnsi="Arial" w:cs="Arial"/>
          <w:color w:val="auto"/>
          <w:sz w:val="24"/>
          <w:szCs w:val="24"/>
        </w:rPr>
        <w:t>CxP</w:t>
      </w:r>
      <w:proofErr w:type="spellEnd"/>
      <w:r w:rsidRPr="001575BD">
        <w:rPr>
          <w:rFonts w:ascii="Arial" w:hAnsi="Arial" w:cs="Arial"/>
          <w:color w:val="auto"/>
          <w:sz w:val="24"/>
          <w:szCs w:val="24"/>
        </w:rPr>
        <w:t xml:space="preserve"> - Entidades más representativas</w:t>
      </w:r>
      <w:bookmarkEnd w:id="99"/>
    </w:p>
    <w:p w:rsidR="00937767" w:rsidRPr="001575BD" w:rsidRDefault="00937767" w:rsidP="00937767">
      <w:pPr>
        <w:rPr>
          <w:lang w:val="es-CO" w:eastAsia="en-US"/>
        </w:rPr>
      </w:pPr>
    </w:p>
    <w:p w:rsidR="00937767" w:rsidRPr="00952E67" w:rsidRDefault="00937767" w:rsidP="00937767">
      <w:pPr>
        <w:pStyle w:val="Textoindependiente"/>
        <w:jc w:val="both"/>
        <w:rPr>
          <w:rFonts w:ascii="Verdana" w:hAnsi="Verdana"/>
          <w:szCs w:val="22"/>
          <w:lang w:val="es-CO"/>
        </w:rPr>
      </w:pPr>
      <w:r w:rsidRPr="00952E67">
        <w:rPr>
          <w:rFonts w:ascii="Verdana" w:hAnsi="Verdana"/>
          <w:noProof/>
          <w:lang w:val="es-CO" w:eastAsia="es-CO"/>
        </w:rPr>
        <w:drawing>
          <wp:inline distT="0" distB="0" distL="0" distR="0" wp14:anchorId="20B2EBD4" wp14:editId="0B0DDD90">
            <wp:extent cx="5943600" cy="6080125"/>
            <wp:effectExtent l="0" t="0" r="0" b="0"/>
            <wp:docPr id="11303250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080125"/>
                    </a:xfrm>
                    <a:prstGeom prst="rect">
                      <a:avLst/>
                    </a:prstGeom>
                    <a:noFill/>
                    <a:ln>
                      <a:noFill/>
                    </a:ln>
                  </pic:spPr>
                </pic:pic>
              </a:graphicData>
            </a:graphic>
          </wp:inline>
        </w:drawing>
      </w:r>
    </w:p>
    <w:p w:rsidR="00937767" w:rsidRPr="00952E67" w:rsidRDefault="00937767" w:rsidP="00937767">
      <w:pPr>
        <w:ind w:right="119"/>
        <w:jc w:val="both"/>
        <w:rPr>
          <w:sz w:val="18"/>
          <w:szCs w:val="18"/>
        </w:rPr>
      </w:pPr>
      <w:r w:rsidRPr="00952E67">
        <w:rPr>
          <w:sz w:val="18"/>
          <w:szCs w:val="18"/>
        </w:rPr>
        <w:t>*En la clasificación “Resto de Entidades que reportan” se reflejan los saldos reportados por las demás entidades, los cuales analizados individualmente son inferiores a los reportados por las entidades más representativas.</w:t>
      </w:r>
    </w:p>
    <w:p w:rsidR="00937767" w:rsidRDefault="00937767" w:rsidP="00937767">
      <w:pPr>
        <w:jc w:val="both"/>
      </w:pPr>
    </w:p>
    <w:p w:rsidR="00937767" w:rsidRPr="005F4247" w:rsidRDefault="00937767" w:rsidP="00937767">
      <w:pPr>
        <w:ind w:left="-142"/>
        <w:jc w:val="both"/>
        <w:rPr>
          <w:rFonts w:ascii="Arial" w:hAnsi="Arial" w:cs="Arial"/>
          <w:b/>
          <w:sz w:val="28"/>
          <w:szCs w:val="28"/>
        </w:rPr>
      </w:pPr>
      <w:r w:rsidRPr="005F4247">
        <w:rPr>
          <w:rFonts w:ascii="Arial" w:hAnsi="Arial" w:cs="Arial"/>
          <w:b/>
          <w:sz w:val="28"/>
          <w:szCs w:val="28"/>
        </w:rPr>
        <w:t>NOTA 23.- BENEFICIOS A LOS EMPLEADOS Y PLAN DE ACTIVOS.</w:t>
      </w:r>
    </w:p>
    <w:p w:rsidR="00937767" w:rsidRPr="005F4247" w:rsidRDefault="00937767" w:rsidP="00937767">
      <w:pPr>
        <w:jc w:val="both"/>
        <w:rPr>
          <w:rFonts w:ascii="Arial" w:hAnsi="Arial" w:cs="Arial"/>
          <w:b/>
          <w:sz w:val="28"/>
          <w:szCs w:val="28"/>
        </w:rPr>
      </w:pPr>
    </w:p>
    <w:p w:rsidR="00937767" w:rsidRPr="005F4247" w:rsidRDefault="00937767" w:rsidP="00937767">
      <w:pPr>
        <w:ind w:left="-142"/>
        <w:jc w:val="both"/>
        <w:rPr>
          <w:rFonts w:ascii="Arial" w:hAnsi="Arial" w:cs="Arial"/>
          <w:color w:val="000000"/>
        </w:rPr>
      </w:pPr>
      <w:r w:rsidRPr="005F4247">
        <w:rPr>
          <w:rFonts w:ascii="Arial" w:hAnsi="Arial" w:cs="Arial"/>
          <w:color w:val="000000"/>
        </w:rPr>
        <w:t xml:space="preserve">En el grupo Beneficios a los empleados se registran las retribuciones que la entidad proporciona a sus trabajadores a cambio de sus servicios, incluyendo, cuando hay lugar, los beneficios por terminación del vínculo laboral. Por su parte, en el Plan de activos se reconoce el valor de los activos destinados exclusivamente a la atención de las obligaciones por los beneficios </w:t>
      </w:r>
      <w:r w:rsidRPr="005F4247">
        <w:rPr>
          <w:rFonts w:ascii="Arial" w:hAnsi="Arial" w:cs="Arial"/>
          <w:color w:val="000000"/>
          <w:lang w:val="es-419"/>
        </w:rPr>
        <w:t xml:space="preserve">a los empleados </w:t>
      </w:r>
      <w:r w:rsidRPr="005F4247">
        <w:rPr>
          <w:rFonts w:ascii="Arial" w:hAnsi="Arial" w:cs="Arial"/>
          <w:color w:val="000000"/>
        </w:rPr>
        <w:t xml:space="preserve">que se hayan otorgado. A continuación, </w:t>
      </w:r>
      <w:r w:rsidRPr="005F4247">
        <w:rPr>
          <w:rFonts w:ascii="Arial" w:hAnsi="Arial" w:cs="Arial"/>
          <w:color w:val="000000"/>
        </w:rPr>
        <w:lastRenderedPageBreak/>
        <w:t>se presentan los saldos reportados en el año 2023 comparativamente con el 2022, clasificados así:</w:t>
      </w:r>
    </w:p>
    <w:p w:rsidR="00937767" w:rsidRPr="005F4247" w:rsidRDefault="00937767" w:rsidP="00937767">
      <w:pPr>
        <w:pStyle w:val="Descripcin"/>
        <w:ind w:left="-142"/>
        <w:rPr>
          <w:rFonts w:ascii="Arial" w:hAnsi="Arial" w:cs="Arial"/>
        </w:rPr>
      </w:pPr>
    </w:p>
    <w:p w:rsidR="00937767" w:rsidRDefault="00937767" w:rsidP="00937767">
      <w:pPr>
        <w:pStyle w:val="Descripcin"/>
        <w:jc w:val="center"/>
        <w:rPr>
          <w:rFonts w:ascii="Arial" w:hAnsi="Arial" w:cs="Arial"/>
          <w:color w:val="auto"/>
          <w:sz w:val="24"/>
          <w:szCs w:val="24"/>
        </w:rPr>
      </w:pPr>
      <w:bookmarkStart w:id="100" w:name="_Toc135044833"/>
      <w:bookmarkStart w:id="101" w:name="_Toc166618929"/>
      <w:r w:rsidRPr="005F4247">
        <w:rPr>
          <w:rFonts w:ascii="Arial" w:hAnsi="Arial" w:cs="Arial"/>
          <w:color w:val="auto"/>
          <w:sz w:val="24"/>
          <w:szCs w:val="24"/>
        </w:rPr>
        <w:t xml:space="preserve">Tabla </w:t>
      </w:r>
      <w:r w:rsidRPr="005F4247">
        <w:rPr>
          <w:rFonts w:ascii="Arial" w:hAnsi="Arial" w:cs="Arial"/>
          <w:color w:val="auto"/>
          <w:sz w:val="24"/>
          <w:szCs w:val="24"/>
        </w:rPr>
        <w:fldChar w:fldCharType="begin"/>
      </w:r>
      <w:r w:rsidRPr="005F4247">
        <w:rPr>
          <w:rFonts w:ascii="Arial" w:hAnsi="Arial" w:cs="Arial"/>
          <w:color w:val="auto"/>
          <w:sz w:val="24"/>
          <w:szCs w:val="24"/>
        </w:rPr>
        <w:instrText xml:space="preserve"> STYLEREF 1 \s </w:instrText>
      </w:r>
      <w:r w:rsidRPr="005F4247">
        <w:rPr>
          <w:rFonts w:ascii="Arial" w:hAnsi="Arial" w:cs="Arial"/>
          <w:color w:val="auto"/>
          <w:sz w:val="24"/>
          <w:szCs w:val="24"/>
        </w:rPr>
        <w:fldChar w:fldCharType="separate"/>
      </w:r>
      <w:r w:rsidRPr="005F4247">
        <w:rPr>
          <w:rFonts w:ascii="Arial" w:hAnsi="Arial" w:cs="Arial"/>
          <w:noProof/>
          <w:color w:val="auto"/>
          <w:sz w:val="24"/>
          <w:szCs w:val="24"/>
        </w:rPr>
        <w:t>4</w:t>
      </w:r>
      <w:r w:rsidRPr="005F4247">
        <w:rPr>
          <w:rFonts w:ascii="Arial" w:hAnsi="Arial" w:cs="Arial"/>
          <w:noProof/>
          <w:color w:val="auto"/>
          <w:sz w:val="24"/>
          <w:szCs w:val="24"/>
        </w:rPr>
        <w:fldChar w:fldCharType="end"/>
      </w:r>
      <w:r w:rsidRPr="005F4247">
        <w:rPr>
          <w:rFonts w:ascii="Arial" w:hAnsi="Arial" w:cs="Arial"/>
          <w:color w:val="auto"/>
          <w:sz w:val="24"/>
          <w:szCs w:val="24"/>
        </w:rPr>
        <w:noBreakHyphen/>
      </w:r>
      <w:r w:rsidRPr="005F4247">
        <w:rPr>
          <w:rFonts w:ascii="Arial" w:hAnsi="Arial" w:cs="Arial"/>
          <w:color w:val="auto"/>
          <w:sz w:val="24"/>
          <w:szCs w:val="24"/>
        </w:rPr>
        <w:fldChar w:fldCharType="begin"/>
      </w:r>
      <w:r w:rsidRPr="005F4247">
        <w:rPr>
          <w:rFonts w:ascii="Arial" w:hAnsi="Arial" w:cs="Arial"/>
          <w:color w:val="auto"/>
          <w:sz w:val="24"/>
          <w:szCs w:val="24"/>
        </w:rPr>
        <w:instrText xml:space="preserve"> SEQ Tabla \* ARABIC \s 1 </w:instrText>
      </w:r>
      <w:r w:rsidRPr="005F4247">
        <w:rPr>
          <w:rFonts w:ascii="Arial" w:hAnsi="Arial" w:cs="Arial"/>
          <w:color w:val="auto"/>
          <w:sz w:val="24"/>
          <w:szCs w:val="24"/>
        </w:rPr>
        <w:fldChar w:fldCharType="separate"/>
      </w:r>
      <w:r w:rsidRPr="005F4247">
        <w:rPr>
          <w:rFonts w:ascii="Arial" w:hAnsi="Arial" w:cs="Arial"/>
          <w:noProof/>
          <w:color w:val="auto"/>
          <w:sz w:val="24"/>
          <w:szCs w:val="24"/>
        </w:rPr>
        <w:t>83</w:t>
      </w:r>
      <w:r w:rsidRPr="005F4247">
        <w:rPr>
          <w:rFonts w:ascii="Arial" w:hAnsi="Arial" w:cs="Arial"/>
          <w:noProof/>
          <w:color w:val="auto"/>
          <w:sz w:val="24"/>
          <w:szCs w:val="24"/>
        </w:rPr>
        <w:fldChar w:fldCharType="end"/>
      </w:r>
      <w:r w:rsidRPr="005F4247">
        <w:rPr>
          <w:rFonts w:ascii="Arial" w:hAnsi="Arial" w:cs="Arial"/>
          <w:color w:val="auto"/>
          <w:sz w:val="24"/>
          <w:szCs w:val="24"/>
        </w:rPr>
        <w:t xml:space="preserve"> Beneficios a los empleados y plan de activos (BEPLA) – Composición</w:t>
      </w:r>
      <w:bookmarkEnd w:id="100"/>
      <w:bookmarkEnd w:id="101"/>
    </w:p>
    <w:p w:rsidR="00937767" w:rsidRPr="005F4247" w:rsidRDefault="00937767" w:rsidP="00937767">
      <w:pPr>
        <w:rPr>
          <w:lang w:val="es-CO" w:eastAsia="en-US"/>
        </w:rPr>
      </w:pPr>
    </w:p>
    <w:p w:rsidR="00937767" w:rsidRPr="00EC0BA8" w:rsidRDefault="00937767" w:rsidP="00937767">
      <w:pPr>
        <w:pStyle w:val="Textoindependiente"/>
        <w:jc w:val="center"/>
        <w:rPr>
          <w:rFonts w:ascii="Verdana" w:hAnsi="Verdana"/>
          <w:color w:val="000000"/>
          <w:sz w:val="18"/>
          <w:szCs w:val="18"/>
          <w:lang w:val="es-CO"/>
        </w:rPr>
      </w:pPr>
      <w:r w:rsidRPr="00EC0BA8">
        <w:rPr>
          <w:noProof/>
          <w:lang w:val="es-CO" w:eastAsia="es-CO"/>
        </w:rPr>
        <w:drawing>
          <wp:inline distT="0" distB="0" distL="0" distR="0" wp14:anchorId="2DF9A3F9" wp14:editId="5D1445F2">
            <wp:extent cx="5943600" cy="4031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7077"/>
                    <a:stretch/>
                  </pic:blipFill>
                  <pic:spPr bwMode="auto">
                    <a:xfrm>
                      <a:off x="0" y="0"/>
                      <a:ext cx="5943600" cy="4031880"/>
                    </a:xfrm>
                    <a:prstGeom prst="rect">
                      <a:avLst/>
                    </a:prstGeom>
                    <a:noFill/>
                    <a:ln>
                      <a:noFill/>
                    </a:ln>
                    <a:extLst>
                      <a:ext uri="{53640926-AAD7-44D8-BBD7-CCE9431645EC}">
                        <a14:shadowObscured xmlns:a14="http://schemas.microsoft.com/office/drawing/2010/main"/>
                      </a:ext>
                    </a:extLst>
                  </pic:spPr>
                </pic:pic>
              </a:graphicData>
            </a:graphic>
          </wp:inline>
        </w:drawing>
      </w:r>
      <w:r w:rsidRPr="00EC0BA8">
        <w:rPr>
          <w:rFonts w:ascii="Verdana" w:hAnsi="Verdana"/>
          <w:color w:val="000000"/>
          <w:sz w:val="18"/>
          <w:szCs w:val="18"/>
          <w:lang w:val="es-CO"/>
        </w:rPr>
        <w:t xml:space="preserve">* Valor consolidado </w:t>
      </w:r>
      <w:r>
        <w:rPr>
          <w:rFonts w:ascii="Verdana" w:hAnsi="Verdana"/>
          <w:color w:val="000000"/>
          <w:sz w:val="18"/>
          <w:szCs w:val="18"/>
          <w:lang w:val="es-CO"/>
        </w:rPr>
        <w:t xml:space="preserve">exclusivo </w:t>
      </w:r>
      <w:r w:rsidRPr="00EC0BA8">
        <w:rPr>
          <w:rFonts w:ascii="Verdana" w:hAnsi="Verdana"/>
          <w:color w:val="000000"/>
          <w:sz w:val="18"/>
          <w:szCs w:val="18"/>
          <w:lang w:val="es-CO"/>
        </w:rPr>
        <w:t>en aplicación a la regla 138 Recursos Administrados- Plan de activos. Los valores agregados ascienden a la suma de $22.073,8 para 2023 y $20.776,7 para 2022.</w:t>
      </w:r>
    </w:p>
    <w:p w:rsidR="00937767" w:rsidRPr="00EC0BA8" w:rsidRDefault="00937767" w:rsidP="00937767">
      <w:pPr>
        <w:pStyle w:val="Textoindependiente"/>
        <w:jc w:val="both"/>
        <w:rPr>
          <w:rFonts w:ascii="Verdana" w:hAnsi="Verdana"/>
          <w:lang w:val="es-CO"/>
        </w:rPr>
      </w:pPr>
    </w:p>
    <w:p w:rsidR="00937767" w:rsidRPr="005F4247" w:rsidRDefault="00937767" w:rsidP="00937767">
      <w:pPr>
        <w:pStyle w:val="Textoindependiente"/>
        <w:ind w:left="-142"/>
        <w:jc w:val="both"/>
        <w:rPr>
          <w:rFonts w:ascii="Arial" w:hAnsi="Arial" w:cs="Arial"/>
          <w:color w:val="000000"/>
          <w:sz w:val="24"/>
          <w:lang w:val="es-CO"/>
        </w:rPr>
      </w:pPr>
      <w:r w:rsidRPr="005F4247">
        <w:rPr>
          <w:rFonts w:ascii="Arial" w:hAnsi="Arial" w:cs="Arial"/>
          <w:color w:val="000000"/>
          <w:sz w:val="24"/>
          <w:lang w:val="es-CO"/>
        </w:rPr>
        <w:t>Como se puede observar, al 31 de diciembre de 2023, el valor neto de las obligaciones por Beneficios a los empleados asciende a la suma de $643.747,9, de los cuales $663.573,5 corresponden al pasivo por Beneficios a los empleados y ($19.825,6) son los recursos que respaldan estas obligaciones, es decir, el total del Plan de activos.</w:t>
      </w:r>
    </w:p>
    <w:p w:rsidR="00937767" w:rsidRDefault="00937767" w:rsidP="00937767">
      <w:pPr>
        <w:ind w:left="-142"/>
        <w:jc w:val="both"/>
        <w:rPr>
          <w:rFonts w:ascii="Arial" w:hAnsi="Arial" w:cs="Arial"/>
        </w:rPr>
      </w:pPr>
    </w:p>
    <w:p w:rsidR="00937767" w:rsidRPr="00FE3B98" w:rsidRDefault="00937767" w:rsidP="00937767">
      <w:pPr>
        <w:ind w:left="-142"/>
        <w:jc w:val="both"/>
        <w:rPr>
          <w:rFonts w:ascii="Arial" w:hAnsi="Arial" w:cs="Arial"/>
          <w:b/>
          <w:sz w:val="28"/>
          <w:szCs w:val="28"/>
        </w:rPr>
      </w:pPr>
      <w:r w:rsidRPr="00FE3B98">
        <w:rPr>
          <w:rFonts w:ascii="Arial" w:hAnsi="Arial" w:cs="Arial"/>
          <w:b/>
          <w:sz w:val="28"/>
          <w:szCs w:val="28"/>
        </w:rPr>
        <w:t>NOTA 24</w:t>
      </w:r>
      <w:r>
        <w:rPr>
          <w:rFonts w:ascii="Arial" w:hAnsi="Arial" w:cs="Arial"/>
          <w:b/>
          <w:sz w:val="28"/>
          <w:szCs w:val="28"/>
        </w:rPr>
        <w:t>.-</w:t>
      </w:r>
      <w:r w:rsidRPr="00FE3B98">
        <w:rPr>
          <w:rFonts w:ascii="Arial" w:hAnsi="Arial" w:cs="Arial"/>
          <w:b/>
          <w:sz w:val="28"/>
          <w:szCs w:val="28"/>
        </w:rPr>
        <w:t xml:space="preserve"> PROVISIONES.</w:t>
      </w:r>
    </w:p>
    <w:p w:rsidR="00937767" w:rsidRDefault="00937767" w:rsidP="00937767">
      <w:pPr>
        <w:ind w:left="-142"/>
        <w:jc w:val="both"/>
        <w:rPr>
          <w:rFonts w:ascii="Arial" w:hAnsi="Arial" w:cs="Arial"/>
        </w:rPr>
      </w:pPr>
    </w:p>
    <w:p w:rsidR="00937767" w:rsidRDefault="00937767" w:rsidP="00937767">
      <w:pPr>
        <w:pStyle w:val="Descripcin"/>
        <w:jc w:val="center"/>
        <w:rPr>
          <w:rFonts w:ascii="Arial" w:hAnsi="Arial" w:cs="Arial"/>
          <w:color w:val="auto"/>
          <w:sz w:val="24"/>
          <w:szCs w:val="24"/>
        </w:rPr>
      </w:pPr>
      <w:bookmarkStart w:id="102" w:name="_Toc166618932"/>
      <w:r w:rsidRPr="00FE3B98">
        <w:rPr>
          <w:rFonts w:ascii="Arial" w:hAnsi="Arial" w:cs="Arial"/>
          <w:color w:val="auto"/>
          <w:sz w:val="24"/>
          <w:szCs w:val="24"/>
        </w:rPr>
        <w:t xml:space="preserve">Tabla </w:t>
      </w:r>
      <w:r w:rsidRPr="00FE3B98">
        <w:rPr>
          <w:rFonts w:ascii="Arial" w:hAnsi="Arial" w:cs="Arial"/>
          <w:color w:val="auto"/>
          <w:sz w:val="24"/>
          <w:szCs w:val="24"/>
        </w:rPr>
        <w:fldChar w:fldCharType="begin"/>
      </w:r>
      <w:r w:rsidRPr="00FE3B98">
        <w:rPr>
          <w:rFonts w:ascii="Arial" w:hAnsi="Arial" w:cs="Arial"/>
          <w:color w:val="auto"/>
          <w:sz w:val="24"/>
          <w:szCs w:val="24"/>
        </w:rPr>
        <w:instrText xml:space="preserve"> STYLEREF 1 \s </w:instrText>
      </w:r>
      <w:r w:rsidRPr="00FE3B98">
        <w:rPr>
          <w:rFonts w:ascii="Arial" w:hAnsi="Arial" w:cs="Arial"/>
          <w:color w:val="auto"/>
          <w:sz w:val="24"/>
          <w:szCs w:val="24"/>
        </w:rPr>
        <w:fldChar w:fldCharType="separate"/>
      </w:r>
      <w:r w:rsidRPr="00FE3B98">
        <w:rPr>
          <w:rFonts w:ascii="Arial" w:hAnsi="Arial" w:cs="Arial"/>
          <w:noProof/>
          <w:color w:val="auto"/>
          <w:sz w:val="24"/>
          <w:szCs w:val="24"/>
        </w:rPr>
        <w:t>4</w:t>
      </w:r>
      <w:r w:rsidRPr="00FE3B98">
        <w:rPr>
          <w:rFonts w:ascii="Arial" w:hAnsi="Arial" w:cs="Arial"/>
          <w:noProof/>
          <w:color w:val="auto"/>
          <w:sz w:val="24"/>
          <w:szCs w:val="24"/>
        </w:rPr>
        <w:fldChar w:fldCharType="end"/>
      </w:r>
      <w:r w:rsidRPr="00FE3B98">
        <w:rPr>
          <w:rFonts w:ascii="Arial" w:hAnsi="Arial" w:cs="Arial"/>
          <w:color w:val="auto"/>
          <w:sz w:val="24"/>
          <w:szCs w:val="24"/>
        </w:rPr>
        <w:noBreakHyphen/>
      </w:r>
      <w:r w:rsidRPr="00FE3B98">
        <w:rPr>
          <w:rFonts w:ascii="Arial" w:hAnsi="Arial" w:cs="Arial"/>
          <w:color w:val="auto"/>
          <w:sz w:val="24"/>
          <w:szCs w:val="24"/>
        </w:rPr>
        <w:fldChar w:fldCharType="begin"/>
      </w:r>
      <w:r w:rsidRPr="00FE3B98">
        <w:rPr>
          <w:rFonts w:ascii="Arial" w:hAnsi="Arial" w:cs="Arial"/>
          <w:color w:val="auto"/>
          <w:sz w:val="24"/>
          <w:szCs w:val="24"/>
        </w:rPr>
        <w:instrText xml:space="preserve"> SEQ Tabla \* ARABIC \s 1 </w:instrText>
      </w:r>
      <w:r w:rsidRPr="00FE3B98">
        <w:rPr>
          <w:rFonts w:ascii="Arial" w:hAnsi="Arial" w:cs="Arial"/>
          <w:color w:val="auto"/>
          <w:sz w:val="24"/>
          <w:szCs w:val="24"/>
        </w:rPr>
        <w:fldChar w:fldCharType="separate"/>
      </w:r>
      <w:r w:rsidRPr="00FE3B98">
        <w:rPr>
          <w:rFonts w:ascii="Arial" w:hAnsi="Arial" w:cs="Arial"/>
          <w:noProof/>
          <w:color w:val="auto"/>
          <w:sz w:val="24"/>
          <w:szCs w:val="24"/>
        </w:rPr>
        <w:t>86</w:t>
      </w:r>
      <w:r w:rsidRPr="00FE3B98">
        <w:rPr>
          <w:rFonts w:ascii="Arial" w:hAnsi="Arial" w:cs="Arial"/>
          <w:noProof/>
          <w:color w:val="auto"/>
          <w:sz w:val="24"/>
          <w:szCs w:val="24"/>
        </w:rPr>
        <w:fldChar w:fldCharType="end"/>
      </w:r>
      <w:r w:rsidRPr="00FE3B98">
        <w:rPr>
          <w:rFonts w:ascii="Arial" w:hAnsi="Arial" w:cs="Arial"/>
          <w:color w:val="auto"/>
          <w:sz w:val="24"/>
          <w:szCs w:val="24"/>
        </w:rPr>
        <w:t xml:space="preserve"> Provisiones (PROV) – Composición</w:t>
      </w:r>
      <w:bookmarkEnd w:id="102"/>
    </w:p>
    <w:p w:rsidR="00937767" w:rsidRPr="00FE3B98" w:rsidRDefault="00937767" w:rsidP="00937767">
      <w:pPr>
        <w:rPr>
          <w:lang w:val="es-CO" w:eastAsia="en-US"/>
        </w:rPr>
      </w:pPr>
    </w:p>
    <w:p w:rsidR="00937767" w:rsidRPr="007577A3" w:rsidRDefault="00937767" w:rsidP="00937767">
      <w:r w:rsidRPr="00306507">
        <w:rPr>
          <w:noProof/>
          <w:lang w:val="es-CO" w:eastAsia="es-CO"/>
        </w:rPr>
        <w:lastRenderedPageBreak/>
        <w:drawing>
          <wp:inline distT="0" distB="0" distL="0" distR="0" wp14:anchorId="6DCC417C" wp14:editId="4FF91374">
            <wp:extent cx="5943600" cy="1541145"/>
            <wp:effectExtent l="0" t="0" r="0" b="1905"/>
            <wp:docPr id="1406275256" name="Imagen 140627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541145"/>
                    </a:xfrm>
                    <a:prstGeom prst="rect">
                      <a:avLst/>
                    </a:prstGeom>
                    <a:noFill/>
                    <a:ln>
                      <a:noFill/>
                    </a:ln>
                  </pic:spPr>
                </pic:pic>
              </a:graphicData>
            </a:graphic>
          </wp:inline>
        </w:drawing>
      </w:r>
    </w:p>
    <w:p w:rsidR="00937767" w:rsidRPr="008B24A3" w:rsidRDefault="00937767" w:rsidP="00937767">
      <w:pPr>
        <w:pStyle w:val="Textoindependiente"/>
        <w:jc w:val="both"/>
        <w:rPr>
          <w:rFonts w:ascii="Montserrat Medium" w:hAnsi="Montserrat Medium"/>
        </w:rPr>
      </w:pPr>
    </w:p>
    <w:p w:rsidR="00937767" w:rsidRPr="00FE3B98" w:rsidRDefault="00937767" w:rsidP="00937767">
      <w:pPr>
        <w:pStyle w:val="Textoindependiente"/>
        <w:ind w:left="-142"/>
        <w:jc w:val="both"/>
        <w:rPr>
          <w:rFonts w:ascii="Arial" w:hAnsi="Arial" w:cs="Arial"/>
          <w:sz w:val="24"/>
        </w:rPr>
      </w:pPr>
      <w:r w:rsidRPr="00FE3B98">
        <w:rPr>
          <w:rFonts w:ascii="Arial" w:hAnsi="Arial" w:cs="Arial"/>
          <w:sz w:val="24"/>
        </w:rPr>
        <w:t>Como se observa, al 31 de diciembre de 2023, el grupo de Provisiones alcanzó la suma agregada de $94.383,1. Una vez ejecutado el proceso de consolidación, no se presenta efecto neto de eliminaciones y reclasificaciones. Además, el valor consolidado del grupo presenta un incremento de $7.088,8 comparado con el año 2022. Dentro de este grupo, el concepto de Provisiones diversas registra la mayor variación absoluta por valor de $3.912,9, lo que implica una variación porcentual de 21,1%.</w:t>
      </w:r>
    </w:p>
    <w:p w:rsidR="00937767" w:rsidRDefault="00937767" w:rsidP="00937767">
      <w:pPr>
        <w:ind w:left="-142"/>
        <w:jc w:val="both"/>
        <w:rPr>
          <w:rFonts w:ascii="Arial" w:hAnsi="Arial" w:cs="Arial"/>
        </w:rPr>
      </w:pPr>
    </w:p>
    <w:p w:rsidR="00937767" w:rsidRPr="00FE3B98" w:rsidRDefault="00937767" w:rsidP="00937767">
      <w:pPr>
        <w:pStyle w:val="Textoindependiente"/>
        <w:ind w:left="-142"/>
        <w:jc w:val="both"/>
        <w:rPr>
          <w:rFonts w:ascii="Arial" w:eastAsiaTheme="minorHAnsi" w:hAnsi="Arial" w:cs="Arial"/>
          <w:b/>
          <w:sz w:val="28"/>
          <w:szCs w:val="28"/>
          <w:lang w:val="es-CO"/>
        </w:rPr>
      </w:pPr>
      <w:r w:rsidRPr="00FE3B98">
        <w:rPr>
          <w:rFonts w:ascii="Arial" w:eastAsiaTheme="minorHAnsi" w:hAnsi="Arial" w:cs="Arial"/>
          <w:b/>
          <w:sz w:val="28"/>
          <w:szCs w:val="28"/>
          <w:lang w:val="es-CO"/>
        </w:rPr>
        <w:t>PROV</w:t>
      </w:r>
      <w:r>
        <w:rPr>
          <w:rFonts w:ascii="Arial" w:eastAsiaTheme="minorHAnsi" w:hAnsi="Arial" w:cs="Arial"/>
          <w:b/>
          <w:sz w:val="28"/>
          <w:szCs w:val="28"/>
          <w:lang w:val="es-CO"/>
        </w:rPr>
        <w:t>ISIONES</w:t>
      </w:r>
      <w:r w:rsidRPr="00FE3B98">
        <w:rPr>
          <w:rFonts w:ascii="Arial" w:eastAsiaTheme="minorHAnsi" w:hAnsi="Arial" w:cs="Arial"/>
          <w:b/>
          <w:sz w:val="28"/>
          <w:szCs w:val="28"/>
          <w:lang w:val="es-CO"/>
        </w:rPr>
        <w:t xml:space="preserve"> – ENTIDADES MÁS REPRESENTATIVAS</w:t>
      </w:r>
    </w:p>
    <w:p w:rsidR="00937767" w:rsidRPr="00FE3B98" w:rsidRDefault="00937767" w:rsidP="00937767">
      <w:pPr>
        <w:pStyle w:val="Textoindependiente"/>
        <w:ind w:left="-142"/>
        <w:jc w:val="both"/>
        <w:rPr>
          <w:rFonts w:ascii="Arial" w:hAnsi="Arial" w:cs="Arial"/>
          <w:b/>
          <w:sz w:val="28"/>
          <w:szCs w:val="28"/>
        </w:rPr>
      </w:pPr>
    </w:p>
    <w:p w:rsidR="00937767" w:rsidRDefault="00937767" w:rsidP="00937767">
      <w:pPr>
        <w:pStyle w:val="Textoindependiente"/>
        <w:ind w:left="-142"/>
        <w:jc w:val="both"/>
        <w:rPr>
          <w:rFonts w:ascii="Verdana" w:hAnsi="Verdana"/>
        </w:rPr>
      </w:pPr>
      <w:bookmarkStart w:id="103" w:name="_Hlk133822408"/>
      <w:r w:rsidRPr="004C2564">
        <w:rPr>
          <w:rFonts w:ascii="Verdana" w:hAnsi="Verdana"/>
        </w:rPr>
        <w:t>En la siguiente tabla, se presenta la conformación del saldo consolidado del grupo Provisiones cuyo monto es de $</w:t>
      </w:r>
      <w:bookmarkEnd w:id="103"/>
      <w:r w:rsidRPr="004C2564">
        <w:rPr>
          <w:rFonts w:ascii="Verdana" w:hAnsi="Verdana"/>
        </w:rPr>
        <w:t>94.383,1 para el período de análisis y se listan las entidades que registran los mayores valores en los conceptos de mayor importancia relativa, a saber: Litigios y demandas, Provisiones diversas, Provisión para seguros y reaseguros y Provisión fondos de garantías.</w:t>
      </w:r>
    </w:p>
    <w:p w:rsidR="00937767" w:rsidRPr="00FE3B98" w:rsidRDefault="00937767" w:rsidP="00937767">
      <w:pPr>
        <w:ind w:left="-142"/>
        <w:jc w:val="center"/>
        <w:rPr>
          <w:rFonts w:ascii="Arial" w:hAnsi="Arial" w:cs="Arial"/>
        </w:rPr>
      </w:pPr>
    </w:p>
    <w:p w:rsidR="00937767" w:rsidRDefault="00937767" w:rsidP="00937767">
      <w:pPr>
        <w:pStyle w:val="Descripcin"/>
        <w:jc w:val="center"/>
        <w:rPr>
          <w:rFonts w:ascii="Arial" w:hAnsi="Arial" w:cs="Arial"/>
          <w:color w:val="auto"/>
          <w:sz w:val="24"/>
          <w:szCs w:val="24"/>
        </w:rPr>
      </w:pPr>
      <w:bookmarkStart w:id="104" w:name="_Toc166618933"/>
      <w:r w:rsidRPr="00FE3B98">
        <w:rPr>
          <w:rFonts w:ascii="Arial" w:hAnsi="Arial" w:cs="Arial"/>
          <w:color w:val="auto"/>
          <w:sz w:val="24"/>
          <w:szCs w:val="24"/>
        </w:rPr>
        <w:t xml:space="preserve">Tabla </w:t>
      </w:r>
      <w:r w:rsidRPr="00FE3B98">
        <w:rPr>
          <w:rFonts w:ascii="Arial" w:hAnsi="Arial" w:cs="Arial"/>
          <w:color w:val="auto"/>
          <w:sz w:val="24"/>
          <w:szCs w:val="24"/>
        </w:rPr>
        <w:fldChar w:fldCharType="begin"/>
      </w:r>
      <w:r w:rsidRPr="00FE3B98">
        <w:rPr>
          <w:rFonts w:ascii="Arial" w:hAnsi="Arial" w:cs="Arial"/>
          <w:color w:val="auto"/>
          <w:sz w:val="24"/>
          <w:szCs w:val="24"/>
        </w:rPr>
        <w:instrText xml:space="preserve"> STYLEREF 1 \s </w:instrText>
      </w:r>
      <w:r w:rsidRPr="00FE3B98">
        <w:rPr>
          <w:rFonts w:ascii="Arial" w:hAnsi="Arial" w:cs="Arial"/>
          <w:color w:val="auto"/>
          <w:sz w:val="24"/>
          <w:szCs w:val="24"/>
        </w:rPr>
        <w:fldChar w:fldCharType="separate"/>
      </w:r>
      <w:r w:rsidRPr="00FE3B98">
        <w:rPr>
          <w:rFonts w:ascii="Arial" w:hAnsi="Arial" w:cs="Arial"/>
          <w:noProof/>
          <w:color w:val="auto"/>
          <w:sz w:val="24"/>
          <w:szCs w:val="24"/>
        </w:rPr>
        <w:t>4</w:t>
      </w:r>
      <w:r w:rsidRPr="00FE3B98">
        <w:rPr>
          <w:rFonts w:ascii="Arial" w:hAnsi="Arial" w:cs="Arial"/>
          <w:noProof/>
          <w:color w:val="auto"/>
          <w:sz w:val="24"/>
          <w:szCs w:val="24"/>
        </w:rPr>
        <w:fldChar w:fldCharType="end"/>
      </w:r>
      <w:r w:rsidRPr="00FE3B98">
        <w:rPr>
          <w:rFonts w:ascii="Arial" w:hAnsi="Arial" w:cs="Arial"/>
          <w:color w:val="auto"/>
          <w:sz w:val="24"/>
          <w:szCs w:val="24"/>
        </w:rPr>
        <w:noBreakHyphen/>
      </w:r>
      <w:r w:rsidRPr="00FE3B98">
        <w:rPr>
          <w:rFonts w:ascii="Arial" w:hAnsi="Arial" w:cs="Arial"/>
          <w:color w:val="auto"/>
          <w:sz w:val="24"/>
          <w:szCs w:val="24"/>
        </w:rPr>
        <w:fldChar w:fldCharType="begin"/>
      </w:r>
      <w:r w:rsidRPr="00FE3B98">
        <w:rPr>
          <w:rFonts w:ascii="Arial" w:hAnsi="Arial" w:cs="Arial"/>
          <w:color w:val="auto"/>
          <w:sz w:val="24"/>
          <w:szCs w:val="24"/>
        </w:rPr>
        <w:instrText xml:space="preserve"> SEQ Tabla \* ARABIC \s 1 </w:instrText>
      </w:r>
      <w:r w:rsidRPr="00FE3B98">
        <w:rPr>
          <w:rFonts w:ascii="Arial" w:hAnsi="Arial" w:cs="Arial"/>
          <w:color w:val="auto"/>
          <w:sz w:val="24"/>
          <w:szCs w:val="24"/>
        </w:rPr>
        <w:fldChar w:fldCharType="separate"/>
      </w:r>
      <w:r w:rsidRPr="00FE3B98">
        <w:rPr>
          <w:rFonts w:ascii="Arial" w:hAnsi="Arial" w:cs="Arial"/>
          <w:noProof/>
          <w:color w:val="auto"/>
          <w:sz w:val="24"/>
          <w:szCs w:val="24"/>
        </w:rPr>
        <w:t>87</w:t>
      </w:r>
      <w:r w:rsidRPr="00FE3B98">
        <w:rPr>
          <w:rFonts w:ascii="Arial" w:hAnsi="Arial" w:cs="Arial"/>
          <w:noProof/>
          <w:color w:val="auto"/>
          <w:sz w:val="24"/>
          <w:szCs w:val="24"/>
        </w:rPr>
        <w:fldChar w:fldCharType="end"/>
      </w:r>
      <w:r w:rsidRPr="00FE3B98">
        <w:rPr>
          <w:rFonts w:ascii="Arial" w:hAnsi="Arial" w:cs="Arial"/>
          <w:color w:val="auto"/>
          <w:sz w:val="24"/>
          <w:szCs w:val="24"/>
        </w:rPr>
        <w:t xml:space="preserve"> PROV – Entidades más representativas</w:t>
      </w:r>
      <w:bookmarkEnd w:id="104"/>
    </w:p>
    <w:p w:rsidR="00937767" w:rsidRPr="00FE3B98" w:rsidRDefault="00937767" w:rsidP="00937767">
      <w:pPr>
        <w:rPr>
          <w:lang w:val="es-CO" w:eastAsia="en-US"/>
        </w:rPr>
      </w:pPr>
    </w:p>
    <w:p w:rsidR="00937767" w:rsidRPr="00266C79" w:rsidRDefault="00937767" w:rsidP="00937767">
      <w:r w:rsidRPr="00DF65E3">
        <w:rPr>
          <w:noProof/>
          <w:lang w:val="es-CO" w:eastAsia="es-CO"/>
        </w:rPr>
        <w:drawing>
          <wp:inline distT="0" distB="0" distL="0" distR="0" wp14:anchorId="216C2814" wp14:editId="4D4A4010">
            <wp:extent cx="5943600" cy="3521075"/>
            <wp:effectExtent l="0" t="0" r="0" b="3175"/>
            <wp:docPr id="1038203879" name="Imagen 103820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521075"/>
                    </a:xfrm>
                    <a:prstGeom prst="rect">
                      <a:avLst/>
                    </a:prstGeom>
                    <a:noFill/>
                    <a:ln>
                      <a:noFill/>
                    </a:ln>
                  </pic:spPr>
                </pic:pic>
              </a:graphicData>
            </a:graphic>
          </wp:inline>
        </w:drawing>
      </w:r>
    </w:p>
    <w:p w:rsidR="00937767" w:rsidRPr="008B24A3" w:rsidRDefault="00937767" w:rsidP="00937767">
      <w:pPr>
        <w:ind w:right="4"/>
        <w:jc w:val="both"/>
        <w:rPr>
          <w:sz w:val="18"/>
          <w:szCs w:val="18"/>
        </w:rPr>
      </w:pPr>
      <w:r>
        <w:rPr>
          <w:sz w:val="18"/>
          <w:szCs w:val="18"/>
        </w:rPr>
        <w:lastRenderedPageBreak/>
        <w:t>*</w:t>
      </w:r>
      <w:r w:rsidRPr="008B24A3">
        <w:rPr>
          <w:sz w:val="18"/>
          <w:szCs w:val="18"/>
        </w:rPr>
        <w:t xml:space="preserve">En la clasificación “Resto de Entidades que reportan” se reflejan los saldos reportados por las </w:t>
      </w:r>
      <w:r>
        <w:rPr>
          <w:sz w:val="18"/>
          <w:szCs w:val="18"/>
        </w:rPr>
        <w:t>d</w:t>
      </w:r>
      <w:r w:rsidRPr="008B24A3">
        <w:rPr>
          <w:sz w:val="18"/>
          <w:szCs w:val="18"/>
        </w:rPr>
        <w:t>emás entidades, los cuales analizados individualmente son inferiores a los reportados por las entidades más representativas.</w:t>
      </w:r>
    </w:p>
    <w:p w:rsidR="00937767" w:rsidRPr="000C5552" w:rsidRDefault="00937767" w:rsidP="00937767">
      <w:pPr>
        <w:pStyle w:val="Textoindependiente"/>
        <w:jc w:val="both"/>
        <w:rPr>
          <w:rFonts w:ascii="Montserrat Medium" w:hAnsi="Montserrat Medium"/>
          <w:lang w:val="es-CO"/>
        </w:rPr>
      </w:pPr>
    </w:p>
    <w:p w:rsidR="00937767" w:rsidRPr="00FE3B98" w:rsidRDefault="00937767" w:rsidP="00937767">
      <w:pPr>
        <w:ind w:left="-142"/>
        <w:jc w:val="both"/>
        <w:rPr>
          <w:rFonts w:ascii="Arial" w:hAnsi="Arial" w:cs="Arial"/>
        </w:rPr>
      </w:pPr>
      <w:r w:rsidRPr="00FE3B98">
        <w:rPr>
          <w:rFonts w:ascii="Arial" w:hAnsi="Arial" w:cs="Arial"/>
        </w:rPr>
        <w:t>Teniendo en cuenta que para el año 2023 el universo de entidades consolidadas del nivel nacional fue de 350, es importante mencionar que: 232 entidades reportaron saldos en la cuenta Litigios y demandas; 80 en Provisiones diversas; 4 en Servicios y tecnologías en salud; 4 en Provisión fondos de garantías; 3 en Garantías; y 2 en Provisión para seguros y reaseguros.</w:t>
      </w:r>
    </w:p>
    <w:p w:rsidR="00937767" w:rsidRDefault="00937767" w:rsidP="00937767">
      <w:pPr>
        <w:ind w:left="-284"/>
        <w:jc w:val="both"/>
        <w:rPr>
          <w:rFonts w:ascii="Arial" w:hAnsi="Arial" w:cs="Arial"/>
        </w:rPr>
      </w:pPr>
    </w:p>
    <w:p w:rsidR="00937767" w:rsidRPr="006A3824" w:rsidRDefault="00937767" w:rsidP="00937767">
      <w:pPr>
        <w:ind w:left="-142"/>
        <w:jc w:val="both"/>
        <w:rPr>
          <w:rFonts w:ascii="Arial" w:hAnsi="Arial" w:cs="Arial"/>
          <w:b/>
          <w:sz w:val="28"/>
          <w:szCs w:val="28"/>
        </w:rPr>
      </w:pPr>
      <w:r w:rsidRPr="006A3824">
        <w:rPr>
          <w:rFonts w:ascii="Arial" w:hAnsi="Arial" w:cs="Arial"/>
          <w:b/>
          <w:sz w:val="28"/>
          <w:szCs w:val="28"/>
        </w:rPr>
        <w:t>NOTA 25.- OTROS PASIVOS.</w:t>
      </w:r>
    </w:p>
    <w:p w:rsidR="00937767" w:rsidRDefault="00937767" w:rsidP="00937767">
      <w:pPr>
        <w:ind w:left="-284"/>
        <w:jc w:val="both"/>
        <w:rPr>
          <w:rFonts w:ascii="Arial" w:hAnsi="Arial" w:cs="Arial"/>
          <w:b/>
          <w:sz w:val="28"/>
          <w:szCs w:val="28"/>
        </w:rPr>
      </w:pPr>
    </w:p>
    <w:p w:rsidR="00937767" w:rsidRPr="00C60B76" w:rsidRDefault="00937767" w:rsidP="00937767">
      <w:pPr>
        <w:ind w:left="-142"/>
        <w:jc w:val="both"/>
        <w:rPr>
          <w:rFonts w:ascii="Arial" w:hAnsi="Arial" w:cs="Arial"/>
          <w:b/>
          <w:sz w:val="28"/>
          <w:szCs w:val="28"/>
        </w:rPr>
      </w:pPr>
      <w:r w:rsidRPr="00C60B76">
        <w:rPr>
          <w:rFonts w:ascii="Arial" w:hAnsi="Arial" w:cs="Arial"/>
        </w:rPr>
        <w:t>Como se observa en la tabla siguiente, al 31 de diciembre de 2023, el grupo de Otros pasivos alcanzó la suma agregada de $169.988,5. Una vez ejecutado el proceso de consolidación, se presenta el efecto neto de eliminaciones y reclasificaciones por ($31.879,8), obteniendo un saldo final consolidado de $138.108,7, que representa</w:t>
      </w:r>
    </w:p>
    <w:p w:rsidR="00937767" w:rsidRPr="00C60B76" w:rsidRDefault="00937767" w:rsidP="00937767">
      <w:pPr>
        <w:pStyle w:val="Descripcin"/>
        <w:ind w:left="-142"/>
        <w:rPr>
          <w:rFonts w:ascii="Arial" w:hAnsi="Arial" w:cs="Arial"/>
        </w:rPr>
      </w:pPr>
    </w:p>
    <w:p w:rsidR="00937767" w:rsidRDefault="00937767" w:rsidP="00937767">
      <w:pPr>
        <w:pStyle w:val="Descripcin"/>
        <w:jc w:val="center"/>
        <w:rPr>
          <w:rFonts w:ascii="Arial" w:hAnsi="Arial" w:cs="Arial"/>
          <w:color w:val="auto"/>
          <w:sz w:val="24"/>
          <w:szCs w:val="24"/>
        </w:rPr>
      </w:pPr>
      <w:r w:rsidRPr="00C60B76">
        <w:rPr>
          <w:rFonts w:ascii="Arial" w:hAnsi="Arial" w:cs="Arial"/>
          <w:color w:val="auto"/>
          <w:sz w:val="24"/>
          <w:szCs w:val="24"/>
        </w:rPr>
        <w:t xml:space="preserve">Tabla </w:t>
      </w:r>
      <w:r w:rsidRPr="00C60B76">
        <w:rPr>
          <w:rFonts w:ascii="Arial" w:hAnsi="Arial" w:cs="Arial"/>
          <w:color w:val="auto"/>
          <w:sz w:val="24"/>
          <w:szCs w:val="24"/>
        </w:rPr>
        <w:fldChar w:fldCharType="begin"/>
      </w:r>
      <w:r w:rsidRPr="00C60B76">
        <w:rPr>
          <w:rFonts w:ascii="Arial" w:hAnsi="Arial" w:cs="Arial"/>
          <w:color w:val="auto"/>
          <w:sz w:val="24"/>
          <w:szCs w:val="24"/>
        </w:rPr>
        <w:instrText xml:space="preserve"> STYLEREF 1 \s </w:instrText>
      </w:r>
      <w:r w:rsidRPr="00C60B76">
        <w:rPr>
          <w:rFonts w:ascii="Arial" w:hAnsi="Arial" w:cs="Arial"/>
          <w:color w:val="auto"/>
          <w:sz w:val="24"/>
          <w:szCs w:val="24"/>
        </w:rPr>
        <w:fldChar w:fldCharType="separate"/>
      </w:r>
      <w:r w:rsidRPr="00C60B76">
        <w:rPr>
          <w:rFonts w:ascii="Arial" w:hAnsi="Arial" w:cs="Arial"/>
          <w:noProof/>
          <w:color w:val="auto"/>
          <w:sz w:val="24"/>
          <w:szCs w:val="24"/>
        </w:rPr>
        <w:t>4</w:t>
      </w:r>
      <w:r w:rsidRPr="00C60B76">
        <w:rPr>
          <w:rFonts w:ascii="Arial" w:hAnsi="Arial" w:cs="Arial"/>
          <w:noProof/>
          <w:color w:val="auto"/>
          <w:sz w:val="24"/>
          <w:szCs w:val="24"/>
        </w:rPr>
        <w:fldChar w:fldCharType="end"/>
      </w:r>
      <w:r w:rsidRPr="00C60B76">
        <w:rPr>
          <w:rFonts w:ascii="Arial" w:hAnsi="Arial" w:cs="Arial"/>
          <w:color w:val="auto"/>
          <w:sz w:val="24"/>
          <w:szCs w:val="24"/>
        </w:rPr>
        <w:noBreakHyphen/>
      </w:r>
      <w:r w:rsidRPr="00C60B76">
        <w:rPr>
          <w:rFonts w:ascii="Arial" w:hAnsi="Arial" w:cs="Arial"/>
          <w:color w:val="auto"/>
          <w:sz w:val="24"/>
          <w:szCs w:val="24"/>
        </w:rPr>
        <w:fldChar w:fldCharType="begin"/>
      </w:r>
      <w:r w:rsidRPr="00C60B76">
        <w:rPr>
          <w:rFonts w:ascii="Arial" w:hAnsi="Arial" w:cs="Arial"/>
          <w:color w:val="auto"/>
          <w:sz w:val="24"/>
          <w:szCs w:val="24"/>
        </w:rPr>
        <w:instrText xml:space="preserve"> SEQ Tabla \* ARABIC \s 1 </w:instrText>
      </w:r>
      <w:r w:rsidRPr="00C60B76">
        <w:rPr>
          <w:rFonts w:ascii="Arial" w:hAnsi="Arial" w:cs="Arial"/>
          <w:color w:val="auto"/>
          <w:sz w:val="24"/>
          <w:szCs w:val="24"/>
        </w:rPr>
        <w:fldChar w:fldCharType="separate"/>
      </w:r>
      <w:r w:rsidRPr="00C60B76">
        <w:rPr>
          <w:rFonts w:ascii="Arial" w:hAnsi="Arial" w:cs="Arial"/>
          <w:noProof/>
          <w:color w:val="auto"/>
          <w:sz w:val="24"/>
          <w:szCs w:val="24"/>
        </w:rPr>
        <w:t>88</w:t>
      </w:r>
      <w:r w:rsidRPr="00C60B76">
        <w:rPr>
          <w:rFonts w:ascii="Arial" w:hAnsi="Arial" w:cs="Arial"/>
          <w:noProof/>
          <w:color w:val="auto"/>
          <w:sz w:val="24"/>
          <w:szCs w:val="24"/>
        </w:rPr>
        <w:fldChar w:fldCharType="end"/>
      </w:r>
      <w:r w:rsidRPr="00C60B76">
        <w:rPr>
          <w:rFonts w:ascii="Arial" w:hAnsi="Arial" w:cs="Arial"/>
          <w:color w:val="auto"/>
          <w:sz w:val="24"/>
          <w:szCs w:val="24"/>
        </w:rPr>
        <w:t xml:space="preserve"> Otros pasivos (OTPAS)– Composición</w:t>
      </w:r>
    </w:p>
    <w:p w:rsidR="00937767" w:rsidRPr="00C60B76" w:rsidRDefault="00937767" w:rsidP="00937767">
      <w:pPr>
        <w:rPr>
          <w:lang w:val="es-CO" w:eastAsia="en-US"/>
        </w:rPr>
      </w:pPr>
    </w:p>
    <w:p w:rsidR="00937767" w:rsidRPr="00D01059" w:rsidRDefault="00937767" w:rsidP="00937767">
      <w:pPr>
        <w:widowControl w:val="0"/>
        <w:autoSpaceDE w:val="0"/>
        <w:autoSpaceDN w:val="0"/>
        <w:contextualSpacing/>
        <w:jc w:val="center"/>
      </w:pPr>
      <w:r w:rsidRPr="00D01059">
        <w:rPr>
          <w:noProof/>
          <w:lang w:val="es-CO" w:eastAsia="es-CO"/>
        </w:rPr>
        <w:drawing>
          <wp:inline distT="0" distB="0" distL="0" distR="0" wp14:anchorId="34887384" wp14:editId="71C4504A">
            <wp:extent cx="5943600" cy="2048620"/>
            <wp:effectExtent l="0" t="0" r="0" b="0"/>
            <wp:docPr id="4629183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502"/>
                    <a:stretch/>
                  </pic:blipFill>
                  <pic:spPr bwMode="auto">
                    <a:xfrm>
                      <a:off x="0" y="0"/>
                      <a:ext cx="5943600" cy="2048620"/>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Default="00937767" w:rsidP="00937767">
      <w:pPr>
        <w:pStyle w:val="Descripcin"/>
        <w:rPr>
          <w:rFonts w:ascii="Arial" w:hAnsi="Arial" w:cs="Arial"/>
          <w:b/>
          <w:color w:val="auto"/>
          <w:sz w:val="28"/>
          <w:szCs w:val="28"/>
        </w:rPr>
      </w:pPr>
      <w:bookmarkStart w:id="105" w:name="_Toc166618934"/>
      <w:bookmarkEnd w:id="105"/>
    </w:p>
    <w:p w:rsidR="00937767" w:rsidRPr="00FF27BE" w:rsidRDefault="00937767" w:rsidP="00937767">
      <w:pPr>
        <w:pStyle w:val="Descripcin"/>
        <w:ind w:left="-142"/>
        <w:rPr>
          <w:rFonts w:ascii="Arial" w:hAnsi="Arial" w:cs="Arial"/>
          <w:b/>
          <w:color w:val="auto"/>
          <w:sz w:val="28"/>
          <w:szCs w:val="28"/>
        </w:rPr>
      </w:pPr>
      <w:r w:rsidRPr="00FF27BE">
        <w:rPr>
          <w:rFonts w:ascii="Arial" w:hAnsi="Arial" w:cs="Arial"/>
          <w:b/>
          <w:color w:val="auto"/>
          <w:sz w:val="28"/>
          <w:szCs w:val="28"/>
        </w:rPr>
        <w:t>NOTA 26.- ACTIVOS Y PASIVOS CONTINGENTES.</w:t>
      </w:r>
    </w:p>
    <w:p w:rsidR="00937767" w:rsidRDefault="00937767" w:rsidP="00937767">
      <w:pPr>
        <w:rPr>
          <w:lang w:val="es-CO" w:eastAsia="en-US"/>
        </w:rPr>
      </w:pPr>
    </w:p>
    <w:p w:rsidR="00937767" w:rsidRPr="002B18DB" w:rsidRDefault="00937767" w:rsidP="00937767">
      <w:pPr>
        <w:ind w:left="-142"/>
        <w:rPr>
          <w:rFonts w:ascii="Arial" w:hAnsi="Arial" w:cs="Arial"/>
          <w:b/>
          <w:sz w:val="28"/>
          <w:szCs w:val="28"/>
          <w:lang w:val="es-CO" w:eastAsia="en-US"/>
        </w:rPr>
      </w:pPr>
      <w:r w:rsidRPr="002B18DB">
        <w:rPr>
          <w:rFonts w:ascii="Arial" w:hAnsi="Arial" w:cs="Arial"/>
          <w:b/>
          <w:sz w:val="28"/>
          <w:szCs w:val="28"/>
          <w:lang w:val="es-CO" w:eastAsia="en-US"/>
        </w:rPr>
        <w:t>Nota 26 – 1.- ACTIVOS CONTINGENTES.</w:t>
      </w:r>
    </w:p>
    <w:p w:rsidR="00937767" w:rsidRDefault="00937767" w:rsidP="00937767">
      <w:pPr>
        <w:rPr>
          <w:lang w:val="es-CO" w:eastAsia="en-US"/>
        </w:rPr>
      </w:pPr>
    </w:p>
    <w:p w:rsidR="00937767" w:rsidRDefault="00937767" w:rsidP="00937767">
      <w:pPr>
        <w:pStyle w:val="Descripcin"/>
        <w:jc w:val="center"/>
        <w:rPr>
          <w:rFonts w:ascii="Arial" w:hAnsi="Arial" w:cs="Arial"/>
          <w:color w:val="auto"/>
          <w:sz w:val="24"/>
          <w:szCs w:val="24"/>
        </w:rPr>
      </w:pPr>
      <w:bookmarkStart w:id="106" w:name="_Toc166618937"/>
      <w:r w:rsidRPr="00635CE1">
        <w:rPr>
          <w:rFonts w:ascii="Arial" w:hAnsi="Arial" w:cs="Arial"/>
          <w:color w:val="auto"/>
          <w:sz w:val="24"/>
          <w:szCs w:val="24"/>
        </w:rPr>
        <w:t xml:space="preserve">Tabla </w:t>
      </w:r>
      <w:r w:rsidRPr="00635CE1">
        <w:rPr>
          <w:rFonts w:ascii="Arial" w:hAnsi="Arial" w:cs="Arial"/>
          <w:color w:val="auto"/>
          <w:sz w:val="24"/>
          <w:szCs w:val="24"/>
        </w:rPr>
        <w:fldChar w:fldCharType="begin"/>
      </w:r>
      <w:r w:rsidRPr="00635CE1">
        <w:rPr>
          <w:rFonts w:ascii="Arial" w:hAnsi="Arial" w:cs="Arial"/>
          <w:color w:val="auto"/>
          <w:sz w:val="24"/>
          <w:szCs w:val="24"/>
        </w:rPr>
        <w:instrText xml:space="preserve"> STYLEREF 1 \s </w:instrText>
      </w:r>
      <w:r w:rsidRPr="00635CE1">
        <w:rPr>
          <w:rFonts w:ascii="Arial" w:hAnsi="Arial" w:cs="Arial"/>
          <w:color w:val="auto"/>
          <w:sz w:val="24"/>
          <w:szCs w:val="24"/>
        </w:rPr>
        <w:fldChar w:fldCharType="separate"/>
      </w:r>
      <w:r w:rsidRPr="00635CE1">
        <w:rPr>
          <w:rFonts w:ascii="Arial" w:hAnsi="Arial" w:cs="Arial"/>
          <w:noProof/>
          <w:color w:val="auto"/>
          <w:sz w:val="24"/>
          <w:szCs w:val="24"/>
        </w:rPr>
        <w:t>4</w:t>
      </w:r>
      <w:r w:rsidRPr="00635CE1">
        <w:rPr>
          <w:rFonts w:ascii="Arial" w:hAnsi="Arial" w:cs="Arial"/>
          <w:noProof/>
          <w:color w:val="auto"/>
          <w:sz w:val="24"/>
          <w:szCs w:val="24"/>
        </w:rPr>
        <w:fldChar w:fldCharType="end"/>
      </w:r>
      <w:r w:rsidRPr="00635CE1">
        <w:rPr>
          <w:rFonts w:ascii="Arial" w:hAnsi="Arial" w:cs="Arial"/>
          <w:color w:val="auto"/>
          <w:sz w:val="24"/>
          <w:szCs w:val="24"/>
        </w:rPr>
        <w:noBreakHyphen/>
      </w:r>
      <w:r w:rsidRPr="00635CE1">
        <w:rPr>
          <w:rFonts w:ascii="Arial" w:hAnsi="Arial" w:cs="Arial"/>
          <w:color w:val="auto"/>
          <w:sz w:val="24"/>
          <w:szCs w:val="24"/>
        </w:rPr>
        <w:fldChar w:fldCharType="begin"/>
      </w:r>
      <w:r w:rsidRPr="00635CE1">
        <w:rPr>
          <w:rFonts w:ascii="Arial" w:hAnsi="Arial" w:cs="Arial"/>
          <w:color w:val="auto"/>
          <w:sz w:val="24"/>
          <w:szCs w:val="24"/>
        </w:rPr>
        <w:instrText xml:space="preserve"> SEQ Tabla \* ARABIC \s 1 </w:instrText>
      </w:r>
      <w:r w:rsidRPr="00635CE1">
        <w:rPr>
          <w:rFonts w:ascii="Arial" w:hAnsi="Arial" w:cs="Arial"/>
          <w:color w:val="auto"/>
          <w:sz w:val="24"/>
          <w:szCs w:val="24"/>
        </w:rPr>
        <w:fldChar w:fldCharType="separate"/>
      </w:r>
      <w:r w:rsidRPr="00635CE1">
        <w:rPr>
          <w:rFonts w:ascii="Arial" w:hAnsi="Arial" w:cs="Arial"/>
          <w:noProof/>
          <w:color w:val="auto"/>
          <w:sz w:val="24"/>
          <w:szCs w:val="24"/>
        </w:rPr>
        <w:t>91</w:t>
      </w:r>
      <w:r w:rsidRPr="00635CE1">
        <w:rPr>
          <w:rFonts w:ascii="Arial" w:hAnsi="Arial" w:cs="Arial"/>
          <w:noProof/>
          <w:color w:val="auto"/>
          <w:sz w:val="24"/>
          <w:szCs w:val="24"/>
        </w:rPr>
        <w:fldChar w:fldCharType="end"/>
      </w:r>
      <w:r w:rsidRPr="00635CE1">
        <w:rPr>
          <w:rFonts w:ascii="Arial" w:hAnsi="Arial" w:cs="Arial"/>
          <w:color w:val="auto"/>
          <w:sz w:val="24"/>
          <w:szCs w:val="24"/>
        </w:rPr>
        <w:t xml:space="preserve"> Activos contingentes (ACON) – Composición</w:t>
      </w:r>
      <w:bookmarkEnd w:id="106"/>
    </w:p>
    <w:p w:rsidR="00937767" w:rsidRPr="00635CE1" w:rsidRDefault="00937767" w:rsidP="00937767">
      <w:pPr>
        <w:rPr>
          <w:lang w:val="es-CO" w:eastAsia="en-US"/>
        </w:rPr>
      </w:pPr>
    </w:p>
    <w:p w:rsidR="00937767" w:rsidRPr="00386B2C" w:rsidRDefault="00937767" w:rsidP="00937767">
      <w:pPr>
        <w:pStyle w:val="Textoindependiente"/>
        <w:jc w:val="both"/>
        <w:rPr>
          <w:rFonts w:ascii="Verdana" w:hAnsi="Verdana"/>
          <w:color w:val="000000" w:themeColor="text1"/>
          <w:sz w:val="20"/>
          <w:szCs w:val="20"/>
        </w:rPr>
      </w:pPr>
      <w:r w:rsidRPr="00386B2C">
        <w:rPr>
          <w:rFonts w:ascii="Verdana" w:hAnsi="Verdana"/>
          <w:noProof/>
          <w:lang w:val="es-CO" w:eastAsia="es-CO"/>
        </w:rPr>
        <w:lastRenderedPageBreak/>
        <w:drawing>
          <wp:inline distT="0" distB="0" distL="0" distR="0" wp14:anchorId="13490FB6" wp14:editId="74EC7116">
            <wp:extent cx="5943600" cy="2178050"/>
            <wp:effectExtent l="0" t="0" r="0" b="0"/>
            <wp:docPr id="310885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178050"/>
                    </a:xfrm>
                    <a:prstGeom prst="rect">
                      <a:avLst/>
                    </a:prstGeom>
                    <a:noFill/>
                    <a:ln>
                      <a:noFill/>
                    </a:ln>
                  </pic:spPr>
                </pic:pic>
              </a:graphicData>
            </a:graphic>
          </wp:inline>
        </w:drawing>
      </w:r>
    </w:p>
    <w:p w:rsidR="00937767" w:rsidRPr="00386B2C" w:rsidRDefault="00937767" w:rsidP="00937767">
      <w:pPr>
        <w:jc w:val="both"/>
      </w:pPr>
    </w:p>
    <w:p w:rsidR="00937767" w:rsidRPr="007A5D8E" w:rsidRDefault="00937767" w:rsidP="00937767">
      <w:pPr>
        <w:ind w:left="-142"/>
        <w:jc w:val="both"/>
        <w:rPr>
          <w:rFonts w:ascii="Arial" w:hAnsi="Arial" w:cs="Arial"/>
        </w:rPr>
      </w:pPr>
      <w:r w:rsidRPr="007A5D8E">
        <w:rPr>
          <w:rFonts w:ascii="Arial" w:hAnsi="Arial" w:cs="Arial"/>
        </w:rPr>
        <w:t>Al 31 de diciembre del 2023, el grupo Activos contingentes del nivel nacional alcanzó la suma de $1.608.835,3.</w:t>
      </w:r>
    </w:p>
    <w:p w:rsidR="00937767" w:rsidRPr="00635CE1" w:rsidRDefault="00937767" w:rsidP="00937767">
      <w:pPr>
        <w:ind w:left="-142"/>
        <w:jc w:val="both"/>
        <w:rPr>
          <w:rFonts w:ascii="Arial" w:hAnsi="Arial" w:cs="Arial"/>
        </w:rPr>
      </w:pPr>
    </w:p>
    <w:p w:rsidR="00937767" w:rsidRDefault="00937767" w:rsidP="00937767">
      <w:pPr>
        <w:ind w:left="-142"/>
        <w:rPr>
          <w:rFonts w:ascii="Arial" w:hAnsi="Arial" w:cs="Arial"/>
          <w:b/>
          <w:sz w:val="28"/>
          <w:szCs w:val="28"/>
          <w:lang w:val="es-CO" w:eastAsia="en-US"/>
        </w:rPr>
      </w:pPr>
      <w:r w:rsidRPr="002B18DB">
        <w:rPr>
          <w:rFonts w:ascii="Arial" w:hAnsi="Arial" w:cs="Arial"/>
          <w:b/>
          <w:sz w:val="28"/>
          <w:szCs w:val="28"/>
          <w:lang w:val="es-CO" w:eastAsia="en-US"/>
        </w:rPr>
        <w:t>NOTA 26 -2.- PASIVOS CONTINGENTES.</w:t>
      </w:r>
    </w:p>
    <w:p w:rsidR="00937767" w:rsidRDefault="00937767" w:rsidP="00937767">
      <w:pPr>
        <w:ind w:left="-142"/>
        <w:rPr>
          <w:rFonts w:ascii="Arial" w:hAnsi="Arial" w:cs="Arial"/>
          <w:b/>
          <w:sz w:val="28"/>
          <w:szCs w:val="28"/>
          <w:lang w:val="es-CO" w:eastAsia="en-US"/>
        </w:rPr>
      </w:pPr>
    </w:p>
    <w:p w:rsidR="00937767" w:rsidRPr="00635CE1" w:rsidRDefault="00937767" w:rsidP="00937767">
      <w:pPr>
        <w:ind w:left="-142"/>
        <w:jc w:val="both"/>
        <w:rPr>
          <w:rFonts w:ascii="Arial" w:hAnsi="Arial" w:cs="Arial"/>
        </w:rPr>
      </w:pPr>
      <w:bookmarkStart w:id="107" w:name="_Toc166618939"/>
      <w:r w:rsidRPr="00635CE1">
        <w:rPr>
          <w:rFonts w:ascii="Arial" w:hAnsi="Arial" w:cs="Arial"/>
        </w:rPr>
        <w:t xml:space="preserve">Al 31 de diciembre del 2023 el consolidado del grupo Pasivos contingentes del nivel nacional alcanzó la suma de $14.349.219,2 que representa el 96,0% del valor de las Cuentas de orden acreedoras. </w:t>
      </w:r>
    </w:p>
    <w:p w:rsidR="00937767" w:rsidRPr="00635CE1" w:rsidRDefault="00937767" w:rsidP="00937767">
      <w:pPr>
        <w:ind w:left="-142"/>
        <w:rPr>
          <w:rFonts w:ascii="Arial" w:hAnsi="Arial" w:cs="Arial"/>
          <w:b/>
          <w:sz w:val="28"/>
          <w:szCs w:val="28"/>
          <w:lang w:val="es-CO" w:eastAsia="en-US"/>
        </w:rPr>
      </w:pPr>
    </w:p>
    <w:p w:rsidR="00937767" w:rsidRDefault="00937767" w:rsidP="00937767">
      <w:pPr>
        <w:pStyle w:val="Descripcin"/>
        <w:jc w:val="center"/>
        <w:rPr>
          <w:rFonts w:ascii="Arial" w:hAnsi="Arial" w:cs="Arial"/>
          <w:color w:val="auto"/>
          <w:sz w:val="24"/>
          <w:szCs w:val="24"/>
        </w:rPr>
      </w:pPr>
      <w:r w:rsidRPr="00635CE1">
        <w:rPr>
          <w:rFonts w:ascii="Arial" w:hAnsi="Arial" w:cs="Arial"/>
          <w:color w:val="auto"/>
          <w:sz w:val="24"/>
          <w:szCs w:val="24"/>
        </w:rPr>
        <w:t xml:space="preserve">Tabla </w:t>
      </w:r>
      <w:r w:rsidRPr="00635CE1">
        <w:rPr>
          <w:rFonts w:ascii="Arial" w:hAnsi="Arial" w:cs="Arial"/>
          <w:color w:val="auto"/>
          <w:sz w:val="24"/>
          <w:szCs w:val="24"/>
        </w:rPr>
        <w:fldChar w:fldCharType="begin"/>
      </w:r>
      <w:r w:rsidRPr="00635CE1">
        <w:rPr>
          <w:rFonts w:ascii="Arial" w:hAnsi="Arial" w:cs="Arial"/>
          <w:color w:val="auto"/>
          <w:sz w:val="24"/>
          <w:szCs w:val="24"/>
        </w:rPr>
        <w:instrText xml:space="preserve"> STYLEREF 1 \s </w:instrText>
      </w:r>
      <w:r w:rsidRPr="00635CE1">
        <w:rPr>
          <w:rFonts w:ascii="Arial" w:hAnsi="Arial" w:cs="Arial"/>
          <w:color w:val="auto"/>
          <w:sz w:val="24"/>
          <w:szCs w:val="24"/>
        </w:rPr>
        <w:fldChar w:fldCharType="separate"/>
      </w:r>
      <w:r w:rsidRPr="00635CE1">
        <w:rPr>
          <w:rFonts w:ascii="Arial" w:hAnsi="Arial" w:cs="Arial"/>
          <w:noProof/>
          <w:color w:val="auto"/>
          <w:sz w:val="24"/>
          <w:szCs w:val="24"/>
        </w:rPr>
        <w:t>4</w:t>
      </w:r>
      <w:r w:rsidRPr="00635CE1">
        <w:rPr>
          <w:rFonts w:ascii="Arial" w:hAnsi="Arial" w:cs="Arial"/>
          <w:noProof/>
          <w:color w:val="auto"/>
          <w:sz w:val="24"/>
          <w:szCs w:val="24"/>
        </w:rPr>
        <w:fldChar w:fldCharType="end"/>
      </w:r>
      <w:r w:rsidRPr="00635CE1">
        <w:rPr>
          <w:rFonts w:ascii="Arial" w:hAnsi="Arial" w:cs="Arial"/>
          <w:color w:val="auto"/>
          <w:sz w:val="24"/>
          <w:szCs w:val="24"/>
        </w:rPr>
        <w:noBreakHyphen/>
      </w:r>
      <w:r w:rsidRPr="00635CE1">
        <w:rPr>
          <w:rFonts w:ascii="Arial" w:hAnsi="Arial" w:cs="Arial"/>
          <w:color w:val="auto"/>
          <w:sz w:val="24"/>
          <w:szCs w:val="24"/>
        </w:rPr>
        <w:fldChar w:fldCharType="begin"/>
      </w:r>
      <w:r w:rsidRPr="00635CE1">
        <w:rPr>
          <w:rFonts w:ascii="Arial" w:hAnsi="Arial" w:cs="Arial"/>
          <w:color w:val="auto"/>
          <w:sz w:val="24"/>
          <w:szCs w:val="24"/>
        </w:rPr>
        <w:instrText xml:space="preserve"> SEQ Tabla \* ARABIC \s 1 </w:instrText>
      </w:r>
      <w:r w:rsidRPr="00635CE1">
        <w:rPr>
          <w:rFonts w:ascii="Arial" w:hAnsi="Arial" w:cs="Arial"/>
          <w:color w:val="auto"/>
          <w:sz w:val="24"/>
          <w:szCs w:val="24"/>
        </w:rPr>
        <w:fldChar w:fldCharType="separate"/>
      </w:r>
      <w:r w:rsidRPr="00635CE1">
        <w:rPr>
          <w:rFonts w:ascii="Arial" w:hAnsi="Arial" w:cs="Arial"/>
          <w:noProof/>
          <w:color w:val="auto"/>
          <w:sz w:val="24"/>
          <w:szCs w:val="24"/>
        </w:rPr>
        <w:t>93</w:t>
      </w:r>
      <w:r w:rsidRPr="00635CE1">
        <w:rPr>
          <w:rFonts w:ascii="Arial" w:hAnsi="Arial" w:cs="Arial"/>
          <w:noProof/>
          <w:color w:val="auto"/>
          <w:sz w:val="24"/>
          <w:szCs w:val="24"/>
        </w:rPr>
        <w:fldChar w:fldCharType="end"/>
      </w:r>
      <w:r w:rsidRPr="00635CE1">
        <w:rPr>
          <w:rFonts w:ascii="Arial" w:hAnsi="Arial" w:cs="Arial"/>
          <w:color w:val="auto"/>
          <w:sz w:val="24"/>
          <w:szCs w:val="24"/>
        </w:rPr>
        <w:t xml:space="preserve"> Pasivos contingentes (PACON) – Composición</w:t>
      </w:r>
      <w:bookmarkEnd w:id="107"/>
    </w:p>
    <w:p w:rsidR="00937767" w:rsidRPr="00635CE1" w:rsidRDefault="00937767" w:rsidP="00937767">
      <w:pPr>
        <w:rPr>
          <w:lang w:val="es-CO" w:eastAsia="en-US"/>
        </w:rPr>
      </w:pPr>
    </w:p>
    <w:p w:rsidR="00937767" w:rsidRPr="00C56D0F" w:rsidRDefault="00937767" w:rsidP="00937767">
      <w:pPr>
        <w:pStyle w:val="Textoindependiente"/>
        <w:jc w:val="both"/>
        <w:rPr>
          <w:rFonts w:ascii="Verdana" w:hAnsi="Verdana"/>
          <w:color w:val="000000" w:themeColor="text1"/>
          <w:sz w:val="20"/>
          <w:szCs w:val="20"/>
          <w:lang w:val="es-CO"/>
        </w:rPr>
      </w:pPr>
      <w:r w:rsidRPr="00CF16DB">
        <w:rPr>
          <w:noProof/>
          <w:lang w:val="es-CO" w:eastAsia="es-CO"/>
        </w:rPr>
        <w:drawing>
          <wp:inline distT="0" distB="0" distL="0" distR="0" wp14:anchorId="2DBB4D22" wp14:editId="058AD9D0">
            <wp:extent cx="5943600" cy="2807970"/>
            <wp:effectExtent l="0" t="0" r="0" b="0"/>
            <wp:docPr id="18859706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807970"/>
                    </a:xfrm>
                    <a:prstGeom prst="rect">
                      <a:avLst/>
                    </a:prstGeom>
                    <a:noFill/>
                    <a:ln>
                      <a:noFill/>
                    </a:ln>
                  </pic:spPr>
                </pic:pic>
              </a:graphicData>
            </a:graphic>
          </wp:inline>
        </w:drawing>
      </w:r>
    </w:p>
    <w:p w:rsidR="00937767" w:rsidRDefault="00937767" w:rsidP="00937767">
      <w:pPr>
        <w:jc w:val="both"/>
      </w:pPr>
    </w:p>
    <w:p w:rsidR="00937767" w:rsidRPr="00C51A8C" w:rsidRDefault="00937767" w:rsidP="00937767">
      <w:pPr>
        <w:jc w:val="both"/>
        <w:rPr>
          <w:rFonts w:ascii="Arial" w:hAnsi="Arial" w:cs="Arial"/>
          <w:b/>
          <w:sz w:val="28"/>
          <w:szCs w:val="28"/>
        </w:rPr>
      </w:pPr>
      <w:r w:rsidRPr="00C51A8C">
        <w:rPr>
          <w:rFonts w:ascii="Arial" w:hAnsi="Arial" w:cs="Arial"/>
          <w:b/>
          <w:sz w:val="28"/>
          <w:szCs w:val="28"/>
        </w:rPr>
        <w:t>NOTA 27.- CUENTAS DE CONTROL DEUDORAS Y ACREEDORAS.</w:t>
      </w:r>
    </w:p>
    <w:p w:rsidR="00937767" w:rsidRDefault="00937767" w:rsidP="00937767">
      <w:pPr>
        <w:jc w:val="both"/>
      </w:pPr>
    </w:p>
    <w:p w:rsidR="00937767" w:rsidRDefault="00937767" w:rsidP="00937767">
      <w:pPr>
        <w:pStyle w:val="Descripcin"/>
        <w:jc w:val="center"/>
        <w:rPr>
          <w:rFonts w:ascii="Arial" w:hAnsi="Arial" w:cs="Arial"/>
          <w:color w:val="000000" w:themeColor="text1"/>
          <w:sz w:val="24"/>
          <w:szCs w:val="24"/>
        </w:rPr>
      </w:pPr>
      <w:bookmarkStart w:id="108" w:name="_Toc166618941"/>
      <w:r w:rsidRPr="0074768C">
        <w:rPr>
          <w:rFonts w:ascii="Arial" w:hAnsi="Arial" w:cs="Arial"/>
          <w:color w:val="000000" w:themeColor="text1"/>
          <w:sz w:val="24"/>
          <w:szCs w:val="24"/>
        </w:rPr>
        <w:t xml:space="preserve">Tabla </w:t>
      </w:r>
      <w:r w:rsidRPr="0074768C">
        <w:rPr>
          <w:rFonts w:ascii="Arial" w:hAnsi="Arial" w:cs="Arial"/>
          <w:color w:val="000000" w:themeColor="text1"/>
          <w:sz w:val="24"/>
          <w:szCs w:val="24"/>
        </w:rPr>
        <w:fldChar w:fldCharType="begin"/>
      </w:r>
      <w:r w:rsidRPr="0074768C">
        <w:rPr>
          <w:rFonts w:ascii="Arial" w:hAnsi="Arial" w:cs="Arial"/>
          <w:color w:val="000000" w:themeColor="text1"/>
          <w:sz w:val="24"/>
          <w:szCs w:val="24"/>
        </w:rPr>
        <w:instrText xml:space="preserve"> STYLEREF 1 \s </w:instrText>
      </w:r>
      <w:r w:rsidRPr="0074768C">
        <w:rPr>
          <w:rFonts w:ascii="Arial" w:hAnsi="Arial" w:cs="Arial"/>
          <w:color w:val="000000" w:themeColor="text1"/>
          <w:sz w:val="24"/>
          <w:szCs w:val="24"/>
        </w:rPr>
        <w:fldChar w:fldCharType="separate"/>
      </w:r>
      <w:r w:rsidRPr="0074768C">
        <w:rPr>
          <w:rFonts w:ascii="Arial" w:hAnsi="Arial" w:cs="Arial"/>
          <w:noProof/>
          <w:color w:val="000000" w:themeColor="text1"/>
          <w:sz w:val="24"/>
          <w:szCs w:val="24"/>
        </w:rPr>
        <w:t>4</w:t>
      </w:r>
      <w:r w:rsidRPr="0074768C">
        <w:rPr>
          <w:rFonts w:ascii="Arial" w:hAnsi="Arial" w:cs="Arial"/>
          <w:noProof/>
          <w:color w:val="000000" w:themeColor="text1"/>
          <w:sz w:val="24"/>
          <w:szCs w:val="24"/>
        </w:rPr>
        <w:fldChar w:fldCharType="end"/>
      </w:r>
      <w:r w:rsidRPr="0074768C">
        <w:rPr>
          <w:rFonts w:ascii="Arial" w:hAnsi="Arial" w:cs="Arial"/>
          <w:color w:val="000000" w:themeColor="text1"/>
          <w:sz w:val="24"/>
          <w:szCs w:val="24"/>
        </w:rPr>
        <w:noBreakHyphen/>
      </w:r>
      <w:r w:rsidRPr="0074768C">
        <w:rPr>
          <w:rFonts w:ascii="Arial" w:hAnsi="Arial" w:cs="Arial"/>
          <w:color w:val="000000" w:themeColor="text1"/>
          <w:sz w:val="24"/>
          <w:szCs w:val="24"/>
        </w:rPr>
        <w:fldChar w:fldCharType="begin"/>
      </w:r>
      <w:r w:rsidRPr="0074768C">
        <w:rPr>
          <w:rFonts w:ascii="Arial" w:hAnsi="Arial" w:cs="Arial"/>
          <w:color w:val="000000" w:themeColor="text1"/>
          <w:sz w:val="24"/>
          <w:szCs w:val="24"/>
        </w:rPr>
        <w:instrText xml:space="preserve"> SEQ Tabla \* ARABIC \s 1 </w:instrText>
      </w:r>
      <w:r w:rsidRPr="0074768C">
        <w:rPr>
          <w:rFonts w:ascii="Arial" w:hAnsi="Arial" w:cs="Arial"/>
          <w:color w:val="000000" w:themeColor="text1"/>
          <w:sz w:val="24"/>
          <w:szCs w:val="24"/>
        </w:rPr>
        <w:fldChar w:fldCharType="separate"/>
      </w:r>
      <w:r w:rsidRPr="0074768C">
        <w:rPr>
          <w:rFonts w:ascii="Arial" w:hAnsi="Arial" w:cs="Arial"/>
          <w:noProof/>
          <w:color w:val="000000" w:themeColor="text1"/>
          <w:sz w:val="24"/>
          <w:szCs w:val="24"/>
        </w:rPr>
        <w:t>95</w:t>
      </w:r>
      <w:r w:rsidRPr="0074768C">
        <w:rPr>
          <w:rFonts w:ascii="Arial" w:hAnsi="Arial" w:cs="Arial"/>
          <w:noProof/>
          <w:color w:val="000000" w:themeColor="text1"/>
          <w:sz w:val="24"/>
          <w:szCs w:val="24"/>
        </w:rPr>
        <w:fldChar w:fldCharType="end"/>
      </w:r>
      <w:r w:rsidRPr="0074768C">
        <w:rPr>
          <w:rFonts w:ascii="Arial" w:hAnsi="Arial" w:cs="Arial"/>
          <w:color w:val="000000" w:themeColor="text1"/>
          <w:sz w:val="24"/>
          <w:szCs w:val="24"/>
        </w:rPr>
        <w:t xml:space="preserve"> Otras cuentas de orden deudoras y acreedoras (OCCDA) </w:t>
      </w:r>
      <w:r>
        <w:rPr>
          <w:rFonts w:ascii="Arial" w:hAnsi="Arial" w:cs="Arial"/>
          <w:color w:val="000000" w:themeColor="text1"/>
          <w:sz w:val="24"/>
          <w:szCs w:val="24"/>
        </w:rPr>
        <w:t>–</w:t>
      </w:r>
      <w:r w:rsidRPr="0074768C">
        <w:rPr>
          <w:rFonts w:ascii="Arial" w:hAnsi="Arial" w:cs="Arial"/>
          <w:color w:val="000000" w:themeColor="text1"/>
          <w:sz w:val="24"/>
          <w:szCs w:val="24"/>
        </w:rPr>
        <w:t xml:space="preserve"> Composición</w:t>
      </w:r>
      <w:bookmarkEnd w:id="108"/>
    </w:p>
    <w:p w:rsidR="00937767" w:rsidRPr="0074768C" w:rsidRDefault="00937767" w:rsidP="00937767">
      <w:pPr>
        <w:rPr>
          <w:lang w:val="es-CO" w:eastAsia="en-US"/>
        </w:rPr>
      </w:pPr>
    </w:p>
    <w:p w:rsidR="00937767" w:rsidRPr="0029789B" w:rsidRDefault="00937767" w:rsidP="00937767">
      <w:pPr>
        <w:contextualSpacing/>
        <w:jc w:val="center"/>
      </w:pPr>
      <w:r w:rsidRPr="0029789B">
        <w:rPr>
          <w:noProof/>
          <w:lang w:val="es-CO" w:eastAsia="es-CO"/>
        </w:rPr>
        <w:lastRenderedPageBreak/>
        <w:drawing>
          <wp:inline distT="0" distB="0" distL="0" distR="0" wp14:anchorId="3AD2A67A" wp14:editId="3E496CB7">
            <wp:extent cx="5943600" cy="1174115"/>
            <wp:effectExtent l="0" t="0" r="0" b="6985"/>
            <wp:docPr id="11524729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0199"/>
                    <a:stretch/>
                  </pic:blipFill>
                  <pic:spPr bwMode="auto">
                    <a:xfrm>
                      <a:off x="0" y="0"/>
                      <a:ext cx="5943600" cy="1174115"/>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29789B" w:rsidRDefault="00937767" w:rsidP="00937767">
      <w:pPr>
        <w:contextualSpacing/>
        <w:jc w:val="both"/>
      </w:pPr>
    </w:p>
    <w:p w:rsidR="00937767" w:rsidRPr="0074768C" w:rsidRDefault="00937767" w:rsidP="00937767">
      <w:pPr>
        <w:jc w:val="both"/>
        <w:rPr>
          <w:rFonts w:ascii="Arial" w:hAnsi="Arial" w:cs="Arial"/>
        </w:rPr>
      </w:pPr>
      <w:r w:rsidRPr="0074768C">
        <w:rPr>
          <w:rFonts w:ascii="Arial" w:hAnsi="Arial" w:cs="Arial"/>
        </w:rPr>
        <w:t>Como se observa, al 31 de diciembre de 2023, el valor consolidado del grupo Deudoras de control fue de $416.456,1, lo que representa una disminución de ($9.693,0), lo que equivale a una variación del (2,3%) frente a su saldo del año anterior, que era de $426.149,1,</w:t>
      </w:r>
    </w:p>
    <w:p w:rsidR="00937767" w:rsidRPr="0074768C" w:rsidRDefault="00937767" w:rsidP="00937767">
      <w:pPr>
        <w:jc w:val="both"/>
        <w:rPr>
          <w:rFonts w:ascii="Arial" w:hAnsi="Arial" w:cs="Arial"/>
        </w:rPr>
      </w:pPr>
    </w:p>
    <w:p w:rsidR="00937767" w:rsidRDefault="00937767" w:rsidP="00937767">
      <w:pPr>
        <w:jc w:val="both"/>
        <w:rPr>
          <w:rFonts w:ascii="Arial" w:hAnsi="Arial" w:cs="Arial"/>
        </w:rPr>
      </w:pPr>
      <w:r w:rsidRPr="0074768C">
        <w:rPr>
          <w:rFonts w:ascii="Arial" w:hAnsi="Arial" w:cs="Arial"/>
        </w:rPr>
        <w:t>Como se observa en la tabla previa, al 31 de diciembre de 2023, el valor consolidado del grupo Acreedoras de control fue de $586.029,0, lo que representa una disminución de ($6.479,6), equivalente a una disminución del (1,1%) frente a su saldo del año anterior, que era de $592.508,6.</w:t>
      </w:r>
    </w:p>
    <w:p w:rsidR="00937767" w:rsidRDefault="00937767" w:rsidP="00937767">
      <w:pPr>
        <w:jc w:val="both"/>
        <w:rPr>
          <w:rFonts w:ascii="Arial" w:hAnsi="Arial" w:cs="Arial"/>
        </w:rPr>
      </w:pPr>
    </w:p>
    <w:p w:rsidR="00937767" w:rsidRPr="0074768C" w:rsidRDefault="00937767" w:rsidP="00937767">
      <w:pPr>
        <w:jc w:val="both"/>
        <w:rPr>
          <w:rFonts w:ascii="Arial" w:hAnsi="Arial" w:cs="Arial"/>
          <w:lang w:val="es-CO"/>
        </w:rPr>
      </w:pPr>
      <w:r w:rsidRPr="0074768C">
        <w:rPr>
          <w:rFonts w:ascii="Arial" w:hAnsi="Arial" w:cs="Arial"/>
          <w:b/>
        </w:rPr>
        <w:t>Deudoras Fiscales</w:t>
      </w:r>
      <w:r w:rsidRPr="0074768C">
        <w:rPr>
          <w:rFonts w:ascii="Arial" w:hAnsi="Arial" w:cs="Arial"/>
        </w:rPr>
        <w:t xml:space="preserve">: </w:t>
      </w:r>
      <w:r w:rsidRPr="0074768C">
        <w:rPr>
          <w:rFonts w:ascii="Arial" w:hAnsi="Arial" w:cs="Arial"/>
          <w:lang w:val="es-CO"/>
        </w:rPr>
        <w:t>Para la vigencia 2023, este grupo alcanzó una cifra de $71.330,7, con un incremento por valor de $883,6, lo que representa una variación del 1,3% frente al año anterior, cuando tenía un saldo de $70.447,1.</w:t>
      </w:r>
    </w:p>
    <w:p w:rsidR="00937767" w:rsidRPr="0074768C" w:rsidRDefault="00937767" w:rsidP="00937767">
      <w:pPr>
        <w:jc w:val="both"/>
        <w:rPr>
          <w:rFonts w:ascii="Arial" w:hAnsi="Arial" w:cs="Arial"/>
          <w:lang w:val="es-CO"/>
        </w:rPr>
      </w:pPr>
    </w:p>
    <w:p w:rsidR="00937767" w:rsidRDefault="00937767" w:rsidP="00937767">
      <w:pPr>
        <w:jc w:val="both"/>
        <w:rPr>
          <w:rFonts w:ascii="Arial" w:hAnsi="Arial" w:cs="Arial"/>
        </w:rPr>
      </w:pPr>
      <w:r w:rsidRPr="0074768C">
        <w:rPr>
          <w:rFonts w:ascii="Arial" w:hAnsi="Arial" w:cs="Arial"/>
          <w:b/>
          <w:lang w:val="es-CO"/>
        </w:rPr>
        <w:t>Acreedoras fiscales</w:t>
      </w:r>
      <w:r w:rsidRPr="0074768C">
        <w:rPr>
          <w:rFonts w:ascii="Arial" w:hAnsi="Arial" w:cs="Arial"/>
          <w:lang w:val="es-CO"/>
        </w:rPr>
        <w:t xml:space="preserve">: </w:t>
      </w:r>
      <w:r w:rsidRPr="0074768C">
        <w:rPr>
          <w:rFonts w:ascii="Arial" w:hAnsi="Arial" w:cs="Arial"/>
        </w:rPr>
        <w:t>Para la vigencia 2023, este grupo tiene un saldo de $4.548,7, lo que refleja un aumento por valor de $551,9, lo que implica una variación del 13,8% frente al año anterior, cuando tenía un saldo de $3.996,8.</w:t>
      </w:r>
    </w:p>
    <w:p w:rsidR="00937767" w:rsidRDefault="00937767" w:rsidP="00937767">
      <w:pPr>
        <w:jc w:val="both"/>
        <w:rPr>
          <w:rFonts w:ascii="Arial" w:hAnsi="Arial" w:cs="Arial"/>
        </w:rPr>
      </w:pPr>
    </w:p>
    <w:p w:rsidR="00937767" w:rsidRDefault="00937767" w:rsidP="00937767">
      <w:pPr>
        <w:jc w:val="both"/>
        <w:rPr>
          <w:rFonts w:ascii="Arial" w:hAnsi="Arial" w:cs="Arial"/>
          <w:b/>
          <w:sz w:val="28"/>
          <w:szCs w:val="28"/>
        </w:rPr>
      </w:pPr>
      <w:r>
        <w:rPr>
          <w:rFonts w:ascii="Arial" w:hAnsi="Arial" w:cs="Arial"/>
          <w:b/>
          <w:sz w:val="28"/>
          <w:szCs w:val="28"/>
        </w:rPr>
        <w:t>NOTA 28.- PATRIMONIO.</w:t>
      </w:r>
    </w:p>
    <w:p w:rsidR="00937767" w:rsidRDefault="00937767" w:rsidP="00937767">
      <w:pPr>
        <w:jc w:val="both"/>
        <w:rPr>
          <w:rFonts w:ascii="Arial" w:hAnsi="Arial" w:cs="Arial"/>
          <w:b/>
          <w:sz w:val="28"/>
          <w:szCs w:val="28"/>
        </w:rPr>
      </w:pPr>
    </w:p>
    <w:p w:rsidR="00937767" w:rsidRDefault="00937767" w:rsidP="00937767">
      <w:pPr>
        <w:pStyle w:val="Descripcin"/>
        <w:jc w:val="center"/>
        <w:rPr>
          <w:rFonts w:ascii="Arial" w:hAnsi="Arial" w:cs="Arial"/>
          <w:color w:val="000000" w:themeColor="text1"/>
          <w:sz w:val="24"/>
          <w:szCs w:val="24"/>
        </w:rPr>
      </w:pPr>
      <w:bookmarkStart w:id="109" w:name="_Toc166618948"/>
      <w:r w:rsidRPr="001605BA">
        <w:rPr>
          <w:rFonts w:ascii="Arial" w:hAnsi="Arial" w:cs="Arial"/>
          <w:color w:val="000000" w:themeColor="text1"/>
          <w:sz w:val="24"/>
          <w:szCs w:val="24"/>
        </w:rPr>
        <w:t xml:space="preserve">Tabla </w:t>
      </w:r>
      <w:r w:rsidRPr="001605BA">
        <w:rPr>
          <w:rFonts w:ascii="Arial" w:hAnsi="Arial" w:cs="Arial"/>
          <w:color w:val="000000" w:themeColor="text1"/>
          <w:sz w:val="24"/>
          <w:szCs w:val="24"/>
        </w:rPr>
        <w:fldChar w:fldCharType="begin"/>
      </w:r>
      <w:r w:rsidRPr="001605BA">
        <w:rPr>
          <w:rFonts w:ascii="Arial" w:hAnsi="Arial" w:cs="Arial"/>
          <w:color w:val="000000" w:themeColor="text1"/>
          <w:sz w:val="24"/>
          <w:szCs w:val="24"/>
        </w:rPr>
        <w:instrText xml:space="preserve"> STYLEREF 1 \s </w:instrText>
      </w:r>
      <w:r w:rsidRPr="001605BA">
        <w:rPr>
          <w:rFonts w:ascii="Arial" w:hAnsi="Arial" w:cs="Arial"/>
          <w:color w:val="000000" w:themeColor="text1"/>
          <w:sz w:val="24"/>
          <w:szCs w:val="24"/>
        </w:rPr>
        <w:fldChar w:fldCharType="separate"/>
      </w:r>
      <w:r w:rsidRPr="001605BA">
        <w:rPr>
          <w:rFonts w:ascii="Arial" w:hAnsi="Arial" w:cs="Arial"/>
          <w:noProof/>
          <w:color w:val="000000" w:themeColor="text1"/>
          <w:sz w:val="24"/>
          <w:szCs w:val="24"/>
        </w:rPr>
        <w:t>4</w:t>
      </w:r>
      <w:r w:rsidRPr="001605BA">
        <w:rPr>
          <w:rFonts w:ascii="Arial" w:hAnsi="Arial" w:cs="Arial"/>
          <w:noProof/>
          <w:color w:val="000000" w:themeColor="text1"/>
          <w:sz w:val="24"/>
          <w:szCs w:val="24"/>
        </w:rPr>
        <w:fldChar w:fldCharType="end"/>
      </w:r>
      <w:r w:rsidRPr="001605BA">
        <w:rPr>
          <w:rFonts w:ascii="Arial" w:hAnsi="Arial" w:cs="Arial"/>
          <w:color w:val="000000" w:themeColor="text1"/>
          <w:sz w:val="24"/>
          <w:szCs w:val="24"/>
        </w:rPr>
        <w:noBreakHyphen/>
      </w:r>
      <w:r w:rsidRPr="001605BA">
        <w:rPr>
          <w:rFonts w:ascii="Arial" w:hAnsi="Arial" w:cs="Arial"/>
          <w:color w:val="000000" w:themeColor="text1"/>
          <w:sz w:val="24"/>
          <w:szCs w:val="24"/>
        </w:rPr>
        <w:fldChar w:fldCharType="begin"/>
      </w:r>
      <w:r w:rsidRPr="001605BA">
        <w:rPr>
          <w:rFonts w:ascii="Arial" w:hAnsi="Arial" w:cs="Arial"/>
          <w:color w:val="000000" w:themeColor="text1"/>
          <w:sz w:val="24"/>
          <w:szCs w:val="24"/>
        </w:rPr>
        <w:instrText xml:space="preserve"> SEQ Tabla \* ARABIC \s 1 </w:instrText>
      </w:r>
      <w:r w:rsidRPr="001605BA">
        <w:rPr>
          <w:rFonts w:ascii="Arial" w:hAnsi="Arial" w:cs="Arial"/>
          <w:color w:val="000000" w:themeColor="text1"/>
          <w:sz w:val="24"/>
          <w:szCs w:val="24"/>
        </w:rPr>
        <w:fldChar w:fldCharType="separate"/>
      </w:r>
      <w:r w:rsidRPr="001605BA">
        <w:rPr>
          <w:rFonts w:ascii="Arial" w:hAnsi="Arial" w:cs="Arial"/>
          <w:noProof/>
          <w:color w:val="000000" w:themeColor="text1"/>
          <w:sz w:val="24"/>
          <w:szCs w:val="24"/>
        </w:rPr>
        <w:t>102</w:t>
      </w:r>
      <w:r w:rsidRPr="001605BA">
        <w:rPr>
          <w:rFonts w:ascii="Arial" w:hAnsi="Arial" w:cs="Arial"/>
          <w:noProof/>
          <w:color w:val="000000" w:themeColor="text1"/>
          <w:sz w:val="24"/>
          <w:szCs w:val="24"/>
        </w:rPr>
        <w:fldChar w:fldCharType="end"/>
      </w:r>
      <w:r w:rsidRPr="001605BA">
        <w:rPr>
          <w:rFonts w:ascii="Arial" w:hAnsi="Arial" w:cs="Arial"/>
          <w:color w:val="000000" w:themeColor="text1"/>
          <w:sz w:val="24"/>
          <w:szCs w:val="24"/>
        </w:rPr>
        <w:t xml:space="preserve"> Patrimonio (PATR) – Composición</w:t>
      </w:r>
      <w:bookmarkEnd w:id="109"/>
    </w:p>
    <w:p w:rsidR="00937767" w:rsidRPr="001605BA" w:rsidRDefault="00937767" w:rsidP="00937767">
      <w:pPr>
        <w:rPr>
          <w:lang w:val="es-CO" w:eastAsia="en-US"/>
        </w:rPr>
      </w:pPr>
    </w:p>
    <w:p w:rsidR="00937767" w:rsidRPr="00A80FAD" w:rsidRDefault="00937767" w:rsidP="00937767">
      <w:pPr>
        <w:jc w:val="center"/>
      </w:pPr>
      <w:r w:rsidRPr="00A80FAD">
        <w:rPr>
          <w:noProof/>
          <w:lang w:val="es-CO" w:eastAsia="es-CO"/>
        </w:rPr>
        <w:drawing>
          <wp:inline distT="0" distB="0" distL="0" distR="0" wp14:anchorId="21DC6C84" wp14:editId="203BDB19">
            <wp:extent cx="5943600" cy="1286941"/>
            <wp:effectExtent l="0" t="0" r="0" b="8890"/>
            <wp:docPr id="1647768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8336"/>
                    <a:stretch/>
                  </pic:blipFill>
                  <pic:spPr bwMode="auto">
                    <a:xfrm>
                      <a:off x="0" y="0"/>
                      <a:ext cx="5943600" cy="1286941"/>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A80FAD" w:rsidRDefault="00937767" w:rsidP="00937767">
      <w:pPr>
        <w:jc w:val="both"/>
      </w:pPr>
    </w:p>
    <w:p w:rsidR="00937767" w:rsidRDefault="00937767" w:rsidP="00937767">
      <w:pPr>
        <w:jc w:val="both"/>
        <w:rPr>
          <w:rFonts w:ascii="Arial" w:hAnsi="Arial" w:cs="Arial"/>
        </w:rPr>
      </w:pPr>
      <w:bookmarkStart w:id="110" w:name="_Hlk166172056"/>
      <w:r w:rsidRPr="001605BA">
        <w:rPr>
          <w:rFonts w:ascii="Arial" w:hAnsi="Arial" w:cs="Arial"/>
        </w:rPr>
        <w:t xml:space="preserve">Como se observa, al 31 de diciembre de 2023, </w:t>
      </w:r>
      <w:bookmarkEnd w:id="110"/>
      <w:r w:rsidRPr="001605BA">
        <w:rPr>
          <w:rFonts w:ascii="Arial" w:hAnsi="Arial" w:cs="Arial"/>
        </w:rPr>
        <w:t>el total agregado de Patrimonio refleja un saldo de ($1.123.207,0) experimentando una variación de ($283.331,4) respecto a la vigencia anterior. Tras el proceso de consolidación, se obtiene un saldo final consolidado del patrimonio por ($1.249.754</w:t>
      </w:r>
      <w:r>
        <w:rPr>
          <w:rFonts w:ascii="Arial" w:hAnsi="Arial" w:cs="Arial"/>
        </w:rPr>
        <w:t>.</w:t>
      </w:r>
    </w:p>
    <w:p w:rsidR="00937767" w:rsidRDefault="00937767" w:rsidP="00937767">
      <w:pPr>
        <w:jc w:val="both"/>
        <w:rPr>
          <w:rFonts w:ascii="Arial" w:hAnsi="Arial" w:cs="Arial"/>
        </w:rPr>
      </w:pPr>
    </w:p>
    <w:p w:rsidR="00937767" w:rsidRDefault="00937767" w:rsidP="00937767">
      <w:pPr>
        <w:jc w:val="both"/>
        <w:rPr>
          <w:rFonts w:ascii="Arial" w:hAnsi="Arial" w:cs="Arial"/>
          <w:b/>
          <w:sz w:val="28"/>
          <w:szCs w:val="28"/>
        </w:rPr>
      </w:pPr>
      <w:r w:rsidRPr="00F9708F">
        <w:rPr>
          <w:rFonts w:ascii="Arial" w:hAnsi="Arial" w:cs="Arial"/>
          <w:b/>
          <w:sz w:val="28"/>
          <w:szCs w:val="28"/>
        </w:rPr>
        <w:t>NOTA 29.- INGRESOS.</w:t>
      </w:r>
    </w:p>
    <w:p w:rsidR="00937767" w:rsidRDefault="00937767" w:rsidP="00937767">
      <w:pPr>
        <w:jc w:val="both"/>
        <w:rPr>
          <w:rFonts w:ascii="Arial" w:hAnsi="Arial" w:cs="Arial"/>
          <w:b/>
          <w:sz w:val="28"/>
          <w:szCs w:val="28"/>
        </w:rPr>
      </w:pPr>
    </w:p>
    <w:p w:rsidR="00937767" w:rsidRPr="002C3BF7" w:rsidRDefault="00937767" w:rsidP="00937767">
      <w:pPr>
        <w:pStyle w:val="Descripcin"/>
        <w:jc w:val="center"/>
        <w:rPr>
          <w:rFonts w:ascii="Arial" w:hAnsi="Arial" w:cs="Arial"/>
          <w:color w:val="auto"/>
          <w:sz w:val="24"/>
          <w:szCs w:val="24"/>
        </w:rPr>
      </w:pPr>
      <w:bookmarkStart w:id="111" w:name="_Toc166618951"/>
      <w:r w:rsidRPr="002C3BF7">
        <w:rPr>
          <w:rFonts w:ascii="Arial" w:hAnsi="Arial" w:cs="Arial"/>
          <w:color w:val="auto"/>
          <w:sz w:val="24"/>
          <w:szCs w:val="24"/>
        </w:rPr>
        <w:t xml:space="preserve">Tabla </w:t>
      </w:r>
      <w:r w:rsidRPr="002C3BF7">
        <w:rPr>
          <w:rFonts w:ascii="Arial" w:hAnsi="Arial" w:cs="Arial"/>
          <w:color w:val="auto"/>
          <w:sz w:val="24"/>
          <w:szCs w:val="24"/>
        </w:rPr>
        <w:fldChar w:fldCharType="begin"/>
      </w:r>
      <w:r w:rsidRPr="002C3BF7">
        <w:rPr>
          <w:rFonts w:ascii="Arial" w:hAnsi="Arial" w:cs="Arial"/>
          <w:color w:val="auto"/>
          <w:sz w:val="24"/>
          <w:szCs w:val="24"/>
        </w:rPr>
        <w:instrText xml:space="preserve"> STYLEREF 1 \s </w:instrText>
      </w:r>
      <w:r w:rsidRPr="002C3BF7">
        <w:rPr>
          <w:rFonts w:ascii="Arial" w:hAnsi="Arial" w:cs="Arial"/>
          <w:color w:val="auto"/>
          <w:sz w:val="24"/>
          <w:szCs w:val="24"/>
        </w:rPr>
        <w:fldChar w:fldCharType="separate"/>
      </w:r>
      <w:r w:rsidRPr="002C3BF7">
        <w:rPr>
          <w:rFonts w:ascii="Arial" w:hAnsi="Arial" w:cs="Arial"/>
          <w:noProof/>
          <w:color w:val="auto"/>
          <w:sz w:val="24"/>
          <w:szCs w:val="24"/>
        </w:rPr>
        <w:t>4</w:t>
      </w:r>
      <w:r w:rsidRPr="002C3BF7">
        <w:rPr>
          <w:rFonts w:ascii="Arial" w:hAnsi="Arial" w:cs="Arial"/>
          <w:noProof/>
          <w:color w:val="auto"/>
          <w:sz w:val="24"/>
          <w:szCs w:val="24"/>
        </w:rPr>
        <w:fldChar w:fldCharType="end"/>
      </w:r>
      <w:r w:rsidRPr="002C3BF7">
        <w:rPr>
          <w:rFonts w:ascii="Arial" w:hAnsi="Arial" w:cs="Arial"/>
          <w:color w:val="auto"/>
          <w:sz w:val="24"/>
          <w:szCs w:val="24"/>
        </w:rPr>
        <w:noBreakHyphen/>
      </w:r>
      <w:r w:rsidRPr="002C3BF7">
        <w:rPr>
          <w:rFonts w:ascii="Arial" w:hAnsi="Arial" w:cs="Arial"/>
          <w:color w:val="auto"/>
          <w:sz w:val="24"/>
          <w:szCs w:val="24"/>
        </w:rPr>
        <w:fldChar w:fldCharType="begin"/>
      </w:r>
      <w:r w:rsidRPr="002C3BF7">
        <w:rPr>
          <w:rFonts w:ascii="Arial" w:hAnsi="Arial" w:cs="Arial"/>
          <w:color w:val="auto"/>
          <w:sz w:val="24"/>
          <w:szCs w:val="24"/>
        </w:rPr>
        <w:instrText xml:space="preserve"> SEQ Tabla \* ARABIC \s 1 </w:instrText>
      </w:r>
      <w:r w:rsidRPr="002C3BF7">
        <w:rPr>
          <w:rFonts w:ascii="Arial" w:hAnsi="Arial" w:cs="Arial"/>
          <w:color w:val="auto"/>
          <w:sz w:val="24"/>
          <w:szCs w:val="24"/>
        </w:rPr>
        <w:fldChar w:fldCharType="separate"/>
      </w:r>
      <w:r w:rsidRPr="002C3BF7">
        <w:rPr>
          <w:rFonts w:ascii="Arial" w:hAnsi="Arial" w:cs="Arial"/>
          <w:noProof/>
          <w:color w:val="auto"/>
          <w:sz w:val="24"/>
          <w:szCs w:val="24"/>
        </w:rPr>
        <w:t>105</w:t>
      </w:r>
      <w:r w:rsidRPr="002C3BF7">
        <w:rPr>
          <w:rFonts w:ascii="Arial" w:hAnsi="Arial" w:cs="Arial"/>
          <w:noProof/>
          <w:color w:val="auto"/>
          <w:sz w:val="24"/>
          <w:szCs w:val="24"/>
        </w:rPr>
        <w:fldChar w:fldCharType="end"/>
      </w:r>
      <w:r w:rsidRPr="002C3BF7">
        <w:rPr>
          <w:rFonts w:ascii="Arial" w:hAnsi="Arial" w:cs="Arial"/>
          <w:color w:val="auto"/>
          <w:sz w:val="24"/>
          <w:szCs w:val="24"/>
        </w:rPr>
        <w:t xml:space="preserve"> Ingresos (INGR) – Composición</w:t>
      </w:r>
      <w:bookmarkEnd w:id="111"/>
    </w:p>
    <w:p w:rsidR="00937767" w:rsidRPr="00F241C2" w:rsidRDefault="00937767" w:rsidP="00937767">
      <w:pPr>
        <w:pStyle w:val="Textoindependiente"/>
        <w:jc w:val="center"/>
        <w:rPr>
          <w:rFonts w:ascii="Verdana" w:hAnsi="Verdana"/>
          <w:lang w:val="es-CO"/>
        </w:rPr>
      </w:pPr>
      <w:r w:rsidRPr="00F241C2">
        <w:rPr>
          <w:rFonts w:ascii="Verdana" w:hAnsi="Verdana"/>
          <w:noProof/>
          <w:lang w:val="es-CO" w:eastAsia="es-CO"/>
        </w:rPr>
        <w:lastRenderedPageBreak/>
        <w:drawing>
          <wp:inline distT="0" distB="0" distL="0" distR="0" wp14:anchorId="33510B13" wp14:editId="4722AC32">
            <wp:extent cx="5943600" cy="2302510"/>
            <wp:effectExtent l="0" t="0" r="0" b="2540"/>
            <wp:docPr id="703555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302510"/>
                    </a:xfrm>
                    <a:prstGeom prst="rect">
                      <a:avLst/>
                    </a:prstGeom>
                    <a:noFill/>
                    <a:ln>
                      <a:noFill/>
                    </a:ln>
                  </pic:spPr>
                </pic:pic>
              </a:graphicData>
            </a:graphic>
          </wp:inline>
        </w:drawing>
      </w:r>
    </w:p>
    <w:p w:rsidR="00937767" w:rsidRPr="00F241C2" w:rsidRDefault="00937767" w:rsidP="00937767">
      <w:pPr>
        <w:pStyle w:val="Textoindependiente"/>
        <w:jc w:val="both"/>
        <w:rPr>
          <w:rFonts w:ascii="Verdana" w:hAnsi="Verdana"/>
          <w:lang w:val="es-CO"/>
        </w:rPr>
      </w:pPr>
    </w:p>
    <w:p w:rsidR="00937767" w:rsidRPr="00F9708F" w:rsidRDefault="00937767" w:rsidP="00937767">
      <w:pPr>
        <w:pStyle w:val="Textoindependiente"/>
        <w:jc w:val="both"/>
        <w:rPr>
          <w:rFonts w:ascii="Arial" w:hAnsi="Arial" w:cs="Arial"/>
          <w:lang w:val="es-CO"/>
        </w:rPr>
      </w:pPr>
      <w:r w:rsidRPr="00F9708F">
        <w:rPr>
          <w:rFonts w:ascii="Arial" w:hAnsi="Arial" w:cs="Arial"/>
          <w:lang w:val="es-CO"/>
        </w:rPr>
        <w:t>Como se observa, al 31 de diciembre de 2023, la suma agregada de los Ingresos es de $1.447.481,6. Una vez ejecutado el proceso de consolidación, se presenta el efecto neto de eliminaciones y reclasificaciones por valor de ($642.076,7) y se obtiene un saldo consolidado de $805.404,9.</w:t>
      </w:r>
    </w:p>
    <w:p w:rsidR="00937767" w:rsidRDefault="00937767" w:rsidP="00937767">
      <w:pPr>
        <w:jc w:val="both"/>
        <w:rPr>
          <w:rFonts w:ascii="Arial" w:hAnsi="Arial" w:cs="Arial"/>
          <w:b/>
          <w:sz w:val="28"/>
          <w:szCs w:val="28"/>
        </w:rPr>
      </w:pPr>
    </w:p>
    <w:p w:rsidR="00937767" w:rsidRDefault="00937767" w:rsidP="00937767">
      <w:pPr>
        <w:jc w:val="both"/>
        <w:rPr>
          <w:rFonts w:ascii="Arial" w:hAnsi="Arial" w:cs="Arial"/>
          <w:b/>
          <w:sz w:val="28"/>
          <w:szCs w:val="28"/>
        </w:rPr>
      </w:pPr>
      <w:r>
        <w:rPr>
          <w:rFonts w:ascii="Arial" w:hAnsi="Arial" w:cs="Arial"/>
          <w:b/>
          <w:sz w:val="28"/>
          <w:szCs w:val="28"/>
        </w:rPr>
        <w:t>NOTA 30.- GASTOS.</w:t>
      </w:r>
    </w:p>
    <w:p w:rsidR="00937767" w:rsidRDefault="00937767" w:rsidP="00937767">
      <w:pPr>
        <w:jc w:val="both"/>
        <w:rPr>
          <w:rFonts w:ascii="Arial" w:hAnsi="Arial" w:cs="Arial"/>
          <w:b/>
          <w:sz w:val="28"/>
          <w:szCs w:val="28"/>
        </w:rPr>
      </w:pPr>
    </w:p>
    <w:p w:rsidR="00937767" w:rsidRDefault="00937767" w:rsidP="00937767">
      <w:pPr>
        <w:pStyle w:val="Descripcin"/>
        <w:jc w:val="center"/>
        <w:rPr>
          <w:rFonts w:ascii="Arial" w:hAnsi="Arial" w:cs="Arial"/>
          <w:color w:val="000000" w:themeColor="text1"/>
          <w:sz w:val="24"/>
          <w:szCs w:val="24"/>
        </w:rPr>
      </w:pPr>
      <w:bookmarkStart w:id="112" w:name="_Toc166618971"/>
      <w:r w:rsidRPr="0085425A">
        <w:rPr>
          <w:rFonts w:ascii="Arial" w:hAnsi="Arial" w:cs="Arial"/>
          <w:color w:val="000000" w:themeColor="text1"/>
          <w:sz w:val="24"/>
          <w:szCs w:val="24"/>
        </w:rPr>
        <w:t xml:space="preserve">Tabla </w:t>
      </w:r>
      <w:r w:rsidRPr="0085425A">
        <w:rPr>
          <w:rFonts w:ascii="Arial" w:hAnsi="Arial" w:cs="Arial"/>
          <w:color w:val="000000" w:themeColor="text1"/>
          <w:sz w:val="24"/>
          <w:szCs w:val="24"/>
        </w:rPr>
        <w:fldChar w:fldCharType="begin"/>
      </w:r>
      <w:r w:rsidRPr="0085425A">
        <w:rPr>
          <w:rFonts w:ascii="Arial" w:hAnsi="Arial" w:cs="Arial"/>
          <w:color w:val="000000" w:themeColor="text1"/>
          <w:sz w:val="24"/>
          <w:szCs w:val="24"/>
        </w:rPr>
        <w:instrText xml:space="preserve"> STYLEREF 1 \s </w:instrText>
      </w:r>
      <w:r w:rsidRPr="0085425A">
        <w:rPr>
          <w:rFonts w:ascii="Arial" w:hAnsi="Arial" w:cs="Arial"/>
          <w:color w:val="000000" w:themeColor="text1"/>
          <w:sz w:val="24"/>
          <w:szCs w:val="24"/>
        </w:rPr>
        <w:fldChar w:fldCharType="separate"/>
      </w:r>
      <w:r w:rsidRPr="0085425A">
        <w:rPr>
          <w:rFonts w:ascii="Arial" w:hAnsi="Arial" w:cs="Arial"/>
          <w:noProof/>
          <w:color w:val="000000" w:themeColor="text1"/>
          <w:sz w:val="24"/>
          <w:szCs w:val="24"/>
        </w:rPr>
        <w:t>4</w:t>
      </w:r>
      <w:r w:rsidRPr="0085425A">
        <w:rPr>
          <w:rFonts w:ascii="Arial" w:hAnsi="Arial" w:cs="Arial"/>
          <w:noProof/>
          <w:color w:val="000000" w:themeColor="text1"/>
          <w:sz w:val="24"/>
          <w:szCs w:val="24"/>
        </w:rPr>
        <w:fldChar w:fldCharType="end"/>
      </w:r>
      <w:r w:rsidRPr="0085425A">
        <w:rPr>
          <w:rFonts w:ascii="Arial" w:hAnsi="Arial" w:cs="Arial"/>
          <w:color w:val="000000" w:themeColor="text1"/>
          <w:sz w:val="24"/>
          <w:szCs w:val="24"/>
        </w:rPr>
        <w:noBreakHyphen/>
      </w:r>
      <w:r w:rsidRPr="0085425A">
        <w:rPr>
          <w:rFonts w:ascii="Arial" w:hAnsi="Arial" w:cs="Arial"/>
          <w:color w:val="000000" w:themeColor="text1"/>
          <w:sz w:val="24"/>
          <w:szCs w:val="24"/>
        </w:rPr>
        <w:fldChar w:fldCharType="begin"/>
      </w:r>
      <w:r w:rsidRPr="0085425A">
        <w:rPr>
          <w:rFonts w:ascii="Arial" w:hAnsi="Arial" w:cs="Arial"/>
          <w:color w:val="000000" w:themeColor="text1"/>
          <w:sz w:val="24"/>
          <w:szCs w:val="24"/>
        </w:rPr>
        <w:instrText xml:space="preserve"> SEQ Tabla \* ARABIC \s 1 </w:instrText>
      </w:r>
      <w:r w:rsidRPr="0085425A">
        <w:rPr>
          <w:rFonts w:ascii="Arial" w:hAnsi="Arial" w:cs="Arial"/>
          <w:color w:val="000000" w:themeColor="text1"/>
          <w:sz w:val="24"/>
          <w:szCs w:val="24"/>
        </w:rPr>
        <w:fldChar w:fldCharType="separate"/>
      </w:r>
      <w:r w:rsidRPr="0085425A">
        <w:rPr>
          <w:rFonts w:ascii="Arial" w:hAnsi="Arial" w:cs="Arial"/>
          <w:noProof/>
          <w:color w:val="000000" w:themeColor="text1"/>
          <w:sz w:val="24"/>
          <w:szCs w:val="24"/>
        </w:rPr>
        <w:t>125</w:t>
      </w:r>
      <w:r w:rsidRPr="0085425A">
        <w:rPr>
          <w:rFonts w:ascii="Arial" w:hAnsi="Arial" w:cs="Arial"/>
          <w:noProof/>
          <w:color w:val="000000" w:themeColor="text1"/>
          <w:sz w:val="24"/>
          <w:szCs w:val="24"/>
        </w:rPr>
        <w:fldChar w:fldCharType="end"/>
      </w:r>
      <w:r w:rsidRPr="0085425A">
        <w:rPr>
          <w:rFonts w:ascii="Arial" w:hAnsi="Arial" w:cs="Arial"/>
          <w:color w:val="000000" w:themeColor="text1"/>
          <w:sz w:val="24"/>
          <w:szCs w:val="24"/>
        </w:rPr>
        <w:t xml:space="preserve"> Gastos (GAST) – Composición</w:t>
      </w:r>
      <w:bookmarkEnd w:id="112"/>
    </w:p>
    <w:p w:rsidR="00937767" w:rsidRPr="0085425A" w:rsidRDefault="00937767" w:rsidP="00937767">
      <w:pPr>
        <w:rPr>
          <w:lang w:val="es-CO" w:eastAsia="en-US"/>
        </w:rPr>
      </w:pPr>
    </w:p>
    <w:p w:rsidR="00937767" w:rsidRPr="00AE7228" w:rsidRDefault="00937767" w:rsidP="00937767">
      <w:pPr>
        <w:jc w:val="center"/>
      </w:pPr>
      <w:r w:rsidRPr="00AE7228">
        <w:rPr>
          <w:noProof/>
          <w:lang w:val="es-CO" w:eastAsia="es-CO"/>
        </w:rPr>
        <w:drawing>
          <wp:inline distT="0" distB="0" distL="0" distR="0" wp14:anchorId="1834E145" wp14:editId="3FB2C525">
            <wp:extent cx="5943600" cy="2617470"/>
            <wp:effectExtent l="0" t="0" r="0" b="0"/>
            <wp:docPr id="2121429901" name="Imagen 212142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t="4848"/>
                    <a:stretch/>
                  </pic:blipFill>
                  <pic:spPr bwMode="auto">
                    <a:xfrm>
                      <a:off x="0" y="0"/>
                      <a:ext cx="5943600" cy="2617470"/>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AE7228" w:rsidRDefault="00937767" w:rsidP="00937767">
      <w:pPr>
        <w:jc w:val="both"/>
      </w:pPr>
    </w:p>
    <w:p w:rsidR="00937767" w:rsidRDefault="00937767" w:rsidP="00937767">
      <w:pPr>
        <w:jc w:val="both"/>
        <w:rPr>
          <w:rFonts w:ascii="Arial" w:hAnsi="Arial" w:cs="Arial"/>
          <w:b/>
          <w:sz w:val="28"/>
          <w:szCs w:val="28"/>
        </w:rPr>
      </w:pPr>
      <w:r>
        <w:rPr>
          <w:rFonts w:ascii="Arial" w:hAnsi="Arial" w:cs="Arial"/>
          <w:b/>
          <w:sz w:val="28"/>
          <w:szCs w:val="28"/>
        </w:rPr>
        <w:t>NOTA 31.- COSTO DE VENTAS.</w:t>
      </w:r>
    </w:p>
    <w:p w:rsidR="00937767" w:rsidRDefault="00937767" w:rsidP="00937767">
      <w:pPr>
        <w:jc w:val="both"/>
        <w:rPr>
          <w:rFonts w:ascii="Arial" w:hAnsi="Arial" w:cs="Arial"/>
          <w:b/>
          <w:sz w:val="28"/>
          <w:szCs w:val="28"/>
        </w:rPr>
      </w:pPr>
    </w:p>
    <w:p w:rsidR="00937767" w:rsidRDefault="00937767" w:rsidP="00937767">
      <w:pPr>
        <w:pStyle w:val="Descripcin"/>
        <w:jc w:val="center"/>
        <w:rPr>
          <w:rFonts w:ascii="Arial" w:hAnsi="Arial" w:cs="Arial"/>
          <w:color w:val="000000" w:themeColor="text1"/>
          <w:sz w:val="24"/>
          <w:szCs w:val="24"/>
        </w:rPr>
      </w:pPr>
      <w:bookmarkStart w:id="113" w:name="_Toc166618999"/>
      <w:r w:rsidRPr="0085425A">
        <w:rPr>
          <w:rFonts w:ascii="Arial" w:hAnsi="Arial" w:cs="Arial"/>
          <w:color w:val="000000" w:themeColor="text1"/>
          <w:sz w:val="24"/>
          <w:szCs w:val="24"/>
        </w:rPr>
        <w:t xml:space="preserve">Tabla </w:t>
      </w:r>
      <w:r w:rsidRPr="0085425A">
        <w:rPr>
          <w:rFonts w:ascii="Arial" w:hAnsi="Arial" w:cs="Arial"/>
          <w:color w:val="000000" w:themeColor="text1"/>
          <w:sz w:val="24"/>
          <w:szCs w:val="24"/>
        </w:rPr>
        <w:fldChar w:fldCharType="begin"/>
      </w:r>
      <w:r w:rsidRPr="0085425A">
        <w:rPr>
          <w:rFonts w:ascii="Arial" w:hAnsi="Arial" w:cs="Arial"/>
          <w:color w:val="000000" w:themeColor="text1"/>
          <w:sz w:val="24"/>
          <w:szCs w:val="24"/>
        </w:rPr>
        <w:instrText xml:space="preserve"> STYLEREF 1 \s </w:instrText>
      </w:r>
      <w:r w:rsidRPr="0085425A">
        <w:rPr>
          <w:rFonts w:ascii="Arial" w:hAnsi="Arial" w:cs="Arial"/>
          <w:color w:val="000000" w:themeColor="text1"/>
          <w:sz w:val="24"/>
          <w:szCs w:val="24"/>
        </w:rPr>
        <w:fldChar w:fldCharType="separate"/>
      </w:r>
      <w:r w:rsidRPr="0085425A">
        <w:rPr>
          <w:rFonts w:ascii="Arial" w:hAnsi="Arial" w:cs="Arial"/>
          <w:noProof/>
          <w:color w:val="000000" w:themeColor="text1"/>
          <w:sz w:val="24"/>
          <w:szCs w:val="24"/>
        </w:rPr>
        <w:t>4</w:t>
      </w:r>
      <w:r w:rsidRPr="0085425A">
        <w:rPr>
          <w:rFonts w:ascii="Arial" w:hAnsi="Arial" w:cs="Arial"/>
          <w:noProof/>
          <w:color w:val="000000" w:themeColor="text1"/>
          <w:sz w:val="24"/>
          <w:szCs w:val="24"/>
        </w:rPr>
        <w:fldChar w:fldCharType="end"/>
      </w:r>
      <w:r w:rsidRPr="0085425A">
        <w:rPr>
          <w:rFonts w:ascii="Arial" w:hAnsi="Arial" w:cs="Arial"/>
          <w:color w:val="000000" w:themeColor="text1"/>
          <w:sz w:val="24"/>
          <w:szCs w:val="24"/>
        </w:rPr>
        <w:noBreakHyphen/>
      </w:r>
      <w:r w:rsidRPr="0085425A">
        <w:rPr>
          <w:rFonts w:ascii="Arial" w:hAnsi="Arial" w:cs="Arial"/>
          <w:color w:val="000000" w:themeColor="text1"/>
          <w:sz w:val="24"/>
          <w:szCs w:val="24"/>
        </w:rPr>
        <w:fldChar w:fldCharType="begin"/>
      </w:r>
      <w:r w:rsidRPr="0085425A">
        <w:rPr>
          <w:rFonts w:ascii="Arial" w:hAnsi="Arial" w:cs="Arial"/>
          <w:color w:val="000000" w:themeColor="text1"/>
          <w:sz w:val="24"/>
          <w:szCs w:val="24"/>
        </w:rPr>
        <w:instrText xml:space="preserve"> SEQ Tabla \* ARABIC \s 1 </w:instrText>
      </w:r>
      <w:r w:rsidRPr="0085425A">
        <w:rPr>
          <w:rFonts w:ascii="Arial" w:hAnsi="Arial" w:cs="Arial"/>
          <w:color w:val="000000" w:themeColor="text1"/>
          <w:sz w:val="24"/>
          <w:szCs w:val="24"/>
        </w:rPr>
        <w:fldChar w:fldCharType="separate"/>
      </w:r>
      <w:r w:rsidRPr="0085425A">
        <w:rPr>
          <w:rFonts w:ascii="Arial" w:hAnsi="Arial" w:cs="Arial"/>
          <w:noProof/>
          <w:color w:val="000000" w:themeColor="text1"/>
          <w:sz w:val="24"/>
          <w:szCs w:val="24"/>
        </w:rPr>
        <w:t>153</w:t>
      </w:r>
      <w:r w:rsidRPr="0085425A">
        <w:rPr>
          <w:rFonts w:ascii="Arial" w:hAnsi="Arial" w:cs="Arial"/>
          <w:noProof/>
          <w:color w:val="000000" w:themeColor="text1"/>
          <w:sz w:val="24"/>
          <w:szCs w:val="24"/>
        </w:rPr>
        <w:fldChar w:fldCharType="end"/>
      </w:r>
      <w:r w:rsidRPr="0085425A">
        <w:rPr>
          <w:rFonts w:ascii="Arial" w:hAnsi="Arial" w:cs="Arial"/>
          <w:color w:val="000000" w:themeColor="text1"/>
          <w:sz w:val="24"/>
          <w:szCs w:val="24"/>
        </w:rPr>
        <w:t xml:space="preserve"> Costos de ventas (CVTAS) </w:t>
      </w:r>
      <w:r>
        <w:rPr>
          <w:rFonts w:ascii="Arial" w:hAnsi="Arial" w:cs="Arial"/>
          <w:color w:val="000000" w:themeColor="text1"/>
          <w:sz w:val="24"/>
          <w:szCs w:val="24"/>
        </w:rPr>
        <w:t>–</w:t>
      </w:r>
      <w:r w:rsidRPr="0085425A">
        <w:rPr>
          <w:rFonts w:ascii="Arial" w:hAnsi="Arial" w:cs="Arial"/>
          <w:color w:val="000000" w:themeColor="text1"/>
          <w:sz w:val="24"/>
          <w:szCs w:val="24"/>
        </w:rPr>
        <w:t xml:space="preserve"> Composición</w:t>
      </w:r>
      <w:bookmarkEnd w:id="113"/>
    </w:p>
    <w:p w:rsidR="00937767" w:rsidRPr="0085425A" w:rsidRDefault="00937767" w:rsidP="00937767">
      <w:pPr>
        <w:rPr>
          <w:lang w:val="es-CO" w:eastAsia="en-US"/>
        </w:rPr>
      </w:pPr>
    </w:p>
    <w:p w:rsidR="00937767" w:rsidRPr="00A955C8" w:rsidRDefault="00937767" w:rsidP="00937767">
      <w:pPr>
        <w:pStyle w:val="Textoindependiente"/>
        <w:jc w:val="center"/>
        <w:rPr>
          <w:rFonts w:ascii="Verdana" w:hAnsi="Verdana"/>
          <w:szCs w:val="22"/>
          <w:lang w:val="es-CO"/>
        </w:rPr>
      </w:pPr>
      <w:r w:rsidRPr="00A955C8">
        <w:rPr>
          <w:rFonts w:ascii="Verdana" w:hAnsi="Verdana"/>
          <w:noProof/>
          <w:lang w:val="es-CO" w:eastAsia="es-CO"/>
        </w:rPr>
        <w:lastRenderedPageBreak/>
        <w:drawing>
          <wp:inline distT="0" distB="0" distL="0" distR="0" wp14:anchorId="4841F54E" wp14:editId="256C9B83">
            <wp:extent cx="5943600" cy="2181225"/>
            <wp:effectExtent l="0" t="0" r="0" b="9525"/>
            <wp:docPr id="534484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inline>
        </w:drawing>
      </w:r>
    </w:p>
    <w:p w:rsidR="00937767" w:rsidRPr="00A955C8" w:rsidRDefault="00937767" w:rsidP="00937767">
      <w:pPr>
        <w:pStyle w:val="Textoindependiente"/>
        <w:jc w:val="both"/>
        <w:rPr>
          <w:rFonts w:ascii="Verdana" w:hAnsi="Verdana"/>
          <w:szCs w:val="22"/>
          <w:lang w:val="es-CO"/>
        </w:rPr>
      </w:pPr>
    </w:p>
    <w:p w:rsidR="00937767" w:rsidRPr="0085425A" w:rsidRDefault="00937767" w:rsidP="00937767">
      <w:pPr>
        <w:pStyle w:val="Textoindependiente"/>
        <w:jc w:val="both"/>
        <w:rPr>
          <w:rFonts w:ascii="Arial" w:hAnsi="Arial" w:cs="Arial"/>
          <w:sz w:val="24"/>
          <w:lang w:val="es-CO"/>
        </w:rPr>
      </w:pPr>
      <w:r w:rsidRPr="0085425A">
        <w:rPr>
          <w:rFonts w:ascii="Arial" w:hAnsi="Arial" w:cs="Arial"/>
          <w:sz w:val="24"/>
          <w:lang w:val="es-CO"/>
        </w:rPr>
        <w:t xml:space="preserve">Como se observa en la tabla anterior, al 31 de diciembre de 2023 el grupo Costos de ventas presentan una suma agregada de $143.440,9. Una vez ejecutado el proceso de consolidación se muestra el efecto neto de eliminaciones y reclasificaciones por ($282,8) </w:t>
      </w:r>
      <w:bookmarkStart w:id="114" w:name="_Hlk164939653"/>
      <w:r w:rsidRPr="0085425A">
        <w:rPr>
          <w:rFonts w:ascii="Arial" w:hAnsi="Arial" w:cs="Arial"/>
          <w:sz w:val="24"/>
          <w:lang w:val="es-CO"/>
        </w:rPr>
        <w:t xml:space="preserve">y se obtiene un saldo consolidado de </w:t>
      </w:r>
      <w:bookmarkEnd w:id="114"/>
      <w:r w:rsidRPr="0085425A">
        <w:rPr>
          <w:rFonts w:ascii="Arial" w:hAnsi="Arial" w:cs="Arial"/>
          <w:sz w:val="24"/>
          <w:lang w:val="es-CO"/>
        </w:rPr>
        <w:t>$143.158,1.</w:t>
      </w:r>
    </w:p>
    <w:p w:rsidR="00937767" w:rsidRDefault="00937767" w:rsidP="00937767">
      <w:pPr>
        <w:jc w:val="both"/>
        <w:rPr>
          <w:rFonts w:ascii="Arial" w:hAnsi="Arial" w:cs="Arial"/>
          <w:b/>
        </w:rPr>
      </w:pPr>
    </w:p>
    <w:p w:rsidR="00937767" w:rsidRPr="006345E6" w:rsidRDefault="00937767" w:rsidP="00937767">
      <w:pPr>
        <w:jc w:val="both"/>
        <w:rPr>
          <w:rFonts w:ascii="Arial" w:hAnsi="Arial" w:cs="Arial"/>
          <w:b/>
          <w:sz w:val="28"/>
          <w:szCs w:val="28"/>
        </w:rPr>
      </w:pPr>
      <w:r w:rsidRPr="006345E6">
        <w:rPr>
          <w:rFonts w:ascii="Arial" w:hAnsi="Arial" w:cs="Arial"/>
          <w:b/>
          <w:sz w:val="28"/>
          <w:szCs w:val="28"/>
        </w:rPr>
        <w:t>32.- COSTOS DE TRANSFORMACIÓN.</w:t>
      </w:r>
    </w:p>
    <w:p w:rsidR="00937767" w:rsidRDefault="00937767" w:rsidP="00937767">
      <w:pPr>
        <w:jc w:val="both"/>
        <w:rPr>
          <w:rFonts w:ascii="Arial" w:hAnsi="Arial" w:cs="Arial"/>
          <w:b/>
        </w:rPr>
      </w:pPr>
    </w:p>
    <w:p w:rsidR="00937767" w:rsidRPr="008665FB" w:rsidRDefault="00937767" w:rsidP="00937767">
      <w:pPr>
        <w:pStyle w:val="Descripcin"/>
        <w:jc w:val="center"/>
        <w:rPr>
          <w:rFonts w:ascii="Arial" w:hAnsi="Arial" w:cs="Arial"/>
          <w:color w:val="000000" w:themeColor="text1"/>
          <w:sz w:val="24"/>
          <w:szCs w:val="24"/>
        </w:rPr>
      </w:pPr>
      <w:bookmarkStart w:id="115" w:name="_Toc166619002"/>
      <w:r w:rsidRPr="008665FB">
        <w:rPr>
          <w:rFonts w:ascii="Arial" w:hAnsi="Arial" w:cs="Arial"/>
          <w:color w:val="000000" w:themeColor="text1"/>
          <w:sz w:val="24"/>
          <w:szCs w:val="24"/>
        </w:rPr>
        <w:t xml:space="preserve">Tabla </w:t>
      </w:r>
      <w:r w:rsidRPr="008665FB">
        <w:rPr>
          <w:rFonts w:ascii="Arial" w:hAnsi="Arial" w:cs="Arial"/>
          <w:color w:val="000000" w:themeColor="text1"/>
          <w:sz w:val="24"/>
          <w:szCs w:val="24"/>
        </w:rPr>
        <w:fldChar w:fldCharType="begin"/>
      </w:r>
      <w:r w:rsidRPr="008665FB">
        <w:rPr>
          <w:rFonts w:ascii="Arial" w:hAnsi="Arial" w:cs="Arial"/>
          <w:color w:val="000000" w:themeColor="text1"/>
          <w:sz w:val="24"/>
          <w:szCs w:val="24"/>
        </w:rPr>
        <w:instrText xml:space="preserve"> STYLEREF 1 \s </w:instrText>
      </w:r>
      <w:r w:rsidRPr="008665FB">
        <w:rPr>
          <w:rFonts w:ascii="Arial" w:hAnsi="Arial" w:cs="Arial"/>
          <w:color w:val="000000" w:themeColor="text1"/>
          <w:sz w:val="24"/>
          <w:szCs w:val="24"/>
        </w:rPr>
        <w:fldChar w:fldCharType="separate"/>
      </w:r>
      <w:r w:rsidRPr="008665FB">
        <w:rPr>
          <w:rFonts w:ascii="Arial" w:hAnsi="Arial" w:cs="Arial"/>
          <w:noProof/>
          <w:color w:val="000000" w:themeColor="text1"/>
          <w:sz w:val="24"/>
          <w:szCs w:val="24"/>
        </w:rPr>
        <w:t>4</w:t>
      </w:r>
      <w:r w:rsidRPr="008665FB">
        <w:rPr>
          <w:rFonts w:ascii="Arial" w:hAnsi="Arial" w:cs="Arial"/>
          <w:noProof/>
          <w:color w:val="000000" w:themeColor="text1"/>
          <w:sz w:val="24"/>
          <w:szCs w:val="24"/>
        </w:rPr>
        <w:fldChar w:fldCharType="end"/>
      </w:r>
      <w:r w:rsidRPr="008665FB">
        <w:rPr>
          <w:rFonts w:ascii="Arial" w:hAnsi="Arial" w:cs="Arial"/>
          <w:color w:val="000000" w:themeColor="text1"/>
          <w:sz w:val="24"/>
          <w:szCs w:val="24"/>
        </w:rPr>
        <w:noBreakHyphen/>
      </w:r>
      <w:r w:rsidRPr="008665FB">
        <w:rPr>
          <w:rFonts w:ascii="Arial" w:hAnsi="Arial" w:cs="Arial"/>
          <w:color w:val="000000" w:themeColor="text1"/>
          <w:sz w:val="24"/>
          <w:szCs w:val="24"/>
        </w:rPr>
        <w:fldChar w:fldCharType="begin"/>
      </w:r>
      <w:r w:rsidRPr="008665FB">
        <w:rPr>
          <w:rFonts w:ascii="Arial" w:hAnsi="Arial" w:cs="Arial"/>
          <w:color w:val="000000" w:themeColor="text1"/>
          <w:sz w:val="24"/>
          <w:szCs w:val="24"/>
        </w:rPr>
        <w:instrText xml:space="preserve"> SEQ Tabla \* ARABIC \s 1 </w:instrText>
      </w:r>
      <w:r w:rsidRPr="008665FB">
        <w:rPr>
          <w:rFonts w:ascii="Arial" w:hAnsi="Arial" w:cs="Arial"/>
          <w:color w:val="000000" w:themeColor="text1"/>
          <w:sz w:val="24"/>
          <w:szCs w:val="24"/>
        </w:rPr>
        <w:fldChar w:fldCharType="separate"/>
      </w:r>
      <w:r w:rsidRPr="008665FB">
        <w:rPr>
          <w:rFonts w:ascii="Arial" w:hAnsi="Arial" w:cs="Arial"/>
          <w:noProof/>
          <w:color w:val="000000" w:themeColor="text1"/>
          <w:sz w:val="24"/>
          <w:szCs w:val="24"/>
        </w:rPr>
        <w:t>156</w:t>
      </w:r>
      <w:r w:rsidRPr="008665FB">
        <w:rPr>
          <w:rFonts w:ascii="Arial" w:hAnsi="Arial" w:cs="Arial"/>
          <w:noProof/>
          <w:color w:val="000000" w:themeColor="text1"/>
          <w:sz w:val="24"/>
          <w:szCs w:val="24"/>
        </w:rPr>
        <w:fldChar w:fldCharType="end"/>
      </w:r>
      <w:r w:rsidRPr="008665FB">
        <w:rPr>
          <w:rFonts w:ascii="Arial" w:hAnsi="Arial" w:cs="Arial"/>
          <w:color w:val="000000" w:themeColor="text1"/>
          <w:sz w:val="24"/>
          <w:szCs w:val="24"/>
        </w:rPr>
        <w:t xml:space="preserve"> Costos de transformación (CTRAN) – Composición</w:t>
      </w:r>
      <w:bookmarkEnd w:id="115"/>
    </w:p>
    <w:p w:rsidR="00937767" w:rsidRPr="00CF12AC" w:rsidRDefault="00937767" w:rsidP="00937767">
      <w:pPr>
        <w:contextualSpacing/>
        <w:jc w:val="center"/>
      </w:pPr>
      <w:r w:rsidRPr="00CF12AC">
        <w:rPr>
          <w:noProof/>
          <w:lang w:val="es-CO" w:eastAsia="es-CO"/>
        </w:rPr>
        <w:drawing>
          <wp:inline distT="0" distB="0" distL="0" distR="0" wp14:anchorId="5296B2D3" wp14:editId="7A57385E">
            <wp:extent cx="5942843" cy="1889011"/>
            <wp:effectExtent l="0" t="0" r="1270" b="0"/>
            <wp:docPr id="15645745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6170" b="3946"/>
                    <a:stretch/>
                  </pic:blipFill>
                  <pic:spPr bwMode="auto">
                    <a:xfrm>
                      <a:off x="0" y="0"/>
                      <a:ext cx="5943600" cy="1889251"/>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CF12AC" w:rsidRDefault="00937767" w:rsidP="00937767">
      <w:pPr>
        <w:contextualSpacing/>
        <w:jc w:val="both"/>
      </w:pPr>
    </w:p>
    <w:p w:rsidR="00937767" w:rsidRPr="008665FB" w:rsidRDefault="00937767" w:rsidP="00937767">
      <w:pPr>
        <w:contextualSpacing/>
        <w:jc w:val="both"/>
        <w:rPr>
          <w:rFonts w:ascii="Arial" w:hAnsi="Arial" w:cs="Arial"/>
          <w:color w:val="000000" w:themeColor="text1"/>
        </w:rPr>
      </w:pPr>
      <w:r w:rsidRPr="008665FB">
        <w:rPr>
          <w:rFonts w:ascii="Arial" w:hAnsi="Arial" w:cs="Arial"/>
          <w:color w:val="000000" w:themeColor="text1"/>
        </w:rPr>
        <w:t>Como se observa en la tabla previa, al 31 de diciembre de 2023, al agrupar las cuentas correspondientes a Costos de transformación, alcanzaron la suma de $179.259,8. El concepto a nivel agregado con mayor importancia relativa corresponde a Bienes, con un valor de $160.803,1, representando el 89,7% del total de los Costos de transformación.</w:t>
      </w:r>
    </w:p>
    <w:p w:rsidR="00937767" w:rsidRPr="008665FB" w:rsidRDefault="00937767" w:rsidP="00937767">
      <w:pPr>
        <w:contextualSpacing/>
        <w:jc w:val="both"/>
        <w:rPr>
          <w:rFonts w:ascii="Arial" w:hAnsi="Arial" w:cs="Arial"/>
          <w:color w:val="000000" w:themeColor="text1"/>
        </w:rPr>
      </w:pPr>
    </w:p>
    <w:p w:rsidR="00937767" w:rsidRPr="008665FB" w:rsidRDefault="00937767" w:rsidP="00937767">
      <w:pPr>
        <w:contextualSpacing/>
        <w:jc w:val="both"/>
        <w:rPr>
          <w:rFonts w:ascii="Arial" w:hAnsi="Arial" w:cs="Arial"/>
          <w:color w:val="000000" w:themeColor="text1"/>
        </w:rPr>
      </w:pPr>
      <w:r w:rsidRPr="008665FB">
        <w:rPr>
          <w:rFonts w:ascii="Arial" w:hAnsi="Arial" w:cs="Arial"/>
          <w:color w:val="000000" w:themeColor="text1"/>
        </w:rPr>
        <w:t>Por otra parte, entre los conceptos que presentaron mayor incremento en relación con la variación absoluta respecto al año anterior, se destacan: Bienes con un valor de $2.661,9, Servicios públicos con $1.680,7 y Servicios de transporte con $524,6, estos equivalentes en variaciones porcentuales al 1,7%, 40,2% y 13,7% respectivamente.</w:t>
      </w:r>
    </w:p>
    <w:p w:rsidR="00937767" w:rsidRDefault="00937767" w:rsidP="00937767">
      <w:pPr>
        <w:jc w:val="both"/>
        <w:rPr>
          <w:rFonts w:ascii="Arial" w:hAnsi="Arial" w:cs="Arial"/>
          <w:b/>
        </w:rPr>
      </w:pPr>
    </w:p>
    <w:p w:rsidR="00937767" w:rsidRPr="002B4498" w:rsidRDefault="00937767" w:rsidP="00937767">
      <w:pPr>
        <w:jc w:val="both"/>
        <w:rPr>
          <w:rFonts w:ascii="Arial" w:hAnsi="Arial" w:cs="Arial"/>
          <w:b/>
        </w:rPr>
      </w:pPr>
      <w:r w:rsidRPr="002B4498">
        <w:rPr>
          <w:rFonts w:ascii="Arial" w:hAnsi="Arial" w:cs="Arial"/>
          <w:b/>
        </w:rPr>
        <w:t>NOTA 33.- ACUERDOS DE CONCESIÓN ENTIDAD CONCEDENTE.</w:t>
      </w:r>
    </w:p>
    <w:p w:rsidR="00937767" w:rsidRPr="002B4498" w:rsidRDefault="00937767" w:rsidP="00937767">
      <w:pPr>
        <w:jc w:val="both"/>
        <w:rPr>
          <w:rFonts w:ascii="Arial" w:hAnsi="Arial" w:cs="Arial"/>
          <w:b/>
        </w:rPr>
      </w:pPr>
    </w:p>
    <w:p w:rsidR="00937767" w:rsidRPr="002B4498" w:rsidRDefault="00937767" w:rsidP="00937767">
      <w:pPr>
        <w:pStyle w:val="Textoindependiente"/>
        <w:jc w:val="both"/>
        <w:rPr>
          <w:rFonts w:ascii="Arial" w:hAnsi="Arial" w:cs="Arial"/>
          <w:sz w:val="24"/>
          <w:lang w:val="es-CO"/>
        </w:rPr>
      </w:pPr>
      <w:r w:rsidRPr="002B4498">
        <w:rPr>
          <w:rFonts w:ascii="Arial" w:hAnsi="Arial" w:cs="Arial"/>
          <w:sz w:val="24"/>
          <w:lang w:val="es-CO"/>
        </w:rPr>
        <w:t xml:space="preserve">La presente nota detalla los principales conceptos utilizados por las entidades públicas </w:t>
      </w:r>
      <w:r w:rsidRPr="002B4498">
        <w:rPr>
          <w:rFonts w:ascii="Arial" w:hAnsi="Arial" w:cs="Arial"/>
          <w:sz w:val="24"/>
          <w:lang w:val="es-CO"/>
        </w:rPr>
        <w:lastRenderedPageBreak/>
        <w:t>para registrar sus transacciones en virtud de los Acuerdos de concesión en los que intervienen en calidad de entidad concedente. Así mismo, se presentan los saldos de 2023 comparativamente con el periodo anterior y en orden de representatividad en el periodo analizado.</w:t>
      </w:r>
    </w:p>
    <w:p w:rsidR="00937767" w:rsidRPr="002B4498" w:rsidRDefault="00937767" w:rsidP="00937767">
      <w:pPr>
        <w:autoSpaceDE w:val="0"/>
        <w:autoSpaceDN w:val="0"/>
        <w:adjustRightInd w:val="0"/>
        <w:jc w:val="both"/>
        <w:rPr>
          <w:rFonts w:ascii="Arial" w:hAnsi="Arial" w:cs="Arial"/>
        </w:rPr>
      </w:pPr>
    </w:p>
    <w:p w:rsidR="00937767" w:rsidRPr="002B4498" w:rsidRDefault="00937767" w:rsidP="00937767">
      <w:pPr>
        <w:autoSpaceDE w:val="0"/>
        <w:autoSpaceDN w:val="0"/>
        <w:adjustRightInd w:val="0"/>
        <w:jc w:val="both"/>
        <w:rPr>
          <w:rFonts w:ascii="Arial" w:hAnsi="Arial" w:cs="Arial"/>
        </w:rPr>
      </w:pPr>
      <w:r w:rsidRPr="002B4498">
        <w:rPr>
          <w:rFonts w:ascii="Arial" w:hAnsi="Arial" w:cs="Arial"/>
        </w:rPr>
        <w:t>Los activos relacionados con los Acuerdos de concesión comprenden principalmente Bienes de uso público en construcción o en servicio de una entidad concedente, sobre los cuales tiene el control, espera obtener un potencial de servicios o generar beneficios económicos futuros y, por tanto, asume los riesgos y pasivos asociados con dichos activos. También pueden incluir Propiedades, planta y equipo, así como Intangibles. Por su parte, los Pasivos corresponden a la obligación reconocida por la entidad pública producto de la forma o modalidad establecida para la financiación y pago del respectivo activo o servicio en concesión.</w:t>
      </w:r>
    </w:p>
    <w:p w:rsidR="00937767" w:rsidRPr="002B4498" w:rsidRDefault="00937767" w:rsidP="00937767">
      <w:pPr>
        <w:autoSpaceDE w:val="0"/>
        <w:autoSpaceDN w:val="0"/>
        <w:adjustRightInd w:val="0"/>
        <w:jc w:val="both"/>
        <w:rPr>
          <w:rFonts w:ascii="Arial" w:hAnsi="Arial" w:cs="Arial"/>
        </w:rPr>
      </w:pPr>
    </w:p>
    <w:p w:rsidR="00937767" w:rsidRDefault="00937767" w:rsidP="00937767">
      <w:pPr>
        <w:autoSpaceDE w:val="0"/>
        <w:autoSpaceDN w:val="0"/>
        <w:adjustRightInd w:val="0"/>
        <w:jc w:val="both"/>
      </w:pPr>
      <w:r w:rsidRPr="002B4498">
        <w:rPr>
          <w:rFonts w:ascii="Arial" w:hAnsi="Arial" w:cs="Arial"/>
        </w:rPr>
        <w:t>En la siguiente tabla se detallan, a nivel de cuentas, los conceptos de mayor representatividad para el año</w:t>
      </w:r>
      <w:r w:rsidRPr="00374FDC">
        <w:t xml:space="preserve"> 2023, en forma comparativa con el año inmediatamente anterior, partiendo de los saldos agregados. </w:t>
      </w:r>
    </w:p>
    <w:p w:rsidR="00937767" w:rsidRDefault="00937767" w:rsidP="00937767">
      <w:pPr>
        <w:pStyle w:val="Descripcin"/>
      </w:pPr>
      <w:bookmarkStart w:id="116" w:name="_Toc135044908"/>
    </w:p>
    <w:p w:rsidR="00937767" w:rsidRDefault="00937767" w:rsidP="00937767">
      <w:pPr>
        <w:pStyle w:val="Descripcin"/>
        <w:jc w:val="center"/>
        <w:rPr>
          <w:rFonts w:ascii="Arial" w:hAnsi="Arial" w:cs="Arial"/>
          <w:color w:val="000000" w:themeColor="text1"/>
          <w:sz w:val="24"/>
          <w:szCs w:val="24"/>
        </w:rPr>
      </w:pPr>
      <w:bookmarkStart w:id="117" w:name="_Toc166619004"/>
      <w:r w:rsidRPr="002B4498">
        <w:rPr>
          <w:rFonts w:ascii="Arial" w:hAnsi="Arial" w:cs="Arial"/>
          <w:color w:val="000000" w:themeColor="text1"/>
          <w:sz w:val="24"/>
          <w:szCs w:val="24"/>
        </w:rPr>
        <w:t xml:space="preserve">Tabla </w:t>
      </w:r>
      <w:r w:rsidRPr="002B4498">
        <w:rPr>
          <w:rFonts w:ascii="Arial" w:hAnsi="Arial" w:cs="Arial"/>
          <w:color w:val="000000" w:themeColor="text1"/>
          <w:sz w:val="24"/>
          <w:szCs w:val="24"/>
        </w:rPr>
        <w:fldChar w:fldCharType="begin"/>
      </w:r>
      <w:r w:rsidRPr="002B4498">
        <w:rPr>
          <w:rFonts w:ascii="Arial" w:hAnsi="Arial" w:cs="Arial"/>
          <w:color w:val="000000" w:themeColor="text1"/>
          <w:sz w:val="24"/>
          <w:szCs w:val="24"/>
        </w:rPr>
        <w:instrText xml:space="preserve"> STYLEREF 1 \s </w:instrText>
      </w:r>
      <w:r w:rsidRPr="002B4498">
        <w:rPr>
          <w:rFonts w:ascii="Arial" w:hAnsi="Arial" w:cs="Arial"/>
          <w:color w:val="000000" w:themeColor="text1"/>
          <w:sz w:val="24"/>
          <w:szCs w:val="24"/>
        </w:rPr>
        <w:fldChar w:fldCharType="separate"/>
      </w:r>
      <w:r w:rsidRPr="002B4498">
        <w:rPr>
          <w:rFonts w:ascii="Arial" w:hAnsi="Arial" w:cs="Arial"/>
          <w:noProof/>
          <w:color w:val="000000" w:themeColor="text1"/>
          <w:sz w:val="24"/>
          <w:szCs w:val="24"/>
        </w:rPr>
        <w:t>4</w:t>
      </w:r>
      <w:r w:rsidRPr="002B4498">
        <w:rPr>
          <w:rFonts w:ascii="Arial" w:hAnsi="Arial" w:cs="Arial"/>
          <w:noProof/>
          <w:color w:val="000000" w:themeColor="text1"/>
          <w:sz w:val="24"/>
          <w:szCs w:val="24"/>
        </w:rPr>
        <w:fldChar w:fldCharType="end"/>
      </w:r>
      <w:r w:rsidRPr="002B4498">
        <w:rPr>
          <w:rFonts w:ascii="Arial" w:hAnsi="Arial" w:cs="Arial"/>
          <w:color w:val="000000" w:themeColor="text1"/>
          <w:sz w:val="24"/>
          <w:szCs w:val="24"/>
        </w:rPr>
        <w:noBreakHyphen/>
      </w:r>
      <w:r w:rsidRPr="002B4498">
        <w:rPr>
          <w:rFonts w:ascii="Arial" w:hAnsi="Arial" w:cs="Arial"/>
          <w:color w:val="000000" w:themeColor="text1"/>
          <w:sz w:val="24"/>
          <w:szCs w:val="24"/>
        </w:rPr>
        <w:fldChar w:fldCharType="begin"/>
      </w:r>
      <w:r w:rsidRPr="002B4498">
        <w:rPr>
          <w:rFonts w:ascii="Arial" w:hAnsi="Arial" w:cs="Arial"/>
          <w:color w:val="000000" w:themeColor="text1"/>
          <w:sz w:val="24"/>
          <w:szCs w:val="24"/>
        </w:rPr>
        <w:instrText xml:space="preserve"> SEQ Tabla \* ARABIC \s 1 </w:instrText>
      </w:r>
      <w:r w:rsidRPr="002B4498">
        <w:rPr>
          <w:rFonts w:ascii="Arial" w:hAnsi="Arial" w:cs="Arial"/>
          <w:color w:val="000000" w:themeColor="text1"/>
          <w:sz w:val="24"/>
          <w:szCs w:val="24"/>
        </w:rPr>
        <w:fldChar w:fldCharType="separate"/>
      </w:r>
      <w:r w:rsidRPr="002B4498">
        <w:rPr>
          <w:rFonts w:ascii="Arial" w:hAnsi="Arial" w:cs="Arial"/>
          <w:noProof/>
          <w:color w:val="000000" w:themeColor="text1"/>
          <w:sz w:val="24"/>
          <w:szCs w:val="24"/>
        </w:rPr>
        <w:t>158</w:t>
      </w:r>
      <w:r w:rsidRPr="002B4498">
        <w:rPr>
          <w:rFonts w:ascii="Arial" w:hAnsi="Arial" w:cs="Arial"/>
          <w:noProof/>
          <w:color w:val="000000" w:themeColor="text1"/>
          <w:sz w:val="24"/>
          <w:szCs w:val="24"/>
        </w:rPr>
        <w:fldChar w:fldCharType="end"/>
      </w:r>
      <w:r w:rsidRPr="002B4498">
        <w:rPr>
          <w:rFonts w:ascii="Arial" w:hAnsi="Arial" w:cs="Arial"/>
          <w:color w:val="000000" w:themeColor="text1"/>
          <w:sz w:val="24"/>
          <w:szCs w:val="24"/>
        </w:rPr>
        <w:t xml:space="preserve"> Acuerdos de concesión entidad concedente (ACCONC) – Composición</w:t>
      </w:r>
      <w:bookmarkEnd w:id="116"/>
      <w:bookmarkEnd w:id="117"/>
    </w:p>
    <w:p w:rsidR="00937767" w:rsidRPr="002B4498" w:rsidRDefault="00937767" w:rsidP="00937767">
      <w:pPr>
        <w:rPr>
          <w:lang w:val="es-CO" w:eastAsia="en-US"/>
        </w:rPr>
      </w:pPr>
    </w:p>
    <w:p w:rsidR="00937767" w:rsidRPr="00374FDC" w:rsidRDefault="00937767" w:rsidP="00937767">
      <w:pPr>
        <w:pStyle w:val="Textoindependiente"/>
        <w:jc w:val="center"/>
        <w:rPr>
          <w:rFonts w:ascii="Verdana" w:hAnsi="Verdana"/>
          <w:szCs w:val="22"/>
          <w:lang w:val="es-CO"/>
        </w:rPr>
      </w:pPr>
      <w:r w:rsidRPr="00F32700">
        <w:rPr>
          <w:rFonts w:ascii="Verdana" w:hAnsi="Verdana"/>
          <w:noProof/>
          <w:lang w:val="es-CO" w:eastAsia="es-CO"/>
        </w:rPr>
        <w:drawing>
          <wp:inline distT="0" distB="0" distL="0" distR="0" wp14:anchorId="7F1A67AE" wp14:editId="33087007">
            <wp:extent cx="5943600" cy="3951198"/>
            <wp:effectExtent l="0" t="0" r="0" b="0"/>
            <wp:docPr id="18988284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t="4769"/>
                    <a:stretch/>
                  </pic:blipFill>
                  <pic:spPr bwMode="auto">
                    <a:xfrm>
                      <a:off x="0" y="0"/>
                      <a:ext cx="5943600" cy="3951198"/>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374FDC" w:rsidRDefault="00937767" w:rsidP="00937767">
      <w:pPr>
        <w:pStyle w:val="Textoindependiente"/>
        <w:jc w:val="both"/>
        <w:rPr>
          <w:rFonts w:ascii="Verdana" w:hAnsi="Verdana"/>
          <w:color w:val="000000"/>
          <w:szCs w:val="22"/>
          <w:lang w:val="es-CO"/>
        </w:rPr>
      </w:pPr>
    </w:p>
    <w:p w:rsidR="00937767" w:rsidRDefault="00937767" w:rsidP="00937767">
      <w:pPr>
        <w:pStyle w:val="Textoindependiente"/>
        <w:jc w:val="both"/>
        <w:rPr>
          <w:rFonts w:ascii="Verdana" w:hAnsi="Verdana"/>
        </w:rPr>
      </w:pPr>
      <w:r w:rsidRPr="00374FDC">
        <w:rPr>
          <w:rFonts w:ascii="Verdana" w:hAnsi="Verdana"/>
          <w:color w:val="000000"/>
          <w:szCs w:val="22"/>
          <w:lang w:val="es-CO"/>
        </w:rPr>
        <w:t xml:space="preserve">Como se puede observar, a 31 de diciembre de 2023 el valor neto por Acuerdos de concesión </w:t>
      </w:r>
      <w:r w:rsidRPr="00374FDC">
        <w:rPr>
          <w:rFonts w:ascii="Verdana" w:hAnsi="Verdana"/>
        </w:rPr>
        <w:t xml:space="preserve">para entidad concedente asciende a </w:t>
      </w:r>
      <w:r w:rsidRPr="00374FDC">
        <w:rPr>
          <w:rFonts w:ascii="Verdana" w:hAnsi="Verdana"/>
          <w:color w:val="000000"/>
          <w:szCs w:val="22"/>
          <w:lang w:val="es-CO"/>
        </w:rPr>
        <w:t xml:space="preserve">$37.475,1, de los cuales </w:t>
      </w:r>
      <w:r w:rsidRPr="00374FDC">
        <w:rPr>
          <w:rFonts w:ascii="Verdana" w:hAnsi="Verdana"/>
          <w:szCs w:val="22"/>
          <w:lang w:val="es-CO"/>
        </w:rPr>
        <w:t xml:space="preserve">$86.602,9 </w:t>
      </w:r>
      <w:r w:rsidRPr="00374FDC">
        <w:rPr>
          <w:rFonts w:ascii="Verdana" w:hAnsi="Verdana"/>
          <w:color w:val="000000"/>
          <w:szCs w:val="22"/>
          <w:lang w:val="es-CO"/>
        </w:rPr>
        <w:t xml:space="preserve">corresponden al valor de los activos en concesión y $49.127,8 </w:t>
      </w:r>
      <w:bookmarkStart w:id="118" w:name="_Hlk163616412"/>
      <w:r w:rsidRPr="00374FDC">
        <w:rPr>
          <w:rFonts w:ascii="Verdana" w:hAnsi="Verdana"/>
          <w:color w:val="000000"/>
          <w:szCs w:val="22"/>
          <w:lang w:val="es-CO"/>
        </w:rPr>
        <w:t xml:space="preserve">corresponde a los </w:t>
      </w:r>
      <w:r w:rsidRPr="00374FDC">
        <w:rPr>
          <w:rFonts w:ascii="Verdana" w:hAnsi="Verdana"/>
          <w:color w:val="000000"/>
          <w:szCs w:val="22"/>
          <w:lang w:val="es-CO"/>
        </w:rPr>
        <w:lastRenderedPageBreak/>
        <w:t xml:space="preserve">pasivos </w:t>
      </w:r>
      <w:r w:rsidRPr="00374FDC">
        <w:rPr>
          <w:rFonts w:ascii="Verdana" w:hAnsi="Verdana"/>
        </w:rPr>
        <w:t>por concesión.</w:t>
      </w:r>
    </w:p>
    <w:p w:rsidR="00937767" w:rsidRDefault="00937767" w:rsidP="00937767">
      <w:pPr>
        <w:pStyle w:val="Textoindependiente"/>
        <w:jc w:val="both"/>
        <w:rPr>
          <w:rFonts w:ascii="Verdana" w:hAnsi="Verdana"/>
        </w:rPr>
      </w:pPr>
    </w:p>
    <w:p w:rsidR="00937767" w:rsidRPr="00015EEE" w:rsidRDefault="00937767" w:rsidP="00937767">
      <w:pPr>
        <w:pStyle w:val="Textoindependiente"/>
        <w:jc w:val="both"/>
        <w:rPr>
          <w:rFonts w:ascii="Arial" w:hAnsi="Arial" w:cs="Arial"/>
          <w:b/>
          <w:color w:val="000000"/>
          <w:sz w:val="28"/>
          <w:szCs w:val="28"/>
          <w:lang w:val="es-CO"/>
        </w:rPr>
      </w:pPr>
      <w:r w:rsidRPr="00015EEE">
        <w:rPr>
          <w:rFonts w:ascii="Arial" w:hAnsi="Arial" w:cs="Arial"/>
          <w:b/>
          <w:sz w:val="28"/>
          <w:szCs w:val="28"/>
        </w:rPr>
        <w:t>NOTA 34.- ADMINISTRACIÓN DE RECURSOS DE SEGURIDAD SOCIAL E</w:t>
      </w:r>
      <w:r>
        <w:rPr>
          <w:rFonts w:ascii="Arial" w:hAnsi="Arial" w:cs="Arial"/>
          <w:b/>
          <w:sz w:val="28"/>
          <w:szCs w:val="28"/>
        </w:rPr>
        <w:t>N</w:t>
      </w:r>
      <w:r w:rsidRPr="00015EEE">
        <w:rPr>
          <w:rFonts w:ascii="Arial" w:hAnsi="Arial" w:cs="Arial"/>
          <w:b/>
          <w:sz w:val="28"/>
          <w:szCs w:val="28"/>
        </w:rPr>
        <w:t xml:space="preserve"> PENSIONES – FONDOS ADMINISTRADOS POR COLPENSIONES.</w:t>
      </w:r>
    </w:p>
    <w:bookmarkEnd w:id="118"/>
    <w:p w:rsidR="00937767" w:rsidRPr="00015EEE" w:rsidRDefault="00937767" w:rsidP="00937767">
      <w:pPr>
        <w:pStyle w:val="Textoindependiente"/>
        <w:jc w:val="both"/>
        <w:rPr>
          <w:rFonts w:ascii="Arial" w:hAnsi="Arial" w:cs="Arial"/>
          <w:b/>
          <w:sz w:val="28"/>
          <w:szCs w:val="28"/>
          <w:lang w:val="es-CO"/>
        </w:rPr>
      </w:pPr>
    </w:p>
    <w:p w:rsidR="00937767" w:rsidRPr="009A6A9E" w:rsidRDefault="00937767" w:rsidP="00937767">
      <w:pPr>
        <w:jc w:val="both"/>
        <w:rPr>
          <w:rFonts w:ascii="Arial" w:hAnsi="Arial" w:cs="Arial"/>
          <w:iCs/>
        </w:rPr>
      </w:pPr>
      <w:r w:rsidRPr="009A6A9E">
        <w:rPr>
          <w:rFonts w:ascii="Arial" w:hAnsi="Arial" w:cs="Arial"/>
          <w:iCs/>
        </w:rPr>
        <w:t>En la siguiente tabla se muestra el Estado de situación financiera agregado de los cuatro (4) fondos de reservas que administra Colpensiones, que están separados por cada uno de los riesgos que cubre, así: Vejez, Invalidez, sobrevivientes y la administración del Sistema de Ahorro de Beneficios Económicos Periódicos – BEPS y demás prestaciones determinadas por Ley al 31 de diciembre de 2023, comparativamente con el año 2022.</w:t>
      </w:r>
    </w:p>
    <w:p w:rsidR="00937767" w:rsidRDefault="00937767" w:rsidP="00937767">
      <w:pPr>
        <w:pStyle w:val="Descripcin"/>
      </w:pPr>
      <w:bookmarkStart w:id="119" w:name="_Toc166619008"/>
    </w:p>
    <w:p w:rsidR="00937767" w:rsidRDefault="00937767" w:rsidP="00937767">
      <w:pPr>
        <w:pStyle w:val="Descripcin"/>
        <w:jc w:val="center"/>
        <w:rPr>
          <w:rFonts w:ascii="Arial" w:hAnsi="Arial" w:cs="Arial"/>
          <w:color w:val="000000" w:themeColor="text1"/>
          <w:sz w:val="24"/>
          <w:szCs w:val="24"/>
        </w:rPr>
      </w:pPr>
      <w:r w:rsidRPr="009A6A9E">
        <w:rPr>
          <w:rFonts w:ascii="Arial" w:hAnsi="Arial" w:cs="Arial"/>
          <w:color w:val="000000" w:themeColor="text1"/>
          <w:sz w:val="24"/>
          <w:szCs w:val="24"/>
        </w:rPr>
        <w:t xml:space="preserve">Tabla </w:t>
      </w:r>
      <w:r w:rsidRPr="009A6A9E">
        <w:rPr>
          <w:rFonts w:ascii="Arial" w:hAnsi="Arial" w:cs="Arial"/>
          <w:color w:val="000000" w:themeColor="text1"/>
          <w:sz w:val="24"/>
          <w:szCs w:val="24"/>
        </w:rPr>
        <w:fldChar w:fldCharType="begin"/>
      </w:r>
      <w:r w:rsidRPr="009A6A9E">
        <w:rPr>
          <w:rFonts w:ascii="Arial" w:hAnsi="Arial" w:cs="Arial"/>
          <w:color w:val="000000" w:themeColor="text1"/>
          <w:sz w:val="24"/>
          <w:szCs w:val="24"/>
        </w:rPr>
        <w:instrText xml:space="preserve"> STYLEREF 1 \s </w:instrText>
      </w:r>
      <w:r w:rsidRPr="009A6A9E">
        <w:rPr>
          <w:rFonts w:ascii="Arial" w:hAnsi="Arial" w:cs="Arial"/>
          <w:color w:val="000000" w:themeColor="text1"/>
          <w:sz w:val="24"/>
          <w:szCs w:val="24"/>
        </w:rPr>
        <w:fldChar w:fldCharType="separate"/>
      </w:r>
      <w:r w:rsidRPr="009A6A9E">
        <w:rPr>
          <w:rFonts w:ascii="Arial" w:hAnsi="Arial" w:cs="Arial"/>
          <w:noProof/>
          <w:color w:val="000000" w:themeColor="text1"/>
          <w:sz w:val="24"/>
          <w:szCs w:val="24"/>
        </w:rPr>
        <w:t>4</w:t>
      </w:r>
      <w:r w:rsidRPr="009A6A9E">
        <w:rPr>
          <w:rFonts w:ascii="Arial" w:hAnsi="Arial" w:cs="Arial"/>
          <w:noProof/>
          <w:color w:val="000000" w:themeColor="text1"/>
          <w:sz w:val="24"/>
          <w:szCs w:val="24"/>
        </w:rPr>
        <w:fldChar w:fldCharType="end"/>
      </w:r>
      <w:r w:rsidRPr="009A6A9E">
        <w:rPr>
          <w:rFonts w:ascii="Arial" w:hAnsi="Arial" w:cs="Arial"/>
          <w:color w:val="000000" w:themeColor="text1"/>
          <w:sz w:val="24"/>
          <w:szCs w:val="24"/>
        </w:rPr>
        <w:noBreakHyphen/>
      </w:r>
      <w:r w:rsidRPr="009A6A9E">
        <w:rPr>
          <w:rFonts w:ascii="Arial" w:hAnsi="Arial" w:cs="Arial"/>
          <w:color w:val="000000" w:themeColor="text1"/>
          <w:sz w:val="24"/>
          <w:szCs w:val="24"/>
        </w:rPr>
        <w:fldChar w:fldCharType="begin"/>
      </w:r>
      <w:r w:rsidRPr="009A6A9E">
        <w:rPr>
          <w:rFonts w:ascii="Arial" w:hAnsi="Arial" w:cs="Arial"/>
          <w:color w:val="000000" w:themeColor="text1"/>
          <w:sz w:val="24"/>
          <w:szCs w:val="24"/>
        </w:rPr>
        <w:instrText xml:space="preserve"> SEQ Tabla \* ARABIC \s 1 </w:instrText>
      </w:r>
      <w:r w:rsidRPr="009A6A9E">
        <w:rPr>
          <w:rFonts w:ascii="Arial" w:hAnsi="Arial" w:cs="Arial"/>
          <w:color w:val="000000" w:themeColor="text1"/>
          <w:sz w:val="24"/>
          <w:szCs w:val="24"/>
        </w:rPr>
        <w:fldChar w:fldCharType="separate"/>
      </w:r>
      <w:r w:rsidRPr="009A6A9E">
        <w:rPr>
          <w:rFonts w:ascii="Arial" w:hAnsi="Arial" w:cs="Arial"/>
          <w:noProof/>
          <w:color w:val="000000" w:themeColor="text1"/>
          <w:sz w:val="24"/>
          <w:szCs w:val="24"/>
        </w:rPr>
        <w:t>162</w:t>
      </w:r>
      <w:r w:rsidRPr="009A6A9E">
        <w:rPr>
          <w:rFonts w:ascii="Arial" w:hAnsi="Arial" w:cs="Arial"/>
          <w:noProof/>
          <w:color w:val="000000" w:themeColor="text1"/>
          <w:sz w:val="24"/>
          <w:szCs w:val="24"/>
        </w:rPr>
        <w:fldChar w:fldCharType="end"/>
      </w:r>
      <w:r w:rsidRPr="009A6A9E">
        <w:rPr>
          <w:rFonts w:ascii="Arial" w:hAnsi="Arial" w:cs="Arial"/>
          <w:color w:val="000000" w:themeColor="text1"/>
          <w:sz w:val="24"/>
          <w:szCs w:val="24"/>
        </w:rPr>
        <w:t xml:space="preserve"> Fondos administrados por Colpensiones - Estado de situación financiera (agregado)</w:t>
      </w:r>
      <w:bookmarkEnd w:id="119"/>
    </w:p>
    <w:p w:rsidR="00937767" w:rsidRPr="009A6A9E" w:rsidRDefault="00937767" w:rsidP="00937767">
      <w:pPr>
        <w:rPr>
          <w:lang w:val="es-CO" w:eastAsia="en-US"/>
        </w:rPr>
      </w:pPr>
    </w:p>
    <w:p w:rsidR="00937767" w:rsidRPr="00635862" w:rsidRDefault="00937767" w:rsidP="00937767">
      <w:pPr>
        <w:jc w:val="center"/>
        <w:rPr>
          <w:iCs/>
        </w:rPr>
      </w:pPr>
      <w:r w:rsidRPr="00635862">
        <w:rPr>
          <w:noProof/>
          <w:lang w:val="es-CO" w:eastAsia="es-CO"/>
        </w:rPr>
        <w:drawing>
          <wp:inline distT="0" distB="0" distL="0" distR="0" wp14:anchorId="65BE9315" wp14:editId="5B1D84F6">
            <wp:extent cx="5943600" cy="4836795"/>
            <wp:effectExtent l="0" t="0" r="0" b="1905"/>
            <wp:docPr id="19284552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836795"/>
                    </a:xfrm>
                    <a:prstGeom prst="rect">
                      <a:avLst/>
                    </a:prstGeom>
                    <a:noFill/>
                    <a:ln>
                      <a:noFill/>
                    </a:ln>
                  </pic:spPr>
                </pic:pic>
              </a:graphicData>
            </a:graphic>
          </wp:inline>
        </w:drawing>
      </w:r>
    </w:p>
    <w:p w:rsidR="00937767" w:rsidRPr="00635862" w:rsidRDefault="00937767" w:rsidP="00937767">
      <w:pPr>
        <w:jc w:val="both"/>
        <w:rPr>
          <w:iCs/>
        </w:rPr>
      </w:pPr>
    </w:p>
    <w:p w:rsidR="00937767" w:rsidRPr="009A6A9E" w:rsidRDefault="00937767" w:rsidP="00937767">
      <w:pPr>
        <w:jc w:val="both"/>
        <w:rPr>
          <w:rFonts w:ascii="Arial" w:hAnsi="Arial" w:cs="Arial"/>
          <w:iCs/>
        </w:rPr>
      </w:pPr>
      <w:r w:rsidRPr="009A6A9E">
        <w:rPr>
          <w:rFonts w:ascii="Arial" w:hAnsi="Arial" w:cs="Arial"/>
          <w:iCs/>
        </w:rPr>
        <w:t xml:space="preserve">Los Activos o recursos de los fondos de reservas pensionales administrados por Colpensiones presentan un valor de $12.612,1 al 31 de diciembre de 2023, con una variación porcentual que asciende a 7,3% respecto al año 2022. El concepto de mayor </w:t>
      </w:r>
      <w:r w:rsidRPr="009A6A9E">
        <w:rPr>
          <w:rFonts w:ascii="Arial" w:hAnsi="Arial" w:cs="Arial"/>
          <w:iCs/>
        </w:rPr>
        <w:lastRenderedPageBreak/>
        <w:t xml:space="preserve">participación corresponde a Cuentas por cobrar con un valor $6.817,7 equivalente al 54,1% del total de los activos. </w:t>
      </w:r>
    </w:p>
    <w:p w:rsidR="00937767" w:rsidRPr="009A6A9E" w:rsidRDefault="00937767" w:rsidP="00937767">
      <w:pPr>
        <w:jc w:val="both"/>
        <w:rPr>
          <w:rFonts w:ascii="Arial" w:hAnsi="Arial" w:cs="Arial"/>
          <w:iCs/>
        </w:rPr>
      </w:pPr>
    </w:p>
    <w:p w:rsidR="00937767" w:rsidRPr="009A6A9E" w:rsidRDefault="00937767" w:rsidP="00937767">
      <w:pPr>
        <w:jc w:val="both"/>
        <w:rPr>
          <w:rFonts w:ascii="Arial" w:hAnsi="Arial" w:cs="Arial"/>
          <w:iCs/>
        </w:rPr>
      </w:pPr>
      <w:r w:rsidRPr="009A6A9E">
        <w:rPr>
          <w:rFonts w:ascii="Arial" w:hAnsi="Arial" w:cs="Arial"/>
          <w:iCs/>
        </w:rPr>
        <w:t xml:space="preserve">Los Pasivos de estos fondos suman $2.337,9 al 31 de diciembre de 2023 y corresponden principalmente a las Provisiones con un saldo de $1.271,3, a las Cuentas por pagar con saldo de $568,8 y a Otros pasivos por $497,8. </w:t>
      </w:r>
    </w:p>
    <w:p w:rsidR="00937767" w:rsidRDefault="00937767" w:rsidP="00937767">
      <w:pPr>
        <w:jc w:val="both"/>
        <w:rPr>
          <w:rFonts w:ascii="Arial" w:hAnsi="Arial" w:cs="Arial"/>
          <w:b/>
        </w:rPr>
      </w:pPr>
    </w:p>
    <w:p w:rsidR="00937767" w:rsidRPr="00DF7A44" w:rsidRDefault="00937767" w:rsidP="00937767">
      <w:pPr>
        <w:jc w:val="both"/>
        <w:rPr>
          <w:rFonts w:ascii="Arial" w:hAnsi="Arial" w:cs="Arial"/>
          <w:iCs/>
        </w:rPr>
      </w:pPr>
      <w:r w:rsidRPr="00DF7A44">
        <w:rPr>
          <w:rFonts w:ascii="Arial" w:hAnsi="Arial" w:cs="Arial"/>
          <w:iCs/>
        </w:rPr>
        <w:t>Al 31 de diciembre de 2023, el cálculo actuarial de los fondos de reservas revelados en cuentas de orden como Pasivos contingentes alcanza la suma de $1.476.941,9, que comparado con el valor del año 2022 presenta un incremento del 20,6%. La liquidación provisional de Bonos pensionales registra un valor de $2.754,9, lo que es un 64,5% superior al valor del año 2022.</w:t>
      </w:r>
    </w:p>
    <w:p w:rsidR="00937767" w:rsidRDefault="00937767" w:rsidP="00937767">
      <w:pPr>
        <w:jc w:val="both"/>
        <w:rPr>
          <w:rFonts w:ascii="Arial" w:hAnsi="Arial" w:cs="Arial"/>
          <w:b/>
        </w:rPr>
      </w:pPr>
    </w:p>
    <w:p w:rsidR="00937767" w:rsidRDefault="00937767" w:rsidP="00937767">
      <w:pPr>
        <w:pStyle w:val="Descripcin"/>
        <w:jc w:val="center"/>
        <w:rPr>
          <w:rFonts w:ascii="Arial" w:hAnsi="Arial" w:cs="Arial"/>
          <w:color w:val="000000" w:themeColor="text1"/>
          <w:sz w:val="24"/>
          <w:szCs w:val="24"/>
        </w:rPr>
      </w:pPr>
      <w:bookmarkStart w:id="120" w:name="_Toc166619009"/>
      <w:r w:rsidRPr="00DF7A44">
        <w:rPr>
          <w:rFonts w:ascii="Arial" w:hAnsi="Arial" w:cs="Arial"/>
          <w:color w:val="000000" w:themeColor="text1"/>
          <w:sz w:val="24"/>
          <w:szCs w:val="24"/>
        </w:rPr>
        <w:t xml:space="preserve">Tabla </w:t>
      </w:r>
      <w:r w:rsidRPr="00DF7A44">
        <w:rPr>
          <w:rFonts w:ascii="Arial" w:hAnsi="Arial" w:cs="Arial"/>
          <w:color w:val="000000" w:themeColor="text1"/>
          <w:sz w:val="24"/>
          <w:szCs w:val="24"/>
        </w:rPr>
        <w:fldChar w:fldCharType="begin"/>
      </w:r>
      <w:r w:rsidRPr="00DF7A44">
        <w:rPr>
          <w:rFonts w:ascii="Arial" w:hAnsi="Arial" w:cs="Arial"/>
          <w:color w:val="000000" w:themeColor="text1"/>
          <w:sz w:val="24"/>
          <w:szCs w:val="24"/>
        </w:rPr>
        <w:instrText xml:space="preserve"> STYLEREF 1 \s </w:instrText>
      </w:r>
      <w:r w:rsidRPr="00DF7A44">
        <w:rPr>
          <w:rFonts w:ascii="Arial" w:hAnsi="Arial" w:cs="Arial"/>
          <w:color w:val="000000" w:themeColor="text1"/>
          <w:sz w:val="24"/>
          <w:szCs w:val="24"/>
        </w:rPr>
        <w:fldChar w:fldCharType="separate"/>
      </w:r>
      <w:r w:rsidRPr="00DF7A44">
        <w:rPr>
          <w:rFonts w:ascii="Arial" w:hAnsi="Arial" w:cs="Arial"/>
          <w:noProof/>
          <w:color w:val="000000" w:themeColor="text1"/>
          <w:sz w:val="24"/>
          <w:szCs w:val="24"/>
        </w:rPr>
        <w:t>4</w:t>
      </w:r>
      <w:r w:rsidRPr="00DF7A44">
        <w:rPr>
          <w:rFonts w:ascii="Arial" w:hAnsi="Arial" w:cs="Arial"/>
          <w:noProof/>
          <w:color w:val="000000" w:themeColor="text1"/>
          <w:sz w:val="24"/>
          <w:szCs w:val="24"/>
        </w:rPr>
        <w:fldChar w:fldCharType="end"/>
      </w:r>
      <w:r w:rsidRPr="00DF7A44">
        <w:rPr>
          <w:rFonts w:ascii="Arial" w:hAnsi="Arial" w:cs="Arial"/>
          <w:color w:val="000000" w:themeColor="text1"/>
          <w:sz w:val="24"/>
          <w:szCs w:val="24"/>
        </w:rPr>
        <w:noBreakHyphen/>
      </w:r>
      <w:r w:rsidRPr="00DF7A44">
        <w:rPr>
          <w:rFonts w:ascii="Arial" w:hAnsi="Arial" w:cs="Arial"/>
          <w:color w:val="000000" w:themeColor="text1"/>
          <w:sz w:val="24"/>
          <w:szCs w:val="24"/>
        </w:rPr>
        <w:fldChar w:fldCharType="begin"/>
      </w:r>
      <w:r w:rsidRPr="00DF7A44">
        <w:rPr>
          <w:rFonts w:ascii="Arial" w:hAnsi="Arial" w:cs="Arial"/>
          <w:color w:val="000000" w:themeColor="text1"/>
          <w:sz w:val="24"/>
          <w:szCs w:val="24"/>
        </w:rPr>
        <w:instrText xml:space="preserve"> SEQ Tabla \* ARABIC \s 1 </w:instrText>
      </w:r>
      <w:r w:rsidRPr="00DF7A44">
        <w:rPr>
          <w:rFonts w:ascii="Arial" w:hAnsi="Arial" w:cs="Arial"/>
          <w:color w:val="000000" w:themeColor="text1"/>
          <w:sz w:val="24"/>
          <w:szCs w:val="24"/>
        </w:rPr>
        <w:fldChar w:fldCharType="separate"/>
      </w:r>
      <w:r w:rsidRPr="00DF7A44">
        <w:rPr>
          <w:rFonts w:ascii="Arial" w:hAnsi="Arial" w:cs="Arial"/>
          <w:noProof/>
          <w:color w:val="000000" w:themeColor="text1"/>
          <w:sz w:val="24"/>
          <w:szCs w:val="24"/>
        </w:rPr>
        <w:t>163</w:t>
      </w:r>
      <w:r w:rsidRPr="00DF7A44">
        <w:rPr>
          <w:rFonts w:ascii="Arial" w:hAnsi="Arial" w:cs="Arial"/>
          <w:noProof/>
          <w:color w:val="000000" w:themeColor="text1"/>
          <w:sz w:val="24"/>
          <w:szCs w:val="24"/>
        </w:rPr>
        <w:fldChar w:fldCharType="end"/>
      </w:r>
      <w:r w:rsidRPr="00DF7A44">
        <w:rPr>
          <w:rFonts w:ascii="Arial" w:hAnsi="Arial" w:cs="Arial"/>
          <w:color w:val="000000" w:themeColor="text1"/>
          <w:sz w:val="24"/>
          <w:szCs w:val="24"/>
        </w:rPr>
        <w:t xml:space="preserve"> COLP - Estado de resultados (agregado)</w:t>
      </w:r>
      <w:bookmarkEnd w:id="120"/>
    </w:p>
    <w:p w:rsidR="00937767" w:rsidRPr="00DF7A44" w:rsidRDefault="00937767" w:rsidP="00937767">
      <w:pPr>
        <w:rPr>
          <w:lang w:val="es-CO" w:eastAsia="en-US"/>
        </w:rPr>
      </w:pPr>
    </w:p>
    <w:p w:rsidR="00937767" w:rsidRPr="00635862" w:rsidRDefault="00937767" w:rsidP="00937767">
      <w:pPr>
        <w:jc w:val="center"/>
        <w:rPr>
          <w:iCs/>
        </w:rPr>
      </w:pPr>
      <w:r w:rsidRPr="00635862">
        <w:rPr>
          <w:noProof/>
          <w:lang w:val="es-CO" w:eastAsia="es-CO"/>
        </w:rPr>
        <w:drawing>
          <wp:inline distT="0" distB="0" distL="0" distR="0" wp14:anchorId="1682C6A2" wp14:editId="320AF298">
            <wp:extent cx="5943600" cy="1417955"/>
            <wp:effectExtent l="0" t="0" r="0" b="0"/>
            <wp:docPr id="13903129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417955"/>
                    </a:xfrm>
                    <a:prstGeom prst="rect">
                      <a:avLst/>
                    </a:prstGeom>
                    <a:noFill/>
                    <a:ln>
                      <a:noFill/>
                    </a:ln>
                  </pic:spPr>
                </pic:pic>
              </a:graphicData>
            </a:graphic>
          </wp:inline>
        </w:drawing>
      </w:r>
    </w:p>
    <w:p w:rsidR="00937767" w:rsidRPr="00635862" w:rsidRDefault="00937767" w:rsidP="00937767">
      <w:pPr>
        <w:jc w:val="both"/>
        <w:rPr>
          <w:iCs/>
        </w:rPr>
      </w:pPr>
    </w:p>
    <w:p w:rsidR="00937767" w:rsidRPr="00DF7A44" w:rsidRDefault="00937767" w:rsidP="00937767">
      <w:pPr>
        <w:jc w:val="both"/>
        <w:rPr>
          <w:rFonts w:ascii="Arial" w:hAnsi="Arial" w:cs="Arial"/>
          <w:iCs/>
        </w:rPr>
      </w:pPr>
      <w:r w:rsidRPr="00DF7A44">
        <w:rPr>
          <w:rFonts w:ascii="Arial" w:hAnsi="Arial" w:cs="Arial"/>
          <w:iCs/>
        </w:rPr>
        <w:t xml:space="preserve">Como se observa en la tabla anterior, al 31 de diciembre de 2023 los Fondos de reservas registran ingresos por valor de $1.131,8, que corresponden a los Otros ingresos, saldo superior en $122,3 al registrado al final del año 2022. </w:t>
      </w:r>
    </w:p>
    <w:p w:rsidR="00937767" w:rsidRPr="00DF7A44" w:rsidRDefault="00937767" w:rsidP="00937767">
      <w:pPr>
        <w:jc w:val="both"/>
        <w:rPr>
          <w:rFonts w:ascii="Arial" w:hAnsi="Arial" w:cs="Arial"/>
          <w:iCs/>
        </w:rPr>
      </w:pPr>
    </w:p>
    <w:p w:rsidR="00937767" w:rsidRPr="00DF7A44" w:rsidRDefault="00937767" w:rsidP="00937767">
      <w:pPr>
        <w:jc w:val="both"/>
        <w:rPr>
          <w:rFonts w:ascii="Arial" w:hAnsi="Arial" w:cs="Arial"/>
          <w:iCs/>
        </w:rPr>
      </w:pPr>
      <w:r w:rsidRPr="00DF7A44">
        <w:rPr>
          <w:rFonts w:ascii="Arial" w:hAnsi="Arial" w:cs="Arial"/>
          <w:iCs/>
        </w:rPr>
        <w:t xml:space="preserve">Los gastos registrados por los Fondos de reservas alcanzaron la suma de $562,4, valor inferior al registrado en 2022 que fue de $1.314,1. </w:t>
      </w:r>
    </w:p>
    <w:p w:rsidR="00937767" w:rsidRPr="00DF7A44" w:rsidRDefault="00937767" w:rsidP="00937767">
      <w:pPr>
        <w:jc w:val="both"/>
        <w:rPr>
          <w:rFonts w:ascii="Arial" w:hAnsi="Arial" w:cs="Arial"/>
          <w:iCs/>
        </w:rPr>
      </w:pPr>
      <w:r w:rsidRPr="00DF7A44">
        <w:rPr>
          <w:rFonts w:ascii="Arial" w:hAnsi="Arial" w:cs="Arial"/>
          <w:iCs/>
        </w:rPr>
        <w:t xml:space="preserve"> </w:t>
      </w:r>
    </w:p>
    <w:p w:rsidR="00937767" w:rsidRPr="00DF7A44" w:rsidRDefault="00937767" w:rsidP="00937767">
      <w:pPr>
        <w:jc w:val="both"/>
        <w:rPr>
          <w:rFonts w:ascii="Arial" w:hAnsi="Arial" w:cs="Arial"/>
          <w:iCs/>
        </w:rPr>
      </w:pPr>
      <w:r w:rsidRPr="00DF7A44">
        <w:rPr>
          <w:rFonts w:ascii="Arial" w:hAnsi="Arial" w:cs="Arial"/>
          <w:iCs/>
        </w:rPr>
        <w:t>Como se observa durante el año 2023, los fondos presentan un resultado del ejercicio positivo, alcanzando una cifra de $569,4, caso contrario a lo ocurrido en el periodo 2022 donde se presentó un resultado deficitario de ($304,6), lo que implicó una variación absoluta de $874,0 equivalente al (286,9%).</w:t>
      </w:r>
    </w:p>
    <w:p w:rsidR="00937767" w:rsidRDefault="00937767" w:rsidP="00937767">
      <w:pPr>
        <w:jc w:val="both"/>
        <w:rPr>
          <w:rFonts w:ascii="Arial" w:hAnsi="Arial" w:cs="Arial"/>
          <w:b/>
        </w:rPr>
      </w:pPr>
    </w:p>
    <w:p w:rsidR="00937767" w:rsidRDefault="00937767" w:rsidP="00937767">
      <w:pPr>
        <w:jc w:val="both"/>
        <w:rPr>
          <w:rFonts w:ascii="Arial" w:hAnsi="Arial" w:cs="Arial"/>
          <w:b/>
          <w:sz w:val="28"/>
          <w:szCs w:val="28"/>
        </w:rPr>
      </w:pPr>
      <w:r w:rsidRPr="000D5413">
        <w:rPr>
          <w:rFonts w:ascii="Arial" w:hAnsi="Arial" w:cs="Arial"/>
          <w:b/>
          <w:sz w:val="28"/>
          <w:szCs w:val="28"/>
        </w:rPr>
        <w:t>NOTA 35.- EFECTO VARIACIONES EN TASAS DE CAMBIO EN MONEDA EXTRANJERA.</w:t>
      </w:r>
    </w:p>
    <w:p w:rsidR="00937767" w:rsidRDefault="00937767" w:rsidP="00937767">
      <w:pPr>
        <w:jc w:val="both"/>
        <w:rPr>
          <w:rFonts w:ascii="Arial" w:hAnsi="Arial" w:cs="Arial"/>
          <w:b/>
          <w:sz w:val="28"/>
          <w:szCs w:val="28"/>
        </w:rPr>
      </w:pPr>
    </w:p>
    <w:p w:rsidR="00937767" w:rsidRPr="00FD71A1" w:rsidRDefault="00937767" w:rsidP="00937767">
      <w:pPr>
        <w:jc w:val="both"/>
        <w:rPr>
          <w:rFonts w:ascii="Arial" w:hAnsi="Arial" w:cs="Arial"/>
        </w:rPr>
      </w:pPr>
      <w:r w:rsidRPr="00FD71A1">
        <w:rPr>
          <w:rFonts w:ascii="Arial" w:hAnsi="Arial" w:cs="Arial"/>
        </w:rPr>
        <w:t>La siguiente tabla presenta el efecto neto del reconocimiento de ingresos y gastos, por las fluctuaciones de las tasas de cambio en las operaciones en moneda extranjera, dentro del Estado de Resultados Consolidado del nivel nacional durante el período de 2023, en comparación con el año 2022.</w:t>
      </w:r>
    </w:p>
    <w:p w:rsidR="00937767" w:rsidRPr="00FD71A1" w:rsidRDefault="00937767" w:rsidP="00937767">
      <w:pPr>
        <w:jc w:val="both"/>
        <w:rPr>
          <w:rFonts w:ascii="Arial" w:hAnsi="Arial" w:cs="Arial"/>
        </w:rPr>
      </w:pPr>
    </w:p>
    <w:p w:rsidR="00937767" w:rsidRDefault="00937767" w:rsidP="00937767">
      <w:pPr>
        <w:pStyle w:val="Descripcin"/>
        <w:jc w:val="center"/>
        <w:rPr>
          <w:rFonts w:ascii="Arial" w:hAnsi="Arial" w:cs="Arial"/>
          <w:color w:val="000000" w:themeColor="text1"/>
          <w:sz w:val="24"/>
          <w:szCs w:val="24"/>
        </w:rPr>
      </w:pPr>
      <w:bookmarkStart w:id="121" w:name="_Toc166619010"/>
      <w:r w:rsidRPr="00FD71A1">
        <w:rPr>
          <w:rFonts w:ascii="Arial" w:hAnsi="Arial" w:cs="Arial"/>
          <w:color w:val="000000" w:themeColor="text1"/>
          <w:sz w:val="24"/>
          <w:szCs w:val="24"/>
        </w:rPr>
        <w:t xml:space="preserve">Tabla </w:t>
      </w:r>
      <w:r w:rsidRPr="00FD71A1">
        <w:rPr>
          <w:rFonts w:ascii="Arial" w:hAnsi="Arial" w:cs="Arial"/>
          <w:color w:val="000000" w:themeColor="text1"/>
          <w:sz w:val="24"/>
          <w:szCs w:val="24"/>
        </w:rPr>
        <w:fldChar w:fldCharType="begin"/>
      </w:r>
      <w:r w:rsidRPr="00FD71A1">
        <w:rPr>
          <w:rFonts w:ascii="Arial" w:hAnsi="Arial" w:cs="Arial"/>
          <w:color w:val="000000" w:themeColor="text1"/>
          <w:sz w:val="24"/>
          <w:szCs w:val="24"/>
        </w:rPr>
        <w:instrText xml:space="preserve"> STYLEREF 1 \s </w:instrText>
      </w:r>
      <w:r w:rsidRPr="00FD71A1">
        <w:rPr>
          <w:rFonts w:ascii="Arial" w:hAnsi="Arial" w:cs="Arial"/>
          <w:color w:val="000000" w:themeColor="text1"/>
          <w:sz w:val="24"/>
          <w:szCs w:val="24"/>
        </w:rPr>
        <w:fldChar w:fldCharType="separate"/>
      </w:r>
      <w:r w:rsidRPr="00FD71A1">
        <w:rPr>
          <w:rFonts w:ascii="Arial" w:hAnsi="Arial" w:cs="Arial"/>
          <w:noProof/>
          <w:color w:val="000000" w:themeColor="text1"/>
          <w:sz w:val="24"/>
          <w:szCs w:val="24"/>
        </w:rPr>
        <w:t>4</w:t>
      </w:r>
      <w:r w:rsidRPr="00FD71A1">
        <w:rPr>
          <w:rFonts w:ascii="Arial" w:hAnsi="Arial" w:cs="Arial"/>
          <w:noProof/>
          <w:color w:val="000000" w:themeColor="text1"/>
          <w:sz w:val="24"/>
          <w:szCs w:val="24"/>
        </w:rPr>
        <w:fldChar w:fldCharType="end"/>
      </w:r>
      <w:r w:rsidRPr="00FD71A1">
        <w:rPr>
          <w:rFonts w:ascii="Arial" w:hAnsi="Arial" w:cs="Arial"/>
          <w:color w:val="000000" w:themeColor="text1"/>
          <w:sz w:val="24"/>
          <w:szCs w:val="24"/>
        </w:rPr>
        <w:noBreakHyphen/>
      </w:r>
      <w:r w:rsidRPr="00FD71A1">
        <w:rPr>
          <w:rFonts w:ascii="Arial" w:hAnsi="Arial" w:cs="Arial"/>
          <w:color w:val="000000" w:themeColor="text1"/>
          <w:sz w:val="24"/>
          <w:szCs w:val="24"/>
        </w:rPr>
        <w:fldChar w:fldCharType="begin"/>
      </w:r>
      <w:r w:rsidRPr="00FD71A1">
        <w:rPr>
          <w:rFonts w:ascii="Arial" w:hAnsi="Arial" w:cs="Arial"/>
          <w:color w:val="000000" w:themeColor="text1"/>
          <w:sz w:val="24"/>
          <w:szCs w:val="24"/>
        </w:rPr>
        <w:instrText xml:space="preserve"> SEQ Tabla \* ARABIC \s 1 </w:instrText>
      </w:r>
      <w:r w:rsidRPr="00FD71A1">
        <w:rPr>
          <w:rFonts w:ascii="Arial" w:hAnsi="Arial" w:cs="Arial"/>
          <w:color w:val="000000" w:themeColor="text1"/>
          <w:sz w:val="24"/>
          <w:szCs w:val="24"/>
        </w:rPr>
        <w:fldChar w:fldCharType="separate"/>
      </w:r>
      <w:r w:rsidRPr="00FD71A1">
        <w:rPr>
          <w:rFonts w:ascii="Arial" w:hAnsi="Arial" w:cs="Arial"/>
          <w:noProof/>
          <w:color w:val="000000" w:themeColor="text1"/>
          <w:sz w:val="24"/>
          <w:szCs w:val="24"/>
        </w:rPr>
        <w:t>164</w:t>
      </w:r>
      <w:r w:rsidRPr="00FD71A1">
        <w:rPr>
          <w:rFonts w:ascii="Arial" w:hAnsi="Arial" w:cs="Arial"/>
          <w:noProof/>
          <w:color w:val="000000" w:themeColor="text1"/>
          <w:sz w:val="24"/>
          <w:szCs w:val="24"/>
        </w:rPr>
        <w:fldChar w:fldCharType="end"/>
      </w:r>
      <w:r w:rsidRPr="00FD71A1">
        <w:rPr>
          <w:rFonts w:ascii="Arial" w:hAnsi="Arial" w:cs="Arial"/>
          <w:color w:val="000000" w:themeColor="text1"/>
          <w:sz w:val="24"/>
          <w:szCs w:val="24"/>
        </w:rPr>
        <w:t xml:space="preserve"> Variaciones en tasas de cambio en moneda extranjera (MONEXT) – Efecto neto</w:t>
      </w:r>
      <w:bookmarkEnd w:id="121"/>
    </w:p>
    <w:p w:rsidR="00937767" w:rsidRPr="001A7724" w:rsidRDefault="00937767" w:rsidP="00937767">
      <w:pPr>
        <w:jc w:val="center"/>
        <w:rPr>
          <w:color w:val="000000" w:themeColor="text1"/>
        </w:rPr>
      </w:pPr>
      <w:r w:rsidRPr="007723CF">
        <w:rPr>
          <w:noProof/>
          <w:lang w:val="es-CO" w:eastAsia="es-CO"/>
        </w:rPr>
        <w:lastRenderedPageBreak/>
        <w:drawing>
          <wp:inline distT="0" distB="0" distL="0" distR="0" wp14:anchorId="69097E78" wp14:editId="2C45A5D9">
            <wp:extent cx="5943600" cy="1384300"/>
            <wp:effectExtent l="0" t="0" r="0" b="0"/>
            <wp:docPr id="3368363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384300"/>
                    </a:xfrm>
                    <a:prstGeom prst="rect">
                      <a:avLst/>
                    </a:prstGeom>
                    <a:noFill/>
                    <a:ln>
                      <a:noFill/>
                    </a:ln>
                  </pic:spPr>
                </pic:pic>
              </a:graphicData>
            </a:graphic>
          </wp:inline>
        </w:drawing>
      </w:r>
    </w:p>
    <w:p w:rsidR="00937767" w:rsidRPr="001A7724" w:rsidRDefault="00937767" w:rsidP="00937767">
      <w:pPr>
        <w:pStyle w:val="Textoindependiente"/>
        <w:jc w:val="both"/>
        <w:rPr>
          <w:rFonts w:ascii="Verdana" w:hAnsi="Verdana"/>
          <w:color w:val="000000" w:themeColor="text1"/>
          <w:lang w:val="es-CO"/>
        </w:rPr>
      </w:pPr>
    </w:p>
    <w:p w:rsidR="00937767" w:rsidRPr="00FD71A1" w:rsidRDefault="00937767" w:rsidP="00937767">
      <w:pPr>
        <w:jc w:val="both"/>
        <w:rPr>
          <w:rFonts w:ascii="Arial" w:hAnsi="Arial" w:cs="Arial"/>
        </w:rPr>
      </w:pPr>
      <w:r w:rsidRPr="00FD71A1">
        <w:rPr>
          <w:rFonts w:ascii="Arial" w:hAnsi="Arial" w:cs="Arial"/>
        </w:rPr>
        <w:t>La diferencia en cambio durante el año 2023 implicó un efecto neto favorable de $59.530,2 para las entidades consolidadas del nivel nacional. Este beneficio resulta de la diferencia entre los Ingresos por valor de $188.767,2 y los Gastos de $129.237,0. Comparativamente, esto supone una variación de $129.918,8 respecto a la pérdida registrada en el año 2022, es decir, una variación del 184,6%.</w:t>
      </w:r>
    </w:p>
    <w:p w:rsidR="00937767" w:rsidRDefault="00937767" w:rsidP="00937767">
      <w:pPr>
        <w:jc w:val="both"/>
        <w:rPr>
          <w:rFonts w:ascii="Arial" w:hAnsi="Arial" w:cs="Arial"/>
          <w:b/>
          <w:sz w:val="28"/>
          <w:szCs w:val="28"/>
        </w:rPr>
      </w:pPr>
    </w:p>
    <w:p w:rsidR="00937767" w:rsidRDefault="00937767" w:rsidP="00937767">
      <w:pPr>
        <w:jc w:val="both"/>
        <w:rPr>
          <w:rFonts w:ascii="Arial" w:hAnsi="Arial" w:cs="Arial"/>
          <w:b/>
          <w:sz w:val="28"/>
          <w:szCs w:val="28"/>
        </w:rPr>
      </w:pPr>
      <w:r>
        <w:rPr>
          <w:rFonts w:ascii="Arial" w:hAnsi="Arial" w:cs="Arial"/>
          <w:b/>
          <w:sz w:val="28"/>
          <w:szCs w:val="28"/>
        </w:rPr>
        <w:t>NOTA 36.- IMPUESTOS.</w:t>
      </w:r>
    </w:p>
    <w:p w:rsidR="00937767" w:rsidRDefault="00937767" w:rsidP="00937767">
      <w:pPr>
        <w:jc w:val="both"/>
        <w:rPr>
          <w:rFonts w:ascii="Arial" w:hAnsi="Arial" w:cs="Arial"/>
          <w:b/>
          <w:sz w:val="28"/>
          <w:szCs w:val="28"/>
        </w:rPr>
      </w:pPr>
    </w:p>
    <w:p w:rsidR="00937767" w:rsidRDefault="00937767" w:rsidP="00937767">
      <w:pPr>
        <w:jc w:val="both"/>
        <w:rPr>
          <w:rFonts w:ascii="Arial" w:hAnsi="Arial" w:cs="Arial"/>
          <w:b/>
          <w:sz w:val="28"/>
          <w:szCs w:val="28"/>
        </w:rPr>
      </w:pPr>
      <w:r>
        <w:rPr>
          <w:rFonts w:ascii="Arial" w:hAnsi="Arial" w:cs="Arial"/>
          <w:b/>
          <w:sz w:val="28"/>
          <w:szCs w:val="28"/>
        </w:rPr>
        <w:t>NOTA 36 - 1.- IMPUESTOS CORRIENTES.</w:t>
      </w:r>
    </w:p>
    <w:p w:rsidR="00937767" w:rsidRDefault="00937767" w:rsidP="00937767">
      <w:pPr>
        <w:jc w:val="both"/>
        <w:rPr>
          <w:rFonts w:ascii="Arial" w:hAnsi="Arial" w:cs="Arial"/>
          <w:b/>
          <w:sz w:val="28"/>
          <w:szCs w:val="28"/>
        </w:rPr>
      </w:pPr>
    </w:p>
    <w:p w:rsidR="00937767" w:rsidRDefault="00937767" w:rsidP="00937767">
      <w:pPr>
        <w:pStyle w:val="Descripcin"/>
        <w:jc w:val="center"/>
        <w:rPr>
          <w:rFonts w:ascii="Arial" w:hAnsi="Arial" w:cs="Arial"/>
          <w:color w:val="000000" w:themeColor="text1"/>
          <w:sz w:val="24"/>
          <w:szCs w:val="24"/>
        </w:rPr>
      </w:pPr>
      <w:bookmarkStart w:id="122" w:name="_Toc166619013"/>
      <w:r w:rsidRPr="00AC7CAB">
        <w:rPr>
          <w:rFonts w:ascii="Arial" w:hAnsi="Arial" w:cs="Arial"/>
          <w:color w:val="000000" w:themeColor="text1"/>
          <w:sz w:val="24"/>
          <w:szCs w:val="24"/>
        </w:rPr>
        <w:t xml:space="preserve">Tabla </w:t>
      </w:r>
      <w:r w:rsidRPr="00AC7CAB">
        <w:rPr>
          <w:rFonts w:ascii="Arial" w:hAnsi="Arial" w:cs="Arial"/>
          <w:color w:val="000000" w:themeColor="text1"/>
          <w:sz w:val="24"/>
          <w:szCs w:val="24"/>
        </w:rPr>
        <w:fldChar w:fldCharType="begin"/>
      </w:r>
      <w:r w:rsidRPr="00AC7CAB">
        <w:rPr>
          <w:rFonts w:ascii="Arial" w:hAnsi="Arial" w:cs="Arial"/>
          <w:color w:val="000000" w:themeColor="text1"/>
          <w:sz w:val="24"/>
          <w:szCs w:val="24"/>
        </w:rPr>
        <w:instrText xml:space="preserve"> STYLEREF 1 \s </w:instrText>
      </w:r>
      <w:r w:rsidRPr="00AC7CAB">
        <w:rPr>
          <w:rFonts w:ascii="Arial" w:hAnsi="Arial" w:cs="Arial"/>
          <w:color w:val="000000" w:themeColor="text1"/>
          <w:sz w:val="24"/>
          <w:szCs w:val="24"/>
        </w:rPr>
        <w:fldChar w:fldCharType="separate"/>
      </w:r>
      <w:r w:rsidRPr="00AC7CAB">
        <w:rPr>
          <w:rFonts w:ascii="Arial" w:hAnsi="Arial" w:cs="Arial"/>
          <w:noProof/>
          <w:color w:val="000000" w:themeColor="text1"/>
          <w:sz w:val="24"/>
          <w:szCs w:val="24"/>
        </w:rPr>
        <w:t>4</w:t>
      </w:r>
      <w:r w:rsidRPr="00AC7CAB">
        <w:rPr>
          <w:rFonts w:ascii="Arial" w:hAnsi="Arial" w:cs="Arial"/>
          <w:noProof/>
          <w:color w:val="000000" w:themeColor="text1"/>
          <w:sz w:val="24"/>
          <w:szCs w:val="24"/>
        </w:rPr>
        <w:fldChar w:fldCharType="end"/>
      </w:r>
      <w:r w:rsidRPr="00AC7CAB">
        <w:rPr>
          <w:rFonts w:ascii="Arial" w:hAnsi="Arial" w:cs="Arial"/>
          <w:color w:val="000000" w:themeColor="text1"/>
          <w:sz w:val="24"/>
          <w:szCs w:val="24"/>
        </w:rPr>
        <w:noBreakHyphen/>
      </w:r>
      <w:r w:rsidRPr="00AC7CAB">
        <w:rPr>
          <w:rFonts w:ascii="Arial" w:hAnsi="Arial" w:cs="Arial"/>
          <w:color w:val="000000" w:themeColor="text1"/>
          <w:sz w:val="24"/>
          <w:szCs w:val="24"/>
        </w:rPr>
        <w:fldChar w:fldCharType="begin"/>
      </w:r>
      <w:r w:rsidRPr="00AC7CAB">
        <w:rPr>
          <w:rFonts w:ascii="Arial" w:hAnsi="Arial" w:cs="Arial"/>
          <w:color w:val="000000" w:themeColor="text1"/>
          <w:sz w:val="24"/>
          <w:szCs w:val="24"/>
        </w:rPr>
        <w:instrText xml:space="preserve"> SEQ Tabla \* ARABIC \s 1 </w:instrText>
      </w:r>
      <w:r w:rsidRPr="00AC7CAB">
        <w:rPr>
          <w:rFonts w:ascii="Arial" w:hAnsi="Arial" w:cs="Arial"/>
          <w:color w:val="000000" w:themeColor="text1"/>
          <w:sz w:val="24"/>
          <w:szCs w:val="24"/>
        </w:rPr>
        <w:fldChar w:fldCharType="separate"/>
      </w:r>
      <w:r w:rsidRPr="00AC7CAB">
        <w:rPr>
          <w:rFonts w:ascii="Arial" w:hAnsi="Arial" w:cs="Arial"/>
          <w:noProof/>
          <w:color w:val="000000" w:themeColor="text1"/>
          <w:sz w:val="24"/>
          <w:szCs w:val="24"/>
        </w:rPr>
        <w:t>167</w:t>
      </w:r>
      <w:r w:rsidRPr="00AC7CAB">
        <w:rPr>
          <w:rFonts w:ascii="Arial" w:hAnsi="Arial" w:cs="Arial"/>
          <w:noProof/>
          <w:color w:val="000000" w:themeColor="text1"/>
          <w:sz w:val="24"/>
          <w:szCs w:val="24"/>
        </w:rPr>
        <w:fldChar w:fldCharType="end"/>
      </w:r>
      <w:r w:rsidRPr="00AC7CAB">
        <w:rPr>
          <w:rFonts w:ascii="Arial" w:hAnsi="Arial" w:cs="Arial"/>
          <w:color w:val="000000" w:themeColor="text1"/>
          <w:sz w:val="24"/>
          <w:szCs w:val="24"/>
        </w:rPr>
        <w:t xml:space="preserve"> Impuestos corrientes Activo (IMPCA)</w:t>
      </w:r>
      <w:r>
        <w:rPr>
          <w:rFonts w:ascii="Arial" w:hAnsi="Arial" w:cs="Arial"/>
          <w:color w:val="000000" w:themeColor="text1"/>
          <w:sz w:val="24"/>
          <w:szCs w:val="24"/>
        </w:rPr>
        <w:t xml:space="preserve"> </w:t>
      </w:r>
      <w:r w:rsidRPr="00AC7CAB">
        <w:rPr>
          <w:rFonts w:ascii="Arial" w:hAnsi="Arial" w:cs="Arial"/>
          <w:color w:val="000000" w:themeColor="text1"/>
          <w:sz w:val="24"/>
          <w:szCs w:val="24"/>
        </w:rPr>
        <w:t>– composición</w:t>
      </w:r>
      <w:bookmarkEnd w:id="122"/>
    </w:p>
    <w:p w:rsidR="00937767" w:rsidRPr="00AC7CAB" w:rsidRDefault="00937767" w:rsidP="00937767">
      <w:pPr>
        <w:rPr>
          <w:lang w:val="es-CO" w:eastAsia="en-US"/>
        </w:rPr>
      </w:pPr>
    </w:p>
    <w:p w:rsidR="00937767" w:rsidRPr="00F219F8" w:rsidRDefault="00937767" w:rsidP="00937767">
      <w:pPr>
        <w:jc w:val="center"/>
        <w:rPr>
          <w:sz w:val="20"/>
          <w:szCs w:val="20"/>
        </w:rPr>
      </w:pPr>
      <w:r w:rsidRPr="00F219F8">
        <w:rPr>
          <w:noProof/>
          <w:lang w:val="es-CO" w:eastAsia="es-CO"/>
        </w:rPr>
        <w:drawing>
          <wp:inline distT="0" distB="0" distL="0" distR="0" wp14:anchorId="06F85106" wp14:editId="7F4908D3">
            <wp:extent cx="5943600" cy="30727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072765"/>
                    </a:xfrm>
                    <a:prstGeom prst="rect">
                      <a:avLst/>
                    </a:prstGeom>
                    <a:noFill/>
                    <a:ln>
                      <a:noFill/>
                    </a:ln>
                  </pic:spPr>
                </pic:pic>
              </a:graphicData>
            </a:graphic>
          </wp:inline>
        </w:drawing>
      </w:r>
    </w:p>
    <w:p w:rsidR="00937767" w:rsidRPr="00F219F8" w:rsidRDefault="00937767" w:rsidP="00937767">
      <w:pPr>
        <w:jc w:val="both"/>
        <w:rPr>
          <w:sz w:val="20"/>
          <w:szCs w:val="20"/>
        </w:rPr>
      </w:pPr>
    </w:p>
    <w:p w:rsidR="00937767" w:rsidRDefault="00937767" w:rsidP="00937767">
      <w:pPr>
        <w:jc w:val="both"/>
        <w:rPr>
          <w:rFonts w:ascii="Arial" w:hAnsi="Arial" w:cs="Arial"/>
        </w:rPr>
      </w:pPr>
      <w:r w:rsidRPr="007A5E1B">
        <w:rPr>
          <w:rFonts w:ascii="Arial" w:hAnsi="Arial" w:cs="Arial"/>
        </w:rPr>
        <w:t xml:space="preserve">Como se observa en la tabla anterior, al 31 de diciembre de 2023, el valor agregado de los activos por impuestos corrientes del nivel nacional es de $8.523,7, y una vez ejecutado el proceso de consolidación, se presenta un efecto neto de eliminaciones y reclasificaciones por valor de ($5.381,8) para llegar así a un total consolidado de $3.141,9, valor que representa el 0,4% sobre el total de los Activos consolidados que ascienden a $895.837,7. </w:t>
      </w:r>
    </w:p>
    <w:p w:rsidR="00937767" w:rsidRDefault="00937767" w:rsidP="00937767">
      <w:pPr>
        <w:jc w:val="both"/>
        <w:rPr>
          <w:rFonts w:ascii="Arial" w:hAnsi="Arial" w:cs="Arial"/>
        </w:rPr>
      </w:pPr>
    </w:p>
    <w:p w:rsidR="00937767" w:rsidRPr="00DB7D77" w:rsidRDefault="00937767" w:rsidP="00937767">
      <w:pPr>
        <w:jc w:val="both"/>
        <w:rPr>
          <w:rFonts w:ascii="Arial" w:hAnsi="Arial" w:cs="Arial"/>
        </w:rPr>
      </w:pPr>
      <w:r w:rsidRPr="00DB7D77">
        <w:rPr>
          <w:rFonts w:ascii="Arial" w:hAnsi="Arial" w:cs="Arial"/>
        </w:rPr>
        <w:lastRenderedPageBreak/>
        <w:t xml:space="preserve">El valor consolidado de los activos por impuestos corrientes 2023 se incrementó en $784,0, equivalente al 33,2% del valor consolidado el año anterior. </w:t>
      </w:r>
    </w:p>
    <w:p w:rsidR="00937767" w:rsidRPr="00F219F8" w:rsidRDefault="00937767" w:rsidP="00937767">
      <w:pPr>
        <w:jc w:val="both"/>
        <w:rPr>
          <w:sz w:val="20"/>
          <w:szCs w:val="20"/>
        </w:rPr>
      </w:pPr>
    </w:p>
    <w:p w:rsidR="00937767" w:rsidRDefault="00937767" w:rsidP="00937767">
      <w:pPr>
        <w:pStyle w:val="Descripcin"/>
        <w:jc w:val="center"/>
        <w:rPr>
          <w:rFonts w:ascii="Arial" w:hAnsi="Arial" w:cs="Arial"/>
          <w:color w:val="000000" w:themeColor="text1"/>
          <w:sz w:val="24"/>
          <w:szCs w:val="24"/>
        </w:rPr>
      </w:pPr>
      <w:bookmarkStart w:id="123" w:name="_Toc166619014"/>
      <w:r w:rsidRPr="00DB7D77">
        <w:rPr>
          <w:rFonts w:ascii="Arial" w:hAnsi="Arial" w:cs="Arial"/>
          <w:color w:val="000000" w:themeColor="text1"/>
          <w:sz w:val="24"/>
          <w:szCs w:val="24"/>
        </w:rPr>
        <w:t xml:space="preserve">Tabla </w:t>
      </w:r>
      <w:r w:rsidRPr="00DB7D77">
        <w:rPr>
          <w:rFonts w:ascii="Arial" w:hAnsi="Arial" w:cs="Arial"/>
          <w:color w:val="000000" w:themeColor="text1"/>
          <w:sz w:val="24"/>
          <w:szCs w:val="24"/>
        </w:rPr>
        <w:fldChar w:fldCharType="begin"/>
      </w:r>
      <w:r w:rsidRPr="00DB7D77">
        <w:rPr>
          <w:rFonts w:ascii="Arial" w:hAnsi="Arial" w:cs="Arial"/>
          <w:color w:val="000000" w:themeColor="text1"/>
          <w:sz w:val="24"/>
          <w:szCs w:val="24"/>
        </w:rPr>
        <w:instrText xml:space="preserve"> STYLEREF 1 \s </w:instrText>
      </w:r>
      <w:r w:rsidRPr="00DB7D77">
        <w:rPr>
          <w:rFonts w:ascii="Arial" w:hAnsi="Arial" w:cs="Arial"/>
          <w:color w:val="000000" w:themeColor="text1"/>
          <w:sz w:val="24"/>
          <w:szCs w:val="24"/>
        </w:rPr>
        <w:fldChar w:fldCharType="separate"/>
      </w:r>
      <w:r w:rsidRPr="00DB7D77">
        <w:rPr>
          <w:rFonts w:ascii="Arial" w:hAnsi="Arial" w:cs="Arial"/>
          <w:noProof/>
          <w:color w:val="000000" w:themeColor="text1"/>
          <w:sz w:val="24"/>
          <w:szCs w:val="24"/>
        </w:rPr>
        <w:t>4</w:t>
      </w:r>
      <w:r w:rsidRPr="00DB7D77">
        <w:rPr>
          <w:rFonts w:ascii="Arial" w:hAnsi="Arial" w:cs="Arial"/>
          <w:noProof/>
          <w:color w:val="000000" w:themeColor="text1"/>
          <w:sz w:val="24"/>
          <w:szCs w:val="24"/>
        </w:rPr>
        <w:fldChar w:fldCharType="end"/>
      </w:r>
      <w:r w:rsidRPr="00DB7D77">
        <w:rPr>
          <w:rFonts w:ascii="Arial" w:hAnsi="Arial" w:cs="Arial"/>
          <w:color w:val="000000" w:themeColor="text1"/>
          <w:sz w:val="24"/>
          <w:szCs w:val="24"/>
        </w:rPr>
        <w:noBreakHyphen/>
      </w:r>
      <w:r w:rsidRPr="00DB7D77">
        <w:rPr>
          <w:rFonts w:ascii="Arial" w:hAnsi="Arial" w:cs="Arial"/>
          <w:color w:val="000000" w:themeColor="text1"/>
          <w:sz w:val="24"/>
          <w:szCs w:val="24"/>
        </w:rPr>
        <w:fldChar w:fldCharType="begin"/>
      </w:r>
      <w:r w:rsidRPr="00DB7D77">
        <w:rPr>
          <w:rFonts w:ascii="Arial" w:hAnsi="Arial" w:cs="Arial"/>
          <w:color w:val="000000" w:themeColor="text1"/>
          <w:sz w:val="24"/>
          <w:szCs w:val="24"/>
        </w:rPr>
        <w:instrText xml:space="preserve"> SEQ Tabla \* ARABIC \s 1 </w:instrText>
      </w:r>
      <w:r w:rsidRPr="00DB7D77">
        <w:rPr>
          <w:rFonts w:ascii="Arial" w:hAnsi="Arial" w:cs="Arial"/>
          <w:color w:val="000000" w:themeColor="text1"/>
          <w:sz w:val="24"/>
          <w:szCs w:val="24"/>
        </w:rPr>
        <w:fldChar w:fldCharType="separate"/>
      </w:r>
      <w:r w:rsidRPr="00DB7D77">
        <w:rPr>
          <w:rFonts w:ascii="Arial" w:hAnsi="Arial" w:cs="Arial"/>
          <w:noProof/>
          <w:color w:val="000000" w:themeColor="text1"/>
          <w:sz w:val="24"/>
          <w:szCs w:val="24"/>
        </w:rPr>
        <w:t>168</w:t>
      </w:r>
      <w:r w:rsidRPr="00DB7D77">
        <w:rPr>
          <w:rFonts w:ascii="Arial" w:hAnsi="Arial" w:cs="Arial"/>
          <w:noProof/>
          <w:color w:val="000000" w:themeColor="text1"/>
          <w:sz w:val="24"/>
          <w:szCs w:val="24"/>
        </w:rPr>
        <w:fldChar w:fldCharType="end"/>
      </w:r>
      <w:r w:rsidRPr="00DB7D77">
        <w:rPr>
          <w:rFonts w:ascii="Arial" w:hAnsi="Arial" w:cs="Arial"/>
          <w:color w:val="000000" w:themeColor="text1"/>
          <w:sz w:val="24"/>
          <w:szCs w:val="24"/>
        </w:rPr>
        <w:t xml:space="preserve"> Impuestos corrientes Pasivo (IMPCP) – composición</w:t>
      </w:r>
      <w:bookmarkEnd w:id="123"/>
    </w:p>
    <w:p w:rsidR="004B3376" w:rsidRPr="004B3376" w:rsidRDefault="004B3376" w:rsidP="004B3376">
      <w:pPr>
        <w:rPr>
          <w:lang w:val="es-CO" w:eastAsia="en-US"/>
        </w:rPr>
      </w:pPr>
    </w:p>
    <w:p w:rsidR="00937767" w:rsidRPr="00F219F8" w:rsidRDefault="00937767" w:rsidP="00937767">
      <w:pPr>
        <w:jc w:val="both"/>
        <w:rPr>
          <w:sz w:val="20"/>
          <w:szCs w:val="20"/>
        </w:rPr>
      </w:pPr>
      <w:r w:rsidRPr="00F219F8">
        <w:rPr>
          <w:noProof/>
          <w:lang w:val="es-CO" w:eastAsia="es-CO"/>
        </w:rPr>
        <w:drawing>
          <wp:inline distT="0" distB="0" distL="0" distR="0" wp14:anchorId="2FE488F4" wp14:editId="6D66CDAF">
            <wp:extent cx="5943600" cy="23418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2341880"/>
                    </a:xfrm>
                    <a:prstGeom prst="rect">
                      <a:avLst/>
                    </a:prstGeom>
                    <a:noFill/>
                    <a:ln>
                      <a:noFill/>
                    </a:ln>
                  </pic:spPr>
                </pic:pic>
              </a:graphicData>
            </a:graphic>
          </wp:inline>
        </w:drawing>
      </w:r>
    </w:p>
    <w:p w:rsidR="00937767" w:rsidRPr="00DB7D77" w:rsidRDefault="00937767" w:rsidP="00937767">
      <w:pPr>
        <w:jc w:val="both"/>
        <w:rPr>
          <w:rFonts w:ascii="Arial" w:hAnsi="Arial" w:cs="Arial"/>
        </w:rPr>
      </w:pPr>
      <w:r w:rsidRPr="00DB7D77">
        <w:rPr>
          <w:rFonts w:ascii="Arial" w:hAnsi="Arial" w:cs="Arial"/>
        </w:rPr>
        <w:t>En el caso de los pasivos por impuestos corrientes, el valor agregado de $189.710,5, se disminuye por el efecto neto de eliminaciones y reclasificaciones del proceso de consolidación en un monto de ($2.119,6), para alcanzar un saldo consolidado de $187.590,9 equivalente al 8,7% del total del pasivo consolidado del nivel nacional que presenta un valor de $2.145.592,0.</w:t>
      </w:r>
    </w:p>
    <w:p w:rsidR="00937767" w:rsidRPr="00DB7D77" w:rsidRDefault="00937767" w:rsidP="00937767">
      <w:pPr>
        <w:jc w:val="both"/>
        <w:rPr>
          <w:rFonts w:ascii="Arial" w:hAnsi="Arial" w:cs="Arial"/>
        </w:rPr>
      </w:pPr>
    </w:p>
    <w:p w:rsidR="00937767" w:rsidRPr="00DB7D77" w:rsidRDefault="00937767" w:rsidP="00937767">
      <w:pPr>
        <w:jc w:val="both"/>
        <w:rPr>
          <w:rFonts w:ascii="Arial" w:hAnsi="Arial" w:cs="Arial"/>
        </w:rPr>
      </w:pPr>
      <w:r w:rsidRPr="00DB7D77">
        <w:rPr>
          <w:rFonts w:ascii="Arial" w:hAnsi="Arial" w:cs="Arial"/>
        </w:rPr>
        <w:t>Los conceptos de Retención en la fuente del impuesto sobre la renta y complementarios y Anticipo impuesto de renta, registran incrementos por $26.919,3 y $6.979,8 equivalentes al 21,3% y el 68,1% respectivamente.</w:t>
      </w:r>
    </w:p>
    <w:p w:rsidR="00937767" w:rsidRPr="00F219F8" w:rsidRDefault="00937767" w:rsidP="00937767">
      <w:pPr>
        <w:jc w:val="both"/>
        <w:rPr>
          <w:sz w:val="20"/>
          <w:szCs w:val="20"/>
        </w:rPr>
      </w:pPr>
    </w:p>
    <w:p w:rsidR="00937767" w:rsidRDefault="00937767" w:rsidP="00937767">
      <w:pPr>
        <w:pStyle w:val="Descripcin"/>
        <w:jc w:val="center"/>
        <w:rPr>
          <w:rFonts w:ascii="Arial" w:hAnsi="Arial" w:cs="Arial"/>
          <w:color w:val="000000" w:themeColor="text1"/>
          <w:sz w:val="24"/>
          <w:szCs w:val="24"/>
        </w:rPr>
      </w:pPr>
      <w:bookmarkStart w:id="124" w:name="_Toc166619015"/>
      <w:r w:rsidRPr="00DB7D77">
        <w:rPr>
          <w:rFonts w:ascii="Arial" w:hAnsi="Arial" w:cs="Arial"/>
          <w:color w:val="000000" w:themeColor="text1"/>
          <w:sz w:val="24"/>
          <w:szCs w:val="24"/>
        </w:rPr>
        <w:t xml:space="preserve">Tabla </w:t>
      </w:r>
      <w:r w:rsidRPr="00DB7D77">
        <w:rPr>
          <w:rFonts w:ascii="Arial" w:hAnsi="Arial" w:cs="Arial"/>
          <w:color w:val="000000" w:themeColor="text1"/>
          <w:sz w:val="24"/>
          <w:szCs w:val="24"/>
        </w:rPr>
        <w:fldChar w:fldCharType="begin"/>
      </w:r>
      <w:r w:rsidRPr="00DB7D77">
        <w:rPr>
          <w:rFonts w:ascii="Arial" w:hAnsi="Arial" w:cs="Arial"/>
          <w:color w:val="000000" w:themeColor="text1"/>
          <w:sz w:val="24"/>
          <w:szCs w:val="24"/>
        </w:rPr>
        <w:instrText xml:space="preserve"> STYLEREF 1 \s </w:instrText>
      </w:r>
      <w:r w:rsidRPr="00DB7D77">
        <w:rPr>
          <w:rFonts w:ascii="Arial" w:hAnsi="Arial" w:cs="Arial"/>
          <w:color w:val="000000" w:themeColor="text1"/>
          <w:sz w:val="24"/>
          <w:szCs w:val="24"/>
        </w:rPr>
        <w:fldChar w:fldCharType="separate"/>
      </w:r>
      <w:r w:rsidRPr="00DB7D77">
        <w:rPr>
          <w:rFonts w:ascii="Arial" w:hAnsi="Arial" w:cs="Arial"/>
          <w:noProof/>
          <w:color w:val="000000" w:themeColor="text1"/>
          <w:sz w:val="24"/>
          <w:szCs w:val="24"/>
        </w:rPr>
        <w:t>4</w:t>
      </w:r>
      <w:r w:rsidRPr="00DB7D77">
        <w:rPr>
          <w:rFonts w:ascii="Arial" w:hAnsi="Arial" w:cs="Arial"/>
          <w:noProof/>
          <w:color w:val="000000" w:themeColor="text1"/>
          <w:sz w:val="24"/>
          <w:szCs w:val="24"/>
        </w:rPr>
        <w:fldChar w:fldCharType="end"/>
      </w:r>
      <w:r w:rsidRPr="00DB7D77">
        <w:rPr>
          <w:rFonts w:ascii="Arial" w:hAnsi="Arial" w:cs="Arial"/>
          <w:color w:val="000000" w:themeColor="text1"/>
          <w:sz w:val="24"/>
          <w:szCs w:val="24"/>
        </w:rPr>
        <w:noBreakHyphen/>
      </w:r>
      <w:r w:rsidRPr="00DB7D77">
        <w:rPr>
          <w:rFonts w:ascii="Arial" w:hAnsi="Arial" w:cs="Arial"/>
          <w:color w:val="000000" w:themeColor="text1"/>
          <w:sz w:val="24"/>
          <w:szCs w:val="24"/>
        </w:rPr>
        <w:fldChar w:fldCharType="begin"/>
      </w:r>
      <w:r w:rsidRPr="00DB7D77">
        <w:rPr>
          <w:rFonts w:ascii="Arial" w:hAnsi="Arial" w:cs="Arial"/>
          <w:color w:val="000000" w:themeColor="text1"/>
          <w:sz w:val="24"/>
          <w:szCs w:val="24"/>
        </w:rPr>
        <w:instrText xml:space="preserve"> SEQ Tabla \* ARABIC \s 1 </w:instrText>
      </w:r>
      <w:r w:rsidRPr="00DB7D77">
        <w:rPr>
          <w:rFonts w:ascii="Arial" w:hAnsi="Arial" w:cs="Arial"/>
          <w:color w:val="000000" w:themeColor="text1"/>
          <w:sz w:val="24"/>
          <w:szCs w:val="24"/>
        </w:rPr>
        <w:fldChar w:fldCharType="separate"/>
      </w:r>
      <w:r w:rsidRPr="00DB7D77">
        <w:rPr>
          <w:rFonts w:ascii="Arial" w:hAnsi="Arial" w:cs="Arial"/>
          <w:noProof/>
          <w:color w:val="000000" w:themeColor="text1"/>
          <w:sz w:val="24"/>
          <w:szCs w:val="24"/>
        </w:rPr>
        <w:t>169</w:t>
      </w:r>
      <w:r w:rsidRPr="00DB7D77">
        <w:rPr>
          <w:rFonts w:ascii="Arial" w:hAnsi="Arial" w:cs="Arial"/>
          <w:noProof/>
          <w:color w:val="000000" w:themeColor="text1"/>
          <w:sz w:val="24"/>
          <w:szCs w:val="24"/>
        </w:rPr>
        <w:fldChar w:fldCharType="end"/>
      </w:r>
      <w:r w:rsidRPr="00DB7D77">
        <w:rPr>
          <w:rFonts w:ascii="Arial" w:hAnsi="Arial" w:cs="Arial"/>
          <w:color w:val="000000" w:themeColor="text1"/>
          <w:sz w:val="24"/>
          <w:szCs w:val="24"/>
        </w:rPr>
        <w:t xml:space="preserve"> Impuestos corrientes Gasto (IMPCG)– composición</w:t>
      </w:r>
      <w:bookmarkEnd w:id="124"/>
    </w:p>
    <w:p w:rsidR="00937767" w:rsidRPr="00DB7D77" w:rsidRDefault="00937767" w:rsidP="00937767">
      <w:pPr>
        <w:rPr>
          <w:lang w:val="es-CO" w:eastAsia="en-US"/>
        </w:rPr>
      </w:pPr>
    </w:p>
    <w:p w:rsidR="00937767" w:rsidRPr="00F219F8" w:rsidRDefault="00937767" w:rsidP="00937767">
      <w:pPr>
        <w:jc w:val="center"/>
        <w:rPr>
          <w:sz w:val="20"/>
          <w:szCs w:val="20"/>
        </w:rPr>
      </w:pPr>
      <w:r w:rsidRPr="00F219F8">
        <w:rPr>
          <w:noProof/>
          <w:lang w:val="es-CO" w:eastAsia="es-CO"/>
        </w:rPr>
        <w:drawing>
          <wp:inline distT="0" distB="0" distL="0" distR="0" wp14:anchorId="1BED92A3" wp14:editId="041F2599">
            <wp:extent cx="5943600" cy="20650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065020"/>
                    </a:xfrm>
                    <a:prstGeom prst="rect">
                      <a:avLst/>
                    </a:prstGeom>
                    <a:noFill/>
                    <a:ln>
                      <a:noFill/>
                    </a:ln>
                  </pic:spPr>
                </pic:pic>
              </a:graphicData>
            </a:graphic>
          </wp:inline>
        </w:drawing>
      </w:r>
    </w:p>
    <w:p w:rsidR="00937767" w:rsidRPr="00F219F8" w:rsidRDefault="00937767" w:rsidP="00937767">
      <w:pPr>
        <w:jc w:val="both"/>
        <w:rPr>
          <w:sz w:val="20"/>
          <w:szCs w:val="20"/>
        </w:rPr>
      </w:pPr>
    </w:p>
    <w:p w:rsidR="00937767" w:rsidRPr="00DB7D77" w:rsidRDefault="00937767" w:rsidP="00937767">
      <w:pPr>
        <w:jc w:val="both"/>
        <w:rPr>
          <w:rFonts w:ascii="Arial" w:hAnsi="Arial" w:cs="Arial"/>
        </w:rPr>
      </w:pPr>
      <w:r w:rsidRPr="00DB7D77">
        <w:rPr>
          <w:rFonts w:ascii="Arial" w:hAnsi="Arial" w:cs="Arial"/>
        </w:rPr>
        <w:t>El gasto por impuestos corrientes con un valor consolidado de $13.211,6, presenta una disminución de ($3.284,3), equivalente al (19,9%) con relación al saldo de 2022, y tiene una participación del 2,0% de los gastos consolidados del nivel nacional que ascienden a $650.712,6.</w:t>
      </w:r>
    </w:p>
    <w:p w:rsidR="00937767" w:rsidRDefault="00937767" w:rsidP="00937767">
      <w:pPr>
        <w:jc w:val="both"/>
        <w:rPr>
          <w:rFonts w:ascii="Arial" w:hAnsi="Arial" w:cs="Arial"/>
          <w:b/>
          <w:sz w:val="28"/>
          <w:szCs w:val="28"/>
        </w:rPr>
      </w:pPr>
      <w:r>
        <w:rPr>
          <w:rFonts w:ascii="Arial" w:hAnsi="Arial" w:cs="Arial"/>
          <w:b/>
          <w:sz w:val="28"/>
          <w:szCs w:val="28"/>
        </w:rPr>
        <w:lastRenderedPageBreak/>
        <w:t>NOTA 36 - 2- IMPUESTOS DIFERIDOS.</w:t>
      </w:r>
    </w:p>
    <w:p w:rsidR="00937767" w:rsidRDefault="00937767" w:rsidP="00937767">
      <w:pPr>
        <w:jc w:val="both"/>
        <w:rPr>
          <w:rFonts w:ascii="Arial" w:hAnsi="Arial" w:cs="Arial"/>
          <w:b/>
          <w:sz w:val="28"/>
          <w:szCs w:val="28"/>
        </w:rPr>
      </w:pPr>
    </w:p>
    <w:p w:rsidR="00937767" w:rsidRDefault="00937767" w:rsidP="00937767">
      <w:pPr>
        <w:pStyle w:val="Descripcin"/>
        <w:jc w:val="center"/>
        <w:rPr>
          <w:rFonts w:ascii="Arial" w:hAnsi="Arial" w:cs="Arial"/>
          <w:color w:val="000000" w:themeColor="text1"/>
          <w:sz w:val="24"/>
          <w:szCs w:val="24"/>
        </w:rPr>
      </w:pPr>
      <w:bookmarkStart w:id="125" w:name="_Toc166619022"/>
      <w:r w:rsidRPr="00007D91">
        <w:rPr>
          <w:rFonts w:ascii="Arial" w:hAnsi="Arial" w:cs="Arial"/>
          <w:color w:val="000000" w:themeColor="text1"/>
          <w:sz w:val="24"/>
          <w:szCs w:val="24"/>
        </w:rPr>
        <w:t xml:space="preserve">Tabla </w:t>
      </w:r>
      <w:r w:rsidRPr="00007D91">
        <w:rPr>
          <w:rFonts w:ascii="Arial" w:hAnsi="Arial" w:cs="Arial"/>
          <w:color w:val="000000" w:themeColor="text1"/>
          <w:sz w:val="24"/>
          <w:szCs w:val="24"/>
        </w:rPr>
        <w:fldChar w:fldCharType="begin"/>
      </w:r>
      <w:r w:rsidRPr="00007D91">
        <w:rPr>
          <w:rFonts w:ascii="Arial" w:hAnsi="Arial" w:cs="Arial"/>
          <w:color w:val="000000" w:themeColor="text1"/>
          <w:sz w:val="24"/>
          <w:szCs w:val="24"/>
        </w:rPr>
        <w:instrText xml:space="preserve"> STYLEREF 1 \s </w:instrText>
      </w:r>
      <w:r w:rsidRPr="00007D91">
        <w:rPr>
          <w:rFonts w:ascii="Arial" w:hAnsi="Arial" w:cs="Arial"/>
          <w:color w:val="000000" w:themeColor="text1"/>
          <w:sz w:val="24"/>
          <w:szCs w:val="24"/>
        </w:rPr>
        <w:fldChar w:fldCharType="separate"/>
      </w:r>
      <w:r w:rsidRPr="00007D91">
        <w:rPr>
          <w:rFonts w:ascii="Arial" w:hAnsi="Arial" w:cs="Arial"/>
          <w:noProof/>
          <w:color w:val="000000" w:themeColor="text1"/>
          <w:sz w:val="24"/>
          <w:szCs w:val="24"/>
        </w:rPr>
        <w:t>4</w:t>
      </w:r>
      <w:r w:rsidRPr="00007D91">
        <w:rPr>
          <w:rFonts w:ascii="Arial" w:hAnsi="Arial" w:cs="Arial"/>
          <w:noProof/>
          <w:color w:val="000000" w:themeColor="text1"/>
          <w:sz w:val="24"/>
          <w:szCs w:val="24"/>
        </w:rPr>
        <w:fldChar w:fldCharType="end"/>
      </w:r>
      <w:r w:rsidRPr="00007D91">
        <w:rPr>
          <w:rFonts w:ascii="Arial" w:hAnsi="Arial" w:cs="Arial"/>
          <w:color w:val="000000" w:themeColor="text1"/>
          <w:sz w:val="24"/>
          <w:szCs w:val="24"/>
        </w:rPr>
        <w:noBreakHyphen/>
      </w:r>
      <w:r w:rsidRPr="00007D91">
        <w:rPr>
          <w:rFonts w:ascii="Arial" w:hAnsi="Arial" w:cs="Arial"/>
          <w:color w:val="000000" w:themeColor="text1"/>
          <w:sz w:val="24"/>
          <w:szCs w:val="24"/>
        </w:rPr>
        <w:fldChar w:fldCharType="begin"/>
      </w:r>
      <w:r w:rsidRPr="00007D91">
        <w:rPr>
          <w:rFonts w:ascii="Arial" w:hAnsi="Arial" w:cs="Arial"/>
          <w:color w:val="000000" w:themeColor="text1"/>
          <w:sz w:val="24"/>
          <w:szCs w:val="24"/>
        </w:rPr>
        <w:instrText xml:space="preserve"> SEQ Tabla \* ARABIC \s 1 </w:instrText>
      </w:r>
      <w:r w:rsidRPr="00007D91">
        <w:rPr>
          <w:rFonts w:ascii="Arial" w:hAnsi="Arial" w:cs="Arial"/>
          <w:color w:val="000000" w:themeColor="text1"/>
          <w:sz w:val="24"/>
          <w:szCs w:val="24"/>
        </w:rPr>
        <w:fldChar w:fldCharType="separate"/>
      </w:r>
      <w:r w:rsidRPr="00007D91">
        <w:rPr>
          <w:rFonts w:ascii="Arial" w:hAnsi="Arial" w:cs="Arial"/>
          <w:noProof/>
          <w:color w:val="000000" w:themeColor="text1"/>
          <w:sz w:val="24"/>
          <w:szCs w:val="24"/>
        </w:rPr>
        <w:t>176</w:t>
      </w:r>
      <w:r w:rsidRPr="00007D91">
        <w:rPr>
          <w:rFonts w:ascii="Arial" w:hAnsi="Arial" w:cs="Arial"/>
          <w:noProof/>
          <w:color w:val="000000" w:themeColor="text1"/>
          <w:sz w:val="24"/>
          <w:szCs w:val="24"/>
        </w:rPr>
        <w:fldChar w:fldCharType="end"/>
      </w:r>
      <w:r w:rsidRPr="00007D91">
        <w:rPr>
          <w:rFonts w:ascii="Arial" w:hAnsi="Arial" w:cs="Arial"/>
          <w:color w:val="000000" w:themeColor="text1"/>
          <w:sz w:val="24"/>
          <w:szCs w:val="24"/>
        </w:rPr>
        <w:t xml:space="preserve"> Impuestos diferidos Activo (IMPDA) – composición</w:t>
      </w:r>
      <w:bookmarkEnd w:id="125"/>
    </w:p>
    <w:p w:rsidR="00937767" w:rsidRPr="00007D91" w:rsidRDefault="00937767" w:rsidP="00937767">
      <w:pPr>
        <w:rPr>
          <w:lang w:val="es-CO" w:eastAsia="en-US"/>
        </w:rPr>
      </w:pPr>
    </w:p>
    <w:p w:rsidR="00937767" w:rsidRPr="00F219F8" w:rsidRDefault="00937767" w:rsidP="00937767">
      <w:pPr>
        <w:jc w:val="both"/>
      </w:pPr>
      <w:r w:rsidRPr="00F219F8">
        <w:rPr>
          <w:noProof/>
          <w:lang w:val="es-CO" w:eastAsia="es-CO"/>
        </w:rPr>
        <w:drawing>
          <wp:inline distT="0" distB="0" distL="0" distR="0" wp14:anchorId="39F222C4" wp14:editId="192C9E49">
            <wp:extent cx="5943600" cy="222123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221230"/>
                    </a:xfrm>
                    <a:prstGeom prst="rect">
                      <a:avLst/>
                    </a:prstGeom>
                    <a:noFill/>
                    <a:ln>
                      <a:noFill/>
                    </a:ln>
                  </pic:spPr>
                </pic:pic>
              </a:graphicData>
            </a:graphic>
          </wp:inline>
        </w:drawing>
      </w:r>
    </w:p>
    <w:p w:rsidR="00937767" w:rsidRPr="00F219F8" w:rsidRDefault="00937767" w:rsidP="00937767">
      <w:pPr>
        <w:jc w:val="both"/>
      </w:pPr>
    </w:p>
    <w:p w:rsidR="00937767" w:rsidRPr="00007D91" w:rsidRDefault="00937767" w:rsidP="00937767">
      <w:pPr>
        <w:jc w:val="both"/>
        <w:rPr>
          <w:rFonts w:ascii="Arial" w:hAnsi="Arial" w:cs="Arial"/>
        </w:rPr>
      </w:pPr>
      <w:r w:rsidRPr="00007D91">
        <w:rPr>
          <w:rFonts w:ascii="Arial" w:hAnsi="Arial" w:cs="Arial"/>
        </w:rPr>
        <w:t xml:space="preserve">El saldo consolidado de activos por impuestos diferidos por valor de $11.010,2 presenta una disminución de ($4.481,2) equivalente al (28,9%) con respecto al consolidado del año anterior y representa el 1,2% sobre el total de los Activos consolidados del nivel nacional que ascienden a $895.837,7. </w:t>
      </w:r>
    </w:p>
    <w:p w:rsidR="00937767" w:rsidRPr="00007D91" w:rsidRDefault="00937767" w:rsidP="00937767">
      <w:pPr>
        <w:jc w:val="both"/>
        <w:rPr>
          <w:rFonts w:ascii="Arial" w:hAnsi="Arial" w:cs="Arial"/>
        </w:rPr>
      </w:pPr>
    </w:p>
    <w:p w:rsidR="00937767" w:rsidRDefault="00937767" w:rsidP="00937767">
      <w:pPr>
        <w:pStyle w:val="Descripcin"/>
        <w:jc w:val="center"/>
        <w:rPr>
          <w:rFonts w:ascii="Arial" w:hAnsi="Arial" w:cs="Arial"/>
          <w:color w:val="000000" w:themeColor="text1"/>
          <w:sz w:val="24"/>
          <w:szCs w:val="24"/>
        </w:rPr>
      </w:pPr>
      <w:bookmarkStart w:id="126" w:name="_Toc166619023"/>
      <w:r w:rsidRPr="00007D91">
        <w:rPr>
          <w:rFonts w:ascii="Arial" w:hAnsi="Arial" w:cs="Arial"/>
          <w:color w:val="000000" w:themeColor="text1"/>
          <w:sz w:val="24"/>
          <w:szCs w:val="24"/>
        </w:rPr>
        <w:t xml:space="preserve">Tabla </w:t>
      </w:r>
      <w:r w:rsidRPr="00007D91">
        <w:rPr>
          <w:rFonts w:ascii="Arial" w:hAnsi="Arial" w:cs="Arial"/>
          <w:color w:val="000000" w:themeColor="text1"/>
          <w:sz w:val="24"/>
          <w:szCs w:val="24"/>
        </w:rPr>
        <w:fldChar w:fldCharType="begin"/>
      </w:r>
      <w:r w:rsidRPr="00007D91">
        <w:rPr>
          <w:rFonts w:ascii="Arial" w:hAnsi="Arial" w:cs="Arial"/>
          <w:color w:val="000000" w:themeColor="text1"/>
          <w:sz w:val="24"/>
          <w:szCs w:val="24"/>
        </w:rPr>
        <w:instrText xml:space="preserve"> STYLEREF 1 \s </w:instrText>
      </w:r>
      <w:r w:rsidRPr="00007D91">
        <w:rPr>
          <w:rFonts w:ascii="Arial" w:hAnsi="Arial" w:cs="Arial"/>
          <w:color w:val="000000" w:themeColor="text1"/>
          <w:sz w:val="24"/>
          <w:szCs w:val="24"/>
        </w:rPr>
        <w:fldChar w:fldCharType="separate"/>
      </w:r>
      <w:r w:rsidRPr="00007D91">
        <w:rPr>
          <w:rFonts w:ascii="Arial" w:hAnsi="Arial" w:cs="Arial"/>
          <w:noProof/>
          <w:color w:val="000000" w:themeColor="text1"/>
          <w:sz w:val="24"/>
          <w:szCs w:val="24"/>
        </w:rPr>
        <w:t>4</w:t>
      </w:r>
      <w:r w:rsidRPr="00007D91">
        <w:rPr>
          <w:rFonts w:ascii="Arial" w:hAnsi="Arial" w:cs="Arial"/>
          <w:noProof/>
          <w:color w:val="000000" w:themeColor="text1"/>
          <w:sz w:val="24"/>
          <w:szCs w:val="24"/>
        </w:rPr>
        <w:fldChar w:fldCharType="end"/>
      </w:r>
      <w:r w:rsidRPr="00007D91">
        <w:rPr>
          <w:rFonts w:ascii="Arial" w:hAnsi="Arial" w:cs="Arial"/>
          <w:color w:val="000000" w:themeColor="text1"/>
          <w:sz w:val="24"/>
          <w:szCs w:val="24"/>
        </w:rPr>
        <w:noBreakHyphen/>
      </w:r>
      <w:r w:rsidRPr="00007D91">
        <w:rPr>
          <w:rFonts w:ascii="Arial" w:hAnsi="Arial" w:cs="Arial"/>
          <w:color w:val="000000" w:themeColor="text1"/>
          <w:sz w:val="24"/>
          <w:szCs w:val="24"/>
        </w:rPr>
        <w:fldChar w:fldCharType="begin"/>
      </w:r>
      <w:r w:rsidRPr="00007D91">
        <w:rPr>
          <w:rFonts w:ascii="Arial" w:hAnsi="Arial" w:cs="Arial"/>
          <w:color w:val="000000" w:themeColor="text1"/>
          <w:sz w:val="24"/>
          <w:szCs w:val="24"/>
        </w:rPr>
        <w:instrText xml:space="preserve"> SEQ Tabla \* ARABIC \s 1 </w:instrText>
      </w:r>
      <w:r w:rsidRPr="00007D91">
        <w:rPr>
          <w:rFonts w:ascii="Arial" w:hAnsi="Arial" w:cs="Arial"/>
          <w:color w:val="000000" w:themeColor="text1"/>
          <w:sz w:val="24"/>
          <w:szCs w:val="24"/>
        </w:rPr>
        <w:fldChar w:fldCharType="separate"/>
      </w:r>
      <w:r w:rsidRPr="00007D91">
        <w:rPr>
          <w:rFonts w:ascii="Arial" w:hAnsi="Arial" w:cs="Arial"/>
          <w:noProof/>
          <w:color w:val="000000" w:themeColor="text1"/>
          <w:sz w:val="24"/>
          <w:szCs w:val="24"/>
        </w:rPr>
        <w:t>177</w:t>
      </w:r>
      <w:r w:rsidRPr="00007D91">
        <w:rPr>
          <w:rFonts w:ascii="Arial" w:hAnsi="Arial" w:cs="Arial"/>
          <w:noProof/>
          <w:color w:val="000000" w:themeColor="text1"/>
          <w:sz w:val="24"/>
          <w:szCs w:val="24"/>
        </w:rPr>
        <w:fldChar w:fldCharType="end"/>
      </w:r>
      <w:r w:rsidRPr="00007D91">
        <w:rPr>
          <w:rFonts w:ascii="Arial" w:hAnsi="Arial" w:cs="Arial"/>
          <w:color w:val="000000" w:themeColor="text1"/>
          <w:sz w:val="24"/>
          <w:szCs w:val="24"/>
        </w:rPr>
        <w:t xml:space="preserve"> Impuestos diferidos Pasivo (IMPDP) – composición</w:t>
      </w:r>
      <w:bookmarkEnd w:id="126"/>
    </w:p>
    <w:p w:rsidR="00937767" w:rsidRPr="00007D91" w:rsidRDefault="00937767" w:rsidP="00937767">
      <w:pPr>
        <w:rPr>
          <w:lang w:val="es-CO" w:eastAsia="en-US"/>
        </w:rPr>
      </w:pPr>
    </w:p>
    <w:p w:rsidR="00937767" w:rsidRPr="00F219F8" w:rsidRDefault="00937767" w:rsidP="00937767">
      <w:pPr>
        <w:jc w:val="center"/>
        <w:rPr>
          <w:sz w:val="18"/>
          <w:szCs w:val="18"/>
        </w:rPr>
      </w:pPr>
      <w:r w:rsidRPr="00F219F8">
        <w:rPr>
          <w:noProof/>
          <w:lang w:val="es-CO" w:eastAsia="es-CO"/>
        </w:rPr>
        <w:drawing>
          <wp:inline distT="0" distB="0" distL="0" distR="0" wp14:anchorId="5FC10B44" wp14:editId="0BDA2B1D">
            <wp:extent cx="5943600" cy="28784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878455"/>
                    </a:xfrm>
                    <a:prstGeom prst="rect">
                      <a:avLst/>
                    </a:prstGeom>
                    <a:noFill/>
                    <a:ln>
                      <a:noFill/>
                    </a:ln>
                  </pic:spPr>
                </pic:pic>
              </a:graphicData>
            </a:graphic>
          </wp:inline>
        </w:drawing>
      </w:r>
    </w:p>
    <w:p w:rsidR="00937767" w:rsidRPr="00F219F8" w:rsidRDefault="00937767" w:rsidP="00937767">
      <w:pPr>
        <w:ind w:right="4"/>
        <w:jc w:val="both"/>
        <w:rPr>
          <w:sz w:val="18"/>
          <w:szCs w:val="18"/>
        </w:rPr>
      </w:pPr>
      <w:r w:rsidRPr="00F219F8">
        <w:rPr>
          <w:sz w:val="18"/>
          <w:szCs w:val="18"/>
        </w:rPr>
        <w:t>-**Para el año 2022 Operaciones con Instrumentos Derivados, no reporto información en esta subcuenta por lo que no se establece una variación porcentual.</w:t>
      </w:r>
    </w:p>
    <w:p w:rsidR="00937767" w:rsidRPr="00F219F8" w:rsidRDefault="00937767" w:rsidP="00937767">
      <w:pPr>
        <w:jc w:val="both"/>
      </w:pPr>
    </w:p>
    <w:p w:rsidR="00937767" w:rsidRPr="00007D91" w:rsidRDefault="00937767" w:rsidP="00937767">
      <w:pPr>
        <w:jc w:val="both"/>
        <w:rPr>
          <w:rFonts w:ascii="Arial" w:hAnsi="Arial" w:cs="Arial"/>
        </w:rPr>
      </w:pPr>
      <w:r w:rsidRPr="00007D91">
        <w:rPr>
          <w:rFonts w:ascii="Arial" w:hAnsi="Arial" w:cs="Arial"/>
        </w:rPr>
        <w:t xml:space="preserve">El consolidado de Pasivos por impuestos diferidos por valor de $3.229,1, aporta el 0,2% de los Pasivos consolidados del nivel nacional que alcanza la suma de $2.145.592,0, y se disminuyó en ($9,9), equivalente al (0,3%) del saldo 2022. El 65,7% de este </w:t>
      </w:r>
      <w:r w:rsidRPr="00007D91">
        <w:rPr>
          <w:rFonts w:ascii="Arial" w:hAnsi="Arial" w:cs="Arial"/>
        </w:rPr>
        <w:lastRenderedPageBreak/>
        <w:t>consolidado está representado en los conceptos Propiedades, planta y equipo y Otros pasivos, estas cuentas también presentan las variaciones más representativas.</w:t>
      </w:r>
    </w:p>
    <w:p w:rsidR="00937767" w:rsidRPr="00F219F8" w:rsidRDefault="00937767" w:rsidP="00937767">
      <w:pPr>
        <w:jc w:val="both"/>
      </w:pPr>
    </w:p>
    <w:p w:rsidR="00937767" w:rsidRDefault="00937767" w:rsidP="00937767">
      <w:pPr>
        <w:pStyle w:val="Descripcin"/>
        <w:jc w:val="center"/>
        <w:rPr>
          <w:rFonts w:ascii="Arial" w:hAnsi="Arial" w:cs="Arial"/>
          <w:color w:val="000000" w:themeColor="text1"/>
          <w:sz w:val="24"/>
          <w:szCs w:val="24"/>
        </w:rPr>
      </w:pPr>
      <w:bookmarkStart w:id="127" w:name="_Toc166619024"/>
      <w:r w:rsidRPr="00007D91">
        <w:rPr>
          <w:rFonts w:ascii="Arial" w:hAnsi="Arial" w:cs="Arial"/>
          <w:color w:val="000000" w:themeColor="text1"/>
          <w:sz w:val="24"/>
          <w:szCs w:val="24"/>
        </w:rPr>
        <w:t xml:space="preserve">Tabla </w:t>
      </w:r>
      <w:r w:rsidRPr="00007D91">
        <w:rPr>
          <w:rFonts w:ascii="Arial" w:hAnsi="Arial" w:cs="Arial"/>
          <w:color w:val="000000" w:themeColor="text1"/>
          <w:sz w:val="24"/>
          <w:szCs w:val="24"/>
        </w:rPr>
        <w:fldChar w:fldCharType="begin"/>
      </w:r>
      <w:r w:rsidRPr="00007D91">
        <w:rPr>
          <w:rFonts w:ascii="Arial" w:hAnsi="Arial" w:cs="Arial"/>
          <w:color w:val="000000" w:themeColor="text1"/>
          <w:sz w:val="24"/>
          <w:szCs w:val="24"/>
        </w:rPr>
        <w:instrText xml:space="preserve"> STYLEREF 1 \s </w:instrText>
      </w:r>
      <w:r w:rsidRPr="00007D91">
        <w:rPr>
          <w:rFonts w:ascii="Arial" w:hAnsi="Arial" w:cs="Arial"/>
          <w:color w:val="000000" w:themeColor="text1"/>
          <w:sz w:val="24"/>
          <w:szCs w:val="24"/>
        </w:rPr>
        <w:fldChar w:fldCharType="separate"/>
      </w:r>
      <w:r w:rsidRPr="00007D91">
        <w:rPr>
          <w:rFonts w:ascii="Arial" w:hAnsi="Arial" w:cs="Arial"/>
          <w:noProof/>
          <w:color w:val="000000" w:themeColor="text1"/>
          <w:sz w:val="24"/>
          <w:szCs w:val="24"/>
        </w:rPr>
        <w:t>4</w:t>
      </w:r>
      <w:r w:rsidRPr="00007D91">
        <w:rPr>
          <w:rFonts w:ascii="Arial" w:hAnsi="Arial" w:cs="Arial"/>
          <w:noProof/>
          <w:color w:val="000000" w:themeColor="text1"/>
          <w:sz w:val="24"/>
          <w:szCs w:val="24"/>
        </w:rPr>
        <w:fldChar w:fldCharType="end"/>
      </w:r>
      <w:r w:rsidRPr="00007D91">
        <w:rPr>
          <w:rFonts w:ascii="Arial" w:hAnsi="Arial" w:cs="Arial"/>
          <w:color w:val="000000" w:themeColor="text1"/>
          <w:sz w:val="24"/>
          <w:szCs w:val="24"/>
        </w:rPr>
        <w:noBreakHyphen/>
      </w:r>
      <w:r w:rsidRPr="00007D91">
        <w:rPr>
          <w:rFonts w:ascii="Arial" w:hAnsi="Arial" w:cs="Arial"/>
          <w:color w:val="000000" w:themeColor="text1"/>
          <w:sz w:val="24"/>
          <w:szCs w:val="24"/>
        </w:rPr>
        <w:fldChar w:fldCharType="begin"/>
      </w:r>
      <w:r w:rsidRPr="00007D91">
        <w:rPr>
          <w:rFonts w:ascii="Arial" w:hAnsi="Arial" w:cs="Arial"/>
          <w:color w:val="000000" w:themeColor="text1"/>
          <w:sz w:val="24"/>
          <w:szCs w:val="24"/>
        </w:rPr>
        <w:instrText xml:space="preserve"> SEQ Tabla \* ARABIC \s 1 </w:instrText>
      </w:r>
      <w:r w:rsidRPr="00007D91">
        <w:rPr>
          <w:rFonts w:ascii="Arial" w:hAnsi="Arial" w:cs="Arial"/>
          <w:color w:val="000000" w:themeColor="text1"/>
          <w:sz w:val="24"/>
          <w:szCs w:val="24"/>
        </w:rPr>
        <w:fldChar w:fldCharType="separate"/>
      </w:r>
      <w:r w:rsidRPr="00007D91">
        <w:rPr>
          <w:rFonts w:ascii="Arial" w:hAnsi="Arial" w:cs="Arial"/>
          <w:noProof/>
          <w:color w:val="000000" w:themeColor="text1"/>
          <w:sz w:val="24"/>
          <w:szCs w:val="24"/>
        </w:rPr>
        <w:t>178</w:t>
      </w:r>
      <w:r w:rsidRPr="00007D91">
        <w:rPr>
          <w:rFonts w:ascii="Arial" w:hAnsi="Arial" w:cs="Arial"/>
          <w:noProof/>
          <w:color w:val="000000" w:themeColor="text1"/>
          <w:sz w:val="24"/>
          <w:szCs w:val="24"/>
        </w:rPr>
        <w:fldChar w:fldCharType="end"/>
      </w:r>
      <w:r w:rsidRPr="00007D91">
        <w:rPr>
          <w:rFonts w:ascii="Arial" w:hAnsi="Arial" w:cs="Arial"/>
          <w:color w:val="000000" w:themeColor="text1"/>
          <w:sz w:val="24"/>
          <w:szCs w:val="24"/>
        </w:rPr>
        <w:t xml:space="preserve"> Impuestos diferidos Ingreso (IMPDI) – composición</w:t>
      </w:r>
      <w:bookmarkEnd w:id="127"/>
    </w:p>
    <w:p w:rsidR="00937767" w:rsidRPr="00F219F8" w:rsidRDefault="00937767" w:rsidP="00937767">
      <w:pPr>
        <w:jc w:val="center"/>
      </w:pPr>
      <w:r w:rsidRPr="00F219F8">
        <w:rPr>
          <w:noProof/>
          <w:lang w:val="es-CO" w:eastAsia="es-CO"/>
        </w:rPr>
        <w:drawing>
          <wp:inline distT="0" distB="0" distL="0" distR="0" wp14:anchorId="4BB4B13B" wp14:editId="6DFFF906">
            <wp:extent cx="5943600" cy="298513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985135"/>
                    </a:xfrm>
                    <a:prstGeom prst="rect">
                      <a:avLst/>
                    </a:prstGeom>
                    <a:noFill/>
                    <a:ln>
                      <a:noFill/>
                    </a:ln>
                  </pic:spPr>
                </pic:pic>
              </a:graphicData>
            </a:graphic>
          </wp:inline>
        </w:drawing>
      </w:r>
    </w:p>
    <w:p w:rsidR="00937767" w:rsidRPr="00F219F8" w:rsidRDefault="00937767" w:rsidP="00937767">
      <w:pPr>
        <w:jc w:val="both"/>
      </w:pPr>
      <w:r w:rsidRPr="00007D91">
        <w:rPr>
          <w:rFonts w:ascii="Arial" w:hAnsi="Arial" w:cs="Arial"/>
        </w:rPr>
        <w:t>El Ingreso por impuesto a las ganancias diferido con un saldo consolidado de $11.113,0 y un incremento del 65,0% con respecto al 2022, tiene una representación del 1,4% de los Ingresos consolidados del nivel nacional que alcanzaron la suma de $805.404,9. Los conceptos de Otros Pasivos y Beneficios</w:t>
      </w:r>
      <w:r w:rsidRPr="00F219F8">
        <w:t xml:space="preserve"> a empleados concentran el 75,7% del total y también presentan las variaciones más significativas.</w:t>
      </w:r>
    </w:p>
    <w:p w:rsidR="00937767" w:rsidRPr="00F219F8" w:rsidRDefault="00937767" w:rsidP="00937767">
      <w:pPr>
        <w:jc w:val="both"/>
        <w:rPr>
          <w:sz w:val="18"/>
          <w:szCs w:val="18"/>
        </w:rPr>
      </w:pPr>
    </w:p>
    <w:p w:rsidR="00937767" w:rsidRDefault="00937767" w:rsidP="00937767">
      <w:pPr>
        <w:pStyle w:val="Descripcin"/>
        <w:jc w:val="center"/>
        <w:rPr>
          <w:rFonts w:ascii="Arial" w:hAnsi="Arial" w:cs="Arial"/>
          <w:color w:val="000000" w:themeColor="text1"/>
          <w:sz w:val="24"/>
          <w:szCs w:val="24"/>
        </w:rPr>
      </w:pPr>
      <w:bookmarkStart w:id="128" w:name="_Toc166619025"/>
      <w:r w:rsidRPr="00007D91">
        <w:rPr>
          <w:rFonts w:ascii="Arial" w:hAnsi="Arial" w:cs="Arial"/>
          <w:color w:val="000000" w:themeColor="text1"/>
          <w:sz w:val="24"/>
          <w:szCs w:val="24"/>
        </w:rPr>
        <w:t xml:space="preserve">Tabla </w:t>
      </w:r>
      <w:r w:rsidRPr="00007D91">
        <w:rPr>
          <w:rFonts w:ascii="Arial" w:hAnsi="Arial" w:cs="Arial"/>
          <w:color w:val="000000" w:themeColor="text1"/>
          <w:sz w:val="24"/>
          <w:szCs w:val="24"/>
        </w:rPr>
        <w:fldChar w:fldCharType="begin"/>
      </w:r>
      <w:r w:rsidRPr="00007D91">
        <w:rPr>
          <w:rFonts w:ascii="Arial" w:hAnsi="Arial" w:cs="Arial"/>
          <w:color w:val="000000" w:themeColor="text1"/>
          <w:sz w:val="24"/>
          <w:szCs w:val="24"/>
        </w:rPr>
        <w:instrText xml:space="preserve"> STYLEREF 1 \s </w:instrText>
      </w:r>
      <w:r w:rsidRPr="00007D91">
        <w:rPr>
          <w:rFonts w:ascii="Arial" w:hAnsi="Arial" w:cs="Arial"/>
          <w:color w:val="000000" w:themeColor="text1"/>
          <w:sz w:val="24"/>
          <w:szCs w:val="24"/>
        </w:rPr>
        <w:fldChar w:fldCharType="separate"/>
      </w:r>
      <w:r w:rsidRPr="00007D91">
        <w:rPr>
          <w:rFonts w:ascii="Arial" w:hAnsi="Arial" w:cs="Arial"/>
          <w:noProof/>
          <w:color w:val="000000" w:themeColor="text1"/>
          <w:sz w:val="24"/>
          <w:szCs w:val="24"/>
        </w:rPr>
        <w:t>4</w:t>
      </w:r>
      <w:r w:rsidRPr="00007D91">
        <w:rPr>
          <w:rFonts w:ascii="Arial" w:hAnsi="Arial" w:cs="Arial"/>
          <w:noProof/>
          <w:color w:val="000000" w:themeColor="text1"/>
          <w:sz w:val="24"/>
          <w:szCs w:val="24"/>
        </w:rPr>
        <w:fldChar w:fldCharType="end"/>
      </w:r>
      <w:r w:rsidRPr="00007D91">
        <w:rPr>
          <w:rFonts w:ascii="Arial" w:hAnsi="Arial" w:cs="Arial"/>
          <w:color w:val="000000" w:themeColor="text1"/>
          <w:sz w:val="24"/>
          <w:szCs w:val="24"/>
        </w:rPr>
        <w:noBreakHyphen/>
      </w:r>
      <w:r w:rsidRPr="00007D91">
        <w:rPr>
          <w:rFonts w:ascii="Arial" w:hAnsi="Arial" w:cs="Arial"/>
          <w:color w:val="000000" w:themeColor="text1"/>
          <w:sz w:val="24"/>
          <w:szCs w:val="24"/>
        </w:rPr>
        <w:fldChar w:fldCharType="begin"/>
      </w:r>
      <w:r w:rsidRPr="00007D91">
        <w:rPr>
          <w:rFonts w:ascii="Arial" w:hAnsi="Arial" w:cs="Arial"/>
          <w:color w:val="000000" w:themeColor="text1"/>
          <w:sz w:val="24"/>
          <w:szCs w:val="24"/>
        </w:rPr>
        <w:instrText xml:space="preserve"> SEQ Tabla \* ARABIC \s 1 </w:instrText>
      </w:r>
      <w:r w:rsidRPr="00007D91">
        <w:rPr>
          <w:rFonts w:ascii="Arial" w:hAnsi="Arial" w:cs="Arial"/>
          <w:color w:val="000000" w:themeColor="text1"/>
          <w:sz w:val="24"/>
          <w:szCs w:val="24"/>
        </w:rPr>
        <w:fldChar w:fldCharType="separate"/>
      </w:r>
      <w:r w:rsidRPr="00007D91">
        <w:rPr>
          <w:rFonts w:ascii="Arial" w:hAnsi="Arial" w:cs="Arial"/>
          <w:noProof/>
          <w:color w:val="000000" w:themeColor="text1"/>
          <w:sz w:val="24"/>
          <w:szCs w:val="24"/>
        </w:rPr>
        <w:t>179</w:t>
      </w:r>
      <w:r w:rsidRPr="00007D91">
        <w:rPr>
          <w:rFonts w:ascii="Arial" w:hAnsi="Arial" w:cs="Arial"/>
          <w:noProof/>
          <w:color w:val="000000" w:themeColor="text1"/>
          <w:sz w:val="24"/>
          <w:szCs w:val="24"/>
        </w:rPr>
        <w:fldChar w:fldCharType="end"/>
      </w:r>
      <w:r w:rsidRPr="00007D91">
        <w:rPr>
          <w:rFonts w:ascii="Arial" w:hAnsi="Arial" w:cs="Arial"/>
          <w:color w:val="000000" w:themeColor="text1"/>
          <w:sz w:val="24"/>
          <w:szCs w:val="24"/>
        </w:rPr>
        <w:t xml:space="preserve"> Impuestos diferidos Gasto (IMPDG) – composición</w:t>
      </w:r>
      <w:bookmarkEnd w:id="128"/>
    </w:p>
    <w:p w:rsidR="00937767" w:rsidRPr="00007D91" w:rsidRDefault="00937767" w:rsidP="00937767">
      <w:pPr>
        <w:rPr>
          <w:lang w:val="es-CO" w:eastAsia="en-US"/>
        </w:rPr>
      </w:pPr>
    </w:p>
    <w:p w:rsidR="00937767" w:rsidRPr="00F219F8" w:rsidRDefault="00937767" w:rsidP="00937767">
      <w:pPr>
        <w:jc w:val="both"/>
        <w:rPr>
          <w:sz w:val="18"/>
          <w:szCs w:val="18"/>
        </w:rPr>
      </w:pPr>
      <w:r w:rsidRPr="00F219F8">
        <w:rPr>
          <w:noProof/>
          <w:lang w:val="es-CO" w:eastAsia="es-CO"/>
        </w:rPr>
        <w:drawing>
          <wp:inline distT="0" distB="0" distL="0" distR="0" wp14:anchorId="10015E28" wp14:editId="1F85EB7E">
            <wp:extent cx="5943600" cy="2985135"/>
            <wp:effectExtent l="0" t="0" r="0" b="0"/>
            <wp:docPr id="1915970517" name="Imagen 191597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2985135"/>
                    </a:xfrm>
                    <a:prstGeom prst="rect">
                      <a:avLst/>
                    </a:prstGeom>
                    <a:noFill/>
                    <a:ln>
                      <a:noFill/>
                    </a:ln>
                  </pic:spPr>
                </pic:pic>
              </a:graphicData>
            </a:graphic>
          </wp:inline>
        </w:drawing>
      </w:r>
    </w:p>
    <w:p w:rsidR="00937767" w:rsidRPr="00F219F8" w:rsidRDefault="00937767" w:rsidP="00937767">
      <w:pPr>
        <w:ind w:right="4"/>
        <w:jc w:val="both"/>
        <w:rPr>
          <w:sz w:val="18"/>
          <w:szCs w:val="18"/>
        </w:rPr>
      </w:pPr>
      <w:r w:rsidRPr="00F219F8">
        <w:rPr>
          <w:sz w:val="18"/>
          <w:szCs w:val="18"/>
        </w:rPr>
        <w:t>-**Para el año 2022 Préstamos por Pagar, no registra saldo en esta subcuenta por lo que no se establece una variación porcentual.</w:t>
      </w:r>
    </w:p>
    <w:p w:rsidR="00937767" w:rsidRPr="00007D91" w:rsidRDefault="00937767" w:rsidP="00937767">
      <w:pPr>
        <w:jc w:val="both"/>
        <w:rPr>
          <w:rFonts w:ascii="Arial" w:hAnsi="Arial" w:cs="Arial"/>
        </w:rPr>
      </w:pPr>
      <w:r w:rsidRPr="00007D91">
        <w:rPr>
          <w:rFonts w:ascii="Arial" w:hAnsi="Arial" w:cs="Arial"/>
        </w:rPr>
        <w:lastRenderedPageBreak/>
        <w:t xml:space="preserve">En cuanto al Gasto por impuesto diferido, tiene una participación de 1,8% sobre el total de los Gastos consolidados y presenta un incremento de $4.992,5 que equivale al 74,9% del saldo consolidado el año inmediatamente anterior. Los conceptos de mayor representatividad son Préstamos por pagar y Otros pasivos que sumados alcanzan el 93,9% del valor total, y del mismo modo registran las variaciones más significativas. </w:t>
      </w:r>
    </w:p>
    <w:p w:rsidR="00937767" w:rsidRPr="00007D91" w:rsidRDefault="00937767" w:rsidP="00937767">
      <w:pPr>
        <w:jc w:val="both"/>
        <w:rPr>
          <w:rFonts w:ascii="Arial" w:hAnsi="Arial" w:cs="Arial"/>
          <w:b/>
          <w:color w:val="5B9BD5" w:themeColor="accent1"/>
        </w:rPr>
      </w:pPr>
    </w:p>
    <w:p w:rsidR="00937767" w:rsidRDefault="00937767" w:rsidP="00937767">
      <w:pPr>
        <w:jc w:val="both"/>
        <w:rPr>
          <w:rFonts w:ascii="Arial" w:hAnsi="Arial" w:cs="Arial"/>
          <w:b/>
          <w:sz w:val="28"/>
          <w:szCs w:val="28"/>
        </w:rPr>
      </w:pPr>
      <w:r>
        <w:rPr>
          <w:rFonts w:ascii="Arial" w:hAnsi="Arial" w:cs="Arial"/>
          <w:b/>
          <w:sz w:val="28"/>
          <w:szCs w:val="28"/>
        </w:rPr>
        <w:t>NOTA 37.- OPERACIONES RECIPROCAS.</w:t>
      </w:r>
    </w:p>
    <w:p w:rsidR="00937767" w:rsidRDefault="00937767" w:rsidP="00937767">
      <w:pPr>
        <w:jc w:val="both"/>
        <w:rPr>
          <w:rFonts w:ascii="Arial" w:hAnsi="Arial" w:cs="Arial"/>
          <w:b/>
          <w:sz w:val="28"/>
          <w:szCs w:val="28"/>
        </w:rPr>
      </w:pPr>
    </w:p>
    <w:p w:rsidR="00937767" w:rsidRPr="00E61EDC" w:rsidRDefault="00937767" w:rsidP="00937767">
      <w:pPr>
        <w:contextualSpacing/>
        <w:jc w:val="both"/>
        <w:rPr>
          <w:rFonts w:ascii="Arial" w:hAnsi="Arial" w:cs="Arial"/>
          <w:b/>
          <w:sz w:val="28"/>
          <w:szCs w:val="28"/>
        </w:rPr>
      </w:pPr>
      <w:r w:rsidRPr="00E61EDC">
        <w:rPr>
          <w:rFonts w:ascii="Arial" w:hAnsi="Arial" w:cs="Arial"/>
          <w:b/>
          <w:sz w:val="28"/>
          <w:szCs w:val="28"/>
        </w:rPr>
        <w:t>PARTICIPACIÓN DE LAS OPERACIONES RECÍPROCAS EN LOS AGREGADOS</w:t>
      </w:r>
      <w:r>
        <w:rPr>
          <w:rFonts w:ascii="Arial" w:hAnsi="Arial" w:cs="Arial"/>
          <w:b/>
          <w:sz w:val="28"/>
          <w:szCs w:val="28"/>
        </w:rPr>
        <w:t>.</w:t>
      </w:r>
    </w:p>
    <w:p w:rsidR="00937767" w:rsidRPr="00E61EDC" w:rsidRDefault="00937767" w:rsidP="00937767">
      <w:pPr>
        <w:contextualSpacing/>
        <w:jc w:val="both"/>
        <w:rPr>
          <w:rFonts w:ascii="Arial" w:hAnsi="Arial" w:cs="Arial"/>
          <w:i/>
          <w:color w:val="5B9BD5" w:themeColor="accent1"/>
        </w:rPr>
      </w:pPr>
    </w:p>
    <w:p w:rsidR="00937767" w:rsidRDefault="00937767" w:rsidP="00937767">
      <w:pPr>
        <w:contextualSpacing/>
        <w:jc w:val="both"/>
        <w:rPr>
          <w:rFonts w:ascii="Arial" w:hAnsi="Arial" w:cs="Arial"/>
        </w:rPr>
      </w:pPr>
      <w:r w:rsidRPr="00E61EDC">
        <w:rPr>
          <w:rFonts w:ascii="Arial" w:hAnsi="Arial" w:cs="Arial"/>
        </w:rPr>
        <w:t>En la tabla siguiente, se presentan los valores del año 2023 comparativos con el 2022, de las operaciones recíprocas reportadas por las entidades contables públicas del nivel nacional y las calculadas en el proceso de consolidación, asimismo la participación de estas operaciones recíprocas frente a los saldos agregados para los diferentes elementos de los estados financieros.</w:t>
      </w:r>
    </w:p>
    <w:p w:rsidR="00937767" w:rsidRDefault="00937767" w:rsidP="00937767">
      <w:pPr>
        <w:contextualSpacing/>
        <w:rPr>
          <w:iCs/>
          <w:color w:val="5B9BD5" w:themeColor="accent1"/>
          <w:sz w:val="18"/>
          <w:szCs w:val="18"/>
        </w:rPr>
      </w:pPr>
      <w:bookmarkStart w:id="129" w:name="_Toc135044927"/>
      <w:bookmarkStart w:id="130" w:name="_Toc166619030"/>
      <w:bookmarkStart w:id="131" w:name="_GoBack"/>
      <w:bookmarkEnd w:id="131"/>
    </w:p>
    <w:p w:rsidR="00937767" w:rsidRDefault="00937767" w:rsidP="00937767">
      <w:pPr>
        <w:contextualSpacing/>
        <w:jc w:val="center"/>
        <w:rPr>
          <w:rFonts w:ascii="Arial" w:hAnsi="Arial" w:cs="Arial"/>
          <w:iCs/>
        </w:rPr>
      </w:pPr>
      <w:r w:rsidRPr="00E61EDC">
        <w:rPr>
          <w:rFonts w:ascii="Arial" w:hAnsi="Arial" w:cs="Arial"/>
          <w:iCs/>
        </w:rPr>
        <w:t xml:space="preserve">Tabla </w:t>
      </w:r>
      <w:r w:rsidRPr="00E61EDC">
        <w:rPr>
          <w:rFonts w:ascii="Arial" w:hAnsi="Arial" w:cs="Arial"/>
          <w:iCs/>
        </w:rPr>
        <w:fldChar w:fldCharType="begin"/>
      </w:r>
      <w:r w:rsidRPr="00E61EDC">
        <w:rPr>
          <w:rFonts w:ascii="Arial" w:hAnsi="Arial" w:cs="Arial"/>
          <w:iCs/>
        </w:rPr>
        <w:instrText xml:space="preserve"> STYLEREF 1 \s </w:instrText>
      </w:r>
      <w:r w:rsidRPr="00E61EDC">
        <w:rPr>
          <w:rFonts w:ascii="Arial" w:hAnsi="Arial" w:cs="Arial"/>
          <w:iCs/>
        </w:rPr>
        <w:fldChar w:fldCharType="separate"/>
      </w:r>
      <w:r w:rsidRPr="00E61EDC">
        <w:rPr>
          <w:rFonts w:ascii="Arial" w:hAnsi="Arial" w:cs="Arial"/>
          <w:iCs/>
          <w:noProof/>
        </w:rPr>
        <w:t>4</w:t>
      </w:r>
      <w:r w:rsidRPr="00E61EDC">
        <w:rPr>
          <w:rFonts w:ascii="Arial" w:hAnsi="Arial" w:cs="Arial"/>
          <w:iCs/>
        </w:rPr>
        <w:fldChar w:fldCharType="end"/>
      </w:r>
      <w:r w:rsidRPr="00E61EDC">
        <w:rPr>
          <w:rFonts w:ascii="Arial" w:hAnsi="Arial" w:cs="Arial"/>
          <w:iCs/>
        </w:rPr>
        <w:noBreakHyphen/>
      </w:r>
      <w:r w:rsidRPr="00E61EDC">
        <w:rPr>
          <w:rFonts w:ascii="Arial" w:hAnsi="Arial" w:cs="Arial"/>
          <w:iCs/>
        </w:rPr>
        <w:fldChar w:fldCharType="begin"/>
      </w:r>
      <w:r w:rsidRPr="00E61EDC">
        <w:rPr>
          <w:rFonts w:ascii="Arial" w:hAnsi="Arial" w:cs="Arial"/>
          <w:iCs/>
        </w:rPr>
        <w:instrText xml:space="preserve"> SEQ Tabla \* ARABIC \s 1 </w:instrText>
      </w:r>
      <w:r w:rsidRPr="00E61EDC">
        <w:rPr>
          <w:rFonts w:ascii="Arial" w:hAnsi="Arial" w:cs="Arial"/>
          <w:iCs/>
        </w:rPr>
        <w:fldChar w:fldCharType="separate"/>
      </w:r>
      <w:r w:rsidRPr="00E61EDC">
        <w:rPr>
          <w:rFonts w:ascii="Arial" w:hAnsi="Arial" w:cs="Arial"/>
          <w:iCs/>
          <w:noProof/>
        </w:rPr>
        <w:t>184</w:t>
      </w:r>
      <w:r w:rsidRPr="00E61EDC">
        <w:rPr>
          <w:rFonts w:ascii="Arial" w:hAnsi="Arial" w:cs="Arial"/>
          <w:iCs/>
        </w:rPr>
        <w:fldChar w:fldCharType="end"/>
      </w:r>
      <w:r w:rsidRPr="00E61EDC">
        <w:rPr>
          <w:rFonts w:ascii="Arial" w:hAnsi="Arial" w:cs="Arial"/>
          <w:iCs/>
        </w:rPr>
        <w:t xml:space="preserve"> Participación de las Operaciones recíprocas en los saldos agregados</w:t>
      </w:r>
      <w:bookmarkEnd w:id="129"/>
      <w:bookmarkEnd w:id="130"/>
    </w:p>
    <w:p w:rsidR="00937767" w:rsidRPr="00E61EDC" w:rsidRDefault="00937767" w:rsidP="00937767">
      <w:pPr>
        <w:contextualSpacing/>
        <w:rPr>
          <w:rFonts w:ascii="Arial" w:hAnsi="Arial" w:cs="Arial"/>
          <w:iCs/>
        </w:rPr>
      </w:pPr>
    </w:p>
    <w:p w:rsidR="00937767" w:rsidRPr="007A6B8B" w:rsidRDefault="00937767" w:rsidP="00937767">
      <w:pPr>
        <w:autoSpaceDE w:val="0"/>
        <w:autoSpaceDN w:val="0"/>
        <w:adjustRightInd w:val="0"/>
        <w:contextualSpacing/>
        <w:jc w:val="center"/>
      </w:pPr>
      <w:r w:rsidRPr="007A6B8B">
        <w:rPr>
          <w:noProof/>
          <w:lang w:val="es-CO" w:eastAsia="es-CO"/>
        </w:rPr>
        <w:drawing>
          <wp:inline distT="0" distB="0" distL="0" distR="0" wp14:anchorId="6FA7F4C5" wp14:editId="19662C05">
            <wp:extent cx="5942112" cy="2171700"/>
            <wp:effectExtent l="0" t="0" r="1905" b="0"/>
            <wp:docPr id="1059588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t="8567" b="5265"/>
                    <a:stretch/>
                  </pic:blipFill>
                  <pic:spPr bwMode="auto">
                    <a:xfrm>
                      <a:off x="0" y="0"/>
                      <a:ext cx="5943600" cy="2172244"/>
                    </a:xfrm>
                    <a:prstGeom prst="rect">
                      <a:avLst/>
                    </a:prstGeom>
                    <a:noFill/>
                    <a:ln>
                      <a:noFill/>
                    </a:ln>
                    <a:extLst>
                      <a:ext uri="{53640926-AAD7-44D8-BBD7-CCE9431645EC}">
                        <a14:shadowObscured xmlns:a14="http://schemas.microsoft.com/office/drawing/2010/main"/>
                      </a:ext>
                    </a:extLst>
                  </pic:spPr>
                </pic:pic>
              </a:graphicData>
            </a:graphic>
          </wp:inline>
        </w:drawing>
      </w:r>
    </w:p>
    <w:p w:rsidR="00937767" w:rsidRPr="00E61EDC" w:rsidRDefault="00937767" w:rsidP="00937767">
      <w:pPr>
        <w:contextualSpacing/>
        <w:jc w:val="both"/>
        <w:rPr>
          <w:rFonts w:ascii="Arial" w:hAnsi="Arial" w:cs="Arial"/>
        </w:rPr>
      </w:pPr>
      <w:r>
        <w:rPr>
          <w:sz w:val="18"/>
          <w:szCs w:val="18"/>
        </w:rPr>
        <w:t xml:space="preserve">       </w:t>
      </w:r>
      <w:r w:rsidRPr="007A6B8B">
        <w:rPr>
          <w:sz w:val="18"/>
          <w:szCs w:val="18"/>
        </w:rPr>
        <w:t>*El saldo agregado del Patrimonio se ve impactado por la reversión que realiza el sistema CHIP Consolidación</w:t>
      </w:r>
      <w:r>
        <w:rPr>
          <w:sz w:val="18"/>
          <w:szCs w:val="18"/>
        </w:rPr>
        <w:t>,</w:t>
      </w:r>
    </w:p>
    <w:p w:rsidR="00937767" w:rsidRDefault="00937767" w:rsidP="00937767">
      <w:pPr>
        <w:jc w:val="both"/>
        <w:rPr>
          <w:rFonts w:ascii="Arial" w:hAnsi="Arial" w:cs="Arial"/>
          <w:b/>
          <w:sz w:val="28"/>
          <w:szCs w:val="28"/>
        </w:rPr>
      </w:pPr>
    </w:p>
    <w:p w:rsidR="00937767" w:rsidRPr="00E61EDC" w:rsidRDefault="00937767" w:rsidP="00937767">
      <w:pPr>
        <w:autoSpaceDE w:val="0"/>
        <w:autoSpaceDN w:val="0"/>
        <w:adjustRightInd w:val="0"/>
        <w:contextualSpacing/>
        <w:jc w:val="both"/>
        <w:rPr>
          <w:rFonts w:ascii="Arial" w:hAnsi="Arial" w:cs="Arial"/>
        </w:rPr>
      </w:pPr>
      <w:r w:rsidRPr="00E61EDC">
        <w:rPr>
          <w:rFonts w:ascii="Arial" w:hAnsi="Arial" w:cs="Arial"/>
        </w:rPr>
        <w:t>El saldo de operaciones recíprocas relacionadas con cuentas del Activo en 2023 fue de $285.705,5 que representa un 23,8% frente al valor del Activo agregado de 2023, por la suma de $1.201.368,8. Por su parte, las operaciones reciprocas del Pasivo representan el 5,1%, las de Ingresos el 44,4%; y las de Costos y Gastos representan el 43,5%. El Patrimonio recoge el ajuste derivado de los efectos presentados en el Activo y en el Pasivo.</w:t>
      </w:r>
    </w:p>
    <w:p w:rsidR="00937767" w:rsidRDefault="00937767" w:rsidP="00937767">
      <w:pPr>
        <w:autoSpaceDE w:val="0"/>
        <w:autoSpaceDN w:val="0"/>
        <w:adjustRightInd w:val="0"/>
        <w:contextualSpacing/>
        <w:jc w:val="both"/>
      </w:pPr>
    </w:p>
    <w:p w:rsidR="00937767" w:rsidRPr="00E61EDC" w:rsidRDefault="00937767" w:rsidP="00937767">
      <w:pPr>
        <w:autoSpaceDE w:val="0"/>
        <w:autoSpaceDN w:val="0"/>
        <w:adjustRightInd w:val="0"/>
        <w:contextualSpacing/>
        <w:jc w:val="both"/>
        <w:rPr>
          <w:rFonts w:ascii="Arial" w:hAnsi="Arial" w:cs="Arial"/>
        </w:rPr>
      </w:pPr>
      <w:r w:rsidRPr="00E61EDC">
        <w:rPr>
          <w:rFonts w:ascii="Arial" w:hAnsi="Arial" w:cs="Arial"/>
        </w:rPr>
        <w:t>Los porcentajes indican la magnitud de las relaciones o transacciones contables entre las entidades públicas en los distintos elementos de los estados financieros, observándose mayores operaciones recíprocas entre los Ingresos con los Costos y Gastos, lo cual obedece a la dinámica de las transferencias y las operaciones interinstitucionales entre los distintos ministerios y las diferentes entidades y empresas del nivel nacional.</w:t>
      </w:r>
    </w:p>
    <w:p w:rsidR="00937767" w:rsidRPr="00E61EDC" w:rsidRDefault="00937767" w:rsidP="00937767">
      <w:pPr>
        <w:autoSpaceDE w:val="0"/>
        <w:autoSpaceDN w:val="0"/>
        <w:adjustRightInd w:val="0"/>
        <w:contextualSpacing/>
        <w:jc w:val="both"/>
        <w:rPr>
          <w:rFonts w:ascii="Arial" w:hAnsi="Arial" w:cs="Arial"/>
        </w:rPr>
      </w:pPr>
    </w:p>
    <w:p w:rsidR="00937767" w:rsidRPr="00E61EDC" w:rsidRDefault="00937767" w:rsidP="00937767">
      <w:pPr>
        <w:autoSpaceDE w:val="0"/>
        <w:autoSpaceDN w:val="0"/>
        <w:adjustRightInd w:val="0"/>
        <w:contextualSpacing/>
        <w:jc w:val="both"/>
        <w:rPr>
          <w:rFonts w:ascii="Arial" w:hAnsi="Arial" w:cs="Arial"/>
        </w:rPr>
      </w:pPr>
      <w:r w:rsidRPr="00E61EDC">
        <w:rPr>
          <w:rFonts w:ascii="Arial" w:hAnsi="Arial" w:cs="Arial"/>
        </w:rPr>
        <w:lastRenderedPageBreak/>
        <w:t>En comparación con el año 2022, se observa que el porcentaje de participación de operaciones recíprocas disminuyó para el Activo (0,2%) y el Pasivo en (0,5%). En los conceptos de resultados, se aprecia disminución de los Ingresos del (4,1%), y aumento del 1,1%, en el caso de los Costos y Gastos</w:t>
      </w:r>
      <w:r>
        <w:rPr>
          <w:rFonts w:ascii="Arial" w:hAnsi="Arial" w:cs="Arial"/>
        </w:rPr>
        <w:t>”</w:t>
      </w:r>
      <w:r w:rsidRPr="00E61EDC">
        <w:rPr>
          <w:rFonts w:ascii="Arial" w:hAnsi="Arial" w:cs="Arial"/>
        </w:rPr>
        <w:t>.</w:t>
      </w:r>
    </w:p>
    <w:p w:rsidR="00937767" w:rsidRPr="00E61EDC" w:rsidRDefault="00937767" w:rsidP="00937767">
      <w:pPr>
        <w:jc w:val="both"/>
        <w:rPr>
          <w:rFonts w:ascii="Arial" w:hAnsi="Arial" w:cs="Arial"/>
          <w:b/>
          <w:sz w:val="28"/>
          <w:szCs w:val="28"/>
        </w:rPr>
      </w:pPr>
    </w:p>
    <w:p w:rsidR="00A82DA9" w:rsidRPr="004D34E2" w:rsidRDefault="00A82DA9" w:rsidP="000235E2">
      <w:pPr>
        <w:ind w:left="-142" w:right="-518"/>
        <w:jc w:val="both"/>
        <w:rPr>
          <w:rFonts w:ascii="Arial" w:hAnsi="Arial" w:cs="Arial"/>
          <w:sz w:val="28"/>
          <w:szCs w:val="28"/>
          <w:lang w:val="es-CO"/>
        </w:rPr>
      </w:pPr>
    </w:p>
    <w:p w:rsidR="000235E2" w:rsidRPr="004D34E2" w:rsidRDefault="000235E2" w:rsidP="000235E2">
      <w:pPr>
        <w:ind w:left="-142" w:right="-518"/>
        <w:jc w:val="both"/>
        <w:rPr>
          <w:rFonts w:ascii="Arial" w:hAnsi="Arial" w:cs="Arial"/>
          <w:sz w:val="28"/>
          <w:szCs w:val="28"/>
          <w:lang w:val="es-CO"/>
        </w:rPr>
      </w:pPr>
    </w:p>
    <w:p w:rsidR="000235E2" w:rsidRPr="000235E2" w:rsidRDefault="000235E2" w:rsidP="000235E2"/>
    <w:p w:rsidR="00F63B26" w:rsidRPr="00680A51" w:rsidRDefault="00F63B26" w:rsidP="00680A51">
      <w:pPr>
        <w:pStyle w:val="Prrafodelista"/>
        <w:ind w:left="218"/>
        <w:rPr>
          <w:rFonts w:ascii="Arial" w:hAnsi="Arial" w:cs="Arial"/>
          <w:b/>
          <w:bCs/>
          <w:color w:val="5B9BD5" w:themeColor="accent1"/>
        </w:rPr>
      </w:pPr>
    </w:p>
    <w:p w:rsidR="00B12835" w:rsidRPr="008A5533" w:rsidRDefault="00B12835" w:rsidP="008A5533">
      <w:pPr>
        <w:rPr>
          <w:rFonts w:ascii="Arial" w:hAnsi="Arial" w:cs="Arial"/>
        </w:rPr>
      </w:pPr>
    </w:p>
    <w:sectPr w:rsidR="00B12835" w:rsidRPr="008A5533" w:rsidSect="008A553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E0C" w:rsidRDefault="00463E0C" w:rsidP="00F63B26">
      <w:r>
        <w:separator/>
      </w:r>
    </w:p>
  </w:endnote>
  <w:endnote w:type="continuationSeparator" w:id="0">
    <w:p w:rsidR="00463E0C" w:rsidRDefault="00463E0C" w:rsidP="00F6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Medium">
    <w:altName w:val="Times New Roman"/>
    <w:charset w:val="00"/>
    <w:family w:val="auto"/>
    <w:pitch w:val="variable"/>
    <w:sig w:usb0="A00002FF" w:usb1="4000207B" w:usb2="00000000" w:usb3="00000000" w:csb0="00000197"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E0C" w:rsidRDefault="00463E0C" w:rsidP="00F63B26">
      <w:r>
        <w:separator/>
      </w:r>
    </w:p>
  </w:footnote>
  <w:footnote w:type="continuationSeparator" w:id="0">
    <w:p w:rsidR="00463E0C" w:rsidRDefault="00463E0C" w:rsidP="00F63B26">
      <w:r>
        <w:continuationSeparator/>
      </w:r>
    </w:p>
  </w:footnote>
  <w:footnote w:id="1">
    <w:p w:rsidR="00D17C23" w:rsidRPr="007F17D9" w:rsidRDefault="00D17C23" w:rsidP="00F63B26">
      <w:pPr>
        <w:pStyle w:val="Textonotapie"/>
        <w:jc w:val="both"/>
        <w:rPr>
          <w:sz w:val="18"/>
          <w:szCs w:val="18"/>
          <w:lang w:val="es-ES"/>
        </w:rPr>
      </w:pPr>
      <w:r w:rsidRPr="007F17D9">
        <w:rPr>
          <w:rStyle w:val="Refdenotaalpie"/>
          <w:sz w:val="18"/>
          <w:szCs w:val="18"/>
        </w:rPr>
        <w:footnoteRef/>
      </w:r>
      <w:r w:rsidRPr="007F17D9">
        <w:rPr>
          <w:sz w:val="18"/>
          <w:szCs w:val="18"/>
        </w:rPr>
        <w:t xml:space="preserve"> </w:t>
      </w:r>
      <w:r w:rsidRPr="007F17D9">
        <w:rPr>
          <w:sz w:val="18"/>
          <w:szCs w:val="18"/>
          <w:lang w:val="es-ES"/>
        </w:rPr>
        <w:t>Para el año 2023 el PIB (preliminar) es de $1.572.658,4 miles de millones. Fuente: Departamento Administrativo Nacional de Estadística DANE</w:t>
      </w:r>
    </w:p>
  </w:footnote>
  <w:footnote w:id="2">
    <w:p w:rsidR="00D17C23" w:rsidRPr="00FC4508" w:rsidRDefault="00D17C23" w:rsidP="00F63B26">
      <w:pPr>
        <w:pStyle w:val="Textonotapie"/>
        <w:jc w:val="both"/>
        <w:rPr>
          <w:szCs w:val="16"/>
          <w:lang w:val="es-ES"/>
        </w:rPr>
      </w:pPr>
      <w:r w:rsidRPr="007F17D9">
        <w:rPr>
          <w:rStyle w:val="Refdenotaalpie"/>
          <w:sz w:val="18"/>
          <w:szCs w:val="18"/>
        </w:rPr>
        <w:footnoteRef/>
      </w:r>
      <w:r w:rsidRPr="007F17D9">
        <w:rPr>
          <w:sz w:val="18"/>
          <w:szCs w:val="18"/>
        </w:rPr>
        <w:t xml:space="preserve"> </w:t>
      </w:r>
      <w:r w:rsidRPr="007F17D9">
        <w:rPr>
          <w:sz w:val="18"/>
          <w:szCs w:val="18"/>
          <w:lang w:val="es-ES"/>
        </w:rPr>
        <w:t xml:space="preserve">Para el año 2022 el PIB </w:t>
      </w:r>
      <w:r w:rsidRPr="00233A40">
        <w:rPr>
          <w:sz w:val="18"/>
          <w:szCs w:val="18"/>
          <w:lang w:val="es-ES"/>
        </w:rPr>
        <w:t>(provisional) es de $1.469.791,0 miles de millones. Fuente: Departamento Administrativo Nacional de Estadística</w:t>
      </w:r>
      <w:r w:rsidRPr="007F17D9">
        <w:rPr>
          <w:sz w:val="18"/>
          <w:szCs w:val="18"/>
          <w:lang w:val="es-ES"/>
        </w:rPr>
        <w:t xml:space="preserve"> DANE</w:t>
      </w:r>
    </w:p>
  </w:footnote>
  <w:footnote w:id="3">
    <w:p w:rsidR="00D17C23" w:rsidRPr="00053E88" w:rsidRDefault="00D17C23" w:rsidP="00937767">
      <w:pPr>
        <w:pStyle w:val="Textonotapie"/>
        <w:rPr>
          <w:lang w:val="es-CO"/>
        </w:rPr>
      </w:pPr>
      <w:r>
        <w:rPr>
          <w:rStyle w:val="Refdenotaalpie"/>
        </w:rPr>
        <w:footnoteRef/>
      </w:r>
      <w:r>
        <w:t xml:space="preserve"> </w:t>
      </w:r>
      <w:r>
        <w:rPr>
          <w:rStyle w:val="cf01"/>
        </w:rPr>
        <w:t>PIB (preliminar) 2023: $</w:t>
      </w:r>
      <w:r w:rsidRPr="007E2321">
        <w:rPr>
          <w:rStyle w:val="cf01"/>
        </w:rPr>
        <w:t>1</w:t>
      </w:r>
      <w:r>
        <w:rPr>
          <w:rStyle w:val="cf01"/>
        </w:rPr>
        <w:t>.</w:t>
      </w:r>
      <w:r w:rsidRPr="007E2321">
        <w:rPr>
          <w:rStyle w:val="cf01"/>
        </w:rPr>
        <w:t>572</w:t>
      </w:r>
      <w:r>
        <w:rPr>
          <w:rStyle w:val="cf01"/>
        </w:rPr>
        <w:t>.</w:t>
      </w:r>
      <w:r w:rsidRPr="007E2321">
        <w:rPr>
          <w:rStyle w:val="cf01"/>
        </w:rPr>
        <w:t>658,</w:t>
      </w:r>
      <w:r>
        <w:rPr>
          <w:rStyle w:val="cf01"/>
        </w:rPr>
        <w:t>4 miles de millones.</w:t>
      </w:r>
    </w:p>
  </w:footnote>
  <w:footnote w:id="4">
    <w:p w:rsidR="00D17C23" w:rsidRDefault="00D17C23" w:rsidP="00937767">
      <w:pPr>
        <w:pStyle w:val="Textonotapie"/>
      </w:pPr>
      <w:r>
        <w:rPr>
          <w:rStyle w:val="Refdenotaalpie"/>
        </w:rPr>
        <w:footnoteRef/>
      </w:r>
      <w:r>
        <w:t xml:space="preserve"> PIB (provisional) 2022: $</w:t>
      </w:r>
      <w:r w:rsidRPr="00445FCC">
        <w:rPr>
          <w:lang w:val="es-ES"/>
        </w:rPr>
        <w:t>1.46</w:t>
      </w:r>
      <w:r>
        <w:rPr>
          <w:lang w:val="es-ES"/>
        </w:rPr>
        <w:t>9</w:t>
      </w:r>
      <w:r w:rsidRPr="00445FCC">
        <w:rPr>
          <w:lang w:val="es-ES"/>
        </w:rPr>
        <w:t>.</w:t>
      </w:r>
      <w:r>
        <w:rPr>
          <w:lang w:val="es-ES"/>
        </w:rPr>
        <w:t>791,0</w:t>
      </w:r>
      <w:r>
        <w:t xml:space="preserve"> miles de millones</w:t>
      </w:r>
    </w:p>
    <w:p w:rsidR="00D17C23" w:rsidRPr="00445FCC" w:rsidRDefault="00D17C23" w:rsidP="00937767">
      <w:pPr>
        <w:pStyle w:val="Textonotapie"/>
        <w:rPr>
          <w:lang w:val="es-ES"/>
        </w:rPr>
      </w:pPr>
      <w:r>
        <w:rPr>
          <w:rStyle w:val="cf01"/>
        </w:rPr>
        <w:t>Fuente: Departamento Nacional de Estadísticas – DANE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1DE7"/>
    <w:multiLevelType w:val="hybridMultilevel"/>
    <w:tmpl w:val="A2A046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B9183D"/>
    <w:multiLevelType w:val="multilevel"/>
    <w:tmpl w:val="2960B48C"/>
    <w:lvl w:ilvl="0">
      <w:start w:val="3"/>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915"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F16E7E"/>
    <w:multiLevelType w:val="hybridMultilevel"/>
    <w:tmpl w:val="E4AACAF2"/>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AC198E"/>
    <w:multiLevelType w:val="multilevel"/>
    <w:tmpl w:val="2652733E"/>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15:restartNumberingAfterBreak="0">
    <w:nsid w:val="2278028A"/>
    <w:multiLevelType w:val="multilevel"/>
    <w:tmpl w:val="4872AD00"/>
    <w:lvl w:ilvl="0">
      <w:start w:val="3"/>
      <w:numFmt w:val="decimal"/>
      <w:lvlText w:val="%1."/>
      <w:lvlJc w:val="left"/>
      <w:pPr>
        <w:ind w:left="570" w:hanging="570"/>
      </w:pPr>
      <w:rPr>
        <w:rFonts w:hint="default"/>
      </w:rPr>
    </w:lvl>
    <w:lvl w:ilvl="1">
      <w:start w:val="4"/>
      <w:numFmt w:val="decimal"/>
      <w:lvlText w:val="%1.%2."/>
      <w:lvlJc w:val="left"/>
      <w:pPr>
        <w:ind w:left="578" w:hanging="7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872" w:hanging="144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948" w:hanging="1800"/>
      </w:pPr>
      <w:rPr>
        <w:rFonts w:hint="default"/>
      </w:rPr>
    </w:lvl>
    <w:lvl w:ilvl="7">
      <w:start w:val="1"/>
      <w:numFmt w:val="decimal"/>
      <w:lvlText w:val="%1.%2.%3.%4.%5.%6.%7.%8."/>
      <w:lvlJc w:val="left"/>
      <w:pPr>
        <w:ind w:left="1166" w:hanging="2160"/>
      </w:pPr>
      <w:rPr>
        <w:rFonts w:hint="default"/>
      </w:rPr>
    </w:lvl>
    <w:lvl w:ilvl="8">
      <w:start w:val="1"/>
      <w:numFmt w:val="decimal"/>
      <w:lvlText w:val="%1.%2.%3.%4.%5.%6.%7.%8.%9."/>
      <w:lvlJc w:val="left"/>
      <w:pPr>
        <w:ind w:left="1024" w:hanging="2160"/>
      </w:pPr>
      <w:rPr>
        <w:rFonts w:hint="default"/>
      </w:rPr>
    </w:lvl>
  </w:abstractNum>
  <w:abstractNum w:abstractNumId="5" w15:restartNumberingAfterBreak="0">
    <w:nsid w:val="2F4A7726"/>
    <w:multiLevelType w:val="hybridMultilevel"/>
    <w:tmpl w:val="928C8C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97F0C3D"/>
    <w:multiLevelType w:val="multilevel"/>
    <w:tmpl w:val="724EBA28"/>
    <w:lvl w:ilvl="0">
      <w:start w:val="3"/>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C497CAC"/>
    <w:multiLevelType w:val="hybridMultilevel"/>
    <w:tmpl w:val="98988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79735E0"/>
    <w:multiLevelType w:val="multilevel"/>
    <w:tmpl w:val="36A81938"/>
    <w:lvl w:ilvl="0">
      <w:start w:val="1"/>
      <w:numFmt w:val="decimal"/>
      <w:pStyle w:val="Ttulo1"/>
      <w:lvlText w:val="%1. "/>
      <w:lvlJc w:val="center"/>
      <w:pPr>
        <w:ind w:left="284" w:firstLine="4"/>
      </w:pPr>
      <w:rPr>
        <w:rFonts w:ascii="Verdana" w:hAnsi="Verdana" w:cs="Times New Roman" w:hint="default"/>
        <w:b/>
        <w:i w:val="0"/>
        <w:caps/>
        <w:color w:val="5B9BD5" w:themeColor="accent1"/>
        <w:sz w:val="56"/>
      </w:rPr>
    </w:lvl>
    <w:lvl w:ilvl="1">
      <w:start w:val="1"/>
      <w:numFmt w:val="decimal"/>
      <w:lvlText w:val="%1.%2"/>
      <w:lvlJc w:val="left"/>
      <w:pPr>
        <w:ind w:left="680" w:hanging="680"/>
      </w:pPr>
      <w:rPr>
        <w:rFonts w:ascii="Verdana" w:hAnsi="Verdana" w:cs="Times New Roman" w:hint="default"/>
        <w:b/>
        <w:i w:val="0"/>
        <w:caps/>
        <w:color w:val="5B9BD5" w:themeColor="accent1"/>
        <w:sz w:val="24"/>
      </w:rPr>
    </w:lvl>
    <w:lvl w:ilvl="2">
      <w:start w:val="1"/>
      <w:numFmt w:val="decimal"/>
      <w:lvlText w:val="%1.%2.%3"/>
      <w:lvlJc w:val="left"/>
      <w:pPr>
        <w:ind w:left="794" w:hanging="794"/>
      </w:pPr>
      <w:rPr>
        <w:rFonts w:ascii="Verdana" w:hAnsi="Verdana" w:cs="Times New Roman" w:hint="default"/>
        <w:b w:val="0"/>
        <w:i w:val="0"/>
        <w:caps/>
        <w:color w:val="5B9BD5" w:themeColor="accent1"/>
        <w:sz w:val="22"/>
      </w:rPr>
    </w:lvl>
    <w:lvl w:ilvl="3">
      <w:start w:val="1"/>
      <w:numFmt w:val="decimal"/>
      <w:lvlText w:val="%1.%2.%3.%4"/>
      <w:lvlJc w:val="left"/>
      <w:pPr>
        <w:ind w:left="964" w:hanging="964"/>
      </w:pPr>
      <w:rPr>
        <w:rFonts w:ascii="Verdana" w:hAnsi="Verdana" w:hint="default"/>
        <w:b w:val="0"/>
        <w:i w:val="0"/>
        <w:color w:val="5B9BD5" w:themeColor="accent1"/>
        <w:sz w:val="22"/>
      </w:rPr>
    </w:lvl>
    <w:lvl w:ilvl="4">
      <w:start w:val="1"/>
      <w:numFmt w:val="decimal"/>
      <w:pStyle w:val="Ttulo5"/>
      <w:lvlText w:val="%1.%2.%3.%4.%5"/>
      <w:lvlJc w:val="left"/>
      <w:pPr>
        <w:ind w:left="1361" w:hanging="1134"/>
      </w:pPr>
      <w:rPr>
        <w:rFonts w:ascii="Verdana" w:hAnsi="Verdana" w:hint="default"/>
        <w:b w:val="0"/>
        <w:i w:val="0"/>
        <w:color w:val="5B9BD5" w:themeColor="accent1"/>
        <w:sz w:val="22"/>
      </w:rPr>
    </w:lvl>
    <w:lvl w:ilvl="5">
      <w:start w:val="1"/>
      <w:numFmt w:val="decimal"/>
      <w:lvlText w:val="Nota %6 "/>
      <w:lvlJc w:val="left"/>
      <w:pPr>
        <w:ind w:left="1361" w:hanging="1361"/>
      </w:pPr>
      <w:rPr>
        <w:rFonts w:ascii="Verdana" w:hAnsi="Verdana" w:hint="default"/>
        <w:b/>
        <w:i w:val="0"/>
        <w:caps/>
        <w:color w:val="5B9BD5" w:themeColor="accent1"/>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5655520"/>
    <w:multiLevelType w:val="hybridMultilevel"/>
    <w:tmpl w:val="B9E65DF2"/>
    <w:lvl w:ilvl="0" w:tplc="6D6AEDA0">
      <w:start w:val="1"/>
      <w:numFmt w:val="decimal"/>
      <w:lvlText w:val="%1."/>
      <w:lvlJc w:val="left"/>
      <w:pPr>
        <w:ind w:left="218" w:hanging="360"/>
      </w:pPr>
      <w:rPr>
        <w:rFonts w:hint="default"/>
      </w:rPr>
    </w:lvl>
    <w:lvl w:ilvl="1" w:tplc="240A0019" w:tentative="1">
      <w:start w:val="1"/>
      <w:numFmt w:val="lowerLetter"/>
      <w:lvlText w:val="%2."/>
      <w:lvlJc w:val="left"/>
      <w:pPr>
        <w:ind w:left="938" w:hanging="360"/>
      </w:pPr>
    </w:lvl>
    <w:lvl w:ilvl="2" w:tplc="240A001B" w:tentative="1">
      <w:start w:val="1"/>
      <w:numFmt w:val="lowerRoman"/>
      <w:lvlText w:val="%3."/>
      <w:lvlJc w:val="right"/>
      <w:pPr>
        <w:ind w:left="1658" w:hanging="180"/>
      </w:pPr>
    </w:lvl>
    <w:lvl w:ilvl="3" w:tplc="240A000F" w:tentative="1">
      <w:start w:val="1"/>
      <w:numFmt w:val="decimal"/>
      <w:lvlText w:val="%4."/>
      <w:lvlJc w:val="left"/>
      <w:pPr>
        <w:ind w:left="2378" w:hanging="360"/>
      </w:pPr>
    </w:lvl>
    <w:lvl w:ilvl="4" w:tplc="240A0019" w:tentative="1">
      <w:start w:val="1"/>
      <w:numFmt w:val="lowerLetter"/>
      <w:lvlText w:val="%5."/>
      <w:lvlJc w:val="left"/>
      <w:pPr>
        <w:ind w:left="3098" w:hanging="360"/>
      </w:pPr>
    </w:lvl>
    <w:lvl w:ilvl="5" w:tplc="240A001B" w:tentative="1">
      <w:start w:val="1"/>
      <w:numFmt w:val="lowerRoman"/>
      <w:lvlText w:val="%6."/>
      <w:lvlJc w:val="right"/>
      <w:pPr>
        <w:ind w:left="3818" w:hanging="180"/>
      </w:pPr>
    </w:lvl>
    <w:lvl w:ilvl="6" w:tplc="240A000F" w:tentative="1">
      <w:start w:val="1"/>
      <w:numFmt w:val="decimal"/>
      <w:lvlText w:val="%7."/>
      <w:lvlJc w:val="left"/>
      <w:pPr>
        <w:ind w:left="4538" w:hanging="360"/>
      </w:pPr>
    </w:lvl>
    <w:lvl w:ilvl="7" w:tplc="240A0019" w:tentative="1">
      <w:start w:val="1"/>
      <w:numFmt w:val="lowerLetter"/>
      <w:lvlText w:val="%8."/>
      <w:lvlJc w:val="left"/>
      <w:pPr>
        <w:ind w:left="5258" w:hanging="360"/>
      </w:pPr>
    </w:lvl>
    <w:lvl w:ilvl="8" w:tplc="240A001B" w:tentative="1">
      <w:start w:val="1"/>
      <w:numFmt w:val="lowerRoman"/>
      <w:lvlText w:val="%9."/>
      <w:lvlJc w:val="right"/>
      <w:pPr>
        <w:ind w:left="5978" w:hanging="180"/>
      </w:pPr>
    </w:lvl>
  </w:abstractNum>
  <w:abstractNum w:abstractNumId="10" w15:restartNumberingAfterBreak="0">
    <w:nsid w:val="661625C6"/>
    <w:multiLevelType w:val="hybridMultilevel"/>
    <w:tmpl w:val="CF5A440E"/>
    <w:lvl w:ilvl="0" w:tplc="44EA3806">
      <w:start w:val="1"/>
      <w:numFmt w:val="decimal"/>
      <w:lvlText w:val="%1."/>
      <w:lvlJc w:val="left"/>
      <w:pPr>
        <w:ind w:left="222" w:hanging="360"/>
      </w:pPr>
      <w:rPr>
        <w:rFonts w:hint="default"/>
      </w:rPr>
    </w:lvl>
    <w:lvl w:ilvl="1" w:tplc="240A0019" w:tentative="1">
      <w:start w:val="1"/>
      <w:numFmt w:val="lowerLetter"/>
      <w:lvlText w:val="%2."/>
      <w:lvlJc w:val="left"/>
      <w:pPr>
        <w:ind w:left="942" w:hanging="360"/>
      </w:pPr>
    </w:lvl>
    <w:lvl w:ilvl="2" w:tplc="240A001B" w:tentative="1">
      <w:start w:val="1"/>
      <w:numFmt w:val="lowerRoman"/>
      <w:lvlText w:val="%3."/>
      <w:lvlJc w:val="right"/>
      <w:pPr>
        <w:ind w:left="1662" w:hanging="180"/>
      </w:pPr>
    </w:lvl>
    <w:lvl w:ilvl="3" w:tplc="240A000F" w:tentative="1">
      <w:start w:val="1"/>
      <w:numFmt w:val="decimal"/>
      <w:lvlText w:val="%4."/>
      <w:lvlJc w:val="left"/>
      <w:pPr>
        <w:ind w:left="2382" w:hanging="360"/>
      </w:pPr>
    </w:lvl>
    <w:lvl w:ilvl="4" w:tplc="240A0019" w:tentative="1">
      <w:start w:val="1"/>
      <w:numFmt w:val="lowerLetter"/>
      <w:lvlText w:val="%5."/>
      <w:lvlJc w:val="left"/>
      <w:pPr>
        <w:ind w:left="3102" w:hanging="360"/>
      </w:pPr>
    </w:lvl>
    <w:lvl w:ilvl="5" w:tplc="240A001B" w:tentative="1">
      <w:start w:val="1"/>
      <w:numFmt w:val="lowerRoman"/>
      <w:lvlText w:val="%6."/>
      <w:lvlJc w:val="right"/>
      <w:pPr>
        <w:ind w:left="3822" w:hanging="180"/>
      </w:pPr>
    </w:lvl>
    <w:lvl w:ilvl="6" w:tplc="240A000F" w:tentative="1">
      <w:start w:val="1"/>
      <w:numFmt w:val="decimal"/>
      <w:lvlText w:val="%7."/>
      <w:lvlJc w:val="left"/>
      <w:pPr>
        <w:ind w:left="4542" w:hanging="360"/>
      </w:pPr>
    </w:lvl>
    <w:lvl w:ilvl="7" w:tplc="240A0019" w:tentative="1">
      <w:start w:val="1"/>
      <w:numFmt w:val="lowerLetter"/>
      <w:lvlText w:val="%8."/>
      <w:lvlJc w:val="left"/>
      <w:pPr>
        <w:ind w:left="5262" w:hanging="360"/>
      </w:pPr>
    </w:lvl>
    <w:lvl w:ilvl="8" w:tplc="240A001B" w:tentative="1">
      <w:start w:val="1"/>
      <w:numFmt w:val="lowerRoman"/>
      <w:lvlText w:val="%9."/>
      <w:lvlJc w:val="right"/>
      <w:pPr>
        <w:ind w:left="5982" w:hanging="180"/>
      </w:pPr>
    </w:lvl>
  </w:abstractNum>
  <w:abstractNum w:abstractNumId="11" w15:restartNumberingAfterBreak="0">
    <w:nsid w:val="6F6E134C"/>
    <w:multiLevelType w:val="multilevel"/>
    <w:tmpl w:val="DB3E8D8E"/>
    <w:lvl w:ilvl="0">
      <w:start w:val="3"/>
      <w:numFmt w:val="decimal"/>
      <w:lvlText w:val="%1."/>
      <w:lvlJc w:val="left"/>
      <w:pPr>
        <w:ind w:left="1050" w:hanging="1050"/>
      </w:pPr>
      <w:rPr>
        <w:rFonts w:hint="default"/>
      </w:rPr>
    </w:lvl>
    <w:lvl w:ilvl="1">
      <w:start w:val="2"/>
      <w:numFmt w:val="decimal"/>
      <w:lvlText w:val="%1.%2."/>
      <w:lvlJc w:val="left"/>
      <w:pPr>
        <w:ind w:left="1003" w:hanging="1050"/>
      </w:pPr>
      <w:rPr>
        <w:rFonts w:hint="default"/>
      </w:rPr>
    </w:lvl>
    <w:lvl w:ilvl="2">
      <w:start w:val="1"/>
      <w:numFmt w:val="decimal"/>
      <w:lvlText w:val="%1.%2.%3."/>
      <w:lvlJc w:val="left"/>
      <w:pPr>
        <w:ind w:left="956" w:hanging="1050"/>
      </w:pPr>
      <w:rPr>
        <w:rFonts w:hint="default"/>
      </w:rPr>
    </w:lvl>
    <w:lvl w:ilvl="3">
      <w:start w:val="1"/>
      <w:numFmt w:val="decimal"/>
      <w:lvlText w:val="%1.%2.%3.%4."/>
      <w:lvlJc w:val="left"/>
      <w:pPr>
        <w:ind w:left="939" w:hanging="1080"/>
      </w:pPr>
      <w:rPr>
        <w:rFonts w:hint="default"/>
      </w:rPr>
    </w:lvl>
    <w:lvl w:ilvl="4">
      <w:start w:val="1"/>
      <w:numFmt w:val="decimal"/>
      <w:lvlText w:val="%1.%2.%3.%4.%5."/>
      <w:lvlJc w:val="left"/>
      <w:pPr>
        <w:ind w:left="1252" w:hanging="1440"/>
      </w:pPr>
      <w:rPr>
        <w:rFonts w:hint="default"/>
      </w:rPr>
    </w:lvl>
    <w:lvl w:ilvl="5">
      <w:start w:val="1"/>
      <w:numFmt w:val="decimal"/>
      <w:lvlText w:val="%1.%2.%3.%4.%5.%6."/>
      <w:lvlJc w:val="left"/>
      <w:pPr>
        <w:ind w:left="1205" w:hanging="1440"/>
      </w:pPr>
      <w:rPr>
        <w:rFonts w:hint="default"/>
      </w:rPr>
    </w:lvl>
    <w:lvl w:ilvl="6">
      <w:start w:val="1"/>
      <w:numFmt w:val="decimal"/>
      <w:lvlText w:val="%1.%2.%3.%4.%5.%6.%7."/>
      <w:lvlJc w:val="left"/>
      <w:pPr>
        <w:ind w:left="1518" w:hanging="1800"/>
      </w:pPr>
      <w:rPr>
        <w:rFonts w:hint="default"/>
      </w:rPr>
    </w:lvl>
    <w:lvl w:ilvl="7">
      <w:start w:val="1"/>
      <w:numFmt w:val="decimal"/>
      <w:lvlText w:val="%1.%2.%3.%4.%5.%6.%7.%8."/>
      <w:lvlJc w:val="left"/>
      <w:pPr>
        <w:ind w:left="1831" w:hanging="2160"/>
      </w:pPr>
      <w:rPr>
        <w:rFonts w:hint="default"/>
      </w:rPr>
    </w:lvl>
    <w:lvl w:ilvl="8">
      <w:start w:val="1"/>
      <w:numFmt w:val="decimal"/>
      <w:lvlText w:val="%1.%2.%3.%4.%5.%6.%7.%8.%9."/>
      <w:lvlJc w:val="left"/>
      <w:pPr>
        <w:ind w:left="1784" w:hanging="2160"/>
      </w:pPr>
      <w:rPr>
        <w:rFonts w:hint="default"/>
      </w:rPr>
    </w:lvl>
  </w:abstractNum>
  <w:num w:numId="1">
    <w:abstractNumId w:val="9"/>
  </w:num>
  <w:num w:numId="2">
    <w:abstractNumId w:val="8"/>
  </w:num>
  <w:num w:numId="3">
    <w:abstractNumId w:val="10"/>
  </w:num>
  <w:num w:numId="4">
    <w:abstractNumId w:val="3"/>
  </w:num>
  <w:num w:numId="5">
    <w:abstractNumId w:val="2"/>
  </w:num>
  <w:num w:numId="6">
    <w:abstractNumId w:val="0"/>
  </w:num>
  <w:num w:numId="7">
    <w:abstractNumId w:val="5"/>
  </w:num>
  <w:num w:numId="8">
    <w:abstractNumId w:val="6"/>
  </w:num>
  <w:num w:numId="9">
    <w:abstractNumId w:val="1"/>
  </w:num>
  <w:num w:numId="10">
    <w:abstractNumId w:val="11"/>
  </w:num>
  <w:num w:numId="11">
    <w:abstractNumId w:val="7"/>
  </w:num>
  <w:num w:numId="12">
    <w:abstractNumId w:val="1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533"/>
    <w:rsid w:val="000235E2"/>
    <w:rsid w:val="0006034F"/>
    <w:rsid w:val="00434165"/>
    <w:rsid w:val="00463E0C"/>
    <w:rsid w:val="004B3376"/>
    <w:rsid w:val="00680A51"/>
    <w:rsid w:val="008A5533"/>
    <w:rsid w:val="00937767"/>
    <w:rsid w:val="00A82DA9"/>
    <w:rsid w:val="00B12835"/>
    <w:rsid w:val="00B330FE"/>
    <w:rsid w:val="00BC3CEC"/>
    <w:rsid w:val="00D17C23"/>
    <w:rsid w:val="00E417F2"/>
    <w:rsid w:val="00F63B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319F3"/>
  <w15:chartTrackingRefBased/>
  <w15:docId w15:val="{C55EE4E8-64DE-408A-8640-CE76F5B7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165"/>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CAPÍTULO 1 - Formato Título 1,Letra verdana 22"/>
    <w:basedOn w:val="Normal"/>
    <w:next w:val="Normal"/>
    <w:link w:val="Ttulo1Car"/>
    <w:uiPriority w:val="99"/>
    <w:qFormat/>
    <w:rsid w:val="00680A51"/>
    <w:pPr>
      <w:keepNext/>
      <w:keepLines/>
      <w:numPr>
        <w:numId w:val="2"/>
      </w:numPr>
      <w:spacing w:before="240" w:line="259" w:lineRule="auto"/>
      <w:outlineLvl w:val="0"/>
    </w:pPr>
    <w:rPr>
      <w:rFonts w:ascii="Verdana" w:eastAsiaTheme="majorEastAsia" w:hAnsi="Verdana" w:cstheme="majorBidi"/>
      <w:b/>
      <w:color w:val="5B9BD5" w:themeColor="accent1"/>
      <w:sz w:val="56"/>
      <w:szCs w:val="32"/>
      <w:lang w:val="es-CO" w:eastAsia="en-US"/>
    </w:rPr>
  </w:style>
  <w:style w:type="paragraph" w:styleId="Ttulo2">
    <w:name w:val="heading 2"/>
    <w:aliases w:val="Título 2 + Franklin Gothic Book + Negrita"/>
    <w:basedOn w:val="Normal"/>
    <w:next w:val="Normal"/>
    <w:link w:val="Ttulo2Car"/>
    <w:autoRedefine/>
    <w:uiPriority w:val="9"/>
    <w:unhideWhenUsed/>
    <w:qFormat/>
    <w:rsid w:val="00D17C23"/>
    <w:pPr>
      <w:keepNext/>
      <w:keepLines/>
      <w:ind w:left="-142"/>
      <w:jc w:val="both"/>
      <w:outlineLvl w:val="1"/>
    </w:pPr>
    <w:rPr>
      <w:rFonts w:ascii="Arial" w:hAnsi="Arial" w:cs="Arial"/>
      <w:b/>
      <w:caps/>
      <w:sz w:val="28"/>
      <w:szCs w:val="28"/>
      <w:lang w:eastAsia="es-CO"/>
    </w:rPr>
  </w:style>
  <w:style w:type="paragraph" w:styleId="Ttulo3">
    <w:name w:val="heading 3"/>
    <w:basedOn w:val="Normal"/>
    <w:next w:val="Normal"/>
    <w:link w:val="Ttulo3Car"/>
    <w:autoRedefine/>
    <w:uiPriority w:val="9"/>
    <w:unhideWhenUsed/>
    <w:qFormat/>
    <w:rsid w:val="00D17C23"/>
    <w:pPr>
      <w:keepNext/>
      <w:keepLines/>
      <w:ind w:left="-142"/>
      <w:jc w:val="both"/>
      <w:outlineLvl w:val="2"/>
    </w:pPr>
    <w:rPr>
      <w:rFonts w:ascii="Arial" w:hAnsi="Arial" w:cs="Arial"/>
      <w:sz w:val="28"/>
      <w:szCs w:val="28"/>
      <w:lang w:val="es-CO" w:eastAsia="es-CO"/>
    </w:rPr>
  </w:style>
  <w:style w:type="paragraph" w:styleId="Ttulo4">
    <w:name w:val="heading 4"/>
    <w:aliases w:val="NIVEL 4"/>
    <w:basedOn w:val="Normal"/>
    <w:next w:val="Normal"/>
    <w:link w:val="Ttulo4Car"/>
    <w:autoRedefine/>
    <w:unhideWhenUsed/>
    <w:qFormat/>
    <w:rsid w:val="00D17C23"/>
    <w:pPr>
      <w:keepNext/>
      <w:keepLines/>
      <w:ind w:left="964" w:hanging="1106"/>
      <w:outlineLvl w:val="3"/>
    </w:pPr>
    <w:rPr>
      <w:rFonts w:ascii="Arial" w:eastAsiaTheme="majorEastAsia" w:hAnsi="Arial" w:cs="Arial"/>
      <w:b/>
      <w:iCs/>
      <w:sz w:val="28"/>
      <w:szCs w:val="28"/>
      <w:lang w:val="es-CO" w:eastAsia="en-US"/>
    </w:rPr>
  </w:style>
  <w:style w:type="paragraph" w:styleId="Ttulo5">
    <w:name w:val="heading 5"/>
    <w:aliases w:val="NOTAS"/>
    <w:basedOn w:val="Normal"/>
    <w:next w:val="Normal"/>
    <w:link w:val="Ttulo5Car"/>
    <w:autoRedefine/>
    <w:unhideWhenUsed/>
    <w:qFormat/>
    <w:rsid w:val="00680A51"/>
    <w:pPr>
      <w:keepNext/>
      <w:keepLines/>
      <w:numPr>
        <w:ilvl w:val="4"/>
        <w:numId w:val="2"/>
      </w:numPr>
      <w:spacing w:before="40" w:line="259" w:lineRule="auto"/>
      <w:outlineLvl w:val="4"/>
    </w:pPr>
    <w:rPr>
      <w:rFonts w:ascii="Verdana" w:eastAsiaTheme="majorEastAsia" w:hAnsi="Verdana" w:cstheme="majorBidi"/>
      <w:color w:val="5B9BD5" w:themeColor="accent1"/>
      <w:sz w:val="22"/>
      <w:szCs w:val="22"/>
      <w:lang w:val="es-CO" w:eastAsia="en-US"/>
    </w:rPr>
  </w:style>
  <w:style w:type="paragraph" w:styleId="Ttulo6">
    <w:name w:val="heading 6"/>
    <w:basedOn w:val="Normal"/>
    <w:next w:val="Normal"/>
    <w:link w:val="Ttulo6Car"/>
    <w:uiPriority w:val="9"/>
    <w:unhideWhenUsed/>
    <w:qFormat/>
    <w:rsid w:val="00937767"/>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Texto tablas,Texto nota pie Arial 10"/>
    <w:basedOn w:val="Normal"/>
    <w:link w:val="TextonotapieCar"/>
    <w:autoRedefine/>
    <w:uiPriority w:val="99"/>
    <w:unhideWhenUsed/>
    <w:qFormat/>
    <w:rsid w:val="00F63B26"/>
    <w:rPr>
      <w:rFonts w:ascii="Verdana" w:eastAsiaTheme="minorHAnsi" w:hAnsi="Verdana"/>
      <w:sz w:val="16"/>
      <w:szCs w:val="20"/>
      <w:lang w:val="es-MX" w:eastAsia="en-US"/>
    </w:rPr>
  </w:style>
  <w:style w:type="character" w:customStyle="1" w:styleId="TextonotapieCar">
    <w:name w:val="Texto nota pie Car"/>
    <w:aliases w:val="Texto tablas Car,Texto nota pie Arial 10 Car"/>
    <w:basedOn w:val="Fuentedeprrafopredeter"/>
    <w:link w:val="Textonotapie"/>
    <w:uiPriority w:val="99"/>
    <w:rsid w:val="00F63B26"/>
    <w:rPr>
      <w:rFonts w:ascii="Verdana" w:hAnsi="Verdana" w:cs="Times New Roman"/>
      <w:sz w:val="16"/>
      <w:szCs w:val="20"/>
      <w:lang w:val="es-MX"/>
    </w:rPr>
  </w:style>
  <w:style w:type="character" w:styleId="Refdenotaalpie">
    <w:name w:val="footnote reference"/>
    <w:uiPriority w:val="99"/>
    <w:rsid w:val="00F63B26"/>
    <w:rPr>
      <w:color w:val="5B9BD5" w:themeColor="accent1"/>
      <w:sz w:val="22"/>
      <w:vertAlign w:val="superscript"/>
    </w:rPr>
  </w:style>
  <w:style w:type="paragraph" w:styleId="Prrafodelista">
    <w:name w:val="List Paragraph"/>
    <w:aliases w:val="Bolita,BOLA,BOLADEF"/>
    <w:basedOn w:val="Normal"/>
    <w:uiPriority w:val="34"/>
    <w:qFormat/>
    <w:rsid w:val="00680A51"/>
    <w:pPr>
      <w:ind w:left="720"/>
      <w:contextualSpacing/>
    </w:pPr>
  </w:style>
  <w:style w:type="character" w:customStyle="1" w:styleId="Ttulo1Car">
    <w:name w:val="Título 1 Car"/>
    <w:aliases w:val="CAPÍTULO 1 - Formato Título 1 Car,Letra verdana 22 Car"/>
    <w:basedOn w:val="Fuentedeprrafopredeter"/>
    <w:link w:val="Ttulo1"/>
    <w:uiPriority w:val="9"/>
    <w:rsid w:val="00680A51"/>
    <w:rPr>
      <w:rFonts w:ascii="Verdana" w:eastAsiaTheme="majorEastAsia" w:hAnsi="Verdana" w:cstheme="majorBidi"/>
      <w:b/>
      <w:color w:val="5B9BD5" w:themeColor="accent1"/>
      <w:sz w:val="56"/>
      <w:szCs w:val="32"/>
    </w:rPr>
  </w:style>
  <w:style w:type="character" w:customStyle="1" w:styleId="Ttulo2Car">
    <w:name w:val="Título 2 Car"/>
    <w:aliases w:val="Título 2 + Franklin Gothic Book + Negrita Car"/>
    <w:basedOn w:val="Fuentedeprrafopredeter"/>
    <w:link w:val="Ttulo2"/>
    <w:uiPriority w:val="9"/>
    <w:rsid w:val="00D17C23"/>
    <w:rPr>
      <w:rFonts w:ascii="Arial" w:eastAsia="Times New Roman" w:hAnsi="Arial" w:cs="Arial"/>
      <w:b/>
      <w:caps/>
      <w:sz w:val="28"/>
      <w:szCs w:val="28"/>
      <w:lang w:val="es-ES" w:eastAsia="es-CO"/>
    </w:rPr>
  </w:style>
  <w:style w:type="character" w:customStyle="1" w:styleId="Ttulo3Car">
    <w:name w:val="Título 3 Car"/>
    <w:basedOn w:val="Fuentedeprrafopredeter"/>
    <w:link w:val="Ttulo3"/>
    <w:uiPriority w:val="9"/>
    <w:rsid w:val="00D17C23"/>
    <w:rPr>
      <w:rFonts w:ascii="Arial" w:eastAsia="Times New Roman" w:hAnsi="Arial" w:cs="Arial"/>
      <w:sz w:val="28"/>
      <w:szCs w:val="28"/>
      <w:lang w:eastAsia="es-CO"/>
    </w:rPr>
  </w:style>
  <w:style w:type="character" w:customStyle="1" w:styleId="Ttulo4Car">
    <w:name w:val="Título 4 Car"/>
    <w:aliases w:val="NIVEL 4 Car"/>
    <w:basedOn w:val="Fuentedeprrafopredeter"/>
    <w:link w:val="Ttulo4"/>
    <w:rsid w:val="00D17C23"/>
    <w:rPr>
      <w:rFonts w:ascii="Arial" w:eastAsiaTheme="majorEastAsia" w:hAnsi="Arial" w:cs="Arial"/>
      <w:b/>
      <w:iCs/>
      <w:sz w:val="28"/>
      <w:szCs w:val="28"/>
    </w:rPr>
  </w:style>
  <w:style w:type="character" w:customStyle="1" w:styleId="Ttulo5Car">
    <w:name w:val="Título 5 Car"/>
    <w:aliases w:val="NOTAS Car"/>
    <w:basedOn w:val="Fuentedeprrafopredeter"/>
    <w:link w:val="Ttulo5"/>
    <w:uiPriority w:val="9"/>
    <w:rsid w:val="00680A51"/>
    <w:rPr>
      <w:rFonts w:ascii="Verdana" w:eastAsiaTheme="majorEastAsia" w:hAnsi="Verdana" w:cstheme="majorBidi"/>
      <w:color w:val="5B9BD5" w:themeColor="accent1"/>
    </w:rPr>
  </w:style>
  <w:style w:type="character" w:customStyle="1" w:styleId="Ttulo6Car">
    <w:name w:val="Título 6 Car"/>
    <w:basedOn w:val="Fuentedeprrafopredeter"/>
    <w:link w:val="Ttulo6"/>
    <w:uiPriority w:val="9"/>
    <w:rsid w:val="00937767"/>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937767"/>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937767"/>
  </w:style>
  <w:style w:type="paragraph" w:styleId="Piedepgina">
    <w:name w:val="footer"/>
    <w:basedOn w:val="Normal"/>
    <w:link w:val="PiedepginaCar"/>
    <w:uiPriority w:val="99"/>
    <w:unhideWhenUsed/>
    <w:rsid w:val="00937767"/>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937767"/>
  </w:style>
  <w:style w:type="paragraph" w:styleId="Descripcin">
    <w:name w:val="caption"/>
    <w:basedOn w:val="Normal"/>
    <w:next w:val="Normal"/>
    <w:unhideWhenUsed/>
    <w:qFormat/>
    <w:rsid w:val="00937767"/>
    <w:rPr>
      <w:rFonts w:ascii="Montserrat Medium" w:eastAsiaTheme="minorHAnsi" w:hAnsi="Montserrat Medium" w:cstheme="minorBidi"/>
      <w:iCs/>
      <w:color w:val="5B9BD5" w:themeColor="accent1"/>
      <w:sz w:val="18"/>
      <w:szCs w:val="18"/>
      <w:lang w:val="es-CO" w:eastAsia="en-US"/>
    </w:rPr>
  </w:style>
  <w:style w:type="paragraph" w:styleId="Textoindependiente">
    <w:name w:val="Body Text"/>
    <w:basedOn w:val="Normal"/>
    <w:link w:val="TextoindependienteCar"/>
    <w:qFormat/>
    <w:rsid w:val="00937767"/>
    <w:pPr>
      <w:widowControl w:val="0"/>
      <w:autoSpaceDE w:val="0"/>
      <w:autoSpaceDN w:val="0"/>
    </w:pPr>
    <w:rPr>
      <w:sz w:val="22"/>
      <w:lang w:eastAsia="en-US"/>
    </w:rPr>
  </w:style>
  <w:style w:type="character" w:customStyle="1" w:styleId="TextoindependienteCar">
    <w:name w:val="Texto independiente Car"/>
    <w:basedOn w:val="Fuentedeprrafopredeter"/>
    <w:link w:val="Textoindependiente"/>
    <w:rsid w:val="00937767"/>
    <w:rPr>
      <w:rFonts w:ascii="Times New Roman" w:eastAsia="Times New Roman" w:hAnsi="Times New Roman" w:cs="Times New Roman"/>
      <w:szCs w:val="24"/>
      <w:lang w:val="es-ES"/>
    </w:rPr>
  </w:style>
  <w:style w:type="character" w:customStyle="1" w:styleId="cf01">
    <w:name w:val="cf01"/>
    <w:basedOn w:val="Fuentedeprrafopredeter"/>
    <w:rsid w:val="00937767"/>
    <w:rPr>
      <w:rFonts w:ascii="Segoe UI" w:hAnsi="Segoe UI" w:cs="Segoe UI" w:hint="default"/>
      <w:sz w:val="18"/>
      <w:szCs w:val="18"/>
    </w:rPr>
  </w:style>
  <w:style w:type="paragraph" w:customStyle="1" w:styleId="Default">
    <w:name w:val="Default"/>
    <w:rsid w:val="00937767"/>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937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93776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fontTable" Target="fontTable.xml"/><Relationship Id="rId16" Type="http://schemas.openxmlformats.org/officeDocument/2006/relationships/image" Target="media/image10.emf"/><Relationship Id="rId11" Type="http://schemas.openxmlformats.org/officeDocument/2006/relationships/image" Target="media/image5.emf"/><Relationship Id="rId32" Type="http://schemas.openxmlformats.org/officeDocument/2006/relationships/image" Target="media/image26.emf"/><Relationship Id="rId37" Type="http://schemas.openxmlformats.org/officeDocument/2006/relationships/image" Target="media/image31.emf"/><Relationship Id="rId53" Type="http://schemas.openxmlformats.org/officeDocument/2006/relationships/image" Target="media/image47.emf"/><Relationship Id="rId58" Type="http://schemas.openxmlformats.org/officeDocument/2006/relationships/image" Target="media/image52.emf"/><Relationship Id="rId74" Type="http://schemas.openxmlformats.org/officeDocument/2006/relationships/image" Target="media/image68.emf"/><Relationship Id="rId79" Type="http://schemas.openxmlformats.org/officeDocument/2006/relationships/image" Target="media/image73.emf"/><Relationship Id="rId5" Type="http://schemas.openxmlformats.org/officeDocument/2006/relationships/footnotes" Target="footnotes.xml"/><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1.emf"/><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4.emf"/><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2.emf"/><Relationship Id="rId81" Type="http://schemas.openxmlformats.org/officeDocument/2006/relationships/image" Target="media/image75.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image" Target="media/image70.emf"/><Relationship Id="rId7" Type="http://schemas.openxmlformats.org/officeDocument/2006/relationships/image" Target="media/image1.emf"/><Relationship Id="rId71" Type="http://schemas.openxmlformats.org/officeDocument/2006/relationships/image" Target="media/image65.emf"/><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emf"/><Relationship Id="rId40" Type="http://schemas.openxmlformats.org/officeDocument/2006/relationships/image" Target="media/image34.emf"/><Relationship Id="rId45" Type="http://schemas.openxmlformats.org/officeDocument/2006/relationships/image" Target="media/image39.emf"/><Relationship Id="rId66" Type="http://schemas.openxmlformats.org/officeDocument/2006/relationships/image" Target="media/image60.emf"/><Relationship Id="rId61" Type="http://schemas.openxmlformats.org/officeDocument/2006/relationships/image" Target="media/image55.emf"/><Relationship Id="rId82" Type="http://schemas.openxmlformats.org/officeDocument/2006/relationships/image" Target="media/image7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84</Pages>
  <Words>10829</Words>
  <Characters>59563</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Humberto Trujillo Arismendy</dc:creator>
  <cp:keywords/>
  <dc:description/>
  <cp:lastModifiedBy>Fabian Humberto Trujillo Arismendy</cp:lastModifiedBy>
  <cp:revision>11</cp:revision>
  <dcterms:created xsi:type="dcterms:W3CDTF">2023-11-02T20:13:00Z</dcterms:created>
  <dcterms:modified xsi:type="dcterms:W3CDTF">2024-09-24T22:00:00Z</dcterms:modified>
</cp:coreProperties>
</file>