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BA756" w14:textId="2C97965B" w:rsidR="00D80E1A" w:rsidRDefault="00D80E1A" w:rsidP="00D80E1A">
      <w:pPr>
        <w:ind w:left="-284" w:right="-285"/>
        <w:jc w:val="center"/>
        <w:rPr>
          <w:rFonts w:ascii="Arial" w:hAnsi="Arial" w:cs="Arial"/>
          <w:b/>
          <w:sz w:val="28"/>
          <w:szCs w:val="28"/>
        </w:rPr>
      </w:pPr>
      <w:r>
        <w:rPr>
          <w:rFonts w:ascii="Arial" w:hAnsi="Arial" w:cs="Arial"/>
          <w:b/>
          <w:sz w:val="28"/>
          <w:szCs w:val="28"/>
        </w:rPr>
        <w:t xml:space="preserve">CAPITULO </w:t>
      </w:r>
      <w:r w:rsidR="008501B8">
        <w:rPr>
          <w:rFonts w:ascii="Arial" w:hAnsi="Arial" w:cs="Arial"/>
          <w:b/>
          <w:sz w:val="28"/>
          <w:szCs w:val="28"/>
        </w:rPr>
        <w:t>3</w:t>
      </w:r>
    </w:p>
    <w:p w14:paraId="63DF4E4E" w14:textId="77777777" w:rsidR="00D80E1A" w:rsidRDefault="00D80E1A" w:rsidP="00D80E1A">
      <w:pPr>
        <w:ind w:left="-284" w:right="-285"/>
        <w:rPr>
          <w:rFonts w:ascii="Arial" w:hAnsi="Arial" w:cs="Arial"/>
          <w:b/>
          <w:sz w:val="28"/>
          <w:szCs w:val="28"/>
        </w:rPr>
      </w:pPr>
    </w:p>
    <w:p w14:paraId="08CBEBCB" w14:textId="77777777" w:rsidR="00D80E1A" w:rsidRDefault="00D80E1A" w:rsidP="00D80E1A">
      <w:pPr>
        <w:jc w:val="center"/>
        <w:rPr>
          <w:rFonts w:ascii="Arial" w:hAnsi="Arial" w:cs="Arial"/>
          <w:b/>
          <w:sz w:val="28"/>
          <w:szCs w:val="28"/>
        </w:rPr>
      </w:pPr>
      <w:r>
        <w:rPr>
          <w:rFonts w:ascii="Arial" w:hAnsi="Arial" w:cs="Arial"/>
          <w:b/>
          <w:sz w:val="28"/>
          <w:szCs w:val="28"/>
        </w:rPr>
        <w:t>SITUACIÓN FINANCIERA Y RESULTADOS CONSOLIDADOS (BALANCE GENERAL) DEL NIVEL NACIONAL A 31 DE DCIEMBRE DE 2024</w:t>
      </w:r>
    </w:p>
    <w:p w14:paraId="12217BFA" w14:textId="77777777" w:rsidR="00D80E1A" w:rsidRDefault="00D80E1A" w:rsidP="00D80E1A">
      <w:pPr>
        <w:jc w:val="center"/>
        <w:rPr>
          <w:rFonts w:ascii="Arial" w:hAnsi="Arial" w:cs="Arial"/>
          <w:b/>
          <w:sz w:val="28"/>
          <w:szCs w:val="28"/>
        </w:rPr>
      </w:pPr>
      <w:r>
        <w:rPr>
          <w:rFonts w:ascii="Arial" w:hAnsi="Arial" w:cs="Arial"/>
          <w:b/>
          <w:sz w:val="28"/>
          <w:szCs w:val="28"/>
        </w:rPr>
        <w:t>Fuente: Contaduría General de la Nación</w:t>
      </w:r>
    </w:p>
    <w:p w14:paraId="299DE643" w14:textId="77777777" w:rsidR="00D80E1A" w:rsidRDefault="00D80E1A" w:rsidP="00D80E1A">
      <w:pPr>
        <w:rPr>
          <w:rFonts w:ascii="Arial" w:hAnsi="Arial" w:cs="Arial"/>
          <w:b/>
          <w:sz w:val="28"/>
          <w:szCs w:val="28"/>
        </w:rPr>
      </w:pPr>
    </w:p>
    <w:p w14:paraId="299753E9" w14:textId="77777777" w:rsidR="00D80E1A" w:rsidRDefault="00D80E1A" w:rsidP="00CF6DEE">
      <w:pPr>
        <w:ind w:right="-234"/>
        <w:jc w:val="both"/>
        <w:rPr>
          <w:rFonts w:ascii="Arial" w:hAnsi="Arial" w:cs="Arial"/>
          <w:b/>
          <w:sz w:val="28"/>
          <w:szCs w:val="28"/>
        </w:rPr>
      </w:pPr>
      <w:r>
        <w:rPr>
          <w:rFonts w:ascii="Arial" w:hAnsi="Arial" w:cs="Arial"/>
          <w:b/>
          <w:sz w:val="28"/>
          <w:szCs w:val="28"/>
        </w:rPr>
        <w:t xml:space="preserve">El Gobierno Nacional por intermedio de la Comisión Legal de Cuentas de la Cámara de Representantes en cumplimiento de lo dispuesto en el parágrafo único del artículo 354 de la Constitución Nacional, presentó el día 27 </w:t>
      </w:r>
      <w:r w:rsidRPr="008B2F85">
        <w:rPr>
          <w:rFonts w:ascii="Arial" w:hAnsi="Arial" w:cs="Arial"/>
          <w:b/>
          <w:sz w:val="28"/>
          <w:szCs w:val="28"/>
        </w:rPr>
        <w:t>de junio de 202</w:t>
      </w:r>
      <w:r>
        <w:rPr>
          <w:rFonts w:ascii="Arial" w:hAnsi="Arial" w:cs="Arial"/>
          <w:b/>
          <w:sz w:val="28"/>
          <w:szCs w:val="28"/>
        </w:rPr>
        <w:t>5</w:t>
      </w:r>
      <w:r w:rsidRPr="008B2F85">
        <w:rPr>
          <w:rFonts w:ascii="Arial" w:hAnsi="Arial" w:cs="Arial"/>
          <w:b/>
          <w:sz w:val="28"/>
          <w:szCs w:val="28"/>
        </w:rPr>
        <w:t xml:space="preserve"> </w:t>
      </w:r>
      <w:r w:rsidRPr="00CC6B96">
        <w:rPr>
          <w:rFonts w:ascii="Arial" w:hAnsi="Arial" w:cs="Arial"/>
          <w:b/>
          <w:sz w:val="28"/>
          <w:szCs w:val="28"/>
        </w:rPr>
        <w:t>a co</w:t>
      </w:r>
      <w:r>
        <w:rPr>
          <w:rFonts w:ascii="Arial" w:hAnsi="Arial" w:cs="Arial"/>
          <w:b/>
          <w:sz w:val="28"/>
          <w:szCs w:val="28"/>
        </w:rPr>
        <w:t>nsideración del Congreso de la República la Situación Financiera (Balance General) y Resultados Consolidados del Nivel Nacional a 31 de diciembre de 2024, elaborada por la Contaduría General de la Nación.</w:t>
      </w:r>
    </w:p>
    <w:p w14:paraId="2D7AD4A2" w14:textId="77777777" w:rsidR="00D80E1A" w:rsidRDefault="00D80E1A" w:rsidP="00CF6DEE">
      <w:pPr>
        <w:ind w:right="-518"/>
        <w:jc w:val="both"/>
        <w:rPr>
          <w:rFonts w:ascii="Arial" w:hAnsi="Arial" w:cs="Arial"/>
          <w:b/>
          <w:sz w:val="28"/>
          <w:szCs w:val="28"/>
        </w:rPr>
      </w:pPr>
    </w:p>
    <w:p w14:paraId="5C3C0D29" w14:textId="326E2C48" w:rsidR="00D80E1A" w:rsidRDefault="00D80E1A" w:rsidP="00CF6DEE">
      <w:pPr>
        <w:ind w:right="-234"/>
        <w:jc w:val="both"/>
        <w:rPr>
          <w:rFonts w:ascii="Arial" w:hAnsi="Arial" w:cs="Arial"/>
          <w:sz w:val="28"/>
          <w:szCs w:val="28"/>
        </w:rPr>
      </w:pPr>
      <w:r>
        <w:rPr>
          <w:rFonts w:ascii="Arial" w:hAnsi="Arial" w:cs="Arial"/>
          <w:sz w:val="28"/>
          <w:szCs w:val="28"/>
        </w:rPr>
        <w:t>Teniendo en cuenta</w:t>
      </w:r>
      <w:r w:rsidRPr="00703EA3">
        <w:rPr>
          <w:rFonts w:ascii="Arial" w:hAnsi="Arial" w:cs="Arial"/>
          <w:sz w:val="28"/>
          <w:szCs w:val="28"/>
        </w:rPr>
        <w:t xml:space="preserve"> la importancia del citado informe para el cumplimiento de las funciones propias de la Comisión Legal de Cuentas y de la Plenaria de la Cámara de Representantes, </w:t>
      </w:r>
      <w:r w:rsidRPr="00937767">
        <w:rPr>
          <w:rFonts w:ascii="Arial" w:hAnsi="Arial" w:cs="Arial"/>
          <w:b/>
          <w:sz w:val="28"/>
          <w:szCs w:val="28"/>
          <w:u w:val="single"/>
        </w:rPr>
        <w:t>se retoma apartes del texto así</w:t>
      </w:r>
      <w:r w:rsidRPr="00703EA3">
        <w:rPr>
          <w:rFonts w:ascii="Arial" w:hAnsi="Arial" w:cs="Arial"/>
          <w:sz w:val="28"/>
          <w:szCs w:val="28"/>
        </w:rPr>
        <w:t>:</w:t>
      </w:r>
    </w:p>
    <w:p w14:paraId="47A59222" w14:textId="35E4033C" w:rsidR="0034282E" w:rsidRDefault="0034282E" w:rsidP="00CF6DEE">
      <w:pPr>
        <w:ind w:right="-234"/>
        <w:jc w:val="both"/>
        <w:rPr>
          <w:rFonts w:ascii="Arial" w:hAnsi="Arial" w:cs="Arial"/>
          <w:sz w:val="28"/>
          <w:szCs w:val="28"/>
        </w:rPr>
      </w:pPr>
    </w:p>
    <w:p w14:paraId="4BEA0435" w14:textId="77777777" w:rsidR="0034282E" w:rsidRPr="00C669C0" w:rsidRDefault="0034282E" w:rsidP="0034282E">
      <w:pPr>
        <w:tabs>
          <w:tab w:val="left" w:pos="11340"/>
        </w:tabs>
        <w:ind w:right="-234"/>
        <w:jc w:val="both"/>
        <w:rPr>
          <w:rFonts w:ascii="Arial" w:hAnsi="Arial" w:cs="Arial"/>
          <w:sz w:val="28"/>
          <w:szCs w:val="28"/>
        </w:rPr>
      </w:pPr>
      <w:r>
        <w:rPr>
          <w:rFonts w:ascii="Arial" w:hAnsi="Arial" w:cs="Arial"/>
          <w:sz w:val="28"/>
          <w:szCs w:val="28"/>
        </w:rPr>
        <w:t>Para efectos del análisis de las cifras reflejadas en el presente informe y de acuerdo con información suministrada por el DANE, se tiene que para la vigencia 2024</w:t>
      </w:r>
      <w:r w:rsidRPr="00914729">
        <w:rPr>
          <w:rFonts w:ascii="Arial" w:hAnsi="Arial" w:cs="Arial"/>
          <w:color w:val="FF0000"/>
          <w:sz w:val="28"/>
          <w:szCs w:val="28"/>
        </w:rPr>
        <w:t xml:space="preserve">, </w:t>
      </w:r>
      <w:r w:rsidRPr="00C669C0">
        <w:rPr>
          <w:rFonts w:ascii="Arial" w:hAnsi="Arial" w:cs="Arial"/>
          <w:b/>
          <w:sz w:val="28"/>
          <w:szCs w:val="28"/>
          <w:u w:val="single"/>
        </w:rPr>
        <w:t>el PIB (preliminar) de Colombia es por valor de $ 1.705.322 miles de millones</w:t>
      </w:r>
      <w:r w:rsidRPr="00C669C0">
        <w:rPr>
          <w:rFonts w:ascii="Arial" w:hAnsi="Arial" w:cs="Arial"/>
          <w:sz w:val="28"/>
          <w:szCs w:val="28"/>
        </w:rPr>
        <w:t>.</w:t>
      </w:r>
    </w:p>
    <w:p w14:paraId="06D1D496" w14:textId="77777777" w:rsidR="00411C6A" w:rsidRDefault="00411C6A" w:rsidP="00D54E06">
      <w:pPr>
        <w:rPr>
          <w:rFonts w:ascii="Arial" w:hAnsi="Arial" w:cs="Arial"/>
        </w:rPr>
      </w:pPr>
    </w:p>
    <w:p w14:paraId="3AD5272E" w14:textId="77777777" w:rsidR="006838DA" w:rsidRPr="0034282E" w:rsidRDefault="006838DA" w:rsidP="006838DA">
      <w:pPr>
        <w:jc w:val="both"/>
        <w:rPr>
          <w:rFonts w:ascii="Arial" w:hAnsi="Arial" w:cs="Arial"/>
          <w:b/>
          <w:sz w:val="28"/>
          <w:szCs w:val="28"/>
        </w:rPr>
      </w:pPr>
      <w:r w:rsidRPr="006838DA">
        <w:rPr>
          <w:b/>
        </w:rPr>
        <w:t>“</w:t>
      </w:r>
      <w:r w:rsidRPr="0034282E">
        <w:rPr>
          <w:rFonts w:ascii="Arial" w:hAnsi="Arial" w:cs="Arial"/>
          <w:b/>
          <w:sz w:val="28"/>
          <w:szCs w:val="28"/>
        </w:rPr>
        <w:t xml:space="preserve">Presentación. </w:t>
      </w:r>
    </w:p>
    <w:p w14:paraId="1E4CDB64" w14:textId="77777777" w:rsidR="006838DA" w:rsidRPr="006838DA" w:rsidRDefault="006838DA" w:rsidP="006838DA">
      <w:pPr>
        <w:jc w:val="both"/>
        <w:rPr>
          <w:rFonts w:ascii="Arial" w:hAnsi="Arial" w:cs="Arial"/>
          <w:b/>
        </w:rPr>
      </w:pPr>
    </w:p>
    <w:p w14:paraId="05895057" w14:textId="77777777" w:rsidR="006838DA" w:rsidRPr="006838DA" w:rsidRDefault="006838DA" w:rsidP="006838DA">
      <w:pPr>
        <w:jc w:val="both"/>
        <w:rPr>
          <w:rFonts w:ascii="Arial" w:hAnsi="Arial" w:cs="Arial"/>
        </w:rPr>
      </w:pPr>
      <w:r w:rsidRPr="006838DA">
        <w:rPr>
          <w:rFonts w:ascii="Arial" w:hAnsi="Arial" w:cs="Arial"/>
        </w:rPr>
        <w:t xml:space="preserve">Como Contador General de la Nación, en cumplimiento de lo ordenado por el artículo 354 de la Constitución Política y la Ley 298 de 1996, tengo la responsabilidad de elaborar el Balance General de la Nación y el Balance de la Hacienda Pública, someterlo a la auditoría de la Contraloría General de la República (CGR) y presentarlo al Congreso de la República a través de la Comisión Legal de Cuentas de la Cámara de Representantes, seis meses después de finalizado el respectivo año fiscal. </w:t>
      </w:r>
    </w:p>
    <w:p w14:paraId="7FDBD83E" w14:textId="77777777" w:rsidR="006838DA" w:rsidRPr="006838DA" w:rsidRDefault="006838DA" w:rsidP="006838DA">
      <w:pPr>
        <w:jc w:val="both"/>
        <w:rPr>
          <w:rFonts w:ascii="Arial" w:hAnsi="Arial" w:cs="Arial"/>
        </w:rPr>
      </w:pPr>
    </w:p>
    <w:p w14:paraId="3003BD08" w14:textId="78D156A1" w:rsidR="00D80E1A" w:rsidRPr="006838DA" w:rsidRDefault="006838DA" w:rsidP="006838DA">
      <w:pPr>
        <w:jc w:val="both"/>
        <w:rPr>
          <w:rFonts w:ascii="Arial" w:hAnsi="Arial" w:cs="Arial"/>
        </w:rPr>
      </w:pPr>
      <w:r w:rsidRPr="006838DA">
        <w:rPr>
          <w:rFonts w:ascii="Arial" w:hAnsi="Arial" w:cs="Arial"/>
        </w:rPr>
        <w:t>Para llevar a cabo esta labor de preparar y presentar los estados financieros consolidados de las entidades públicas que integran el nivel nacional colombiano, es necesario que cada entidad elabore y presente periódicamente la información contable, cumpliendo con la regulación emitida por la Contaduría General de la Nación (CGN</w:t>
      </w:r>
      <w:r w:rsidR="00C76F1E" w:rsidRPr="006838DA">
        <w:rPr>
          <w:rFonts w:ascii="Arial" w:hAnsi="Arial" w:cs="Arial"/>
        </w:rPr>
        <w:t>).</w:t>
      </w:r>
    </w:p>
    <w:p w14:paraId="1A77B526" w14:textId="77777777" w:rsidR="006838DA" w:rsidRPr="006838DA" w:rsidRDefault="006838DA" w:rsidP="006838DA">
      <w:pPr>
        <w:jc w:val="both"/>
        <w:rPr>
          <w:rFonts w:ascii="Arial" w:hAnsi="Arial" w:cs="Arial"/>
        </w:rPr>
      </w:pPr>
    </w:p>
    <w:p w14:paraId="7D6D3317" w14:textId="000FABA1" w:rsidR="006838DA" w:rsidRDefault="006838DA" w:rsidP="006838DA">
      <w:pPr>
        <w:jc w:val="both"/>
        <w:rPr>
          <w:rFonts w:ascii="Arial" w:hAnsi="Arial" w:cs="Arial"/>
        </w:rPr>
      </w:pPr>
      <w:r w:rsidRPr="006838DA">
        <w:rPr>
          <w:rFonts w:ascii="Arial" w:hAnsi="Arial" w:cs="Arial"/>
        </w:rPr>
        <w:t xml:space="preserve">Así las cosas, la consolidación de la información contable se efectúa en la CGN mediante un proceso técnico organizado y desarrollado de acuerdo con estándares internacionales. Este proceso permite obtener las cifras contables de activos, pasivos, patrimonio, ingresos, costos, gastos y resultados del nivel nacional en su conjunto, presentados como si se tratara de una sola entidad. A partir de estos datos, se estructuran los estados financieros consolidados con las respectivas revelaciones, los cuales son presentados inicialmente a la Contraloría General de la República para su auditoría financiera y posteriormente al Congreso de la República. Los estados financieros consolidados se elaboran comparativamente, entre la vigencia que se presenta y la anterior, permitiendo el análisis de la gestión financiera institucional, la situación </w:t>
      </w:r>
      <w:r w:rsidRPr="006838DA">
        <w:rPr>
          <w:rFonts w:ascii="Arial" w:hAnsi="Arial" w:cs="Arial"/>
        </w:rPr>
        <w:lastRenderedPageBreak/>
        <w:t>patrimonial, los resultados consolidados y los cambios ocurridos en el conjunto de entidades del orden nacional durante el último año. Asimismo, sirven como medio de rendición de cuentas sobre el manejo de los recursos públicos y como insumo básico en la elaboración de Estadísticas Fiscales y Cuentas Nacionales, necesarias para la toma de decisiones y el control de la gestión pública.</w:t>
      </w:r>
    </w:p>
    <w:p w14:paraId="7437F416" w14:textId="219BDD77" w:rsidR="00ED6006" w:rsidRDefault="00ED6006" w:rsidP="006838DA">
      <w:pPr>
        <w:jc w:val="both"/>
        <w:rPr>
          <w:rFonts w:ascii="Arial" w:hAnsi="Arial" w:cs="Arial"/>
        </w:rPr>
      </w:pPr>
    </w:p>
    <w:p w14:paraId="738BEDE0" w14:textId="5A31ADCC" w:rsidR="00ED6006" w:rsidRDefault="00ED6006" w:rsidP="006838DA">
      <w:pPr>
        <w:jc w:val="both"/>
        <w:rPr>
          <w:rFonts w:ascii="Arial" w:hAnsi="Arial" w:cs="Arial"/>
        </w:rPr>
      </w:pPr>
    </w:p>
    <w:p w14:paraId="3EE55C07" w14:textId="0008481F" w:rsidR="00ED6006" w:rsidRDefault="00ED6006" w:rsidP="006838DA">
      <w:pPr>
        <w:jc w:val="both"/>
        <w:rPr>
          <w:rFonts w:ascii="Arial" w:hAnsi="Arial" w:cs="Arial"/>
        </w:rPr>
      </w:pPr>
    </w:p>
    <w:p w14:paraId="58C37CFD" w14:textId="5E9EEACC" w:rsidR="00ED6006" w:rsidRDefault="00ED6006" w:rsidP="006838DA">
      <w:pPr>
        <w:jc w:val="both"/>
        <w:rPr>
          <w:rFonts w:ascii="Arial" w:hAnsi="Arial" w:cs="Arial"/>
        </w:rPr>
      </w:pPr>
    </w:p>
    <w:p w14:paraId="11A28960" w14:textId="77777777" w:rsidR="00ED6006" w:rsidRDefault="00ED6006" w:rsidP="006838DA">
      <w:pPr>
        <w:jc w:val="both"/>
        <w:rPr>
          <w:rFonts w:ascii="Arial" w:hAnsi="Arial" w:cs="Arial"/>
        </w:rPr>
      </w:pPr>
    </w:p>
    <w:p w14:paraId="614DF3B6" w14:textId="77777777" w:rsidR="00074AE0" w:rsidRDefault="00074AE0" w:rsidP="006838DA">
      <w:pPr>
        <w:jc w:val="both"/>
        <w:rPr>
          <w:rFonts w:ascii="Arial" w:hAnsi="Arial" w:cs="Arial"/>
        </w:rPr>
      </w:pPr>
    </w:p>
    <w:p w14:paraId="068B7ECA" w14:textId="77777777" w:rsidR="00074AE0" w:rsidRDefault="002E659C" w:rsidP="002E659C">
      <w:pPr>
        <w:jc w:val="center"/>
        <w:rPr>
          <w:rFonts w:ascii="Arial" w:hAnsi="Arial" w:cs="Arial"/>
        </w:rPr>
      </w:pPr>
      <w:r w:rsidRPr="00906633">
        <w:rPr>
          <w:noProof/>
          <w:sz w:val="20"/>
          <w:lang w:val="es-CO" w:eastAsia="es-CO"/>
        </w:rPr>
        <w:lastRenderedPageBreak/>
        <w:drawing>
          <wp:inline distT="0" distB="0" distL="0" distR="0" wp14:anchorId="77CC882F" wp14:editId="7C917D2A">
            <wp:extent cx="4517588" cy="6786562"/>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8" cstate="print"/>
                    <a:stretch>
                      <a:fillRect/>
                    </a:stretch>
                  </pic:blipFill>
                  <pic:spPr>
                    <a:xfrm>
                      <a:off x="0" y="0"/>
                      <a:ext cx="4517588" cy="6786562"/>
                    </a:xfrm>
                    <a:prstGeom prst="rect">
                      <a:avLst/>
                    </a:prstGeom>
                  </pic:spPr>
                </pic:pic>
              </a:graphicData>
            </a:graphic>
          </wp:inline>
        </w:drawing>
      </w:r>
    </w:p>
    <w:p w14:paraId="308BAD8D" w14:textId="77777777" w:rsidR="002E659C" w:rsidRDefault="002E659C" w:rsidP="002E659C">
      <w:pPr>
        <w:jc w:val="center"/>
        <w:rPr>
          <w:rFonts w:ascii="Arial" w:hAnsi="Arial" w:cs="Arial"/>
        </w:rPr>
      </w:pPr>
    </w:p>
    <w:p w14:paraId="798DCD77" w14:textId="77777777" w:rsidR="002E659C" w:rsidRDefault="002E659C" w:rsidP="002E659C">
      <w:pPr>
        <w:jc w:val="center"/>
        <w:rPr>
          <w:rFonts w:ascii="Arial" w:hAnsi="Arial" w:cs="Arial"/>
        </w:rPr>
      </w:pPr>
    </w:p>
    <w:p w14:paraId="1B7B7736" w14:textId="77777777" w:rsidR="002E659C" w:rsidRDefault="002E659C" w:rsidP="002E659C">
      <w:pPr>
        <w:jc w:val="center"/>
        <w:rPr>
          <w:rFonts w:ascii="Arial" w:hAnsi="Arial" w:cs="Arial"/>
        </w:rPr>
      </w:pPr>
    </w:p>
    <w:p w14:paraId="6A990DCF" w14:textId="77777777" w:rsidR="002E659C" w:rsidRDefault="002E659C" w:rsidP="002E659C">
      <w:pPr>
        <w:jc w:val="center"/>
        <w:rPr>
          <w:rFonts w:ascii="Arial" w:hAnsi="Arial" w:cs="Arial"/>
        </w:rPr>
      </w:pPr>
    </w:p>
    <w:p w14:paraId="0CB3AB13" w14:textId="77777777" w:rsidR="002E659C" w:rsidRDefault="002E659C" w:rsidP="002E659C">
      <w:pPr>
        <w:jc w:val="center"/>
        <w:rPr>
          <w:rFonts w:ascii="Arial" w:hAnsi="Arial" w:cs="Arial"/>
        </w:rPr>
      </w:pPr>
    </w:p>
    <w:p w14:paraId="63B6A874" w14:textId="77777777" w:rsidR="002E659C" w:rsidRDefault="002E659C" w:rsidP="002E659C">
      <w:pPr>
        <w:jc w:val="center"/>
        <w:rPr>
          <w:rFonts w:ascii="Arial" w:hAnsi="Arial" w:cs="Arial"/>
        </w:rPr>
      </w:pPr>
    </w:p>
    <w:p w14:paraId="71695EF3" w14:textId="77777777" w:rsidR="002E659C" w:rsidRDefault="002E659C" w:rsidP="002E659C">
      <w:pPr>
        <w:jc w:val="center"/>
        <w:rPr>
          <w:rFonts w:ascii="Arial" w:hAnsi="Arial" w:cs="Arial"/>
        </w:rPr>
      </w:pPr>
    </w:p>
    <w:p w14:paraId="726C974C" w14:textId="77777777" w:rsidR="002E659C" w:rsidRDefault="002E659C" w:rsidP="002E659C">
      <w:pPr>
        <w:jc w:val="center"/>
        <w:rPr>
          <w:rFonts w:ascii="Arial" w:hAnsi="Arial" w:cs="Arial"/>
        </w:rPr>
      </w:pPr>
    </w:p>
    <w:p w14:paraId="398F3051" w14:textId="77777777" w:rsidR="002E659C" w:rsidRDefault="002E659C" w:rsidP="002E659C">
      <w:pPr>
        <w:jc w:val="center"/>
        <w:rPr>
          <w:rFonts w:ascii="Arial" w:hAnsi="Arial" w:cs="Arial"/>
        </w:rPr>
      </w:pPr>
      <w:r w:rsidRPr="00906633">
        <w:rPr>
          <w:noProof/>
          <w:sz w:val="20"/>
          <w:lang w:val="es-CO" w:eastAsia="es-CO"/>
        </w:rPr>
        <w:lastRenderedPageBreak/>
        <w:drawing>
          <wp:inline distT="0" distB="0" distL="0" distR="0" wp14:anchorId="747BAB77" wp14:editId="476DF422">
            <wp:extent cx="4446524" cy="6940867"/>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9" cstate="print"/>
                    <a:stretch>
                      <a:fillRect/>
                    </a:stretch>
                  </pic:blipFill>
                  <pic:spPr>
                    <a:xfrm>
                      <a:off x="0" y="0"/>
                      <a:ext cx="4446524" cy="6940867"/>
                    </a:xfrm>
                    <a:prstGeom prst="rect">
                      <a:avLst/>
                    </a:prstGeom>
                  </pic:spPr>
                </pic:pic>
              </a:graphicData>
            </a:graphic>
          </wp:inline>
        </w:drawing>
      </w:r>
    </w:p>
    <w:p w14:paraId="388CD4C0" w14:textId="77777777" w:rsidR="002E659C" w:rsidRDefault="002E659C" w:rsidP="002E659C">
      <w:pPr>
        <w:jc w:val="center"/>
        <w:rPr>
          <w:rFonts w:ascii="Arial" w:hAnsi="Arial" w:cs="Arial"/>
        </w:rPr>
      </w:pPr>
      <w:r w:rsidRPr="00906633">
        <w:rPr>
          <w:noProof/>
          <w:sz w:val="20"/>
          <w:lang w:val="es-CO" w:eastAsia="es-CO"/>
        </w:rPr>
        <w:lastRenderedPageBreak/>
        <w:drawing>
          <wp:inline distT="0" distB="0" distL="0" distR="0" wp14:anchorId="603B9896" wp14:editId="6959A355">
            <wp:extent cx="4618718" cy="6916864"/>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0" cstate="print"/>
                    <a:stretch>
                      <a:fillRect/>
                    </a:stretch>
                  </pic:blipFill>
                  <pic:spPr>
                    <a:xfrm>
                      <a:off x="0" y="0"/>
                      <a:ext cx="4618718" cy="6916864"/>
                    </a:xfrm>
                    <a:prstGeom prst="rect">
                      <a:avLst/>
                    </a:prstGeom>
                  </pic:spPr>
                </pic:pic>
              </a:graphicData>
            </a:graphic>
          </wp:inline>
        </w:drawing>
      </w:r>
    </w:p>
    <w:p w14:paraId="0DCA8F23" w14:textId="77777777" w:rsidR="002E659C" w:rsidRDefault="002E659C" w:rsidP="006838DA">
      <w:pPr>
        <w:jc w:val="both"/>
        <w:rPr>
          <w:rFonts w:ascii="Arial" w:hAnsi="Arial" w:cs="Arial"/>
        </w:rPr>
      </w:pPr>
    </w:p>
    <w:p w14:paraId="2EE1ECD6" w14:textId="77777777" w:rsidR="002E659C" w:rsidRDefault="002E659C" w:rsidP="006838DA">
      <w:pPr>
        <w:jc w:val="both"/>
        <w:rPr>
          <w:rFonts w:ascii="Arial" w:hAnsi="Arial" w:cs="Arial"/>
        </w:rPr>
      </w:pPr>
    </w:p>
    <w:p w14:paraId="2C478D48" w14:textId="77777777" w:rsidR="002E659C" w:rsidRDefault="002E659C" w:rsidP="006838DA">
      <w:pPr>
        <w:jc w:val="both"/>
        <w:rPr>
          <w:rFonts w:ascii="Arial" w:hAnsi="Arial" w:cs="Arial"/>
        </w:rPr>
      </w:pPr>
    </w:p>
    <w:p w14:paraId="5003DE32" w14:textId="77777777" w:rsidR="002E659C" w:rsidRDefault="002E659C" w:rsidP="006838DA">
      <w:pPr>
        <w:jc w:val="both"/>
        <w:rPr>
          <w:rFonts w:ascii="Arial" w:hAnsi="Arial" w:cs="Arial"/>
        </w:rPr>
      </w:pPr>
    </w:p>
    <w:p w14:paraId="3F6FF23D" w14:textId="77777777" w:rsidR="002E659C" w:rsidRDefault="002E659C" w:rsidP="006838DA">
      <w:pPr>
        <w:jc w:val="both"/>
        <w:rPr>
          <w:rFonts w:ascii="Arial" w:hAnsi="Arial" w:cs="Arial"/>
        </w:rPr>
      </w:pPr>
    </w:p>
    <w:p w14:paraId="44ACF257" w14:textId="77777777" w:rsidR="002E659C" w:rsidRDefault="002E659C" w:rsidP="006838DA">
      <w:pPr>
        <w:jc w:val="both"/>
        <w:rPr>
          <w:rFonts w:ascii="Arial" w:hAnsi="Arial" w:cs="Arial"/>
        </w:rPr>
      </w:pPr>
    </w:p>
    <w:p w14:paraId="39D9C7D3" w14:textId="77777777" w:rsidR="002E659C" w:rsidRDefault="002E659C" w:rsidP="006838DA">
      <w:pPr>
        <w:jc w:val="both"/>
        <w:rPr>
          <w:rFonts w:ascii="Arial" w:hAnsi="Arial" w:cs="Arial"/>
        </w:rPr>
      </w:pPr>
    </w:p>
    <w:p w14:paraId="72D3C9C8" w14:textId="77777777" w:rsidR="002E659C" w:rsidRDefault="002E659C" w:rsidP="006838DA">
      <w:pPr>
        <w:jc w:val="both"/>
        <w:rPr>
          <w:rFonts w:ascii="Arial" w:hAnsi="Arial" w:cs="Arial"/>
        </w:rPr>
      </w:pPr>
    </w:p>
    <w:p w14:paraId="22F48DD6" w14:textId="77777777" w:rsidR="002E659C" w:rsidRDefault="002E659C" w:rsidP="002E659C">
      <w:pPr>
        <w:jc w:val="center"/>
        <w:rPr>
          <w:rFonts w:ascii="Arial" w:hAnsi="Arial" w:cs="Arial"/>
        </w:rPr>
      </w:pPr>
      <w:r w:rsidRPr="00906633">
        <w:rPr>
          <w:noProof/>
          <w:sz w:val="20"/>
          <w:lang w:val="es-CO" w:eastAsia="es-CO"/>
        </w:rPr>
        <w:lastRenderedPageBreak/>
        <w:drawing>
          <wp:inline distT="0" distB="0" distL="0" distR="0" wp14:anchorId="2EDBE2D9" wp14:editId="449A790C">
            <wp:extent cx="4656316" cy="6591300"/>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1" cstate="print"/>
                    <a:stretch>
                      <a:fillRect/>
                    </a:stretch>
                  </pic:blipFill>
                  <pic:spPr>
                    <a:xfrm>
                      <a:off x="0" y="0"/>
                      <a:ext cx="4656316" cy="6591300"/>
                    </a:xfrm>
                    <a:prstGeom prst="rect">
                      <a:avLst/>
                    </a:prstGeom>
                  </pic:spPr>
                </pic:pic>
              </a:graphicData>
            </a:graphic>
          </wp:inline>
        </w:drawing>
      </w:r>
    </w:p>
    <w:p w14:paraId="1AF21958" w14:textId="77777777" w:rsidR="002E659C" w:rsidRPr="002E659C" w:rsidRDefault="002E659C" w:rsidP="002E659C">
      <w:pPr>
        <w:rPr>
          <w:rFonts w:ascii="Arial" w:hAnsi="Arial" w:cs="Arial"/>
        </w:rPr>
      </w:pPr>
    </w:p>
    <w:p w14:paraId="54C30D33" w14:textId="77777777" w:rsidR="002E659C" w:rsidRPr="002E659C" w:rsidRDefault="002E659C" w:rsidP="002E659C">
      <w:pPr>
        <w:rPr>
          <w:rFonts w:ascii="Arial" w:hAnsi="Arial" w:cs="Arial"/>
        </w:rPr>
      </w:pPr>
    </w:p>
    <w:p w14:paraId="59DE3B43" w14:textId="77777777" w:rsidR="002E659C" w:rsidRPr="002E659C" w:rsidRDefault="002E659C" w:rsidP="002E659C">
      <w:pPr>
        <w:rPr>
          <w:rFonts w:ascii="Arial" w:hAnsi="Arial" w:cs="Arial"/>
        </w:rPr>
      </w:pPr>
    </w:p>
    <w:p w14:paraId="3D945C19" w14:textId="77777777" w:rsidR="002E659C" w:rsidRPr="002E659C" w:rsidRDefault="002E659C" w:rsidP="002E659C">
      <w:pPr>
        <w:rPr>
          <w:rFonts w:ascii="Arial" w:hAnsi="Arial" w:cs="Arial"/>
        </w:rPr>
      </w:pPr>
    </w:p>
    <w:p w14:paraId="7F9DEDFD" w14:textId="77777777" w:rsidR="002E659C" w:rsidRDefault="002E659C" w:rsidP="002E659C">
      <w:pPr>
        <w:rPr>
          <w:rFonts w:ascii="Arial" w:hAnsi="Arial" w:cs="Arial"/>
        </w:rPr>
      </w:pPr>
    </w:p>
    <w:p w14:paraId="68C00AFA" w14:textId="77777777" w:rsidR="002E659C" w:rsidRDefault="002E659C" w:rsidP="002E659C">
      <w:pPr>
        <w:rPr>
          <w:rFonts w:ascii="Arial" w:hAnsi="Arial" w:cs="Arial"/>
        </w:rPr>
      </w:pPr>
    </w:p>
    <w:p w14:paraId="2A7213A1" w14:textId="77777777" w:rsidR="002E659C" w:rsidRDefault="002E659C" w:rsidP="002E659C">
      <w:pPr>
        <w:rPr>
          <w:rFonts w:ascii="Arial" w:hAnsi="Arial" w:cs="Arial"/>
        </w:rPr>
      </w:pPr>
    </w:p>
    <w:p w14:paraId="7567D629" w14:textId="77777777" w:rsidR="002E659C" w:rsidRDefault="002E659C" w:rsidP="002E659C">
      <w:pPr>
        <w:rPr>
          <w:rFonts w:ascii="Arial" w:hAnsi="Arial" w:cs="Arial"/>
        </w:rPr>
      </w:pPr>
    </w:p>
    <w:p w14:paraId="2B8FD875" w14:textId="77777777" w:rsidR="002E659C" w:rsidRDefault="002E659C" w:rsidP="002E659C">
      <w:pPr>
        <w:rPr>
          <w:rFonts w:ascii="Arial" w:hAnsi="Arial" w:cs="Arial"/>
        </w:rPr>
      </w:pPr>
    </w:p>
    <w:p w14:paraId="486FDA31" w14:textId="77777777" w:rsidR="002E659C" w:rsidRDefault="002E659C" w:rsidP="002E659C">
      <w:pPr>
        <w:rPr>
          <w:rFonts w:ascii="Arial" w:hAnsi="Arial" w:cs="Arial"/>
        </w:rPr>
      </w:pPr>
    </w:p>
    <w:p w14:paraId="061273E7" w14:textId="77777777" w:rsidR="002E659C" w:rsidRDefault="002E659C" w:rsidP="002E659C">
      <w:pPr>
        <w:rPr>
          <w:rFonts w:ascii="Arial" w:hAnsi="Arial" w:cs="Arial"/>
        </w:rPr>
      </w:pPr>
      <w:r w:rsidRPr="00906633">
        <w:rPr>
          <w:noProof/>
          <w:sz w:val="20"/>
          <w:lang w:val="es-CO" w:eastAsia="es-CO"/>
        </w:rPr>
        <w:lastRenderedPageBreak/>
        <w:drawing>
          <wp:anchor distT="0" distB="0" distL="114300" distR="114300" simplePos="0" relativeHeight="251658240" behindDoc="0" locked="0" layoutInCell="1" allowOverlap="1" wp14:anchorId="75228F82" wp14:editId="49E85960">
            <wp:simplePos x="1590675" y="723900"/>
            <wp:positionH relativeFrom="column">
              <wp:posOffset>1586865</wp:posOffset>
            </wp:positionH>
            <wp:positionV relativeFrom="paragraph">
              <wp:align>top</wp:align>
            </wp:positionV>
            <wp:extent cx="4593969" cy="6511290"/>
            <wp:effectExtent l="0" t="0" r="0" b="3810"/>
            <wp:wrapSquare wrapText="bothSides"/>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3969" cy="6511290"/>
                    </a:xfrm>
                    <a:prstGeom prst="rect">
                      <a:avLst/>
                    </a:prstGeom>
                  </pic:spPr>
                </pic:pic>
              </a:graphicData>
            </a:graphic>
          </wp:anchor>
        </w:drawing>
      </w:r>
      <w:r>
        <w:rPr>
          <w:rFonts w:ascii="Arial" w:hAnsi="Arial" w:cs="Arial"/>
        </w:rPr>
        <w:br w:type="textWrapping" w:clear="all"/>
      </w:r>
    </w:p>
    <w:p w14:paraId="0CF52031" w14:textId="77777777" w:rsidR="002E659C" w:rsidRDefault="002E659C" w:rsidP="002E659C">
      <w:pPr>
        <w:rPr>
          <w:rFonts w:ascii="Arial" w:hAnsi="Arial" w:cs="Arial"/>
        </w:rPr>
      </w:pPr>
    </w:p>
    <w:p w14:paraId="32E09EEA" w14:textId="77777777" w:rsidR="002E659C" w:rsidRDefault="002E659C" w:rsidP="002E659C">
      <w:pPr>
        <w:rPr>
          <w:rFonts w:ascii="Arial" w:hAnsi="Arial" w:cs="Arial"/>
        </w:rPr>
      </w:pPr>
    </w:p>
    <w:p w14:paraId="6E3D49CD" w14:textId="77777777" w:rsidR="002E659C" w:rsidRDefault="002E659C" w:rsidP="002E659C">
      <w:pPr>
        <w:rPr>
          <w:rFonts w:ascii="Arial" w:hAnsi="Arial" w:cs="Arial"/>
        </w:rPr>
      </w:pPr>
    </w:p>
    <w:p w14:paraId="404532A9" w14:textId="77777777" w:rsidR="002E659C" w:rsidRDefault="002E659C" w:rsidP="002E659C">
      <w:pPr>
        <w:rPr>
          <w:rFonts w:ascii="Arial" w:hAnsi="Arial" w:cs="Arial"/>
        </w:rPr>
      </w:pPr>
    </w:p>
    <w:p w14:paraId="39B55A88" w14:textId="77777777" w:rsidR="002E659C" w:rsidRDefault="002E659C" w:rsidP="002E659C">
      <w:pPr>
        <w:rPr>
          <w:rFonts w:ascii="Arial" w:hAnsi="Arial" w:cs="Arial"/>
        </w:rPr>
      </w:pPr>
    </w:p>
    <w:p w14:paraId="7D5EE4C6" w14:textId="77777777" w:rsidR="002E659C" w:rsidRDefault="002E659C" w:rsidP="002E659C">
      <w:pPr>
        <w:rPr>
          <w:rFonts w:ascii="Arial" w:hAnsi="Arial" w:cs="Arial"/>
        </w:rPr>
      </w:pPr>
    </w:p>
    <w:p w14:paraId="3C7B8A2C" w14:textId="77777777" w:rsidR="002E659C" w:rsidRDefault="002E659C" w:rsidP="002E659C">
      <w:pPr>
        <w:rPr>
          <w:rFonts w:ascii="Arial" w:hAnsi="Arial" w:cs="Arial"/>
        </w:rPr>
      </w:pPr>
    </w:p>
    <w:p w14:paraId="3311492F" w14:textId="77777777" w:rsidR="002E659C" w:rsidRDefault="002E659C" w:rsidP="002E659C">
      <w:pPr>
        <w:jc w:val="center"/>
        <w:rPr>
          <w:rFonts w:ascii="Arial" w:hAnsi="Arial" w:cs="Arial"/>
        </w:rPr>
      </w:pPr>
      <w:r w:rsidRPr="00906633">
        <w:rPr>
          <w:noProof/>
          <w:sz w:val="20"/>
          <w:lang w:val="es-CO" w:eastAsia="es-CO"/>
        </w:rPr>
        <w:lastRenderedPageBreak/>
        <w:drawing>
          <wp:inline distT="0" distB="0" distL="0" distR="0" wp14:anchorId="71B9881F" wp14:editId="75A7FBB4">
            <wp:extent cx="4344291" cy="6162770"/>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3" cstate="print"/>
                    <a:stretch>
                      <a:fillRect/>
                    </a:stretch>
                  </pic:blipFill>
                  <pic:spPr>
                    <a:xfrm>
                      <a:off x="0" y="0"/>
                      <a:ext cx="4344291" cy="6162770"/>
                    </a:xfrm>
                    <a:prstGeom prst="rect">
                      <a:avLst/>
                    </a:prstGeom>
                  </pic:spPr>
                </pic:pic>
              </a:graphicData>
            </a:graphic>
          </wp:inline>
        </w:drawing>
      </w:r>
    </w:p>
    <w:p w14:paraId="39316D36" w14:textId="77777777" w:rsidR="002E659C" w:rsidRPr="002E659C" w:rsidRDefault="002E659C" w:rsidP="002E659C">
      <w:pPr>
        <w:rPr>
          <w:rFonts w:ascii="Arial" w:hAnsi="Arial" w:cs="Arial"/>
        </w:rPr>
      </w:pPr>
    </w:p>
    <w:p w14:paraId="383781FD" w14:textId="77777777" w:rsidR="002E659C" w:rsidRPr="002E659C" w:rsidRDefault="002E659C" w:rsidP="002E659C">
      <w:pPr>
        <w:rPr>
          <w:rFonts w:ascii="Arial" w:hAnsi="Arial" w:cs="Arial"/>
        </w:rPr>
      </w:pPr>
    </w:p>
    <w:p w14:paraId="4482AACA" w14:textId="77777777" w:rsidR="002E659C" w:rsidRPr="002E659C" w:rsidRDefault="002E659C" w:rsidP="002E659C">
      <w:pPr>
        <w:rPr>
          <w:rFonts w:ascii="Arial" w:hAnsi="Arial" w:cs="Arial"/>
        </w:rPr>
      </w:pPr>
    </w:p>
    <w:p w14:paraId="63DEE617" w14:textId="77777777" w:rsidR="002E659C" w:rsidRPr="002E659C" w:rsidRDefault="002E659C" w:rsidP="002E659C">
      <w:pPr>
        <w:rPr>
          <w:rFonts w:ascii="Arial" w:hAnsi="Arial" w:cs="Arial"/>
        </w:rPr>
      </w:pPr>
    </w:p>
    <w:p w14:paraId="792DF0F8" w14:textId="77777777" w:rsidR="002E659C" w:rsidRPr="002E659C" w:rsidRDefault="002E659C" w:rsidP="002E659C">
      <w:pPr>
        <w:rPr>
          <w:rFonts w:ascii="Arial" w:hAnsi="Arial" w:cs="Arial"/>
        </w:rPr>
      </w:pPr>
    </w:p>
    <w:p w14:paraId="72825A85" w14:textId="77777777" w:rsidR="002E659C" w:rsidRPr="002E659C" w:rsidRDefault="002E659C" w:rsidP="002E659C">
      <w:pPr>
        <w:rPr>
          <w:rFonts w:ascii="Arial" w:hAnsi="Arial" w:cs="Arial"/>
        </w:rPr>
      </w:pPr>
    </w:p>
    <w:p w14:paraId="0DD7870C" w14:textId="77777777" w:rsidR="002E659C" w:rsidRPr="002E659C" w:rsidRDefault="002E659C" w:rsidP="002E659C">
      <w:pPr>
        <w:rPr>
          <w:rFonts w:ascii="Arial" w:hAnsi="Arial" w:cs="Arial"/>
        </w:rPr>
      </w:pPr>
    </w:p>
    <w:p w14:paraId="20648C09" w14:textId="77777777" w:rsidR="002E659C" w:rsidRPr="002E659C" w:rsidRDefault="002E659C" w:rsidP="002E659C">
      <w:pPr>
        <w:rPr>
          <w:rFonts w:ascii="Arial" w:hAnsi="Arial" w:cs="Arial"/>
        </w:rPr>
      </w:pPr>
    </w:p>
    <w:p w14:paraId="4C5D0358" w14:textId="77777777" w:rsidR="002E659C" w:rsidRPr="002E659C" w:rsidRDefault="002E659C" w:rsidP="002E659C">
      <w:pPr>
        <w:rPr>
          <w:rFonts w:ascii="Arial" w:hAnsi="Arial" w:cs="Arial"/>
        </w:rPr>
      </w:pPr>
    </w:p>
    <w:p w14:paraId="27562B26" w14:textId="77777777" w:rsidR="002E659C" w:rsidRPr="002E659C" w:rsidRDefault="002E659C" w:rsidP="002E659C">
      <w:pPr>
        <w:rPr>
          <w:rFonts w:ascii="Arial" w:hAnsi="Arial" w:cs="Arial"/>
        </w:rPr>
      </w:pPr>
    </w:p>
    <w:p w14:paraId="2FC22507" w14:textId="77777777" w:rsidR="002E659C" w:rsidRDefault="002E659C" w:rsidP="002E659C">
      <w:pPr>
        <w:rPr>
          <w:rFonts w:ascii="Arial" w:hAnsi="Arial" w:cs="Arial"/>
        </w:rPr>
      </w:pPr>
    </w:p>
    <w:p w14:paraId="46133750" w14:textId="77777777" w:rsidR="002E659C" w:rsidRDefault="002E659C" w:rsidP="002E659C">
      <w:pPr>
        <w:tabs>
          <w:tab w:val="left" w:pos="1200"/>
        </w:tabs>
        <w:rPr>
          <w:rFonts w:ascii="Arial" w:hAnsi="Arial" w:cs="Arial"/>
        </w:rPr>
      </w:pPr>
      <w:r>
        <w:rPr>
          <w:rFonts w:ascii="Arial" w:hAnsi="Arial" w:cs="Arial"/>
        </w:rPr>
        <w:tab/>
      </w:r>
    </w:p>
    <w:p w14:paraId="6B0269BA" w14:textId="77777777" w:rsidR="002E659C" w:rsidRDefault="002E659C" w:rsidP="002E659C">
      <w:pPr>
        <w:tabs>
          <w:tab w:val="left" w:pos="1200"/>
        </w:tabs>
        <w:jc w:val="center"/>
        <w:rPr>
          <w:rFonts w:ascii="Arial" w:hAnsi="Arial" w:cs="Arial"/>
        </w:rPr>
      </w:pPr>
      <w:r w:rsidRPr="00906633">
        <w:rPr>
          <w:noProof/>
          <w:sz w:val="20"/>
          <w:lang w:val="es-CO" w:eastAsia="es-CO"/>
        </w:rPr>
        <w:lastRenderedPageBreak/>
        <w:drawing>
          <wp:inline distT="0" distB="0" distL="0" distR="0" wp14:anchorId="48701EB4" wp14:editId="1056B20A">
            <wp:extent cx="4780908" cy="5704332"/>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4" cstate="print"/>
                    <a:stretch>
                      <a:fillRect/>
                    </a:stretch>
                  </pic:blipFill>
                  <pic:spPr>
                    <a:xfrm>
                      <a:off x="0" y="0"/>
                      <a:ext cx="4780908" cy="5704332"/>
                    </a:xfrm>
                    <a:prstGeom prst="rect">
                      <a:avLst/>
                    </a:prstGeom>
                  </pic:spPr>
                </pic:pic>
              </a:graphicData>
            </a:graphic>
          </wp:inline>
        </w:drawing>
      </w:r>
    </w:p>
    <w:p w14:paraId="569F01C6" w14:textId="77777777" w:rsidR="002E659C" w:rsidRPr="002E659C" w:rsidRDefault="002E659C" w:rsidP="002E659C">
      <w:pPr>
        <w:rPr>
          <w:rFonts w:ascii="Arial" w:hAnsi="Arial" w:cs="Arial"/>
        </w:rPr>
      </w:pPr>
    </w:p>
    <w:p w14:paraId="2D13F6DA" w14:textId="77777777" w:rsidR="002E659C" w:rsidRPr="002E659C" w:rsidRDefault="002E659C" w:rsidP="002E659C">
      <w:pPr>
        <w:rPr>
          <w:rFonts w:ascii="Arial" w:hAnsi="Arial" w:cs="Arial"/>
        </w:rPr>
      </w:pPr>
    </w:p>
    <w:p w14:paraId="71F1CE94" w14:textId="77777777" w:rsidR="002E659C" w:rsidRDefault="002E659C" w:rsidP="002E659C">
      <w:pPr>
        <w:rPr>
          <w:rFonts w:ascii="Arial" w:hAnsi="Arial" w:cs="Arial"/>
        </w:rPr>
      </w:pPr>
    </w:p>
    <w:p w14:paraId="648EE53F" w14:textId="77777777" w:rsidR="002E659C" w:rsidRDefault="002E659C" w:rsidP="002E659C">
      <w:pPr>
        <w:rPr>
          <w:rFonts w:ascii="Arial" w:hAnsi="Arial" w:cs="Arial"/>
        </w:rPr>
      </w:pPr>
    </w:p>
    <w:p w14:paraId="58FD87DD" w14:textId="77777777" w:rsidR="002E659C" w:rsidRDefault="002E659C" w:rsidP="002E659C">
      <w:pPr>
        <w:rPr>
          <w:rFonts w:ascii="Arial" w:hAnsi="Arial" w:cs="Arial"/>
        </w:rPr>
      </w:pPr>
    </w:p>
    <w:p w14:paraId="11520B4B" w14:textId="77777777" w:rsidR="002E659C" w:rsidRDefault="002E659C" w:rsidP="002E659C">
      <w:pPr>
        <w:rPr>
          <w:rFonts w:ascii="Arial" w:hAnsi="Arial" w:cs="Arial"/>
        </w:rPr>
      </w:pPr>
    </w:p>
    <w:p w14:paraId="13880634" w14:textId="77777777" w:rsidR="002E659C" w:rsidRDefault="002E659C" w:rsidP="002E659C">
      <w:pPr>
        <w:rPr>
          <w:rFonts w:ascii="Arial" w:hAnsi="Arial" w:cs="Arial"/>
        </w:rPr>
      </w:pPr>
    </w:p>
    <w:p w14:paraId="6462B714" w14:textId="77777777" w:rsidR="002E659C" w:rsidRDefault="002E659C" w:rsidP="002E659C">
      <w:pPr>
        <w:rPr>
          <w:rFonts w:ascii="Arial" w:hAnsi="Arial" w:cs="Arial"/>
        </w:rPr>
      </w:pPr>
    </w:p>
    <w:p w14:paraId="3A167154" w14:textId="77777777" w:rsidR="002E659C" w:rsidRDefault="002E659C" w:rsidP="002E659C">
      <w:pPr>
        <w:rPr>
          <w:rFonts w:ascii="Arial" w:hAnsi="Arial" w:cs="Arial"/>
        </w:rPr>
      </w:pPr>
    </w:p>
    <w:p w14:paraId="0A066F0C" w14:textId="77777777" w:rsidR="002E659C" w:rsidRDefault="002E659C" w:rsidP="002E659C">
      <w:pPr>
        <w:rPr>
          <w:rFonts w:ascii="Arial" w:hAnsi="Arial" w:cs="Arial"/>
        </w:rPr>
      </w:pPr>
    </w:p>
    <w:p w14:paraId="33DED66F" w14:textId="77777777" w:rsidR="002E659C" w:rsidRDefault="002E659C" w:rsidP="002E659C">
      <w:pPr>
        <w:rPr>
          <w:rFonts w:ascii="Arial" w:hAnsi="Arial" w:cs="Arial"/>
        </w:rPr>
      </w:pPr>
    </w:p>
    <w:p w14:paraId="06D52736" w14:textId="77777777" w:rsidR="002E659C" w:rsidRDefault="002E659C" w:rsidP="002E659C">
      <w:pPr>
        <w:rPr>
          <w:rFonts w:ascii="Arial" w:hAnsi="Arial" w:cs="Arial"/>
        </w:rPr>
      </w:pPr>
    </w:p>
    <w:p w14:paraId="3A4DEFA6" w14:textId="77777777" w:rsidR="002E659C" w:rsidRDefault="002E659C" w:rsidP="002E659C">
      <w:pPr>
        <w:rPr>
          <w:rFonts w:ascii="Arial" w:hAnsi="Arial" w:cs="Arial"/>
        </w:rPr>
      </w:pPr>
    </w:p>
    <w:p w14:paraId="5AEF9383" w14:textId="77777777" w:rsidR="002E659C" w:rsidRDefault="002E659C" w:rsidP="002E659C">
      <w:pPr>
        <w:rPr>
          <w:rFonts w:ascii="Arial" w:hAnsi="Arial" w:cs="Arial"/>
        </w:rPr>
      </w:pPr>
    </w:p>
    <w:p w14:paraId="33FAEB1F" w14:textId="77777777" w:rsidR="002E659C" w:rsidRDefault="002E659C" w:rsidP="002E659C">
      <w:pPr>
        <w:rPr>
          <w:rFonts w:ascii="Arial" w:hAnsi="Arial" w:cs="Arial"/>
        </w:rPr>
      </w:pPr>
    </w:p>
    <w:p w14:paraId="3C1AD8A2" w14:textId="77777777" w:rsidR="002E659C" w:rsidRDefault="002E659C" w:rsidP="002E659C">
      <w:pPr>
        <w:rPr>
          <w:rFonts w:ascii="Arial" w:hAnsi="Arial" w:cs="Arial"/>
        </w:rPr>
      </w:pPr>
    </w:p>
    <w:p w14:paraId="6CF5868E" w14:textId="77777777" w:rsidR="002E659C" w:rsidRDefault="002E659C" w:rsidP="002E659C">
      <w:pPr>
        <w:jc w:val="center"/>
        <w:rPr>
          <w:rFonts w:ascii="Arial" w:hAnsi="Arial" w:cs="Arial"/>
        </w:rPr>
      </w:pPr>
      <w:r w:rsidRPr="00906633">
        <w:rPr>
          <w:noProof/>
          <w:sz w:val="20"/>
          <w:lang w:val="es-CO" w:eastAsia="es-CO"/>
        </w:rPr>
        <w:drawing>
          <wp:inline distT="0" distB="0" distL="0" distR="0" wp14:anchorId="68F8EA85" wp14:editId="3049D5B2">
            <wp:extent cx="4443180" cy="6802945"/>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5" cstate="print"/>
                    <a:stretch>
                      <a:fillRect/>
                    </a:stretch>
                  </pic:blipFill>
                  <pic:spPr>
                    <a:xfrm>
                      <a:off x="0" y="0"/>
                      <a:ext cx="4443180" cy="6802945"/>
                    </a:xfrm>
                    <a:prstGeom prst="rect">
                      <a:avLst/>
                    </a:prstGeom>
                  </pic:spPr>
                </pic:pic>
              </a:graphicData>
            </a:graphic>
          </wp:inline>
        </w:drawing>
      </w:r>
    </w:p>
    <w:p w14:paraId="2237EF46" w14:textId="77777777" w:rsidR="002E659C" w:rsidRPr="002E659C" w:rsidRDefault="002E659C" w:rsidP="002E659C">
      <w:pPr>
        <w:rPr>
          <w:rFonts w:ascii="Arial" w:hAnsi="Arial" w:cs="Arial"/>
        </w:rPr>
      </w:pPr>
    </w:p>
    <w:p w14:paraId="56E3034E" w14:textId="77777777" w:rsidR="002E659C" w:rsidRPr="002E659C" w:rsidRDefault="002E659C" w:rsidP="002E659C">
      <w:pPr>
        <w:rPr>
          <w:rFonts w:ascii="Arial" w:hAnsi="Arial" w:cs="Arial"/>
        </w:rPr>
      </w:pPr>
    </w:p>
    <w:p w14:paraId="5E02ADFC" w14:textId="77777777" w:rsidR="002E659C" w:rsidRPr="002E659C" w:rsidRDefault="002E659C" w:rsidP="002E659C">
      <w:pPr>
        <w:rPr>
          <w:rFonts w:ascii="Arial" w:hAnsi="Arial" w:cs="Arial"/>
        </w:rPr>
      </w:pPr>
    </w:p>
    <w:p w14:paraId="27D996E8" w14:textId="77777777" w:rsidR="002E659C" w:rsidRPr="002E659C" w:rsidRDefault="002E659C" w:rsidP="002E659C">
      <w:pPr>
        <w:rPr>
          <w:rFonts w:ascii="Arial" w:hAnsi="Arial" w:cs="Arial"/>
        </w:rPr>
      </w:pPr>
    </w:p>
    <w:p w14:paraId="617F0D82" w14:textId="77777777" w:rsidR="002E659C" w:rsidRPr="002E659C" w:rsidRDefault="002E659C" w:rsidP="002E659C">
      <w:pPr>
        <w:rPr>
          <w:rFonts w:ascii="Arial" w:hAnsi="Arial" w:cs="Arial"/>
        </w:rPr>
      </w:pPr>
    </w:p>
    <w:p w14:paraId="62361C26" w14:textId="77777777" w:rsidR="002E659C" w:rsidRPr="002E659C" w:rsidRDefault="002E659C" w:rsidP="002E659C">
      <w:pPr>
        <w:rPr>
          <w:rFonts w:ascii="Arial" w:hAnsi="Arial" w:cs="Arial"/>
        </w:rPr>
      </w:pPr>
    </w:p>
    <w:p w14:paraId="50E2DB89" w14:textId="77777777" w:rsidR="002E659C" w:rsidRDefault="002E659C" w:rsidP="002E659C">
      <w:pPr>
        <w:rPr>
          <w:rFonts w:ascii="Arial" w:hAnsi="Arial" w:cs="Arial"/>
        </w:rPr>
      </w:pPr>
    </w:p>
    <w:p w14:paraId="2A0CE8AB" w14:textId="77777777" w:rsidR="002E659C" w:rsidRDefault="002E659C" w:rsidP="002E659C">
      <w:pPr>
        <w:tabs>
          <w:tab w:val="left" w:pos="2055"/>
        </w:tabs>
        <w:rPr>
          <w:rFonts w:ascii="Arial" w:hAnsi="Arial" w:cs="Arial"/>
        </w:rPr>
      </w:pPr>
      <w:r>
        <w:rPr>
          <w:rFonts w:ascii="Arial" w:hAnsi="Arial" w:cs="Arial"/>
        </w:rPr>
        <w:lastRenderedPageBreak/>
        <w:tab/>
      </w:r>
    </w:p>
    <w:p w14:paraId="4EDCCAF3" w14:textId="77777777" w:rsidR="002E659C" w:rsidRDefault="002E659C" w:rsidP="002E659C">
      <w:pPr>
        <w:tabs>
          <w:tab w:val="left" w:pos="2055"/>
        </w:tabs>
        <w:rPr>
          <w:rFonts w:ascii="Arial" w:hAnsi="Arial" w:cs="Arial"/>
        </w:rPr>
      </w:pPr>
    </w:p>
    <w:p w14:paraId="07629928" w14:textId="77777777" w:rsidR="002E659C" w:rsidRDefault="002E659C" w:rsidP="002E659C">
      <w:pPr>
        <w:tabs>
          <w:tab w:val="left" w:pos="2055"/>
        </w:tabs>
        <w:rPr>
          <w:rFonts w:ascii="Arial" w:hAnsi="Arial" w:cs="Arial"/>
        </w:rPr>
      </w:pPr>
      <w:r w:rsidRPr="00906633">
        <w:rPr>
          <w:noProof/>
          <w:sz w:val="20"/>
          <w:lang w:val="es-CO" w:eastAsia="es-CO"/>
        </w:rPr>
        <w:drawing>
          <wp:anchor distT="0" distB="0" distL="114300" distR="114300" simplePos="0" relativeHeight="251659264" behindDoc="0" locked="0" layoutInCell="1" allowOverlap="1" wp14:anchorId="1B97DE4A" wp14:editId="2C378172">
            <wp:simplePos x="1562100" y="723900"/>
            <wp:positionH relativeFrom="column">
              <wp:posOffset>1567815</wp:posOffset>
            </wp:positionH>
            <wp:positionV relativeFrom="paragraph">
              <wp:align>top</wp:align>
            </wp:positionV>
            <wp:extent cx="4642138" cy="7037070"/>
            <wp:effectExtent l="0" t="0" r="6350" b="0"/>
            <wp:wrapSquare wrapText="bothSides"/>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42138" cy="7037070"/>
                    </a:xfrm>
                    <a:prstGeom prst="rect">
                      <a:avLst/>
                    </a:prstGeom>
                  </pic:spPr>
                </pic:pic>
              </a:graphicData>
            </a:graphic>
          </wp:anchor>
        </w:drawing>
      </w:r>
    </w:p>
    <w:p w14:paraId="6C9A54F1" w14:textId="77777777" w:rsidR="002E659C" w:rsidRPr="002E659C" w:rsidRDefault="002E659C" w:rsidP="002E659C">
      <w:pPr>
        <w:rPr>
          <w:rFonts w:ascii="Arial" w:hAnsi="Arial" w:cs="Arial"/>
        </w:rPr>
      </w:pPr>
    </w:p>
    <w:p w14:paraId="77B99157" w14:textId="77777777" w:rsidR="002E659C" w:rsidRPr="002E659C" w:rsidRDefault="002E659C" w:rsidP="002E659C">
      <w:pPr>
        <w:rPr>
          <w:rFonts w:ascii="Arial" w:hAnsi="Arial" w:cs="Arial"/>
        </w:rPr>
      </w:pPr>
    </w:p>
    <w:p w14:paraId="2509B71C" w14:textId="77777777" w:rsidR="002E659C" w:rsidRPr="002E659C" w:rsidRDefault="002E659C" w:rsidP="002E659C">
      <w:pPr>
        <w:rPr>
          <w:rFonts w:ascii="Arial" w:hAnsi="Arial" w:cs="Arial"/>
        </w:rPr>
      </w:pPr>
    </w:p>
    <w:p w14:paraId="00C2746F" w14:textId="77777777" w:rsidR="002E659C" w:rsidRPr="002E659C" w:rsidRDefault="002E659C" w:rsidP="002E659C">
      <w:pPr>
        <w:rPr>
          <w:rFonts w:ascii="Arial" w:hAnsi="Arial" w:cs="Arial"/>
        </w:rPr>
      </w:pPr>
    </w:p>
    <w:p w14:paraId="3EF96FD6" w14:textId="77777777" w:rsidR="002E659C" w:rsidRPr="002E659C" w:rsidRDefault="002E659C" w:rsidP="002E659C">
      <w:pPr>
        <w:rPr>
          <w:rFonts w:ascii="Arial" w:hAnsi="Arial" w:cs="Arial"/>
        </w:rPr>
      </w:pPr>
    </w:p>
    <w:p w14:paraId="0244305A" w14:textId="77777777" w:rsidR="002E659C" w:rsidRPr="002E659C" w:rsidRDefault="002E659C" w:rsidP="002E659C">
      <w:pPr>
        <w:rPr>
          <w:rFonts w:ascii="Arial" w:hAnsi="Arial" w:cs="Arial"/>
        </w:rPr>
      </w:pPr>
    </w:p>
    <w:p w14:paraId="0CFF8FD7" w14:textId="77777777" w:rsidR="002E659C" w:rsidRPr="002E659C" w:rsidRDefault="002E659C" w:rsidP="002E659C">
      <w:pPr>
        <w:rPr>
          <w:rFonts w:ascii="Arial" w:hAnsi="Arial" w:cs="Arial"/>
        </w:rPr>
      </w:pPr>
    </w:p>
    <w:p w14:paraId="433DE5DA" w14:textId="77777777" w:rsidR="002E659C" w:rsidRPr="002E659C" w:rsidRDefault="002E659C" w:rsidP="002E659C">
      <w:pPr>
        <w:rPr>
          <w:rFonts w:ascii="Arial" w:hAnsi="Arial" w:cs="Arial"/>
        </w:rPr>
      </w:pPr>
    </w:p>
    <w:p w14:paraId="38A7B640" w14:textId="77777777" w:rsidR="002E659C" w:rsidRPr="002E659C" w:rsidRDefault="002E659C" w:rsidP="002E659C">
      <w:pPr>
        <w:rPr>
          <w:rFonts w:ascii="Arial" w:hAnsi="Arial" w:cs="Arial"/>
        </w:rPr>
      </w:pPr>
    </w:p>
    <w:p w14:paraId="15078C8B" w14:textId="77777777" w:rsidR="002E659C" w:rsidRPr="002E659C" w:rsidRDefault="002E659C" w:rsidP="002E659C">
      <w:pPr>
        <w:rPr>
          <w:rFonts w:ascii="Arial" w:hAnsi="Arial" w:cs="Arial"/>
        </w:rPr>
      </w:pPr>
    </w:p>
    <w:p w14:paraId="5DA77B6C" w14:textId="77777777" w:rsidR="002E659C" w:rsidRPr="002E659C" w:rsidRDefault="002E659C" w:rsidP="002E659C">
      <w:pPr>
        <w:rPr>
          <w:rFonts w:ascii="Arial" w:hAnsi="Arial" w:cs="Arial"/>
        </w:rPr>
      </w:pPr>
    </w:p>
    <w:p w14:paraId="7D36D0A5" w14:textId="77777777" w:rsidR="002E659C" w:rsidRPr="002E659C" w:rsidRDefault="002E659C" w:rsidP="002E659C">
      <w:pPr>
        <w:rPr>
          <w:rFonts w:ascii="Arial" w:hAnsi="Arial" w:cs="Arial"/>
        </w:rPr>
      </w:pPr>
    </w:p>
    <w:p w14:paraId="3AEF5828" w14:textId="77777777" w:rsidR="002E659C" w:rsidRPr="002E659C" w:rsidRDefault="002E659C" w:rsidP="002E659C">
      <w:pPr>
        <w:rPr>
          <w:rFonts w:ascii="Arial" w:hAnsi="Arial" w:cs="Arial"/>
        </w:rPr>
      </w:pPr>
    </w:p>
    <w:p w14:paraId="0B15C715" w14:textId="77777777" w:rsidR="002E659C" w:rsidRPr="002E659C" w:rsidRDefault="002E659C" w:rsidP="002E659C">
      <w:pPr>
        <w:rPr>
          <w:rFonts w:ascii="Arial" w:hAnsi="Arial" w:cs="Arial"/>
        </w:rPr>
      </w:pPr>
    </w:p>
    <w:p w14:paraId="5D832E38" w14:textId="77777777" w:rsidR="002E659C" w:rsidRPr="002E659C" w:rsidRDefault="002E659C" w:rsidP="002E659C">
      <w:pPr>
        <w:rPr>
          <w:rFonts w:ascii="Arial" w:hAnsi="Arial" w:cs="Arial"/>
        </w:rPr>
      </w:pPr>
    </w:p>
    <w:p w14:paraId="0C910006" w14:textId="77777777" w:rsidR="002E659C" w:rsidRDefault="002E659C" w:rsidP="002E659C">
      <w:pPr>
        <w:tabs>
          <w:tab w:val="left" w:pos="2055"/>
        </w:tabs>
        <w:rPr>
          <w:rFonts w:ascii="Arial" w:hAnsi="Arial" w:cs="Arial"/>
        </w:rPr>
      </w:pPr>
    </w:p>
    <w:p w14:paraId="31BAAC50" w14:textId="77777777" w:rsidR="002E659C" w:rsidRDefault="002E659C" w:rsidP="002E659C">
      <w:pPr>
        <w:tabs>
          <w:tab w:val="left" w:pos="2055"/>
        </w:tabs>
        <w:rPr>
          <w:rFonts w:ascii="Arial" w:hAnsi="Arial" w:cs="Arial"/>
        </w:rPr>
      </w:pPr>
    </w:p>
    <w:p w14:paraId="61715380" w14:textId="77777777" w:rsidR="002E659C" w:rsidRDefault="002E659C" w:rsidP="002E659C">
      <w:pPr>
        <w:tabs>
          <w:tab w:val="center" w:pos="1144"/>
        </w:tabs>
        <w:rPr>
          <w:rFonts w:ascii="Arial" w:hAnsi="Arial" w:cs="Arial"/>
        </w:rPr>
      </w:pPr>
      <w:r>
        <w:rPr>
          <w:rFonts w:ascii="Arial" w:hAnsi="Arial" w:cs="Arial"/>
        </w:rPr>
        <w:tab/>
      </w:r>
      <w:r>
        <w:rPr>
          <w:rFonts w:ascii="Arial" w:hAnsi="Arial" w:cs="Arial"/>
        </w:rPr>
        <w:br w:type="textWrapping" w:clear="all"/>
      </w:r>
    </w:p>
    <w:p w14:paraId="539D388E" w14:textId="77777777" w:rsidR="002E659C" w:rsidRDefault="002E659C" w:rsidP="002E659C">
      <w:pPr>
        <w:tabs>
          <w:tab w:val="center" w:pos="1144"/>
        </w:tabs>
        <w:rPr>
          <w:rFonts w:ascii="Arial" w:hAnsi="Arial" w:cs="Arial"/>
        </w:rPr>
      </w:pPr>
    </w:p>
    <w:p w14:paraId="518F7E5F" w14:textId="77777777" w:rsidR="002E659C" w:rsidRDefault="002E659C" w:rsidP="002E659C">
      <w:pPr>
        <w:tabs>
          <w:tab w:val="center" w:pos="1144"/>
        </w:tabs>
        <w:rPr>
          <w:rFonts w:ascii="Arial" w:hAnsi="Arial" w:cs="Arial"/>
        </w:rPr>
      </w:pPr>
    </w:p>
    <w:p w14:paraId="08EFD3BD" w14:textId="77777777" w:rsidR="002E659C" w:rsidRDefault="002E659C" w:rsidP="002E659C">
      <w:pPr>
        <w:tabs>
          <w:tab w:val="center" w:pos="1144"/>
        </w:tabs>
        <w:rPr>
          <w:rFonts w:ascii="Arial" w:hAnsi="Arial" w:cs="Arial"/>
        </w:rPr>
      </w:pPr>
    </w:p>
    <w:p w14:paraId="739AA93D" w14:textId="77777777" w:rsidR="002E659C" w:rsidRDefault="002E659C" w:rsidP="002E659C">
      <w:pPr>
        <w:tabs>
          <w:tab w:val="center" w:pos="1144"/>
        </w:tabs>
        <w:rPr>
          <w:rFonts w:ascii="Arial" w:hAnsi="Arial" w:cs="Arial"/>
        </w:rPr>
      </w:pPr>
    </w:p>
    <w:p w14:paraId="5D50FBAD" w14:textId="77777777" w:rsidR="002E659C" w:rsidRDefault="002E659C" w:rsidP="002E659C">
      <w:pPr>
        <w:tabs>
          <w:tab w:val="center" w:pos="1144"/>
        </w:tabs>
        <w:jc w:val="center"/>
        <w:rPr>
          <w:rFonts w:ascii="Arial" w:hAnsi="Arial" w:cs="Arial"/>
        </w:rPr>
      </w:pPr>
      <w:r w:rsidRPr="00906633">
        <w:rPr>
          <w:noProof/>
          <w:sz w:val="20"/>
          <w:lang w:val="es-CO" w:eastAsia="es-CO"/>
        </w:rPr>
        <w:lastRenderedPageBreak/>
        <w:drawing>
          <wp:inline distT="0" distB="0" distL="0" distR="0" wp14:anchorId="686DAD9B" wp14:editId="52AA002E">
            <wp:extent cx="4598747" cy="6637020"/>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7" cstate="print"/>
                    <a:stretch>
                      <a:fillRect/>
                    </a:stretch>
                  </pic:blipFill>
                  <pic:spPr>
                    <a:xfrm>
                      <a:off x="0" y="0"/>
                      <a:ext cx="4598747" cy="6637020"/>
                    </a:xfrm>
                    <a:prstGeom prst="rect">
                      <a:avLst/>
                    </a:prstGeom>
                  </pic:spPr>
                </pic:pic>
              </a:graphicData>
            </a:graphic>
          </wp:inline>
        </w:drawing>
      </w:r>
    </w:p>
    <w:p w14:paraId="06D40760" w14:textId="77777777" w:rsidR="002E659C" w:rsidRPr="002E659C" w:rsidRDefault="002E659C" w:rsidP="002E659C">
      <w:pPr>
        <w:rPr>
          <w:rFonts w:ascii="Arial" w:hAnsi="Arial" w:cs="Arial"/>
        </w:rPr>
      </w:pPr>
    </w:p>
    <w:p w14:paraId="0F2B9417" w14:textId="77777777" w:rsidR="002E659C" w:rsidRPr="002E659C" w:rsidRDefault="002E659C" w:rsidP="002E659C">
      <w:pPr>
        <w:rPr>
          <w:rFonts w:ascii="Arial" w:hAnsi="Arial" w:cs="Arial"/>
        </w:rPr>
      </w:pPr>
    </w:p>
    <w:p w14:paraId="15DD0243" w14:textId="77777777" w:rsidR="002E659C" w:rsidRPr="002E659C" w:rsidRDefault="002E659C" w:rsidP="002E659C">
      <w:pPr>
        <w:rPr>
          <w:rFonts w:ascii="Arial" w:hAnsi="Arial" w:cs="Arial"/>
        </w:rPr>
      </w:pPr>
    </w:p>
    <w:p w14:paraId="5AAC77E4" w14:textId="77777777" w:rsidR="002E659C" w:rsidRPr="002E659C" w:rsidRDefault="002E659C" w:rsidP="002E659C">
      <w:pPr>
        <w:rPr>
          <w:rFonts w:ascii="Arial" w:hAnsi="Arial" w:cs="Arial"/>
        </w:rPr>
      </w:pPr>
    </w:p>
    <w:p w14:paraId="25803E78" w14:textId="77777777" w:rsidR="002E659C" w:rsidRPr="002E659C" w:rsidRDefault="002E659C" w:rsidP="002E659C">
      <w:pPr>
        <w:rPr>
          <w:rFonts w:ascii="Arial" w:hAnsi="Arial" w:cs="Arial"/>
        </w:rPr>
      </w:pPr>
    </w:p>
    <w:p w14:paraId="43E956DD" w14:textId="77777777" w:rsidR="002E659C" w:rsidRDefault="002E659C" w:rsidP="002E659C">
      <w:pPr>
        <w:rPr>
          <w:rFonts w:ascii="Arial" w:hAnsi="Arial" w:cs="Arial"/>
        </w:rPr>
      </w:pPr>
    </w:p>
    <w:p w14:paraId="69B62AE2" w14:textId="77777777" w:rsidR="002E659C" w:rsidRDefault="002E659C" w:rsidP="002E659C">
      <w:pPr>
        <w:rPr>
          <w:rFonts w:ascii="Arial" w:hAnsi="Arial" w:cs="Arial"/>
        </w:rPr>
      </w:pPr>
    </w:p>
    <w:p w14:paraId="0C980EB3" w14:textId="77777777" w:rsidR="002E659C" w:rsidRDefault="002E659C" w:rsidP="002E659C">
      <w:pPr>
        <w:tabs>
          <w:tab w:val="left" w:pos="1965"/>
        </w:tabs>
        <w:rPr>
          <w:rFonts w:ascii="Arial" w:hAnsi="Arial" w:cs="Arial"/>
        </w:rPr>
      </w:pPr>
      <w:r>
        <w:rPr>
          <w:rFonts w:ascii="Arial" w:hAnsi="Arial" w:cs="Arial"/>
        </w:rPr>
        <w:tab/>
      </w:r>
    </w:p>
    <w:p w14:paraId="4078A066" w14:textId="77777777" w:rsidR="002E659C" w:rsidRDefault="002E659C" w:rsidP="002E659C">
      <w:pPr>
        <w:tabs>
          <w:tab w:val="left" w:pos="1965"/>
        </w:tabs>
        <w:rPr>
          <w:rFonts w:ascii="Arial" w:hAnsi="Arial" w:cs="Arial"/>
        </w:rPr>
      </w:pPr>
    </w:p>
    <w:p w14:paraId="08A05CBE" w14:textId="77777777" w:rsidR="002E659C" w:rsidRDefault="002E659C" w:rsidP="002E659C">
      <w:pPr>
        <w:tabs>
          <w:tab w:val="left" w:pos="1965"/>
        </w:tabs>
        <w:jc w:val="center"/>
        <w:rPr>
          <w:rFonts w:ascii="Arial" w:hAnsi="Arial" w:cs="Arial"/>
        </w:rPr>
      </w:pPr>
      <w:r w:rsidRPr="00906633">
        <w:rPr>
          <w:noProof/>
          <w:sz w:val="20"/>
          <w:lang w:val="es-CO" w:eastAsia="es-CO"/>
        </w:rPr>
        <w:lastRenderedPageBreak/>
        <w:drawing>
          <wp:inline distT="0" distB="0" distL="0" distR="0" wp14:anchorId="5ED5BBA0" wp14:editId="488BDDF0">
            <wp:extent cx="4842823" cy="6633209"/>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8" cstate="print"/>
                    <a:stretch>
                      <a:fillRect/>
                    </a:stretch>
                  </pic:blipFill>
                  <pic:spPr>
                    <a:xfrm>
                      <a:off x="0" y="0"/>
                      <a:ext cx="4842823" cy="6633209"/>
                    </a:xfrm>
                    <a:prstGeom prst="rect">
                      <a:avLst/>
                    </a:prstGeom>
                  </pic:spPr>
                </pic:pic>
              </a:graphicData>
            </a:graphic>
          </wp:inline>
        </w:drawing>
      </w:r>
    </w:p>
    <w:p w14:paraId="0B129A14" w14:textId="77777777" w:rsidR="002E659C" w:rsidRPr="002E659C" w:rsidRDefault="002E659C" w:rsidP="002E659C">
      <w:pPr>
        <w:rPr>
          <w:rFonts w:ascii="Arial" w:hAnsi="Arial" w:cs="Arial"/>
        </w:rPr>
      </w:pPr>
    </w:p>
    <w:p w14:paraId="63AD9574" w14:textId="77777777" w:rsidR="002E659C" w:rsidRPr="002E659C" w:rsidRDefault="002E659C" w:rsidP="002E659C">
      <w:pPr>
        <w:rPr>
          <w:rFonts w:ascii="Arial" w:hAnsi="Arial" w:cs="Arial"/>
        </w:rPr>
      </w:pPr>
    </w:p>
    <w:p w14:paraId="154B7915" w14:textId="77777777" w:rsidR="002E659C" w:rsidRPr="002E659C" w:rsidRDefault="002E659C" w:rsidP="002E659C">
      <w:pPr>
        <w:rPr>
          <w:rFonts w:ascii="Arial" w:hAnsi="Arial" w:cs="Arial"/>
        </w:rPr>
      </w:pPr>
    </w:p>
    <w:p w14:paraId="0B70CA5D" w14:textId="77777777" w:rsidR="002E659C" w:rsidRPr="002E659C" w:rsidRDefault="002E659C" w:rsidP="002E659C">
      <w:pPr>
        <w:rPr>
          <w:rFonts w:ascii="Arial" w:hAnsi="Arial" w:cs="Arial"/>
        </w:rPr>
      </w:pPr>
    </w:p>
    <w:p w14:paraId="010FF9F3" w14:textId="77777777" w:rsidR="002E659C" w:rsidRPr="002E659C" w:rsidRDefault="002E659C" w:rsidP="002E659C">
      <w:pPr>
        <w:rPr>
          <w:rFonts w:ascii="Arial" w:hAnsi="Arial" w:cs="Arial"/>
        </w:rPr>
      </w:pPr>
    </w:p>
    <w:p w14:paraId="5CF4A08A" w14:textId="77777777" w:rsidR="002E659C" w:rsidRDefault="002E659C" w:rsidP="002E659C">
      <w:pPr>
        <w:rPr>
          <w:rFonts w:ascii="Arial" w:hAnsi="Arial" w:cs="Arial"/>
        </w:rPr>
      </w:pPr>
    </w:p>
    <w:p w14:paraId="2FBFAFFE" w14:textId="77777777" w:rsidR="002E659C" w:rsidRDefault="002E659C" w:rsidP="002E659C">
      <w:pPr>
        <w:rPr>
          <w:rFonts w:ascii="Arial" w:hAnsi="Arial" w:cs="Arial"/>
        </w:rPr>
      </w:pPr>
    </w:p>
    <w:p w14:paraId="67CF6AC1" w14:textId="77777777" w:rsidR="002E659C" w:rsidRDefault="002E659C" w:rsidP="002E659C">
      <w:pPr>
        <w:tabs>
          <w:tab w:val="left" w:pos="1890"/>
        </w:tabs>
        <w:rPr>
          <w:rFonts w:ascii="Arial" w:hAnsi="Arial" w:cs="Arial"/>
        </w:rPr>
      </w:pPr>
      <w:r>
        <w:rPr>
          <w:rFonts w:ascii="Arial" w:hAnsi="Arial" w:cs="Arial"/>
        </w:rPr>
        <w:tab/>
      </w:r>
    </w:p>
    <w:p w14:paraId="1B3F52E5" w14:textId="77777777" w:rsidR="002E659C" w:rsidRDefault="002E659C" w:rsidP="002E659C">
      <w:pPr>
        <w:tabs>
          <w:tab w:val="left" w:pos="1890"/>
        </w:tabs>
        <w:rPr>
          <w:rFonts w:ascii="Arial" w:hAnsi="Arial" w:cs="Arial"/>
        </w:rPr>
      </w:pPr>
    </w:p>
    <w:p w14:paraId="6E4200F8" w14:textId="77777777" w:rsidR="002E659C" w:rsidRDefault="002E659C" w:rsidP="002E659C">
      <w:pPr>
        <w:tabs>
          <w:tab w:val="left" w:pos="1890"/>
        </w:tabs>
        <w:rPr>
          <w:rFonts w:ascii="Arial" w:hAnsi="Arial" w:cs="Arial"/>
        </w:rPr>
      </w:pPr>
      <w:r w:rsidRPr="00906633">
        <w:rPr>
          <w:noProof/>
          <w:sz w:val="20"/>
          <w:lang w:val="es-CO" w:eastAsia="es-CO"/>
        </w:rPr>
        <w:lastRenderedPageBreak/>
        <w:drawing>
          <wp:anchor distT="0" distB="0" distL="114300" distR="114300" simplePos="0" relativeHeight="251660288" behindDoc="0" locked="0" layoutInCell="1" allowOverlap="1" wp14:anchorId="38CE20D9" wp14:editId="56CEE472">
            <wp:simplePos x="1552575" y="723900"/>
            <wp:positionH relativeFrom="column">
              <wp:posOffset>1548765</wp:posOffset>
            </wp:positionH>
            <wp:positionV relativeFrom="paragraph">
              <wp:align>top</wp:align>
            </wp:positionV>
            <wp:extent cx="4675131" cy="6795134"/>
            <wp:effectExtent l="0" t="0" r="0" b="6350"/>
            <wp:wrapSquare wrapText="bothSides"/>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5131" cy="6795134"/>
                    </a:xfrm>
                    <a:prstGeom prst="rect">
                      <a:avLst/>
                    </a:prstGeom>
                  </pic:spPr>
                </pic:pic>
              </a:graphicData>
            </a:graphic>
          </wp:anchor>
        </w:drawing>
      </w:r>
    </w:p>
    <w:p w14:paraId="752C0CC5" w14:textId="77777777" w:rsidR="002E659C" w:rsidRPr="002E659C" w:rsidRDefault="002E659C" w:rsidP="002E659C">
      <w:pPr>
        <w:rPr>
          <w:rFonts w:ascii="Arial" w:hAnsi="Arial" w:cs="Arial"/>
        </w:rPr>
      </w:pPr>
    </w:p>
    <w:p w14:paraId="35F2EA50" w14:textId="77777777" w:rsidR="002E659C" w:rsidRPr="002E659C" w:rsidRDefault="002E659C" w:rsidP="002E659C">
      <w:pPr>
        <w:rPr>
          <w:rFonts w:ascii="Arial" w:hAnsi="Arial" w:cs="Arial"/>
        </w:rPr>
      </w:pPr>
    </w:p>
    <w:p w14:paraId="4313C592" w14:textId="77777777" w:rsidR="002E659C" w:rsidRPr="002E659C" w:rsidRDefault="002E659C" w:rsidP="002E659C">
      <w:pPr>
        <w:rPr>
          <w:rFonts w:ascii="Arial" w:hAnsi="Arial" w:cs="Arial"/>
        </w:rPr>
      </w:pPr>
    </w:p>
    <w:p w14:paraId="688F48F4" w14:textId="77777777" w:rsidR="002E659C" w:rsidRPr="002E659C" w:rsidRDefault="002E659C" w:rsidP="002E659C">
      <w:pPr>
        <w:rPr>
          <w:rFonts w:ascii="Arial" w:hAnsi="Arial" w:cs="Arial"/>
        </w:rPr>
      </w:pPr>
    </w:p>
    <w:p w14:paraId="5BEEAD74" w14:textId="77777777" w:rsidR="002E659C" w:rsidRPr="002E659C" w:rsidRDefault="002E659C" w:rsidP="002E659C">
      <w:pPr>
        <w:rPr>
          <w:rFonts w:ascii="Arial" w:hAnsi="Arial" w:cs="Arial"/>
        </w:rPr>
      </w:pPr>
    </w:p>
    <w:p w14:paraId="6E811BCC" w14:textId="77777777" w:rsidR="002E659C" w:rsidRPr="002E659C" w:rsidRDefault="002E659C" w:rsidP="002E659C">
      <w:pPr>
        <w:rPr>
          <w:rFonts w:ascii="Arial" w:hAnsi="Arial" w:cs="Arial"/>
        </w:rPr>
      </w:pPr>
    </w:p>
    <w:p w14:paraId="6A144716" w14:textId="77777777" w:rsidR="002E659C" w:rsidRPr="002E659C" w:rsidRDefault="002E659C" w:rsidP="002E659C">
      <w:pPr>
        <w:rPr>
          <w:rFonts w:ascii="Arial" w:hAnsi="Arial" w:cs="Arial"/>
        </w:rPr>
      </w:pPr>
    </w:p>
    <w:p w14:paraId="26F7F913" w14:textId="77777777" w:rsidR="002E659C" w:rsidRPr="002E659C" w:rsidRDefault="002E659C" w:rsidP="002E659C">
      <w:pPr>
        <w:rPr>
          <w:rFonts w:ascii="Arial" w:hAnsi="Arial" w:cs="Arial"/>
        </w:rPr>
      </w:pPr>
    </w:p>
    <w:p w14:paraId="121B1ED4" w14:textId="77777777" w:rsidR="002E659C" w:rsidRPr="002E659C" w:rsidRDefault="002E659C" w:rsidP="002E659C">
      <w:pPr>
        <w:rPr>
          <w:rFonts w:ascii="Arial" w:hAnsi="Arial" w:cs="Arial"/>
        </w:rPr>
      </w:pPr>
    </w:p>
    <w:p w14:paraId="357A6516" w14:textId="77777777" w:rsidR="002E659C" w:rsidRPr="002E659C" w:rsidRDefault="002E659C" w:rsidP="002E659C">
      <w:pPr>
        <w:rPr>
          <w:rFonts w:ascii="Arial" w:hAnsi="Arial" w:cs="Arial"/>
        </w:rPr>
      </w:pPr>
    </w:p>
    <w:p w14:paraId="3384CE11" w14:textId="77777777" w:rsidR="002E659C" w:rsidRPr="002E659C" w:rsidRDefault="002E659C" w:rsidP="002E659C">
      <w:pPr>
        <w:rPr>
          <w:rFonts w:ascii="Arial" w:hAnsi="Arial" w:cs="Arial"/>
        </w:rPr>
      </w:pPr>
    </w:p>
    <w:p w14:paraId="08E22A30" w14:textId="77777777" w:rsidR="002E659C" w:rsidRPr="002E659C" w:rsidRDefault="002E659C" w:rsidP="002E659C">
      <w:pPr>
        <w:rPr>
          <w:rFonts w:ascii="Arial" w:hAnsi="Arial" w:cs="Arial"/>
        </w:rPr>
      </w:pPr>
    </w:p>
    <w:p w14:paraId="677915E7" w14:textId="77777777" w:rsidR="002E659C" w:rsidRDefault="002E659C" w:rsidP="002E659C">
      <w:pPr>
        <w:tabs>
          <w:tab w:val="left" w:pos="1890"/>
        </w:tabs>
        <w:rPr>
          <w:rFonts w:ascii="Arial" w:hAnsi="Arial" w:cs="Arial"/>
        </w:rPr>
      </w:pPr>
    </w:p>
    <w:p w14:paraId="2B4A2E0A" w14:textId="77777777" w:rsidR="002E659C" w:rsidRDefault="002E659C" w:rsidP="002E659C">
      <w:pPr>
        <w:tabs>
          <w:tab w:val="left" w:pos="1890"/>
        </w:tabs>
        <w:rPr>
          <w:rFonts w:ascii="Arial" w:hAnsi="Arial" w:cs="Arial"/>
        </w:rPr>
      </w:pPr>
    </w:p>
    <w:p w14:paraId="57D4F76B" w14:textId="77777777" w:rsidR="002E659C" w:rsidRDefault="002E659C" w:rsidP="002E659C">
      <w:pPr>
        <w:tabs>
          <w:tab w:val="left" w:pos="1890"/>
        </w:tabs>
        <w:ind w:firstLine="708"/>
        <w:jc w:val="center"/>
        <w:rPr>
          <w:rFonts w:ascii="Arial" w:hAnsi="Arial" w:cs="Arial"/>
        </w:rPr>
      </w:pPr>
      <w:r>
        <w:rPr>
          <w:rFonts w:ascii="Arial" w:hAnsi="Arial" w:cs="Arial"/>
        </w:rPr>
        <w:br w:type="textWrapping" w:clear="all"/>
      </w:r>
    </w:p>
    <w:p w14:paraId="2024B025" w14:textId="77777777" w:rsidR="00D33495" w:rsidRDefault="00D33495" w:rsidP="002E659C">
      <w:pPr>
        <w:tabs>
          <w:tab w:val="left" w:pos="1890"/>
        </w:tabs>
        <w:ind w:firstLine="708"/>
        <w:jc w:val="center"/>
        <w:rPr>
          <w:rFonts w:ascii="Arial" w:hAnsi="Arial" w:cs="Arial"/>
        </w:rPr>
      </w:pPr>
    </w:p>
    <w:p w14:paraId="3A8640FA" w14:textId="77777777" w:rsidR="00D33495" w:rsidRDefault="00D33495" w:rsidP="002E659C">
      <w:pPr>
        <w:tabs>
          <w:tab w:val="left" w:pos="1890"/>
        </w:tabs>
        <w:ind w:firstLine="708"/>
        <w:jc w:val="center"/>
        <w:rPr>
          <w:rFonts w:ascii="Arial" w:hAnsi="Arial" w:cs="Arial"/>
        </w:rPr>
      </w:pPr>
    </w:p>
    <w:p w14:paraId="4B777FE0" w14:textId="77777777" w:rsidR="00D33495" w:rsidRDefault="00D33495" w:rsidP="002E659C">
      <w:pPr>
        <w:tabs>
          <w:tab w:val="left" w:pos="1890"/>
        </w:tabs>
        <w:ind w:firstLine="708"/>
        <w:jc w:val="center"/>
        <w:rPr>
          <w:rFonts w:ascii="Arial" w:hAnsi="Arial" w:cs="Arial"/>
        </w:rPr>
      </w:pPr>
    </w:p>
    <w:p w14:paraId="42719209" w14:textId="77777777" w:rsidR="00D33495" w:rsidRDefault="00D33495" w:rsidP="002E659C">
      <w:pPr>
        <w:tabs>
          <w:tab w:val="left" w:pos="1890"/>
        </w:tabs>
        <w:ind w:firstLine="708"/>
        <w:jc w:val="center"/>
        <w:rPr>
          <w:rFonts w:ascii="Arial" w:hAnsi="Arial" w:cs="Arial"/>
        </w:rPr>
      </w:pPr>
    </w:p>
    <w:p w14:paraId="19FC3F0F" w14:textId="77777777" w:rsidR="00D33495" w:rsidRDefault="00D33495" w:rsidP="002E659C">
      <w:pPr>
        <w:tabs>
          <w:tab w:val="left" w:pos="1890"/>
        </w:tabs>
        <w:ind w:firstLine="708"/>
        <w:jc w:val="center"/>
        <w:rPr>
          <w:rFonts w:ascii="Arial" w:hAnsi="Arial" w:cs="Arial"/>
        </w:rPr>
      </w:pPr>
    </w:p>
    <w:p w14:paraId="7D0BE97A" w14:textId="77777777" w:rsidR="00D33495" w:rsidRDefault="00D33495" w:rsidP="002E659C">
      <w:pPr>
        <w:tabs>
          <w:tab w:val="left" w:pos="1890"/>
        </w:tabs>
        <w:ind w:firstLine="708"/>
        <w:jc w:val="center"/>
        <w:rPr>
          <w:rFonts w:ascii="Arial" w:hAnsi="Arial" w:cs="Arial"/>
        </w:rPr>
      </w:pPr>
    </w:p>
    <w:p w14:paraId="4D08F504" w14:textId="77777777" w:rsidR="00D33495" w:rsidRDefault="00D33495" w:rsidP="002E659C">
      <w:pPr>
        <w:tabs>
          <w:tab w:val="left" w:pos="1890"/>
        </w:tabs>
        <w:ind w:firstLine="708"/>
        <w:jc w:val="center"/>
        <w:rPr>
          <w:rFonts w:ascii="Arial" w:hAnsi="Arial" w:cs="Arial"/>
        </w:rPr>
      </w:pPr>
    </w:p>
    <w:p w14:paraId="16724D8A" w14:textId="77777777" w:rsidR="00D33495" w:rsidRDefault="00D33495" w:rsidP="002E659C">
      <w:pPr>
        <w:tabs>
          <w:tab w:val="left" w:pos="1890"/>
        </w:tabs>
        <w:ind w:firstLine="708"/>
        <w:jc w:val="center"/>
        <w:rPr>
          <w:rFonts w:ascii="Arial" w:hAnsi="Arial" w:cs="Arial"/>
        </w:rPr>
      </w:pPr>
      <w:r w:rsidRPr="00906633">
        <w:rPr>
          <w:noProof/>
          <w:sz w:val="20"/>
          <w:lang w:val="es-CO" w:eastAsia="es-CO"/>
        </w:rPr>
        <w:lastRenderedPageBreak/>
        <w:drawing>
          <wp:inline distT="0" distB="0" distL="0" distR="0" wp14:anchorId="5A1ECB6B" wp14:editId="6A6EB830">
            <wp:extent cx="4743381" cy="6404610"/>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20" cstate="print"/>
                    <a:stretch>
                      <a:fillRect/>
                    </a:stretch>
                  </pic:blipFill>
                  <pic:spPr>
                    <a:xfrm>
                      <a:off x="0" y="0"/>
                      <a:ext cx="4743381" cy="6404610"/>
                    </a:xfrm>
                    <a:prstGeom prst="rect">
                      <a:avLst/>
                    </a:prstGeom>
                  </pic:spPr>
                </pic:pic>
              </a:graphicData>
            </a:graphic>
          </wp:inline>
        </w:drawing>
      </w:r>
    </w:p>
    <w:p w14:paraId="3A1553F1" w14:textId="77777777" w:rsidR="00D33495" w:rsidRDefault="00D33495" w:rsidP="002E659C">
      <w:pPr>
        <w:tabs>
          <w:tab w:val="left" w:pos="1890"/>
        </w:tabs>
        <w:ind w:firstLine="708"/>
        <w:jc w:val="center"/>
        <w:rPr>
          <w:rFonts w:ascii="Arial" w:hAnsi="Arial" w:cs="Arial"/>
        </w:rPr>
      </w:pPr>
    </w:p>
    <w:p w14:paraId="5F420FDA" w14:textId="77777777" w:rsidR="00D33495" w:rsidRPr="00D33495" w:rsidRDefault="00D33495" w:rsidP="00D33495">
      <w:pPr>
        <w:rPr>
          <w:rFonts w:ascii="Arial" w:hAnsi="Arial" w:cs="Arial"/>
        </w:rPr>
      </w:pPr>
    </w:p>
    <w:p w14:paraId="04670D18" w14:textId="77777777" w:rsidR="00D33495" w:rsidRPr="00D33495" w:rsidRDefault="00D33495" w:rsidP="00D33495">
      <w:pPr>
        <w:rPr>
          <w:rFonts w:ascii="Arial" w:hAnsi="Arial" w:cs="Arial"/>
        </w:rPr>
      </w:pPr>
    </w:p>
    <w:p w14:paraId="006DFE9B" w14:textId="77777777" w:rsidR="00D33495" w:rsidRPr="00D33495" w:rsidRDefault="00D33495" w:rsidP="00D33495">
      <w:pPr>
        <w:rPr>
          <w:rFonts w:ascii="Arial" w:hAnsi="Arial" w:cs="Arial"/>
        </w:rPr>
      </w:pPr>
    </w:p>
    <w:p w14:paraId="16CD2C38" w14:textId="77777777" w:rsidR="00D33495" w:rsidRPr="00D33495" w:rsidRDefault="00D33495" w:rsidP="00D33495">
      <w:pPr>
        <w:rPr>
          <w:rFonts w:ascii="Arial" w:hAnsi="Arial" w:cs="Arial"/>
        </w:rPr>
      </w:pPr>
    </w:p>
    <w:p w14:paraId="582624C1" w14:textId="77777777" w:rsidR="00D33495" w:rsidRDefault="00D33495" w:rsidP="00D33495">
      <w:pPr>
        <w:rPr>
          <w:rFonts w:ascii="Arial" w:hAnsi="Arial" w:cs="Arial"/>
        </w:rPr>
      </w:pPr>
    </w:p>
    <w:p w14:paraId="4A5CDF3C" w14:textId="77777777" w:rsidR="00D33495" w:rsidRDefault="00D33495" w:rsidP="00D33495">
      <w:pPr>
        <w:tabs>
          <w:tab w:val="left" w:pos="2640"/>
        </w:tabs>
        <w:rPr>
          <w:rFonts w:ascii="Arial" w:hAnsi="Arial" w:cs="Arial"/>
        </w:rPr>
      </w:pPr>
      <w:r>
        <w:rPr>
          <w:rFonts w:ascii="Arial" w:hAnsi="Arial" w:cs="Arial"/>
        </w:rPr>
        <w:tab/>
      </w:r>
    </w:p>
    <w:p w14:paraId="67ECDE28" w14:textId="77777777" w:rsidR="00D33495" w:rsidRDefault="00D33495" w:rsidP="00D33495">
      <w:pPr>
        <w:tabs>
          <w:tab w:val="left" w:pos="2640"/>
        </w:tabs>
        <w:rPr>
          <w:rFonts w:ascii="Arial" w:hAnsi="Arial" w:cs="Arial"/>
        </w:rPr>
      </w:pPr>
    </w:p>
    <w:p w14:paraId="05138AD0" w14:textId="77777777" w:rsidR="00D33495" w:rsidRDefault="00D33495" w:rsidP="00D33495">
      <w:pPr>
        <w:tabs>
          <w:tab w:val="left" w:pos="2640"/>
        </w:tabs>
        <w:rPr>
          <w:rFonts w:ascii="Arial" w:hAnsi="Arial" w:cs="Arial"/>
        </w:rPr>
      </w:pPr>
    </w:p>
    <w:p w14:paraId="59C0FEB7" w14:textId="77777777" w:rsidR="00D33495" w:rsidRDefault="00D33495" w:rsidP="00D33495">
      <w:pPr>
        <w:tabs>
          <w:tab w:val="left" w:pos="2640"/>
        </w:tabs>
        <w:rPr>
          <w:rFonts w:ascii="Arial" w:hAnsi="Arial" w:cs="Arial"/>
        </w:rPr>
      </w:pPr>
    </w:p>
    <w:p w14:paraId="5BF89250" w14:textId="77777777" w:rsidR="00D33495" w:rsidRDefault="00D33495" w:rsidP="00D33495">
      <w:pPr>
        <w:tabs>
          <w:tab w:val="left" w:pos="2640"/>
        </w:tabs>
        <w:rPr>
          <w:rFonts w:ascii="Arial" w:hAnsi="Arial" w:cs="Arial"/>
        </w:rPr>
      </w:pPr>
    </w:p>
    <w:p w14:paraId="4CC25A82" w14:textId="77777777" w:rsidR="00D33495" w:rsidRDefault="00D33495" w:rsidP="00D33495">
      <w:pPr>
        <w:tabs>
          <w:tab w:val="left" w:pos="2640"/>
        </w:tabs>
        <w:jc w:val="center"/>
        <w:rPr>
          <w:rFonts w:ascii="Arial" w:hAnsi="Arial" w:cs="Arial"/>
        </w:rPr>
      </w:pPr>
      <w:r w:rsidRPr="00906633">
        <w:rPr>
          <w:noProof/>
          <w:sz w:val="20"/>
          <w:lang w:val="es-CO" w:eastAsia="es-CO"/>
        </w:rPr>
        <w:lastRenderedPageBreak/>
        <w:drawing>
          <wp:inline distT="0" distB="0" distL="0" distR="0" wp14:anchorId="349CEDFE" wp14:editId="0362F9FA">
            <wp:extent cx="4485440" cy="4397692"/>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1" cstate="print"/>
                    <a:stretch>
                      <a:fillRect/>
                    </a:stretch>
                  </pic:blipFill>
                  <pic:spPr>
                    <a:xfrm>
                      <a:off x="0" y="0"/>
                      <a:ext cx="4485440" cy="4397692"/>
                    </a:xfrm>
                    <a:prstGeom prst="rect">
                      <a:avLst/>
                    </a:prstGeom>
                  </pic:spPr>
                </pic:pic>
              </a:graphicData>
            </a:graphic>
          </wp:inline>
        </w:drawing>
      </w:r>
    </w:p>
    <w:p w14:paraId="5717196C" w14:textId="77777777" w:rsidR="00D33495" w:rsidRDefault="00D33495" w:rsidP="00D33495">
      <w:pPr>
        <w:tabs>
          <w:tab w:val="left" w:pos="2640"/>
        </w:tabs>
        <w:rPr>
          <w:rFonts w:ascii="Arial" w:hAnsi="Arial" w:cs="Arial"/>
        </w:rPr>
      </w:pPr>
    </w:p>
    <w:p w14:paraId="2C37292A" w14:textId="77777777" w:rsidR="00D33495" w:rsidRDefault="00D33495" w:rsidP="00D33495">
      <w:pPr>
        <w:tabs>
          <w:tab w:val="left" w:pos="2640"/>
        </w:tabs>
        <w:rPr>
          <w:rFonts w:ascii="Arial" w:hAnsi="Arial" w:cs="Arial"/>
        </w:rPr>
      </w:pPr>
    </w:p>
    <w:p w14:paraId="5B32FD6F" w14:textId="77777777" w:rsidR="00D33495" w:rsidRDefault="00D33495" w:rsidP="00D33495">
      <w:pPr>
        <w:tabs>
          <w:tab w:val="left" w:pos="2640"/>
        </w:tabs>
        <w:rPr>
          <w:rFonts w:ascii="Arial" w:hAnsi="Arial" w:cs="Arial"/>
        </w:rPr>
      </w:pPr>
    </w:p>
    <w:p w14:paraId="4E31689C" w14:textId="77777777" w:rsidR="00D33495" w:rsidRDefault="00D33495" w:rsidP="00D33495">
      <w:pPr>
        <w:tabs>
          <w:tab w:val="left" w:pos="2640"/>
        </w:tabs>
        <w:rPr>
          <w:rFonts w:ascii="Arial" w:hAnsi="Arial" w:cs="Arial"/>
        </w:rPr>
      </w:pPr>
    </w:p>
    <w:p w14:paraId="588707FB" w14:textId="77777777" w:rsidR="00D33495" w:rsidRDefault="00D33495" w:rsidP="00D33495">
      <w:pPr>
        <w:tabs>
          <w:tab w:val="left" w:pos="2640"/>
        </w:tabs>
        <w:rPr>
          <w:rFonts w:ascii="Arial" w:hAnsi="Arial" w:cs="Arial"/>
        </w:rPr>
      </w:pPr>
    </w:p>
    <w:p w14:paraId="4F4A03D2" w14:textId="77777777" w:rsidR="00D33495" w:rsidRDefault="00D33495" w:rsidP="00D33495">
      <w:pPr>
        <w:tabs>
          <w:tab w:val="left" w:pos="2640"/>
        </w:tabs>
        <w:rPr>
          <w:rFonts w:ascii="Arial" w:hAnsi="Arial" w:cs="Arial"/>
        </w:rPr>
      </w:pPr>
    </w:p>
    <w:p w14:paraId="65816EBF" w14:textId="77777777" w:rsidR="00D33495" w:rsidRDefault="00D33495" w:rsidP="00D33495">
      <w:pPr>
        <w:tabs>
          <w:tab w:val="left" w:pos="2640"/>
        </w:tabs>
        <w:rPr>
          <w:rFonts w:ascii="Arial" w:hAnsi="Arial" w:cs="Arial"/>
        </w:rPr>
      </w:pPr>
    </w:p>
    <w:p w14:paraId="31827EF6" w14:textId="77777777" w:rsidR="00D33495" w:rsidRDefault="00D33495" w:rsidP="00D33495">
      <w:pPr>
        <w:tabs>
          <w:tab w:val="left" w:pos="2640"/>
        </w:tabs>
        <w:rPr>
          <w:rFonts w:ascii="Arial" w:hAnsi="Arial" w:cs="Arial"/>
        </w:rPr>
      </w:pPr>
    </w:p>
    <w:p w14:paraId="764D7A95" w14:textId="77777777" w:rsidR="00D33495" w:rsidRDefault="00D33495" w:rsidP="00D33495">
      <w:pPr>
        <w:tabs>
          <w:tab w:val="left" w:pos="2640"/>
        </w:tabs>
        <w:rPr>
          <w:rFonts w:ascii="Arial" w:hAnsi="Arial" w:cs="Arial"/>
        </w:rPr>
      </w:pPr>
    </w:p>
    <w:p w14:paraId="15649075" w14:textId="77777777" w:rsidR="00D33495" w:rsidRDefault="00D33495" w:rsidP="00D33495">
      <w:pPr>
        <w:tabs>
          <w:tab w:val="left" w:pos="2640"/>
        </w:tabs>
        <w:rPr>
          <w:rFonts w:ascii="Arial" w:hAnsi="Arial" w:cs="Arial"/>
        </w:rPr>
      </w:pPr>
    </w:p>
    <w:p w14:paraId="4E068263" w14:textId="77777777" w:rsidR="00D33495" w:rsidRDefault="00D33495" w:rsidP="00D33495">
      <w:pPr>
        <w:tabs>
          <w:tab w:val="left" w:pos="2640"/>
        </w:tabs>
        <w:rPr>
          <w:rFonts w:ascii="Arial" w:hAnsi="Arial" w:cs="Arial"/>
        </w:rPr>
      </w:pPr>
    </w:p>
    <w:p w14:paraId="6AC4FE68" w14:textId="77777777" w:rsidR="00D33495" w:rsidRDefault="00D33495" w:rsidP="00D33495">
      <w:pPr>
        <w:tabs>
          <w:tab w:val="left" w:pos="2640"/>
        </w:tabs>
        <w:rPr>
          <w:rFonts w:ascii="Arial" w:hAnsi="Arial" w:cs="Arial"/>
        </w:rPr>
      </w:pPr>
    </w:p>
    <w:p w14:paraId="2260D1F2" w14:textId="77777777" w:rsidR="00D33495" w:rsidRDefault="00D33495" w:rsidP="00D33495">
      <w:pPr>
        <w:tabs>
          <w:tab w:val="left" w:pos="2640"/>
        </w:tabs>
        <w:rPr>
          <w:rFonts w:ascii="Arial" w:hAnsi="Arial" w:cs="Arial"/>
        </w:rPr>
      </w:pPr>
    </w:p>
    <w:p w14:paraId="7762F59F" w14:textId="77777777" w:rsidR="00D33495" w:rsidRDefault="00D33495" w:rsidP="00D33495">
      <w:pPr>
        <w:tabs>
          <w:tab w:val="left" w:pos="2640"/>
        </w:tabs>
        <w:rPr>
          <w:rFonts w:ascii="Arial" w:hAnsi="Arial" w:cs="Arial"/>
        </w:rPr>
      </w:pPr>
    </w:p>
    <w:p w14:paraId="2A75C442" w14:textId="77777777" w:rsidR="00D33495" w:rsidRDefault="00D33495" w:rsidP="00D33495">
      <w:pPr>
        <w:tabs>
          <w:tab w:val="left" w:pos="2640"/>
        </w:tabs>
        <w:rPr>
          <w:rFonts w:ascii="Arial" w:hAnsi="Arial" w:cs="Arial"/>
        </w:rPr>
      </w:pPr>
    </w:p>
    <w:p w14:paraId="02F6D63F" w14:textId="77777777" w:rsidR="00D33495" w:rsidRDefault="00D33495" w:rsidP="00D33495">
      <w:pPr>
        <w:tabs>
          <w:tab w:val="left" w:pos="2640"/>
        </w:tabs>
        <w:rPr>
          <w:rFonts w:ascii="Arial" w:hAnsi="Arial" w:cs="Arial"/>
        </w:rPr>
      </w:pPr>
    </w:p>
    <w:p w14:paraId="5285E030" w14:textId="77777777" w:rsidR="00D33495" w:rsidRDefault="00D33495" w:rsidP="00D33495">
      <w:pPr>
        <w:tabs>
          <w:tab w:val="left" w:pos="2640"/>
        </w:tabs>
        <w:rPr>
          <w:rFonts w:ascii="Arial" w:hAnsi="Arial" w:cs="Arial"/>
        </w:rPr>
      </w:pPr>
    </w:p>
    <w:p w14:paraId="74F67F35" w14:textId="77777777" w:rsidR="00D33495" w:rsidRDefault="00D33495" w:rsidP="00D33495">
      <w:pPr>
        <w:tabs>
          <w:tab w:val="left" w:pos="2640"/>
        </w:tabs>
        <w:rPr>
          <w:rFonts w:ascii="Arial" w:hAnsi="Arial" w:cs="Arial"/>
        </w:rPr>
      </w:pPr>
    </w:p>
    <w:p w14:paraId="2F7B0912" w14:textId="77777777" w:rsidR="00D33495" w:rsidRDefault="00D33495" w:rsidP="00D33495">
      <w:pPr>
        <w:tabs>
          <w:tab w:val="left" w:pos="2640"/>
        </w:tabs>
        <w:rPr>
          <w:rFonts w:ascii="Arial" w:hAnsi="Arial" w:cs="Arial"/>
        </w:rPr>
      </w:pPr>
    </w:p>
    <w:p w14:paraId="1E17B1E9" w14:textId="77777777" w:rsidR="00D33495" w:rsidRDefault="00D33495" w:rsidP="00D33495">
      <w:pPr>
        <w:tabs>
          <w:tab w:val="left" w:pos="2640"/>
        </w:tabs>
        <w:rPr>
          <w:rFonts w:ascii="Arial" w:hAnsi="Arial" w:cs="Arial"/>
        </w:rPr>
      </w:pPr>
    </w:p>
    <w:p w14:paraId="0E10FE3B" w14:textId="77777777" w:rsidR="00D33495" w:rsidRDefault="00D33495" w:rsidP="00D33495">
      <w:pPr>
        <w:tabs>
          <w:tab w:val="left" w:pos="2640"/>
        </w:tabs>
        <w:rPr>
          <w:rFonts w:ascii="Arial" w:hAnsi="Arial" w:cs="Arial"/>
        </w:rPr>
      </w:pPr>
    </w:p>
    <w:p w14:paraId="3CF5D4F5" w14:textId="77777777" w:rsidR="00D33495" w:rsidRDefault="00D33495" w:rsidP="00D33495">
      <w:pPr>
        <w:tabs>
          <w:tab w:val="left" w:pos="2640"/>
        </w:tabs>
        <w:rPr>
          <w:rFonts w:ascii="Arial" w:hAnsi="Arial" w:cs="Arial"/>
        </w:rPr>
      </w:pPr>
    </w:p>
    <w:p w14:paraId="5BC2EEE9" w14:textId="77777777" w:rsidR="00D33495" w:rsidRDefault="00D33495" w:rsidP="00D33495">
      <w:pPr>
        <w:tabs>
          <w:tab w:val="left" w:pos="2640"/>
        </w:tabs>
        <w:rPr>
          <w:rFonts w:ascii="Arial" w:hAnsi="Arial" w:cs="Arial"/>
        </w:rPr>
      </w:pPr>
    </w:p>
    <w:p w14:paraId="60544319" w14:textId="77777777" w:rsidR="00D33495" w:rsidRDefault="00D33495" w:rsidP="00D33495">
      <w:pPr>
        <w:tabs>
          <w:tab w:val="left" w:pos="2640"/>
        </w:tabs>
        <w:jc w:val="center"/>
        <w:rPr>
          <w:rFonts w:ascii="Arial" w:hAnsi="Arial" w:cs="Arial"/>
        </w:rPr>
      </w:pPr>
      <w:r w:rsidRPr="00906633">
        <w:rPr>
          <w:noProof/>
          <w:sz w:val="20"/>
          <w:lang w:val="es-CO" w:eastAsia="es-CO"/>
        </w:rPr>
        <w:drawing>
          <wp:inline distT="0" distB="0" distL="0" distR="0" wp14:anchorId="071C90FD" wp14:editId="6DF2F0FB">
            <wp:extent cx="4733144" cy="4159567"/>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22" cstate="print"/>
                    <a:stretch>
                      <a:fillRect/>
                    </a:stretch>
                  </pic:blipFill>
                  <pic:spPr>
                    <a:xfrm>
                      <a:off x="0" y="0"/>
                      <a:ext cx="4733144" cy="4159567"/>
                    </a:xfrm>
                    <a:prstGeom prst="rect">
                      <a:avLst/>
                    </a:prstGeom>
                  </pic:spPr>
                </pic:pic>
              </a:graphicData>
            </a:graphic>
          </wp:inline>
        </w:drawing>
      </w:r>
    </w:p>
    <w:p w14:paraId="1B9F09D9" w14:textId="77777777" w:rsidR="00D33495" w:rsidRDefault="00D33495" w:rsidP="00D33495">
      <w:pPr>
        <w:tabs>
          <w:tab w:val="left" w:pos="2640"/>
        </w:tabs>
        <w:rPr>
          <w:rFonts w:ascii="Arial" w:hAnsi="Arial" w:cs="Arial"/>
        </w:rPr>
      </w:pPr>
    </w:p>
    <w:p w14:paraId="67B77C8A" w14:textId="2FE149A4" w:rsidR="009F6244" w:rsidRDefault="009F6244" w:rsidP="0034282E">
      <w:pPr>
        <w:pStyle w:val="Ttulo3"/>
      </w:pPr>
      <w:bookmarkStart w:id="0" w:name="_Toc198020838"/>
    </w:p>
    <w:p w14:paraId="70D2E261" w14:textId="6543A037" w:rsidR="006D4644" w:rsidRDefault="006D4644" w:rsidP="006D4644">
      <w:pPr>
        <w:rPr>
          <w:lang w:eastAsia="es-CO"/>
        </w:rPr>
      </w:pPr>
    </w:p>
    <w:p w14:paraId="6E665D48" w14:textId="77777777" w:rsidR="006D4644" w:rsidRPr="006D4644" w:rsidRDefault="006D4644" w:rsidP="006D4644">
      <w:pPr>
        <w:rPr>
          <w:lang w:eastAsia="es-CO"/>
        </w:rPr>
      </w:pPr>
    </w:p>
    <w:p w14:paraId="5C2010F2" w14:textId="77777777" w:rsidR="009F6244" w:rsidRDefault="009F6244" w:rsidP="0034282E">
      <w:pPr>
        <w:pStyle w:val="Ttulo3"/>
      </w:pPr>
    </w:p>
    <w:p w14:paraId="36B93D62" w14:textId="77777777" w:rsidR="009F6244" w:rsidRDefault="009F6244" w:rsidP="0034282E">
      <w:pPr>
        <w:pStyle w:val="Ttulo3"/>
      </w:pPr>
    </w:p>
    <w:p w14:paraId="51CFC6AD" w14:textId="6815844C" w:rsidR="006D4644" w:rsidRDefault="006D4644" w:rsidP="0034282E">
      <w:pPr>
        <w:pStyle w:val="Ttulo3"/>
      </w:pPr>
    </w:p>
    <w:p w14:paraId="1C813C3E" w14:textId="24F0C7D4" w:rsidR="006D4644" w:rsidRDefault="006D4644" w:rsidP="006D4644">
      <w:pPr>
        <w:rPr>
          <w:lang w:eastAsia="es-CO"/>
        </w:rPr>
      </w:pPr>
    </w:p>
    <w:p w14:paraId="442ED76C" w14:textId="540B280B" w:rsidR="006D4644" w:rsidRDefault="006D4644" w:rsidP="006D4644">
      <w:pPr>
        <w:rPr>
          <w:lang w:eastAsia="es-CO"/>
        </w:rPr>
      </w:pPr>
    </w:p>
    <w:p w14:paraId="3AD24B92" w14:textId="19A48FC6" w:rsidR="009F6244" w:rsidRPr="000843C4" w:rsidRDefault="006D4644" w:rsidP="000843C4">
      <w:pPr>
        <w:spacing w:line="259" w:lineRule="auto"/>
        <w:jc w:val="both"/>
        <w:rPr>
          <w:rFonts w:ascii="Arial" w:hAnsi="Arial" w:cs="Arial"/>
          <w:b/>
          <w:bCs/>
          <w:sz w:val="28"/>
          <w:szCs w:val="28"/>
        </w:rPr>
      </w:pPr>
      <w:r>
        <w:rPr>
          <w:lang w:eastAsia="es-CO"/>
        </w:rPr>
        <w:br w:type="page"/>
      </w:r>
      <w:r w:rsidR="009F6244" w:rsidRPr="000843C4">
        <w:rPr>
          <w:rFonts w:ascii="Arial" w:hAnsi="Arial" w:cs="Arial"/>
          <w:b/>
          <w:bCs/>
          <w:sz w:val="28"/>
          <w:szCs w:val="28"/>
        </w:rPr>
        <w:lastRenderedPageBreak/>
        <w:t>2.2.1.- Referente Teórico y Metodológico de la Regulación Contable Pública</w:t>
      </w:r>
      <w:bookmarkEnd w:id="0"/>
      <w:r w:rsidR="009F6244" w:rsidRPr="000843C4">
        <w:rPr>
          <w:rFonts w:ascii="Arial" w:hAnsi="Arial" w:cs="Arial"/>
          <w:b/>
          <w:bCs/>
          <w:sz w:val="28"/>
          <w:szCs w:val="28"/>
        </w:rPr>
        <w:t>.</w:t>
      </w:r>
    </w:p>
    <w:p w14:paraId="592C5720" w14:textId="77777777" w:rsidR="000843C4" w:rsidRPr="00653723" w:rsidRDefault="000843C4" w:rsidP="000843C4">
      <w:pPr>
        <w:spacing w:line="259" w:lineRule="auto"/>
        <w:rPr>
          <w:rFonts w:ascii="Arial" w:hAnsi="Arial" w:cs="Arial"/>
          <w:b/>
          <w:bCs/>
          <w:lang w:eastAsia="es-CO"/>
        </w:rPr>
      </w:pPr>
    </w:p>
    <w:p w14:paraId="6EE5C36A" w14:textId="77777777" w:rsidR="00653723" w:rsidRDefault="009F6244" w:rsidP="00653723">
      <w:pPr>
        <w:ind w:right="-234"/>
        <w:jc w:val="both"/>
        <w:rPr>
          <w:rFonts w:ascii="Arial" w:hAnsi="Arial" w:cs="Arial"/>
          <w:lang w:eastAsia="es-CO"/>
        </w:rPr>
      </w:pPr>
      <w:r w:rsidRPr="009F6244">
        <w:rPr>
          <w:rFonts w:ascii="Arial" w:hAnsi="Arial" w:cs="Arial"/>
          <w:lang w:eastAsia="es-CO"/>
        </w:rPr>
        <w:t>El Referente Teórico y Metodológico de la Regulación Contable Pública sirve a la CGN para definir el alcance del RCP y desarrollar este instrumento de normalización y regulación de la contabilidad pública, en el contexto de la convergencia hacia estándares internacionales de información financiera. Este Referente se incorpora al RCP mediante la Resolución 628 de 2015, y se modifica con la Resolución 456 de 2017.</w:t>
      </w:r>
      <w:bookmarkStart w:id="1" w:name="_Toc198020839"/>
    </w:p>
    <w:p w14:paraId="69EC2259" w14:textId="77777777" w:rsidR="00653723" w:rsidRDefault="00653723" w:rsidP="00653723">
      <w:pPr>
        <w:ind w:right="-234"/>
        <w:jc w:val="both"/>
        <w:rPr>
          <w:rFonts w:ascii="Arial" w:hAnsi="Arial" w:cs="Arial"/>
          <w:lang w:eastAsia="es-CO"/>
        </w:rPr>
      </w:pPr>
    </w:p>
    <w:p w14:paraId="0290CDAD" w14:textId="22EEA5BF" w:rsidR="009F6244" w:rsidRPr="000843C4" w:rsidRDefault="006D4644" w:rsidP="00653723">
      <w:pPr>
        <w:ind w:right="-234"/>
        <w:jc w:val="both"/>
        <w:rPr>
          <w:rFonts w:ascii="Arial" w:hAnsi="Arial" w:cs="Arial"/>
          <w:b/>
          <w:bCs/>
          <w:sz w:val="28"/>
          <w:szCs w:val="28"/>
        </w:rPr>
      </w:pPr>
      <w:r w:rsidRPr="000843C4">
        <w:rPr>
          <w:rFonts w:ascii="Arial" w:hAnsi="Arial" w:cs="Arial"/>
          <w:b/>
          <w:bCs/>
          <w:sz w:val="28"/>
          <w:szCs w:val="28"/>
        </w:rPr>
        <w:t xml:space="preserve">2.2.2.- </w:t>
      </w:r>
      <w:r w:rsidR="009F6244" w:rsidRPr="000843C4">
        <w:rPr>
          <w:rFonts w:ascii="Arial" w:hAnsi="Arial" w:cs="Arial"/>
          <w:b/>
          <w:bCs/>
          <w:sz w:val="28"/>
          <w:szCs w:val="28"/>
        </w:rPr>
        <w:t>Marco Normativo para Empresas que Cotizan en el Mercado de Valores, o que Captan o Administran Ahorro del Público</w:t>
      </w:r>
      <w:bookmarkEnd w:id="1"/>
    </w:p>
    <w:p w14:paraId="38595C11" w14:textId="77777777" w:rsidR="00653723" w:rsidRPr="00653723" w:rsidRDefault="00653723" w:rsidP="00653723">
      <w:pPr>
        <w:ind w:right="-234"/>
        <w:jc w:val="both"/>
        <w:rPr>
          <w:rFonts w:ascii="Arial" w:hAnsi="Arial" w:cs="Arial"/>
          <w:lang w:eastAsia="es-CO"/>
        </w:rPr>
      </w:pPr>
    </w:p>
    <w:p w14:paraId="082F0C71" w14:textId="77777777" w:rsidR="009F6244" w:rsidRPr="006D4644" w:rsidRDefault="009F6244" w:rsidP="009F6244">
      <w:pPr>
        <w:ind w:right="-234"/>
        <w:jc w:val="both"/>
        <w:rPr>
          <w:rFonts w:ascii="Arial" w:hAnsi="Arial" w:cs="Arial"/>
          <w:lang w:eastAsia="es-CO"/>
        </w:rPr>
      </w:pPr>
      <w:r w:rsidRPr="006D4644">
        <w:rPr>
          <w:rFonts w:ascii="Arial" w:hAnsi="Arial" w:cs="Arial"/>
          <w:lang w:eastAsia="es-CO"/>
        </w:rPr>
        <w:t>El Marco Normativo para Empresas que Cotizan en el Mercado de Valores, o que Captan o Administran Ahorro del Público es aplicable a las empresas que se encuentran bajo el ámbito del RCP y a los negocios fiduciarios de empresas públicas que se relacionan a continuación, siempre que estas se consideren negocio en marcha:</w:t>
      </w:r>
    </w:p>
    <w:p w14:paraId="0FFCED13" w14:textId="77777777" w:rsidR="009F6244" w:rsidRPr="006D4644" w:rsidRDefault="009F6244" w:rsidP="009F6244">
      <w:pPr>
        <w:jc w:val="both"/>
        <w:rPr>
          <w:rFonts w:ascii="Arial" w:hAnsi="Arial" w:cs="Arial"/>
          <w:lang w:eastAsia="es-CO"/>
        </w:rPr>
      </w:pPr>
    </w:p>
    <w:p w14:paraId="751FA7D7" w14:textId="77777777" w:rsidR="009F6244" w:rsidRPr="006D4644" w:rsidRDefault="009F6244" w:rsidP="006D4644">
      <w:pPr>
        <w:numPr>
          <w:ilvl w:val="0"/>
          <w:numId w:val="2"/>
        </w:numPr>
        <w:ind w:right="-234"/>
        <w:contextualSpacing/>
        <w:jc w:val="both"/>
        <w:rPr>
          <w:rFonts w:ascii="Arial" w:hAnsi="Arial" w:cs="Arial"/>
          <w:lang w:eastAsia="es-CO"/>
        </w:rPr>
      </w:pPr>
      <w:r w:rsidRPr="006D4644">
        <w:rPr>
          <w:rFonts w:ascii="Arial" w:hAnsi="Arial" w:cs="Arial"/>
          <w:lang w:eastAsia="es-CO"/>
        </w:rPr>
        <w:t>Empresas que sean emisoras de valores y cuyos valores se encuentren inscritos en el Registro Nacional de Valores y Emisores (RNVE)</w:t>
      </w:r>
    </w:p>
    <w:p w14:paraId="5A76CBAB" w14:textId="77777777" w:rsidR="009F6244" w:rsidRPr="006D4644" w:rsidRDefault="009F6244" w:rsidP="006D4644">
      <w:pPr>
        <w:numPr>
          <w:ilvl w:val="0"/>
          <w:numId w:val="2"/>
        </w:numPr>
        <w:ind w:right="-234"/>
        <w:contextualSpacing/>
        <w:jc w:val="both"/>
        <w:rPr>
          <w:rFonts w:ascii="Arial" w:hAnsi="Arial" w:cs="Arial"/>
          <w:lang w:eastAsia="es-CO"/>
        </w:rPr>
      </w:pPr>
      <w:r w:rsidRPr="006D4644">
        <w:rPr>
          <w:rFonts w:ascii="Arial" w:hAnsi="Arial" w:cs="Arial"/>
          <w:lang w:eastAsia="es-CO"/>
        </w:rPr>
        <w:t>Empresas que hagan parte de un grupo económico cuya matriz sea emisora de valores y esta tenga sus valores inscritos en el RNVE.</w:t>
      </w:r>
    </w:p>
    <w:p w14:paraId="1A703837" w14:textId="77777777" w:rsidR="009F6244" w:rsidRPr="006D4644" w:rsidRDefault="009F6244" w:rsidP="006D4644">
      <w:pPr>
        <w:numPr>
          <w:ilvl w:val="0"/>
          <w:numId w:val="2"/>
        </w:numPr>
        <w:ind w:right="-234"/>
        <w:contextualSpacing/>
        <w:jc w:val="both"/>
        <w:rPr>
          <w:rFonts w:ascii="Arial" w:hAnsi="Arial" w:cs="Arial"/>
          <w:lang w:eastAsia="es-CO"/>
        </w:rPr>
      </w:pPr>
      <w:r w:rsidRPr="006D4644">
        <w:rPr>
          <w:rFonts w:ascii="Arial" w:hAnsi="Arial" w:cs="Arial"/>
          <w:lang w:eastAsia="es-CO"/>
        </w:rPr>
        <w:t>Sociedades fiduciarias.</w:t>
      </w:r>
    </w:p>
    <w:p w14:paraId="5E294855" w14:textId="77777777" w:rsidR="009F6244" w:rsidRPr="006D4644" w:rsidRDefault="009F6244" w:rsidP="006D4644">
      <w:pPr>
        <w:numPr>
          <w:ilvl w:val="0"/>
          <w:numId w:val="2"/>
        </w:numPr>
        <w:ind w:right="-234"/>
        <w:contextualSpacing/>
        <w:jc w:val="both"/>
        <w:rPr>
          <w:rFonts w:ascii="Arial" w:hAnsi="Arial" w:cs="Arial"/>
          <w:lang w:eastAsia="es-CO"/>
        </w:rPr>
      </w:pPr>
      <w:r w:rsidRPr="006D4644">
        <w:rPr>
          <w:rFonts w:ascii="Arial" w:hAnsi="Arial" w:cs="Arial"/>
          <w:lang w:eastAsia="es-CO"/>
        </w:rPr>
        <w:t>Negocios fiduciarios cuyo fideicomitente sea una empresa pública que cumpla las condiciones establecidas en los literales a), b), f), g) y h).</w:t>
      </w:r>
    </w:p>
    <w:p w14:paraId="70C8C11D" w14:textId="77777777" w:rsidR="009F6244" w:rsidRPr="006D4644" w:rsidRDefault="009F6244" w:rsidP="006D4644">
      <w:pPr>
        <w:numPr>
          <w:ilvl w:val="0"/>
          <w:numId w:val="2"/>
        </w:numPr>
        <w:ind w:right="-234"/>
        <w:contextualSpacing/>
        <w:jc w:val="both"/>
        <w:rPr>
          <w:rFonts w:ascii="Arial" w:hAnsi="Arial" w:cs="Arial"/>
          <w:lang w:eastAsia="es-CO"/>
        </w:rPr>
      </w:pPr>
      <w:r w:rsidRPr="006D4644">
        <w:rPr>
          <w:rFonts w:ascii="Arial" w:hAnsi="Arial" w:cs="Arial"/>
          <w:lang w:eastAsia="es-CO"/>
        </w:rPr>
        <w:t>Negocios fiduciarios cuyos títulos estén inscritos en el RNVE y su fideicomitente sea, directa o indirectamente, una o más empresas públicas.</w:t>
      </w:r>
    </w:p>
    <w:p w14:paraId="60A56660" w14:textId="77777777" w:rsidR="009F6244" w:rsidRPr="006D4644" w:rsidRDefault="009F6244" w:rsidP="006D4644">
      <w:pPr>
        <w:numPr>
          <w:ilvl w:val="0"/>
          <w:numId w:val="2"/>
        </w:numPr>
        <w:ind w:right="-234"/>
        <w:contextualSpacing/>
        <w:jc w:val="both"/>
        <w:rPr>
          <w:rFonts w:ascii="Arial" w:hAnsi="Arial" w:cs="Arial"/>
          <w:lang w:eastAsia="es-CO"/>
        </w:rPr>
      </w:pPr>
      <w:r w:rsidRPr="006D4644">
        <w:rPr>
          <w:rFonts w:ascii="Arial" w:hAnsi="Arial" w:cs="Arial"/>
          <w:lang w:eastAsia="es-CO"/>
        </w:rPr>
        <w:t>Establecimientos bancarios y entidades aseguradoras.</w:t>
      </w:r>
    </w:p>
    <w:p w14:paraId="44555FFE" w14:textId="77777777" w:rsidR="009F6244" w:rsidRPr="006D4644" w:rsidRDefault="009F6244" w:rsidP="006D4644">
      <w:pPr>
        <w:numPr>
          <w:ilvl w:val="0"/>
          <w:numId w:val="2"/>
        </w:numPr>
        <w:ind w:right="-234"/>
        <w:contextualSpacing/>
        <w:jc w:val="both"/>
        <w:rPr>
          <w:rFonts w:ascii="Arial" w:hAnsi="Arial" w:cs="Arial"/>
          <w:lang w:eastAsia="es-CO"/>
        </w:rPr>
      </w:pPr>
      <w:r w:rsidRPr="006D4644">
        <w:rPr>
          <w:rFonts w:ascii="Arial" w:hAnsi="Arial" w:cs="Arial"/>
          <w:lang w:eastAsia="es-CO"/>
        </w:rPr>
        <w:t>Fondos de garantías y entidades financieras con regímenes especiales, sean o no emisores de valores.</w:t>
      </w:r>
    </w:p>
    <w:p w14:paraId="1A507B6D" w14:textId="77777777" w:rsidR="009F6244" w:rsidRPr="006D4644" w:rsidRDefault="009F6244" w:rsidP="006D4644">
      <w:pPr>
        <w:numPr>
          <w:ilvl w:val="0"/>
          <w:numId w:val="2"/>
        </w:numPr>
        <w:ind w:right="-234"/>
        <w:contextualSpacing/>
        <w:jc w:val="both"/>
        <w:rPr>
          <w:rFonts w:ascii="Arial" w:hAnsi="Arial" w:cs="Arial"/>
          <w:lang w:eastAsia="es-CO"/>
        </w:rPr>
      </w:pPr>
      <w:r w:rsidRPr="006D4644">
        <w:rPr>
          <w:rFonts w:ascii="Arial" w:hAnsi="Arial" w:cs="Arial"/>
          <w:lang w:eastAsia="es-CO"/>
        </w:rPr>
        <w:t>Banco de la República.</w:t>
      </w:r>
    </w:p>
    <w:p w14:paraId="1C9BCA82" w14:textId="77777777" w:rsidR="009F6244" w:rsidRPr="006D4644" w:rsidRDefault="009F6244" w:rsidP="009F6244">
      <w:pPr>
        <w:ind w:left="720"/>
        <w:contextualSpacing/>
        <w:jc w:val="both"/>
        <w:rPr>
          <w:rFonts w:ascii="Arial" w:hAnsi="Arial" w:cs="Arial"/>
          <w:lang w:eastAsia="es-CO"/>
        </w:rPr>
      </w:pPr>
    </w:p>
    <w:p w14:paraId="1FB4A2C3" w14:textId="77777777" w:rsidR="009F6244" w:rsidRPr="006D4644" w:rsidRDefault="009F6244" w:rsidP="009F6244">
      <w:pPr>
        <w:ind w:right="-234"/>
        <w:jc w:val="both"/>
        <w:rPr>
          <w:rFonts w:ascii="Arial" w:hAnsi="Arial" w:cs="Arial"/>
          <w:lang w:eastAsia="es-CO"/>
        </w:rPr>
      </w:pPr>
      <w:r w:rsidRPr="006D4644">
        <w:rPr>
          <w:rFonts w:ascii="Arial" w:hAnsi="Arial" w:cs="Arial"/>
          <w:lang w:eastAsia="es-CO"/>
        </w:rPr>
        <w:t>Este Marco Normativo está conformado por el Marco Conceptual para la Información Financiera, las Normas de Información Financiera, el Catálogo General de Cuentas y la Doctrina Contable Pública.</w:t>
      </w:r>
    </w:p>
    <w:p w14:paraId="6FD4DBE4" w14:textId="77777777" w:rsidR="009F6244" w:rsidRPr="006D4644" w:rsidRDefault="009F6244" w:rsidP="009F6244">
      <w:pPr>
        <w:ind w:right="-234"/>
        <w:jc w:val="both"/>
        <w:rPr>
          <w:rFonts w:ascii="Arial" w:hAnsi="Arial" w:cs="Arial"/>
          <w:lang w:eastAsia="es-CO"/>
        </w:rPr>
      </w:pPr>
    </w:p>
    <w:p w14:paraId="12539A83" w14:textId="77777777" w:rsidR="00653723" w:rsidRDefault="009F6244" w:rsidP="00653723">
      <w:pPr>
        <w:ind w:right="-234"/>
        <w:jc w:val="both"/>
        <w:rPr>
          <w:rFonts w:ascii="Arial" w:hAnsi="Arial" w:cs="Arial"/>
          <w:lang w:eastAsia="es-CO"/>
        </w:rPr>
      </w:pPr>
      <w:r w:rsidRPr="006D4644">
        <w:rPr>
          <w:rFonts w:ascii="Arial" w:hAnsi="Arial" w:cs="Arial"/>
          <w:lang w:eastAsia="es-CO"/>
        </w:rPr>
        <w:t>El primer periodo de aplicación de este Marco Normativo fue en el año 2015, excepto para las entidades financieras de régimen especial y los fondos de garantías a quienes se les permitió su aplicación a partir del año 2016.</w:t>
      </w:r>
    </w:p>
    <w:p w14:paraId="43CDD3D7" w14:textId="77777777" w:rsidR="00653723" w:rsidRDefault="00653723" w:rsidP="00653723">
      <w:pPr>
        <w:ind w:right="-234"/>
        <w:jc w:val="both"/>
        <w:rPr>
          <w:rFonts w:ascii="Arial" w:hAnsi="Arial" w:cs="Arial"/>
          <w:lang w:eastAsia="es-CO"/>
        </w:rPr>
      </w:pPr>
    </w:p>
    <w:p w14:paraId="7DA6D655" w14:textId="77777777" w:rsidR="00653723" w:rsidRDefault="009F6244" w:rsidP="00653723">
      <w:pPr>
        <w:ind w:right="-234"/>
        <w:jc w:val="both"/>
        <w:rPr>
          <w:rFonts w:ascii="Arial" w:hAnsi="Arial" w:cs="Arial"/>
          <w:lang w:eastAsia="es-CO"/>
        </w:rPr>
      </w:pPr>
      <w:r w:rsidRPr="00653723">
        <w:rPr>
          <w:rFonts w:ascii="Arial" w:hAnsi="Arial" w:cs="Arial"/>
          <w:lang w:eastAsia="es-CO"/>
        </w:rPr>
        <w:t>Por otra parte, en atención a la coordinación entre entidades públicas de que trata el artículo 12 de la Ley 1314 de 2009 y con el fin de facilitar su consulta y aplicación</w:t>
      </w:r>
      <w:r w:rsidR="00653723" w:rsidRPr="00653723">
        <w:rPr>
          <w:rFonts w:ascii="Arial" w:hAnsi="Arial" w:cs="Arial"/>
          <w:lang w:eastAsia="es-CO"/>
        </w:rPr>
        <w:t>, la CGN expidió la Resolución 037 de 2017, por la cual se regula el Marco Normativo para Empresas que Cotizan en el Mercado de Valores, o que Captan o Administran Ahorro del Público.</w:t>
      </w:r>
    </w:p>
    <w:p w14:paraId="44623BB7" w14:textId="77777777" w:rsidR="00653723" w:rsidRDefault="00653723" w:rsidP="00653723">
      <w:pPr>
        <w:ind w:right="-234"/>
        <w:jc w:val="both"/>
        <w:rPr>
          <w:rFonts w:ascii="Arial" w:hAnsi="Arial" w:cs="Arial"/>
          <w:lang w:eastAsia="es-CO"/>
        </w:rPr>
      </w:pPr>
    </w:p>
    <w:p w14:paraId="3BE5B36B" w14:textId="77777777" w:rsidR="00653723" w:rsidRDefault="00653723" w:rsidP="00653723">
      <w:pPr>
        <w:ind w:right="-234"/>
        <w:jc w:val="both"/>
        <w:rPr>
          <w:rFonts w:ascii="Arial" w:hAnsi="Arial" w:cs="Arial"/>
          <w:lang w:eastAsia="es-CO"/>
        </w:rPr>
      </w:pPr>
      <w:r w:rsidRPr="00653723">
        <w:rPr>
          <w:rFonts w:ascii="Arial" w:hAnsi="Arial" w:cs="Arial"/>
          <w:lang w:eastAsia="es-CO"/>
        </w:rPr>
        <w:t xml:space="preserve">En razón a la coordinación institucional, el Marco Conceptual para la Información Financiera y las Normas de Información Financiera de este Marco Normativo se actualizan con base en los decretos que expiden conjuntamente el Ministerio de Hacienda y Crédito Público y el Ministerio </w:t>
      </w:r>
      <w:r w:rsidRPr="00653723">
        <w:rPr>
          <w:rFonts w:ascii="Arial" w:hAnsi="Arial" w:cs="Arial"/>
          <w:lang w:eastAsia="es-CO"/>
        </w:rPr>
        <w:lastRenderedPageBreak/>
        <w:t>de Comercio, Industria y Turismo. Al efecto, la CGN expidió la Resolución 441 de 2024, mediante la cual se modifica el artículo 3º de la Resolución 037 del 7 de febrero de 2017 con el fin de incorporar a este Marco Normativo el "ANEXO TÉCNICO COMPILATORIO Y ACTUALIZADO 1 – 2019, DE LAS NORMAS DE INFORMACIÓN FINANCIERA, GRUPO 1" del Decreto 2420 de 2015, incluidas las modificaciones realizadas mediante a) el anexo técnico “MODIFICACIÓN A LA NIIF 16 DEL ANEXO TÉCNICO COMPILATORIO Y ACTUALIZADO 1 – 2019, DE LAS NORMAS DE INFORMACIÓN FINANCIERA, GRUPO 1” del Decreto 1432 de 2020, b) el ''ANEXO TÉCNICO 2021, DE LAS NORMAS DE INFORMACIÓN FINANCIERA, GRUPO 1" del Decreto 938 de 2021,c) el ''ANEXO TÉCNICO 2022, DE LAS NORMAS DE INFORMACIÓN FINANCIERA, GRUPO 1" del Decreto 1611 de 2022 y d) el “ANEXO TÉCNICO NORMATIVO 01 DE 2024 DEL GRUPO 1, CONTENTIVO DE LA NORMA NIIF 17 CONTRATOS DE SEGURO” del Decreto 1271 de 2024.</w:t>
      </w:r>
    </w:p>
    <w:p w14:paraId="68A1520E" w14:textId="77777777" w:rsidR="00653723" w:rsidRDefault="00653723" w:rsidP="00653723">
      <w:pPr>
        <w:ind w:right="-234"/>
        <w:jc w:val="both"/>
        <w:rPr>
          <w:rFonts w:ascii="Arial" w:hAnsi="Arial" w:cs="Arial"/>
          <w:lang w:eastAsia="es-CO"/>
        </w:rPr>
      </w:pPr>
    </w:p>
    <w:p w14:paraId="3A82100D" w14:textId="7620EFED" w:rsidR="00653723" w:rsidRPr="00653723" w:rsidRDefault="00653723" w:rsidP="00653723">
      <w:pPr>
        <w:ind w:right="-234"/>
        <w:jc w:val="both"/>
        <w:rPr>
          <w:rFonts w:ascii="Arial" w:hAnsi="Arial" w:cs="Arial"/>
          <w:lang w:eastAsia="es-CO"/>
        </w:rPr>
      </w:pPr>
      <w:r w:rsidRPr="00653723">
        <w:rPr>
          <w:rFonts w:ascii="Arial" w:hAnsi="Arial" w:cs="Arial"/>
          <w:lang w:eastAsia="es-CO"/>
        </w:rPr>
        <w:t>El Catálogo General de Cuentas, incorporado a este Marco Normativo mediante el artículo 8º de la Resolución 037 de 2017, se ha modificado con las resoluciones 597 de 2017; 587 de 2018; 434 de 2019; 091 y 222 de 2020; 079, 081, 216 y 220 de 2021; 062 y 338 de 2022; 419 de 2023; y 420 y 453 de 2024.</w:t>
      </w:r>
    </w:p>
    <w:p w14:paraId="11EFA13E" w14:textId="77777777" w:rsidR="006568BB" w:rsidRDefault="006568BB" w:rsidP="0034282E">
      <w:pPr>
        <w:pStyle w:val="Ttulo3"/>
      </w:pPr>
      <w:bookmarkStart w:id="2" w:name="_Toc198020840"/>
    </w:p>
    <w:p w14:paraId="54D6DF35" w14:textId="477EBAD1" w:rsidR="00653723" w:rsidRPr="0034282E" w:rsidRDefault="006568BB" w:rsidP="0034282E">
      <w:pPr>
        <w:pStyle w:val="Ttulo3"/>
      </w:pPr>
      <w:r w:rsidRPr="0034282E">
        <w:t xml:space="preserve">2.2.3.- </w:t>
      </w:r>
      <w:r w:rsidR="00653723" w:rsidRPr="0034282E">
        <w:t>Marco Normativo para Empresas que no Cotizan en el Mercado de Valores, y que no Captan ni Administran Ahorro del Público</w:t>
      </w:r>
      <w:bookmarkEnd w:id="2"/>
      <w:r w:rsidR="00653723" w:rsidRPr="0034282E">
        <w:t xml:space="preserve">. </w:t>
      </w:r>
    </w:p>
    <w:p w14:paraId="53562575" w14:textId="5AFEDA1D" w:rsidR="006568BB" w:rsidRDefault="006568BB" w:rsidP="006568BB">
      <w:pPr>
        <w:rPr>
          <w:lang w:eastAsia="es-CO"/>
        </w:rPr>
      </w:pPr>
    </w:p>
    <w:p w14:paraId="06F28E6B" w14:textId="63D1C81A" w:rsidR="00653723" w:rsidRPr="0034282E" w:rsidRDefault="00653723" w:rsidP="0034282E">
      <w:pPr>
        <w:pStyle w:val="Ttulo3"/>
      </w:pPr>
      <w:r w:rsidRPr="0034282E">
        <w:t>El Marco Normativo para Empresas que no Cotizan en el Mercado de Valores, y que no Captan ni Administran Ahorro del Público es aplicable a las empresas que se encuentran bajo el ámbito del RCP, en aplicación del principio de negocio en marcha, que no cotizan en el mercado de valores, que no captan ni administran ahorro del público y que, de acuerdo con la función económica que cumplen, se clasifican como empresa.</w:t>
      </w:r>
    </w:p>
    <w:p w14:paraId="01F68808" w14:textId="77777777" w:rsidR="006568BB" w:rsidRPr="006568BB" w:rsidRDefault="006568BB" w:rsidP="006568BB">
      <w:pPr>
        <w:rPr>
          <w:lang w:eastAsia="es-CO"/>
        </w:rPr>
      </w:pPr>
    </w:p>
    <w:p w14:paraId="340177C0" w14:textId="77777777" w:rsidR="00653723" w:rsidRPr="00653723" w:rsidRDefault="00653723" w:rsidP="00653723">
      <w:pPr>
        <w:jc w:val="both"/>
        <w:rPr>
          <w:rFonts w:ascii="Arial" w:hAnsi="Arial" w:cs="Arial"/>
          <w:lang w:eastAsia="es-CO"/>
        </w:rPr>
      </w:pPr>
      <w:r w:rsidRPr="00653723">
        <w:rPr>
          <w:rFonts w:ascii="Arial" w:hAnsi="Arial" w:cs="Arial"/>
          <w:lang w:eastAsia="es-CO"/>
        </w:rPr>
        <w:t>Este Marco Normativo está conformado por el Marco Conceptual para la Preparación y Presentación de Información Financiera; las Normas para el Reconocimiento, Medición, Revelación y Presentación de los Hechos Económicos; los Procedimientos Contables; las Guías de Aplicación; la Doctrina Contable Pública; y el Catálogo General de Cuentas.</w:t>
      </w:r>
    </w:p>
    <w:p w14:paraId="375BE18F" w14:textId="77777777" w:rsidR="00653723" w:rsidRPr="00653723" w:rsidRDefault="00653723" w:rsidP="00653723">
      <w:pPr>
        <w:jc w:val="both"/>
        <w:rPr>
          <w:rFonts w:ascii="Arial" w:hAnsi="Arial" w:cs="Arial"/>
          <w:lang w:eastAsia="es-CO"/>
        </w:rPr>
      </w:pPr>
    </w:p>
    <w:p w14:paraId="5AE8F880" w14:textId="77777777" w:rsidR="00653723" w:rsidRPr="00653723" w:rsidRDefault="00653723" w:rsidP="00653723">
      <w:pPr>
        <w:jc w:val="both"/>
        <w:rPr>
          <w:rFonts w:ascii="Arial" w:hAnsi="Arial" w:cs="Arial"/>
          <w:lang w:eastAsia="es-CO"/>
        </w:rPr>
      </w:pPr>
      <w:r w:rsidRPr="00653723">
        <w:rPr>
          <w:rFonts w:ascii="Arial" w:hAnsi="Arial" w:cs="Arial"/>
          <w:lang w:eastAsia="es-CO"/>
        </w:rPr>
        <w:t>El primer periodo de aplicación de este Marco Normativo fue el año 2016, excepto para las entidades que conforman el Sistema General de Seguridad Social en Salud a quienes se les permitió su aplicación a partir del año 2017.</w:t>
      </w:r>
    </w:p>
    <w:p w14:paraId="36922044" w14:textId="77777777" w:rsidR="00653723" w:rsidRPr="00653723" w:rsidRDefault="00653723" w:rsidP="00653723">
      <w:pPr>
        <w:jc w:val="both"/>
        <w:rPr>
          <w:rFonts w:ascii="Arial" w:hAnsi="Arial" w:cs="Arial"/>
          <w:lang w:eastAsia="es-CO"/>
        </w:rPr>
      </w:pPr>
    </w:p>
    <w:p w14:paraId="3ED5D438" w14:textId="77777777" w:rsidR="006568BB" w:rsidRPr="00267145" w:rsidRDefault="00653723" w:rsidP="006568BB">
      <w:pPr>
        <w:jc w:val="both"/>
        <w:rPr>
          <w:rFonts w:ascii="Arial" w:hAnsi="Arial" w:cs="Arial"/>
          <w:lang w:eastAsia="es-CO"/>
        </w:rPr>
      </w:pPr>
      <w:r w:rsidRPr="00267145">
        <w:rPr>
          <w:rFonts w:ascii="Arial" w:hAnsi="Arial" w:cs="Arial"/>
          <w:lang w:eastAsia="es-CO"/>
        </w:rPr>
        <w:t>El Marco Conceptual para la Preparación y Presentación de Información Financiera y las Normas para el Reconocimiento, Medición, Revelación y Presentación de los</w:t>
      </w:r>
      <w:r w:rsidR="006568BB" w:rsidRPr="00267145">
        <w:rPr>
          <w:rFonts w:ascii="Arial" w:hAnsi="Arial" w:cs="Arial"/>
          <w:lang w:eastAsia="es-CO"/>
        </w:rPr>
        <w:t xml:space="preserve"> Hechos Económicos se incorporan a este Marco Normativo mediante la Resolución 414 de 2014. El Marco Conceptual se modificó mediante la Resolución 439 de 2024 y las Normas mediante las resoluciones 437 y 439 de 2024.</w:t>
      </w:r>
    </w:p>
    <w:p w14:paraId="2C3B4B1A" w14:textId="77777777" w:rsidR="006568BB" w:rsidRPr="00267145" w:rsidRDefault="006568BB" w:rsidP="006568BB">
      <w:pPr>
        <w:jc w:val="both"/>
        <w:rPr>
          <w:rFonts w:ascii="Arial" w:hAnsi="Arial" w:cs="Arial"/>
          <w:lang w:eastAsia="es-CO"/>
        </w:rPr>
      </w:pPr>
    </w:p>
    <w:p w14:paraId="79BCE75A" w14:textId="77777777" w:rsidR="006568BB" w:rsidRPr="00267145" w:rsidRDefault="006568BB" w:rsidP="006568BB">
      <w:pPr>
        <w:jc w:val="both"/>
        <w:rPr>
          <w:rFonts w:ascii="Arial" w:hAnsi="Arial" w:cs="Arial"/>
          <w:lang w:eastAsia="es-CO"/>
        </w:rPr>
      </w:pPr>
      <w:r w:rsidRPr="00267145">
        <w:rPr>
          <w:rFonts w:ascii="Arial" w:hAnsi="Arial" w:cs="Arial"/>
          <w:lang w:eastAsia="es-CO"/>
        </w:rPr>
        <w:t xml:space="preserve">El Catálogo General de Cuentas, incorporado a este Marco Normativo mediante la Resolución 139 de 2015, se ha modificado mediante las resoluciones 466 de 2016; 596 de 2017; 586 de 2018; 433 de 2019; 091, 170 y 222 de 2020; 079, 081 y 219 de 2021; 062, 321 y 341 de 2022; </w:t>
      </w:r>
      <w:r w:rsidRPr="00267145">
        <w:rPr>
          <w:rFonts w:ascii="Arial" w:hAnsi="Arial" w:cs="Arial"/>
          <w:lang w:eastAsia="es-CO"/>
        </w:rPr>
        <w:lastRenderedPageBreak/>
        <w:t>418 y 442 de 2023; y 437 y 452 de 2024, así como con resoluciones mediante las cuales se han expedido o modificado procedimientos contables.</w:t>
      </w:r>
    </w:p>
    <w:p w14:paraId="5F046FC3" w14:textId="77777777" w:rsidR="006568BB" w:rsidRPr="00267145" w:rsidRDefault="006568BB" w:rsidP="006568BB">
      <w:pPr>
        <w:jc w:val="both"/>
        <w:rPr>
          <w:rFonts w:ascii="Arial" w:hAnsi="Arial" w:cs="Arial"/>
          <w:lang w:eastAsia="es-CO"/>
        </w:rPr>
      </w:pPr>
    </w:p>
    <w:p w14:paraId="484086A6" w14:textId="77777777" w:rsidR="006568BB" w:rsidRPr="00267145" w:rsidRDefault="006568BB" w:rsidP="006568BB">
      <w:pPr>
        <w:jc w:val="both"/>
        <w:rPr>
          <w:rFonts w:ascii="Arial" w:hAnsi="Arial" w:cs="Arial"/>
          <w:lang w:eastAsia="es-CO"/>
        </w:rPr>
      </w:pPr>
      <w:r w:rsidRPr="00267145">
        <w:rPr>
          <w:rFonts w:ascii="Arial" w:hAnsi="Arial" w:cs="Arial"/>
          <w:lang w:eastAsia="es-CO"/>
        </w:rPr>
        <w:t xml:space="preserve">Como parte de los desarrollos instrumentales que orientan la aplicación de las normas a casos particulares, se han incorporado los siguientes procedimientos contables: </w:t>
      </w:r>
    </w:p>
    <w:p w14:paraId="6E7A5CFA" w14:textId="77777777" w:rsidR="006568BB" w:rsidRDefault="006568BB" w:rsidP="006568BB">
      <w:pPr>
        <w:jc w:val="both"/>
        <w:rPr>
          <w:rFonts w:cs="Tahoma"/>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5"/>
        <w:gridCol w:w="3927"/>
      </w:tblGrid>
      <w:tr w:rsidR="006568BB" w14:paraId="47055DFB" w14:textId="77777777" w:rsidTr="003273AD">
        <w:trPr>
          <w:trHeight w:val="62"/>
        </w:trPr>
        <w:tc>
          <w:tcPr>
            <w:tcW w:w="3029" w:type="pct"/>
            <w:vAlign w:val="center"/>
          </w:tcPr>
          <w:p w14:paraId="674DD861" w14:textId="77777777" w:rsidR="006568BB" w:rsidRDefault="006568BB" w:rsidP="003273AD">
            <w:pPr>
              <w:tabs>
                <w:tab w:val="left" w:pos="9072"/>
              </w:tabs>
              <w:ind w:right="7"/>
              <w:jc w:val="center"/>
              <w:rPr>
                <w:rFonts w:cs="Calibri"/>
                <w:b/>
                <w:sz w:val="20"/>
                <w:szCs w:val="20"/>
              </w:rPr>
            </w:pPr>
            <w:r>
              <w:rPr>
                <w:rFonts w:cs="Calibri"/>
                <w:b/>
                <w:sz w:val="20"/>
                <w:szCs w:val="20"/>
              </w:rPr>
              <w:t>Procedimiento</w:t>
            </w:r>
          </w:p>
        </w:tc>
        <w:tc>
          <w:tcPr>
            <w:tcW w:w="1971" w:type="pct"/>
            <w:vAlign w:val="center"/>
          </w:tcPr>
          <w:p w14:paraId="3073014B" w14:textId="77777777" w:rsidR="006568BB" w:rsidRDefault="006568BB" w:rsidP="003273AD">
            <w:pPr>
              <w:tabs>
                <w:tab w:val="left" w:pos="9072"/>
              </w:tabs>
              <w:ind w:right="7"/>
              <w:jc w:val="center"/>
              <w:rPr>
                <w:rFonts w:cs="Calibri"/>
                <w:b/>
                <w:sz w:val="20"/>
                <w:szCs w:val="20"/>
              </w:rPr>
            </w:pPr>
            <w:r>
              <w:rPr>
                <w:rFonts w:cs="Calibri"/>
                <w:b/>
                <w:sz w:val="20"/>
                <w:szCs w:val="20"/>
              </w:rPr>
              <w:t>Acto administrativo que incorpora o modifica</w:t>
            </w:r>
          </w:p>
        </w:tc>
      </w:tr>
      <w:tr w:rsidR="006568BB" w14:paraId="652B4436" w14:textId="77777777" w:rsidTr="003273AD">
        <w:trPr>
          <w:trHeight w:val="408"/>
        </w:trPr>
        <w:tc>
          <w:tcPr>
            <w:tcW w:w="3029" w:type="pct"/>
            <w:vAlign w:val="center"/>
          </w:tcPr>
          <w:p w14:paraId="33F347D1" w14:textId="77777777" w:rsidR="006568BB" w:rsidRDefault="006568BB" w:rsidP="003273AD">
            <w:pPr>
              <w:rPr>
                <w:rFonts w:cs="Arial"/>
                <w:sz w:val="20"/>
                <w:szCs w:val="20"/>
              </w:rPr>
            </w:pPr>
            <w:r>
              <w:rPr>
                <w:rFonts w:cs="Arial"/>
                <w:sz w:val="20"/>
                <w:szCs w:val="20"/>
              </w:rPr>
              <w:t>Procesos judiciales, arbitrajes, conciliaciones extrajudiciales y embargos sobre cuentas bancarias</w:t>
            </w:r>
          </w:p>
        </w:tc>
        <w:tc>
          <w:tcPr>
            <w:tcW w:w="1971" w:type="pct"/>
            <w:vAlign w:val="center"/>
          </w:tcPr>
          <w:p w14:paraId="1716EA68" w14:textId="77777777" w:rsidR="006568BB" w:rsidRDefault="006568BB" w:rsidP="003273AD">
            <w:pPr>
              <w:tabs>
                <w:tab w:val="left" w:pos="9072"/>
              </w:tabs>
              <w:ind w:right="7"/>
              <w:rPr>
                <w:rFonts w:cs="Arial"/>
                <w:sz w:val="20"/>
                <w:szCs w:val="20"/>
              </w:rPr>
            </w:pPr>
            <w:r>
              <w:rPr>
                <w:rFonts w:cs="Arial"/>
                <w:sz w:val="20"/>
                <w:szCs w:val="20"/>
              </w:rPr>
              <w:t>Resoluciones 310 de 2017, 082 de 2021 y 422 de 2023</w:t>
            </w:r>
          </w:p>
        </w:tc>
      </w:tr>
      <w:tr w:rsidR="006568BB" w14:paraId="0C31D0D5" w14:textId="77777777" w:rsidTr="003273AD">
        <w:tc>
          <w:tcPr>
            <w:tcW w:w="3029" w:type="pct"/>
            <w:vAlign w:val="center"/>
          </w:tcPr>
          <w:p w14:paraId="47E4C0CE" w14:textId="77777777" w:rsidR="006568BB" w:rsidRDefault="006568BB" w:rsidP="003273AD">
            <w:pPr>
              <w:tabs>
                <w:tab w:val="left" w:pos="9072"/>
              </w:tabs>
              <w:ind w:right="7"/>
              <w:rPr>
                <w:rFonts w:cs="Arial"/>
                <w:sz w:val="20"/>
                <w:szCs w:val="20"/>
              </w:rPr>
            </w:pPr>
            <w:r>
              <w:rPr>
                <w:rFonts w:cs="Arial"/>
                <w:sz w:val="20"/>
                <w:szCs w:val="20"/>
              </w:rPr>
              <w:t>Recursos entregados en administración</w:t>
            </w:r>
          </w:p>
        </w:tc>
        <w:tc>
          <w:tcPr>
            <w:tcW w:w="1971" w:type="pct"/>
            <w:vAlign w:val="center"/>
          </w:tcPr>
          <w:p w14:paraId="2DC57BF9" w14:textId="77777777" w:rsidR="006568BB" w:rsidRDefault="006568BB" w:rsidP="003273AD">
            <w:pPr>
              <w:tabs>
                <w:tab w:val="left" w:pos="9072"/>
              </w:tabs>
              <w:ind w:right="7"/>
              <w:rPr>
                <w:rFonts w:cs="Arial"/>
                <w:sz w:val="20"/>
                <w:szCs w:val="20"/>
              </w:rPr>
            </w:pPr>
            <w:r>
              <w:rPr>
                <w:rFonts w:cs="Arial"/>
                <w:sz w:val="20"/>
                <w:szCs w:val="20"/>
              </w:rPr>
              <w:t>Resoluciones 079 de 2019, 092 de 2020 y 422 de 2023</w:t>
            </w:r>
          </w:p>
        </w:tc>
      </w:tr>
      <w:tr w:rsidR="006568BB" w14:paraId="39DE732C" w14:textId="77777777" w:rsidTr="003273AD">
        <w:tc>
          <w:tcPr>
            <w:tcW w:w="3029" w:type="pct"/>
            <w:vAlign w:val="center"/>
          </w:tcPr>
          <w:p w14:paraId="6E2538E4" w14:textId="77777777" w:rsidR="006568BB" w:rsidRDefault="006568BB" w:rsidP="003273AD">
            <w:pPr>
              <w:tabs>
                <w:tab w:val="left" w:pos="9072"/>
              </w:tabs>
              <w:ind w:right="7"/>
              <w:rPr>
                <w:rFonts w:cs="Arial"/>
                <w:sz w:val="20"/>
                <w:szCs w:val="20"/>
              </w:rPr>
            </w:pPr>
            <w:r>
              <w:rPr>
                <w:rFonts w:cs="Arial"/>
                <w:sz w:val="20"/>
                <w:szCs w:val="20"/>
              </w:rPr>
              <w:t xml:space="preserve">Prestación de servicios de salud </w:t>
            </w:r>
          </w:p>
        </w:tc>
        <w:tc>
          <w:tcPr>
            <w:tcW w:w="1971" w:type="pct"/>
            <w:vAlign w:val="center"/>
          </w:tcPr>
          <w:p w14:paraId="250487E7" w14:textId="77777777" w:rsidR="006568BB" w:rsidRDefault="006568BB" w:rsidP="003273AD">
            <w:pPr>
              <w:tabs>
                <w:tab w:val="left" w:pos="9072"/>
              </w:tabs>
              <w:ind w:right="7"/>
              <w:rPr>
                <w:rFonts w:cs="Arial"/>
                <w:sz w:val="20"/>
                <w:szCs w:val="20"/>
              </w:rPr>
            </w:pPr>
            <w:r>
              <w:rPr>
                <w:rFonts w:cs="Arial"/>
                <w:sz w:val="20"/>
                <w:szCs w:val="20"/>
              </w:rPr>
              <w:t>Resolución 058 de 2020</w:t>
            </w:r>
          </w:p>
        </w:tc>
      </w:tr>
      <w:tr w:rsidR="006568BB" w14:paraId="7D922F36" w14:textId="77777777" w:rsidTr="003273AD">
        <w:tc>
          <w:tcPr>
            <w:tcW w:w="3029" w:type="pct"/>
            <w:vAlign w:val="center"/>
          </w:tcPr>
          <w:p w14:paraId="25F5390D" w14:textId="77777777" w:rsidR="006568BB" w:rsidRDefault="006568BB" w:rsidP="003273AD">
            <w:pPr>
              <w:tabs>
                <w:tab w:val="left" w:pos="9072"/>
              </w:tabs>
              <w:ind w:right="7"/>
              <w:rPr>
                <w:rFonts w:cs="Arial"/>
                <w:sz w:val="20"/>
                <w:szCs w:val="20"/>
              </w:rPr>
            </w:pPr>
            <w:r>
              <w:rPr>
                <w:rFonts w:cs="Calibri"/>
                <w:sz w:val="20"/>
                <w:szCs w:val="20"/>
              </w:rPr>
              <w:t>Pasivo pensional y recursos que lo financian</w:t>
            </w:r>
          </w:p>
        </w:tc>
        <w:tc>
          <w:tcPr>
            <w:tcW w:w="1971" w:type="pct"/>
            <w:vAlign w:val="center"/>
          </w:tcPr>
          <w:p w14:paraId="4B9A67F0" w14:textId="77777777" w:rsidR="006568BB" w:rsidRDefault="006568BB" w:rsidP="003273AD">
            <w:pPr>
              <w:tabs>
                <w:tab w:val="left" w:pos="9072"/>
              </w:tabs>
              <w:ind w:right="7"/>
              <w:rPr>
                <w:rFonts w:cs="Arial"/>
                <w:sz w:val="20"/>
                <w:szCs w:val="20"/>
              </w:rPr>
            </w:pPr>
            <w:r>
              <w:rPr>
                <w:rFonts w:cs="Arial"/>
                <w:sz w:val="20"/>
                <w:szCs w:val="20"/>
              </w:rPr>
              <w:t>Resoluciones 083 de 2021 y 422 de 2023</w:t>
            </w:r>
          </w:p>
        </w:tc>
      </w:tr>
    </w:tbl>
    <w:p w14:paraId="6C2A2054" w14:textId="77777777" w:rsidR="006568BB" w:rsidRDefault="006568BB" w:rsidP="006568BB">
      <w:pPr>
        <w:jc w:val="both"/>
        <w:rPr>
          <w:rFonts w:cs="Tahoma"/>
          <w:lang w:eastAsia="es-CO"/>
        </w:rPr>
      </w:pPr>
    </w:p>
    <w:p w14:paraId="27271E25" w14:textId="77777777" w:rsidR="006568BB" w:rsidRPr="00267145" w:rsidRDefault="006568BB" w:rsidP="006568BB">
      <w:pPr>
        <w:jc w:val="both"/>
        <w:rPr>
          <w:rFonts w:ascii="Arial" w:hAnsi="Arial" w:cs="Arial"/>
          <w:lang w:eastAsia="es-CO"/>
        </w:rPr>
      </w:pPr>
      <w:r w:rsidRPr="00267145">
        <w:rPr>
          <w:rFonts w:ascii="Arial" w:hAnsi="Arial" w:cs="Arial"/>
          <w:lang w:eastAsia="es-CO"/>
        </w:rPr>
        <w:t xml:space="preserve">Adicionalmente, las empresas que se encuentran bajo el ámbito del Marco Normativo para Empresas que no Cotizan en el Mercado de Valores, y que no Captan ni Administran Ahorro del Público, también aplican los Procedimientos Contables del Marco Normativo para Entidades de Gobierno que se relacionan a continuación, para el registro contable de los hechos económicos en los que ellas participan: </w:t>
      </w:r>
    </w:p>
    <w:p w14:paraId="22BC2D03" w14:textId="77777777" w:rsidR="006568BB" w:rsidRPr="00267145" w:rsidRDefault="006568BB" w:rsidP="006568BB">
      <w:pPr>
        <w:jc w:val="both"/>
        <w:rPr>
          <w:rFonts w:ascii="Arial" w:hAnsi="Arial" w:cs="Arial"/>
          <w:lang w:eastAsia="es-CO"/>
        </w:rPr>
      </w:pPr>
    </w:p>
    <w:p w14:paraId="28178F14" w14:textId="77777777" w:rsidR="006568BB" w:rsidRPr="00267145" w:rsidRDefault="006568BB" w:rsidP="006568BB">
      <w:pPr>
        <w:numPr>
          <w:ilvl w:val="2"/>
          <w:numId w:val="3"/>
        </w:numPr>
        <w:contextualSpacing/>
        <w:jc w:val="both"/>
        <w:rPr>
          <w:rFonts w:ascii="Arial" w:hAnsi="Arial" w:cs="Arial"/>
          <w:lang w:eastAsia="es-CO"/>
        </w:rPr>
      </w:pPr>
      <w:bookmarkStart w:id="3" w:name="_Hlk162873300"/>
      <w:r w:rsidRPr="00267145">
        <w:rPr>
          <w:rFonts w:ascii="Arial" w:hAnsi="Arial" w:cs="Arial"/>
          <w:lang w:eastAsia="es-CO"/>
        </w:rPr>
        <w:t>Movilización de activos;</w:t>
      </w:r>
    </w:p>
    <w:p w14:paraId="2AD8B494" w14:textId="77777777" w:rsidR="006568BB" w:rsidRPr="00267145" w:rsidRDefault="006568BB" w:rsidP="006568BB">
      <w:pPr>
        <w:numPr>
          <w:ilvl w:val="2"/>
          <w:numId w:val="3"/>
        </w:numPr>
        <w:contextualSpacing/>
        <w:jc w:val="both"/>
        <w:rPr>
          <w:rFonts w:ascii="Arial" w:hAnsi="Arial" w:cs="Arial"/>
          <w:lang w:eastAsia="es-CO"/>
        </w:rPr>
      </w:pPr>
      <w:r w:rsidRPr="00267145">
        <w:rPr>
          <w:rFonts w:ascii="Arial" w:hAnsi="Arial" w:cs="Arial"/>
          <w:lang w:eastAsia="es-CO"/>
        </w:rPr>
        <w:t>Recursos del Sistema General de Regalías;</w:t>
      </w:r>
    </w:p>
    <w:p w14:paraId="56946216" w14:textId="77777777" w:rsidR="006568BB" w:rsidRPr="00267145" w:rsidRDefault="006568BB" w:rsidP="006568BB">
      <w:pPr>
        <w:numPr>
          <w:ilvl w:val="2"/>
          <w:numId w:val="3"/>
        </w:numPr>
        <w:contextualSpacing/>
        <w:jc w:val="both"/>
        <w:rPr>
          <w:rFonts w:ascii="Arial" w:hAnsi="Arial" w:cs="Arial"/>
          <w:lang w:eastAsia="es-CO"/>
        </w:rPr>
      </w:pPr>
      <w:r w:rsidRPr="00267145">
        <w:rPr>
          <w:rFonts w:ascii="Arial" w:hAnsi="Arial" w:cs="Arial"/>
          <w:lang w:eastAsia="es-CO"/>
        </w:rPr>
        <w:t>Operaciones interinstitucionales;</w:t>
      </w:r>
    </w:p>
    <w:p w14:paraId="1583DB68" w14:textId="77777777" w:rsidR="006568BB" w:rsidRPr="00267145" w:rsidRDefault="006568BB" w:rsidP="006568BB">
      <w:pPr>
        <w:numPr>
          <w:ilvl w:val="2"/>
          <w:numId w:val="3"/>
        </w:numPr>
        <w:contextualSpacing/>
        <w:jc w:val="both"/>
        <w:rPr>
          <w:rFonts w:ascii="Arial" w:hAnsi="Arial" w:cs="Arial"/>
          <w:lang w:eastAsia="es-CO"/>
        </w:rPr>
      </w:pPr>
      <w:r w:rsidRPr="00267145">
        <w:rPr>
          <w:rFonts w:ascii="Arial" w:hAnsi="Arial" w:cs="Arial"/>
          <w:lang w:eastAsia="es-CO"/>
        </w:rPr>
        <w:t>Recursos del Sistema General de Seguridad Social en Salud;</w:t>
      </w:r>
    </w:p>
    <w:p w14:paraId="7E84F075" w14:textId="77777777" w:rsidR="006568BB" w:rsidRPr="00267145" w:rsidRDefault="006568BB" w:rsidP="006568BB">
      <w:pPr>
        <w:numPr>
          <w:ilvl w:val="2"/>
          <w:numId w:val="3"/>
        </w:numPr>
        <w:contextualSpacing/>
        <w:jc w:val="both"/>
        <w:rPr>
          <w:rFonts w:ascii="Arial" w:hAnsi="Arial" w:cs="Arial"/>
          <w:lang w:eastAsia="es-CO"/>
        </w:rPr>
      </w:pPr>
      <w:r w:rsidRPr="00267145">
        <w:rPr>
          <w:rFonts w:ascii="Arial" w:hAnsi="Arial" w:cs="Arial"/>
          <w:lang w:eastAsia="es-CO"/>
        </w:rPr>
        <w:t>Garantías financieras otorgadas;</w:t>
      </w:r>
    </w:p>
    <w:p w14:paraId="4D09A3E0" w14:textId="77777777" w:rsidR="006568BB" w:rsidRPr="00267145" w:rsidRDefault="006568BB" w:rsidP="006568BB">
      <w:pPr>
        <w:numPr>
          <w:ilvl w:val="2"/>
          <w:numId w:val="3"/>
        </w:numPr>
        <w:contextualSpacing/>
        <w:jc w:val="both"/>
        <w:rPr>
          <w:rFonts w:ascii="Arial" w:hAnsi="Arial" w:cs="Arial"/>
          <w:lang w:eastAsia="es-CO"/>
        </w:rPr>
      </w:pPr>
      <w:r w:rsidRPr="00267145">
        <w:rPr>
          <w:rFonts w:ascii="Arial" w:hAnsi="Arial" w:cs="Arial"/>
          <w:lang w:eastAsia="es-CO"/>
        </w:rPr>
        <w:t>Planes departamentales de agua y saneamiento básico;</w:t>
      </w:r>
    </w:p>
    <w:p w14:paraId="05E0AD75" w14:textId="77777777" w:rsidR="006568BB" w:rsidRPr="00267145" w:rsidRDefault="006568BB" w:rsidP="006568BB">
      <w:pPr>
        <w:numPr>
          <w:ilvl w:val="2"/>
          <w:numId w:val="3"/>
        </w:numPr>
        <w:contextualSpacing/>
        <w:jc w:val="both"/>
        <w:rPr>
          <w:rFonts w:ascii="Arial" w:hAnsi="Arial" w:cs="Arial"/>
          <w:lang w:eastAsia="es-CO"/>
        </w:rPr>
      </w:pPr>
      <w:r w:rsidRPr="00267145">
        <w:rPr>
          <w:rFonts w:ascii="Arial" w:hAnsi="Arial" w:cs="Arial"/>
          <w:lang w:eastAsia="es-CO"/>
        </w:rPr>
        <w:t>Pasivo pensional y los recursos que lo financian;</w:t>
      </w:r>
    </w:p>
    <w:p w14:paraId="176B1642" w14:textId="77777777" w:rsidR="006568BB" w:rsidRPr="00267145" w:rsidRDefault="006568BB" w:rsidP="006568BB">
      <w:pPr>
        <w:numPr>
          <w:ilvl w:val="2"/>
          <w:numId w:val="3"/>
        </w:numPr>
        <w:contextualSpacing/>
        <w:jc w:val="both"/>
        <w:rPr>
          <w:rFonts w:ascii="Arial" w:hAnsi="Arial" w:cs="Arial"/>
          <w:lang w:eastAsia="es-CO"/>
        </w:rPr>
      </w:pPr>
      <w:r w:rsidRPr="00267145">
        <w:rPr>
          <w:rFonts w:ascii="Arial" w:hAnsi="Arial" w:cs="Arial"/>
          <w:lang w:eastAsia="es-CO"/>
        </w:rPr>
        <w:t>Recursos que el Fondo Único de Tecnologías de la Información y las Comunicaciones transfiere a los operadores públicos del servicio de televisión;</w:t>
      </w:r>
    </w:p>
    <w:p w14:paraId="024190A9" w14:textId="77777777" w:rsidR="006568BB" w:rsidRPr="00267145" w:rsidRDefault="006568BB" w:rsidP="006568BB">
      <w:pPr>
        <w:numPr>
          <w:ilvl w:val="2"/>
          <w:numId w:val="3"/>
        </w:numPr>
        <w:contextualSpacing/>
        <w:jc w:val="both"/>
        <w:rPr>
          <w:rFonts w:ascii="Arial" w:hAnsi="Arial" w:cs="Arial"/>
          <w:lang w:eastAsia="es-CO"/>
        </w:rPr>
      </w:pPr>
      <w:r w:rsidRPr="00267145">
        <w:rPr>
          <w:rFonts w:ascii="Arial" w:hAnsi="Arial" w:cs="Arial"/>
          <w:lang w:eastAsia="es-CO"/>
        </w:rPr>
        <w:t>Sistemas integrados de transporte masivo de pasajeros gestionados a través de entes gestores;</w:t>
      </w:r>
    </w:p>
    <w:bookmarkEnd w:id="3"/>
    <w:p w14:paraId="28575D17" w14:textId="77777777" w:rsidR="006568BB" w:rsidRPr="00267145" w:rsidRDefault="006568BB" w:rsidP="006568BB">
      <w:pPr>
        <w:jc w:val="both"/>
        <w:rPr>
          <w:rFonts w:ascii="Arial" w:hAnsi="Arial" w:cs="Arial"/>
          <w:lang w:eastAsia="es-CO"/>
        </w:rPr>
      </w:pPr>
    </w:p>
    <w:p w14:paraId="3A9B0FF4" w14:textId="77777777" w:rsidR="006568BB" w:rsidRPr="00267145" w:rsidRDefault="006568BB" w:rsidP="006568BB">
      <w:pPr>
        <w:jc w:val="both"/>
        <w:rPr>
          <w:rFonts w:ascii="Arial" w:hAnsi="Arial" w:cs="Arial"/>
          <w:lang w:eastAsia="es-CO"/>
        </w:rPr>
      </w:pPr>
      <w:r w:rsidRPr="00267145">
        <w:rPr>
          <w:rFonts w:ascii="Arial" w:hAnsi="Arial" w:cs="Arial"/>
          <w:lang w:eastAsia="es-CO"/>
        </w:rPr>
        <w:t>Así mismo, se han publicado las siguientes guías de aplicación: Definición de políticas contables; Presentación de estados financieros; Deterioro del valor de propiedades, planta y equipo; Depreciación por componentes y sustitución de componentes; Ingresos a partir del grado de avance; Inversiones de administración de liquidez en títulos de deuda; Subvenciones no monetarias; Costos de financiación; Subvenciones monetarias; y Deterioro y baja en cuentas de las cuentas por cobrar.</w:t>
      </w:r>
    </w:p>
    <w:p w14:paraId="0992159B" w14:textId="69BFD0E4" w:rsidR="00653723" w:rsidRPr="00267145" w:rsidRDefault="00653723" w:rsidP="00653723">
      <w:pPr>
        <w:ind w:right="-234"/>
        <w:rPr>
          <w:rFonts w:ascii="Arial" w:hAnsi="Arial" w:cs="Arial"/>
        </w:rPr>
      </w:pPr>
    </w:p>
    <w:p w14:paraId="7C4E0650" w14:textId="708A9891" w:rsidR="00267145" w:rsidRPr="0034282E" w:rsidRDefault="00267145" w:rsidP="0034282E">
      <w:pPr>
        <w:pStyle w:val="Ttulo3"/>
      </w:pPr>
      <w:bookmarkStart w:id="4" w:name="_Toc198020841"/>
      <w:r w:rsidRPr="0034282E">
        <w:t>2.2.4.- Marco Normativo para Entidades de Gobierno</w:t>
      </w:r>
      <w:bookmarkEnd w:id="4"/>
    </w:p>
    <w:p w14:paraId="794D78ED" w14:textId="77777777" w:rsidR="00267145" w:rsidRDefault="00267145" w:rsidP="00267145">
      <w:pPr>
        <w:jc w:val="both"/>
        <w:rPr>
          <w:rFonts w:cs="Tahoma"/>
          <w:lang w:eastAsia="es-CO"/>
        </w:rPr>
      </w:pPr>
    </w:p>
    <w:p w14:paraId="58551622" w14:textId="5A5E9380" w:rsidR="00267145" w:rsidRPr="001B311F" w:rsidRDefault="00267145" w:rsidP="001B311F">
      <w:pPr>
        <w:ind w:right="-234"/>
        <w:jc w:val="both"/>
        <w:rPr>
          <w:rFonts w:ascii="Arial" w:hAnsi="Arial" w:cs="Arial"/>
          <w:lang w:eastAsia="es-CO"/>
        </w:rPr>
      </w:pPr>
      <w:r w:rsidRPr="001B311F">
        <w:rPr>
          <w:rFonts w:ascii="Arial" w:hAnsi="Arial" w:cs="Arial"/>
          <w:lang w:eastAsia="es-CO"/>
        </w:rPr>
        <w:t>El Marco Normativo para Entidades de Gobierno es aplicable a las entidades que se encuentran bajo el ámbito del RCP, que se consideran entidades en marcha y que, según su función económica, se clasifican como entidades de gobierno.</w:t>
      </w:r>
    </w:p>
    <w:p w14:paraId="533F05EB" w14:textId="77777777" w:rsidR="00267145" w:rsidRPr="001B311F" w:rsidRDefault="00267145" w:rsidP="001B311F">
      <w:pPr>
        <w:ind w:right="-234"/>
        <w:jc w:val="both"/>
        <w:rPr>
          <w:rFonts w:ascii="Arial" w:hAnsi="Arial" w:cs="Arial"/>
          <w:lang w:eastAsia="es-CO"/>
        </w:rPr>
      </w:pPr>
    </w:p>
    <w:p w14:paraId="33D2F3F8" w14:textId="77777777" w:rsidR="00267145" w:rsidRPr="001B311F" w:rsidRDefault="00267145" w:rsidP="001B311F">
      <w:pPr>
        <w:ind w:right="-234"/>
        <w:jc w:val="both"/>
        <w:rPr>
          <w:rFonts w:ascii="Arial" w:hAnsi="Arial" w:cs="Arial"/>
          <w:lang w:eastAsia="es-CO"/>
        </w:rPr>
      </w:pPr>
      <w:r w:rsidRPr="001B311F">
        <w:rPr>
          <w:rFonts w:ascii="Arial" w:hAnsi="Arial" w:cs="Arial"/>
          <w:lang w:eastAsia="es-CO"/>
        </w:rPr>
        <w:t xml:space="preserve">Este Marco Normativo está conformado por el Marco Conceptual para la Preparación y Presentación de Información Financiera; las Normas para el Reconocimiento, Medición, </w:t>
      </w:r>
      <w:r w:rsidRPr="001B311F">
        <w:rPr>
          <w:rFonts w:ascii="Arial" w:hAnsi="Arial" w:cs="Arial"/>
          <w:lang w:eastAsia="es-CO"/>
        </w:rPr>
        <w:lastRenderedPageBreak/>
        <w:t>Revelación y Presentación de los Hechos Económicos; los Procedimientos Contables; las Guías de Aplicación; la Doctrina Contable Pública; y el Catálogo General de Cuentas.</w:t>
      </w:r>
    </w:p>
    <w:p w14:paraId="3EE644A4" w14:textId="77777777" w:rsidR="00267145" w:rsidRPr="001B311F" w:rsidRDefault="00267145" w:rsidP="001B311F">
      <w:pPr>
        <w:ind w:right="-234"/>
        <w:jc w:val="both"/>
        <w:rPr>
          <w:rFonts w:ascii="Arial" w:hAnsi="Arial" w:cs="Arial"/>
          <w:lang w:eastAsia="es-CO"/>
        </w:rPr>
      </w:pPr>
    </w:p>
    <w:p w14:paraId="22E40F5D" w14:textId="77777777" w:rsidR="00267145" w:rsidRPr="001B311F" w:rsidRDefault="00267145" w:rsidP="001B311F">
      <w:pPr>
        <w:ind w:right="-234"/>
        <w:jc w:val="both"/>
        <w:rPr>
          <w:rFonts w:ascii="Arial" w:hAnsi="Arial" w:cs="Arial"/>
          <w:lang w:eastAsia="es-CO"/>
        </w:rPr>
      </w:pPr>
      <w:r w:rsidRPr="001B311F">
        <w:rPr>
          <w:rFonts w:ascii="Arial" w:hAnsi="Arial" w:cs="Arial"/>
          <w:lang w:eastAsia="es-CO"/>
        </w:rPr>
        <w:t>El primer periodo de aplicación de este Marco Normativo fue en el año 2018.</w:t>
      </w:r>
    </w:p>
    <w:p w14:paraId="222E16B6" w14:textId="77777777" w:rsidR="00267145" w:rsidRPr="001B311F" w:rsidRDefault="00267145" w:rsidP="001B311F">
      <w:pPr>
        <w:ind w:right="-234"/>
        <w:jc w:val="both"/>
        <w:rPr>
          <w:rFonts w:ascii="Arial" w:hAnsi="Arial" w:cs="Arial"/>
          <w:lang w:eastAsia="es-CO"/>
        </w:rPr>
      </w:pPr>
    </w:p>
    <w:p w14:paraId="5D2A193C" w14:textId="77777777" w:rsidR="00267145" w:rsidRPr="001B311F" w:rsidRDefault="00267145" w:rsidP="001B311F">
      <w:pPr>
        <w:ind w:right="-234"/>
        <w:jc w:val="both"/>
        <w:rPr>
          <w:rFonts w:ascii="Arial" w:hAnsi="Arial" w:cs="Arial"/>
          <w:lang w:eastAsia="es-CO"/>
        </w:rPr>
      </w:pPr>
      <w:r w:rsidRPr="001B311F">
        <w:rPr>
          <w:rFonts w:ascii="Arial" w:hAnsi="Arial" w:cs="Arial"/>
          <w:lang w:eastAsia="es-CO"/>
        </w:rPr>
        <w:t>El Marco Conceptual para la Preparación y Presentación de Información Financiera y las Normas para el Reconocimiento, Medición, Revelación y Presentación de los Hechos Económicos se incorporan a este Marco Normativo mediante la Resolución 533 de 2015. El Marco Conceptual se modificó mediante la Resolución 438 de 2024 y las Normas mediante las resoluciones 436 y 438 de 2024.</w:t>
      </w:r>
    </w:p>
    <w:p w14:paraId="3316F9D3" w14:textId="77777777" w:rsidR="00267145" w:rsidRPr="001B311F" w:rsidRDefault="00267145" w:rsidP="001B311F">
      <w:pPr>
        <w:ind w:right="-234"/>
        <w:jc w:val="both"/>
        <w:rPr>
          <w:rFonts w:ascii="Arial" w:hAnsi="Arial" w:cs="Arial"/>
          <w:lang w:eastAsia="es-CO"/>
        </w:rPr>
      </w:pPr>
    </w:p>
    <w:p w14:paraId="137AE421" w14:textId="77777777" w:rsidR="00267145" w:rsidRPr="001B311F" w:rsidRDefault="00267145" w:rsidP="001B311F">
      <w:pPr>
        <w:ind w:right="-234"/>
        <w:jc w:val="both"/>
        <w:rPr>
          <w:rFonts w:ascii="Arial" w:hAnsi="Arial" w:cs="Arial"/>
          <w:lang w:eastAsia="es-CO"/>
        </w:rPr>
      </w:pPr>
      <w:r w:rsidRPr="001B311F">
        <w:rPr>
          <w:rFonts w:ascii="Arial" w:hAnsi="Arial" w:cs="Arial"/>
          <w:lang w:eastAsia="es-CO"/>
        </w:rPr>
        <w:t>El Catálogo General de Cuentas, incorporado a este Marco Normativo mediante la Resolución 620 de 2015, se ha modificado mediante las resoluciones 468 de 2016; 598 de 2017; 585 de 2018; 432 de 2019; 091 y 221 de 2020; 079, 081 y 218 de 2021; 062, 321, 340 y 343 de 2022;165, 417 y 441 de 2023; y 444, 436 y 451 de 2024, así como con resoluciones mediante las cuales se han expedido o modificado procedimientos contables.</w:t>
      </w:r>
    </w:p>
    <w:p w14:paraId="6C8E7C9C" w14:textId="77777777" w:rsidR="00267145" w:rsidRPr="001B311F" w:rsidRDefault="00267145" w:rsidP="001B311F">
      <w:pPr>
        <w:ind w:right="-234"/>
        <w:jc w:val="both"/>
        <w:rPr>
          <w:rFonts w:ascii="Arial" w:hAnsi="Arial" w:cs="Arial"/>
          <w:lang w:eastAsia="es-CO"/>
        </w:rPr>
      </w:pPr>
    </w:p>
    <w:p w14:paraId="314F5679" w14:textId="77777777" w:rsidR="00267145" w:rsidRPr="001B311F" w:rsidRDefault="00267145" w:rsidP="001B311F">
      <w:pPr>
        <w:ind w:right="-234"/>
        <w:jc w:val="both"/>
        <w:rPr>
          <w:rFonts w:ascii="Arial" w:hAnsi="Arial" w:cs="Arial"/>
          <w:lang w:eastAsia="es-CO"/>
        </w:rPr>
      </w:pPr>
      <w:r w:rsidRPr="001B311F">
        <w:rPr>
          <w:rFonts w:ascii="Arial" w:hAnsi="Arial" w:cs="Arial"/>
          <w:lang w:eastAsia="es-CO"/>
        </w:rPr>
        <w:t>Como parte de los desarrollos instrumentales que orientan la aplicación de las normas a casos particulares, se han incorporado los siguientes procedimientos contables:</w:t>
      </w:r>
    </w:p>
    <w:p w14:paraId="4BB525B7" w14:textId="77777777" w:rsidR="00267145" w:rsidRDefault="00267145" w:rsidP="00267145">
      <w:pPr>
        <w:jc w:val="both"/>
        <w:rPr>
          <w:rFonts w:cs="Tahoma"/>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6"/>
        <w:gridCol w:w="4076"/>
      </w:tblGrid>
      <w:tr w:rsidR="00267145" w14:paraId="251EC652" w14:textId="77777777" w:rsidTr="001B311F">
        <w:trPr>
          <w:trHeight w:val="62"/>
          <w:tblHeader/>
        </w:trPr>
        <w:tc>
          <w:tcPr>
            <w:tcW w:w="2954" w:type="pct"/>
            <w:vAlign w:val="center"/>
          </w:tcPr>
          <w:p w14:paraId="7F74BB70" w14:textId="77777777" w:rsidR="00267145" w:rsidRDefault="00267145" w:rsidP="003273AD">
            <w:pPr>
              <w:tabs>
                <w:tab w:val="left" w:pos="9072"/>
              </w:tabs>
              <w:ind w:right="7"/>
              <w:jc w:val="center"/>
              <w:rPr>
                <w:rFonts w:cs="Calibri"/>
                <w:b/>
                <w:sz w:val="20"/>
                <w:szCs w:val="20"/>
              </w:rPr>
            </w:pPr>
            <w:r>
              <w:rPr>
                <w:rFonts w:cs="Calibri"/>
                <w:b/>
                <w:sz w:val="20"/>
                <w:szCs w:val="20"/>
              </w:rPr>
              <w:t>Procedimiento</w:t>
            </w:r>
          </w:p>
        </w:tc>
        <w:tc>
          <w:tcPr>
            <w:tcW w:w="2046" w:type="pct"/>
            <w:vAlign w:val="center"/>
          </w:tcPr>
          <w:p w14:paraId="3C47AF59" w14:textId="77777777" w:rsidR="00267145" w:rsidRDefault="00267145" w:rsidP="003273AD">
            <w:pPr>
              <w:tabs>
                <w:tab w:val="left" w:pos="9072"/>
              </w:tabs>
              <w:ind w:right="7"/>
              <w:jc w:val="center"/>
              <w:rPr>
                <w:rFonts w:cs="Calibri"/>
                <w:b/>
                <w:sz w:val="20"/>
                <w:szCs w:val="20"/>
              </w:rPr>
            </w:pPr>
            <w:r>
              <w:rPr>
                <w:rFonts w:cs="Calibri"/>
                <w:b/>
                <w:sz w:val="20"/>
                <w:szCs w:val="20"/>
              </w:rPr>
              <w:t>Acto administrativo que incorpora o modifica</w:t>
            </w:r>
          </w:p>
        </w:tc>
      </w:tr>
      <w:tr w:rsidR="00267145" w14:paraId="100A93FB" w14:textId="77777777" w:rsidTr="001B311F">
        <w:trPr>
          <w:trHeight w:val="62"/>
        </w:trPr>
        <w:tc>
          <w:tcPr>
            <w:tcW w:w="2954" w:type="pct"/>
            <w:vAlign w:val="center"/>
          </w:tcPr>
          <w:p w14:paraId="28AAFB3A" w14:textId="77777777" w:rsidR="00267145" w:rsidRDefault="00267145" w:rsidP="003273AD">
            <w:pPr>
              <w:tabs>
                <w:tab w:val="left" w:pos="9072"/>
              </w:tabs>
              <w:ind w:right="7"/>
              <w:rPr>
                <w:rFonts w:cs="Calibri"/>
                <w:b/>
                <w:sz w:val="20"/>
                <w:szCs w:val="20"/>
              </w:rPr>
            </w:pPr>
            <w:r>
              <w:rPr>
                <w:rFonts w:cs="Calibri"/>
                <w:sz w:val="20"/>
                <w:szCs w:val="20"/>
              </w:rPr>
              <w:t>Movilización de activos</w:t>
            </w:r>
          </w:p>
        </w:tc>
        <w:tc>
          <w:tcPr>
            <w:tcW w:w="2046" w:type="pct"/>
            <w:vAlign w:val="center"/>
          </w:tcPr>
          <w:p w14:paraId="4274A5D4" w14:textId="77777777" w:rsidR="00267145" w:rsidRDefault="00267145" w:rsidP="003273AD">
            <w:pPr>
              <w:tabs>
                <w:tab w:val="left" w:pos="9072"/>
              </w:tabs>
              <w:ind w:right="7"/>
              <w:rPr>
                <w:rFonts w:cs="Calibri"/>
                <w:b/>
                <w:sz w:val="20"/>
                <w:szCs w:val="20"/>
              </w:rPr>
            </w:pPr>
            <w:r>
              <w:rPr>
                <w:rFonts w:cs="Calibri"/>
                <w:sz w:val="20"/>
                <w:szCs w:val="20"/>
              </w:rPr>
              <w:t>Resoluciones 469 de 2016, 064 de 2022 y 421 de 2023</w:t>
            </w:r>
          </w:p>
        </w:tc>
      </w:tr>
      <w:tr w:rsidR="00267145" w14:paraId="71AB5E07" w14:textId="77777777" w:rsidTr="001B311F">
        <w:tc>
          <w:tcPr>
            <w:tcW w:w="2954" w:type="pct"/>
            <w:vAlign w:val="center"/>
          </w:tcPr>
          <w:p w14:paraId="00DBAF1F" w14:textId="77777777" w:rsidR="00267145" w:rsidRDefault="00267145" w:rsidP="003273AD">
            <w:pPr>
              <w:tabs>
                <w:tab w:val="left" w:pos="9072"/>
              </w:tabs>
              <w:ind w:right="7"/>
              <w:rPr>
                <w:rFonts w:cs="Calibri"/>
                <w:sz w:val="20"/>
                <w:szCs w:val="20"/>
              </w:rPr>
            </w:pPr>
            <w:r>
              <w:rPr>
                <w:rFonts w:cs="Calibri"/>
                <w:sz w:val="20"/>
                <w:szCs w:val="20"/>
              </w:rPr>
              <w:t>Recursos del Sistema General de Regalías</w:t>
            </w:r>
          </w:p>
        </w:tc>
        <w:tc>
          <w:tcPr>
            <w:tcW w:w="2046" w:type="pct"/>
            <w:vAlign w:val="center"/>
          </w:tcPr>
          <w:p w14:paraId="06D9EED0" w14:textId="77777777" w:rsidR="00267145" w:rsidRDefault="00267145" w:rsidP="003273AD">
            <w:pPr>
              <w:tabs>
                <w:tab w:val="left" w:pos="9072"/>
              </w:tabs>
              <w:ind w:right="7"/>
              <w:rPr>
                <w:rFonts w:cs="Calibri"/>
                <w:sz w:val="20"/>
                <w:szCs w:val="20"/>
              </w:rPr>
            </w:pPr>
            <w:r>
              <w:rPr>
                <w:rFonts w:cs="Calibri"/>
                <w:sz w:val="20"/>
                <w:szCs w:val="20"/>
              </w:rPr>
              <w:t>Resoluciones 470 de 2016, 191 de 2020, 064 de 2022 y 421 de 2023</w:t>
            </w:r>
          </w:p>
        </w:tc>
      </w:tr>
      <w:tr w:rsidR="00267145" w14:paraId="23333B48" w14:textId="77777777" w:rsidTr="001B311F">
        <w:tc>
          <w:tcPr>
            <w:tcW w:w="2954" w:type="pct"/>
            <w:vAlign w:val="center"/>
          </w:tcPr>
          <w:p w14:paraId="56432E49" w14:textId="77777777" w:rsidR="00267145" w:rsidRDefault="00267145" w:rsidP="003273AD">
            <w:pPr>
              <w:tabs>
                <w:tab w:val="left" w:pos="9072"/>
              </w:tabs>
              <w:ind w:right="7"/>
              <w:rPr>
                <w:rFonts w:cs="Calibri"/>
                <w:sz w:val="20"/>
                <w:szCs w:val="20"/>
              </w:rPr>
            </w:pPr>
            <w:r>
              <w:rPr>
                <w:rFonts w:cs="Calibri"/>
                <w:sz w:val="20"/>
                <w:szCs w:val="20"/>
              </w:rPr>
              <w:t>Operaciones interinstitucionales</w:t>
            </w:r>
          </w:p>
        </w:tc>
        <w:tc>
          <w:tcPr>
            <w:tcW w:w="2046" w:type="pct"/>
            <w:vAlign w:val="center"/>
          </w:tcPr>
          <w:p w14:paraId="6A5392CA" w14:textId="77777777" w:rsidR="00267145" w:rsidRDefault="00267145" w:rsidP="003273AD">
            <w:pPr>
              <w:tabs>
                <w:tab w:val="left" w:pos="9072"/>
              </w:tabs>
              <w:ind w:right="7"/>
              <w:rPr>
                <w:rFonts w:cs="Calibri"/>
                <w:sz w:val="20"/>
                <w:szCs w:val="20"/>
              </w:rPr>
            </w:pPr>
            <w:r>
              <w:rPr>
                <w:rFonts w:cs="Calibri"/>
                <w:sz w:val="20"/>
                <w:szCs w:val="20"/>
              </w:rPr>
              <w:t>Resoluciones 006 de 2017, 064 de 2022 y 421 de 2023</w:t>
            </w:r>
          </w:p>
        </w:tc>
      </w:tr>
      <w:tr w:rsidR="00267145" w14:paraId="3F3412BB" w14:textId="77777777" w:rsidTr="001B311F">
        <w:tc>
          <w:tcPr>
            <w:tcW w:w="2954" w:type="pct"/>
            <w:vAlign w:val="center"/>
          </w:tcPr>
          <w:p w14:paraId="7F760235" w14:textId="77777777" w:rsidR="00267145" w:rsidRDefault="00267145" w:rsidP="003273AD">
            <w:pPr>
              <w:tabs>
                <w:tab w:val="left" w:pos="9072"/>
              </w:tabs>
              <w:ind w:right="7"/>
              <w:rPr>
                <w:rFonts w:cs="Calibri"/>
                <w:sz w:val="20"/>
                <w:szCs w:val="20"/>
              </w:rPr>
            </w:pPr>
            <w:r>
              <w:rPr>
                <w:rFonts w:cs="Calibri"/>
                <w:sz w:val="20"/>
                <w:szCs w:val="20"/>
              </w:rPr>
              <w:t>Procesos judiciales, arbitrajes, conciliaciones extrajudiciales y embargos sobre cuentas bancarias</w:t>
            </w:r>
          </w:p>
        </w:tc>
        <w:tc>
          <w:tcPr>
            <w:tcW w:w="2046" w:type="pct"/>
            <w:vAlign w:val="center"/>
          </w:tcPr>
          <w:p w14:paraId="6D3FAF46" w14:textId="77777777" w:rsidR="00267145" w:rsidRDefault="00267145" w:rsidP="003273AD">
            <w:pPr>
              <w:tabs>
                <w:tab w:val="left" w:pos="9072"/>
              </w:tabs>
              <w:ind w:right="7"/>
              <w:rPr>
                <w:rFonts w:cs="Calibri"/>
                <w:sz w:val="20"/>
                <w:szCs w:val="20"/>
              </w:rPr>
            </w:pPr>
            <w:r>
              <w:rPr>
                <w:rFonts w:cs="Calibri"/>
                <w:sz w:val="20"/>
                <w:szCs w:val="20"/>
              </w:rPr>
              <w:t>Resoluciones 116 de 2017, 080 y 238 de 2021, 064 de 2022, y 421 de 2023</w:t>
            </w:r>
          </w:p>
        </w:tc>
      </w:tr>
      <w:tr w:rsidR="00267145" w14:paraId="57554E55" w14:textId="77777777" w:rsidTr="001B311F">
        <w:tc>
          <w:tcPr>
            <w:tcW w:w="2954" w:type="pct"/>
            <w:vAlign w:val="center"/>
          </w:tcPr>
          <w:p w14:paraId="4BBF64FA" w14:textId="77777777" w:rsidR="00267145" w:rsidRDefault="00267145" w:rsidP="003273AD">
            <w:pPr>
              <w:tabs>
                <w:tab w:val="left" w:pos="9072"/>
              </w:tabs>
              <w:ind w:right="7"/>
              <w:rPr>
                <w:rFonts w:cs="Calibri"/>
                <w:sz w:val="20"/>
                <w:szCs w:val="20"/>
              </w:rPr>
            </w:pPr>
            <w:r>
              <w:rPr>
                <w:rFonts w:cs="Calibri"/>
                <w:sz w:val="20"/>
                <w:szCs w:val="20"/>
              </w:rPr>
              <w:t>Recursos del Sistema General de Seguridad Social en Salud</w:t>
            </w:r>
          </w:p>
        </w:tc>
        <w:tc>
          <w:tcPr>
            <w:tcW w:w="2046" w:type="pct"/>
            <w:vAlign w:val="center"/>
          </w:tcPr>
          <w:p w14:paraId="0891AAE2" w14:textId="77777777" w:rsidR="00267145" w:rsidRDefault="00267145" w:rsidP="003273AD">
            <w:pPr>
              <w:tabs>
                <w:tab w:val="left" w:pos="9072"/>
              </w:tabs>
              <w:ind w:right="7"/>
              <w:rPr>
                <w:rFonts w:cs="Calibri"/>
                <w:sz w:val="20"/>
                <w:szCs w:val="20"/>
              </w:rPr>
            </w:pPr>
            <w:r>
              <w:rPr>
                <w:rFonts w:cs="Calibri"/>
                <w:sz w:val="20"/>
                <w:szCs w:val="20"/>
              </w:rPr>
              <w:t>Resoluciones 135 de 2018, 177 de 2020, 064 y 322 de 2022, y 421 de 2023</w:t>
            </w:r>
          </w:p>
        </w:tc>
      </w:tr>
      <w:tr w:rsidR="00267145" w14:paraId="20418F60" w14:textId="77777777" w:rsidTr="001B311F">
        <w:trPr>
          <w:trHeight w:val="45"/>
        </w:trPr>
        <w:tc>
          <w:tcPr>
            <w:tcW w:w="2954" w:type="pct"/>
            <w:vAlign w:val="center"/>
          </w:tcPr>
          <w:p w14:paraId="7EAAEF7D" w14:textId="77777777" w:rsidR="00267145" w:rsidRDefault="00267145" w:rsidP="003273AD">
            <w:pPr>
              <w:tabs>
                <w:tab w:val="left" w:pos="9072"/>
              </w:tabs>
              <w:ind w:right="7"/>
              <w:rPr>
                <w:rFonts w:cs="Calibri"/>
                <w:sz w:val="20"/>
                <w:szCs w:val="20"/>
              </w:rPr>
            </w:pPr>
            <w:r>
              <w:rPr>
                <w:rFonts w:cs="Calibri"/>
                <w:sz w:val="20"/>
                <w:szCs w:val="20"/>
              </w:rPr>
              <w:t>Recursos entregados en administración</w:t>
            </w:r>
          </w:p>
        </w:tc>
        <w:tc>
          <w:tcPr>
            <w:tcW w:w="2046" w:type="pct"/>
            <w:vAlign w:val="center"/>
          </w:tcPr>
          <w:p w14:paraId="7EB27BBA" w14:textId="77777777" w:rsidR="00267145" w:rsidRDefault="00267145" w:rsidP="003273AD">
            <w:pPr>
              <w:tabs>
                <w:tab w:val="left" w:pos="9072"/>
              </w:tabs>
              <w:ind w:right="7"/>
              <w:rPr>
                <w:rFonts w:cs="Calibri"/>
                <w:sz w:val="20"/>
                <w:szCs w:val="20"/>
              </w:rPr>
            </w:pPr>
            <w:r>
              <w:rPr>
                <w:rFonts w:cs="Calibri"/>
                <w:sz w:val="20"/>
                <w:szCs w:val="20"/>
              </w:rPr>
              <w:t>Resoluciones 386 de 2018, 090 de 2020, 064 de 2022 y 421 de 2023</w:t>
            </w:r>
          </w:p>
        </w:tc>
      </w:tr>
      <w:tr w:rsidR="00267145" w14:paraId="2CDAA0FB" w14:textId="77777777" w:rsidTr="001B311F">
        <w:tc>
          <w:tcPr>
            <w:tcW w:w="2954" w:type="pct"/>
            <w:vAlign w:val="center"/>
          </w:tcPr>
          <w:p w14:paraId="0E2612A5" w14:textId="77777777" w:rsidR="00267145" w:rsidRDefault="00267145" w:rsidP="003273AD">
            <w:pPr>
              <w:tabs>
                <w:tab w:val="left" w:pos="9072"/>
              </w:tabs>
              <w:ind w:right="7"/>
              <w:rPr>
                <w:rFonts w:cs="Calibri"/>
                <w:sz w:val="20"/>
                <w:szCs w:val="20"/>
              </w:rPr>
            </w:pPr>
            <w:r>
              <w:rPr>
                <w:rFonts w:cs="Calibri"/>
                <w:sz w:val="20"/>
                <w:szCs w:val="20"/>
              </w:rPr>
              <w:t>Contabilidad del Fondo Nacional de Pensiones de las Entidades Territoriales</w:t>
            </w:r>
          </w:p>
        </w:tc>
        <w:tc>
          <w:tcPr>
            <w:tcW w:w="2046" w:type="pct"/>
            <w:vAlign w:val="center"/>
          </w:tcPr>
          <w:p w14:paraId="65A60354" w14:textId="77777777" w:rsidR="00267145" w:rsidRDefault="00267145" w:rsidP="003273AD">
            <w:pPr>
              <w:tabs>
                <w:tab w:val="left" w:pos="9072"/>
              </w:tabs>
              <w:ind w:right="7"/>
              <w:rPr>
                <w:rFonts w:cs="Calibri"/>
                <w:sz w:val="20"/>
                <w:szCs w:val="20"/>
              </w:rPr>
            </w:pPr>
            <w:r>
              <w:rPr>
                <w:rFonts w:cs="Calibri"/>
                <w:sz w:val="20"/>
                <w:szCs w:val="20"/>
              </w:rPr>
              <w:t>Resolución 428 de 2018</w:t>
            </w:r>
          </w:p>
        </w:tc>
      </w:tr>
      <w:tr w:rsidR="00267145" w14:paraId="27D84BB0" w14:textId="77777777" w:rsidTr="001B311F">
        <w:tc>
          <w:tcPr>
            <w:tcW w:w="2954" w:type="pct"/>
            <w:vAlign w:val="center"/>
          </w:tcPr>
          <w:p w14:paraId="429418EC" w14:textId="77777777" w:rsidR="00267145" w:rsidRDefault="00267145" w:rsidP="003273AD">
            <w:pPr>
              <w:tabs>
                <w:tab w:val="left" w:pos="9072"/>
              </w:tabs>
              <w:ind w:right="7"/>
              <w:rPr>
                <w:rFonts w:cs="Calibri"/>
                <w:sz w:val="20"/>
                <w:szCs w:val="20"/>
              </w:rPr>
            </w:pPr>
            <w:r>
              <w:rPr>
                <w:rFonts w:cs="Calibri"/>
                <w:sz w:val="20"/>
                <w:szCs w:val="20"/>
              </w:rPr>
              <w:t>Porcentaje ambiental, sobretasa ambiental y porcentaje de la tasa retributiva o compensatoria</w:t>
            </w:r>
          </w:p>
        </w:tc>
        <w:tc>
          <w:tcPr>
            <w:tcW w:w="2046" w:type="pct"/>
            <w:vAlign w:val="center"/>
          </w:tcPr>
          <w:p w14:paraId="468CEFCC" w14:textId="77777777" w:rsidR="00267145" w:rsidRDefault="00267145" w:rsidP="003273AD">
            <w:pPr>
              <w:tabs>
                <w:tab w:val="left" w:pos="9072"/>
              </w:tabs>
              <w:ind w:right="7"/>
              <w:rPr>
                <w:rFonts w:cs="Calibri"/>
                <w:sz w:val="20"/>
                <w:szCs w:val="20"/>
              </w:rPr>
            </w:pPr>
            <w:r>
              <w:rPr>
                <w:rFonts w:cs="Calibri"/>
                <w:sz w:val="20"/>
                <w:szCs w:val="20"/>
              </w:rPr>
              <w:t>Resoluciones 593 de 2018, 421 de 2023 y 089 de 2024</w:t>
            </w:r>
          </w:p>
        </w:tc>
      </w:tr>
      <w:tr w:rsidR="00267145" w14:paraId="058A90D2" w14:textId="77777777" w:rsidTr="001B311F">
        <w:tc>
          <w:tcPr>
            <w:tcW w:w="2954" w:type="pct"/>
            <w:vAlign w:val="center"/>
          </w:tcPr>
          <w:p w14:paraId="2FDC6BF7" w14:textId="77777777" w:rsidR="00267145" w:rsidRDefault="00267145" w:rsidP="003273AD">
            <w:pPr>
              <w:tabs>
                <w:tab w:val="left" w:pos="9072"/>
              </w:tabs>
              <w:ind w:right="7"/>
              <w:rPr>
                <w:rFonts w:cs="Calibri"/>
                <w:sz w:val="20"/>
                <w:szCs w:val="20"/>
              </w:rPr>
            </w:pPr>
            <w:r>
              <w:rPr>
                <w:rFonts w:cs="Calibri"/>
                <w:sz w:val="20"/>
                <w:szCs w:val="20"/>
              </w:rPr>
              <w:t>Acuerdos de concesión de infraestructura de transporte</w:t>
            </w:r>
          </w:p>
        </w:tc>
        <w:tc>
          <w:tcPr>
            <w:tcW w:w="2046" w:type="pct"/>
            <w:vAlign w:val="center"/>
          </w:tcPr>
          <w:p w14:paraId="3626B215" w14:textId="77777777" w:rsidR="00267145" w:rsidRDefault="00267145" w:rsidP="003273AD">
            <w:pPr>
              <w:tabs>
                <w:tab w:val="left" w:pos="9072"/>
              </w:tabs>
              <w:ind w:right="7"/>
              <w:rPr>
                <w:rFonts w:cs="Calibri"/>
                <w:sz w:val="20"/>
                <w:szCs w:val="20"/>
              </w:rPr>
            </w:pPr>
            <w:r>
              <w:rPr>
                <w:rFonts w:cs="Calibri"/>
                <w:sz w:val="20"/>
                <w:szCs w:val="20"/>
              </w:rPr>
              <w:t>Resoluciones 602 de 2018 y 421 de 2023</w:t>
            </w:r>
          </w:p>
        </w:tc>
      </w:tr>
      <w:tr w:rsidR="00267145" w14:paraId="571D383C" w14:textId="77777777" w:rsidTr="001B311F">
        <w:trPr>
          <w:trHeight w:val="204"/>
        </w:trPr>
        <w:tc>
          <w:tcPr>
            <w:tcW w:w="2954" w:type="pct"/>
            <w:vAlign w:val="center"/>
          </w:tcPr>
          <w:p w14:paraId="2FE27CD1" w14:textId="77777777" w:rsidR="00267145" w:rsidRDefault="00267145" w:rsidP="003273AD">
            <w:pPr>
              <w:tabs>
                <w:tab w:val="left" w:pos="9072"/>
              </w:tabs>
              <w:ind w:right="7"/>
              <w:rPr>
                <w:rFonts w:cs="Calibri"/>
                <w:sz w:val="20"/>
                <w:szCs w:val="20"/>
              </w:rPr>
            </w:pPr>
            <w:r>
              <w:rPr>
                <w:rFonts w:cs="Calibri"/>
                <w:sz w:val="20"/>
                <w:szCs w:val="20"/>
              </w:rPr>
              <w:t>Fondo de Estabilización de Precios de los Combustibles</w:t>
            </w:r>
          </w:p>
        </w:tc>
        <w:tc>
          <w:tcPr>
            <w:tcW w:w="2046" w:type="pct"/>
            <w:vAlign w:val="center"/>
          </w:tcPr>
          <w:p w14:paraId="1EDB1E11" w14:textId="77777777" w:rsidR="00267145" w:rsidRDefault="00267145" w:rsidP="003273AD">
            <w:pPr>
              <w:tabs>
                <w:tab w:val="left" w:pos="9072"/>
              </w:tabs>
              <w:ind w:right="7"/>
              <w:rPr>
                <w:rFonts w:cs="Calibri"/>
                <w:sz w:val="20"/>
                <w:szCs w:val="20"/>
              </w:rPr>
            </w:pPr>
            <w:r>
              <w:rPr>
                <w:rFonts w:cs="Calibri"/>
                <w:sz w:val="20"/>
                <w:szCs w:val="20"/>
              </w:rPr>
              <w:t>Resoluciones 048 de 2019, 217 de 2021, 064 de 2022 y 421 de 2023</w:t>
            </w:r>
          </w:p>
        </w:tc>
      </w:tr>
      <w:tr w:rsidR="00267145" w14:paraId="5DBC2225" w14:textId="77777777" w:rsidTr="001B311F">
        <w:tc>
          <w:tcPr>
            <w:tcW w:w="2954" w:type="pct"/>
            <w:vAlign w:val="center"/>
          </w:tcPr>
          <w:p w14:paraId="17032945" w14:textId="77777777" w:rsidR="00267145" w:rsidRDefault="00267145" w:rsidP="003273AD">
            <w:pPr>
              <w:tabs>
                <w:tab w:val="left" w:pos="9072"/>
              </w:tabs>
              <w:ind w:right="7"/>
              <w:rPr>
                <w:rFonts w:cs="Calibri"/>
                <w:sz w:val="20"/>
                <w:szCs w:val="20"/>
              </w:rPr>
            </w:pPr>
            <w:r>
              <w:rPr>
                <w:rFonts w:cs="Calibri"/>
                <w:sz w:val="20"/>
                <w:szCs w:val="20"/>
              </w:rPr>
              <w:t>Garantías financieras otorgadas</w:t>
            </w:r>
          </w:p>
        </w:tc>
        <w:tc>
          <w:tcPr>
            <w:tcW w:w="2046" w:type="pct"/>
            <w:vAlign w:val="center"/>
          </w:tcPr>
          <w:p w14:paraId="6F52FCE0" w14:textId="77777777" w:rsidR="00267145" w:rsidRDefault="00267145" w:rsidP="003273AD">
            <w:pPr>
              <w:tabs>
                <w:tab w:val="left" w:pos="9072"/>
              </w:tabs>
              <w:ind w:right="7"/>
              <w:rPr>
                <w:rFonts w:cs="Calibri"/>
                <w:sz w:val="20"/>
                <w:szCs w:val="20"/>
              </w:rPr>
            </w:pPr>
            <w:r>
              <w:rPr>
                <w:rFonts w:cs="Calibri"/>
                <w:sz w:val="20"/>
                <w:szCs w:val="20"/>
              </w:rPr>
              <w:t>Resoluciones 252 de 2019,064 de 2022 y 421 de 2023</w:t>
            </w:r>
          </w:p>
        </w:tc>
      </w:tr>
      <w:tr w:rsidR="00267145" w14:paraId="3C208BDC" w14:textId="77777777" w:rsidTr="001B311F">
        <w:tc>
          <w:tcPr>
            <w:tcW w:w="2954" w:type="pct"/>
            <w:vAlign w:val="center"/>
          </w:tcPr>
          <w:p w14:paraId="1576E08D" w14:textId="77777777" w:rsidR="00267145" w:rsidRDefault="00267145" w:rsidP="003273AD">
            <w:pPr>
              <w:tabs>
                <w:tab w:val="left" w:pos="9072"/>
              </w:tabs>
              <w:ind w:right="7"/>
              <w:rPr>
                <w:rFonts w:cs="Calibri"/>
                <w:sz w:val="20"/>
                <w:szCs w:val="20"/>
              </w:rPr>
            </w:pPr>
            <w:r>
              <w:rPr>
                <w:rFonts w:cs="Calibri"/>
                <w:sz w:val="20"/>
                <w:szCs w:val="20"/>
              </w:rPr>
              <w:t>Planes departamentales de agua y saneamiento básico</w:t>
            </w:r>
          </w:p>
        </w:tc>
        <w:tc>
          <w:tcPr>
            <w:tcW w:w="2046" w:type="pct"/>
            <w:vAlign w:val="center"/>
          </w:tcPr>
          <w:p w14:paraId="0C914569" w14:textId="77777777" w:rsidR="00267145" w:rsidRDefault="00267145" w:rsidP="003273AD">
            <w:pPr>
              <w:tabs>
                <w:tab w:val="left" w:pos="9072"/>
              </w:tabs>
              <w:ind w:right="7"/>
              <w:rPr>
                <w:rFonts w:cs="Calibri"/>
                <w:sz w:val="20"/>
                <w:szCs w:val="20"/>
              </w:rPr>
            </w:pPr>
            <w:r>
              <w:rPr>
                <w:rFonts w:cs="Calibri"/>
                <w:sz w:val="20"/>
                <w:szCs w:val="20"/>
              </w:rPr>
              <w:t>Resoluciones 287 de 2019, 064 de 2022 y 421 de 2023</w:t>
            </w:r>
          </w:p>
        </w:tc>
      </w:tr>
      <w:tr w:rsidR="00267145" w14:paraId="4D0FF51F" w14:textId="77777777" w:rsidTr="001B311F">
        <w:tc>
          <w:tcPr>
            <w:tcW w:w="2954" w:type="pct"/>
            <w:vAlign w:val="center"/>
          </w:tcPr>
          <w:p w14:paraId="47A25209" w14:textId="77777777" w:rsidR="00267145" w:rsidRDefault="00267145" w:rsidP="003273AD">
            <w:pPr>
              <w:tabs>
                <w:tab w:val="left" w:pos="9072"/>
              </w:tabs>
              <w:ind w:right="7"/>
              <w:rPr>
                <w:rFonts w:cs="Calibri"/>
                <w:sz w:val="20"/>
                <w:szCs w:val="20"/>
              </w:rPr>
            </w:pPr>
            <w:r>
              <w:rPr>
                <w:rFonts w:cs="Calibri"/>
                <w:sz w:val="20"/>
                <w:szCs w:val="20"/>
              </w:rPr>
              <w:t>Pasivo pensional y recursos que lo financian</w:t>
            </w:r>
          </w:p>
        </w:tc>
        <w:tc>
          <w:tcPr>
            <w:tcW w:w="2046" w:type="pct"/>
            <w:vAlign w:val="center"/>
          </w:tcPr>
          <w:p w14:paraId="3931F850" w14:textId="77777777" w:rsidR="00267145" w:rsidRDefault="00267145" w:rsidP="003273AD">
            <w:pPr>
              <w:tabs>
                <w:tab w:val="left" w:pos="9072"/>
              </w:tabs>
              <w:ind w:right="7"/>
              <w:rPr>
                <w:rFonts w:cs="Calibri"/>
                <w:sz w:val="20"/>
                <w:szCs w:val="20"/>
              </w:rPr>
            </w:pPr>
            <w:r>
              <w:rPr>
                <w:rFonts w:cs="Calibri"/>
                <w:sz w:val="20"/>
                <w:szCs w:val="20"/>
              </w:rPr>
              <w:t>Resoluciones 320 de 2019,</w:t>
            </w:r>
            <w:r>
              <w:rPr>
                <w:rFonts w:cs="Arial"/>
                <w:sz w:val="20"/>
                <w:szCs w:val="20"/>
              </w:rPr>
              <w:t xml:space="preserve"> </w:t>
            </w:r>
            <w:r>
              <w:rPr>
                <w:rFonts w:cs="Calibri"/>
                <w:sz w:val="20"/>
                <w:szCs w:val="20"/>
              </w:rPr>
              <w:t>195 de 2020, 064 de 2022 y 421 de 2023</w:t>
            </w:r>
          </w:p>
        </w:tc>
      </w:tr>
      <w:tr w:rsidR="00267145" w14:paraId="18445EF2" w14:textId="77777777" w:rsidTr="001B311F">
        <w:tc>
          <w:tcPr>
            <w:tcW w:w="2954" w:type="pct"/>
            <w:vAlign w:val="center"/>
          </w:tcPr>
          <w:p w14:paraId="783B7ADA" w14:textId="77777777" w:rsidR="00267145" w:rsidRDefault="00267145" w:rsidP="003273AD">
            <w:pPr>
              <w:tabs>
                <w:tab w:val="left" w:pos="9072"/>
              </w:tabs>
              <w:ind w:right="7"/>
              <w:rPr>
                <w:rFonts w:cs="Calibri"/>
                <w:sz w:val="20"/>
                <w:szCs w:val="20"/>
              </w:rPr>
            </w:pPr>
            <w:r>
              <w:rPr>
                <w:rFonts w:cs="Calibri"/>
                <w:sz w:val="20"/>
                <w:szCs w:val="20"/>
              </w:rPr>
              <w:t>Combinación y el traslado de operaciones</w:t>
            </w:r>
          </w:p>
        </w:tc>
        <w:tc>
          <w:tcPr>
            <w:tcW w:w="2046" w:type="pct"/>
            <w:vAlign w:val="center"/>
          </w:tcPr>
          <w:p w14:paraId="1CE5002C" w14:textId="77777777" w:rsidR="00267145" w:rsidRDefault="00267145" w:rsidP="003273AD">
            <w:pPr>
              <w:tabs>
                <w:tab w:val="left" w:pos="9072"/>
              </w:tabs>
              <w:ind w:right="7"/>
              <w:rPr>
                <w:rFonts w:cs="Calibri"/>
                <w:sz w:val="20"/>
                <w:szCs w:val="20"/>
              </w:rPr>
            </w:pPr>
            <w:r>
              <w:rPr>
                <w:rFonts w:cs="Calibri"/>
                <w:sz w:val="20"/>
                <w:szCs w:val="20"/>
              </w:rPr>
              <w:t>Resolución 057 de 2020</w:t>
            </w:r>
          </w:p>
        </w:tc>
      </w:tr>
      <w:tr w:rsidR="00267145" w14:paraId="3E3A59A0" w14:textId="77777777" w:rsidTr="001B311F">
        <w:tc>
          <w:tcPr>
            <w:tcW w:w="2954" w:type="pct"/>
            <w:vAlign w:val="center"/>
          </w:tcPr>
          <w:p w14:paraId="11FB1DEB" w14:textId="77777777" w:rsidR="00267145" w:rsidRDefault="00267145" w:rsidP="003273AD">
            <w:pPr>
              <w:tabs>
                <w:tab w:val="left" w:pos="9072"/>
              </w:tabs>
              <w:ind w:right="7"/>
              <w:rPr>
                <w:rFonts w:cs="Calibri"/>
                <w:sz w:val="20"/>
                <w:szCs w:val="20"/>
              </w:rPr>
            </w:pPr>
            <w:r>
              <w:rPr>
                <w:rFonts w:cs="Calibri"/>
                <w:sz w:val="20"/>
                <w:szCs w:val="20"/>
              </w:rPr>
              <w:t>Recursos que el Fondo Único de Tecnologías de la Información y las Comunicaciones transfiere a los operadores públicos del servicio de televisión</w:t>
            </w:r>
          </w:p>
        </w:tc>
        <w:tc>
          <w:tcPr>
            <w:tcW w:w="2046" w:type="pct"/>
            <w:vAlign w:val="center"/>
          </w:tcPr>
          <w:p w14:paraId="69B77618" w14:textId="77777777" w:rsidR="00267145" w:rsidRDefault="00267145" w:rsidP="003273AD">
            <w:pPr>
              <w:tabs>
                <w:tab w:val="left" w:pos="9072"/>
              </w:tabs>
              <w:ind w:right="7"/>
              <w:rPr>
                <w:rFonts w:cs="Calibri"/>
                <w:sz w:val="20"/>
                <w:szCs w:val="20"/>
              </w:rPr>
            </w:pPr>
            <w:r>
              <w:rPr>
                <w:rFonts w:cs="Calibri"/>
                <w:sz w:val="20"/>
                <w:szCs w:val="20"/>
              </w:rPr>
              <w:t>Resoluciones 169 de 2020 y 421 de 2023</w:t>
            </w:r>
          </w:p>
        </w:tc>
      </w:tr>
      <w:tr w:rsidR="00267145" w14:paraId="452F6EEE" w14:textId="77777777" w:rsidTr="001B311F">
        <w:tc>
          <w:tcPr>
            <w:tcW w:w="2954" w:type="pct"/>
            <w:vAlign w:val="center"/>
          </w:tcPr>
          <w:p w14:paraId="5F8D1FF9" w14:textId="77777777" w:rsidR="00267145" w:rsidRDefault="00267145" w:rsidP="003273AD">
            <w:pPr>
              <w:tabs>
                <w:tab w:val="left" w:pos="9072"/>
              </w:tabs>
              <w:ind w:right="7"/>
              <w:rPr>
                <w:rFonts w:cs="Calibri"/>
                <w:sz w:val="20"/>
                <w:szCs w:val="20"/>
              </w:rPr>
            </w:pPr>
            <w:r>
              <w:rPr>
                <w:rFonts w:cs="Calibri"/>
                <w:sz w:val="20"/>
                <w:szCs w:val="20"/>
              </w:rPr>
              <w:lastRenderedPageBreak/>
              <w:t>Sistemas integrados de transporte masivo de pasajeros gestionados a través de entes gestores</w:t>
            </w:r>
          </w:p>
        </w:tc>
        <w:tc>
          <w:tcPr>
            <w:tcW w:w="2046" w:type="pct"/>
            <w:vAlign w:val="center"/>
          </w:tcPr>
          <w:p w14:paraId="44106CEC" w14:textId="77777777" w:rsidR="00267145" w:rsidRDefault="00267145" w:rsidP="003273AD">
            <w:pPr>
              <w:tabs>
                <w:tab w:val="left" w:pos="9072"/>
              </w:tabs>
              <w:ind w:right="7"/>
              <w:rPr>
                <w:rFonts w:cs="Calibri"/>
                <w:sz w:val="20"/>
                <w:szCs w:val="20"/>
              </w:rPr>
            </w:pPr>
            <w:r>
              <w:rPr>
                <w:rFonts w:cs="Calibri"/>
                <w:sz w:val="20"/>
                <w:szCs w:val="20"/>
              </w:rPr>
              <w:t>Resoluciones 226 de 2020 y 064 de 2022</w:t>
            </w:r>
          </w:p>
        </w:tc>
      </w:tr>
      <w:tr w:rsidR="00267145" w14:paraId="1C12E8E7" w14:textId="77777777" w:rsidTr="001B311F">
        <w:tc>
          <w:tcPr>
            <w:tcW w:w="2954" w:type="pct"/>
            <w:vAlign w:val="center"/>
          </w:tcPr>
          <w:p w14:paraId="47BF6818" w14:textId="77777777" w:rsidR="00267145" w:rsidRDefault="00267145" w:rsidP="003273AD">
            <w:pPr>
              <w:tabs>
                <w:tab w:val="left" w:pos="9072"/>
              </w:tabs>
              <w:ind w:right="7"/>
              <w:rPr>
                <w:rFonts w:cs="Calibri"/>
                <w:sz w:val="20"/>
                <w:szCs w:val="20"/>
              </w:rPr>
            </w:pPr>
            <w:r>
              <w:rPr>
                <w:rFonts w:cs="Calibri"/>
                <w:sz w:val="20"/>
                <w:szCs w:val="20"/>
              </w:rPr>
              <w:t>Reintegro y la devolución de los saldos disponibles en patrimonios autónomos y otros recursos entregados en administración, que se constituyen con recursos de entidades ejecutoras del presupuesto general de la nación</w:t>
            </w:r>
          </w:p>
        </w:tc>
        <w:tc>
          <w:tcPr>
            <w:tcW w:w="2046" w:type="pct"/>
            <w:vAlign w:val="center"/>
          </w:tcPr>
          <w:p w14:paraId="15092D13" w14:textId="77777777" w:rsidR="00267145" w:rsidRDefault="00267145" w:rsidP="003273AD">
            <w:pPr>
              <w:tabs>
                <w:tab w:val="left" w:pos="9072"/>
              </w:tabs>
              <w:ind w:right="7"/>
              <w:rPr>
                <w:rFonts w:cs="Calibri"/>
                <w:sz w:val="20"/>
                <w:szCs w:val="20"/>
              </w:rPr>
            </w:pPr>
            <w:r>
              <w:rPr>
                <w:rFonts w:cs="Calibri"/>
                <w:sz w:val="20"/>
                <w:szCs w:val="20"/>
              </w:rPr>
              <w:t>Resolución 065 de 2022</w:t>
            </w:r>
          </w:p>
        </w:tc>
      </w:tr>
    </w:tbl>
    <w:p w14:paraId="1C7DA5D6" w14:textId="77777777" w:rsidR="00267145" w:rsidRDefault="00267145" w:rsidP="00267145">
      <w:pPr>
        <w:jc w:val="both"/>
        <w:rPr>
          <w:rFonts w:cs="Tahoma"/>
          <w:lang w:eastAsia="es-CO"/>
        </w:rPr>
      </w:pPr>
    </w:p>
    <w:p w14:paraId="1B4FB3E6" w14:textId="5BB53806" w:rsidR="00267145" w:rsidRPr="001B311F" w:rsidRDefault="00267145" w:rsidP="001B311F">
      <w:pPr>
        <w:ind w:right="-234"/>
        <w:jc w:val="both"/>
        <w:rPr>
          <w:rFonts w:ascii="Arial" w:hAnsi="Arial" w:cs="Arial"/>
          <w:lang w:eastAsia="es-CO"/>
        </w:rPr>
      </w:pPr>
      <w:r w:rsidRPr="001B311F">
        <w:rPr>
          <w:rFonts w:ascii="Arial" w:hAnsi="Arial" w:cs="Arial"/>
          <w:lang w:eastAsia="es-CO"/>
        </w:rPr>
        <w:t>Así mismo, se han publicado las siguientes guías de aplicación: Depreciación por componentes y sustitución de componentes, Inversiones de administración de liquidez en títulos de deuda, Transferencias no monetarias y Deterioro colectivo y baja en cuentas de las cuentas por cobrar.</w:t>
      </w:r>
    </w:p>
    <w:p w14:paraId="5233243B" w14:textId="0F01D469" w:rsidR="00267145" w:rsidRPr="001B311F" w:rsidRDefault="00267145" w:rsidP="001B311F">
      <w:pPr>
        <w:ind w:right="-234"/>
        <w:jc w:val="both"/>
        <w:rPr>
          <w:rFonts w:ascii="Arial" w:hAnsi="Arial" w:cs="Arial"/>
          <w:lang w:eastAsia="es-CO"/>
        </w:rPr>
      </w:pPr>
    </w:p>
    <w:p w14:paraId="26EE36CB" w14:textId="60C61669" w:rsidR="00267145" w:rsidRPr="001B311F" w:rsidRDefault="00267145" w:rsidP="0034282E">
      <w:pPr>
        <w:pStyle w:val="Ttulo3"/>
      </w:pPr>
      <w:bookmarkStart w:id="5" w:name="_Toc198020842"/>
      <w:r w:rsidRPr="001B311F">
        <w:t>2.2.5.- Marco Normativo para Entidades en Liquidación</w:t>
      </w:r>
      <w:bookmarkEnd w:id="5"/>
      <w:r w:rsidRPr="001B311F">
        <w:t xml:space="preserve"> </w:t>
      </w:r>
    </w:p>
    <w:p w14:paraId="56585DA4" w14:textId="77777777" w:rsidR="00267145" w:rsidRPr="001B311F" w:rsidRDefault="00267145" w:rsidP="001B311F">
      <w:pPr>
        <w:ind w:right="-234"/>
        <w:jc w:val="both"/>
        <w:rPr>
          <w:rFonts w:ascii="Arial" w:hAnsi="Arial" w:cs="Arial"/>
          <w:lang w:eastAsia="es-CO"/>
        </w:rPr>
      </w:pPr>
    </w:p>
    <w:p w14:paraId="1BB8D906" w14:textId="2A569329" w:rsidR="00267145" w:rsidRPr="001B311F" w:rsidRDefault="00267145" w:rsidP="001B311F">
      <w:pPr>
        <w:ind w:right="-234"/>
        <w:jc w:val="both"/>
        <w:rPr>
          <w:rFonts w:ascii="Arial" w:hAnsi="Arial" w:cs="Arial"/>
          <w:lang w:eastAsia="es-CO"/>
        </w:rPr>
      </w:pPr>
      <w:r w:rsidRPr="001B311F">
        <w:rPr>
          <w:rFonts w:ascii="Arial" w:hAnsi="Arial" w:cs="Arial"/>
          <w:lang w:eastAsia="es-CO"/>
        </w:rPr>
        <w:t>El Marco Normativo para Entidades en Liquidación es aplicable a las entidades que se encuentran bajo el ámbito del RCP sobre las cuales exista un acto que ordene su supresión o disolución con fines de liquidación.</w:t>
      </w:r>
    </w:p>
    <w:p w14:paraId="1D6A7567" w14:textId="77777777" w:rsidR="00267145" w:rsidRPr="001B311F" w:rsidRDefault="00267145" w:rsidP="001B311F">
      <w:pPr>
        <w:ind w:right="-234"/>
        <w:jc w:val="both"/>
        <w:rPr>
          <w:rFonts w:ascii="Arial" w:hAnsi="Arial" w:cs="Arial"/>
          <w:lang w:eastAsia="es-CO"/>
        </w:rPr>
      </w:pPr>
    </w:p>
    <w:p w14:paraId="1826A911" w14:textId="77777777" w:rsidR="00267145" w:rsidRPr="001B311F" w:rsidRDefault="00267145" w:rsidP="001B311F">
      <w:pPr>
        <w:ind w:right="-234"/>
        <w:jc w:val="both"/>
        <w:rPr>
          <w:rFonts w:ascii="Arial" w:hAnsi="Arial" w:cs="Arial"/>
          <w:lang w:eastAsia="es-CO"/>
        </w:rPr>
      </w:pPr>
      <w:r w:rsidRPr="001B311F">
        <w:rPr>
          <w:rFonts w:ascii="Arial" w:hAnsi="Arial" w:cs="Arial"/>
          <w:lang w:eastAsia="es-CO"/>
        </w:rPr>
        <w:t>Este Marco Normativo está conformado por el Marco Conceptual para la Preparación y Presentación de Información Financiera; las Normas para el Reconocimiento, Medición, Revelación y Presentación de los Hechos Económicos; los Procedimientos Contables; las Guías de Aplicación; la Doctrina Contable Pública; y el Catálogo General de Cuentas.</w:t>
      </w:r>
    </w:p>
    <w:p w14:paraId="1E30B0F1" w14:textId="77777777" w:rsidR="00267145" w:rsidRPr="001B311F" w:rsidRDefault="00267145" w:rsidP="001B311F">
      <w:pPr>
        <w:ind w:right="-234"/>
        <w:jc w:val="both"/>
        <w:rPr>
          <w:rFonts w:ascii="Arial" w:hAnsi="Arial" w:cs="Arial"/>
          <w:lang w:eastAsia="es-CO"/>
        </w:rPr>
      </w:pPr>
    </w:p>
    <w:p w14:paraId="4D00D721" w14:textId="77777777" w:rsidR="00267145" w:rsidRPr="001B311F" w:rsidRDefault="00267145" w:rsidP="001B311F">
      <w:pPr>
        <w:ind w:right="-234"/>
        <w:jc w:val="both"/>
        <w:rPr>
          <w:rFonts w:ascii="Arial" w:hAnsi="Arial" w:cs="Arial"/>
          <w:lang w:eastAsia="es-CO"/>
        </w:rPr>
      </w:pPr>
      <w:r w:rsidRPr="001B311F">
        <w:rPr>
          <w:rFonts w:ascii="Arial" w:hAnsi="Arial" w:cs="Arial"/>
          <w:lang w:eastAsia="es-CO"/>
        </w:rPr>
        <w:t>El primer periodo de aplicación de este Marco Normativo fue en el año 2018.</w:t>
      </w:r>
    </w:p>
    <w:p w14:paraId="3449F511" w14:textId="77777777" w:rsidR="00267145" w:rsidRPr="001B311F" w:rsidRDefault="00267145" w:rsidP="001B311F">
      <w:pPr>
        <w:ind w:right="-234"/>
        <w:jc w:val="both"/>
        <w:rPr>
          <w:rFonts w:ascii="Arial" w:hAnsi="Arial" w:cs="Arial"/>
          <w:lang w:eastAsia="es-CO"/>
        </w:rPr>
      </w:pPr>
    </w:p>
    <w:p w14:paraId="144B4C1E" w14:textId="77777777" w:rsidR="00267145" w:rsidRPr="001B311F" w:rsidRDefault="00267145" w:rsidP="001B311F">
      <w:pPr>
        <w:ind w:right="-234"/>
        <w:jc w:val="both"/>
        <w:rPr>
          <w:rFonts w:ascii="Arial" w:hAnsi="Arial" w:cs="Arial"/>
          <w:lang w:eastAsia="es-CO"/>
        </w:rPr>
      </w:pPr>
      <w:r w:rsidRPr="001B311F">
        <w:rPr>
          <w:rFonts w:ascii="Arial" w:hAnsi="Arial" w:cs="Arial"/>
          <w:lang w:eastAsia="es-CO"/>
        </w:rPr>
        <w:t>El Marco Conceptual para la Preparación y Presentación de Información Financiera y las Normas para el Reconocimiento, Medición, Revelación y Presentación de los Hechos Económicos se incorporan a este Marco Normativo mediante la Resolución 461 de 2017. El Marco Conceptual se modificó mediante la Resolución 220 de 2020 y las Normas</w:t>
      </w:r>
      <w:r w:rsidRPr="001B311F">
        <w:rPr>
          <w:rFonts w:ascii="Arial" w:hAnsi="Arial" w:cs="Arial"/>
          <w:lang w:val="es-MX" w:eastAsia="es-CO"/>
        </w:rPr>
        <w:t>,</w:t>
      </w:r>
      <w:r w:rsidRPr="001B311F">
        <w:rPr>
          <w:rFonts w:ascii="Arial" w:hAnsi="Arial" w:cs="Arial"/>
          <w:lang w:eastAsia="es-CO"/>
        </w:rPr>
        <w:t xml:space="preserve"> mediante la Resolución 450 de 2024. </w:t>
      </w:r>
    </w:p>
    <w:p w14:paraId="543E85FA" w14:textId="77777777" w:rsidR="00267145" w:rsidRPr="001B311F" w:rsidRDefault="00267145" w:rsidP="001B311F">
      <w:pPr>
        <w:ind w:right="-234"/>
        <w:jc w:val="both"/>
        <w:rPr>
          <w:rFonts w:ascii="Arial" w:hAnsi="Arial" w:cs="Arial"/>
          <w:lang w:eastAsia="es-CO"/>
        </w:rPr>
      </w:pPr>
    </w:p>
    <w:p w14:paraId="0B8B1422" w14:textId="77777777" w:rsidR="00267145" w:rsidRPr="001B311F" w:rsidRDefault="00267145" w:rsidP="001B311F">
      <w:pPr>
        <w:ind w:right="-234"/>
        <w:jc w:val="both"/>
        <w:rPr>
          <w:rFonts w:ascii="Arial" w:hAnsi="Arial" w:cs="Arial"/>
          <w:lang w:eastAsia="es-CO"/>
        </w:rPr>
      </w:pPr>
      <w:r w:rsidRPr="001B311F">
        <w:rPr>
          <w:rFonts w:ascii="Arial" w:hAnsi="Arial" w:cs="Arial"/>
          <w:lang w:eastAsia="es-CO"/>
        </w:rPr>
        <w:t xml:space="preserve">El Catálogo General de Cuentas, incorporado a este Marco Normativo mediante la Resolución 611 de 2017, se ha modificado mediante las </w:t>
      </w:r>
      <w:r w:rsidRPr="001B311F">
        <w:rPr>
          <w:rFonts w:ascii="Arial" w:hAnsi="Arial" w:cs="Arial"/>
          <w:lang w:val="es-MX" w:eastAsia="es-CO"/>
        </w:rPr>
        <w:t>Resoluciones</w:t>
      </w:r>
      <w:r w:rsidRPr="001B311F">
        <w:rPr>
          <w:rFonts w:ascii="Arial" w:hAnsi="Arial" w:cs="Arial"/>
          <w:lang w:eastAsia="es-CO"/>
        </w:rPr>
        <w:t xml:space="preserve"> 584 de 2018, 435 de 2019, 224 de 2020, 081 y 221 de 2021, 062 y 339 de 2022, 420 de 2023 y 454 de 2024.</w:t>
      </w:r>
    </w:p>
    <w:p w14:paraId="71902242" w14:textId="77777777" w:rsidR="00267145" w:rsidRPr="001B311F" w:rsidRDefault="00267145" w:rsidP="001B311F">
      <w:pPr>
        <w:ind w:right="-234"/>
        <w:jc w:val="both"/>
        <w:rPr>
          <w:rFonts w:ascii="Arial" w:hAnsi="Arial" w:cs="Arial"/>
          <w:lang w:eastAsia="es-CO"/>
        </w:rPr>
      </w:pPr>
    </w:p>
    <w:p w14:paraId="417F29E0" w14:textId="77777777" w:rsidR="00267145" w:rsidRPr="001B311F" w:rsidRDefault="00267145" w:rsidP="001B311F">
      <w:pPr>
        <w:ind w:right="-234"/>
        <w:jc w:val="both"/>
        <w:rPr>
          <w:rFonts w:ascii="Arial" w:hAnsi="Arial" w:cs="Arial"/>
          <w:lang w:eastAsia="es-CO"/>
        </w:rPr>
      </w:pPr>
      <w:r w:rsidRPr="001B311F">
        <w:rPr>
          <w:rFonts w:ascii="Arial" w:hAnsi="Arial" w:cs="Arial"/>
          <w:lang w:eastAsia="es-CO"/>
        </w:rPr>
        <w:t>Como parte de los desarrollos instrumentales que orientan la aplicación de las normas a casos particulares, se ha incorporado el siguiente procedimiento contable:</w:t>
      </w:r>
    </w:p>
    <w:p w14:paraId="46763F6E" w14:textId="77777777" w:rsidR="00267145" w:rsidRPr="001B311F" w:rsidRDefault="00267145" w:rsidP="001B311F">
      <w:pPr>
        <w:ind w:right="-234"/>
        <w:jc w:val="both"/>
        <w:rPr>
          <w:rFonts w:ascii="Arial" w:hAnsi="Arial" w:cs="Arial"/>
          <w:lang w:eastAsia="es-C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43"/>
        <w:gridCol w:w="3819"/>
      </w:tblGrid>
      <w:tr w:rsidR="00267145" w:rsidRPr="001B311F" w14:paraId="73B69740" w14:textId="77777777" w:rsidTr="003273AD">
        <w:trPr>
          <w:trHeight w:val="62"/>
        </w:trPr>
        <w:tc>
          <w:tcPr>
            <w:tcW w:w="3083" w:type="pct"/>
            <w:vAlign w:val="center"/>
          </w:tcPr>
          <w:p w14:paraId="416C3C9F" w14:textId="77777777" w:rsidR="00267145" w:rsidRPr="001B311F" w:rsidRDefault="00267145" w:rsidP="001B311F">
            <w:pPr>
              <w:tabs>
                <w:tab w:val="left" w:pos="9072"/>
              </w:tabs>
              <w:ind w:right="-234"/>
              <w:jc w:val="center"/>
              <w:rPr>
                <w:rFonts w:ascii="Arial" w:hAnsi="Arial" w:cs="Arial"/>
                <w:b/>
              </w:rPr>
            </w:pPr>
            <w:r w:rsidRPr="001B311F">
              <w:rPr>
                <w:rFonts w:ascii="Arial" w:hAnsi="Arial" w:cs="Arial"/>
                <w:b/>
              </w:rPr>
              <w:t>Procedimiento</w:t>
            </w:r>
          </w:p>
        </w:tc>
        <w:tc>
          <w:tcPr>
            <w:tcW w:w="1917" w:type="pct"/>
            <w:vAlign w:val="center"/>
          </w:tcPr>
          <w:p w14:paraId="705E7B8C" w14:textId="77777777" w:rsidR="00267145" w:rsidRPr="001B311F" w:rsidRDefault="00267145" w:rsidP="001B311F">
            <w:pPr>
              <w:tabs>
                <w:tab w:val="left" w:pos="9072"/>
              </w:tabs>
              <w:ind w:right="-234"/>
              <w:jc w:val="center"/>
              <w:rPr>
                <w:rFonts w:ascii="Arial" w:hAnsi="Arial" w:cs="Arial"/>
                <w:b/>
              </w:rPr>
            </w:pPr>
            <w:r w:rsidRPr="001B311F">
              <w:rPr>
                <w:rFonts w:ascii="Arial" w:hAnsi="Arial" w:cs="Arial"/>
                <w:b/>
              </w:rPr>
              <w:t>Acto administrativo que incorpora</w:t>
            </w:r>
          </w:p>
        </w:tc>
      </w:tr>
      <w:tr w:rsidR="00267145" w:rsidRPr="001B311F" w14:paraId="7CFB4AE3" w14:textId="77777777" w:rsidTr="003273AD">
        <w:tc>
          <w:tcPr>
            <w:tcW w:w="3083" w:type="pct"/>
            <w:vAlign w:val="center"/>
          </w:tcPr>
          <w:p w14:paraId="3ED579F2" w14:textId="77777777" w:rsidR="00267145" w:rsidRPr="001B311F" w:rsidRDefault="00267145" w:rsidP="001B311F">
            <w:pPr>
              <w:tabs>
                <w:tab w:val="left" w:pos="9072"/>
              </w:tabs>
              <w:ind w:right="-234"/>
              <w:rPr>
                <w:rFonts w:ascii="Arial" w:hAnsi="Arial" w:cs="Arial"/>
              </w:rPr>
            </w:pPr>
            <w:r w:rsidRPr="001B311F">
              <w:rPr>
                <w:rFonts w:ascii="Arial" w:hAnsi="Arial" w:cs="Arial"/>
              </w:rPr>
              <w:t>Proceso de liquidación</w:t>
            </w:r>
          </w:p>
        </w:tc>
        <w:tc>
          <w:tcPr>
            <w:tcW w:w="1917" w:type="pct"/>
            <w:vAlign w:val="center"/>
          </w:tcPr>
          <w:p w14:paraId="1EB410F5" w14:textId="77777777" w:rsidR="00267145" w:rsidRPr="001B311F" w:rsidRDefault="00267145" w:rsidP="001B311F">
            <w:pPr>
              <w:tabs>
                <w:tab w:val="left" w:pos="9072"/>
              </w:tabs>
              <w:ind w:right="-234"/>
              <w:rPr>
                <w:rFonts w:ascii="Arial" w:hAnsi="Arial" w:cs="Arial"/>
              </w:rPr>
            </w:pPr>
            <w:r w:rsidRPr="001B311F">
              <w:rPr>
                <w:rFonts w:ascii="Arial" w:hAnsi="Arial" w:cs="Arial"/>
              </w:rPr>
              <w:t>Resolución 225 de 2020</w:t>
            </w:r>
          </w:p>
        </w:tc>
      </w:tr>
    </w:tbl>
    <w:p w14:paraId="6A425D4F" w14:textId="77777777" w:rsidR="00267145" w:rsidRPr="001B311F" w:rsidRDefault="00267145" w:rsidP="0034282E">
      <w:pPr>
        <w:pStyle w:val="Ttulo3"/>
      </w:pPr>
      <w:bookmarkStart w:id="6" w:name="_Toc198020843"/>
    </w:p>
    <w:p w14:paraId="607B674F" w14:textId="609D9035" w:rsidR="00267145" w:rsidRPr="001B311F" w:rsidRDefault="00267145" w:rsidP="0034282E">
      <w:pPr>
        <w:pStyle w:val="Ttulo3"/>
      </w:pPr>
      <w:bookmarkStart w:id="7" w:name="_Toc198020844"/>
      <w:bookmarkEnd w:id="6"/>
      <w:r w:rsidRPr="001B311F">
        <w:t>2.2.7.- Procedimientos transversales</w:t>
      </w:r>
      <w:bookmarkEnd w:id="7"/>
      <w:r w:rsidRPr="001B311F">
        <w:t>.</w:t>
      </w:r>
    </w:p>
    <w:p w14:paraId="17B21A0C" w14:textId="77777777" w:rsidR="00267145" w:rsidRPr="001B311F" w:rsidRDefault="00267145" w:rsidP="001B311F">
      <w:pPr>
        <w:ind w:right="-234"/>
        <w:rPr>
          <w:rFonts w:ascii="Arial" w:hAnsi="Arial" w:cs="Arial"/>
          <w:lang w:eastAsia="es-CO"/>
        </w:rPr>
      </w:pPr>
    </w:p>
    <w:p w14:paraId="79372341" w14:textId="77777777" w:rsidR="00267145" w:rsidRPr="001B311F" w:rsidRDefault="00267145" w:rsidP="001B311F">
      <w:pPr>
        <w:ind w:right="-234"/>
        <w:jc w:val="both"/>
        <w:rPr>
          <w:rFonts w:ascii="Arial" w:hAnsi="Arial" w:cs="Arial"/>
          <w:lang w:eastAsia="es-CO"/>
        </w:rPr>
      </w:pPr>
      <w:r w:rsidRPr="001B311F">
        <w:rPr>
          <w:rFonts w:ascii="Arial" w:hAnsi="Arial" w:cs="Arial"/>
          <w:lang w:eastAsia="es-CO"/>
        </w:rPr>
        <w:t>Los procedimientos transversales regulan aspectos que contribuyen a la administración, salvaguarda y calidad de la información, así como otros aspectos que no son abordados por los marcos normativos.</w:t>
      </w:r>
    </w:p>
    <w:p w14:paraId="5350617C" w14:textId="77777777" w:rsidR="00267145" w:rsidRPr="001B311F" w:rsidRDefault="00267145" w:rsidP="001B311F">
      <w:pPr>
        <w:ind w:right="-234"/>
        <w:jc w:val="both"/>
        <w:rPr>
          <w:rFonts w:ascii="Arial" w:hAnsi="Arial" w:cs="Arial"/>
          <w:lang w:eastAsia="es-CO"/>
        </w:rPr>
      </w:pPr>
    </w:p>
    <w:p w14:paraId="4DB8A90A" w14:textId="77777777" w:rsidR="00267145" w:rsidRPr="001B311F" w:rsidRDefault="00267145" w:rsidP="001B311F">
      <w:pPr>
        <w:ind w:right="-234"/>
        <w:jc w:val="both"/>
        <w:rPr>
          <w:rFonts w:ascii="Arial" w:hAnsi="Arial" w:cs="Arial"/>
          <w:lang w:eastAsia="es-CO"/>
        </w:rPr>
      </w:pPr>
      <w:r w:rsidRPr="001B311F">
        <w:rPr>
          <w:rFonts w:ascii="Arial" w:hAnsi="Arial" w:cs="Arial"/>
          <w:lang w:eastAsia="es-CO"/>
        </w:rPr>
        <w:t>Los procedimientos transversales que se ha expedido son los siguientes: Evaluación del control interno contable (Resolución 193 de 2016); Agregación de información, diligenciamiento y envío de los reportes de la categoría información contable pública – convergencia a la CGN, a través del CHIP (Resoluciones 159 de 2019, 193 y 194 de 2020); Preparación, presentación y publicación de los informes financieros y contables (Resoluciones 356 de 2022 y 261 de 2023); y Elaboración del informe contable cuando se produzca cambio de representante legal (Resolución 172 de 2023).</w:t>
      </w:r>
    </w:p>
    <w:p w14:paraId="2881380B" w14:textId="77777777" w:rsidR="00D33495" w:rsidRPr="001B311F" w:rsidRDefault="00D33495" w:rsidP="001B311F">
      <w:pPr>
        <w:ind w:right="-234"/>
        <w:rPr>
          <w:rFonts w:ascii="Arial" w:hAnsi="Arial" w:cs="Arial"/>
        </w:rPr>
      </w:pPr>
    </w:p>
    <w:p w14:paraId="648D6AE9" w14:textId="42606573" w:rsidR="000843C4" w:rsidRPr="000843C4" w:rsidRDefault="000843C4" w:rsidP="00F66DB0">
      <w:pPr>
        <w:pStyle w:val="Ttulo2"/>
      </w:pPr>
      <w:bookmarkStart w:id="8" w:name="_Toc135046240"/>
      <w:bookmarkStart w:id="9" w:name="_Toc198020846"/>
      <w:r w:rsidRPr="000843C4">
        <w:t>2.4.- METODOLOGÍA DEL PROCESO DE CONSOLIDACIÓN</w:t>
      </w:r>
      <w:bookmarkEnd w:id="8"/>
      <w:bookmarkEnd w:id="9"/>
      <w:r w:rsidRPr="000843C4">
        <w:t>.</w:t>
      </w:r>
    </w:p>
    <w:p w14:paraId="679C9BAB" w14:textId="77777777" w:rsidR="000843C4" w:rsidRPr="000843C4" w:rsidRDefault="000843C4" w:rsidP="0034282E">
      <w:pPr>
        <w:pStyle w:val="Ttulo3"/>
      </w:pPr>
      <w:bookmarkStart w:id="10" w:name="_Toc135046241"/>
      <w:bookmarkStart w:id="11" w:name="_Toc198020847"/>
    </w:p>
    <w:p w14:paraId="204B565F" w14:textId="7F728F70" w:rsidR="000843C4" w:rsidRPr="000843C4" w:rsidRDefault="000843C4" w:rsidP="0034282E">
      <w:pPr>
        <w:pStyle w:val="Ttulo3"/>
      </w:pPr>
      <w:r w:rsidRPr="000843C4">
        <w:t>2.4.1.- Aspectos generales</w:t>
      </w:r>
      <w:bookmarkEnd w:id="10"/>
      <w:bookmarkEnd w:id="11"/>
      <w:r w:rsidRPr="000843C4">
        <w:t>.</w:t>
      </w:r>
    </w:p>
    <w:p w14:paraId="68F5B811" w14:textId="77777777" w:rsidR="000843C4" w:rsidRPr="000843C4" w:rsidRDefault="000843C4" w:rsidP="000843C4">
      <w:pPr>
        <w:rPr>
          <w:rFonts w:ascii="Arial" w:hAnsi="Arial" w:cs="Arial"/>
          <w:lang w:eastAsia="es-CO"/>
        </w:rPr>
      </w:pPr>
    </w:p>
    <w:p w14:paraId="0900A386" w14:textId="77777777" w:rsidR="000843C4" w:rsidRPr="000843C4" w:rsidRDefault="000843C4" w:rsidP="000843C4">
      <w:pPr>
        <w:ind w:right="-234"/>
        <w:jc w:val="both"/>
        <w:rPr>
          <w:rFonts w:ascii="Arial" w:hAnsi="Arial" w:cs="Arial"/>
        </w:rPr>
      </w:pPr>
      <w:r w:rsidRPr="000843C4">
        <w:rPr>
          <w:rFonts w:ascii="Arial" w:hAnsi="Arial" w:cs="Arial"/>
        </w:rPr>
        <w:t>La consolidación de la información contable que realiza la CGN implica la ejecución de un proceso técnico y estructurado, que integra y combina la información financiera y contable individual de las entidades que conforman el sector público colombiano, los niveles nacional y territorial, tanto de los sectores central y descentralizado, así como el Banco de la República y el Sistema General de Regalías, de un mismo periodo contable, con la finalidad de elaborar y presentar los Estados Financieros como si correspondieran a una sola entidad.</w:t>
      </w:r>
    </w:p>
    <w:p w14:paraId="7CD2988F" w14:textId="77777777" w:rsidR="000843C4" w:rsidRPr="000843C4" w:rsidRDefault="000843C4" w:rsidP="000843C4">
      <w:pPr>
        <w:ind w:right="-234"/>
        <w:jc w:val="both"/>
        <w:rPr>
          <w:rFonts w:ascii="Arial" w:hAnsi="Arial" w:cs="Arial"/>
        </w:rPr>
      </w:pPr>
    </w:p>
    <w:p w14:paraId="05F2CDCF" w14:textId="77777777" w:rsidR="000843C4" w:rsidRPr="000843C4" w:rsidRDefault="000843C4" w:rsidP="000843C4">
      <w:pPr>
        <w:ind w:right="-234"/>
        <w:jc w:val="both"/>
        <w:rPr>
          <w:rFonts w:ascii="Arial" w:hAnsi="Arial" w:cs="Arial"/>
        </w:rPr>
      </w:pPr>
      <w:r w:rsidRPr="000843C4">
        <w:rPr>
          <w:rFonts w:ascii="Arial" w:hAnsi="Arial" w:cs="Arial"/>
        </w:rPr>
        <w:t xml:space="preserve">La CGN tiene la responsabilidad constitucional y legal de definir y establecer las políticas, principios y normas de contabilidad para el sector público colombiano. A través de ellas, las entidades preparan su información, la cual reportan para la agregación y consolidación en los estados e informes financieros por parte de la CGN, que son utilizados por distintos usuarios, quienes tienen interés en conocer los resultados obtenidos en la gestión de las entidades públicas y, a su vez, estos datos sirven tanto de insumo para apoyar procesos misionales de autoridades económicas como de herramienta de control y rendición de cuentas de la administración pública. </w:t>
      </w:r>
    </w:p>
    <w:p w14:paraId="551E44FF" w14:textId="77777777" w:rsidR="000843C4" w:rsidRPr="000843C4" w:rsidRDefault="000843C4" w:rsidP="000843C4">
      <w:pPr>
        <w:ind w:right="-234"/>
        <w:jc w:val="both"/>
        <w:rPr>
          <w:rFonts w:ascii="Arial" w:hAnsi="Arial" w:cs="Arial"/>
        </w:rPr>
      </w:pPr>
    </w:p>
    <w:p w14:paraId="389F81BF" w14:textId="77777777" w:rsidR="000843C4" w:rsidRPr="000843C4" w:rsidRDefault="000843C4" w:rsidP="000843C4">
      <w:pPr>
        <w:ind w:right="-234"/>
        <w:jc w:val="both"/>
        <w:rPr>
          <w:rFonts w:ascii="Arial" w:hAnsi="Arial" w:cs="Arial"/>
        </w:rPr>
      </w:pPr>
      <w:r w:rsidRPr="000843C4">
        <w:rPr>
          <w:rFonts w:ascii="Arial" w:hAnsi="Arial" w:cs="Arial"/>
        </w:rPr>
        <w:t>La consolidación de los estados financieros del nivel nacional al cierre de la vigencia es parte fundamental del proceso de la contabilidad estatal y del Sistema Nacional de Contabilidad Pública, por lo cual, la CGN ha realizado, como práctica de buen gobierno, un ejercicio importante de divulgación de estos informes como son: los Estados financieros consolidados del sector público y de los niveles nacional y territorial utilizando diversos medios, entre ellos, la página web de la entidad al igual que en las redes sociales. Con esto, se busca generar transparencia de la actividad de las entidades públicas, así como la disposición de esta información para las autoridades, el Congreso de la República, la academia a través de las universidades y grupos de investigación, entre otros.</w:t>
      </w:r>
    </w:p>
    <w:p w14:paraId="172B6588" w14:textId="77777777" w:rsidR="000843C4" w:rsidRPr="000843C4" w:rsidRDefault="000843C4" w:rsidP="000843C4">
      <w:pPr>
        <w:ind w:right="-234"/>
        <w:jc w:val="both"/>
        <w:rPr>
          <w:rFonts w:ascii="Arial" w:hAnsi="Arial" w:cs="Arial"/>
        </w:rPr>
      </w:pPr>
    </w:p>
    <w:p w14:paraId="7DDE2D03" w14:textId="5A415374" w:rsidR="000843C4" w:rsidRPr="000843C4" w:rsidRDefault="000843C4" w:rsidP="000843C4">
      <w:pPr>
        <w:ind w:right="-234"/>
        <w:jc w:val="both"/>
        <w:rPr>
          <w:rFonts w:ascii="Arial" w:hAnsi="Arial" w:cs="Arial"/>
        </w:rPr>
      </w:pPr>
      <w:r w:rsidRPr="000843C4">
        <w:rPr>
          <w:rFonts w:ascii="Arial" w:hAnsi="Arial" w:cs="Arial"/>
        </w:rPr>
        <w:t>Para que los Estados Financieros anuales reflejen la imagen fiel de la situación financiera y patrimonial de las entidades del nivel nacional, no es suficiente con agregar las cifras y partidas homogéneas de las entidades, sino que es preciso efectuar su consolidación, es decir, se trata de eliminar aquellas transacciones y saldos que se presentan entre las entidades públicas consolidadas de este nivel, para evitar que la información presentada esté sobrestimada o subestimada y, con ello, facilitar un mejor análisis y comprensión de los datos obtenidos.</w:t>
      </w:r>
    </w:p>
    <w:p w14:paraId="3FDC726C" w14:textId="77777777" w:rsidR="000843C4" w:rsidRPr="000843C4" w:rsidRDefault="000843C4" w:rsidP="0034282E">
      <w:pPr>
        <w:pStyle w:val="Ttulo3"/>
      </w:pPr>
      <w:bookmarkStart w:id="12" w:name="_Toc135046242"/>
      <w:bookmarkStart w:id="13" w:name="_Toc198020848"/>
    </w:p>
    <w:p w14:paraId="4F71D954" w14:textId="5141C815" w:rsidR="000843C4" w:rsidRPr="000843C4" w:rsidRDefault="000843C4" w:rsidP="0034282E">
      <w:pPr>
        <w:pStyle w:val="Ttulo3"/>
      </w:pPr>
      <w:r w:rsidRPr="000843C4">
        <w:t>2.4.2.- El proceso de consolidación</w:t>
      </w:r>
      <w:bookmarkEnd w:id="12"/>
      <w:bookmarkEnd w:id="13"/>
      <w:r w:rsidRPr="000843C4">
        <w:t>.</w:t>
      </w:r>
    </w:p>
    <w:p w14:paraId="63A5BDB8" w14:textId="77777777" w:rsidR="000843C4" w:rsidRPr="000843C4" w:rsidRDefault="000843C4" w:rsidP="000843C4">
      <w:pPr>
        <w:rPr>
          <w:rFonts w:ascii="Arial" w:hAnsi="Arial" w:cs="Arial"/>
          <w:lang w:eastAsia="es-CO"/>
        </w:rPr>
      </w:pPr>
    </w:p>
    <w:p w14:paraId="5DAB547D" w14:textId="77777777" w:rsidR="000843C4" w:rsidRPr="000843C4" w:rsidRDefault="000843C4" w:rsidP="000843C4">
      <w:pPr>
        <w:jc w:val="both"/>
        <w:rPr>
          <w:rFonts w:ascii="Arial" w:hAnsi="Arial" w:cs="Arial"/>
        </w:rPr>
      </w:pPr>
      <w:r w:rsidRPr="000843C4">
        <w:rPr>
          <w:rFonts w:ascii="Arial" w:hAnsi="Arial" w:cs="Arial"/>
        </w:rPr>
        <w:t xml:space="preserve">El siguiente diagrama ilustra el proceso de consolidación de la información contable pública: </w:t>
      </w:r>
    </w:p>
    <w:p w14:paraId="10D52B9C" w14:textId="77777777" w:rsidR="000843C4" w:rsidRPr="000843C4" w:rsidRDefault="000843C4" w:rsidP="000843C4">
      <w:pPr>
        <w:jc w:val="both"/>
        <w:rPr>
          <w:rFonts w:ascii="Arial" w:hAnsi="Arial" w:cs="Arial"/>
        </w:rPr>
      </w:pPr>
    </w:p>
    <w:p w14:paraId="28506362" w14:textId="77777777" w:rsidR="000843C4" w:rsidRPr="000843C4" w:rsidRDefault="000843C4" w:rsidP="000843C4">
      <w:pPr>
        <w:jc w:val="center"/>
        <w:rPr>
          <w:rFonts w:ascii="Arial" w:hAnsi="Arial" w:cs="Arial"/>
          <w:iCs/>
        </w:rPr>
      </w:pPr>
      <w:bookmarkStart w:id="14" w:name="_Toc135046501"/>
      <w:bookmarkStart w:id="15" w:name="_Toc198020284"/>
      <w:bookmarkStart w:id="16" w:name="_Toc513813207"/>
      <w:r w:rsidRPr="000843C4">
        <w:rPr>
          <w:rFonts w:ascii="Arial" w:hAnsi="Arial" w:cs="Arial"/>
          <w:iCs/>
        </w:rPr>
        <w:t xml:space="preserve">Gráfico </w:t>
      </w:r>
      <w:r w:rsidRPr="000843C4">
        <w:rPr>
          <w:rFonts w:ascii="Arial" w:hAnsi="Arial" w:cs="Arial"/>
          <w:iCs/>
        </w:rPr>
        <w:fldChar w:fldCharType="begin"/>
      </w:r>
      <w:r w:rsidRPr="000843C4">
        <w:rPr>
          <w:rFonts w:ascii="Arial" w:hAnsi="Arial" w:cs="Arial"/>
          <w:iCs/>
        </w:rPr>
        <w:instrText xml:space="preserve"> STYLEREF 1 \s </w:instrText>
      </w:r>
      <w:r w:rsidRPr="000843C4">
        <w:rPr>
          <w:rFonts w:ascii="Arial" w:hAnsi="Arial" w:cs="Arial"/>
          <w:iCs/>
        </w:rPr>
        <w:fldChar w:fldCharType="separate"/>
      </w:r>
      <w:r w:rsidRPr="000843C4">
        <w:rPr>
          <w:rFonts w:ascii="Arial" w:hAnsi="Arial" w:cs="Arial"/>
          <w:iCs/>
          <w:noProof/>
        </w:rPr>
        <w:t>2</w:t>
      </w:r>
      <w:r w:rsidRPr="000843C4">
        <w:rPr>
          <w:rFonts w:ascii="Arial" w:hAnsi="Arial" w:cs="Arial"/>
          <w:iCs/>
        </w:rPr>
        <w:fldChar w:fldCharType="end"/>
      </w:r>
      <w:r w:rsidRPr="000843C4">
        <w:rPr>
          <w:rFonts w:ascii="Arial" w:hAnsi="Arial" w:cs="Arial"/>
          <w:iCs/>
        </w:rPr>
        <w:noBreakHyphen/>
      </w:r>
      <w:r w:rsidRPr="000843C4">
        <w:rPr>
          <w:rFonts w:ascii="Arial" w:hAnsi="Arial" w:cs="Arial"/>
          <w:iCs/>
        </w:rPr>
        <w:fldChar w:fldCharType="begin"/>
      </w:r>
      <w:r w:rsidRPr="000843C4">
        <w:rPr>
          <w:rFonts w:ascii="Arial" w:hAnsi="Arial" w:cs="Arial"/>
          <w:iCs/>
        </w:rPr>
        <w:instrText xml:space="preserve"> SEQ Gráfico \* ARABIC \s 1 </w:instrText>
      </w:r>
      <w:r w:rsidRPr="000843C4">
        <w:rPr>
          <w:rFonts w:ascii="Arial" w:hAnsi="Arial" w:cs="Arial"/>
          <w:iCs/>
        </w:rPr>
        <w:fldChar w:fldCharType="separate"/>
      </w:r>
      <w:r w:rsidRPr="000843C4">
        <w:rPr>
          <w:rFonts w:ascii="Arial" w:hAnsi="Arial" w:cs="Arial"/>
          <w:iCs/>
          <w:noProof/>
        </w:rPr>
        <w:t>1</w:t>
      </w:r>
      <w:r w:rsidRPr="000843C4">
        <w:rPr>
          <w:rFonts w:ascii="Arial" w:hAnsi="Arial" w:cs="Arial"/>
          <w:iCs/>
        </w:rPr>
        <w:fldChar w:fldCharType="end"/>
      </w:r>
      <w:r w:rsidRPr="000843C4">
        <w:rPr>
          <w:rFonts w:ascii="Arial" w:hAnsi="Arial" w:cs="Arial"/>
          <w:iCs/>
        </w:rPr>
        <w:t xml:space="preserve"> Consolidación de la información</w:t>
      </w:r>
      <w:bookmarkEnd w:id="14"/>
      <w:bookmarkEnd w:id="15"/>
    </w:p>
    <w:bookmarkEnd w:id="16"/>
    <w:p w14:paraId="5CF6BE3C" w14:textId="77777777" w:rsidR="000843C4" w:rsidRPr="000843C4" w:rsidRDefault="000843C4" w:rsidP="000843C4">
      <w:pPr>
        <w:jc w:val="both"/>
        <w:rPr>
          <w:rFonts w:ascii="Arial" w:hAnsi="Arial" w:cs="Arial"/>
        </w:rPr>
      </w:pPr>
    </w:p>
    <w:p w14:paraId="4B558B43" w14:textId="6458B6A1" w:rsidR="00D33495" w:rsidRPr="00D33495" w:rsidRDefault="000843C4" w:rsidP="000843C4">
      <w:pPr>
        <w:jc w:val="center"/>
        <w:rPr>
          <w:rFonts w:ascii="Arial" w:hAnsi="Arial" w:cs="Arial"/>
        </w:rPr>
      </w:pPr>
      <w:r>
        <w:rPr>
          <w:noProof/>
          <w:lang w:eastAsia="es-CO"/>
        </w:rPr>
        <w:drawing>
          <wp:inline distT="0" distB="0" distL="0" distR="0" wp14:anchorId="3A6332C7" wp14:editId="0A9FD28A">
            <wp:extent cx="5943600" cy="3342005"/>
            <wp:effectExtent l="0" t="0" r="0" b="0"/>
            <wp:docPr id="1686658468"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658468" name="Imagen 1" descr="Diagrama&#10;&#10;El contenido generado por IA puede ser incorrecto."/>
                    <pic:cNvPicPr>
                      <a:picLocks noChangeAspect="1"/>
                    </pic:cNvPicPr>
                  </pic:nvPicPr>
                  <pic:blipFill>
                    <a:blip r:embed="rId23"/>
                    <a:stretch>
                      <a:fillRect/>
                    </a:stretch>
                  </pic:blipFill>
                  <pic:spPr>
                    <a:xfrm>
                      <a:off x="0" y="0"/>
                      <a:ext cx="5943600" cy="3342005"/>
                    </a:xfrm>
                    <a:prstGeom prst="rect">
                      <a:avLst/>
                    </a:prstGeom>
                  </pic:spPr>
                </pic:pic>
              </a:graphicData>
            </a:graphic>
          </wp:inline>
        </w:drawing>
      </w:r>
    </w:p>
    <w:p w14:paraId="2BCC5997" w14:textId="77777777" w:rsidR="00D33495" w:rsidRPr="00D33495" w:rsidRDefault="00D33495" w:rsidP="00D33495">
      <w:pPr>
        <w:rPr>
          <w:rFonts w:ascii="Arial" w:hAnsi="Arial" w:cs="Arial"/>
        </w:rPr>
      </w:pPr>
    </w:p>
    <w:p w14:paraId="7927FD6D" w14:textId="77777777" w:rsidR="000843C4" w:rsidRDefault="000843C4" w:rsidP="000843C4">
      <w:pPr>
        <w:ind w:right="-234"/>
        <w:jc w:val="both"/>
        <w:rPr>
          <w:rFonts w:ascii="Arial" w:hAnsi="Arial" w:cs="Arial"/>
        </w:rPr>
      </w:pPr>
      <w:r w:rsidRPr="000843C4">
        <w:rPr>
          <w:rFonts w:ascii="Arial" w:hAnsi="Arial" w:cs="Arial"/>
        </w:rPr>
        <w:t>La consolidación contable es un proceso sistémico, configurado para disponer de unos elementos de entrada, un procesamiento de la información y unas salidas o productos generados.</w:t>
      </w:r>
    </w:p>
    <w:p w14:paraId="357294BF" w14:textId="77777777" w:rsidR="000843C4" w:rsidRDefault="000843C4" w:rsidP="000843C4">
      <w:pPr>
        <w:ind w:right="-234"/>
        <w:jc w:val="both"/>
        <w:rPr>
          <w:rFonts w:ascii="Arial" w:hAnsi="Arial" w:cs="Arial"/>
        </w:rPr>
      </w:pPr>
    </w:p>
    <w:p w14:paraId="1B48AE45" w14:textId="77777777" w:rsidR="000843C4" w:rsidRDefault="000843C4" w:rsidP="000843C4">
      <w:pPr>
        <w:ind w:right="-234"/>
        <w:jc w:val="both"/>
        <w:rPr>
          <w:rFonts w:ascii="Arial" w:hAnsi="Arial" w:cs="Arial"/>
        </w:rPr>
      </w:pPr>
      <w:r w:rsidRPr="000843C4">
        <w:rPr>
          <w:rFonts w:ascii="Arial" w:hAnsi="Arial" w:cs="Arial"/>
        </w:rPr>
        <w:t>El Manual Funcional del Proceso de Consolidación es el documento oficial de la CGN que define cómo se ejecuta el proceso, en el cual se detallan las actividades a realizar, las reglas técnicas de ejecución del proceso, su secuencia y los informes básicos que se generan como resultado del proceso. Este manual contiene las especificaciones y requisitos del proceso, define los diferentes algoritmos o funcionalidades a ejecutar a través del Sistema CHIP consolidación.</w:t>
      </w:r>
    </w:p>
    <w:p w14:paraId="469C6DFC" w14:textId="77777777" w:rsidR="000843C4" w:rsidRDefault="000843C4" w:rsidP="000843C4">
      <w:pPr>
        <w:ind w:right="-234"/>
        <w:jc w:val="both"/>
        <w:rPr>
          <w:rFonts w:ascii="Arial" w:hAnsi="Arial" w:cs="Arial"/>
        </w:rPr>
      </w:pPr>
    </w:p>
    <w:p w14:paraId="53178910" w14:textId="77777777" w:rsidR="000843C4" w:rsidRDefault="000843C4" w:rsidP="000843C4">
      <w:pPr>
        <w:ind w:right="-234"/>
        <w:jc w:val="both"/>
        <w:rPr>
          <w:rFonts w:ascii="Arial" w:hAnsi="Arial" w:cs="Arial"/>
        </w:rPr>
      </w:pPr>
      <w:r w:rsidRPr="000843C4">
        <w:rPr>
          <w:rFonts w:ascii="Arial" w:hAnsi="Arial" w:cs="Arial"/>
        </w:rPr>
        <w:t>Las entradas al proceso se clasifican en fuentes externas e internas. Las fuentes externas corresponden en su orden a: 1) Catálogo General de Cuentas, como herramienta utilizada para el registro y reporte de información financiera, que contiene los códigos y conceptos utilizados por las entidades en aplicación de la normatividad contable específica; 2) Información Contable Básica que preparan y reportan cada una de las entidades que conforman el sector público; 3) Aplicativo CHIP - WEB, software a través del cual las entidades realizan el envío de la información contable básica a la CGN, y a través del cual se realiza el proceso de consolidación.</w:t>
      </w:r>
    </w:p>
    <w:p w14:paraId="08D9FEA3" w14:textId="77777777" w:rsidR="000843C4" w:rsidRDefault="000843C4" w:rsidP="000843C4">
      <w:pPr>
        <w:ind w:right="-234"/>
        <w:jc w:val="both"/>
        <w:rPr>
          <w:rFonts w:ascii="Arial" w:hAnsi="Arial" w:cs="Arial"/>
        </w:rPr>
      </w:pPr>
    </w:p>
    <w:p w14:paraId="2BAE9BB2" w14:textId="77777777" w:rsidR="000843C4" w:rsidRDefault="000843C4" w:rsidP="000843C4">
      <w:pPr>
        <w:ind w:right="-234"/>
        <w:jc w:val="both"/>
        <w:rPr>
          <w:rFonts w:ascii="Arial" w:hAnsi="Arial" w:cs="Arial"/>
        </w:rPr>
      </w:pPr>
      <w:r w:rsidRPr="000843C4">
        <w:rPr>
          <w:rFonts w:ascii="Arial" w:hAnsi="Arial" w:cs="Arial"/>
        </w:rPr>
        <w:t xml:space="preserve">Por otra parte, las fuentes internas corresponden a las actividades que deben realizarse en la CGN, especialmente en el aplicativo CHIP, para asegurar la recepción de la información, su </w:t>
      </w:r>
      <w:r w:rsidRPr="000843C4">
        <w:rPr>
          <w:rFonts w:ascii="Arial" w:hAnsi="Arial" w:cs="Arial"/>
        </w:rPr>
        <w:lastRenderedPageBreak/>
        <w:t>clasificación y el procesamiento posterior de la misma. Estas fuentes internas corresponden a: 1) Parametrización de la categoría información contable pública convergencia, 2) Definición de atributos extensibles de entidades, 3) Definición del catálogo de cuentas de consolidación, 4) Definición de los parámetros de consolidación y 5) Estructuración y mantenimiento de reglas de eliminación.</w:t>
      </w:r>
    </w:p>
    <w:p w14:paraId="2C37B1F5" w14:textId="77777777" w:rsidR="000843C4" w:rsidRDefault="000843C4" w:rsidP="000843C4">
      <w:pPr>
        <w:ind w:right="-234"/>
        <w:jc w:val="both"/>
        <w:rPr>
          <w:rFonts w:ascii="Arial" w:hAnsi="Arial" w:cs="Arial"/>
        </w:rPr>
      </w:pPr>
    </w:p>
    <w:p w14:paraId="1A5FA01F" w14:textId="77777777" w:rsidR="000843C4" w:rsidRDefault="000843C4" w:rsidP="000843C4">
      <w:pPr>
        <w:ind w:right="-234"/>
        <w:jc w:val="both"/>
        <w:rPr>
          <w:rFonts w:ascii="Arial" w:hAnsi="Arial" w:cs="Arial"/>
        </w:rPr>
      </w:pPr>
      <w:r w:rsidRPr="000843C4">
        <w:rPr>
          <w:rFonts w:ascii="Arial" w:hAnsi="Arial" w:cs="Arial"/>
        </w:rPr>
        <w:t>El procesamiento se refiere a las funcionalidades técnicas incorporadas al aplicativo CHIP consolidación, definidas en forma secuencial para adelantar el proceso de consolidación, las cuales están suficientemente descritas en el Manual Funcional del Proceso de Consolidación y se encuentran a disposición de los interesados y de organismos de control o instancias auditoras. Estas funcionalidades son: 1) Agregación de saldos; 2) Reversión del cierre y resultados reportados; 3) Agregación de operaciones recíprocas; 4) Estimación y generación de operaciones recíprocas; 5) Eliminación Inversión/patrimonio y Ajuste saldos método de participación; 6) Aplicación regla general de conciliación y ajustes; 7) Cálculo y registro de la participación no controladora del patrimonio; 8) Determinación del resultado del ejercicio consolidado; 9) Cálculo y registro de la participación no controladora en el resultado del ejercicio consolidado; y, 10) Determinación de las cifras consolidadas.</w:t>
      </w:r>
    </w:p>
    <w:p w14:paraId="32B1F136" w14:textId="77777777" w:rsidR="000843C4" w:rsidRDefault="000843C4" w:rsidP="000843C4">
      <w:pPr>
        <w:ind w:right="-234"/>
        <w:jc w:val="both"/>
        <w:rPr>
          <w:rFonts w:ascii="Arial" w:hAnsi="Arial" w:cs="Arial"/>
        </w:rPr>
      </w:pPr>
    </w:p>
    <w:p w14:paraId="2EC2C1AD" w14:textId="77777777" w:rsidR="000843C4" w:rsidRDefault="000843C4" w:rsidP="000843C4">
      <w:pPr>
        <w:ind w:right="-234"/>
        <w:jc w:val="both"/>
        <w:rPr>
          <w:rFonts w:ascii="Arial" w:hAnsi="Arial" w:cs="Arial"/>
        </w:rPr>
      </w:pPr>
      <w:r w:rsidRPr="000843C4">
        <w:rPr>
          <w:rFonts w:ascii="Arial" w:hAnsi="Arial" w:cs="Arial"/>
        </w:rPr>
        <w:t>Las salidas son el conjunto de reportes que permiten revisar y asegurar la consistencia del proceso y de las cifras consolidadas. Igualmente, el sistema permite consultar la información contable individual de cada entidad pública, su historial de reportes y la información consolidada, para realizar la gestión de valores y conceptos reportados y de saldos por conciliar que el proceso identifica. De la misma manera, el sistema permite la construcción de los Estados Financieros consolidados.</w:t>
      </w:r>
    </w:p>
    <w:p w14:paraId="333F2E17" w14:textId="77777777" w:rsidR="000843C4" w:rsidRDefault="000843C4" w:rsidP="000843C4">
      <w:pPr>
        <w:ind w:right="-234"/>
        <w:jc w:val="both"/>
        <w:rPr>
          <w:rFonts w:ascii="Arial" w:hAnsi="Arial" w:cs="Arial"/>
        </w:rPr>
      </w:pPr>
    </w:p>
    <w:p w14:paraId="664EADDC" w14:textId="77777777" w:rsidR="000843C4" w:rsidRDefault="000843C4" w:rsidP="000843C4">
      <w:pPr>
        <w:ind w:right="-234"/>
        <w:jc w:val="both"/>
        <w:rPr>
          <w:rFonts w:ascii="Arial" w:hAnsi="Arial" w:cs="Arial"/>
        </w:rPr>
      </w:pPr>
      <w:r w:rsidRPr="000843C4">
        <w:rPr>
          <w:rFonts w:ascii="Arial" w:hAnsi="Arial" w:cs="Arial"/>
        </w:rPr>
        <w:t>Algunos de estos reportes son: 1) Hoja de Trabajo; 2) Reportes de gestión, entre los que se encuentran los Saldos por conciliar, la Ecuación patrimonial y los Saldos reportados por cuenta; 3) Estados financieros consolidados; y, 4) Publicación de información en la WEB.</w:t>
      </w:r>
    </w:p>
    <w:p w14:paraId="48ADAA6F" w14:textId="77777777" w:rsidR="000843C4" w:rsidRDefault="000843C4" w:rsidP="000843C4">
      <w:pPr>
        <w:ind w:right="-234"/>
        <w:jc w:val="both"/>
        <w:rPr>
          <w:rFonts w:ascii="Arial" w:hAnsi="Arial" w:cs="Arial"/>
        </w:rPr>
      </w:pPr>
    </w:p>
    <w:p w14:paraId="6C0E52AD" w14:textId="7370C7CB" w:rsidR="000843C4" w:rsidRPr="000843C4" w:rsidRDefault="000843C4" w:rsidP="000843C4">
      <w:pPr>
        <w:ind w:right="-234"/>
        <w:jc w:val="both"/>
        <w:rPr>
          <w:rFonts w:ascii="Arial" w:hAnsi="Arial" w:cs="Arial"/>
        </w:rPr>
      </w:pPr>
      <w:r w:rsidRPr="000843C4">
        <w:rPr>
          <w:rFonts w:ascii="Arial" w:hAnsi="Arial" w:cs="Arial"/>
        </w:rPr>
        <w:t>Los procesos enunciados están acompañados de una gestión a la calidad de la información reportada como pasos previos a la consolidación y que son los soportes correspondientes que lo respaldan.</w:t>
      </w:r>
    </w:p>
    <w:p w14:paraId="5995BDEF" w14:textId="7C86B22D" w:rsidR="00D33495" w:rsidRPr="000843C4" w:rsidRDefault="00D33495" w:rsidP="000843C4">
      <w:pPr>
        <w:rPr>
          <w:rFonts w:ascii="Arial" w:hAnsi="Arial" w:cs="Arial"/>
        </w:rPr>
      </w:pPr>
    </w:p>
    <w:p w14:paraId="1DA28A20" w14:textId="580ACFBB" w:rsidR="000027B5" w:rsidRDefault="000027B5" w:rsidP="000027B5">
      <w:pPr>
        <w:jc w:val="both"/>
        <w:rPr>
          <w:rFonts w:ascii="Arial" w:hAnsi="Arial" w:cs="Arial"/>
          <w:b/>
          <w:bCs/>
          <w:sz w:val="28"/>
          <w:szCs w:val="28"/>
          <w:lang w:eastAsia="es-CO"/>
        </w:rPr>
      </w:pPr>
      <w:r w:rsidRPr="000027B5">
        <w:rPr>
          <w:rFonts w:ascii="Arial" w:hAnsi="Arial" w:cs="Arial"/>
          <w:b/>
          <w:bCs/>
          <w:sz w:val="28"/>
          <w:szCs w:val="28"/>
          <w:lang w:eastAsia="es-CO"/>
        </w:rPr>
        <w:t>COBERTURA</w:t>
      </w:r>
      <w:r>
        <w:rPr>
          <w:rFonts w:ascii="Arial" w:hAnsi="Arial" w:cs="Arial"/>
          <w:b/>
          <w:bCs/>
          <w:sz w:val="28"/>
          <w:szCs w:val="28"/>
          <w:lang w:eastAsia="es-CO"/>
        </w:rPr>
        <w:t>.</w:t>
      </w:r>
    </w:p>
    <w:p w14:paraId="31D02C19" w14:textId="1A389BE4" w:rsidR="000027B5" w:rsidRDefault="000027B5" w:rsidP="000027B5">
      <w:pPr>
        <w:jc w:val="both"/>
        <w:rPr>
          <w:rFonts w:ascii="Arial" w:hAnsi="Arial" w:cs="Arial"/>
          <w:b/>
          <w:bCs/>
          <w:sz w:val="28"/>
          <w:szCs w:val="28"/>
          <w:lang w:eastAsia="es-CO"/>
        </w:rPr>
      </w:pPr>
    </w:p>
    <w:p w14:paraId="1EAA0B49" w14:textId="77777777" w:rsidR="00E06EBF" w:rsidRPr="00E06EBF" w:rsidRDefault="00E06EBF" w:rsidP="00E06EBF">
      <w:pPr>
        <w:jc w:val="both"/>
        <w:rPr>
          <w:rFonts w:ascii="Arial" w:hAnsi="Arial" w:cs="Arial"/>
          <w:lang w:eastAsia="es-CO"/>
        </w:rPr>
      </w:pPr>
      <w:r w:rsidRPr="00E06EBF">
        <w:rPr>
          <w:rFonts w:ascii="Arial" w:hAnsi="Arial" w:cs="Arial"/>
          <w:lang w:eastAsia="es-CO"/>
        </w:rPr>
        <w:t xml:space="preserve">Los estados financieros consolidados del nivel nacional se preparan a partir del universo de entidades públicas que lo conforman, las cuales se encuentran registradas en la base de datos de la Contaduría General de la Nación (CGN) como entidades activas al cierre del periodo contable, identificadas mediante el código de institucional que sirve de base para el reporte periódico de la información a través del Sistema CHIP y del Código Único Institucional (CUIN) que permite realizar las agrupaciones o centros de consolidación respectivos, para efectos de estadísticas económicas. </w:t>
      </w:r>
    </w:p>
    <w:p w14:paraId="7C7FABAF" w14:textId="77777777" w:rsidR="00E06EBF" w:rsidRPr="00E06EBF" w:rsidRDefault="00E06EBF" w:rsidP="00E06EBF">
      <w:pPr>
        <w:jc w:val="both"/>
        <w:rPr>
          <w:rFonts w:ascii="Arial" w:hAnsi="Arial" w:cs="Arial"/>
          <w:lang w:eastAsia="es-CO"/>
        </w:rPr>
      </w:pPr>
    </w:p>
    <w:p w14:paraId="48EA534E" w14:textId="77777777" w:rsidR="00E06EBF" w:rsidRPr="00E06EBF" w:rsidRDefault="00E06EBF" w:rsidP="00E06EBF">
      <w:pPr>
        <w:jc w:val="both"/>
        <w:rPr>
          <w:rFonts w:ascii="Arial" w:hAnsi="Arial" w:cs="Arial"/>
          <w:lang w:eastAsia="es-CO"/>
        </w:rPr>
      </w:pPr>
      <w:r w:rsidRPr="00E06EBF">
        <w:rPr>
          <w:rFonts w:ascii="Arial" w:hAnsi="Arial" w:cs="Arial"/>
          <w:lang w:eastAsia="es-CO"/>
        </w:rPr>
        <w:t xml:space="preserve">Es importante señalar que una entidad pública registrada en la base de datos de la CGN, con su respectivo código de identificación, también puede agregar a otras entidades públicas, en un ejercicio de simplificación del proceso de consolidación y como una fase previa del mismo. Tal es el caso de algunos ministerios que incluyen fondos o patrimonios autónomos, o </w:t>
      </w:r>
      <w:r w:rsidRPr="00E06EBF">
        <w:rPr>
          <w:rFonts w:ascii="Arial" w:hAnsi="Arial" w:cs="Arial"/>
          <w:lang w:eastAsia="es-CO"/>
        </w:rPr>
        <w:lastRenderedPageBreak/>
        <w:t xml:space="preserve">información de sus seccionales o regionales, a pesar de manejarse separadamente la información contable. </w:t>
      </w:r>
    </w:p>
    <w:p w14:paraId="608AC58E" w14:textId="77777777" w:rsidR="00E06EBF" w:rsidRPr="00E06EBF" w:rsidRDefault="00E06EBF" w:rsidP="00E06EBF">
      <w:pPr>
        <w:jc w:val="both"/>
        <w:rPr>
          <w:rFonts w:ascii="Arial" w:hAnsi="Arial" w:cs="Arial"/>
          <w:lang w:eastAsia="es-CO"/>
        </w:rPr>
      </w:pPr>
    </w:p>
    <w:p w14:paraId="46C9B9D8" w14:textId="77777777" w:rsidR="00E06EBF" w:rsidRPr="00E06EBF" w:rsidRDefault="00E06EBF" w:rsidP="00E06EBF">
      <w:pPr>
        <w:jc w:val="both"/>
        <w:rPr>
          <w:rFonts w:ascii="Arial" w:hAnsi="Arial" w:cs="Arial"/>
          <w:lang w:eastAsia="es-CO"/>
        </w:rPr>
      </w:pPr>
      <w:r w:rsidRPr="00E06EBF">
        <w:rPr>
          <w:rFonts w:ascii="Arial" w:hAnsi="Arial" w:cs="Arial"/>
          <w:lang w:eastAsia="es-CO"/>
        </w:rPr>
        <w:t>En el nivel nacional se encuentran las autoridades y entidades como el Congreso de la República, la Rama ejecutiva nacional; la Rama Judicial con las cortes Constitucional y Suprema de justicia, el Consejo Superior de la Judicatura, el Consejo de Estado, la Fiscalía General; la organización electoral y organismos de control, entre ellos la Procuraduría General de la Nación y la Contraloría General de la República. También hacen parte de este nivel entidades autónomas como las universidades y corporaciones autónomas, al igual que empresas industriales y comerciales del estado, empresas de economía mixta, entre otras, que tienen participación de entidades de gobierno del nivel nacional.</w:t>
      </w:r>
    </w:p>
    <w:p w14:paraId="43EB6477" w14:textId="77777777" w:rsidR="00E06EBF" w:rsidRPr="00E06EBF" w:rsidRDefault="00E06EBF" w:rsidP="00E06EBF">
      <w:pPr>
        <w:jc w:val="both"/>
        <w:rPr>
          <w:rFonts w:ascii="Arial" w:hAnsi="Arial" w:cs="Arial"/>
          <w:lang w:eastAsia="es-CO"/>
        </w:rPr>
      </w:pPr>
    </w:p>
    <w:p w14:paraId="387A10A2" w14:textId="77777777" w:rsidR="00E06EBF" w:rsidRPr="00E06EBF" w:rsidRDefault="00E06EBF" w:rsidP="00E06EBF">
      <w:pPr>
        <w:jc w:val="both"/>
        <w:rPr>
          <w:rFonts w:ascii="Arial" w:hAnsi="Arial" w:cs="Arial"/>
          <w:lang w:eastAsia="es-CO"/>
        </w:rPr>
      </w:pPr>
      <w:r w:rsidRPr="00E06EBF">
        <w:rPr>
          <w:rFonts w:ascii="Arial" w:hAnsi="Arial" w:cs="Arial"/>
          <w:lang w:eastAsia="es-CO"/>
        </w:rPr>
        <w:t>La clasificación del nivel nacional para efectos de la elaboración de los informes consolidados atiende criterios tanto jurídicos, económicos y sociales, como de los marcos normativos aplicables a cada entidad. Los criterios económicos siguen las recomendaciones del Fondo Monetario Internacional (FMI), los cuales han sido concertados en la Mesa de Entidades de la Comisión Intersectorial de Información para la Gestión Financiera Pública (CIIGFP), con el Ministerio de Hacienda y Crédito Público (MHCP) - Dirección de Política Macroeconómica, el Banco de la República (BR) y el Departamento Administrativo Nacional de Estadísticas (DANE), orientados a presentar información financiera que permita la comparación entre países.</w:t>
      </w:r>
    </w:p>
    <w:p w14:paraId="3DDCE3CE" w14:textId="77777777" w:rsidR="00E06EBF" w:rsidRPr="00E06EBF" w:rsidRDefault="00E06EBF" w:rsidP="00E06EBF">
      <w:pPr>
        <w:jc w:val="both"/>
        <w:rPr>
          <w:rFonts w:ascii="Arial" w:hAnsi="Arial" w:cs="Arial"/>
          <w:lang w:eastAsia="es-CO"/>
        </w:rPr>
      </w:pPr>
    </w:p>
    <w:p w14:paraId="43FD6E09" w14:textId="054CDF5E" w:rsidR="00E06EBF" w:rsidRPr="00E06EBF" w:rsidRDefault="00E06EBF" w:rsidP="00E06EBF">
      <w:pPr>
        <w:jc w:val="both"/>
        <w:rPr>
          <w:rFonts w:ascii="Arial" w:hAnsi="Arial" w:cs="Arial"/>
          <w:sz w:val="22"/>
          <w:szCs w:val="22"/>
          <w:lang w:eastAsia="es-CO"/>
        </w:rPr>
      </w:pPr>
      <w:r w:rsidRPr="00E06EBF">
        <w:rPr>
          <w:rFonts w:ascii="Arial" w:hAnsi="Arial" w:cs="Arial"/>
          <w:sz w:val="22"/>
          <w:szCs w:val="22"/>
          <w:lang w:eastAsia="es-CO"/>
        </w:rPr>
        <w:t>Es así como el universo de entidades que, para el consolidado al 31 de diciembre de 2024, conforman este nivel son 353, de las cuales 279 son entidades de gobierno</w:t>
      </w:r>
      <w:r w:rsidRPr="00E06EBF">
        <w:rPr>
          <w:rStyle w:val="Refdenotaalpie"/>
          <w:rFonts w:ascii="Arial" w:hAnsi="Arial" w:cs="Arial"/>
          <w:szCs w:val="22"/>
          <w:lang w:eastAsia="es-CO"/>
        </w:rPr>
        <w:footnoteReference w:id="1"/>
      </w:r>
      <w:r w:rsidRPr="00E06EBF">
        <w:rPr>
          <w:rFonts w:ascii="Arial" w:hAnsi="Arial" w:cs="Arial"/>
          <w:sz w:val="22"/>
          <w:szCs w:val="22"/>
          <w:lang w:eastAsia="es-CO"/>
        </w:rPr>
        <w:t>, 34 corresponden a empresas públicas que cotizan en el mercado de valores o que captan o administran ahorro del público</w:t>
      </w:r>
      <w:r w:rsidRPr="00E06EBF">
        <w:rPr>
          <w:rStyle w:val="Refdenotaalpie"/>
          <w:rFonts w:ascii="Arial" w:hAnsi="Arial" w:cs="Arial"/>
          <w:szCs w:val="22"/>
          <w:lang w:eastAsia="es-CO"/>
        </w:rPr>
        <w:footnoteReference w:id="2"/>
      </w:r>
      <w:r w:rsidRPr="00E06EBF">
        <w:rPr>
          <w:rFonts w:ascii="Arial" w:hAnsi="Arial" w:cs="Arial"/>
          <w:sz w:val="22"/>
          <w:szCs w:val="22"/>
          <w:lang w:eastAsia="es-CO"/>
        </w:rPr>
        <w:t>, 38 son empresas que no cotizan en el mercado de valores, y que no captan ni administran ahorro del público</w:t>
      </w:r>
      <w:r w:rsidRPr="00E06EBF">
        <w:rPr>
          <w:rStyle w:val="Refdenotaalpie"/>
          <w:rFonts w:ascii="Arial" w:hAnsi="Arial" w:cs="Arial"/>
          <w:szCs w:val="22"/>
          <w:lang w:eastAsia="es-CO"/>
        </w:rPr>
        <w:footnoteReference w:id="3"/>
      </w:r>
      <w:r w:rsidRPr="00E06EBF">
        <w:rPr>
          <w:rFonts w:ascii="Arial" w:hAnsi="Arial" w:cs="Arial"/>
          <w:sz w:val="22"/>
          <w:szCs w:val="22"/>
          <w:lang w:eastAsia="es-CO"/>
        </w:rPr>
        <w:t xml:space="preserve"> y, 2 son entidades que aplicaron el marco normativo para entidades en liquidación</w:t>
      </w:r>
      <w:r w:rsidRPr="00E06EBF">
        <w:rPr>
          <w:rStyle w:val="Refdenotaalpie"/>
          <w:rFonts w:ascii="Arial" w:hAnsi="Arial" w:cs="Arial"/>
          <w:szCs w:val="22"/>
          <w:lang w:eastAsia="es-CO"/>
        </w:rPr>
        <w:footnoteReference w:id="4"/>
      </w:r>
      <w:r w:rsidRPr="00E06EBF">
        <w:rPr>
          <w:rFonts w:ascii="Arial" w:hAnsi="Arial" w:cs="Arial"/>
          <w:sz w:val="22"/>
          <w:szCs w:val="22"/>
          <w:lang w:eastAsia="es-CO"/>
        </w:rPr>
        <w:t>.</w:t>
      </w:r>
    </w:p>
    <w:p w14:paraId="7121D790" w14:textId="3A5794EA" w:rsidR="00E06EBF" w:rsidRPr="00E06EBF" w:rsidRDefault="00E06EBF" w:rsidP="00E06EBF">
      <w:pPr>
        <w:jc w:val="both"/>
        <w:rPr>
          <w:rFonts w:ascii="Arial" w:hAnsi="Arial" w:cs="Arial"/>
          <w:sz w:val="22"/>
          <w:szCs w:val="22"/>
          <w:lang w:eastAsia="es-CO"/>
        </w:rPr>
      </w:pPr>
    </w:p>
    <w:p w14:paraId="5C741218" w14:textId="77777777" w:rsidR="00E06EBF" w:rsidRPr="00E06EBF" w:rsidRDefault="00E06EBF" w:rsidP="00E06EBF">
      <w:pPr>
        <w:jc w:val="both"/>
        <w:rPr>
          <w:rFonts w:ascii="Arial" w:hAnsi="Arial" w:cs="Arial"/>
          <w:lang w:eastAsia="es-CO"/>
        </w:rPr>
      </w:pPr>
      <w:r w:rsidRPr="00E06EBF">
        <w:rPr>
          <w:rFonts w:ascii="Arial" w:hAnsi="Arial" w:cs="Arial"/>
          <w:lang w:eastAsia="es-CO"/>
        </w:rPr>
        <w:t>Los estados financieros consolidados del nivel nacional del año 2024 incluyen las 353 entidades, es decir, el 100% del universo de entidades registradas en la base de datos de la CGN para este nivel.</w:t>
      </w:r>
    </w:p>
    <w:p w14:paraId="4CF8BA89" w14:textId="77777777" w:rsidR="00E06EBF" w:rsidRPr="00E06EBF" w:rsidRDefault="00E06EBF" w:rsidP="00E06EBF">
      <w:pPr>
        <w:jc w:val="both"/>
        <w:rPr>
          <w:rFonts w:ascii="Arial" w:hAnsi="Arial" w:cs="Arial"/>
          <w:sz w:val="22"/>
          <w:szCs w:val="22"/>
          <w:lang w:eastAsia="es-CO"/>
        </w:rPr>
      </w:pPr>
    </w:p>
    <w:p w14:paraId="1F2BB2D6" w14:textId="6FF6734D" w:rsidR="00E06EBF" w:rsidRPr="00E06EBF" w:rsidRDefault="00E06EBF" w:rsidP="00E06EBF">
      <w:pPr>
        <w:jc w:val="both"/>
        <w:rPr>
          <w:rFonts w:ascii="Arial" w:hAnsi="Arial" w:cs="Arial"/>
          <w:lang w:eastAsia="es-CO"/>
        </w:rPr>
      </w:pPr>
      <w:r w:rsidRPr="00E06EBF">
        <w:rPr>
          <w:rFonts w:ascii="Arial" w:hAnsi="Arial" w:cs="Arial"/>
          <w:b/>
          <w:bCs/>
          <w:u w:val="single"/>
          <w:lang w:eastAsia="es-CO"/>
        </w:rPr>
        <w:t xml:space="preserve">Los estados financieros consolidados del nivel nacional del año 2024 incluyen las 353 entidades, es decir, el 100% del universo de entidades registradas en la base de datos de la CGN para este </w:t>
      </w:r>
      <w:r w:rsidR="00C76F1E" w:rsidRPr="00E06EBF">
        <w:rPr>
          <w:rFonts w:ascii="Arial" w:hAnsi="Arial" w:cs="Arial"/>
          <w:b/>
          <w:bCs/>
          <w:u w:val="single"/>
          <w:lang w:eastAsia="es-CO"/>
        </w:rPr>
        <w:t>nivel</w:t>
      </w:r>
      <w:r w:rsidR="00C76F1E" w:rsidRPr="006E454D">
        <w:rPr>
          <w:rFonts w:ascii="Arial" w:hAnsi="Arial" w:cs="Arial"/>
          <w:lang w:eastAsia="es-CO"/>
        </w:rPr>
        <w:t>.</w:t>
      </w:r>
      <w:r w:rsidR="00C76F1E">
        <w:rPr>
          <w:rFonts w:ascii="Arial" w:hAnsi="Arial" w:cs="Arial"/>
          <w:lang w:eastAsia="es-CO"/>
        </w:rPr>
        <w:t xml:space="preserve"> (</w:t>
      </w:r>
      <w:r w:rsidR="006E454D">
        <w:rPr>
          <w:rFonts w:ascii="Arial" w:hAnsi="Arial" w:cs="Arial"/>
          <w:lang w:eastAsia="es-CO"/>
        </w:rPr>
        <w:t>Subrayado y resaltado fuera de texto).</w:t>
      </w:r>
    </w:p>
    <w:p w14:paraId="1F69018C" w14:textId="77777777" w:rsidR="00D33495" w:rsidRPr="000843C4" w:rsidRDefault="00D33495" w:rsidP="00D33495">
      <w:pPr>
        <w:rPr>
          <w:rFonts w:ascii="Arial" w:hAnsi="Arial" w:cs="Arial"/>
        </w:rPr>
      </w:pPr>
    </w:p>
    <w:p w14:paraId="1A6D1A06" w14:textId="77777777" w:rsidR="00D33495" w:rsidRPr="000843C4" w:rsidRDefault="00D33495" w:rsidP="00D33495">
      <w:pPr>
        <w:rPr>
          <w:rFonts w:ascii="Arial" w:hAnsi="Arial" w:cs="Arial"/>
        </w:rPr>
      </w:pPr>
    </w:p>
    <w:p w14:paraId="668C1A90" w14:textId="77777777" w:rsidR="00D33495" w:rsidRPr="000843C4" w:rsidRDefault="00D33495" w:rsidP="00D33495">
      <w:pPr>
        <w:rPr>
          <w:rFonts w:ascii="Arial" w:hAnsi="Arial" w:cs="Arial"/>
        </w:rPr>
      </w:pPr>
    </w:p>
    <w:p w14:paraId="07D3B5FD" w14:textId="77777777" w:rsidR="00210258" w:rsidRDefault="00D33495" w:rsidP="00ED6006">
      <w:pPr>
        <w:tabs>
          <w:tab w:val="left" w:pos="3135"/>
        </w:tabs>
        <w:rPr>
          <w:rFonts w:ascii="Arial" w:hAnsi="Arial" w:cs="Arial"/>
        </w:rPr>
      </w:pPr>
      <w:r>
        <w:rPr>
          <w:rFonts w:ascii="Arial" w:hAnsi="Arial" w:cs="Arial"/>
        </w:rPr>
        <w:tab/>
      </w:r>
      <w:bookmarkStart w:id="17" w:name="_Toc198020292"/>
    </w:p>
    <w:p w14:paraId="7D2547F1" w14:textId="77777777" w:rsidR="00210258" w:rsidRDefault="00210258" w:rsidP="00ED6006">
      <w:pPr>
        <w:tabs>
          <w:tab w:val="left" w:pos="3135"/>
        </w:tabs>
        <w:rPr>
          <w:rFonts w:ascii="Arial" w:hAnsi="Arial" w:cs="Arial"/>
        </w:rPr>
      </w:pPr>
    </w:p>
    <w:p w14:paraId="08803489" w14:textId="77777777" w:rsidR="00210258" w:rsidRDefault="00210258" w:rsidP="00ED6006">
      <w:pPr>
        <w:tabs>
          <w:tab w:val="left" w:pos="3135"/>
        </w:tabs>
        <w:rPr>
          <w:rFonts w:ascii="Arial" w:hAnsi="Arial" w:cs="Arial"/>
        </w:rPr>
      </w:pPr>
    </w:p>
    <w:p w14:paraId="02ACF46F" w14:textId="77777777" w:rsidR="00210258" w:rsidRDefault="00210258" w:rsidP="00ED6006">
      <w:pPr>
        <w:tabs>
          <w:tab w:val="left" w:pos="3135"/>
        </w:tabs>
        <w:rPr>
          <w:rFonts w:ascii="Arial" w:hAnsi="Arial" w:cs="Arial"/>
        </w:rPr>
      </w:pPr>
    </w:p>
    <w:p w14:paraId="27580884" w14:textId="77777777" w:rsidR="00210258" w:rsidRDefault="00210258" w:rsidP="00ED6006">
      <w:pPr>
        <w:tabs>
          <w:tab w:val="left" w:pos="3135"/>
        </w:tabs>
        <w:rPr>
          <w:rFonts w:ascii="Arial" w:hAnsi="Arial" w:cs="Arial"/>
        </w:rPr>
      </w:pPr>
    </w:p>
    <w:p w14:paraId="6F80FDAB" w14:textId="402A06EA" w:rsidR="00E06EBF" w:rsidRPr="00ED6006" w:rsidRDefault="00E06EBF" w:rsidP="00210258">
      <w:pPr>
        <w:tabs>
          <w:tab w:val="left" w:pos="3135"/>
        </w:tabs>
        <w:jc w:val="center"/>
        <w:rPr>
          <w:rFonts w:ascii="Arial" w:hAnsi="Arial" w:cs="Arial"/>
          <w:b/>
          <w:bCs/>
        </w:rPr>
      </w:pPr>
      <w:r w:rsidRPr="00ED6006">
        <w:rPr>
          <w:rFonts w:ascii="Arial" w:hAnsi="Arial" w:cs="Arial"/>
          <w:b/>
          <w:bCs/>
        </w:rPr>
        <w:lastRenderedPageBreak/>
        <w:t xml:space="preserve">Gráfico </w:t>
      </w:r>
      <w:r w:rsidRPr="00ED6006">
        <w:rPr>
          <w:rFonts w:ascii="Arial" w:hAnsi="Arial" w:cs="Arial"/>
          <w:b/>
          <w:bCs/>
        </w:rPr>
        <w:fldChar w:fldCharType="begin"/>
      </w:r>
      <w:r w:rsidRPr="00ED6006">
        <w:rPr>
          <w:rFonts w:ascii="Arial" w:hAnsi="Arial" w:cs="Arial"/>
          <w:b/>
          <w:bCs/>
        </w:rPr>
        <w:instrText xml:space="preserve"> STYLEREF 1 \s </w:instrText>
      </w:r>
      <w:r w:rsidRPr="00ED6006">
        <w:rPr>
          <w:rFonts w:ascii="Arial" w:hAnsi="Arial" w:cs="Arial"/>
          <w:b/>
          <w:bCs/>
        </w:rPr>
        <w:fldChar w:fldCharType="separate"/>
      </w:r>
      <w:r w:rsidRPr="00ED6006">
        <w:rPr>
          <w:rFonts w:ascii="Arial" w:hAnsi="Arial" w:cs="Arial"/>
          <w:b/>
          <w:bCs/>
          <w:noProof/>
        </w:rPr>
        <w:t>4</w:t>
      </w:r>
      <w:r w:rsidRPr="00ED6006">
        <w:rPr>
          <w:rFonts w:ascii="Arial" w:hAnsi="Arial" w:cs="Arial"/>
          <w:b/>
          <w:bCs/>
          <w:noProof/>
        </w:rPr>
        <w:fldChar w:fldCharType="end"/>
      </w:r>
      <w:r w:rsidRPr="00ED6006">
        <w:rPr>
          <w:rFonts w:ascii="Arial" w:hAnsi="Arial" w:cs="Arial"/>
          <w:b/>
          <w:bCs/>
        </w:rPr>
        <w:noBreakHyphen/>
      </w:r>
      <w:r w:rsidRPr="00ED6006">
        <w:rPr>
          <w:rFonts w:ascii="Arial" w:hAnsi="Arial" w:cs="Arial"/>
          <w:b/>
          <w:bCs/>
        </w:rPr>
        <w:fldChar w:fldCharType="begin"/>
      </w:r>
      <w:r w:rsidRPr="00ED6006">
        <w:rPr>
          <w:rFonts w:ascii="Arial" w:hAnsi="Arial" w:cs="Arial"/>
          <w:b/>
          <w:bCs/>
        </w:rPr>
        <w:instrText xml:space="preserve"> SEQ Gráfico \* ARABIC \s 1 </w:instrText>
      </w:r>
      <w:r w:rsidRPr="00ED6006">
        <w:rPr>
          <w:rFonts w:ascii="Arial" w:hAnsi="Arial" w:cs="Arial"/>
          <w:b/>
          <w:bCs/>
        </w:rPr>
        <w:fldChar w:fldCharType="separate"/>
      </w:r>
      <w:r w:rsidRPr="00ED6006">
        <w:rPr>
          <w:rFonts w:ascii="Arial" w:hAnsi="Arial" w:cs="Arial"/>
          <w:b/>
          <w:bCs/>
          <w:noProof/>
        </w:rPr>
        <w:t>1</w:t>
      </w:r>
      <w:r w:rsidRPr="00ED6006">
        <w:rPr>
          <w:rFonts w:ascii="Arial" w:hAnsi="Arial" w:cs="Arial"/>
          <w:b/>
          <w:bCs/>
          <w:noProof/>
        </w:rPr>
        <w:fldChar w:fldCharType="end"/>
      </w:r>
      <w:r w:rsidRPr="00ED6006">
        <w:rPr>
          <w:rFonts w:ascii="Arial" w:hAnsi="Arial" w:cs="Arial"/>
          <w:b/>
          <w:bCs/>
        </w:rPr>
        <w:t xml:space="preserve"> Cobertura</w:t>
      </w:r>
      <w:bookmarkEnd w:id="17"/>
    </w:p>
    <w:p w14:paraId="42907638" w14:textId="77777777" w:rsidR="00E06EBF" w:rsidRDefault="00E06EBF" w:rsidP="00E06EBF">
      <w:pPr>
        <w:rPr>
          <w:lang w:val="es-CO" w:eastAsia="en-US"/>
        </w:rPr>
      </w:pPr>
    </w:p>
    <w:p w14:paraId="6EA98126" w14:textId="4E55CE98" w:rsidR="00D33495" w:rsidRDefault="00D33495" w:rsidP="00D33495">
      <w:pPr>
        <w:tabs>
          <w:tab w:val="left" w:pos="3135"/>
        </w:tabs>
        <w:rPr>
          <w:rFonts w:ascii="Arial" w:hAnsi="Arial" w:cs="Arial"/>
        </w:rPr>
      </w:pPr>
    </w:p>
    <w:p w14:paraId="4CE37988" w14:textId="78CE4E8E" w:rsidR="00E06EBF" w:rsidRDefault="00E06EBF" w:rsidP="00E06EBF">
      <w:pPr>
        <w:tabs>
          <w:tab w:val="left" w:pos="3135"/>
        </w:tabs>
        <w:jc w:val="center"/>
        <w:rPr>
          <w:rFonts w:ascii="Arial" w:hAnsi="Arial" w:cs="Arial"/>
        </w:rPr>
      </w:pPr>
      <w:r>
        <w:rPr>
          <w:noProof/>
          <w:lang w:eastAsia="es-CO"/>
        </w:rPr>
        <w:drawing>
          <wp:inline distT="0" distB="0" distL="0" distR="0" wp14:anchorId="170B4E33" wp14:editId="27C3B1AD">
            <wp:extent cx="4476750" cy="424821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80880" cy="4252130"/>
                    </a:xfrm>
                    <a:prstGeom prst="rect">
                      <a:avLst/>
                    </a:prstGeom>
                    <a:noFill/>
                  </pic:spPr>
                </pic:pic>
              </a:graphicData>
            </a:graphic>
          </wp:inline>
        </w:drawing>
      </w:r>
    </w:p>
    <w:p w14:paraId="1DA884C4" w14:textId="1A2CB993" w:rsidR="00E06EBF" w:rsidRPr="00E06EBF" w:rsidRDefault="00E06EBF" w:rsidP="00E06EBF">
      <w:pPr>
        <w:rPr>
          <w:rFonts w:ascii="Arial" w:hAnsi="Arial" w:cs="Arial"/>
        </w:rPr>
      </w:pPr>
    </w:p>
    <w:p w14:paraId="7CDF6697" w14:textId="65130473" w:rsidR="00E378A6" w:rsidRPr="004D34E2" w:rsidRDefault="00E378A6" w:rsidP="00E378A6">
      <w:pPr>
        <w:ind w:right="-518"/>
        <w:jc w:val="both"/>
        <w:rPr>
          <w:rFonts w:ascii="Arial" w:hAnsi="Arial" w:cs="Arial"/>
          <w:b/>
          <w:lang w:val="es-CO"/>
        </w:rPr>
      </w:pPr>
      <w:r w:rsidRPr="004D34E2">
        <w:rPr>
          <w:rFonts w:ascii="Arial" w:hAnsi="Arial" w:cs="Arial"/>
          <w:b/>
          <w:u w:val="single"/>
          <w:lang w:val="es-CO"/>
        </w:rPr>
        <w:t>NOTA IMPORTANTE A TENER EN CUENTA PARA LA VIGENCIA 202</w:t>
      </w:r>
      <w:r>
        <w:rPr>
          <w:rFonts w:ascii="Arial" w:hAnsi="Arial" w:cs="Arial"/>
          <w:b/>
          <w:u w:val="single"/>
          <w:lang w:val="es-CO"/>
        </w:rPr>
        <w:t>4</w:t>
      </w:r>
      <w:r w:rsidRPr="004D34E2">
        <w:rPr>
          <w:rFonts w:ascii="Arial" w:hAnsi="Arial" w:cs="Arial"/>
          <w:b/>
          <w:lang w:val="es-CO"/>
        </w:rPr>
        <w:t>.</w:t>
      </w:r>
    </w:p>
    <w:p w14:paraId="1D1798D1" w14:textId="2D4E4CEA" w:rsidR="00E06EBF" w:rsidRPr="00E378A6" w:rsidRDefault="00E06EBF" w:rsidP="00E06EBF">
      <w:pPr>
        <w:rPr>
          <w:rFonts w:ascii="Arial" w:hAnsi="Arial" w:cs="Arial"/>
          <w:lang w:val="es-CO"/>
        </w:rPr>
      </w:pPr>
    </w:p>
    <w:p w14:paraId="4B4BEB58" w14:textId="005C859B" w:rsidR="00E378A6" w:rsidRPr="00E378A6" w:rsidRDefault="00E378A6" w:rsidP="00E378A6">
      <w:pPr>
        <w:jc w:val="both"/>
        <w:rPr>
          <w:rFonts w:ascii="Arial" w:hAnsi="Arial" w:cs="Arial"/>
          <w:b/>
          <w:bCs/>
          <w:sz w:val="28"/>
          <w:szCs w:val="28"/>
          <w:lang w:eastAsia="es-CO"/>
        </w:rPr>
      </w:pPr>
      <w:r w:rsidRPr="00E378A6">
        <w:rPr>
          <w:rFonts w:ascii="Arial" w:hAnsi="Arial" w:cs="Arial"/>
          <w:b/>
          <w:bCs/>
          <w:sz w:val="28"/>
          <w:szCs w:val="28"/>
          <w:lang w:eastAsia="es-CO"/>
        </w:rPr>
        <w:t>2.9.5.- Estado de flujos de efectivo.</w:t>
      </w:r>
    </w:p>
    <w:p w14:paraId="3A907206" w14:textId="77777777" w:rsidR="00E378A6" w:rsidRDefault="00E378A6" w:rsidP="00E378A6">
      <w:pPr>
        <w:jc w:val="both"/>
        <w:rPr>
          <w:lang w:eastAsia="es-CO"/>
        </w:rPr>
      </w:pPr>
    </w:p>
    <w:p w14:paraId="52732EF7" w14:textId="6C318AE6" w:rsidR="00E378A6" w:rsidRPr="00AA6E9D" w:rsidRDefault="00E378A6" w:rsidP="00E378A6">
      <w:pPr>
        <w:ind w:right="-234"/>
        <w:jc w:val="both"/>
        <w:rPr>
          <w:rFonts w:ascii="Arial" w:hAnsi="Arial" w:cs="Arial"/>
          <w:lang w:eastAsia="es-CO"/>
        </w:rPr>
      </w:pPr>
      <w:r w:rsidRPr="00AA6E9D">
        <w:rPr>
          <w:rFonts w:ascii="Arial" w:hAnsi="Arial" w:cs="Arial"/>
          <w:b/>
          <w:bCs/>
          <w:u w:val="single"/>
          <w:lang w:eastAsia="es-CO"/>
        </w:rPr>
        <w:t>Mediante la Resolución 283 de 2022, la CGN modificó el artículo 4º de la Resolución 533 de 2015 para el aplazamiento indefinido de presentación del estado de flujos de efectivo consolidado, razón por la cual el conjunto de estados financieros consolidados del año 2024 no contiene dicho estado. Lo anterior por cuanto la mencionada resolución señala la no obligatoriedad de presentar este estado financiero para las entidades que aplican el marco normativo para entidades de gobierno y, por tanto, también indica la no obligación de preparar dicho estado consolidado.</w:t>
      </w:r>
      <w:r w:rsidR="00AA6E9D" w:rsidRPr="00AA6E9D">
        <w:rPr>
          <w:rFonts w:ascii="Arial" w:hAnsi="Arial" w:cs="Arial"/>
          <w:b/>
          <w:bCs/>
          <w:lang w:eastAsia="es-CO"/>
        </w:rPr>
        <w:t xml:space="preserve"> </w:t>
      </w:r>
      <w:r w:rsidR="00AA6E9D" w:rsidRPr="00AA6E9D">
        <w:rPr>
          <w:rFonts w:ascii="Arial" w:hAnsi="Arial" w:cs="Arial"/>
          <w:u w:val="single"/>
          <w:lang w:eastAsia="es-CO"/>
        </w:rPr>
        <w:t>(</w:t>
      </w:r>
      <w:r w:rsidR="00AA6E9D" w:rsidRPr="00AA6E9D">
        <w:rPr>
          <w:rFonts w:ascii="Arial" w:hAnsi="Arial" w:cs="Arial"/>
          <w:lang w:eastAsia="es-CO"/>
        </w:rPr>
        <w:t>Subrayado y resaltado fuera de texto).</w:t>
      </w:r>
    </w:p>
    <w:p w14:paraId="7346C095" w14:textId="7F720874" w:rsidR="00E06EBF" w:rsidRPr="00AA6E9D" w:rsidRDefault="00E06EBF" w:rsidP="00E378A6">
      <w:pPr>
        <w:tabs>
          <w:tab w:val="left" w:pos="1545"/>
        </w:tabs>
        <w:ind w:right="-234"/>
        <w:rPr>
          <w:rFonts w:ascii="Arial" w:hAnsi="Arial" w:cs="Arial"/>
        </w:rPr>
      </w:pPr>
    </w:p>
    <w:p w14:paraId="54BB4F83" w14:textId="7861F0F3" w:rsidR="00E378A6" w:rsidRDefault="0034282E" w:rsidP="0034282E">
      <w:pPr>
        <w:tabs>
          <w:tab w:val="left" w:pos="1545"/>
        </w:tabs>
        <w:ind w:right="-234"/>
        <w:jc w:val="both"/>
        <w:rPr>
          <w:rFonts w:ascii="Arial" w:hAnsi="Arial" w:cs="Arial"/>
          <w:b/>
          <w:bCs/>
          <w:sz w:val="28"/>
          <w:szCs w:val="28"/>
        </w:rPr>
      </w:pPr>
      <w:r w:rsidRPr="0034282E">
        <w:rPr>
          <w:rFonts w:ascii="Arial" w:hAnsi="Arial" w:cs="Arial"/>
          <w:b/>
          <w:bCs/>
          <w:sz w:val="28"/>
          <w:szCs w:val="28"/>
        </w:rPr>
        <w:t>3.- ANÁLISIS GENERAL A LOS ESTADOS FINANCIEROS CONSOLIDADOS DEL NIVEL NACIONAL</w:t>
      </w:r>
      <w:r>
        <w:rPr>
          <w:rFonts w:ascii="Arial" w:hAnsi="Arial" w:cs="Arial"/>
          <w:b/>
          <w:bCs/>
          <w:sz w:val="28"/>
          <w:szCs w:val="28"/>
        </w:rPr>
        <w:t>.</w:t>
      </w:r>
    </w:p>
    <w:p w14:paraId="6065886C" w14:textId="322F71AD" w:rsidR="0034282E" w:rsidRDefault="0034282E" w:rsidP="0034282E">
      <w:pPr>
        <w:tabs>
          <w:tab w:val="left" w:pos="1545"/>
        </w:tabs>
        <w:ind w:right="-234"/>
        <w:jc w:val="both"/>
        <w:rPr>
          <w:rFonts w:ascii="Arial" w:hAnsi="Arial" w:cs="Arial"/>
          <w:b/>
          <w:bCs/>
          <w:sz w:val="28"/>
          <w:szCs w:val="28"/>
        </w:rPr>
      </w:pPr>
    </w:p>
    <w:p w14:paraId="67F2C436" w14:textId="35566B15" w:rsidR="00674048" w:rsidRDefault="00674048" w:rsidP="00F66DB0">
      <w:pPr>
        <w:pStyle w:val="Ttulo2"/>
      </w:pPr>
      <w:bookmarkStart w:id="18" w:name="_Toc196515797"/>
      <w:bookmarkStart w:id="19" w:name="_Toc198020854"/>
      <w:r w:rsidRPr="00674048">
        <w:t>3.2.- ESTADO DE RESULTADOS CONSOLIDADOS</w:t>
      </w:r>
      <w:bookmarkEnd w:id="18"/>
      <w:bookmarkEnd w:id="19"/>
      <w:r w:rsidRPr="00674048">
        <w:t>.</w:t>
      </w:r>
    </w:p>
    <w:p w14:paraId="4F56D4CD" w14:textId="512EA3F3" w:rsidR="00674048" w:rsidRDefault="00674048" w:rsidP="00674048">
      <w:pPr>
        <w:rPr>
          <w:lang w:eastAsia="es-CO"/>
        </w:rPr>
      </w:pPr>
    </w:p>
    <w:p w14:paraId="05547533" w14:textId="1420E9CA" w:rsidR="00674048" w:rsidRDefault="00674048" w:rsidP="00674048">
      <w:pPr>
        <w:rPr>
          <w:lang w:eastAsia="es-CO"/>
        </w:rPr>
      </w:pPr>
    </w:p>
    <w:p w14:paraId="2F6E28C5" w14:textId="77777777" w:rsidR="00674048" w:rsidRPr="0080720B" w:rsidRDefault="00674048" w:rsidP="00674048">
      <w:pPr>
        <w:pStyle w:val="Descripcin"/>
        <w:jc w:val="center"/>
        <w:rPr>
          <w:rFonts w:ascii="Arial" w:hAnsi="Arial" w:cs="Arial"/>
          <w:b/>
          <w:bCs/>
          <w:color w:val="auto"/>
          <w:sz w:val="24"/>
          <w:szCs w:val="24"/>
          <w:lang w:eastAsia="es-CO"/>
        </w:rPr>
      </w:pPr>
      <w:bookmarkStart w:id="20" w:name="_Toc196515874"/>
      <w:bookmarkStart w:id="21" w:name="_Toc198020080"/>
      <w:r w:rsidRPr="0080720B">
        <w:rPr>
          <w:rFonts w:ascii="Arial" w:hAnsi="Arial" w:cs="Arial"/>
          <w:b/>
          <w:bCs/>
          <w:color w:val="auto"/>
          <w:sz w:val="24"/>
          <w:szCs w:val="24"/>
        </w:rPr>
        <w:lastRenderedPageBreak/>
        <w:t xml:space="preserve">Tabla </w:t>
      </w:r>
      <w:r w:rsidRPr="0080720B">
        <w:rPr>
          <w:rFonts w:ascii="Arial" w:hAnsi="Arial" w:cs="Arial"/>
          <w:b/>
          <w:bCs/>
          <w:color w:val="auto"/>
          <w:sz w:val="24"/>
          <w:szCs w:val="24"/>
        </w:rPr>
        <w:fldChar w:fldCharType="begin"/>
      </w:r>
      <w:r w:rsidRPr="0080720B">
        <w:rPr>
          <w:rFonts w:ascii="Arial" w:hAnsi="Arial" w:cs="Arial"/>
          <w:b/>
          <w:bCs/>
          <w:color w:val="auto"/>
          <w:sz w:val="24"/>
          <w:szCs w:val="24"/>
        </w:rPr>
        <w:instrText xml:space="preserve"> STYLEREF 1 \s </w:instrText>
      </w:r>
      <w:r w:rsidRPr="0080720B">
        <w:rPr>
          <w:rFonts w:ascii="Arial" w:hAnsi="Arial" w:cs="Arial"/>
          <w:b/>
          <w:bCs/>
          <w:color w:val="auto"/>
          <w:sz w:val="24"/>
          <w:szCs w:val="24"/>
        </w:rPr>
        <w:fldChar w:fldCharType="separate"/>
      </w:r>
      <w:r w:rsidRPr="0080720B">
        <w:rPr>
          <w:rFonts w:ascii="Arial" w:hAnsi="Arial" w:cs="Arial"/>
          <w:b/>
          <w:bCs/>
          <w:noProof/>
          <w:color w:val="auto"/>
          <w:sz w:val="24"/>
          <w:szCs w:val="24"/>
        </w:rPr>
        <w:t>3</w:t>
      </w:r>
      <w:r w:rsidRPr="0080720B">
        <w:rPr>
          <w:rFonts w:ascii="Arial" w:hAnsi="Arial" w:cs="Arial"/>
          <w:b/>
          <w:bCs/>
          <w:noProof/>
          <w:color w:val="auto"/>
          <w:sz w:val="24"/>
          <w:szCs w:val="24"/>
        </w:rPr>
        <w:fldChar w:fldCharType="end"/>
      </w:r>
      <w:r w:rsidRPr="0080720B">
        <w:rPr>
          <w:rFonts w:ascii="Arial" w:hAnsi="Arial" w:cs="Arial"/>
          <w:b/>
          <w:bCs/>
          <w:color w:val="auto"/>
          <w:sz w:val="24"/>
          <w:szCs w:val="24"/>
        </w:rPr>
        <w:noBreakHyphen/>
      </w:r>
      <w:r w:rsidRPr="0080720B">
        <w:rPr>
          <w:rFonts w:ascii="Arial" w:hAnsi="Arial" w:cs="Arial"/>
          <w:b/>
          <w:bCs/>
          <w:color w:val="auto"/>
          <w:sz w:val="24"/>
          <w:szCs w:val="24"/>
        </w:rPr>
        <w:fldChar w:fldCharType="begin"/>
      </w:r>
      <w:r w:rsidRPr="0080720B">
        <w:rPr>
          <w:rFonts w:ascii="Arial" w:hAnsi="Arial" w:cs="Arial"/>
          <w:b/>
          <w:bCs/>
          <w:color w:val="auto"/>
          <w:sz w:val="24"/>
          <w:szCs w:val="24"/>
        </w:rPr>
        <w:instrText xml:space="preserve"> SEQ Tabla \* ARABIC \s 1 </w:instrText>
      </w:r>
      <w:r w:rsidRPr="0080720B">
        <w:rPr>
          <w:rFonts w:ascii="Arial" w:hAnsi="Arial" w:cs="Arial"/>
          <w:b/>
          <w:bCs/>
          <w:color w:val="auto"/>
          <w:sz w:val="24"/>
          <w:szCs w:val="24"/>
        </w:rPr>
        <w:fldChar w:fldCharType="separate"/>
      </w:r>
      <w:r w:rsidRPr="0080720B">
        <w:rPr>
          <w:rFonts w:ascii="Arial" w:hAnsi="Arial" w:cs="Arial"/>
          <w:b/>
          <w:bCs/>
          <w:noProof/>
          <w:color w:val="auto"/>
          <w:sz w:val="24"/>
          <w:szCs w:val="24"/>
        </w:rPr>
        <w:t>1</w:t>
      </w:r>
      <w:r w:rsidRPr="0080720B">
        <w:rPr>
          <w:rFonts w:ascii="Arial" w:hAnsi="Arial" w:cs="Arial"/>
          <w:b/>
          <w:bCs/>
          <w:noProof/>
          <w:color w:val="auto"/>
          <w:sz w:val="24"/>
          <w:szCs w:val="24"/>
        </w:rPr>
        <w:fldChar w:fldCharType="end"/>
      </w:r>
      <w:r w:rsidRPr="0080720B">
        <w:rPr>
          <w:rFonts w:ascii="Arial" w:hAnsi="Arial" w:cs="Arial"/>
          <w:b/>
          <w:bCs/>
          <w:color w:val="auto"/>
          <w:sz w:val="24"/>
          <w:szCs w:val="24"/>
        </w:rPr>
        <w:t xml:space="preserve"> Estado de resultados consolidados del nivel nacional</w:t>
      </w:r>
      <w:bookmarkEnd w:id="20"/>
      <w:bookmarkEnd w:id="21"/>
    </w:p>
    <w:p w14:paraId="7AD09842" w14:textId="77777777" w:rsidR="00674048" w:rsidRPr="00674048" w:rsidRDefault="00674048" w:rsidP="00674048">
      <w:pPr>
        <w:rPr>
          <w:rFonts w:ascii="Arial" w:hAnsi="Arial" w:cs="Arial"/>
          <w:lang w:val="es-CO" w:eastAsia="es-CO"/>
        </w:rPr>
      </w:pPr>
    </w:p>
    <w:p w14:paraId="39F2E83F" w14:textId="0762ED81" w:rsidR="00674048" w:rsidRDefault="00674048" w:rsidP="00674048">
      <w:pPr>
        <w:tabs>
          <w:tab w:val="left" w:pos="1545"/>
        </w:tabs>
        <w:ind w:right="-234"/>
        <w:jc w:val="center"/>
        <w:rPr>
          <w:rFonts w:ascii="Arial" w:hAnsi="Arial" w:cs="Arial"/>
          <w:b/>
          <w:sz w:val="28"/>
          <w:szCs w:val="28"/>
        </w:rPr>
      </w:pPr>
      <w:r w:rsidRPr="00D921E9">
        <w:rPr>
          <w:noProof/>
          <w:lang w:eastAsia="es-CO"/>
        </w:rPr>
        <w:drawing>
          <wp:inline distT="0" distB="0" distL="0" distR="0" wp14:anchorId="6A6C31BF" wp14:editId="53BD5895">
            <wp:extent cx="5971540" cy="3653790"/>
            <wp:effectExtent l="0" t="0" r="0" b="3810"/>
            <wp:docPr id="15181225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71540" cy="3653790"/>
                    </a:xfrm>
                    <a:prstGeom prst="rect">
                      <a:avLst/>
                    </a:prstGeom>
                    <a:noFill/>
                    <a:ln>
                      <a:noFill/>
                    </a:ln>
                  </pic:spPr>
                </pic:pic>
              </a:graphicData>
            </a:graphic>
          </wp:inline>
        </w:drawing>
      </w:r>
    </w:p>
    <w:p w14:paraId="793E132D" w14:textId="235EF0E1" w:rsidR="00674048" w:rsidRPr="00674048" w:rsidRDefault="00674048" w:rsidP="00674048">
      <w:pPr>
        <w:rPr>
          <w:rFonts w:ascii="Arial" w:hAnsi="Arial" w:cs="Arial"/>
          <w:sz w:val="28"/>
          <w:szCs w:val="28"/>
        </w:rPr>
      </w:pPr>
    </w:p>
    <w:p w14:paraId="38FD3C81" w14:textId="64877C93" w:rsidR="00674048" w:rsidRPr="00674048" w:rsidRDefault="00674048" w:rsidP="008F3F91">
      <w:pPr>
        <w:pStyle w:val="Ttulo4"/>
      </w:pPr>
      <w:bookmarkStart w:id="22" w:name="_Toc196515799"/>
      <w:bookmarkStart w:id="23" w:name="_Toc198020856"/>
      <w:r w:rsidRPr="00674048">
        <w:t>3.2.1.1.- Resultado del ejercicio consolidado</w:t>
      </w:r>
      <w:bookmarkEnd w:id="22"/>
      <w:bookmarkEnd w:id="23"/>
      <w:r w:rsidRPr="00674048">
        <w:t>.</w:t>
      </w:r>
    </w:p>
    <w:p w14:paraId="3CC30D29" w14:textId="49E533C1" w:rsidR="00674048" w:rsidRPr="006E403C" w:rsidRDefault="00674048" w:rsidP="00674048">
      <w:pPr>
        <w:rPr>
          <w:rFonts w:ascii="Arial" w:hAnsi="Arial" w:cs="Arial"/>
          <w:b/>
          <w:bCs/>
          <w:lang w:val="es-CO" w:eastAsia="es-CO"/>
        </w:rPr>
      </w:pPr>
    </w:p>
    <w:p w14:paraId="78FF5005" w14:textId="133F7FB7" w:rsidR="00E953D1" w:rsidRPr="006E403C" w:rsidRDefault="006E403C" w:rsidP="006E403C">
      <w:pPr>
        <w:ind w:right="-234"/>
        <w:jc w:val="both"/>
        <w:rPr>
          <w:rFonts w:ascii="Arial" w:hAnsi="Arial" w:cs="Arial"/>
          <w:lang w:eastAsia="es-CO"/>
        </w:rPr>
      </w:pPr>
      <w:r w:rsidRPr="00AA6E9D">
        <w:rPr>
          <w:rFonts w:ascii="Arial" w:hAnsi="Arial" w:cs="Arial"/>
          <w:b/>
          <w:bCs/>
          <w:u w:val="single"/>
          <w:lang w:eastAsia="es-CO"/>
        </w:rPr>
        <w:t>El resultado del ejercicio consolidado de las entidades contables públicas que conforman el nivel nacional, durante el año 2024, registra un déficit de ($148.868,3) que representa el (8,7%) del PIB</w:t>
      </w:r>
      <w:r w:rsidRPr="006E403C">
        <w:rPr>
          <w:rStyle w:val="Refdenotaalpie"/>
          <w:rFonts w:ascii="Arial" w:hAnsi="Arial" w:cs="Arial"/>
          <w:sz w:val="24"/>
          <w:lang w:eastAsia="es-CO"/>
        </w:rPr>
        <w:footnoteReference w:id="5"/>
      </w:r>
      <w:r w:rsidRPr="006E403C">
        <w:rPr>
          <w:rFonts w:ascii="Arial" w:hAnsi="Arial" w:cs="Arial"/>
          <w:lang w:eastAsia="es-CO"/>
        </w:rPr>
        <w:t>.</w:t>
      </w:r>
      <w:r w:rsidR="00AA6E9D">
        <w:rPr>
          <w:rFonts w:ascii="Arial" w:hAnsi="Arial" w:cs="Arial"/>
          <w:lang w:eastAsia="es-CO"/>
        </w:rPr>
        <w:t xml:space="preserve"> (Subrayado y resaltado fuera de texto).</w:t>
      </w:r>
    </w:p>
    <w:p w14:paraId="516FA4D4" w14:textId="43134417" w:rsidR="006E403C" w:rsidRPr="006E403C" w:rsidRDefault="006E403C" w:rsidP="006E403C">
      <w:pPr>
        <w:rPr>
          <w:rFonts w:ascii="Arial" w:hAnsi="Arial" w:cs="Arial"/>
          <w:lang w:eastAsia="es-CO"/>
        </w:rPr>
      </w:pPr>
    </w:p>
    <w:p w14:paraId="6782EDDC" w14:textId="77777777" w:rsidR="006E403C" w:rsidRPr="006E403C" w:rsidRDefault="006E403C" w:rsidP="006E403C">
      <w:pPr>
        <w:ind w:right="-234"/>
        <w:jc w:val="both"/>
        <w:rPr>
          <w:rFonts w:ascii="Arial" w:hAnsi="Arial" w:cs="Arial"/>
          <w:lang w:eastAsia="es-CO"/>
        </w:rPr>
      </w:pPr>
      <w:r w:rsidRPr="006E403C">
        <w:rPr>
          <w:rFonts w:ascii="Arial" w:hAnsi="Arial" w:cs="Arial"/>
          <w:lang w:eastAsia="es-CO"/>
        </w:rPr>
        <w:t>Comparado el resultado del ejercicio 2024 con el del periodo 2023, se observa una variación por ($159.887,4), equivalente al (1.451,0%), si se tiene en cuenta que en el año 2023 el resultado fue un superávit de $11.019,1, que representó un 0,7% del PIB</w:t>
      </w:r>
      <w:r w:rsidRPr="006E403C">
        <w:rPr>
          <w:rStyle w:val="Refdenotaalpie"/>
          <w:rFonts w:ascii="Arial" w:hAnsi="Arial" w:cs="Arial"/>
          <w:sz w:val="24"/>
          <w:lang w:eastAsia="es-CO"/>
        </w:rPr>
        <w:footnoteReference w:id="6"/>
      </w:r>
      <w:r w:rsidRPr="006E403C">
        <w:rPr>
          <w:rFonts w:ascii="Arial" w:hAnsi="Arial" w:cs="Arial"/>
          <w:lang w:eastAsia="es-CO"/>
        </w:rPr>
        <w:t xml:space="preserve"> de dicha vigencia. </w:t>
      </w:r>
    </w:p>
    <w:p w14:paraId="24EC086F" w14:textId="77777777" w:rsidR="006E403C" w:rsidRPr="006E403C" w:rsidRDefault="006E403C" w:rsidP="006E403C">
      <w:pPr>
        <w:ind w:right="-234"/>
        <w:jc w:val="both"/>
        <w:rPr>
          <w:rFonts w:ascii="Arial" w:hAnsi="Arial" w:cs="Arial"/>
          <w:lang w:eastAsia="es-CO"/>
        </w:rPr>
      </w:pPr>
    </w:p>
    <w:p w14:paraId="04B04FBC" w14:textId="77777777" w:rsidR="006E403C" w:rsidRDefault="006E403C" w:rsidP="006E403C">
      <w:pPr>
        <w:ind w:right="-234"/>
        <w:jc w:val="both"/>
        <w:rPr>
          <w:rFonts w:ascii="Arial" w:hAnsi="Arial" w:cs="Arial"/>
          <w:lang w:eastAsia="es-CO"/>
        </w:rPr>
      </w:pPr>
      <w:r w:rsidRPr="006E403C">
        <w:rPr>
          <w:rFonts w:ascii="Arial" w:hAnsi="Arial" w:cs="Arial"/>
          <w:lang w:eastAsia="es-CO"/>
        </w:rPr>
        <w:t>Este resultado contable deficitario del ejercicio de 2024 por un total de ($148.868,3) obedece a la diferencia entre los ingresos consolidados que alcanzaron la cifra de $745.914,8 y la suma de los gastos y los costos consolidados del nivel nacional que en 2024 ascendieron a $895.950,1, así como la diferencia por el efecto de operaciones recíprocas de ($1.167,0).</w:t>
      </w:r>
      <w:bookmarkStart w:id="24" w:name="_Toc196515802"/>
      <w:bookmarkStart w:id="25" w:name="_Toc198020859"/>
    </w:p>
    <w:p w14:paraId="51776347" w14:textId="77777777" w:rsidR="006E403C" w:rsidRDefault="006E403C" w:rsidP="006E403C">
      <w:pPr>
        <w:ind w:right="-234"/>
        <w:jc w:val="both"/>
        <w:rPr>
          <w:rFonts w:ascii="Arial" w:hAnsi="Arial" w:cs="Arial"/>
          <w:lang w:eastAsia="es-CO"/>
        </w:rPr>
      </w:pPr>
    </w:p>
    <w:p w14:paraId="4D41696E" w14:textId="3133D88D" w:rsidR="006E403C" w:rsidRPr="006E403C" w:rsidRDefault="006E403C" w:rsidP="006E403C">
      <w:pPr>
        <w:ind w:right="-234"/>
        <w:jc w:val="both"/>
        <w:rPr>
          <w:rFonts w:ascii="Arial" w:hAnsi="Arial" w:cs="Arial"/>
          <w:b/>
          <w:bCs/>
          <w:sz w:val="28"/>
          <w:szCs w:val="28"/>
          <w:lang w:eastAsia="es-CO"/>
        </w:rPr>
      </w:pPr>
      <w:r>
        <w:rPr>
          <w:rFonts w:ascii="Arial" w:hAnsi="Arial" w:cs="Arial"/>
          <w:b/>
          <w:bCs/>
          <w:sz w:val="28"/>
          <w:szCs w:val="28"/>
          <w:lang w:eastAsia="es-CO"/>
        </w:rPr>
        <w:t xml:space="preserve">3.2.1.4.- </w:t>
      </w:r>
      <w:r w:rsidRPr="006E403C">
        <w:rPr>
          <w:rFonts w:ascii="Arial" w:hAnsi="Arial" w:cs="Arial"/>
          <w:b/>
          <w:bCs/>
          <w:sz w:val="28"/>
          <w:szCs w:val="28"/>
          <w:lang w:eastAsia="es-CO"/>
        </w:rPr>
        <w:t>Ingresos consolidados</w:t>
      </w:r>
      <w:bookmarkEnd w:id="24"/>
      <w:bookmarkEnd w:id="25"/>
      <w:r w:rsidRPr="006E403C">
        <w:rPr>
          <w:rFonts w:ascii="Arial" w:hAnsi="Arial" w:cs="Arial"/>
          <w:b/>
          <w:bCs/>
          <w:sz w:val="28"/>
          <w:szCs w:val="28"/>
          <w:lang w:eastAsia="es-CO"/>
        </w:rPr>
        <w:t>.</w:t>
      </w:r>
    </w:p>
    <w:p w14:paraId="2344C388" w14:textId="77777777" w:rsidR="006E403C" w:rsidRPr="006E403C" w:rsidRDefault="006E403C" w:rsidP="006E403C">
      <w:pPr>
        <w:ind w:right="-234"/>
        <w:jc w:val="both"/>
        <w:rPr>
          <w:rFonts w:ascii="Arial" w:hAnsi="Arial" w:cs="Arial"/>
          <w:lang w:eastAsia="es-CO"/>
        </w:rPr>
      </w:pPr>
    </w:p>
    <w:p w14:paraId="5822E1E8" w14:textId="55A511A8" w:rsidR="006E403C" w:rsidRDefault="006E403C" w:rsidP="006E403C">
      <w:pPr>
        <w:ind w:right="-234"/>
        <w:jc w:val="both"/>
        <w:rPr>
          <w:rFonts w:ascii="Arial" w:hAnsi="Arial" w:cs="Arial"/>
          <w:lang w:eastAsia="es-CO"/>
        </w:rPr>
      </w:pPr>
      <w:r w:rsidRPr="006E403C">
        <w:rPr>
          <w:rFonts w:ascii="Arial" w:hAnsi="Arial" w:cs="Arial"/>
          <w:lang w:eastAsia="es-CO"/>
        </w:rPr>
        <w:lastRenderedPageBreak/>
        <w:t>Los ingresos consolidados durante 2024 ascienden a $745.914,8, equivalentes al 43,7% del PIB, presentando una disminución absoluta de ($59.490,1) y una variación del (7,4%) frente al año 2023.</w:t>
      </w:r>
    </w:p>
    <w:p w14:paraId="4C7E01C6" w14:textId="77777777" w:rsidR="00256589" w:rsidRDefault="00256589" w:rsidP="00256589">
      <w:pPr>
        <w:pStyle w:val="Descripcin"/>
      </w:pPr>
      <w:bookmarkStart w:id="26" w:name="_Toc196515875"/>
      <w:bookmarkStart w:id="27" w:name="_Toc198020081"/>
    </w:p>
    <w:p w14:paraId="5BABBD6D" w14:textId="54794CA4" w:rsidR="00256589" w:rsidRPr="00256589" w:rsidRDefault="00256589" w:rsidP="00256589">
      <w:pPr>
        <w:pStyle w:val="Descripcin"/>
        <w:jc w:val="center"/>
        <w:rPr>
          <w:rFonts w:ascii="Arial" w:hAnsi="Arial" w:cs="Arial"/>
          <w:b/>
          <w:bCs/>
          <w:color w:val="auto"/>
          <w:sz w:val="24"/>
          <w:szCs w:val="24"/>
          <w:lang w:eastAsia="es-CO"/>
        </w:rPr>
      </w:pPr>
      <w:r w:rsidRPr="00256589">
        <w:rPr>
          <w:rFonts w:ascii="Arial" w:hAnsi="Arial" w:cs="Arial"/>
          <w:b/>
          <w:bCs/>
          <w:color w:val="auto"/>
          <w:sz w:val="24"/>
          <w:szCs w:val="24"/>
        </w:rPr>
        <w:t xml:space="preserve">Tabla </w:t>
      </w:r>
      <w:r w:rsidRPr="00256589">
        <w:rPr>
          <w:rFonts w:ascii="Arial" w:hAnsi="Arial" w:cs="Arial"/>
          <w:b/>
          <w:bCs/>
          <w:color w:val="auto"/>
          <w:sz w:val="24"/>
          <w:szCs w:val="24"/>
        </w:rPr>
        <w:fldChar w:fldCharType="begin"/>
      </w:r>
      <w:r w:rsidRPr="00256589">
        <w:rPr>
          <w:rFonts w:ascii="Arial" w:hAnsi="Arial" w:cs="Arial"/>
          <w:b/>
          <w:bCs/>
          <w:color w:val="auto"/>
          <w:sz w:val="24"/>
          <w:szCs w:val="24"/>
        </w:rPr>
        <w:instrText xml:space="preserve"> STYLEREF 1 \s </w:instrText>
      </w:r>
      <w:r w:rsidRPr="00256589">
        <w:rPr>
          <w:rFonts w:ascii="Arial" w:hAnsi="Arial" w:cs="Arial"/>
          <w:b/>
          <w:bCs/>
          <w:color w:val="auto"/>
          <w:sz w:val="24"/>
          <w:szCs w:val="24"/>
        </w:rPr>
        <w:fldChar w:fldCharType="separate"/>
      </w:r>
      <w:r w:rsidRPr="00256589">
        <w:rPr>
          <w:rFonts w:ascii="Arial" w:hAnsi="Arial" w:cs="Arial"/>
          <w:b/>
          <w:bCs/>
          <w:noProof/>
          <w:color w:val="auto"/>
          <w:sz w:val="24"/>
          <w:szCs w:val="24"/>
        </w:rPr>
        <w:t>3</w:t>
      </w:r>
      <w:r w:rsidRPr="00256589">
        <w:rPr>
          <w:rFonts w:ascii="Arial" w:hAnsi="Arial" w:cs="Arial"/>
          <w:b/>
          <w:bCs/>
          <w:noProof/>
          <w:color w:val="auto"/>
          <w:sz w:val="24"/>
          <w:szCs w:val="24"/>
        </w:rPr>
        <w:fldChar w:fldCharType="end"/>
      </w:r>
      <w:r w:rsidRPr="00256589">
        <w:rPr>
          <w:rFonts w:ascii="Arial" w:hAnsi="Arial" w:cs="Arial"/>
          <w:b/>
          <w:bCs/>
          <w:color w:val="auto"/>
          <w:sz w:val="24"/>
          <w:szCs w:val="24"/>
        </w:rPr>
        <w:noBreakHyphen/>
      </w:r>
      <w:r w:rsidRPr="00256589">
        <w:rPr>
          <w:rFonts w:ascii="Arial" w:hAnsi="Arial" w:cs="Arial"/>
          <w:b/>
          <w:bCs/>
          <w:color w:val="auto"/>
          <w:sz w:val="24"/>
          <w:szCs w:val="24"/>
        </w:rPr>
        <w:fldChar w:fldCharType="begin"/>
      </w:r>
      <w:r w:rsidRPr="00256589">
        <w:rPr>
          <w:rFonts w:ascii="Arial" w:hAnsi="Arial" w:cs="Arial"/>
          <w:b/>
          <w:bCs/>
          <w:color w:val="auto"/>
          <w:sz w:val="24"/>
          <w:szCs w:val="24"/>
        </w:rPr>
        <w:instrText xml:space="preserve"> SEQ Tabla \* ARABIC \s 1 </w:instrText>
      </w:r>
      <w:r w:rsidRPr="00256589">
        <w:rPr>
          <w:rFonts w:ascii="Arial" w:hAnsi="Arial" w:cs="Arial"/>
          <w:b/>
          <w:bCs/>
          <w:color w:val="auto"/>
          <w:sz w:val="24"/>
          <w:szCs w:val="24"/>
        </w:rPr>
        <w:fldChar w:fldCharType="separate"/>
      </w:r>
      <w:r w:rsidRPr="00256589">
        <w:rPr>
          <w:rFonts w:ascii="Arial" w:hAnsi="Arial" w:cs="Arial"/>
          <w:b/>
          <w:bCs/>
          <w:noProof/>
          <w:color w:val="auto"/>
          <w:sz w:val="24"/>
          <w:szCs w:val="24"/>
        </w:rPr>
        <w:t>2</w:t>
      </w:r>
      <w:r w:rsidRPr="00256589">
        <w:rPr>
          <w:rFonts w:ascii="Arial" w:hAnsi="Arial" w:cs="Arial"/>
          <w:b/>
          <w:bCs/>
          <w:noProof/>
          <w:color w:val="auto"/>
          <w:sz w:val="24"/>
          <w:szCs w:val="24"/>
        </w:rPr>
        <w:fldChar w:fldCharType="end"/>
      </w:r>
      <w:r w:rsidRPr="00256589">
        <w:rPr>
          <w:rFonts w:ascii="Arial" w:hAnsi="Arial" w:cs="Arial"/>
          <w:b/>
          <w:bCs/>
          <w:color w:val="auto"/>
          <w:sz w:val="24"/>
          <w:szCs w:val="24"/>
        </w:rPr>
        <w:t xml:space="preserve"> Ingresos consolidados del nivel nacional</w:t>
      </w:r>
      <w:bookmarkEnd w:id="26"/>
      <w:bookmarkEnd w:id="27"/>
    </w:p>
    <w:p w14:paraId="38A34DB9" w14:textId="6A61D56A" w:rsidR="006E403C" w:rsidRDefault="006E403C" w:rsidP="006E403C">
      <w:pPr>
        <w:ind w:right="-234"/>
        <w:jc w:val="both"/>
        <w:rPr>
          <w:rFonts w:ascii="Arial" w:hAnsi="Arial" w:cs="Arial"/>
          <w:b/>
          <w:bCs/>
          <w:sz w:val="28"/>
          <w:szCs w:val="28"/>
          <w:lang w:val="es-CO" w:eastAsia="es-CO"/>
        </w:rPr>
      </w:pPr>
    </w:p>
    <w:p w14:paraId="46454608" w14:textId="33FC4B31" w:rsidR="00256589" w:rsidRDefault="00256589" w:rsidP="00256589">
      <w:pPr>
        <w:ind w:right="-234"/>
        <w:jc w:val="center"/>
        <w:rPr>
          <w:noProof/>
          <w:lang w:eastAsia="es-CO"/>
        </w:rPr>
      </w:pPr>
      <w:r w:rsidRPr="003A6F3D">
        <w:rPr>
          <w:noProof/>
          <w:lang w:eastAsia="es-CO"/>
        </w:rPr>
        <w:drawing>
          <wp:inline distT="0" distB="0" distL="0" distR="0" wp14:anchorId="45ADB6CD" wp14:editId="344AC152">
            <wp:extent cx="5969737" cy="1466850"/>
            <wp:effectExtent l="0" t="0" r="0" b="0"/>
            <wp:docPr id="18877017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6354" cy="1468476"/>
                    </a:xfrm>
                    <a:prstGeom prst="rect">
                      <a:avLst/>
                    </a:prstGeom>
                    <a:noFill/>
                    <a:ln>
                      <a:noFill/>
                    </a:ln>
                  </pic:spPr>
                </pic:pic>
              </a:graphicData>
            </a:graphic>
          </wp:inline>
        </w:drawing>
      </w:r>
    </w:p>
    <w:p w14:paraId="72FDBB0D" w14:textId="77777777" w:rsidR="00256589" w:rsidRDefault="00256589" w:rsidP="00256589">
      <w:pPr>
        <w:ind w:right="-234"/>
        <w:jc w:val="both"/>
        <w:rPr>
          <w:rFonts w:ascii="Arial" w:hAnsi="Arial" w:cs="Arial"/>
          <w:lang w:eastAsia="es-CO"/>
        </w:rPr>
      </w:pPr>
    </w:p>
    <w:p w14:paraId="12976BFB" w14:textId="77777777" w:rsidR="00256589" w:rsidRDefault="00256589" w:rsidP="00256589">
      <w:pPr>
        <w:ind w:right="-234"/>
        <w:jc w:val="both"/>
        <w:rPr>
          <w:rFonts w:ascii="Arial" w:hAnsi="Arial" w:cs="Arial"/>
          <w:lang w:eastAsia="es-CO"/>
        </w:rPr>
      </w:pPr>
      <w:r w:rsidRPr="00256589">
        <w:rPr>
          <w:rFonts w:ascii="Arial" w:hAnsi="Arial" w:cs="Arial"/>
          <w:lang w:eastAsia="es-CO"/>
        </w:rPr>
        <w:t>Como se observa en la tabla anterior, los Ingresos fiscales, con un monto de $343.525,5, son los que mayor valor registran y representan el 46,1% del total de los ingresos. Le siguen en su orden: Otros ingresos con el 24,0%; Venta de bienes con el 18,1%; y, Venta de servicios con el 6,7%. Los demás conceptos de ingresos representan un porcentaje del 5,1%, entre Transferencias y subvenciones y Operaciones interinstitucionales.</w:t>
      </w:r>
      <w:bookmarkStart w:id="28" w:name="_Toc196515803"/>
      <w:bookmarkStart w:id="29" w:name="_Toc198020860"/>
    </w:p>
    <w:p w14:paraId="2DBBE639" w14:textId="77777777" w:rsidR="00256589" w:rsidRDefault="00256589" w:rsidP="00256589">
      <w:pPr>
        <w:ind w:right="-234"/>
        <w:jc w:val="both"/>
        <w:rPr>
          <w:rFonts w:ascii="Arial" w:hAnsi="Arial" w:cs="Arial"/>
          <w:lang w:eastAsia="es-CO"/>
        </w:rPr>
      </w:pPr>
    </w:p>
    <w:p w14:paraId="39063C21" w14:textId="64E3D25A" w:rsidR="00256589" w:rsidRPr="00256589" w:rsidRDefault="00256589" w:rsidP="00256589">
      <w:pPr>
        <w:ind w:right="-234"/>
        <w:jc w:val="both"/>
        <w:rPr>
          <w:rFonts w:ascii="Arial" w:hAnsi="Arial" w:cs="Arial"/>
          <w:b/>
          <w:bCs/>
          <w:sz w:val="28"/>
          <w:szCs w:val="28"/>
          <w:lang w:eastAsia="es-CO"/>
        </w:rPr>
      </w:pPr>
      <w:r w:rsidRPr="00256589">
        <w:rPr>
          <w:rFonts w:ascii="Arial" w:hAnsi="Arial" w:cs="Arial"/>
          <w:b/>
          <w:bCs/>
          <w:sz w:val="28"/>
          <w:szCs w:val="28"/>
          <w:lang w:eastAsia="es-CO"/>
        </w:rPr>
        <w:t>3.2.1.5.- Gastos consolidados</w:t>
      </w:r>
      <w:bookmarkEnd w:id="28"/>
      <w:bookmarkEnd w:id="29"/>
      <w:r w:rsidRPr="00256589">
        <w:rPr>
          <w:rFonts w:ascii="Arial" w:hAnsi="Arial" w:cs="Arial"/>
          <w:b/>
          <w:bCs/>
          <w:sz w:val="28"/>
          <w:szCs w:val="28"/>
          <w:lang w:eastAsia="es-CO"/>
        </w:rPr>
        <w:t>.</w:t>
      </w:r>
    </w:p>
    <w:p w14:paraId="55466DE2" w14:textId="77777777" w:rsidR="00256589" w:rsidRDefault="00256589" w:rsidP="00256589">
      <w:pPr>
        <w:jc w:val="both"/>
        <w:rPr>
          <w:lang w:eastAsia="es-CO"/>
        </w:rPr>
      </w:pPr>
    </w:p>
    <w:p w14:paraId="3F3D871E" w14:textId="43D987BB" w:rsidR="00256589" w:rsidRPr="00256589" w:rsidRDefault="00256589" w:rsidP="00256589">
      <w:pPr>
        <w:ind w:right="-234"/>
        <w:jc w:val="both"/>
        <w:rPr>
          <w:rFonts w:ascii="Arial" w:hAnsi="Arial" w:cs="Arial"/>
          <w:lang w:eastAsia="es-CO"/>
        </w:rPr>
      </w:pPr>
      <w:r w:rsidRPr="006E454D">
        <w:rPr>
          <w:rFonts w:ascii="Arial" w:hAnsi="Arial" w:cs="Arial"/>
          <w:b/>
          <w:bCs/>
          <w:u w:val="single"/>
          <w:lang w:eastAsia="es-CO"/>
        </w:rPr>
        <w:t>Los Gastos consolidados del nivel nacional del 2024 ascienden a $761.522,5, equivalentes al 44,7% del PIB, observándose un aumento de $110.809,9, es decir, una variación del 17,0%, en comparación con el año 2023</w:t>
      </w:r>
      <w:r w:rsidRPr="00256589">
        <w:rPr>
          <w:rFonts w:ascii="Arial" w:hAnsi="Arial" w:cs="Arial"/>
          <w:lang w:eastAsia="es-CO"/>
        </w:rPr>
        <w:t>.</w:t>
      </w:r>
      <w:r w:rsidR="006E454D">
        <w:rPr>
          <w:rFonts w:ascii="Arial" w:hAnsi="Arial" w:cs="Arial"/>
          <w:lang w:eastAsia="es-CO"/>
        </w:rPr>
        <w:t xml:space="preserve"> (Subrayado y resaltado fuera de texto).</w:t>
      </w:r>
    </w:p>
    <w:p w14:paraId="48E53204" w14:textId="0B38DCEA" w:rsidR="00256589" w:rsidRDefault="00256589" w:rsidP="00256589">
      <w:pPr>
        <w:ind w:firstLine="708"/>
        <w:rPr>
          <w:rFonts w:ascii="Arial" w:hAnsi="Arial" w:cs="Arial"/>
          <w:sz w:val="28"/>
          <w:szCs w:val="28"/>
          <w:lang w:eastAsia="es-CO"/>
        </w:rPr>
      </w:pPr>
    </w:p>
    <w:p w14:paraId="0B867B21" w14:textId="77777777" w:rsidR="006E454D" w:rsidRPr="006E454D" w:rsidRDefault="006E454D" w:rsidP="006E454D">
      <w:pPr>
        <w:pStyle w:val="Descripcin"/>
        <w:jc w:val="center"/>
        <w:rPr>
          <w:rFonts w:ascii="Arial" w:hAnsi="Arial" w:cs="Arial"/>
          <w:b/>
          <w:bCs/>
          <w:color w:val="auto"/>
          <w:sz w:val="24"/>
          <w:szCs w:val="24"/>
          <w:lang w:eastAsia="es-CO"/>
        </w:rPr>
      </w:pPr>
      <w:bookmarkStart w:id="30" w:name="_Toc198020082"/>
      <w:r w:rsidRPr="006E454D">
        <w:rPr>
          <w:rFonts w:ascii="Arial" w:hAnsi="Arial" w:cs="Arial"/>
          <w:b/>
          <w:bCs/>
          <w:color w:val="auto"/>
          <w:sz w:val="24"/>
          <w:szCs w:val="24"/>
        </w:rPr>
        <w:t xml:space="preserve">Tabla </w:t>
      </w:r>
      <w:r w:rsidRPr="006E454D">
        <w:rPr>
          <w:rFonts w:ascii="Arial" w:hAnsi="Arial" w:cs="Arial"/>
          <w:b/>
          <w:bCs/>
          <w:color w:val="auto"/>
          <w:sz w:val="24"/>
          <w:szCs w:val="24"/>
        </w:rPr>
        <w:fldChar w:fldCharType="begin"/>
      </w:r>
      <w:r w:rsidRPr="006E454D">
        <w:rPr>
          <w:rFonts w:ascii="Arial" w:hAnsi="Arial" w:cs="Arial"/>
          <w:b/>
          <w:bCs/>
          <w:color w:val="auto"/>
          <w:sz w:val="24"/>
          <w:szCs w:val="24"/>
        </w:rPr>
        <w:instrText xml:space="preserve"> STYLEREF 1 \s </w:instrText>
      </w:r>
      <w:r w:rsidRPr="006E454D">
        <w:rPr>
          <w:rFonts w:ascii="Arial" w:hAnsi="Arial" w:cs="Arial"/>
          <w:b/>
          <w:bCs/>
          <w:color w:val="auto"/>
          <w:sz w:val="24"/>
          <w:szCs w:val="24"/>
        </w:rPr>
        <w:fldChar w:fldCharType="separate"/>
      </w:r>
      <w:r w:rsidRPr="006E454D">
        <w:rPr>
          <w:rFonts w:ascii="Arial" w:hAnsi="Arial" w:cs="Arial"/>
          <w:b/>
          <w:bCs/>
          <w:noProof/>
          <w:color w:val="auto"/>
          <w:sz w:val="24"/>
          <w:szCs w:val="24"/>
        </w:rPr>
        <w:t>3</w:t>
      </w:r>
      <w:r w:rsidRPr="006E454D">
        <w:rPr>
          <w:rFonts w:ascii="Arial" w:hAnsi="Arial" w:cs="Arial"/>
          <w:b/>
          <w:bCs/>
          <w:noProof/>
          <w:color w:val="auto"/>
          <w:sz w:val="24"/>
          <w:szCs w:val="24"/>
        </w:rPr>
        <w:fldChar w:fldCharType="end"/>
      </w:r>
      <w:r w:rsidRPr="006E454D">
        <w:rPr>
          <w:rFonts w:ascii="Arial" w:hAnsi="Arial" w:cs="Arial"/>
          <w:b/>
          <w:bCs/>
          <w:color w:val="auto"/>
          <w:sz w:val="24"/>
          <w:szCs w:val="24"/>
        </w:rPr>
        <w:noBreakHyphen/>
      </w:r>
      <w:r w:rsidRPr="006E454D">
        <w:rPr>
          <w:rFonts w:ascii="Arial" w:hAnsi="Arial" w:cs="Arial"/>
          <w:b/>
          <w:bCs/>
          <w:color w:val="auto"/>
          <w:sz w:val="24"/>
          <w:szCs w:val="24"/>
        </w:rPr>
        <w:fldChar w:fldCharType="begin"/>
      </w:r>
      <w:r w:rsidRPr="006E454D">
        <w:rPr>
          <w:rFonts w:ascii="Arial" w:hAnsi="Arial" w:cs="Arial"/>
          <w:b/>
          <w:bCs/>
          <w:color w:val="auto"/>
          <w:sz w:val="24"/>
          <w:szCs w:val="24"/>
        </w:rPr>
        <w:instrText xml:space="preserve"> SEQ Tabla \* ARABIC \s 1 </w:instrText>
      </w:r>
      <w:r w:rsidRPr="006E454D">
        <w:rPr>
          <w:rFonts w:ascii="Arial" w:hAnsi="Arial" w:cs="Arial"/>
          <w:b/>
          <w:bCs/>
          <w:color w:val="auto"/>
          <w:sz w:val="24"/>
          <w:szCs w:val="24"/>
        </w:rPr>
        <w:fldChar w:fldCharType="separate"/>
      </w:r>
      <w:r w:rsidRPr="006E454D">
        <w:rPr>
          <w:rFonts w:ascii="Arial" w:hAnsi="Arial" w:cs="Arial"/>
          <w:b/>
          <w:bCs/>
          <w:noProof/>
          <w:color w:val="auto"/>
          <w:sz w:val="24"/>
          <w:szCs w:val="24"/>
        </w:rPr>
        <w:t>3</w:t>
      </w:r>
      <w:r w:rsidRPr="006E454D">
        <w:rPr>
          <w:rFonts w:ascii="Arial" w:hAnsi="Arial" w:cs="Arial"/>
          <w:b/>
          <w:bCs/>
          <w:noProof/>
          <w:color w:val="auto"/>
          <w:sz w:val="24"/>
          <w:szCs w:val="24"/>
        </w:rPr>
        <w:fldChar w:fldCharType="end"/>
      </w:r>
      <w:r w:rsidRPr="006E454D">
        <w:rPr>
          <w:rFonts w:ascii="Arial" w:hAnsi="Arial" w:cs="Arial"/>
          <w:b/>
          <w:bCs/>
          <w:color w:val="auto"/>
          <w:sz w:val="24"/>
          <w:szCs w:val="24"/>
        </w:rPr>
        <w:t xml:space="preserve"> Grupo de gastos consolidados del nivel nacional</w:t>
      </w:r>
      <w:bookmarkEnd w:id="30"/>
    </w:p>
    <w:p w14:paraId="1F7FB787" w14:textId="4E17A971" w:rsidR="006E454D" w:rsidRDefault="006E454D" w:rsidP="00256589">
      <w:pPr>
        <w:ind w:firstLine="708"/>
        <w:rPr>
          <w:rFonts w:ascii="Arial" w:hAnsi="Arial" w:cs="Arial"/>
          <w:b/>
          <w:bCs/>
          <w:lang w:val="es-CO" w:eastAsia="es-CO"/>
        </w:rPr>
      </w:pPr>
    </w:p>
    <w:p w14:paraId="7CCC3647" w14:textId="170CB995" w:rsidR="006E454D" w:rsidRDefault="006E454D" w:rsidP="00256589">
      <w:pPr>
        <w:ind w:firstLine="708"/>
        <w:rPr>
          <w:rFonts w:ascii="Arial" w:hAnsi="Arial" w:cs="Arial"/>
          <w:b/>
          <w:bCs/>
          <w:lang w:val="es-CO" w:eastAsia="es-CO"/>
        </w:rPr>
      </w:pPr>
      <w:r w:rsidRPr="007F64AA">
        <w:rPr>
          <w:noProof/>
        </w:rPr>
        <w:drawing>
          <wp:inline distT="0" distB="0" distL="0" distR="0" wp14:anchorId="06E1FEC3" wp14:editId="26F7323E">
            <wp:extent cx="5791200" cy="1806038"/>
            <wp:effectExtent l="0" t="0" r="0" b="3810"/>
            <wp:docPr id="7783528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7219" cy="1807915"/>
                    </a:xfrm>
                    <a:prstGeom prst="rect">
                      <a:avLst/>
                    </a:prstGeom>
                    <a:noFill/>
                    <a:ln>
                      <a:noFill/>
                    </a:ln>
                  </pic:spPr>
                </pic:pic>
              </a:graphicData>
            </a:graphic>
          </wp:inline>
        </w:drawing>
      </w:r>
    </w:p>
    <w:p w14:paraId="200BBB9C" w14:textId="77777777" w:rsidR="006E454D" w:rsidRDefault="006E454D" w:rsidP="006E454D">
      <w:pPr>
        <w:ind w:right="-234"/>
        <w:jc w:val="both"/>
        <w:rPr>
          <w:rFonts w:ascii="Arial" w:hAnsi="Arial" w:cs="Arial"/>
          <w:lang w:eastAsia="es-CO"/>
        </w:rPr>
      </w:pPr>
    </w:p>
    <w:p w14:paraId="71BA8DE9" w14:textId="68BC6F6E" w:rsidR="006E454D" w:rsidRPr="006E454D" w:rsidRDefault="006E454D" w:rsidP="006E454D">
      <w:pPr>
        <w:ind w:right="-234"/>
        <w:jc w:val="both"/>
        <w:rPr>
          <w:rFonts w:ascii="Arial" w:hAnsi="Arial" w:cs="Arial"/>
          <w:lang w:eastAsia="es-CO"/>
        </w:rPr>
      </w:pPr>
      <w:r w:rsidRPr="006E454D">
        <w:rPr>
          <w:rFonts w:ascii="Arial" w:hAnsi="Arial" w:cs="Arial"/>
          <w:lang w:eastAsia="es-CO"/>
        </w:rPr>
        <w:t xml:space="preserve">La tabla anterior presenta los gastos consolidados del nivel nacional distribuidos en los diferentes grupos y cuentas que los conforman. En la identificación de los principales tipos de gastos, el concepto Otros gastos por valor de $250.925,5, es el que mayor valor registra y representan el 33,0% del total de los Gastos. Le siguen en su orden de importancia relativa, De administración y operación con 32,5%; Transferencias y subvenciones con 21,7%; Deterioro, depreciaciones, amortizaciones y provisiones con 6,7%; Gastos público social con 3,8%; y, los demás conceptos </w:t>
      </w:r>
      <w:r w:rsidRPr="006E454D">
        <w:rPr>
          <w:rFonts w:ascii="Arial" w:hAnsi="Arial" w:cs="Arial"/>
          <w:lang w:eastAsia="es-CO"/>
        </w:rPr>
        <w:lastRenderedPageBreak/>
        <w:t>estructurados de acuerdo con el catálogo general de cuentas, que representan en conjunto el 2,3%.</w:t>
      </w:r>
    </w:p>
    <w:p w14:paraId="28341947" w14:textId="7D2911AE" w:rsidR="006E454D" w:rsidRDefault="006E454D" w:rsidP="006E454D">
      <w:pPr>
        <w:ind w:firstLine="708"/>
        <w:rPr>
          <w:rFonts w:ascii="Arial" w:hAnsi="Arial" w:cs="Arial"/>
          <w:lang w:eastAsia="es-CO"/>
        </w:rPr>
      </w:pPr>
    </w:p>
    <w:p w14:paraId="13944DEB" w14:textId="4A813AD9" w:rsidR="0080720B" w:rsidRPr="0080720B" w:rsidRDefault="0080720B" w:rsidP="008F3F91">
      <w:pPr>
        <w:pStyle w:val="Ttulo4"/>
      </w:pPr>
      <w:bookmarkStart w:id="31" w:name="_Toc196515804"/>
      <w:bookmarkStart w:id="32" w:name="_Toc198020861"/>
      <w:r w:rsidRPr="0080720B">
        <w:t>3.2.1.6.- Costos de ventas consolidados</w:t>
      </w:r>
      <w:bookmarkEnd w:id="31"/>
      <w:bookmarkEnd w:id="32"/>
      <w:r w:rsidRPr="0080720B">
        <w:t>.</w:t>
      </w:r>
    </w:p>
    <w:p w14:paraId="34BC6C79" w14:textId="77777777" w:rsidR="0080720B" w:rsidRDefault="0080720B" w:rsidP="0080720B">
      <w:pPr>
        <w:jc w:val="both"/>
        <w:rPr>
          <w:lang w:eastAsia="es-CO"/>
        </w:rPr>
      </w:pPr>
    </w:p>
    <w:p w14:paraId="3B7DDF21" w14:textId="30174FB2" w:rsidR="0080720B" w:rsidRPr="0080720B" w:rsidRDefault="0080720B" w:rsidP="0080720B">
      <w:pPr>
        <w:jc w:val="both"/>
        <w:rPr>
          <w:rFonts w:ascii="Arial" w:hAnsi="Arial" w:cs="Arial"/>
          <w:lang w:eastAsia="es-CO"/>
        </w:rPr>
      </w:pPr>
      <w:r w:rsidRPr="0080720B">
        <w:rPr>
          <w:rFonts w:ascii="Arial" w:hAnsi="Arial" w:cs="Arial"/>
          <w:lang w:eastAsia="es-CO"/>
        </w:rPr>
        <w:t xml:space="preserve">Los costos de ventas consolidados del nivel nacional en 2024 ascienden a $134.427,6, equivalentes al 7,9% del PIB, observándose una disminución del (6,1%) con relación a dichos costos en el año 2023. </w:t>
      </w:r>
    </w:p>
    <w:p w14:paraId="66E5B5A6" w14:textId="77777777" w:rsidR="0080720B" w:rsidRPr="0080720B" w:rsidRDefault="0080720B" w:rsidP="0080720B">
      <w:pPr>
        <w:jc w:val="both"/>
        <w:rPr>
          <w:rFonts w:ascii="Arial" w:hAnsi="Arial" w:cs="Arial"/>
          <w:lang w:eastAsia="es-CO"/>
        </w:rPr>
      </w:pPr>
    </w:p>
    <w:p w14:paraId="15769825" w14:textId="77777777" w:rsidR="0080720B" w:rsidRPr="0080720B" w:rsidRDefault="0080720B" w:rsidP="0080720B">
      <w:pPr>
        <w:pStyle w:val="Descripcin"/>
        <w:jc w:val="center"/>
        <w:rPr>
          <w:rFonts w:ascii="Arial" w:hAnsi="Arial" w:cs="Arial"/>
          <w:b/>
          <w:bCs/>
          <w:color w:val="auto"/>
          <w:sz w:val="24"/>
          <w:szCs w:val="24"/>
          <w:lang w:eastAsia="es-CO"/>
        </w:rPr>
      </w:pPr>
      <w:bookmarkStart w:id="33" w:name="_Toc196515877"/>
      <w:bookmarkStart w:id="34" w:name="_Toc198020083"/>
      <w:r w:rsidRPr="0080720B">
        <w:rPr>
          <w:rFonts w:ascii="Arial" w:hAnsi="Arial" w:cs="Arial"/>
          <w:b/>
          <w:bCs/>
          <w:color w:val="auto"/>
          <w:sz w:val="24"/>
          <w:szCs w:val="24"/>
        </w:rPr>
        <w:t xml:space="preserve">Tabla </w:t>
      </w:r>
      <w:r w:rsidRPr="0080720B">
        <w:rPr>
          <w:rFonts w:ascii="Arial" w:hAnsi="Arial" w:cs="Arial"/>
          <w:b/>
          <w:bCs/>
          <w:color w:val="auto"/>
          <w:sz w:val="24"/>
          <w:szCs w:val="24"/>
        </w:rPr>
        <w:fldChar w:fldCharType="begin"/>
      </w:r>
      <w:r w:rsidRPr="0080720B">
        <w:rPr>
          <w:rFonts w:ascii="Arial" w:hAnsi="Arial" w:cs="Arial"/>
          <w:b/>
          <w:bCs/>
          <w:color w:val="auto"/>
          <w:sz w:val="24"/>
          <w:szCs w:val="24"/>
        </w:rPr>
        <w:instrText xml:space="preserve"> STYLEREF 1 \s </w:instrText>
      </w:r>
      <w:r w:rsidRPr="0080720B">
        <w:rPr>
          <w:rFonts w:ascii="Arial" w:hAnsi="Arial" w:cs="Arial"/>
          <w:b/>
          <w:bCs/>
          <w:color w:val="auto"/>
          <w:sz w:val="24"/>
          <w:szCs w:val="24"/>
        </w:rPr>
        <w:fldChar w:fldCharType="separate"/>
      </w:r>
      <w:r w:rsidRPr="0080720B">
        <w:rPr>
          <w:rFonts w:ascii="Arial" w:hAnsi="Arial" w:cs="Arial"/>
          <w:b/>
          <w:bCs/>
          <w:noProof/>
          <w:color w:val="auto"/>
          <w:sz w:val="24"/>
          <w:szCs w:val="24"/>
        </w:rPr>
        <w:t>3</w:t>
      </w:r>
      <w:r w:rsidRPr="0080720B">
        <w:rPr>
          <w:rFonts w:ascii="Arial" w:hAnsi="Arial" w:cs="Arial"/>
          <w:b/>
          <w:bCs/>
          <w:noProof/>
          <w:color w:val="auto"/>
          <w:sz w:val="24"/>
          <w:szCs w:val="24"/>
        </w:rPr>
        <w:fldChar w:fldCharType="end"/>
      </w:r>
      <w:r w:rsidRPr="0080720B">
        <w:rPr>
          <w:rFonts w:ascii="Arial" w:hAnsi="Arial" w:cs="Arial"/>
          <w:b/>
          <w:bCs/>
          <w:color w:val="auto"/>
          <w:sz w:val="24"/>
          <w:szCs w:val="24"/>
        </w:rPr>
        <w:noBreakHyphen/>
      </w:r>
      <w:r w:rsidRPr="0080720B">
        <w:rPr>
          <w:rFonts w:ascii="Arial" w:hAnsi="Arial" w:cs="Arial"/>
          <w:b/>
          <w:bCs/>
          <w:color w:val="auto"/>
          <w:sz w:val="24"/>
          <w:szCs w:val="24"/>
        </w:rPr>
        <w:fldChar w:fldCharType="begin"/>
      </w:r>
      <w:r w:rsidRPr="0080720B">
        <w:rPr>
          <w:rFonts w:ascii="Arial" w:hAnsi="Arial" w:cs="Arial"/>
          <w:b/>
          <w:bCs/>
          <w:color w:val="auto"/>
          <w:sz w:val="24"/>
          <w:szCs w:val="24"/>
        </w:rPr>
        <w:instrText xml:space="preserve"> SEQ Tabla \* ARABIC \s 1 </w:instrText>
      </w:r>
      <w:r w:rsidRPr="0080720B">
        <w:rPr>
          <w:rFonts w:ascii="Arial" w:hAnsi="Arial" w:cs="Arial"/>
          <w:b/>
          <w:bCs/>
          <w:color w:val="auto"/>
          <w:sz w:val="24"/>
          <w:szCs w:val="24"/>
        </w:rPr>
        <w:fldChar w:fldCharType="separate"/>
      </w:r>
      <w:r w:rsidRPr="0080720B">
        <w:rPr>
          <w:rFonts w:ascii="Arial" w:hAnsi="Arial" w:cs="Arial"/>
          <w:b/>
          <w:bCs/>
          <w:noProof/>
          <w:color w:val="auto"/>
          <w:sz w:val="24"/>
          <w:szCs w:val="24"/>
        </w:rPr>
        <w:t>4</w:t>
      </w:r>
      <w:r w:rsidRPr="0080720B">
        <w:rPr>
          <w:rFonts w:ascii="Arial" w:hAnsi="Arial" w:cs="Arial"/>
          <w:b/>
          <w:bCs/>
          <w:noProof/>
          <w:color w:val="auto"/>
          <w:sz w:val="24"/>
          <w:szCs w:val="24"/>
        </w:rPr>
        <w:fldChar w:fldCharType="end"/>
      </w:r>
      <w:r w:rsidRPr="0080720B">
        <w:rPr>
          <w:rFonts w:ascii="Arial" w:hAnsi="Arial" w:cs="Arial"/>
          <w:b/>
          <w:bCs/>
          <w:color w:val="auto"/>
          <w:sz w:val="24"/>
          <w:szCs w:val="24"/>
        </w:rPr>
        <w:t xml:space="preserve"> Grupos de costos de ventas consolidados del nivel nacional</w:t>
      </w:r>
      <w:bookmarkEnd w:id="33"/>
      <w:bookmarkEnd w:id="34"/>
    </w:p>
    <w:p w14:paraId="2B984164" w14:textId="09592128" w:rsidR="006E454D" w:rsidRDefault="006E454D" w:rsidP="0080720B">
      <w:pPr>
        <w:ind w:firstLine="708"/>
        <w:rPr>
          <w:rFonts w:ascii="Arial" w:hAnsi="Arial" w:cs="Arial"/>
          <w:b/>
          <w:bCs/>
          <w:lang w:val="es-CO" w:eastAsia="es-CO"/>
        </w:rPr>
      </w:pPr>
    </w:p>
    <w:p w14:paraId="3B59A591" w14:textId="005E5360" w:rsidR="0080720B" w:rsidRDefault="0080720B" w:rsidP="0080720B">
      <w:pPr>
        <w:ind w:firstLine="708"/>
        <w:rPr>
          <w:noProof/>
          <w:lang w:eastAsia="es-CO"/>
        </w:rPr>
      </w:pPr>
      <w:r w:rsidRPr="003A6F3D">
        <w:rPr>
          <w:noProof/>
          <w:lang w:eastAsia="es-CO"/>
        </w:rPr>
        <w:drawing>
          <wp:inline distT="0" distB="0" distL="0" distR="0" wp14:anchorId="21A66CDF" wp14:editId="08AB5CD0">
            <wp:extent cx="5886450" cy="1132973"/>
            <wp:effectExtent l="0" t="0" r="0" b="0"/>
            <wp:docPr id="131962501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8825" cy="1133430"/>
                    </a:xfrm>
                    <a:prstGeom prst="rect">
                      <a:avLst/>
                    </a:prstGeom>
                    <a:noFill/>
                    <a:ln>
                      <a:noFill/>
                    </a:ln>
                  </pic:spPr>
                </pic:pic>
              </a:graphicData>
            </a:graphic>
          </wp:inline>
        </w:drawing>
      </w:r>
    </w:p>
    <w:p w14:paraId="3DB14C1D" w14:textId="648BC1DF" w:rsidR="0080720B" w:rsidRDefault="0080720B" w:rsidP="0080720B">
      <w:pPr>
        <w:rPr>
          <w:noProof/>
          <w:lang w:eastAsia="es-CO"/>
        </w:rPr>
      </w:pPr>
    </w:p>
    <w:p w14:paraId="10BCE432" w14:textId="7577030A" w:rsidR="0080720B" w:rsidRPr="0080720B" w:rsidRDefault="0080720B" w:rsidP="00F66DB0">
      <w:pPr>
        <w:pStyle w:val="Ttulo2"/>
      </w:pPr>
      <w:bookmarkStart w:id="35" w:name="_Toc196515805"/>
      <w:bookmarkStart w:id="36" w:name="_Toc198020862"/>
      <w:r>
        <w:t xml:space="preserve">3.3.- </w:t>
      </w:r>
      <w:r w:rsidRPr="0080720B">
        <w:t>ESTADO DE SITUACIÓN FINANCIERA CONSOLIDADO</w:t>
      </w:r>
      <w:bookmarkEnd w:id="35"/>
      <w:bookmarkEnd w:id="36"/>
      <w:r>
        <w:t>.</w:t>
      </w:r>
    </w:p>
    <w:p w14:paraId="60997CD3" w14:textId="71BC7CD5" w:rsidR="0080720B" w:rsidRDefault="0080720B" w:rsidP="0080720B">
      <w:pPr>
        <w:tabs>
          <w:tab w:val="left" w:pos="915"/>
        </w:tabs>
        <w:rPr>
          <w:rFonts w:ascii="Arial" w:hAnsi="Arial" w:cs="Arial"/>
          <w:sz w:val="28"/>
          <w:szCs w:val="28"/>
          <w:lang w:val="es-CO" w:eastAsia="es-CO"/>
        </w:rPr>
      </w:pPr>
    </w:p>
    <w:p w14:paraId="670DEE4A" w14:textId="7C318B99" w:rsidR="0080720B" w:rsidRDefault="0080720B" w:rsidP="0080720B">
      <w:pPr>
        <w:tabs>
          <w:tab w:val="left" w:pos="915"/>
        </w:tabs>
        <w:jc w:val="center"/>
        <w:rPr>
          <w:rFonts w:ascii="Arial" w:hAnsi="Arial" w:cs="Arial"/>
          <w:b/>
          <w:bCs/>
        </w:rPr>
      </w:pPr>
      <w:r w:rsidRPr="0080720B">
        <w:rPr>
          <w:rFonts w:ascii="Arial" w:hAnsi="Arial" w:cs="Arial"/>
          <w:b/>
          <w:bCs/>
        </w:rPr>
        <w:t xml:space="preserve">Tabla </w:t>
      </w:r>
      <w:r w:rsidRPr="0080720B">
        <w:rPr>
          <w:rFonts w:ascii="Arial" w:hAnsi="Arial" w:cs="Arial"/>
          <w:b/>
          <w:bCs/>
        </w:rPr>
        <w:fldChar w:fldCharType="begin"/>
      </w:r>
      <w:r w:rsidRPr="0080720B">
        <w:rPr>
          <w:rFonts w:ascii="Arial" w:hAnsi="Arial" w:cs="Arial"/>
          <w:b/>
          <w:bCs/>
        </w:rPr>
        <w:instrText xml:space="preserve"> STYLEREF 1 \s </w:instrText>
      </w:r>
      <w:r w:rsidRPr="0080720B">
        <w:rPr>
          <w:rFonts w:ascii="Arial" w:hAnsi="Arial" w:cs="Arial"/>
          <w:b/>
          <w:bCs/>
        </w:rPr>
        <w:fldChar w:fldCharType="separate"/>
      </w:r>
      <w:r w:rsidRPr="0080720B">
        <w:rPr>
          <w:rFonts w:ascii="Arial" w:hAnsi="Arial" w:cs="Arial"/>
          <w:b/>
          <w:bCs/>
          <w:noProof/>
        </w:rPr>
        <w:t>3</w:t>
      </w:r>
      <w:r w:rsidRPr="0080720B">
        <w:rPr>
          <w:rFonts w:ascii="Arial" w:hAnsi="Arial" w:cs="Arial"/>
          <w:b/>
          <w:bCs/>
          <w:noProof/>
        </w:rPr>
        <w:fldChar w:fldCharType="end"/>
      </w:r>
      <w:r w:rsidRPr="0080720B">
        <w:rPr>
          <w:rFonts w:ascii="Arial" w:hAnsi="Arial" w:cs="Arial"/>
          <w:b/>
          <w:bCs/>
        </w:rPr>
        <w:noBreakHyphen/>
      </w:r>
      <w:r w:rsidRPr="0080720B">
        <w:rPr>
          <w:rFonts w:ascii="Arial" w:hAnsi="Arial" w:cs="Arial"/>
          <w:b/>
          <w:bCs/>
        </w:rPr>
        <w:fldChar w:fldCharType="begin"/>
      </w:r>
      <w:r w:rsidRPr="0080720B">
        <w:rPr>
          <w:rFonts w:ascii="Arial" w:hAnsi="Arial" w:cs="Arial"/>
          <w:b/>
          <w:bCs/>
        </w:rPr>
        <w:instrText xml:space="preserve"> SEQ Tabla \* ARABIC \s 1 </w:instrText>
      </w:r>
      <w:r w:rsidRPr="0080720B">
        <w:rPr>
          <w:rFonts w:ascii="Arial" w:hAnsi="Arial" w:cs="Arial"/>
          <w:b/>
          <w:bCs/>
        </w:rPr>
        <w:fldChar w:fldCharType="separate"/>
      </w:r>
      <w:r w:rsidRPr="0080720B">
        <w:rPr>
          <w:rFonts w:ascii="Arial" w:hAnsi="Arial" w:cs="Arial"/>
          <w:b/>
          <w:bCs/>
          <w:noProof/>
        </w:rPr>
        <w:t>5</w:t>
      </w:r>
      <w:r w:rsidRPr="0080720B">
        <w:rPr>
          <w:rFonts w:ascii="Arial" w:hAnsi="Arial" w:cs="Arial"/>
          <w:b/>
          <w:bCs/>
          <w:noProof/>
        </w:rPr>
        <w:fldChar w:fldCharType="end"/>
      </w:r>
      <w:r w:rsidRPr="0080720B">
        <w:rPr>
          <w:rFonts w:ascii="Arial" w:hAnsi="Arial" w:cs="Arial"/>
          <w:b/>
          <w:bCs/>
        </w:rPr>
        <w:t xml:space="preserve"> Estado de situación financiera consolidado del nivel nacional</w:t>
      </w:r>
    </w:p>
    <w:p w14:paraId="13C5757B" w14:textId="1938B4B2" w:rsidR="0080720B" w:rsidRDefault="0080720B" w:rsidP="0080720B">
      <w:pPr>
        <w:tabs>
          <w:tab w:val="left" w:pos="915"/>
        </w:tabs>
        <w:jc w:val="center"/>
        <w:rPr>
          <w:rFonts w:ascii="Arial" w:hAnsi="Arial" w:cs="Arial"/>
          <w:b/>
          <w:bCs/>
        </w:rPr>
      </w:pPr>
    </w:p>
    <w:p w14:paraId="2F78CF4E" w14:textId="3CD6C679" w:rsidR="0080720B" w:rsidRDefault="0080720B" w:rsidP="0080720B">
      <w:pPr>
        <w:tabs>
          <w:tab w:val="left" w:pos="915"/>
        </w:tabs>
        <w:jc w:val="center"/>
        <w:rPr>
          <w:noProof/>
          <w:lang w:eastAsia="es-CO"/>
        </w:rPr>
      </w:pPr>
      <w:r w:rsidRPr="00582A14">
        <w:rPr>
          <w:noProof/>
          <w:lang w:eastAsia="es-CO"/>
        </w:rPr>
        <w:drawing>
          <wp:inline distT="0" distB="0" distL="0" distR="0" wp14:anchorId="39173FF8" wp14:editId="4BFDE702">
            <wp:extent cx="5971540" cy="1928495"/>
            <wp:effectExtent l="0" t="0" r="0" b="0"/>
            <wp:docPr id="9366974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71540" cy="1928495"/>
                    </a:xfrm>
                    <a:prstGeom prst="rect">
                      <a:avLst/>
                    </a:prstGeom>
                    <a:noFill/>
                    <a:ln>
                      <a:noFill/>
                    </a:ln>
                  </pic:spPr>
                </pic:pic>
              </a:graphicData>
            </a:graphic>
          </wp:inline>
        </w:drawing>
      </w:r>
    </w:p>
    <w:p w14:paraId="1688D831" w14:textId="46068E88" w:rsidR="0080720B" w:rsidRDefault="0080720B" w:rsidP="0080720B">
      <w:pPr>
        <w:rPr>
          <w:noProof/>
          <w:lang w:eastAsia="es-CO"/>
        </w:rPr>
      </w:pPr>
    </w:p>
    <w:p w14:paraId="0496CBDB" w14:textId="6C801E6A" w:rsidR="0080720B" w:rsidRDefault="00CF4EAE" w:rsidP="008F3F91">
      <w:pPr>
        <w:pStyle w:val="Ttulo4"/>
      </w:pPr>
      <w:bookmarkStart w:id="37" w:name="_Toc196515807"/>
      <w:bookmarkStart w:id="38" w:name="_Toc198020864"/>
      <w:r>
        <w:t xml:space="preserve">3.3.1.1.1.- </w:t>
      </w:r>
      <w:r w:rsidRPr="003A6F3D">
        <w:t>Activos consolidados</w:t>
      </w:r>
      <w:bookmarkEnd w:id="37"/>
      <w:bookmarkEnd w:id="38"/>
      <w:r>
        <w:t xml:space="preserve">. </w:t>
      </w:r>
    </w:p>
    <w:p w14:paraId="0A1BAEDD" w14:textId="77777777" w:rsidR="00CF4EAE" w:rsidRPr="00CF4EAE" w:rsidRDefault="00CF4EAE" w:rsidP="00CF4EAE">
      <w:pPr>
        <w:rPr>
          <w:lang w:val="es-CO" w:eastAsia="es-CO"/>
        </w:rPr>
      </w:pPr>
    </w:p>
    <w:p w14:paraId="05D70315" w14:textId="69B0E16F" w:rsidR="00CF4EAE" w:rsidRPr="00CF4EAE" w:rsidRDefault="00CF4EAE" w:rsidP="00CF4EAE">
      <w:pPr>
        <w:ind w:right="-234"/>
        <w:jc w:val="both"/>
        <w:rPr>
          <w:rFonts w:ascii="Arial" w:hAnsi="Arial" w:cs="Arial"/>
          <w:lang w:eastAsia="es-CO"/>
        </w:rPr>
      </w:pPr>
      <w:r w:rsidRPr="00AA6E9D">
        <w:rPr>
          <w:rFonts w:ascii="Arial" w:hAnsi="Arial" w:cs="Arial"/>
          <w:b/>
          <w:bCs/>
          <w:u w:val="single"/>
          <w:lang w:eastAsia="es-CO"/>
        </w:rPr>
        <w:t>Los Activos consolidados de las entidades del nivel nacional al 31 de diciembre de 2024, registraron un monto de $927.092,2, equivalente al 54,4% del PIB del año en mención</w:t>
      </w:r>
      <w:r w:rsidRPr="00CF4EAE">
        <w:rPr>
          <w:rFonts w:ascii="Arial" w:hAnsi="Arial" w:cs="Arial"/>
          <w:lang w:eastAsia="es-CO"/>
        </w:rPr>
        <w:t xml:space="preserve">. Del total de los Activos consolidados el 31,0%, es decir $287.101,3, están representados en activos corrientes; mientras que el 69,0% corresponde a activos no corrientes por $639.990,9. En la composición de los activos consolidados del nivel nacional se destacan los siguientes grupos: </w:t>
      </w:r>
      <w:r w:rsidR="00AA6E9D">
        <w:rPr>
          <w:rFonts w:ascii="Arial" w:hAnsi="Arial" w:cs="Arial"/>
          <w:lang w:eastAsia="es-CO"/>
        </w:rPr>
        <w:t>(Subrayado y resaltado fuera de texto).</w:t>
      </w:r>
    </w:p>
    <w:p w14:paraId="1F97D302" w14:textId="64D1D195" w:rsidR="00CF4EAE" w:rsidRDefault="00CF4EAE" w:rsidP="0080720B">
      <w:pPr>
        <w:ind w:firstLine="708"/>
        <w:rPr>
          <w:rFonts w:ascii="Arial" w:hAnsi="Arial" w:cs="Arial"/>
          <w:sz w:val="28"/>
          <w:szCs w:val="28"/>
          <w:lang w:eastAsia="es-CO"/>
        </w:rPr>
      </w:pPr>
    </w:p>
    <w:p w14:paraId="2EC2ACFE" w14:textId="77777777" w:rsidR="00CF4EAE" w:rsidRPr="00CF4EAE" w:rsidRDefault="00CF4EAE" w:rsidP="00CF4EAE">
      <w:pPr>
        <w:pStyle w:val="Descripcin"/>
        <w:jc w:val="center"/>
        <w:rPr>
          <w:rFonts w:ascii="Arial" w:hAnsi="Arial" w:cs="Arial"/>
          <w:b/>
          <w:bCs/>
          <w:color w:val="auto"/>
          <w:sz w:val="24"/>
          <w:szCs w:val="24"/>
          <w:lang w:eastAsia="es-CO"/>
        </w:rPr>
      </w:pPr>
      <w:bookmarkStart w:id="39" w:name="_Toc196515879"/>
      <w:bookmarkStart w:id="40" w:name="_Toc198020085"/>
      <w:r w:rsidRPr="00CF4EAE">
        <w:rPr>
          <w:rFonts w:ascii="Arial" w:hAnsi="Arial" w:cs="Arial"/>
          <w:b/>
          <w:bCs/>
          <w:color w:val="auto"/>
          <w:sz w:val="24"/>
          <w:szCs w:val="24"/>
        </w:rPr>
        <w:t xml:space="preserve">Tabla </w:t>
      </w:r>
      <w:r w:rsidRPr="00CF4EAE">
        <w:rPr>
          <w:rFonts w:ascii="Arial" w:hAnsi="Arial" w:cs="Arial"/>
          <w:b/>
          <w:bCs/>
          <w:color w:val="auto"/>
          <w:sz w:val="24"/>
          <w:szCs w:val="24"/>
        </w:rPr>
        <w:fldChar w:fldCharType="begin"/>
      </w:r>
      <w:r w:rsidRPr="00CF4EAE">
        <w:rPr>
          <w:rFonts w:ascii="Arial" w:hAnsi="Arial" w:cs="Arial"/>
          <w:b/>
          <w:bCs/>
          <w:color w:val="auto"/>
          <w:sz w:val="24"/>
          <w:szCs w:val="24"/>
        </w:rPr>
        <w:instrText xml:space="preserve"> STYLEREF 1 \s </w:instrText>
      </w:r>
      <w:r w:rsidRPr="00CF4EAE">
        <w:rPr>
          <w:rFonts w:ascii="Arial" w:hAnsi="Arial" w:cs="Arial"/>
          <w:b/>
          <w:bCs/>
          <w:color w:val="auto"/>
          <w:sz w:val="24"/>
          <w:szCs w:val="24"/>
        </w:rPr>
        <w:fldChar w:fldCharType="separate"/>
      </w:r>
      <w:r w:rsidRPr="00CF4EAE">
        <w:rPr>
          <w:rFonts w:ascii="Arial" w:hAnsi="Arial" w:cs="Arial"/>
          <w:b/>
          <w:bCs/>
          <w:noProof/>
          <w:color w:val="auto"/>
          <w:sz w:val="24"/>
          <w:szCs w:val="24"/>
        </w:rPr>
        <w:t>3</w:t>
      </w:r>
      <w:r w:rsidRPr="00CF4EAE">
        <w:rPr>
          <w:rFonts w:ascii="Arial" w:hAnsi="Arial" w:cs="Arial"/>
          <w:b/>
          <w:bCs/>
          <w:noProof/>
          <w:color w:val="auto"/>
          <w:sz w:val="24"/>
          <w:szCs w:val="24"/>
        </w:rPr>
        <w:fldChar w:fldCharType="end"/>
      </w:r>
      <w:r w:rsidRPr="00CF4EAE">
        <w:rPr>
          <w:rFonts w:ascii="Arial" w:hAnsi="Arial" w:cs="Arial"/>
          <w:b/>
          <w:bCs/>
          <w:color w:val="auto"/>
          <w:sz w:val="24"/>
          <w:szCs w:val="24"/>
        </w:rPr>
        <w:noBreakHyphen/>
      </w:r>
      <w:r w:rsidRPr="00CF4EAE">
        <w:rPr>
          <w:rFonts w:ascii="Arial" w:hAnsi="Arial" w:cs="Arial"/>
          <w:b/>
          <w:bCs/>
          <w:color w:val="auto"/>
          <w:sz w:val="24"/>
          <w:szCs w:val="24"/>
        </w:rPr>
        <w:fldChar w:fldCharType="begin"/>
      </w:r>
      <w:r w:rsidRPr="00CF4EAE">
        <w:rPr>
          <w:rFonts w:ascii="Arial" w:hAnsi="Arial" w:cs="Arial"/>
          <w:b/>
          <w:bCs/>
          <w:color w:val="auto"/>
          <w:sz w:val="24"/>
          <w:szCs w:val="24"/>
        </w:rPr>
        <w:instrText xml:space="preserve"> SEQ Tabla \* ARABIC \s 1 </w:instrText>
      </w:r>
      <w:r w:rsidRPr="00CF4EAE">
        <w:rPr>
          <w:rFonts w:ascii="Arial" w:hAnsi="Arial" w:cs="Arial"/>
          <w:b/>
          <w:bCs/>
          <w:color w:val="auto"/>
          <w:sz w:val="24"/>
          <w:szCs w:val="24"/>
        </w:rPr>
        <w:fldChar w:fldCharType="separate"/>
      </w:r>
      <w:r w:rsidRPr="00CF4EAE">
        <w:rPr>
          <w:rFonts w:ascii="Arial" w:hAnsi="Arial" w:cs="Arial"/>
          <w:b/>
          <w:bCs/>
          <w:noProof/>
          <w:color w:val="auto"/>
          <w:sz w:val="24"/>
          <w:szCs w:val="24"/>
        </w:rPr>
        <w:t>6</w:t>
      </w:r>
      <w:r w:rsidRPr="00CF4EAE">
        <w:rPr>
          <w:rFonts w:ascii="Arial" w:hAnsi="Arial" w:cs="Arial"/>
          <w:b/>
          <w:bCs/>
          <w:noProof/>
          <w:color w:val="auto"/>
          <w:sz w:val="24"/>
          <w:szCs w:val="24"/>
        </w:rPr>
        <w:fldChar w:fldCharType="end"/>
      </w:r>
      <w:r w:rsidRPr="00CF4EAE">
        <w:rPr>
          <w:rFonts w:ascii="Arial" w:hAnsi="Arial" w:cs="Arial"/>
          <w:b/>
          <w:bCs/>
          <w:color w:val="auto"/>
          <w:sz w:val="24"/>
          <w:szCs w:val="24"/>
        </w:rPr>
        <w:t xml:space="preserve"> Activos consolidados del nivel nacional</w:t>
      </w:r>
      <w:bookmarkEnd w:id="39"/>
      <w:bookmarkEnd w:id="40"/>
    </w:p>
    <w:p w14:paraId="5FCA8464" w14:textId="613858BA" w:rsidR="00CF4EAE" w:rsidRDefault="00CF4EAE" w:rsidP="0080720B">
      <w:pPr>
        <w:ind w:firstLine="708"/>
        <w:rPr>
          <w:rFonts w:ascii="Arial" w:hAnsi="Arial" w:cs="Arial"/>
          <w:b/>
          <w:bCs/>
          <w:lang w:val="es-CO" w:eastAsia="es-CO"/>
        </w:rPr>
      </w:pPr>
      <w:r w:rsidRPr="00B37D31">
        <w:rPr>
          <w:noProof/>
          <w:lang w:eastAsia="es-CO"/>
        </w:rPr>
        <w:lastRenderedPageBreak/>
        <w:drawing>
          <wp:inline distT="0" distB="0" distL="0" distR="0" wp14:anchorId="3083EF39" wp14:editId="507D30CD">
            <wp:extent cx="5971540" cy="1819910"/>
            <wp:effectExtent l="0" t="0" r="0" b="8890"/>
            <wp:docPr id="14950691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71540" cy="1819910"/>
                    </a:xfrm>
                    <a:prstGeom prst="rect">
                      <a:avLst/>
                    </a:prstGeom>
                    <a:noFill/>
                    <a:ln>
                      <a:noFill/>
                    </a:ln>
                  </pic:spPr>
                </pic:pic>
              </a:graphicData>
            </a:graphic>
          </wp:inline>
        </w:drawing>
      </w:r>
    </w:p>
    <w:p w14:paraId="49B0C4F7" w14:textId="5C91F7CD" w:rsidR="00CF4EAE" w:rsidRDefault="00CF4EAE" w:rsidP="00CF4EAE">
      <w:pPr>
        <w:rPr>
          <w:rFonts w:ascii="Arial" w:hAnsi="Arial" w:cs="Arial"/>
          <w:b/>
          <w:bCs/>
          <w:lang w:val="es-CO" w:eastAsia="es-CO"/>
        </w:rPr>
      </w:pPr>
    </w:p>
    <w:p w14:paraId="0B177484" w14:textId="77777777" w:rsidR="00387248" w:rsidRPr="00387248" w:rsidRDefault="00387248" w:rsidP="00387248">
      <w:pPr>
        <w:ind w:right="-234"/>
        <w:jc w:val="both"/>
        <w:rPr>
          <w:rFonts w:ascii="Arial" w:hAnsi="Arial" w:cs="Arial"/>
          <w:lang w:eastAsia="es-CO"/>
        </w:rPr>
      </w:pPr>
      <w:r w:rsidRPr="00387248">
        <w:rPr>
          <w:rFonts w:ascii="Arial" w:hAnsi="Arial" w:cs="Arial"/>
          <w:lang w:eastAsia="es-CO"/>
        </w:rPr>
        <w:t>Como se observa en la tabla anterior, los grupos: Propiedades, planta y equipo con $200.067,3; Otros activos con $158.253,1; Inversiones e instrumentos derivados con $139.814,9; y, Bienes de uso público e históricos y culturales con $120.032,4; son los cuatro grupos que mayor valor registran en los Activos con el 21,6%; 17,1%; 15,1%; y, 12,9% respectivamente. Los demás conceptos estructurados de acuerdo con el catálogo general de cuentas, en conjunto representan el 32,8%.</w:t>
      </w:r>
    </w:p>
    <w:p w14:paraId="1DDD9FBB" w14:textId="77777777" w:rsidR="00387248" w:rsidRPr="00387248" w:rsidRDefault="00387248" w:rsidP="00387248">
      <w:pPr>
        <w:ind w:right="-234"/>
        <w:jc w:val="both"/>
        <w:rPr>
          <w:rFonts w:ascii="Arial" w:hAnsi="Arial" w:cs="Arial"/>
          <w:lang w:eastAsia="es-CO"/>
        </w:rPr>
      </w:pPr>
    </w:p>
    <w:p w14:paraId="03033F31" w14:textId="77777777" w:rsidR="00387248" w:rsidRPr="00387248" w:rsidRDefault="00387248" w:rsidP="00387248">
      <w:pPr>
        <w:ind w:right="-234"/>
        <w:jc w:val="both"/>
        <w:rPr>
          <w:rFonts w:ascii="Arial" w:hAnsi="Arial" w:cs="Arial"/>
          <w:lang w:eastAsia="es-CO"/>
        </w:rPr>
      </w:pPr>
      <w:r w:rsidRPr="00387248">
        <w:rPr>
          <w:rFonts w:ascii="Arial" w:hAnsi="Arial" w:cs="Arial"/>
          <w:lang w:eastAsia="es-CO"/>
        </w:rPr>
        <w:t>Al comparar el valor de los Activos consolidados de 2024 por $927.092,2, frente al de 2023 por $895.837,7, se observa un aumento de $31.254,5, equivalente al 3,5%, variación de la cual los conceptos con aumentos más representativos son: Otros activos con $31.407,0; Bienes de uso público e históricos y culturales con $14.521,3; Propiedades, planta y equipo con $12.123,6; e, Inversiones e instrumentos derivados con $11.148,8. Por otra parte, los conceptos con las disminuciones más representativas son: Recursos naturales no renovables con ($31.916,4) y Cuentas por cobrar con ($6.616,1).</w:t>
      </w:r>
    </w:p>
    <w:p w14:paraId="7BF5BF26" w14:textId="2F3E7F21" w:rsidR="00CF4EAE" w:rsidRDefault="00CF4EAE" w:rsidP="00387248">
      <w:pPr>
        <w:ind w:right="-234" w:firstLine="708"/>
        <w:rPr>
          <w:rFonts w:ascii="Arial" w:hAnsi="Arial" w:cs="Arial"/>
          <w:lang w:eastAsia="es-CO"/>
        </w:rPr>
      </w:pPr>
    </w:p>
    <w:p w14:paraId="5EF74764" w14:textId="6D717AB8" w:rsidR="00387248" w:rsidRDefault="00387248" w:rsidP="008F3F91">
      <w:pPr>
        <w:pStyle w:val="Ttulo4"/>
      </w:pPr>
      <w:bookmarkStart w:id="41" w:name="_Toc196515808"/>
      <w:bookmarkStart w:id="42" w:name="_Toc198020865"/>
      <w:r>
        <w:t xml:space="preserve">3.3.1.2.- </w:t>
      </w:r>
      <w:r w:rsidRPr="003A6F3D">
        <w:t>Pasivos consolidados</w:t>
      </w:r>
      <w:bookmarkEnd w:id="41"/>
      <w:bookmarkEnd w:id="42"/>
      <w:r>
        <w:t>.</w:t>
      </w:r>
    </w:p>
    <w:p w14:paraId="35EFF6AC" w14:textId="77777777" w:rsidR="00387248" w:rsidRPr="00387248" w:rsidRDefault="00387248" w:rsidP="00387248">
      <w:pPr>
        <w:rPr>
          <w:lang w:val="es-CO" w:eastAsia="es-CO"/>
        </w:rPr>
      </w:pPr>
    </w:p>
    <w:p w14:paraId="0C1A7B0C" w14:textId="6880AB00" w:rsidR="00387248" w:rsidRPr="008F3F91" w:rsidRDefault="00387248" w:rsidP="008F3F91">
      <w:pPr>
        <w:ind w:right="-234"/>
        <w:jc w:val="both"/>
        <w:rPr>
          <w:rFonts w:ascii="Arial" w:hAnsi="Arial" w:cs="Arial"/>
          <w:lang w:eastAsia="es-CO"/>
        </w:rPr>
      </w:pPr>
      <w:r w:rsidRPr="00AA6E9D">
        <w:rPr>
          <w:rFonts w:ascii="Arial" w:hAnsi="Arial" w:cs="Arial"/>
          <w:b/>
          <w:bCs/>
          <w:u w:val="single"/>
          <w:lang w:eastAsia="es-CO"/>
        </w:rPr>
        <w:t>Los pasivos consolidados del nivel nacional al 31 de diciembre de 2024 ascienden a $2.365.359,8, valor equivalente al 138,7% del PIB preliminar de 2024</w:t>
      </w:r>
      <w:r w:rsidRPr="008F3F91">
        <w:rPr>
          <w:rFonts w:ascii="Arial" w:hAnsi="Arial" w:cs="Arial"/>
          <w:lang w:eastAsia="es-CO"/>
        </w:rPr>
        <w:t xml:space="preserve">. Los pasivos consolidados del nivel nacional, teniendo en cuenta su exigibilidad, se clasifican en obligaciones corrientes, exigibles dentro del año siguiente, por un monto de $673.225,3 que representa el 28,5%, de los pasivos; mientras que el 71,5%, es decir, $1.692.134,5, representa obligaciones cuyo vencimiento es superior a un año. La composición de los pasivos consolidados del nivel nacional se indica en la siguiente tabla: </w:t>
      </w:r>
      <w:r w:rsidR="00AA6E9D">
        <w:rPr>
          <w:rFonts w:ascii="Arial" w:hAnsi="Arial" w:cs="Arial"/>
          <w:lang w:eastAsia="es-CO"/>
        </w:rPr>
        <w:t>(Subrayado y resaltado fuera de texto).</w:t>
      </w:r>
    </w:p>
    <w:p w14:paraId="0B9FD342" w14:textId="357DDD8E" w:rsidR="00387248" w:rsidRDefault="00387248" w:rsidP="00387248">
      <w:pPr>
        <w:ind w:right="-234" w:firstLine="708"/>
        <w:rPr>
          <w:rFonts w:ascii="Arial" w:hAnsi="Arial" w:cs="Arial"/>
          <w:lang w:eastAsia="es-CO"/>
        </w:rPr>
      </w:pPr>
    </w:p>
    <w:p w14:paraId="7A9A0092" w14:textId="3F2640DF" w:rsidR="00387248" w:rsidRDefault="00387248" w:rsidP="00387248">
      <w:pPr>
        <w:pStyle w:val="Descripcin"/>
        <w:jc w:val="center"/>
        <w:rPr>
          <w:rFonts w:ascii="Arial" w:hAnsi="Arial" w:cs="Arial"/>
          <w:b/>
          <w:bCs/>
          <w:color w:val="auto"/>
          <w:sz w:val="24"/>
          <w:szCs w:val="24"/>
        </w:rPr>
      </w:pPr>
      <w:bookmarkStart w:id="43" w:name="_Toc196515880"/>
      <w:bookmarkStart w:id="44" w:name="_Toc198020086"/>
      <w:r w:rsidRPr="00387248">
        <w:rPr>
          <w:rFonts w:ascii="Arial" w:hAnsi="Arial" w:cs="Arial"/>
          <w:b/>
          <w:bCs/>
          <w:color w:val="auto"/>
          <w:sz w:val="24"/>
          <w:szCs w:val="24"/>
        </w:rPr>
        <w:t xml:space="preserve">Tabla </w:t>
      </w:r>
      <w:r w:rsidRPr="00387248">
        <w:rPr>
          <w:rFonts w:ascii="Arial" w:hAnsi="Arial" w:cs="Arial"/>
          <w:b/>
          <w:bCs/>
          <w:color w:val="auto"/>
          <w:sz w:val="24"/>
          <w:szCs w:val="24"/>
        </w:rPr>
        <w:fldChar w:fldCharType="begin"/>
      </w:r>
      <w:r w:rsidRPr="00387248">
        <w:rPr>
          <w:rFonts w:ascii="Arial" w:hAnsi="Arial" w:cs="Arial"/>
          <w:b/>
          <w:bCs/>
          <w:color w:val="auto"/>
          <w:sz w:val="24"/>
          <w:szCs w:val="24"/>
        </w:rPr>
        <w:instrText xml:space="preserve"> STYLEREF 1 \s </w:instrText>
      </w:r>
      <w:r w:rsidRPr="00387248">
        <w:rPr>
          <w:rFonts w:ascii="Arial" w:hAnsi="Arial" w:cs="Arial"/>
          <w:b/>
          <w:bCs/>
          <w:color w:val="auto"/>
          <w:sz w:val="24"/>
          <w:szCs w:val="24"/>
        </w:rPr>
        <w:fldChar w:fldCharType="separate"/>
      </w:r>
      <w:r w:rsidRPr="00387248">
        <w:rPr>
          <w:rFonts w:ascii="Arial" w:hAnsi="Arial" w:cs="Arial"/>
          <w:b/>
          <w:bCs/>
          <w:noProof/>
          <w:color w:val="auto"/>
          <w:sz w:val="24"/>
          <w:szCs w:val="24"/>
        </w:rPr>
        <w:t>3</w:t>
      </w:r>
      <w:r w:rsidRPr="00387248">
        <w:rPr>
          <w:rFonts w:ascii="Arial" w:hAnsi="Arial" w:cs="Arial"/>
          <w:b/>
          <w:bCs/>
          <w:noProof/>
          <w:color w:val="auto"/>
          <w:sz w:val="24"/>
          <w:szCs w:val="24"/>
        </w:rPr>
        <w:fldChar w:fldCharType="end"/>
      </w:r>
      <w:r w:rsidRPr="00387248">
        <w:rPr>
          <w:rFonts w:ascii="Arial" w:hAnsi="Arial" w:cs="Arial"/>
          <w:b/>
          <w:bCs/>
          <w:color w:val="auto"/>
          <w:sz w:val="24"/>
          <w:szCs w:val="24"/>
        </w:rPr>
        <w:noBreakHyphen/>
      </w:r>
      <w:r w:rsidRPr="00387248">
        <w:rPr>
          <w:rFonts w:ascii="Arial" w:hAnsi="Arial" w:cs="Arial"/>
          <w:b/>
          <w:bCs/>
          <w:color w:val="auto"/>
          <w:sz w:val="24"/>
          <w:szCs w:val="24"/>
        </w:rPr>
        <w:fldChar w:fldCharType="begin"/>
      </w:r>
      <w:r w:rsidRPr="00387248">
        <w:rPr>
          <w:rFonts w:ascii="Arial" w:hAnsi="Arial" w:cs="Arial"/>
          <w:b/>
          <w:bCs/>
          <w:color w:val="auto"/>
          <w:sz w:val="24"/>
          <w:szCs w:val="24"/>
        </w:rPr>
        <w:instrText xml:space="preserve"> SEQ Tabla \* ARABIC \s 1 </w:instrText>
      </w:r>
      <w:r w:rsidRPr="00387248">
        <w:rPr>
          <w:rFonts w:ascii="Arial" w:hAnsi="Arial" w:cs="Arial"/>
          <w:b/>
          <w:bCs/>
          <w:color w:val="auto"/>
          <w:sz w:val="24"/>
          <w:szCs w:val="24"/>
        </w:rPr>
        <w:fldChar w:fldCharType="separate"/>
      </w:r>
      <w:r w:rsidRPr="00387248">
        <w:rPr>
          <w:rFonts w:ascii="Arial" w:hAnsi="Arial" w:cs="Arial"/>
          <w:b/>
          <w:bCs/>
          <w:noProof/>
          <w:color w:val="auto"/>
          <w:sz w:val="24"/>
          <w:szCs w:val="24"/>
        </w:rPr>
        <w:t>7</w:t>
      </w:r>
      <w:r w:rsidRPr="00387248">
        <w:rPr>
          <w:rFonts w:ascii="Arial" w:hAnsi="Arial" w:cs="Arial"/>
          <w:b/>
          <w:bCs/>
          <w:noProof/>
          <w:color w:val="auto"/>
          <w:sz w:val="24"/>
          <w:szCs w:val="24"/>
        </w:rPr>
        <w:fldChar w:fldCharType="end"/>
      </w:r>
      <w:r w:rsidRPr="00387248">
        <w:rPr>
          <w:rFonts w:ascii="Arial" w:hAnsi="Arial" w:cs="Arial"/>
          <w:b/>
          <w:bCs/>
          <w:color w:val="auto"/>
          <w:sz w:val="24"/>
          <w:szCs w:val="24"/>
        </w:rPr>
        <w:t xml:space="preserve"> Pasivos consolidados del nivel nacional</w:t>
      </w:r>
      <w:bookmarkEnd w:id="43"/>
      <w:bookmarkEnd w:id="44"/>
    </w:p>
    <w:p w14:paraId="39937378" w14:textId="68C18EDE" w:rsidR="00387248" w:rsidRDefault="00387248" w:rsidP="00387248">
      <w:pPr>
        <w:rPr>
          <w:lang w:val="es-CO" w:eastAsia="en-US"/>
        </w:rPr>
      </w:pPr>
    </w:p>
    <w:p w14:paraId="6492D767" w14:textId="223AFA64" w:rsidR="00387248" w:rsidRDefault="00387248" w:rsidP="00387248">
      <w:pPr>
        <w:jc w:val="center"/>
        <w:rPr>
          <w:noProof/>
          <w:lang w:eastAsia="es-CO"/>
        </w:rPr>
      </w:pPr>
      <w:r w:rsidRPr="00840F7E">
        <w:rPr>
          <w:noProof/>
          <w:lang w:eastAsia="es-CO"/>
        </w:rPr>
        <w:drawing>
          <wp:inline distT="0" distB="0" distL="0" distR="0" wp14:anchorId="6EA16AD8" wp14:editId="418CC8EB">
            <wp:extent cx="5971540" cy="1583690"/>
            <wp:effectExtent l="0" t="0" r="0" b="0"/>
            <wp:docPr id="119556184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71540" cy="1583690"/>
                    </a:xfrm>
                    <a:prstGeom prst="rect">
                      <a:avLst/>
                    </a:prstGeom>
                    <a:noFill/>
                    <a:ln>
                      <a:noFill/>
                    </a:ln>
                  </pic:spPr>
                </pic:pic>
              </a:graphicData>
            </a:graphic>
          </wp:inline>
        </w:drawing>
      </w:r>
    </w:p>
    <w:p w14:paraId="0CC9B4B4" w14:textId="77777777" w:rsidR="008F3F91" w:rsidRPr="008F3F91" w:rsidRDefault="008F3F91" w:rsidP="008F3F91">
      <w:pPr>
        <w:ind w:right="-234"/>
        <w:jc w:val="both"/>
        <w:rPr>
          <w:rFonts w:ascii="Arial" w:hAnsi="Arial" w:cs="Arial"/>
          <w:lang w:eastAsia="es-CO"/>
        </w:rPr>
      </w:pPr>
      <w:r w:rsidRPr="008F3F91">
        <w:rPr>
          <w:rFonts w:ascii="Arial" w:hAnsi="Arial" w:cs="Arial"/>
          <w:lang w:eastAsia="es-CO"/>
        </w:rPr>
        <w:lastRenderedPageBreak/>
        <w:t>El pasivo por la Emisión y colocación de títulos de deuda, cuyo monto es de $806.019,2, es el concepto más representativo con el 34,1% del total de los pasivos. Le siguen en su orden; Beneficios a los empleados con $651.480,6; Otros pasivos con $348.112,3; y, Préstamos por pagar con $272.400,2; equivalentes al 27,6%; 14,7%; y, 11,5% respectivamente; los demás conceptos del pasivo estructurados de acuerdo con el catálogo general de cuentas, en conjunto representan el 12,1%.</w:t>
      </w:r>
    </w:p>
    <w:p w14:paraId="2B704311" w14:textId="03D1DD74" w:rsidR="008F3F91" w:rsidRDefault="008F3F91" w:rsidP="008F3F91">
      <w:pPr>
        <w:ind w:right="-234"/>
        <w:rPr>
          <w:rFonts w:ascii="Arial" w:hAnsi="Arial" w:cs="Arial"/>
          <w:lang w:eastAsia="en-US"/>
        </w:rPr>
      </w:pPr>
    </w:p>
    <w:p w14:paraId="0DA380BB" w14:textId="77777777" w:rsidR="008F3F91" w:rsidRPr="008F3F91" w:rsidRDefault="008F3F91" w:rsidP="008F3F91">
      <w:pPr>
        <w:ind w:right="-234"/>
        <w:jc w:val="both"/>
        <w:rPr>
          <w:rFonts w:ascii="Arial" w:hAnsi="Arial" w:cs="Arial"/>
          <w:lang w:eastAsia="es-CO"/>
        </w:rPr>
      </w:pPr>
      <w:r w:rsidRPr="008F3F91">
        <w:rPr>
          <w:rFonts w:ascii="Arial" w:hAnsi="Arial" w:cs="Arial"/>
          <w:lang w:eastAsia="es-CO"/>
        </w:rPr>
        <w:t>Al comparar el valor de los pasivos consolidados de 2024 por $2.365.359,8, frente al 2023 por $2.145.592,0, se observa un aumento por valor de $219.767,8 cuya variación equivale al 10,2%, donde, individualmente considerados, los conceptos que presentaron mayor aumento son: Emisión y colocación de títulos de deuda con $119.779,8; Cuentas por pagar con $36.374,6; y, Préstamos por pagar con $29.903,3. Por otra parte, se presentó disminución en el concepto Operaciones con instrumentos derivados con ($168,3), siendo este el grupo menos representativo de los Pasivos.</w:t>
      </w:r>
    </w:p>
    <w:p w14:paraId="25296656" w14:textId="6CC10F2D" w:rsidR="008F3F91" w:rsidRPr="008F3F91" w:rsidRDefault="008F3F91" w:rsidP="008F3F91">
      <w:pPr>
        <w:ind w:right="-234"/>
        <w:rPr>
          <w:rFonts w:ascii="Arial" w:hAnsi="Arial" w:cs="Arial"/>
          <w:lang w:eastAsia="en-US"/>
        </w:rPr>
      </w:pPr>
    </w:p>
    <w:p w14:paraId="2FC128C7" w14:textId="5B211FC8" w:rsidR="008F3F91" w:rsidRDefault="008F3F91" w:rsidP="008F3F91">
      <w:pPr>
        <w:pStyle w:val="Ttulo4"/>
        <w:ind w:right="-234"/>
      </w:pPr>
      <w:bookmarkStart w:id="45" w:name="_Toc196515809"/>
      <w:bookmarkStart w:id="46" w:name="_Toc198020866"/>
      <w:r>
        <w:t xml:space="preserve">3.3.1.3.- </w:t>
      </w:r>
      <w:r w:rsidRPr="003A6F3D">
        <w:t>Patrimonio consolidado</w:t>
      </w:r>
      <w:bookmarkEnd w:id="45"/>
      <w:bookmarkEnd w:id="46"/>
      <w:r>
        <w:t>.</w:t>
      </w:r>
    </w:p>
    <w:p w14:paraId="20CD2ED3" w14:textId="7A8A0F18" w:rsidR="008F3F91" w:rsidRDefault="008F3F91" w:rsidP="008F3F91">
      <w:pPr>
        <w:ind w:right="-234"/>
        <w:rPr>
          <w:lang w:val="es-CO" w:eastAsia="es-CO"/>
        </w:rPr>
      </w:pPr>
    </w:p>
    <w:p w14:paraId="00398B32" w14:textId="31CDF29F" w:rsidR="008F3F91" w:rsidRPr="008F3F91" w:rsidRDefault="008F3F91" w:rsidP="008F3F91">
      <w:pPr>
        <w:ind w:right="-234"/>
        <w:jc w:val="both"/>
        <w:rPr>
          <w:rFonts w:ascii="Arial" w:hAnsi="Arial" w:cs="Arial"/>
          <w:lang w:eastAsia="es-CO"/>
        </w:rPr>
      </w:pPr>
      <w:r w:rsidRPr="00AA6E9D">
        <w:rPr>
          <w:rFonts w:ascii="Arial" w:hAnsi="Arial" w:cs="Arial"/>
          <w:b/>
          <w:bCs/>
          <w:u w:val="single"/>
          <w:lang w:eastAsia="es-CO"/>
        </w:rPr>
        <w:t>El patrimonio consolidado del nivel nacional, al 31 de diciembre de 2024, registra un saldo negativo de ($1.438.267,6), presentando una variación del (15,1%) con relación al valor de 2023 el cual ascendía a ($1.249.754,3). La estructura del patrimonio consolidado del nivel nacional por los diferentes conceptos que lo conforman presenta los siguientes saldos comparativos</w:t>
      </w:r>
      <w:r w:rsidRPr="008F3F91">
        <w:rPr>
          <w:rFonts w:ascii="Arial" w:hAnsi="Arial" w:cs="Arial"/>
          <w:lang w:eastAsia="es-CO"/>
        </w:rPr>
        <w:t xml:space="preserve">: </w:t>
      </w:r>
      <w:r w:rsidR="00AA6E9D">
        <w:rPr>
          <w:rFonts w:ascii="Arial" w:hAnsi="Arial" w:cs="Arial"/>
          <w:lang w:eastAsia="es-CO"/>
        </w:rPr>
        <w:t>(Subrayado y resaltado fuera de texto).</w:t>
      </w:r>
    </w:p>
    <w:p w14:paraId="3A9DAE9E" w14:textId="77777777" w:rsidR="008F3F91" w:rsidRPr="008F3F91" w:rsidRDefault="008F3F91" w:rsidP="008F3F91">
      <w:pPr>
        <w:jc w:val="both"/>
        <w:rPr>
          <w:rFonts w:ascii="Arial" w:hAnsi="Arial" w:cs="Arial"/>
          <w:lang w:eastAsia="es-CO"/>
        </w:rPr>
      </w:pPr>
    </w:p>
    <w:p w14:paraId="4E40B8BE" w14:textId="77777777" w:rsidR="008F3F91" w:rsidRPr="008F3F91" w:rsidRDefault="008F3F91" w:rsidP="008F3F91">
      <w:pPr>
        <w:pStyle w:val="Descripcin"/>
        <w:jc w:val="center"/>
        <w:rPr>
          <w:rFonts w:ascii="Arial" w:hAnsi="Arial" w:cs="Arial"/>
          <w:b/>
          <w:bCs/>
          <w:color w:val="auto"/>
          <w:sz w:val="24"/>
          <w:szCs w:val="24"/>
          <w:lang w:eastAsia="es-CO"/>
        </w:rPr>
      </w:pPr>
      <w:bookmarkStart w:id="47" w:name="_Toc196515881"/>
      <w:bookmarkStart w:id="48" w:name="_Toc198020087"/>
      <w:r w:rsidRPr="008F3F91">
        <w:rPr>
          <w:rFonts w:ascii="Arial" w:hAnsi="Arial" w:cs="Arial"/>
          <w:b/>
          <w:bCs/>
          <w:color w:val="auto"/>
          <w:sz w:val="24"/>
          <w:szCs w:val="24"/>
        </w:rPr>
        <w:t xml:space="preserve">Tabla </w:t>
      </w:r>
      <w:r w:rsidRPr="008F3F91">
        <w:rPr>
          <w:rFonts w:ascii="Arial" w:hAnsi="Arial" w:cs="Arial"/>
          <w:b/>
          <w:bCs/>
          <w:color w:val="auto"/>
          <w:sz w:val="24"/>
          <w:szCs w:val="24"/>
        </w:rPr>
        <w:fldChar w:fldCharType="begin"/>
      </w:r>
      <w:r w:rsidRPr="008F3F91">
        <w:rPr>
          <w:rFonts w:ascii="Arial" w:hAnsi="Arial" w:cs="Arial"/>
          <w:b/>
          <w:bCs/>
          <w:color w:val="auto"/>
          <w:sz w:val="24"/>
          <w:szCs w:val="24"/>
        </w:rPr>
        <w:instrText xml:space="preserve"> STYLEREF 1 \s </w:instrText>
      </w:r>
      <w:r w:rsidRPr="008F3F91">
        <w:rPr>
          <w:rFonts w:ascii="Arial" w:hAnsi="Arial" w:cs="Arial"/>
          <w:b/>
          <w:bCs/>
          <w:color w:val="auto"/>
          <w:sz w:val="24"/>
          <w:szCs w:val="24"/>
        </w:rPr>
        <w:fldChar w:fldCharType="separate"/>
      </w:r>
      <w:r w:rsidRPr="008F3F91">
        <w:rPr>
          <w:rFonts w:ascii="Arial" w:hAnsi="Arial" w:cs="Arial"/>
          <w:b/>
          <w:bCs/>
          <w:noProof/>
          <w:color w:val="auto"/>
          <w:sz w:val="24"/>
          <w:szCs w:val="24"/>
        </w:rPr>
        <w:t>3</w:t>
      </w:r>
      <w:r w:rsidRPr="008F3F91">
        <w:rPr>
          <w:rFonts w:ascii="Arial" w:hAnsi="Arial" w:cs="Arial"/>
          <w:b/>
          <w:bCs/>
          <w:noProof/>
          <w:color w:val="auto"/>
          <w:sz w:val="24"/>
          <w:szCs w:val="24"/>
        </w:rPr>
        <w:fldChar w:fldCharType="end"/>
      </w:r>
      <w:r w:rsidRPr="008F3F91">
        <w:rPr>
          <w:rFonts w:ascii="Arial" w:hAnsi="Arial" w:cs="Arial"/>
          <w:b/>
          <w:bCs/>
          <w:color w:val="auto"/>
          <w:sz w:val="24"/>
          <w:szCs w:val="24"/>
        </w:rPr>
        <w:noBreakHyphen/>
      </w:r>
      <w:r w:rsidRPr="008F3F91">
        <w:rPr>
          <w:rFonts w:ascii="Arial" w:hAnsi="Arial" w:cs="Arial"/>
          <w:b/>
          <w:bCs/>
          <w:color w:val="auto"/>
          <w:sz w:val="24"/>
          <w:szCs w:val="24"/>
        </w:rPr>
        <w:fldChar w:fldCharType="begin"/>
      </w:r>
      <w:r w:rsidRPr="008F3F91">
        <w:rPr>
          <w:rFonts w:ascii="Arial" w:hAnsi="Arial" w:cs="Arial"/>
          <w:b/>
          <w:bCs/>
          <w:color w:val="auto"/>
          <w:sz w:val="24"/>
          <w:szCs w:val="24"/>
        </w:rPr>
        <w:instrText xml:space="preserve"> SEQ Tabla \* ARABIC \s 1 </w:instrText>
      </w:r>
      <w:r w:rsidRPr="008F3F91">
        <w:rPr>
          <w:rFonts w:ascii="Arial" w:hAnsi="Arial" w:cs="Arial"/>
          <w:b/>
          <w:bCs/>
          <w:color w:val="auto"/>
          <w:sz w:val="24"/>
          <w:szCs w:val="24"/>
        </w:rPr>
        <w:fldChar w:fldCharType="separate"/>
      </w:r>
      <w:r w:rsidRPr="008F3F91">
        <w:rPr>
          <w:rFonts w:ascii="Arial" w:hAnsi="Arial" w:cs="Arial"/>
          <w:b/>
          <w:bCs/>
          <w:noProof/>
          <w:color w:val="auto"/>
          <w:sz w:val="24"/>
          <w:szCs w:val="24"/>
        </w:rPr>
        <w:t>8</w:t>
      </w:r>
      <w:r w:rsidRPr="008F3F91">
        <w:rPr>
          <w:rFonts w:ascii="Arial" w:hAnsi="Arial" w:cs="Arial"/>
          <w:b/>
          <w:bCs/>
          <w:noProof/>
          <w:color w:val="auto"/>
          <w:sz w:val="24"/>
          <w:szCs w:val="24"/>
        </w:rPr>
        <w:fldChar w:fldCharType="end"/>
      </w:r>
      <w:r w:rsidRPr="008F3F91">
        <w:rPr>
          <w:rFonts w:ascii="Arial" w:hAnsi="Arial" w:cs="Arial"/>
          <w:b/>
          <w:bCs/>
          <w:color w:val="auto"/>
          <w:sz w:val="24"/>
          <w:szCs w:val="24"/>
        </w:rPr>
        <w:t xml:space="preserve"> Patrimonio consolidado del nivel nacional</w:t>
      </w:r>
      <w:bookmarkEnd w:id="47"/>
      <w:bookmarkEnd w:id="48"/>
    </w:p>
    <w:p w14:paraId="1D71FFA3" w14:textId="77777777" w:rsidR="008F3F91" w:rsidRPr="008F3F91" w:rsidRDefault="008F3F91" w:rsidP="008F3F91">
      <w:pPr>
        <w:rPr>
          <w:rFonts w:ascii="Arial" w:hAnsi="Arial" w:cs="Arial"/>
          <w:lang w:val="es-CO" w:eastAsia="es-CO"/>
        </w:rPr>
      </w:pPr>
    </w:p>
    <w:p w14:paraId="45702928" w14:textId="4AECC216" w:rsidR="008F3F91" w:rsidRDefault="008F3F91" w:rsidP="008F3F91">
      <w:pPr>
        <w:ind w:right="-234"/>
        <w:jc w:val="center"/>
        <w:rPr>
          <w:noProof/>
          <w:lang w:eastAsia="es-CO"/>
        </w:rPr>
      </w:pPr>
      <w:r w:rsidRPr="00840F7E">
        <w:rPr>
          <w:noProof/>
          <w:lang w:eastAsia="es-CO"/>
        </w:rPr>
        <w:drawing>
          <wp:inline distT="0" distB="0" distL="0" distR="0" wp14:anchorId="6FB74D08" wp14:editId="6613128E">
            <wp:extent cx="5971540" cy="1270635"/>
            <wp:effectExtent l="0" t="0" r="0" b="5715"/>
            <wp:docPr id="4467303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71540" cy="1270635"/>
                    </a:xfrm>
                    <a:prstGeom prst="rect">
                      <a:avLst/>
                    </a:prstGeom>
                    <a:noFill/>
                    <a:ln>
                      <a:noFill/>
                    </a:ln>
                  </pic:spPr>
                </pic:pic>
              </a:graphicData>
            </a:graphic>
          </wp:inline>
        </w:drawing>
      </w:r>
    </w:p>
    <w:p w14:paraId="77DE97A9" w14:textId="084E3544" w:rsidR="008F3F91" w:rsidRPr="008F3F91" w:rsidRDefault="008F3F91" w:rsidP="008F3F91">
      <w:pPr>
        <w:rPr>
          <w:rFonts w:ascii="Arial" w:hAnsi="Arial" w:cs="Arial"/>
          <w:lang w:eastAsia="en-US"/>
        </w:rPr>
      </w:pPr>
    </w:p>
    <w:p w14:paraId="7C2EB9D8" w14:textId="77777777" w:rsidR="008F3F91" w:rsidRPr="008F3F91" w:rsidRDefault="008F3F91" w:rsidP="008F3F91">
      <w:pPr>
        <w:ind w:right="-234"/>
        <w:jc w:val="both"/>
        <w:rPr>
          <w:rFonts w:ascii="Arial" w:hAnsi="Arial" w:cs="Arial"/>
          <w:lang w:eastAsia="es-CO"/>
        </w:rPr>
      </w:pPr>
      <w:r w:rsidRPr="008F3F91">
        <w:rPr>
          <w:rFonts w:ascii="Arial" w:hAnsi="Arial" w:cs="Arial"/>
          <w:lang w:eastAsia="es-CO"/>
        </w:rPr>
        <w:t>Como se observa, el concepto Patrimonio de las empresas registra un valor positivo de $42.863,0; así mismo, el concepto Participación no controladora con $18.704,5; por su parte, el concepto Resultados consolidados del ejercicio es deficitario en ($148.868,3). Los valores negativos están representados en los conceptos Patrimonio de entidades de gobierno por ($1.341.515,7), y Saldos de operaciones recíprocas por ($9.451,1).</w:t>
      </w:r>
    </w:p>
    <w:p w14:paraId="3B5E2CAC" w14:textId="26E49A74" w:rsidR="008F3F91" w:rsidRDefault="008F3F91" w:rsidP="008F3F91">
      <w:pPr>
        <w:rPr>
          <w:noProof/>
          <w:lang w:eastAsia="es-CO"/>
        </w:rPr>
      </w:pPr>
    </w:p>
    <w:p w14:paraId="4B0D360C" w14:textId="5E86ED90" w:rsidR="008F3F91" w:rsidRPr="003A6F3D" w:rsidRDefault="008F3F91" w:rsidP="008F3F91">
      <w:pPr>
        <w:pStyle w:val="Ttulo4"/>
      </w:pPr>
      <w:bookmarkStart w:id="49" w:name="_Toc196515810"/>
      <w:bookmarkStart w:id="50" w:name="_Toc198020867"/>
      <w:r>
        <w:t xml:space="preserve">3.3.1.4.- </w:t>
      </w:r>
      <w:r w:rsidRPr="003A6F3D">
        <w:t>Cuentas de orden</w:t>
      </w:r>
      <w:bookmarkEnd w:id="49"/>
      <w:bookmarkEnd w:id="50"/>
      <w:r>
        <w:t>.</w:t>
      </w:r>
    </w:p>
    <w:p w14:paraId="2B06110F" w14:textId="7954A652" w:rsidR="008F3F91" w:rsidRDefault="008F3F91" w:rsidP="008F3F91">
      <w:pPr>
        <w:ind w:firstLine="708"/>
        <w:rPr>
          <w:rFonts w:ascii="Arial" w:hAnsi="Arial" w:cs="Arial"/>
          <w:lang w:eastAsia="en-US"/>
        </w:rPr>
      </w:pPr>
    </w:p>
    <w:p w14:paraId="60D00198" w14:textId="77777777" w:rsidR="008F3F91" w:rsidRPr="008F3F91" w:rsidRDefault="008F3F91" w:rsidP="008F3F91">
      <w:pPr>
        <w:pStyle w:val="Descripcin"/>
        <w:jc w:val="center"/>
        <w:rPr>
          <w:rFonts w:ascii="Arial" w:hAnsi="Arial" w:cs="Arial"/>
          <w:b/>
          <w:bCs/>
          <w:color w:val="auto"/>
          <w:sz w:val="24"/>
          <w:szCs w:val="24"/>
          <w:lang w:eastAsia="es-CO"/>
        </w:rPr>
      </w:pPr>
      <w:bookmarkStart w:id="51" w:name="_Toc196515882"/>
      <w:bookmarkStart w:id="52" w:name="_Toc198020088"/>
      <w:r w:rsidRPr="008F3F91">
        <w:rPr>
          <w:rFonts w:ascii="Arial" w:hAnsi="Arial" w:cs="Arial"/>
          <w:b/>
          <w:bCs/>
          <w:color w:val="auto"/>
          <w:sz w:val="24"/>
          <w:szCs w:val="24"/>
        </w:rPr>
        <w:t xml:space="preserve">Tabla </w:t>
      </w:r>
      <w:r w:rsidRPr="008F3F91">
        <w:rPr>
          <w:rFonts w:ascii="Arial" w:hAnsi="Arial" w:cs="Arial"/>
          <w:b/>
          <w:bCs/>
          <w:color w:val="auto"/>
          <w:sz w:val="24"/>
          <w:szCs w:val="24"/>
        </w:rPr>
        <w:fldChar w:fldCharType="begin"/>
      </w:r>
      <w:r w:rsidRPr="008F3F91">
        <w:rPr>
          <w:rFonts w:ascii="Arial" w:hAnsi="Arial" w:cs="Arial"/>
          <w:b/>
          <w:bCs/>
          <w:color w:val="auto"/>
          <w:sz w:val="24"/>
          <w:szCs w:val="24"/>
        </w:rPr>
        <w:instrText xml:space="preserve"> STYLEREF 1 \s </w:instrText>
      </w:r>
      <w:r w:rsidRPr="008F3F91">
        <w:rPr>
          <w:rFonts w:ascii="Arial" w:hAnsi="Arial" w:cs="Arial"/>
          <w:b/>
          <w:bCs/>
          <w:color w:val="auto"/>
          <w:sz w:val="24"/>
          <w:szCs w:val="24"/>
        </w:rPr>
        <w:fldChar w:fldCharType="separate"/>
      </w:r>
      <w:r w:rsidRPr="008F3F91">
        <w:rPr>
          <w:rFonts w:ascii="Arial" w:hAnsi="Arial" w:cs="Arial"/>
          <w:b/>
          <w:bCs/>
          <w:noProof/>
          <w:color w:val="auto"/>
          <w:sz w:val="24"/>
          <w:szCs w:val="24"/>
        </w:rPr>
        <w:t>3</w:t>
      </w:r>
      <w:r w:rsidRPr="008F3F91">
        <w:rPr>
          <w:rFonts w:ascii="Arial" w:hAnsi="Arial" w:cs="Arial"/>
          <w:b/>
          <w:bCs/>
          <w:noProof/>
          <w:color w:val="auto"/>
          <w:sz w:val="24"/>
          <w:szCs w:val="24"/>
        </w:rPr>
        <w:fldChar w:fldCharType="end"/>
      </w:r>
      <w:r w:rsidRPr="008F3F91">
        <w:rPr>
          <w:rFonts w:ascii="Arial" w:hAnsi="Arial" w:cs="Arial"/>
          <w:b/>
          <w:bCs/>
          <w:color w:val="auto"/>
          <w:sz w:val="24"/>
          <w:szCs w:val="24"/>
        </w:rPr>
        <w:noBreakHyphen/>
      </w:r>
      <w:r w:rsidRPr="008F3F91">
        <w:rPr>
          <w:rFonts w:ascii="Arial" w:hAnsi="Arial" w:cs="Arial"/>
          <w:b/>
          <w:bCs/>
          <w:color w:val="auto"/>
          <w:sz w:val="24"/>
          <w:szCs w:val="24"/>
        </w:rPr>
        <w:fldChar w:fldCharType="begin"/>
      </w:r>
      <w:r w:rsidRPr="008F3F91">
        <w:rPr>
          <w:rFonts w:ascii="Arial" w:hAnsi="Arial" w:cs="Arial"/>
          <w:b/>
          <w:bCs/>
          <w:color w:val="auto"/>
          <w:sz w:val="24"/>
          <w:szCs w:val="24"/>
        </w:rPr>
        <w:instrText xml:space="preserve"> SEQ Tabla \* ARABIC \s 1 </w:instrText>
      </w:r>
      <w:r w:rsidRPr="008F3F91">
        <w:rPr>
          <w:rFonts w:ascii="Arial" w:hAnsi="Arial" w:cs="Arial"/>
          <w:b/>
          <w:bCs/>
          <w:color w:val="auto"/>
          <w:sz w:val="24"/>
          <w:szCs w:val="24"/>
        </w:rPr>
        <w:fldChar w:fldCharType="separate"/>
      </w:r>
      <w:r w:rsidRPr="008F3F91">
        <w:rPr>
          <w:rFonts w:ascii="Arial" w:hAnsi="Arial" w:cs="Arial"/>
          <w:b/>
          <w:bCs/>
          <w:noProof/>
          <w:color w:val="auto"/>
          <w:sz w:val="24"/>
          <w:szCs w:val="24"/>
        </w:rPr>
        <w:t>9</w:t>
      </w:r>
      <w:r w:rsidRPr="008F3F91">
        <w:rPr>
          <w:rFonts w:ascii="Arial" w:hAnsi="Arial" w:cs="Arial"/>
          <w:b/>
          <w:bCs/>
          <w:noProof/>
          <w:color w:val="auto"/>
          <w:sz w:val="24"/>
          <w:szCs w:val="24"/>
        </w:rPr>
        <w:fldChar w:fldCharType="end"/>
      </w:r>
      <w:r w:rsidRPr="008F3F91">
        <w:rPr>
          <w:rFonts w:ascii="Arial" w:hAnsi="Arial" w:cs="Arial"/>
          <w:b/>
          <w:bCs/>
          <w:color w:val="auto"/>
          <w:sz w:val="24"/>
          <w:szCs w:val="24"/>
        </w:rPr>
        <w:t xml:space="preserve"> Cuentas de orden consolidadas del nivel nacional</w:t>
      </w:r>
      <w:bookmarkEnd w:id="51"/>
      <w:bookmarkEnd w:id="52"/>
    </w:p>
    <w:p w14:paraId="3F7D7F0A" w14:textId="7984E1D3" w:rsidR="008F3F91" w:rsidRDefault="008F3F91" w:rsidP="008F3F91">
      <w:pPr>
        <w:ind w:firstLine="708"/>
        <w:rPr>
          <w:rFonts w:ascii="Arial" w:hAnsi="Arial" w:cs="Arial"/>
          <w:b/>
          <w:bCs/>
          <w:lang w:val="es-CO" w:eastAsia="en-US"/>
        </w:rPr>
      </w:pPr>
    </w:p>
    <w:p w14:paraId="79D8502A" w14:textId="2BB54F3F" w:rsidR="008F3F91" w:rsidRDefault="00F66DB0" w:rsidP="00F66DB0">
      <w:pPr>
        <w:ind w:firstLine="708"/>
        <w:jc w:val="center"/>
        <w:rPr>
          <w:rFonts w:ascii="Arial" w:hAnsi="Arial" w:cs="Arial"/>
          <w:b/>
          <w:bCs/>
          <w:lang w:val="es-CO" w:eastAsia="en-US"/>
        </w:rPr>
      </w:pPr>
      <w:r w:rsidRPr="00840F7E">
        <w:rPr>
          <w:noProof/>
          <w:lang w:eastAsia="es-CO"/>
        </w:rPr>
        <w:lastRenderedPageBreak/>
        <w:drawing>
          <wp:inline distT="0" distB="0" distL="0" distR="0" wp14:anchorId="2B583C52" wp14:editId="730ED6E6">
            <wp:extent cx="5971540" cy="1749425"/>
            <wp:effectExtent l="0" t="0" r="0" b="3175"/>
            <wp:docPr id="6594977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71540" cy="1749425"/>
                    </a:xfrm>
                    <a:prstGeom prst="rect">
                      <a:avLst/>
                    </a:prstGeom>
                    <a:noFill/>
                    <a:ln>
                      <a:noFill/>
                    </a:ln>
                  </pic:spPr>
                </pic:pic>
              </a:graphicData>
            </a:graphic>
          </wp:inline>
        </w:drawing>
      </w:r>
    </w:p>
    <w:p w14:paraId="65ADE991" w14:textId="5BE65D08" w:rsidR="00F66DB0" w:rsidRDefault="00F66DB0" w:rsidP="00F66DB0">
      <w:pPr>
        <w:rPr>
          <w:rFonts w:ascii="Arial" w:hAnsi="Arial" w:cs="Arial"/>
          <w:b/>
          <w:bCs/>
          <w:lang w:val="es-CO" w:eastAsia="en-US"/>
        </w:rPr>
      </w:pPr>
    </w:p>
    <w:p w14:paraId="2F8BD153" w14:textId="21EA39B1" w:rsidR="00F66DB0" w:rsidRDefault="00F66DB0" w:rsidP="00F66DB0">
      <w:pPr>
        <w:rPr>
          <w:rFonts w:ascii="Arial" w:hAnsi="Arial" w:cs="Arial"/>
          <w:b/>
          <w:bCs/>
          <w:lang w:val="es-CO" w:eastAsia="en-US"/>
        </w:rPr>
      </w:pPr>
    </w:p>
    <w:p w14:paraId="60BC245E" w14:textId="77777777" w:rsidR="00F66DB0" w:rsidRPr="00F66DB0" w:rsidRDefault="00F66DB0" w:rsidP="00F66DB0">
      <w:pPr>
        <w:ind w:right="-234"/>
        <w:jc w:val="both"/>
        <w:rPr>
          <w:rFonts w:ascii="Arial" w:hAnsi="Arial" w:cs="Arial"/>
          <w:lang w:eastAsia="es-CO"/>
        </w:rPr>
      </w:pPr>
      <w:r w:rsidRPr="00F66DB0">
        <w:rPr>
          <w:rFonts w:ascii="Arial" w:hAnsi="Arial" w:cs="Arial"/>
          <w:lang w:eastAsia="es-CO"/>
        </w:rPr>
        <w:t>A diciembre 31 de 2024, las Cuentas de Orden Deudoras presentan un valor de $2.422.560,3. El 78,9% de las cuentas de orden deudoras corresponde a Activos contingentes por $1.910.642,7. Por su parte, los conceptos Deudoras de control con $428.047,1 y Deudoras fiscales con $83.870,5, representan el 17,7% y 3,4% respectivamente. En comparación con el año anterior las cuentas de orden Deudoras presentaron un aumento de $325.938,2 equivalente a una variación del 15,5%.</w:t>
      </w:r>
    </w:p>
    <w:p w14:paraId="2CCC05DD" w14:textId="77777777" w:rsidR="00F66DB0" w:rsidRPr="00F66DB0" w:rsidRDefault="00F66DB0" w:rsidP="00F66DB0">
      <w:pPr>
        <w:ind w:right="-234"/>
        <w:jc w:val="both"/>
        <w:rPr>
          <w:rFonts w:ascii="Arial" w:hAnsi="Arial" w:cs="Arial"/>
          <w:lang w:eastAsia="es-CO"/>
        </w:rPr>
      </w:pPr>
    </w:p>
    <w:p w14:paraId="2A09AF5A" w14:textId="77777777" w:rsidR="00F66DB0" w:rsidRPr="00F66DB0" w:rsidRDefault="00F66DB0" w:rsidP="00F66DB0">
      <w:pPr>
        <w:ind w:right="-234"/>
        <w:jc w:val="both"/>
        <w:rPr>
          <w:rFonts w:ascii="Arial" w:hAnsi="Arial" w:cs="Arial"/>
          <w:lang w:eastAsia="es-CO"/>
        </w:rPr>
      </w:pPr>
      <w:r w:rsidRPr="00F66DB0">
        <w:rPr>
          <w:rFonts w:ascii="Arial" w:hAnsi="Arial" w:cs="Arial"/>
          <w:lang w:eastAsia="es-CO"/>
        </w:rPr>
        <w:t>Las Cuentas de Orden Acreedoras totalizan un valor de $15.566.040,5, en donde el 96,3% corresponde a Pasivos contingentes; el 3,5% son Acreedoras de control y el 0,2% son Acreedoras fiscales. En comparación con el año anterior las cuentas de orden acreedoras presentaron aumento del 4,2%, equivalente a $626.243,6.</w:t>
      </w:r>
    </w:p>
    <w:p w14:paraId="1B7D0F13" w14:textId="77777777" w:rsidR="00F66DB0" w:rsidRDefault="00F66DB0" w:rsidP="00F66DB0">
      <w:pPr>
        <w:pStyle w:val="Ttulo2"/>
      </w:pPr>
      <w:bookmarkStart w:id="53" w:name="_Toc196515811"/>
      <w:bookmarkStart w:id="54" w:name="_Toc198020868"/>
    </w:p>
    <w:p w14:paraId="46C31E93" w14:textId="5D22CF71" w:rsidR="00F66DB0" w:rsidRPr="00F66DB0" w:rsidRDefault="00F66DB0" w:rsidP="00F66DB0">
      <w:pPr>
        <w:pStyle w:val="Ttulo2"/>
      </w:pPr>
      <w:r w:rsidRPr="00F66DB0">
        <w:t>3.4.- ESTADO DE CAMBIOS EN EL PATRIMONIO CONSOLIDADO</w:t>
      </w:r>
      <w:bookmarkEnd w:id="53"/>
      <w:bookmarkEnd w:id="54"/>
      <w:r w:rsidRPr="00F66DB0">
        <w:t xml:space="preserve">. </w:t>
      </w:r>
    </w:p>
    <w:p w14:paraId="31B3FB4A" w14:textId="27B80A65" w:rsidR="00F66DB0" w:rsidRDefault="00F66DB0" w:rsidP="00F66DB0">
      <w:pPr>
        <w:ind w:firstLine="708"/>
        <w:rPr>
          <w:rFonts w:ascii="Arial" w:hAnsi="Arial" w:cs="Arial"/>
          <w:lang w:eastAsia="en-US"/>
        </w:rPr>
      </w:pPr>
    </w:p>
    <w:p w14:paraId="3902B88F" w14:textId="1ADED99B" w:rsidR="00F66DB0" w:rsidRDefault="00F66DB0" w:rsidP="00F66DB0">
      <w:pPr>
        <w:pStyle w:val="Ttulo3"/>
      </w:pPr>
      <w:bookmarkStart w:id="55" w:name="_Toc196515812"/>
      <w:bookmarkStart w:id="56" w:name="_Toc198020869"/>
      <w:r>
        <w:t xml:space="preserve">3.4.10.- </w:t>
      </w:r>
      <w:r w:rsidRPr="003A6F3D">
        <w:t>Cambios en el patrimonio por tipo de entidades</w:t>
      </w:r>
      <w:bookmarkEnd w:id="55"/>
      <w:bookmarkEnd w:id="56"/>
      <w:r>
        <w:t>.</w:t>
      </w:r>
    </w:p>
    <w:p w14:paraId="724EDA16" w14:textId="56116278" w:rsidR="00F66DB0" w:rsidRDefault="00F66DB0" w:rsidP="00F66DB0">
      <w:pPr>
        <w:rPr>
          <w:lang w:eastAsia="es-CO"/>
        </w:rPr>
      </w:pPr>
    </w:p>
    <w:p w14:paraId="5E86E766" w14:textId="77777777" w:rsidR="00BE2E8A" w:rsidRPr="00BE2E8A" w:rsidRDefault="00BE2E8A" w:rsidP="00BE2E8A">
      <w:pPr>
        <w:jc w:val="both"/>
        <w:rPr>
          <w:rFonts w:ascii="Arial" w:hAnsi="Arial" w:cs="Arial"/>
          <w:lang w:eastAsia="es-CO"/>
        </w:rPr>
      </w:pPr>
      <w:r w:rsidRPr="00BE2E8A">
        <w:rPr>
          <w:rFonts w:ascii="Arial" w:hAnsi="Arial" w:cs="Arial"/>
          <w:lang w:eastAsia="es-CO"/>
        </w:rPr>
        <w:t>El patrimonio consolidado del nivel nacional, al 31 de diciembre de 2024, registra un valor negativo de ($1.438.267,6), distribuido en: Entidades de gobierno con ($1.341.515,7); Empresas con $42.863,0; Resultado consolidado con ($148.868,3); Participación no controladora con $18.704,5; y Efecto de las operaciones recíprocas con ($9.451,1).</w:t>
      </w:r>
    </w:p>
    <w:p w14:paraId="78680BF1" w14:textId="77777777" w:rsidR="00BE2E8A" w:rsidRPr="00BE2E8A" w:rsidRDefault="00BE2E8A" w:rsidP="00BE2E8A">
      <w:pPr>
        <w:jc w:val="both"/>
        <w:rPr>
          <w:rFonts w:ascii="Arial" w:hAnsi="Arial" w:cs="Arial"/>
          <w:lang w:eastAsia="es-CO"/>
        </w:rPr>
      </w:pPr>
    </w:p>
    <w:p w14:paraId="4A9F1F3A" w14:textId="77777777" w:rsidR="00BE2E8A" w:rsidRPr="00BE2E8A" w:rsidRDefault="00BE2E8A" w:rsidP="00BE2E8A">
      <w:pPr>
        <w:pStyle w:val="Descripcin"/>
        <w:jc w:val="center"/>
        <w:rPr>
          <w:rFonts w:ascii="Arial" w:hAnsi="Arial" w:cs="Arial"/>
          <w:b/>
          <w:bCs/>
          <w:color w:val="auto"/>
          <w:sz w:val="24"/>
          <w:szCs w:val="24"/>
          <w:lang w:eastAsia="es-CO"/>
        </w:rPr>
      </w:pPr>
      <w:bookmarkStart w:id="57" w:name="_Toc196515883"/>
      <w:bookmarkStart w:id="58" w:name="_Toc198020089"/>
      <w:r w:rsidRPr="00BE2E8A">
        <w:rPr>
          <w:rFonts w:ascii="Arial" w:hAnsi="Arial" w:cs="Arial"/>
          <w:b/>
          <w:bCs/>
          <w:color w:val="auto"/>
          <w:sz w:val="24"/>
          <w:szCs w:val="24"/>
        </w:rPr>
        <w:t xml:space="preserve">Tabla </w:t>
      </w:r>
      <w:r w:rsidRPr="00BE2E8A">
        <w:rPr>
          <w:rFonts w:ascii="Arial" w:hAnsi="Arial" w:cs="Arial"/>
          <w:b/>
          <w:bCs/>
          <w:color w:val="auto"/>
          <w:sz w:val="24"/>
          <w:szCs w:val="24"/>
        </w:rPr>
        <w:fldChar w:fldCharType="begin"/>
      </w:r>
      <w:r w:rsidRPr="00BE2E8A">
        <w:rPr>
          <w:rFonts w:ascii="Arial" w:hAnsi="Arial" w:cs="Arial"/>
          <w:b/>
          <w:bCs/>
          <w:color w:val="auto"/>
          <w:sz w:val="24"/>
          <w:szCs w:val="24"/>
        </w:rPr>
        <w:instrText xml:space="preserve"> STYLEREF 1 \s </w:instrText>
      </w:r>
      <w:r w:rsidRPr="00BE2E8A">
        <w:rPr>
          <w:rFonts w:ascii="Arial" w:hAnsi="Arial" w:cs="Arial"/>
          <w:b/>
          <w:bCs/>
          <w:color w:val="auto"/>
          <w:sz w:val="24"/>
          <w:szCs w:val="24"/>
        </w:rPr>
        <w:fldChar w:fldCharType="separate"/>
      </w:r>
      <w:r w:rsidRPr="00BE2E8A">
        <w:rPr>
          <w:rFonts w:ascii="Arial" w:hAnsi="Arial" w:cs="Arial"/>
          <w:b/>
          <w:bCs/>
          <w:noProof/>
          <w:color w:val="auto"/>
          <w:sz w:val="24"/>
          <w:szCs w:val="24"/>
        </w:rPr>
        <w:t>3</w:t>
      </w:r>
      <w:r w:rsidRPr="00BE2E8A">
        <w:rPr>
          <w:rFonts w:ascii="Arial" w:hAnsi="Arial" w:cs="Arial"/>
          <w:b/>
          <w:bCs/>
          <w:noProof/>
          <w:color w:val="auto"/>
          <w:sz w:val="24"/>
          <w:szCs w:val="24"/>
        </w:rPr>
        <w:fldChar w:fldCharType="end"/>
      </w:r>
      <w:r w:rsidRPr="00BE2E8A">
        <w:rPr>
          <w:rFonts w:ascii="Arial" w:hAnsi="Arial" w:cs="Arial"/>
          <w:b/>
          <w:bCs/>
          <w:color w:val="auto"/>
          <w:sz w:val="24"/>
          <w:szCs w:val="24"/>
        </w:rPr>
        <w:noBreakHyphen/>
      </w:r>
      <w:r w:rsidRPr="00BE2E8A">
        <w:rPr>
          <w:rFonts w:ascii="Arial" w:hAnsi="Arial" w:cs="Arial"/>
          <w:b/>
          <w:bCs/>
          <w:color w:val="auto"/>
          <w:sz w:val="24"/>
          <w:szCs w:val="24"/>
        </w:rPr>
        <w:fldChar w:fldCharType="begin"/>
      </w:r>
      <w:r w:rsidRPr="00BE2E8A">
        <w:rPr>
          <w:rFonts w:ascii="Arial" w:hAnsi="Arial" w:cs="Arial"/>
          <w:b/>
          <w:bCs/>
          <w:color w:val="auto"/>
          <w:sz w:val="24"/>
          <w:szCs w:val="24"/>
        </w:rPr>
        <w:instrText xml:space="preserve"> SEQ Tabla \* ARABIC \s 1 </w:instrText>
      </w:r>
      <w:r w:rsidRPr="00BE2E8A">
        <w:rPr>
          <w:rFonts w:ascii="Arial" w:hAnsi="Arial" w:cs="Arial"/>
          <w:b/>
          <w:bCs/>
          <w:color w:val="auto"/>
          <w:sz w:val="24"/>
          <w:szCs w:val="24"/>
        </w:rPr>
        <w:fldChar w:fldCharType="separate"/>
      </w:r>
      <w:r w:rsidRPr="00BE2E8A">
        <w:rPr>
          <w:rFonts w:ascii="Arial" w:hAnsi="Arial" w:cs="Arial"/>
          <w:b/>
          <w:bCs/>
          <w:noProof/>
          <w:color w:val="auto"/>
          <w:sz w:val="24"/>
          <w:szCs w:val="24"/>
        </w:rPr>
        <w:t>10</w:t>
      </w:r>
      <w:r w:rsidRPr="00BE2E8A">
        <w:rPr>
          <w:rFonts w:ascii="Arial" w:hAnsi="Arial" w:cs="Arial"/>
          <w:b/>
          <w:bCs/>
          <w:noProof/>
          <w:color w:val="auto"/>
          <w:sz w:val="24"/>
          <w:szCs w:val="24"/>
        </w:rPr>
        <w:fldChar w:fldCharType="end"/>
      </w:r>
      <w:r w:rsidRPr="00BE2E8A">
        <w:rPr>
          <w:rFonts w:ascii="Arial" w:hAnsi="Arial" w:cs="Arial"/>
          <w:b/>
          <w:bCs/>
          <w:color w:val="auto"/>
          <w:sz w:val="24"/>
          <w:szCs w:val="24"/>
        </w:rPr>
        <w:t xml:space="preserve"> Estado de cambios en el patrimonio consolidado nivel nacional</w:t>
      </w:r>
      <w:bookmarkEnd w:id="57"/>
      <w:bookmarkEnd w:id="58"/>
    </w:p>
    <w:p w14:paraId="73FB85C2" w14:textId="77777777" w:rsidR="00F66DB0" w:rsidRPr="00BE2E8A" w:rsidRDefault="00F66DB0" w:rsidP="00BE2E8A">
      <w:pPr>
        <w:jc w:val="center"/>
        <w:rPr>
          <w:rFonts w:ascii="Arial" w:hAnsi="Arial" w:cs="Arial"/>
          <w:b/>
          <w:bCs/>
          <w:lang w:val="es-CO" w:eastAsia="es-CO"/>
        </w:rPr>
      </w:pPr>
    </w:p>
    <w:p w14:paraId="5A738AE6" w14:textId="05E9D89D" w:rsidR="00F66DB0" w:rsidRDefault="00BE2E8A" w:rsidP="00BE2E8A">
      <w:pPr>
        <w:ind w:firstLine="708"/>
        <w:rPr>
          <w:noProof/>
        </w:rPr>
      </w:pPr>
      <w:r w:rsidRPr="00C36302">
        <w:rPr>
          <w:noProof/>
        </w:rPr>
        <w:lastRenderedPageBreak/>
        <w:drawing>
          <wp:inline distT="0" distB="0" distL="0" distR="0" wp14:anchorId="0E18A8CD" wp14:editId="63106C27">
            <wp:extent cx="5943600" cy="3491230"/>
            <wp:effectExtent l="0" t="0" r="0" b="0"/>
            <wp:docPr id="3949920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491230"/>
                    </a:xfrm>
                    <a:prstGeom prst="rect">
                      <a:avLst/>
                    </a:prstGeom>
                    <a:noFill/>
                    <a:ln>
                      <a:noFill/>
                    </a:ln>
                  </pic:spPr>
                </pic:pic>
              </a:graphicData>
            </a:graphic>
          </wp:inline>
        </w:drawing>
      </w:r>
    </w:p>
    <w:p w14:paraId="7727A685" w14:textId="472C31F4" w:rsidR="00BE2E8A" w:rsidRDefault="00BE2E8A" w:rsidP="00BE2E8A">
      <w:pPr>
        <w:rPr>
          <w:noProof/>
        </w:rPr>
      </w:pPr>
    </w:p>
    <w:p w14:paraId="19F4E8DD" w14:textId="77777777" w:rsidR="00BE2E8A" w:rsidRPr="00BE2E8A" w:rsidRDefault="00BE2E8A" w:rsidP="00BE2E8A">
      <w:pPr>
        <w:ind w:right="-234"/>
        <w:jc w:val="both"/>
        <w:rPr>
          <w:rFonts w:ascii="Arial" w:hAnsi="Arial" w:cs="Arial"/>
          <w:lang w:eastAsia="es-CO"/>
        </w:rPr>
      </w:pPr>
      <w:r w:rsidRPr="00BE2E8A">
        <w:rPr>
          <w:rFonts w:ascii="Arial" w:hAnsi="Arial" w:cs="Arial"/>
          <w:lang w:eastAsia="es-CO"/>
        </w:rPr>
        <w:t>Una disminución neta del Patrimonio de las entidades de gobierno de ($35.335,6) explicada, mayoritariamente, por las variaciones positivas de los conceptos Ganancias o pérdidas por aplicación del M.P.P. por $5.729,0 y Ganancias o pérdidas por beneficios posempleo por $1.762,2; y, las variaciones negativas en los conceptos Variación reservas probadas recursos naturales por ($31.916,6); Aportes y capitalizaciones por ($8.283,8); y, Resultados de ejercicios anteriores por ($2.675,2).</w:t>
      </w:r>
    </w:p>
    <w:p w14:paraId="63962DC4" w14:textId="77777777" w:rsidR="00BE2E8A" w:rsidRPr="00BE2E8A" w:rsidRDefault="00BE2E8A" w:rsidP="00BE2E8A">
      <w:pPr>
        <w:ind w:right="-234"/>
        <w:jc w:val="both"/>
        <w:rPr>
          <w:rFonts w:ascii="Arial" w:hAnsi="Arial" w:cs="Arial"/>
          <w:lang w:eastAsia="es-CO"/>
        </w:rPr>
      </w:pPr>
    </w:p>
    <w:p w14:paraId="13669CFC" w14:textId="77777777" w:rsidR="00BE2E8A" w:rsidRPr="00BE2E8A" w:rsidRDefault="00BE2E8A" w:rsidP="00BE2E8A">
      <w:pPr>
        <w:ind w:right="-234"/>
        <w:jc w:val="both"/>
        <w:rPr>
          <w:rFonts w:ascii="Arial" w:hAnsi="Arial" w:cs="Arial"/>
          <w:lang w:eastAsia="es-CO"/>
        </w:rPr>
      </w:pPr>
      <w:r w:rsidRPr="00BE2E8A">
        <w:rPr>
          <w:rFonts w:ascii="Arial" w:hAnsi="Arial" w:cs="Arial"/>
          <w:lang w:eastAsia="es-CO"/>
        </w:rPr>
        <w:t>Por su parte, la variación neta en el Patrimonio de las empresas tuvo un aumento de $2.953,9, donde el concepto Otras variaciones tuvo el mayor aumento por valor de $4.946,4 y la mayor disminución se presenta en el concepto Aportes y capitalizaciones con ($1.770,9).</w:t>
      </w:r>
    </w:p>
    <w:p w14:paraId="05853E60" w14:textId="6EBAC3AE" w:rsidR="00BE2E8A" w:rsidRDefault="00BE2E8A" w:rsidP="00BE2E8A">
      <w:pPr>
        <w:tabs>
          <w:tab w:val="left" w:pos="1095"/>
        </w:tabs>
        <w:ind w:right="-234"/>
        <w:jc w:val="both"/>
        <w:rPr>
          <w:rFonts w:ascii="Arial" w:hAnsi="Arial" w:cs="Arial"/>
          <w:lang w:eastAsia="en-US"/>
        </w:rPr>
      </w:pPr>
    </w:p>
    <w:p w14:paraId="443D5E88" w14:textId="681AE8D2" w:rsidR="007E3018" w:rsidRDefault="007E3018" w:rsidP="007E3018">
      <w:pPr>
        <w:pStyle w:val="Ttulo3"/>
      </w:pPr>
      <w:bookmarkStart w:id="59" w:name="_Toc196515813"/>
      <w:bookmarkStart w:id="60" w:name="_Toc198020870"/>
      <w:r>
        <w:t xml:space="preserve">3.4.2.- </w:t>
      </w:r>
      <w:r w:rsidRPr="003A6F3D">
        <w:t>Análisis de las variaciones patrimoniales</w:t>
      </w:r>
      <w:bookmarkEnd w:id="59"/>
      <w:bookmarkEnd w:id="60"/>
      <w:r>
        <w:t>.</w:t>
      </w:r>
    </w:p>
    <w:p w14:paraId="30879E12" w14:textId="77777777" w:rsidR="007E3018" w:rsidRPr="007E3018" w:rsidRDefault="007E3018" w:rsidP="007E3018">
      <w:pPr>
        <w:rPr>
          <w:lang w:eastAsia="es-CO"/>
        </w:rPr>
      </w:pPr>
    </w:p>
    <w:p w14:paraId="4DBEF3AE" w14:textId="77777777" w:rsidR="007E3018" w:rsidRPr="003A6F3D" w:rsidRDefault="007E3018" w:rsidP="007E3018">
      <w:pPr>
        <w:jc w:val="both"/>
        <w:rPr>
          <w:lang w:eastAsia="es-CO"/>
        </w:rPr>
      </w:pPr>
      <w:r w:rsidRPr="003A6F3D">
        <w:rPr>
          <w:lang w:eastAsia="es-CO"/>
        </w:rPr>
        <w:t xml:space="preserve">La siguiente tabla presenta las variaciones en el patrimonio del nivel nacional al inicio y final del año 2024 y de 2023, clasificado en los diferentes conceptos en esta clase. </w:t>
      </w:r>
    </w:p>
    <w:p w14:paraId="31972C8F" w14:textId="77777777" w:rsidR="007E3018" w:rsidRDefault="007E3018" w:rsidP="007E3018">
      <w:pPr>
        <w:jc w:val="both"/>
        <w:rPr>
          <w:lang w:eastAsia="es-CO"/>
        </w:rPr>
      </w:pPr>
    </w:p>
    <w:p w14:paraId="0DF1EC11" w14:textId="1E7E3EA4" w:rsidR="00BE2E8A" w:rsidRDefault="007E3018" w:rsidP="007E3018">
      <w:pPr>
        <w:tabs>
          <w:tab w:val="left" w:pos="1095"/>
        </w:tabs>
        <w:ind w:right="-234"/>
        <w:jc w:val="center"/>
        <w:rPr>
          <w:rFonts w:ascii="Arial" w:hAnsi="Arial" w:cs="Arial"/>
          <w:b/>
          <w:bCs/>
        </w:rPr>
      </w:pPr>
      <w:bookmarkStart w:id="61" w:name="_Toc196515884"/>
      <w:bookmarkStart w:id="62" w:name="_Toc198020090"/>
      <w:r w:rsidRPr="007E3018">
        <w:rPr>
          <w:rFonts w:ascii="Arial" w:hAnsi="Arial" w:cs="Arial"/>
          <w:b/>
          <w:bCs/>
        </w:rPr>
        <w:t xml:space="preserve">Tabla </w:t>
      </w:r>
      <w:r w:rsidRPr="007E3018">
        <w:rPr>
          <w:rFonts w:ascii="Arial" w:hAnsi="Arial" w:cs="Arial"/>
          <w:b/>
          <w:bCs/>
        </w:rPr>
        <w:fldChar w:fldCharType="begin"/>
      </w:r>
      <w:r w:rsidRPr="007E3018">
        <w:rPr>
          <w:rFonts w:ascii="Arial" w:hAnsi="Arial" w:cs="Arial"/>
          <w:b/>
          <w:bCs/>
        </w:rPr>
        <w:instrText xml:space="preserve"> STYLEREF 1 \s </w:instrText>
      </w:r>
      <w:r w:rsidRPr="007E3018">
        <w:rPr>
          <w:rFonts w:ascii="Arial" w:hAnsi="Arial" w:cs="Arial"/>
          <w:b/>
          <w:bCs/>
        </w:rPr>
        <w:fldChar w:fldCharType="separate"/>
      </w:r>
      <w:r w:rsidRPr="007E3018">
        <w:rPr>
          <w:rFonts w:ascii="Arial" w:hAnsi="Arial" w:cs="Arial"/>
          <w:b/>
          <w:bCs/>
          <w:noProof/>
        </w:rPr>
        <w:t>3</w:t>
      </w:r>
      <w:r w:rsidRPr="007E3018">
        <w:rPr>
          <w:rFonts w:ascii="Arial" w:hAnsi="Arial" w:cs="Arial"/>
          <w:b/>
          <w:bCs/>
          <w:noProof/>
        </w:rPr>
        <w:fldChar w:fldCharType="end"/>
      </w:r>
      <w:r w:rsidRPr="007E3018">
        <w:rPr>
          <w:rFonts w:ascii="Arial" w:hAnsi="Arial" w:cs="Arial"/>
          <w:b/>
          <w:bCs/>
        </w:rPr>
        <w:noBreakHyphen/>
      </w:r>
      <w:r w:rsidRPr="007E3018">
        <w:rPr>
          <w:rFonts w:ascii="Arial" w:hAnsi="Arial" w:cs="Arial"/>
          <w:b/>
          <w:bCs/>
        </w:rPr>
        <w:fldChar w:fldCharType="begin"/>
      </w:r>
      <w:r w:rsidRPr="007E3018">
        <w:rPr>
          <w:rFonts w:ascii="Arial" w:hAnsi="Arial" w:cs="Arial"/>
          <w:b/>
          <w:bCs/>
        </w:rPr>
        <w:instrText xml:space="preserve"> SEQ Tabla \* ARABIC \s 1 </w:instrText>
      </w:r>
      <w:r w:rsidRPr="007E3018">
        <w:rPr>
          <w:rFonts w:ascii="Arial" w:hAnsi="Arial" w:cs="Arial"/>
          <w:b/>
          <w:bCs/>
        </w:rPr>
        <w:fldChar w:fldCharType="separate"/>
      </w:r>
      <w:r w:rsidRPr="007E3018">
        <w:rPr>
          <w:rFonts w:ascii="Arial" w:hAnsi="Arial" w:cs="Arial"/>
          <w:b/>
          <w:bCs/>
          <w:noProof/>
        </w:rPr>
        <w:t>11</w:t>
      </w:r>
      <w:r w:rsidRPr="007E3018">
        <w:rPr>
          <w:rFonts w:ascii="Arial" w:hAnsi="Arial" w:cs="Arial"/>
          <w:b/>
          <w:bCs/>
          <w:noProof/>
        </w:rPr>
        <w:fldChar w:fldCharType="end"/>
      </w:r>
      <w:r w:rsidRPr="007E3018">
        <w:rPr>
          <w:rFonts w:ascii="Arial" w:hAnsi="Arial" w:cs="Arial"/>
          <w:b/>
          <w:bCs/>
        </w:rPr>
        <w:t xml:space="preserve"> Estado de cambios en el patrimonio consolidado del nivel nacional - Variaciones patrimoniales</w:t>
      </w:r>
      <w:bookmarkEnd w:id="61"/>
      <w:bookmarkEnd w:id="62"/>
    </w:p>
    <w:p w14:paraId="6C35EE78" w14:textId="6C0A6A13" w:rsidR="007E3018" w:rsidRDefault="007E3018" w:rsidP="007E3018">
      <w:pPr>
        <w:tabs>
          <w:tab w:val="left" w:pos="1095"/>
        </w:tabs>
        <w:ind w:right="-234"/>
        <w:jc w:val="center"/>
        <w:rPr>
          <w:rFonts w:ascii="Arial" w:hAnsi="Arial" w:cs="Arial"/>
          <w:b/>
          <w:bCs/>
        </w:rPr>
      </w:pPr>
    </w:p>
    <w:p w14:paraId="66945E1A" w14:textId="40647729" w:rsidR="007E3018" w:rsidRDefault="007E3018" w:rsidP="007E3018">
      <w:pPr>
        <w:tabs>
          <w:tab w:val="left" w:pos="1095"/>
        </w:tabs>
        <w:ind w:right="-234"/>
        <w:jc w:val="center"/>
        <w:rPr>
          <w:noProof/>
        </w:rPr>
      </w:pPr>
      <w:r w:rsidRPr="00C36302">
        <w:rPr>
          <w:noProof/>
        </w:rPr>
        <w:lastRenderedPageBreak/>
        <w:drawing>
          <wp:inline distT="0" distB="0" distL="0" distR="0" wp14:anchorId="291657D7" wp14:editId="59349D22">
            <wp:extent cx="5943600" cy="3300095"/>
            <wp:effectExtent l="0" t="0" r="0" b="0"/>
            <wp:docPr id="156948648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300095"/>
                    </a:xfrm>
                    <a:prstGeom prst="rect">
                      <a:avLst/>
                    </a:prstGeom>
                    <a:noFill/>
                    <a:ln>
                      <a:noFill/>
                    </a:ln>
                  </pic:spPr>
                </pic:pic>
              </a:graphicData>
            </a:graphic>
          </wp:inline>
        </w:drawing>
      </w:r>
    </w:p>
    <w:p w14:paraId="693C36CF" w14:textId="78B945CA" w:rsidR="007E3018" w:rsidRDefault="007E3018" w:rsidP="007E3018">
      <w:pPr>
        <w:rPr>
          <w:noProof/>
        </w:rPr>
      </w:pPr>
    </w:p>
    <w:p w14:paraId="702025A7" w14:textId="77777777" w:rsidR="007E3018" w:rsidRPr="007E3018" w:rsidRDefault="007E3018" w:rsidP="007E3018">
      <w:pPr>
        <w:ind w:right="-234"/>
        <w:jc w:val="both"/>
        <w:rPr>
          <w:rFonts w:ascii="Arial" w:hAnsi="Arial" w:cs="Arial"/>
          <w:lang w:eastAsia="es-CO"/>
        </w:rPr>
      </w:pPr>
      <w:r w:rsidRPr="007E3018">
        <w:rPr>
          <w:rFonts w:ascii="Arial" w:hAnsi="Arial" w:cs="Arial"/>
          <w:lang w:eastAsia="es-CO"/>
        </w:rPr>
        <w:t>La tabla anterior permite visualizar las variaciones patrimoniales por los diferentes conceptos, resaltando que los mayores aumentos están dados por los conceptos: Participación no controladora por $18.704,5; Ganancias o pérdidas por aplicación del M.P.P. por $5.727,6; y, Otras variaciones por $4.974,2.</w:t>
      </w:r>
    </w:p>
    <w:p w14:paraId="1C5175C6" w14:textId="77777777" w:rsidR="007E3018" w:rsidRPr="007E3018" w:rsidRDefault="007E3018" w:rsidP="007E3018">
      <w:pPr>
        <w:ind w:right="-234"/>
        <w:jc w:val="both"/>
        <w:rPr>
          <w:rFonts w:ascii="Arial" w:hAnsi="Arial" w:cs="Arial"/>
          <w:lang w:eastAsia="es-CO"/>
        </w:rPr>
      </w:pPr>
    </w:p>
    <w:p w14:paraId="2626F863" w14:textId="7D97AE0C" w:rsidR="007E3018" w:rsidRPr="007E3018" w:rsidRDefault="007E3018" w:rsidP="007E3018">
      <w:pPr>
        <w:ind w:right="-234"/>
        <w:jc w:val="both"/>
        <w:rPr>
          <w:rFonts w:ascii="Arial" w:hAnsi="Arial" w:cs="Arial"/>
          <w:lang w:eastAsia="es-CO"/>
        </w:rPr>
      </w:pPr>
      <w:r w:rsidRPr="007E3018">
        <w:rPr>
          <w:rFonts w:ascii="Arial" w:hAnsi="Arial" w:cs="Arial"/>
          <w:lang w:eastAsia="es-CO"/>
        </w:rPr>
        <w:t>Dentro de las variaciones que disminuyen el patrimonio se destacan las correspondientes al concepto Resultado del ejercicio por ($148.868,3); Variación reservas probadas recursos naturales por ($31.916,6); y, Resultados de ejercicios anteriores por ($19.350,8).</w:t>
      </w:r>
    </w:p>
    <w:p w14:paraId="4013A2A4" w14:textId="77777777" w:rsidR="007E3018" w:rsidRPr="007E3018" w:rsidRDefault="007E3018" w:rsidP="007E3018">
      <w:pPr>
        <w:ind w:right="-234"/>
        <w:jc w:val="both"/>
        <w:rPr>
          <w:rFonts w:ascii="Arial" w:hAnsi="Arial" w:cs="Arial"/>
          <w:lang w:eastAsia="es-CO"/>
        </w:rPr>
      </w:pPr>
    </w:p>
    <w:p w14:paraId="4C533BA7" w14:textId="5B69E43D" w:rsidR="007E3018" w:rsidRPr="007E3018" w:rsidRDefault="007E3018" w:rsidP="007E3018">
      <w:pPr>
        <w:ind w:right="-234"/>
        <w:jc w:val="both"/>
        <w:rPr>
          <w:rFonts w:ascii="Arial" w:hAnsi="Arial" w:cs="Arial"/>
          <w:lang w:eastAsia="es-CO"/>
        </w:rPr>
      </w:pPr>
      <w:r w:rsidRPr="007E3018">
        <w:rPr>
          <w:rFonts w:ascii="Arial" w:hAnsi="Arial" w:cs="Arial"/>
          <w:lang w:eastAsia="es-CO"/>
        </w:rPr>
        <w:t>En relación con el Patrimonio consolidado del nivel nacional al 31 de diciembre de 2024, este registra un valor de ($1.438.267,6). Al 1 de enero de 2023, el Patrimonio era de ($1.090.580,1), y al 31 de diciembre de 2023 fue de ($1.249.754,3), registrándose variaciones de ($159.174,2) durante 2023 y de ($188.513,3) durante 2024</w:t>
      </w:r>
      <w:r>
        <w:rPr>
          <w:rFonts w:ascii="Arial" w:hAnsi="Arial" w:cs="Arial"/>
          <w:lang w:eastAsia="es-CO"/>
        </w:rPr>
        <w:t>”</w:t>
      </w:r>
      <w:r w:rsidRPr="007E3018">
        <w:rPr>
          <w:rFonts w:ascii="Arial" w:hAnsi="Arial" w:cs="Arial"/>
          <w:lang w:eastAsia="es-CO"/>
        </w:rPr>
        <w:t>.</w:t>
      </w:r>
    </w:p>
    <w:p w14:paraId="76B746B3" w14:textId="302459D9" w:rsidR="007E3018" w:rsidRPr="007E3018" w:rsidRDefault="007E3018" w:rsidP="007E3018">
      <w:pPr>
        <w:ind w:right="-234"/>
        <w:rPr>
          <w:rFonts w:ascii="Arial" w:hAnsi="Arial" w:cs="Arial"/>
          <w:lang w:eastAsia="en-US"/>
        </w:rPr>
      </w:pPr>
    </w:p>
    <w:sectPr w:rsidR="007E3018" w:rsidRPr="007E3018" w:rsidSect="00653723">
      <w:footerReference w:type="default" r:id="rId36"/>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3F895" w14:textId="77777777" w:rsidR="001B46EC" w:rsidRDefault="001B46EC" w:rsidP="00E06EBF">
      <w:r>
        <w:separator/>
      </w:r>
    </w:p>
  </w:endnote>
  <w:endnote w:type="continuationSeparator" w:id="0">
    <w:p w14:paraId="5DAEAF50" w14:textId="77777777" w:rsidR="001B46EC" w:rsidRDefault="001B46EC" w:rsidP="00E06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7E0AC" w14:textId="4A22FEAF" w:rsidR="00387248" w:rsidRDefault="00387248">
    <w:pPr>
      <w:pStyle w:val="Piedepgina"/>
    </w:pPr>
  </w:p>
  <w:p w14:paraId="3B91578A" w14:textId="77777777" w:rsidR="00387248" w:rsidRDefault="00387248">
    <w:pPr>
      <w:pStyle w:val="Piedepgina"/>
    </w:pPr>
  </w:p>
  <w:p w14:paraId="5CFF83B9" w14:textId="77777777" w:rsidR="00387248" w:rsidRDefault="0038724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848744" w14:textId="77777777" w:rsidR="001B46EC" w:rsidRDefault="001B46EC" w:rsidP="00E06EBF">
      <w:r>
        <w:separator/>
      </w:r>
    </w:p>
  </w:footnote>
  <w:footnote w:type="continuationSeparator" w:id="0">
    <w:p w14:paraId="19A73ED6" w14:textId="77777777" w:rsidR="001B46EC" w:rsidRDefault="001B46EC" w:rsidP="00E06EBF">
      <w:r>
        <w:continuationSeparator/>
      </w:r>
    </w:p>
  </w:footnote>
  <w:footnote w:id="1">
    <w:p w14:paraId="7C57D5F3" w14:textId="77777777" w:rsidR="00E06EBF" w:rsidRPr="00694FDD" w:rsidRDefault="00E06EBF" w:rsidP="00E06EBF">
      <w:pPr>
        <w:pStyle w:val="Textonotapie"/>
      </w:pPr>
      <w:r w:rsidRPr="00694FDD">
        <w:rPr>
          <w:rStyle w:val="Refdenotaalpie"/>
          <w:szCs w:val="16"/>
        </w:rPr>
        <w:footnoteRef/>
      </w:r>
      <w:r w:rsidRPr="00694FDD">
        <w:t xml:space="preserve"> Resolución 533 de 2015 y sus modificaciones, expedidas por la CGN.</w:t>
      </w:r>
    </w:p>
  </w:footnote>
  <w:footnote w:id="2">
    <w:p w14:paraId="50B7D419" w14:textId="77777777" w:rsidR="00E06EBF" w:rsidRPr="00694FDD" w:rsidRDefault="00E06EBF" w:rsidP="00E06EBF">
      <w:pPr>
        <w:pStyle w:val="Textonotapie"/>
        <w:rPr>
          <w:lang w:val="es-ES"/>
        </w:rPr>
      </w:pPr>
      <w:r w:rsidRPr="00694FDD">
        <w:rPr>
          <w:rStyle w:val="Refdenotaalpie"/>
          <w:szCs w:val="16"/>
        </w:rPr>
        <w:footnoteRef/>
      </w:r>
      <w:r w:rsidRPr="00694FDD">
        <w:t xml:space="preserve"> Resolución 037 de 2017 y sus modificaciones, expedida</w:t>
      </w:r>
      <w:r>
        <w:t>s</w:t>
      </w:r>
      <w:r w:rsidRPr="00694FDD">
        <w:t xml:space="preserve"> por la CGN</w:t>
      </w:r>
      <w:r>
        <w:t>.</w:t>
      </w:r>
    </w:p>
  </w:footnote>
  <w:footnote w:id="3">
    <w:p w14:paraId="375090A2" w14:textId="77777777" w:rsidR="00E06EBF" w:rsidRPr="00694FDD" w:rsidRDefault="00E06EBF" w:rsidP="00E06EBF">
      <w:pPr>
        <w:pStyle w:val="Textonotapie"/>
        <w:rPr>
          <w:lang w:val="es-ES"/>
        </w:rPr>
      </w:pPr>
      <w:r w:rsidRPr="00694FDD">
        <w:rPr>
          <w:rStyle w:val="Refdenotaalpie"/>
          <w:szCs w:val="16"/>
        </w:rPr>
        <w:footnoteRef/>
      </w:r>
      <w:r w:rsidRPr="00694FDD">
        <w:t xml:space="preserve"> Resolución 414 de 2014 y sus modificaciones, expedida</w:t>
      </w:r>
      <w:r>
        <w:t>s</w:t>
      </w:r>
      <w:r w:rsidRPr="00694FDD">
        <w:t xml:space="preserve"> por la CGN.</w:t>
      </w:r>
    </w:p>
  </w:footnote>
  <w:footnote w:id="4">
    <w:p w14:paraId="28C9709E" w14:textId="77777777" w:rsidR="00E06EBF" w:rsidRPr="00694FDD" w:rsidRDefault="00E06EBF" w:rsidP="00E06EBF">
      <w:pPr>
        <w:pStyle w:val="Textonotapie"/>
        <w:rPr>
          <w:lang w:val="es-ES"/>
        </w:rPr>
      </w:pPr>
      <w:r w:rsidRPr="00694FDD">
        <w:rPr>
          <w:rStyle w:val="Refdenotaalpie"/>
          <w:szCs w:val="16"/>
        </w:rPr>
        <w:footnoteRef/>
      </w:r>
      <w:r w:rsidRPr="00694FDD">
        <w:t xml:space="preserve"> Resolución 461 de 2017 y sus modificaciones, expedida</w:t>
      </w:r>
      <w:r>
        <w:t>s</w:t>
      </w:r>
      <w:r w:rsidRPr="00694FDD">
        <w:t xml:space="preserve"> por la CGN</w:t>
      </w:r>
      <w:r>
        <w:t>.</w:t>
      </w:r>
    </w:p>
  </w:footnote>
  <w:footnote w:id="5">
    <w:p w14:paraId="55E106F2" w14:textId="77777777" w:rsidR="006E403C" w:rsidRPr="00B67D96" w:rsidRDefault="006E403C" w:rsidP="006E403C">
      <w:pPr>
        <w:pStyle w:val="Textonotapie"/>
        <w:rPr>
          <w:lang w:val="es-ES"/>
        </w:rPr>
      </w:pPr>
      <w:r w:rsidRPr="00B67D96">
        <w:rPr>
          <w:rStyle w:val="Refdenotaalpie"/>
        </w:rPr>
        <w:footnoteRef/>
      </w:r>
      <w:r>
        <w:t xml:space="preserve"> </w:t>
      </w:r>
      <w:r w:rsidRPr="00B67D96">
        <w:t>PIB (preliminar) 2024: $1.705.322,0 miles de millones</w:t>
      </w:r>
    </w:p>
  </w:footnote>
  <w:footnote w:id="6">
    <w:p w14:paraId="73109304" w14:textId="77777777" w:rsidR="006E403C" w:rsidRDefault="006E403C" w:rsidP="006E403C">
      <w:pPr>
        <w:pStyle w:val="Textonotapie"/>
      </w:pPr>
      <w:r w:rsidRPr="00B67D96">
        <w:rPr>
          <w:rStyle w:val="Refdenotaalpie"/>
        </w:rPr>
        <w:footnoteRef/>
      </w:r>
      <w:r w:rsidRPr="00B67D96">
        <w:t xml:space="preserve"> PIB (provisional) 2023: $1.584.562,0 miles de millones</w:t>
      </w:r>
    </w:p>
    <w:p w14:paraId="5DE4FE7B" w14:textId="77777777" w:rsidR="006E403C" w:rsidRPr="00B67D96" w:rsidRDefault="006E403C" w:rsidP="006E403C">
      <w:pPr>
        <w:pStyle w:val="Textonotapie"/>
      </w:pPr>
      <w:r w:rsidRPr="00B67D96">
        <w:t>Fuente: Departamento Nacional de Estadísticas – DANE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106884"/>
    <w:multiLevelType w:val="hybridMultilevel"/>
    <w:tmpl w:val="FFFFFFFF"/>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479735E0"/>
    <w:multiLevelType w:val="multilevel"/>
    <w:tmpl w:val="36A81938"/>
    <w:lvl w:ilvl="0">
      <w:start w:val="1"/>
      <w:numFmt w:val="decimal"/>
      <w:pStyle w:val="Ttulo1"/>
      <w:lvlText w:val="%1. "/>
      <w:lvlJc w:val="center"/>
      <w:pPr>
        <w:ind w:left="284" w:firstLine="4"/>
      </w:pPr>
      <w:rPr>
        <w:rFonts w:ascii="Verdana" w:hAnsi="Verdana" w:cs="Times New Roman" w:hint="default"/>
        <w:b/>
        <w:i w:val="0"/>
        <w:caps/>
        <w:color w:val="4472C4" w:themeColor="accent1"/>
        <w:sz w:val="56"/>
      </w:rPr>
    </w:lvl>
    <w:lvl w:ilvl="1">
      <w:start w:val="1"/>
      <w:numFmt w:val="decimal"/>
      <w:lvlText w:val="%1.%2"/>
      <w:lvlJc w:val="left"/>
      <w:pPr>
        <w:ind w:left="680" w:hanging="680"/>
      </w:pPr>
      <w:rPr>
        <w:rFonts w:ascii="Verdana" w:hAnsi="Verdana" w:cs="Times New Roman" w:hint="default"/>
        <w:b/>
        <w:i w:val="0"/>
        <w:caps/>
        <w:color w:val="4472C4" w:themeColor="accent1"/>
        <w:sz w:val="24"/>
      </w:rPr>
    </w:lvl>
    <w:lvl w:ilvl="2">
      <w:start w:val="1"/>
      <w:numFmt w:val="decimal"/>
      <w:lvlText w:val="%1.%2.%3"/>
      <w:lvlJc w:val="left"/>
      <w:pPr>
        <w:ind w:left="794" w:hanging="794"/>
      </w:pPr>
      <w:rPr>
        <w:rFonts w:ascii="Verdana" w:hAnsi="Verdana" w:cs="Times New Roman" w:hint="default"/>
        <w:b w:val="0"/>
        <w:i w:val="0"/>
        <w:caps/>
        <w:color w:val="4472C4" w:themeColor="accent1"/>
        <w:sz w:val="22"/>
      </w:rPr>
    </w:lvl>
    <w:lvl w:ilvl="3">
      <w:start w:val="1"/>
      <w:numFmt w:val="decimal"/>
      <w:lvlText w:val="%1.%2.%3.%4"/>
      <w:lvlJc w:val="left"/>
      <w:pPr>
        <w:ind w:left="2949" w:hanging="964"/>
      </w:pPr>
      <w:rPr>
        <w:rFonts w:ascii="Verdana" w:hAnsi="Verdana" w:hint="default"/>
        <w:b w:val="0"/>
        <w:i w:val="0"/>
        <w:color w:val="4472C4" w:themeColor="accent1"/>
        <w:sz w:val="22"/>
      </w:rPr>
    </w:lvl>
    <w:lvl w:ilvl="4">
      <w:start w:val="1"/>
      <w:numFmt w:val="decimal"/>
      <w:pStyle w:val="Ttulo5"/>
      <w:lvlText w:val="%1.%2.%3.%4.%5"/>
      <w:lvlJc w:val="left"/>
      <w:pPr>
        <w:ind w:left="1361" w:hanging="1134"/>
      </w:pPr>
      <w:rPr>
        <w:rFonts w:ascii="Verdana" w:hAnsi="Verdana" w:hint="default"/>
        <w:b w:val="0"/>
        <w:i w:val="0"/>
        <w:color w:val="4472C4" w:themeColor="accent1"/>
        <w:sz w:val="22"/>
      </w:rPr>
    </w:lvl>
    <w:lvl w:ilvl="5">
      <w:start w:val="1"/>
      <w:numFmt w:val="decimal"/>
      <w:lvlText w:val="Nota %6 "/>
      <w:lvlJc w:val="left"/>
      <w:pPr>
        <w:ind w:left="1361" w:hanging="1361"/>
      </w:pPr>
      <w:rPr>
        <w:rFonts w:ascii="Verdana" w:hAnsi="Verdana" w:hint="default"/>
        <w:b/>
        <w:i w:val="0"/>
        <w:caps/>
        <w:color w:val="4472C4" w:themeColor="accent1"/>
        <w:sz w:val="24"/>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6275782A"/>
    <w:multiLevelType w:val="hybridMultilevel"/>
    <w:tmpl w:val="FFFFFFFF"/>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240A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285"/>
    <w:rsid w:val="000027B5"/>
    <w:rsid w:val="00074AE0"/>
    <w:rsid w:val="000843C4"/>
    <w:rsid w:val="00100533"/>
    <w:rsid w:val="001B311F"/>
    <w:rsid w:val="001B46EC"/>
    <w:rsid w:val="00210258"/>
    <w:rsid w:val="00210871"/>
    <w:rsid w:val="00256589"/>
    <w:rsid w:val="00267145"/>
    <w:rsid w:val="002E659C"/>
    <w:rsid w:val="0034282E"/>
    <w:rsid w:val="00387248"/>
    <w:rsid w:val="00411C6A"/>
    <w:rsid w:val="00447285"/>
    <w:rsid w:val="00653723"/>
    <w:rsid w:val="006568BB"/>
    <w:rsid w:val="00674048"/>
    <w:rsid w:val="006838DA"/>
    <w:rsid w:val="006D4644"/>
    <w:rsid w:val="006E403C"/>
    <w:rsid w:val="006E454D"/>
    <w:rsid w:val="007E3018"/>
    <w:rsid w:val="0080720B"/>
    <w:rsid w:val="008501B8"/>
    <w:rsid w:val="008F3F91"/>
    <w:rsid w:val="009457C1"/>
    <w:rsid w:val="009F6244"/>
    <w:rsid w:val="00A53A39"/>
    <w:rsid w:val="00AA6E9D"/>
    <w:rsid w:val="00BE2E8A"/>
    <w:rsid w:val="00C76F1E"/>
    <w:rsid w:val="00CF4EAE"/>
    <w:rsid w:val="00CF6DEE"/>
    <w:rsid w:val="00D33495"/>
    <w:rsid w:val="00D54E06"/>
    <w:rsid w:val="00D80E1A"/>
    <w:rsid w:val="00E06EBF"/>
    <w:rsid w:val="00E378A6"/>
    <w:rsid w:val="00E953D1"/>
    <w:rsid w:val="00ED6006"/>
    <w:rsid w:val="00F66DB0"/>
    <w:rsid w:val="00F97D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3E182"/>
  <w15:chartTrackingRefBased/>
  <w15:docId w15:val="{17949C8A-1FA7-482F-8197-5897650E15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E1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CAPÍTULO 1 - Formato Título 1,Letra verdana 22"/>
    <w:basedOn w:val="Normal"/>
    <w:next w:val="Normal"/>
    <w:link w:val="Ttulo1Car"/>
    <w:uiPriority w:val="99"/>
    <w:qFormat/>
    <w:rsid w:val="009F6244"/>
    <w:pPr>
      <w:keepNext/>
      <w:keepLines/>
      <w:numPr>
        <w:numId w:val="1"/>
      </w:numPr>
      <w:spacing w:before="240" w:line="259" w:lineRule="auto"/>
      <w:outlineLvl w:val="0"/>
    </w:pPr>
    <w:rPr>
      <w:rFonts w:ascii="Verdana" w:eastAsiaTheme="majorEastAsia" w:hAnsi="Verdana" w:cstheme="majorBidi"/>
      <w:b/>
      <w:color w:val="4472C4" w:themeColor="accent1"/>
      <w:sz w:val="56"/>
      <w:szCs w:val="32"/>
      <w:lang w:val="es-CO" w:eastAsia="en-US"/>
    </w:rPr>
  </w:style>
  <w:style w:type="paragraph" w:styleId="Ttulo2">
    <w:name w:val="heading 2"/>
    <w:aliases w:val="Título 2 + Franklin Gothic Book + Negrita"/>
    <w:basedOn w:val="Normal"/>
    <w:next w:val="Normal"/>
    <w:link w:val="Ttulo2Car"/>
    <w:autoRedefine/>
    <w:uiPriority w:val="9"/>
    <w:unhideWhenUsed/>
    <w:qFormat/>
    <w:rsid w:val="00F66DB0"/>
    <w:pPr>
      <w:keepNext/>
      <w:keepLines/>
      <w:jc w:val="both"/>
      <w:outlineLvl w:val="1"/>
    </w:pPr>
    <w:rPr>
      <w:rFonts w:ascii="Arial" w:hAnsi="Arial" w:cs="Arial"/>
      <w:b/>
      <w:caps/>
      <w:sz w:val="28"/>
      <w:szCs w:val="28"/>
      <w:lang w:eastAsia="es-CO"/>
    </w:rPr>
  </w:style>
  <w:style w:type="paragraph" w:styleId="Ttulo3">
    <w:name w:val="heading 3"/>
    <w:basedOn w:val="Normal"/>
    <w:next w:val="Normal"/>
    <w:link w:val="Ttulo3Car"/>
    <w:autoRedefine/>
    <w:uiPriority w:val="9"/>
    <w:unhideWhenUsed/>
    <w:qFormat/>
    <w:rsid w:val="0034282E"/>
    <w:pPr>
      <w:keepNext/>
      <w:keepLines/>
      <w:ind w:right="-234"/>
      <w:jc w:val="both"/>
      <w:outlineLvl w:val="2"/>
    </w:pPr>
    <w:rPr>
      <w:rFonts w:ascii="Arial" w:hAnsi="Arial" w:cs="Arial"/>
      <w:b/>
      <w:bCs/>
      <w:sz w:val="28"/>
      <w:szCs w:val="28"/>
      <w:lang w:eastAsia="es-CO"/>
    </w:rPr>
  </w:style>
  <w:style w:type="paragraph" w:styleId="Ttulo4">
    <w:name w:val="heading 4"/>
    <w:aliases w:val="NIVEL 4"/>
    <w:basedOn w:val="Normal"/>
    <w:next w:val="Normal"/>
    <w:link w:val="Ttulo4Car"/>
    <w:autoRedefine/>
    <w:unhideWhenUsed/>
    <w:qFormat/>
    <w:rsid w:val="008F3F91"/>
    <w:pPr>
      <w:keepNext/>
      <w:keepLines/>
      <w:ind w:left="964" w:hanging="964"/>
      <w:outlineLvl w:val="3"/>
    </w:pPr>
    <w:rPr>
      <w:rFonts w:ascii="Arial" w:eastAsiaTheme="majorEastAsia" w:hAnsi="Arial" w:cs="Arial"/>
      <w:b/>
      <w:bCs/>
      <w:iCs/>
      <w:sz w:val="28"/>
      <w:szCs w:val="28"/>
      <w:lang w:val="es-CO" w:eastAsia="es-CO"/>
    </w:rPr>
  </w:style>
  <w:style w:type="paragraph" w:styleId="Ttulo5">
    <w:name w:val="heading 5"/>
    <w:aliases w:val="NOTAS"/>
    <w:basedOn w:val="Normal"/>
    <w:next w:val="Normal"/>
    <w:link w:val="Ttulo5Car"/>
    <w:autoRedefine/>
    <w:unhideWhenUsed/>
    <w:qFormat/>
    <w:rsid w:val="009F6244"/>
    <w:pPr>
      <w:keepNext/>
      <w:keepLines/>
      <w:numPr>
        <w:ilvl w:val="4"/>
        <w:numId w:val="1"/>
      </w:numPr>
      <w:spacing w:before="40" w:line="259" w:lineRule="auto"/>
      <w:outlineLvl w:val="4"/>
    </w:pPr>
    <w:rPr>
      <w:rFonts w:ascii="Verdana" w:eastAsiaTheme="majorEastAsia" w:hAnsi="Verdana" w:cstheme="majorBidi"/>
      <w:color w:val="4472C4" w:themeColor="accent1"/>
      <w:sz w:val="22"/>
      <w:szCs w:val="22"/>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CAPÍTULO 1 - Formato Título 1 Car,Letra verdana 22 Car"/>
    <w:basedOn w:val="Fuentedeprrafopredeter"/>
    <w:link w:val="Ttulo1"/>
    <w:uiPriority w:val="99"/>
    <w:rsid w:val="009F6244"/>
    <w:rPr>
      <w:rFonts w:ascii="Verdana" w:eastAsiaTheme="majorEastAsia" w:hAnsi="Verdana" w:cstheme="majorBidi"/>
      <w:b/>
      <w:color w:val="4472C4" w:themeColor="accent1"/>
      <w:sz w:val="56"/>
      <w:szCs w:val="32"/>
    </w:rPr>
  </w:style>
  <w:style w:type="character" w:customStyle="1" w:styleId="Ttulo2Car">
    <w:name w:val="Título 2 Car"/>
    <w:aliases w:val="Título 2 + Franklin Gothic Book + Negrita Car"/>
    <w:basedOn w:val="Fuentedeprrafopredeter"/>
    <w:link w:val="Ttulo2"/>
    <w:uiPriority w:val="9"/>
    <w:rsid w:val="00F66DB0"/>
    <w:rPr>
      <w:rFonts w:ascii="Arial" w:eastAsia="Times New Roman" w:hAnsi="Arial" w:cs="Arial"/>
      <w:b/>
      <w:caps/>
      <w:sz w:val="28"/>
      <w:szCs w:val="28"/>
      <w:lang w:val="es-ES" w:eastAsia="es-CO"/>
    </w:rPr>
  </w:style>
  <w:style w:type="character" w:customStyle="1" w:styleId="Ttulo3Car">
    <w:name w:val="Título 3 Car"/>
    <w:basedOn w:val="Fuentedeprrafopredeter"/>
    <w:link w:val="Ttulo3"/>
    <w:uiPriority w:val="9"/>
    <w:rsid w:val="0034282E"/>
    <w:rPr>
      <w:rFonts w:ascii="Arial" w:eastAsia="Times New Roman" w:hAnsi="Arial" w:cs="Arial"/>
      <w:b/>
      <w:bCs/>
      <w:sz w:val="28"/>
      <w:szCs w:val="28"/>
      <w:lang w:val="es-ES" w:eastAsia="es-CO"/>
    </w:rPr>
  </w:style>
  <w:style w:type="character" w:customStyle="1" w:styleId="Ttulo4Car">
    <w:name w:val="Título 4 Car"/>
    <w:aliases w:val="NIVEL 4 Car"/>
    <w:basedOn w:val="Fuentedeprrafopredeter"/>
    <w:link w:val="Ttulo4"/>
    <w:rsid w:val="008F3F91"/>
    <w:rPr>
      <w:rFonts w:ascii="Arial" w:eastAsiaTheme="majorEastAsia" w:hAnsi="Arial" w:cs="Arial"/>
      <w:b/>
      <w:bCs/>
      <w:iCs/>
      <w:sz w:val="28"/>
      <w:szCs w:val="28"/>
      <w:lang w:eastAsia="es-CO"/>
    </w:rPr>
  </w:style>
  <w:style w:type="character" w:customStyle="1" w:styleId="Ttulo5Car">
    <w:name w:val="Título 5 Car"/>
    <w:aliases w:val="NOTAS Car"/>
    <w:basedOn w:val="Fuentedeprrafopredeter"/>
    <w:link w:val="Ttulo5"/>
    <w:rsid w:val="009F6244"/>
    <w:rPr>
      <w:rFonts w:ascii="Verdana" w:eastAsiaTheme="majorEastAsia" w:hAnsi="Verdana" w:cstheme="majorBidi"/>
      <w:color w:val="4472C4" w:themeColor="accent1"/>
    </w:rPr>
  </w:style>
  <w:style w:type="paragraph" w:styleId="Descripcin">
    <w:name w:val="caption"/>
    <w:basedOn w:val="Normal"/>
    <w:next w:val="Normal"/>
    <w:unhideWhenUsed/>
    <w:qFormat/>
    <w:rsid w:val="000027B5"/>
    <w:rPr>
      <w:rFonts w:ascii="Verdana" w:eastAsiaTheme="minorHAnsi" w:hAnsi="Verdana" w:cstheme="minorBidi"/>
      <w:iCs/>
      <w:color w:val="4472C4" w:themeColor="accent1"/>
      <w:sz w:val="18"/>
      <w:szCs w:val="18"/>
      <w:lang w:val="es-CO" w:eastAsia="en-US"/>
    </w:rPr>
  </w:style>
  <w:style w:type="paragraph" w:styleId="Textonotapie">
    <w:name w:val="footnote text"/>
    <w:aliases w:val="Texto tablas,Texto nota pie Arial 10"/>
    <w:basedOn w:val="Normal"/>
    <w:link w:val="TextonotapieCar"/>
    <w:autoRedefine/>
    <w:uiPriority w:val="99"/>
    <w:unhideWhenUsed/>
    <w:qFormat/>
    <w:rsid w:val="00E06EBF"/>
    <w:pPr>
      <w:jc w:val="both"/>
    </w:pPr>
    <w:rPr>
      <w:rFonts w:ascii="Verdana" w:eastAsiaTheme="minorHAnsi" w:hAnsi="Verdana"/>
      <w:sz w:val="16"/>
      <w:szCs w:val="20"/>
      <w:lang w:val="es-MX" w:eastAsia="en-US"/>
    </w:rPr>
  </w:style>
  <w:style w:type="character" w:customStyle="1" w:styleId="TextonotapieCar">
    <w:name w:val="Texto nota pie Car"/>
    <w:aliases w:val="Texto tablas Car,Texto nota pie Arial 10 Car"/>
    <w:basedOn w:val="Fuentedeprrafopredeter"/>
    <w:link w:val="Textonotapie"/>
    <w:uiPriority w:val="99"/>
    <w:rsid w:val="00E06EBF"/>
    <w:rPr>
      <w:rFonts w:ascii="Verdana" w:hAnsi="Verdana" w:cs="Times New Roman"/>
      <w:sz w:val="16"/>
      <w:szCs w:val="20"/>
      <w:lang w:val="es-MX"/>
    </w:rPr>
  </w:style>
  <w:style w:type="character" w:styleId="Refdenotaalpie">
    <w:name w:val="footnote reference"/>
    <w:uiPriority w:val="99"/>
    <w:rsid w:val="00E06EBF"/>
    <w:rPr>
      <w:color w:val="4472C4" w:themeColor="accent1"/>
      <w:sz w:val="22"/>
      <w:vertAlign w:val="superscript"/>
    </w:rPr>
  </w:style>
  <w:style w:type="paragraph" w:styleId="Encabezado">
    <w:name w:val="header"/>
    <w:basedOn w:val="Normal"/>
    <w:link w:val="EncabezadoCar"/>
    <w:uiPriority w:val="99"/>
    <w:unhideWhenUsed/>
    <w:rsid w:val="00387248"/>
    <w:pPr>
      <w:tabs>
        <w:tab w:val="center" w:pos="4419"/>
        <w:tab w:val="right" w:pos="8838"/>
      </w:tabs>
    </w:pPr>
  </w:style>
  <w:style w:type="character" w:customStyle="1" w:styleId="EncabezadoCar">
    <w:name w:val="Encabezado Car"/>
    <w:basedOn w:val="Fuentedeprrafopredeter"/>
    <w:link w:val="Encabezado"/>
    <w:uiPriority w:val="99"/>
    <w:rsid w:val="00387248"/>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87248"/>
    <w:pPr>
      <w:tabs>
        <w:tab w:val="center" w:pos="4419"/>
        <w:tab w:val="right" w:pos="8838"/>
      </w:tabs>
    </w:pPr>
  </w:style>
  <w:style w:type="character" w:customStyle="1" w:styleId="PiedepginaCar">
    <w:name w:val="Pie de página Car"/>
    <w:basedOn w:val="Fuentedeprrafopredeter"/>
    <w:link w:val="Piedepgina"/>
    <w:uiPriority w:val="99"/>
    <w:rsid w:val="00387248"/>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21" Type="http://schemas.openxmlformats.org/officeDocument/2006/relationships/image" Target="media/image14.png"/><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emf"/><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168ECF-B43C-4939-8598-2EFFEDC88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6189</Words>
  <Characters>34041</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trujillo</dc:creator>
  <cp:keywords/>
  <dc:description/>
  <cp:lastModifiedBy>Fabian Humberto Trujillo Arismendy</cp:lastModifiedBy>
  <cp:revision>3</cp:revision>
  <dcterms:created xsi:type="dcterms:W3CDTF">2025-08-26T16:13:00Z</dcterms:created>
  <dcterms:modified xsi:type="dcterms:W3CDTF">2025-10-06T16:29:00Z</dcterms:modified>
</cp:coreProperties>
</file>