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F94D" w14:textId="2D1D5533" w:rsidR="00535A4E" w:rsidRPr="004A3C44" w:rsidRDefault="004A3C44" w:rsidP="004A3C4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A3C44">
        <w:rPr>
          <w:rFonts w:ascii="Arial" w:hAnsi="Arial" w:cs="Arial"/>
          <w:b/>
          <w:bCs/>
          <w:sz w:val="24"/>
          <w:szCs w:val="24"/>
        </w:rPr>
        <w:t>POLÍTICA DE DESCONEXIÓN LABORAL</w:t>
      </w:r>
    </w:p>
    <w:p w14:paraId="3AA1F705" w14:textId="77777777" w:rsidR="004A3C44" w:rsidRPr="00BA2948" w:rsidRDefault="004A3C44" w:rsidP="004A3C44">
      <w:pPr>
        <w:pBdr>
          <w:top w:val="nil"/>
          <w:left w:val="nil"/>
          <w:bottom w:val="nil"/>
          <w:right w:val="nil"/>
          <w:between w:val="nil"/>
        </w:pBdr>
        <w:spacing w:before="220" w:line="276" w:lineRule="auto"/>
        <w:ind w:left="562" w:right="561"/>
        <w:jc w:val="both"/>
        <w:rPr>
          <w:rFonts w:ascii="Arial" w:hAnsi="Arial" w:cs="Arial"/>
        </w:rPr>
      </w:pPr>
      <w:r w:rsidRPr="00BA2948">
        <w:rPr>
          <w:rFonts w:ascii="Arial" w:hAnsi="Arial" w:cs="Arial"/>
        </w:rPr>
        <w:t xml:space="preserve">En cumplimiento de lo dispuesto por la Ley 2191 de 2022, la </w:t>
      </w:r>
      <w:r w:rsidRPr="00BA2948">
        <w:rPr>
          <w:rFonts w:ascii="Arial" w:eastAsia="Arial" w:hAnsi="Arial" w:cs="Arial"/>
          <w:highlight w:val="white"/>
        </w:rPr>
        <w:t>CÁMARA DE REPRESENTANTES</w:t>
      </w:r>
      <w:r w:rsidRPr="00BA2948">
        <w:rPr>
          <w:rFonts w:ascii="Arial" w:hAnsi="Arial" w:cs="Arial"/>
        </w:rPr>
        <w:t xml:space="preserve">, </w:t>
      </w:r>
      <w:r w:rsidRPr="00BA2948">
        <w:rPr>
          <w:rFonts w:ascii="Arial" w:hAnsi="Arial" w:cs="Arial"/>
          <w:highlight w:val="white"/>
        </w:rPr>
        <w:t>como entidad pública del orden Nacional, responsable de elaborar, interpretar, reformar y derogar las Leyes, además realizar Control Político basados en el cumplimiento de la Constitución Política y la legislación Colombiana</w:t>
      </w:r>
      <w:r w:rsidRPr="00BA2948">
        <w:rPr>
          <w:rFonts w:ascii="Arial" w:hAnsi="Arial" w:cs="Arial"/>
        </w:rPr>
        <w:t>, crea la Política de Desconexión Laboral, la cual está alineada con el compromiso de la entidad, para que exista un balance entre la vida laboral y familiar de todos los funcionarios, contratistas, subcontratistas y demás colaboradores.</w:t>
      </w:r>
    </w:p>
    <w:p w14:paraId="728E5507" w14:textId="2301A2BE" w:rsidR="004A3C44" w:rsidRDefault="004A3C44" w:rsidP="004A3C44">
      <w:pPr>
        <w:pBdr>
          <w:top w:val="nil"/>
          <w:left w:val="nil"/>
          <w:bottom w:val="nil"/>
          <w:right w:val="nil"/>
          <w:between w:val="nil"/>
        </w:pBdr>
        <w:spacing w:before="220" w:line="276" w:lineRule="auto"/>
        <w:ind w:left="562" w:right="561"/>
        <w:jc w:val="both"/>
        <w:rPr>
          <w:rFonts w:ascii="Arial" w:hAnsi="Arial" w:cs="Arial"/>
        </w:rPr>
      </w:pPr>
      <w:r w:rsidRPr="00BA2948">
        <w:rPr>
          <w:rFonts w:ascii="Arial" w:hAnsi="Arial" w:cs="Arial"/>
        </w:rPr>
        <w:t>Para tal fin, la política responde a los siguientes compromisos:</w:t>
      </w:r>
    </w:p>
    <w:p w14:paraId="075E8E62" w14:textId="77777777" w:rsidR="004A3C44" w:rsidRPr="00BA2948" w:rsidRDefault="004A3C44" w:rsidP="004A3C4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0" w:line="276" w:lineRule="auto"/>
        <w:ind w:right="561"/>
        <w:jc w:val="both"/>
        <w:rPr>
          <w:rFonts w:ascii="Arial" w:hAnsi="Arial" w:cs="Arial"/>
        </w:rPr>
      </w:pPr>
      <w:r w:rsidRPr="00BA2948">
        <w:rPr>
          <w:rFonts w:ascii="Arial" w:hAnsi="Arial" w:cs="Arial"/>
        </w:rPr>
        <w:t>Establecer los mecanismos mediante los cuales se garantiza y se ejerce el derecho a la desconexión laboral, considerando el adecuado uso de las tecnologías de la información y de las comunicaciones, para garantizar el derecho que asiste a todos los trabajadores a no ser contactados, por ninguna vía o medio, para asuntos relacionados con su trabajo por fuera de la jornada laboral, para de esta manera asegurar un efectivo descanso y vacaciones.</w:t>
      </w:r>
    </w:p>
    <w:p w14:paraId="2C3A0B65" w14:textId="71155818" w:rsidR="004A3C44" w:rsidRDefault="004A3C44" w:rsidP="004A3C44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20" w:line="276" w:lineRule="auto"/>
        <w:ind w:right="561"/>
        <w:jc w:val="both"/>
        <w:rPr>
          <w:rFonts w:ascii="Arial" w:hAnsi="Arial" w:cs="Arial"/>
        </w:rPr>
      </w:pPr>
      <w:r w:rsidRPr="00BA2948">
        <w:rPr>
          <w:rFonts w:ascii="Arial" w:hAnsi="Arial" w:cs="Arial"/>
        </w:rPr>
        <w:t>Garantizar que, en caso de omitir el derecho a la desconexión laboral, se pueda desencadenar en una conducta de acoso laboral, de acuerdo con lo estipulado en la Ley 1010 de 2006, sólo si es persistente y demostrable.</w:t>
      </w:r>
    </w:p>
    <w:p w14:paraId="5AE19185" w14:textId="77777777" w:rsidR="004A3C44" w:rsidRPr="004A3C44" w:rsidRDefault="004A3C44" w:rsidP="004A3C4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20" w:line="276" w:lineRule="auto"/>
        <w:ind w:left="1282" w:right="561"/>
        <w:jc w:val="both"/>
        <w:rPr>
          <w:rFonts w:ascii="Arial" w:hAnsi="Arial" w:cs="Arial"/>
        </w:rPr>
      </w:pPr>
    </w:p>
    <w:p w14:paraId="030DFA77" w14:textId="1A987E73" w:rsidR="004A3C44" w:rsidRDefault="004A3C44" w:rsidP="004A3C44">
      <w:pPr>
        <w:widowControl/>
        <w:autoSpaceDE w:val="0"/>
        <w:autoSpaceDN w:val="0"/>
        <w:adjustRightInd w:val="0"/>
        <w:ind w:left="720" w:right="561"/>
        <w:jc w:val="both"/>
        <w:rPr>
          <w:rFonts w:ascii="Arial" w:hAnsi="Arial" w:cs="Arial"/>
        </w:rPr>
      </w:pPr>
      <w:r w:rsidRPr="004A3C44">
        <w:rPr>
          <w:rFonts w:ascii="Arial" w:hAnsi="Arial" w:cs="Arial"/>
        </w:rPr>
        <w:t>La presente política está dirigida a establecer los parámetros de desconexión laboral de todos los funcionarios y colaboradores de la entidad, independientemente del tipo de vinculación laboral, con excepción de:</w:t>
      </w:r>
    </w:p>
    <w:p w14:paraId="51EC64E9" w14:textId="77777777" w:rsidR="004A3C44" w:rsidRPr="00BA2948" w:rsidRDefault="004A3C44" w:rsidP="004A3C44">
      <w:pPr>
        <w:pStyle w:val="cvgsua"/>
        <w:numPr>
          <w:ilvl w:val="0"/>
          <w:numId w:val="4"/>
        </w:numPr>
        <w:spacing w:line="330" w:lineRule="atLeast"/>
        <w:ind w:right="561"/>
        <w:jc w:val="both"/>
        <w:rPr>
          <w:rFonts w:ascii="Arial" w:eastAsia="Arial MT" w:hAnsi="Arial" w:cs="Arial"/>
          <w:sz w:val="22"/>
          <w:szCs w:val="22"/>
          <w:lang w:val="es-ES"/>
        </w:rPr>
      </w:pPr>
      <w:r w:rsidRPr="00BA2948">
        <w:rPr>
          <w:rFonts w:ascii="Arial" w:eastAsia="Arial MT" w:hAnsi="Arial" w:cs="Arial"/>
          <w:sz w:val="22"/>
          <w:szCs w:val="22"/>
          <w:lang w:val="es-ES"/>
        </w:rPr>
        <w:t>Aquellos que tengan cargos de dirección, disponibilidad permanente, como en los casos de la Fuerza Pública y los organismos de socorro.</w:t>
      </w:r>
    </w:p>
    <w:p w14:paraId="69D018B1" w14:textId="77777777" w:rsidR="004A3C44" w:rsidRPr="00BA2948" w:rsidRDefault="004A3C44" w:rsidP="004A3C44">
      <w:pPr>
        <w:pStyle w:val="cvgsua"/>
        <w:numPr>
          <w:ilvl w:val="0"/>
          <w:numId w:val="4"/>
        </w:numPr>
        <w:spacing w:line="330" w:lineRule="atLeast"/>
        <w:ind w:right="561"/>
        <w:jc w:val="both"/>
        <w:rPr>
          <w:rFonts w:ascii="Arial" w:eastAsia="Arial MT" w:hAnsi="Arial" w:cs="Arial"/>
          <w:sz w:val="22"/>
          <w:szCs w:val="22"/>
          <w:lang w:val="es-ES"/>
        </w:rPr>
      </w:pPr>
      <w:r w:rsidRPr="00BA2948">
        <w:rPr>
          <w:rFonts w:ascii="Arial" w:eastAsia="Arial MT" w:hAnsi="Arial" w:cs="Arial"/>
          <w:sz w:val="22"/>
          <w:szCs w:val="22"/>
          <w:lang w:val="es-ES"/>
        </w:rPr>
        <w:t>En situaciones de fuerza mayor o caso fortuito, siempre que tales circunstancias sean justificables y se pueda evidenciar que no existe otra alternativa viable.</w:t>
      </w:r>
    </w:p>
    <w:p w14:paraId="56A2B2E8" w14:textId="77777777" w:rsidR="004A3C44" w:rsidRPr="004A3C44" w:rsidRDefault="004A3C44" w:rsidP="004A3C44">
      <w:pPr>
        <w:widowControl/>
        <w:autoSpaceDE w:val="0"/>
        <w:autoSpaceDN w:val="0"/>
        <w:adjustRightInd w:val="0"/>
        <w:ind w:left="720" w:right="561"/>
        <w:rPr>
          <w:rFonts w:ascii="Arial" w:hAnsi="Arial" w:cs="Arial"/>
        </w:rPr>
      </w:pPr>
      <w:r w:rsidRPr="004A3C44">
        <w:rPr>
          <w:rFonts w:ascii="Arial" w:hAnsi="Arial" w:cs="Arial"/>
        </w:rPr>
        <w:t>Con el fin de dar cumplimiento a esta política, la Cámara de Representantes se espera contar con el compromiso de todos los funcionarios y colaboradores de la entidad</w:t>
      </w:r>
      <w:r w:rsidRPr="004A3C44">
        <w:rPr>
          <w:sz w:val="24"/>
          <w:szCs w:val="24"/>
        </w:rPr>
        <w:t>.</w:t>
      </w:r>
    </w:p>
    <w:p w14:paraId="6737C12A" w14:textId="77777777" w:rsidR="004A3C44" w:rsidRPr="004A3C44" w:rsidRDefault="004A3C44" w:rsidP="004A3C44">
      <w:pPr>
        <w:widowControl/>
        <w:autoSpaceDE w:val="0"/>
        <w:autoSpaceDN w:val="0"/>
        <w:adjustRightInd w:val="0"/>
        <w:ind w:right="561"/>
        <w:jc w:val="both"/>
        <w:rPr>
          <w:rFonts w:ascii="Arial" w:hAnsi="Arial" w:cs="Arial"/>
        </w:rPr>
      </w:pPr>
    </w:p>
    <w:p w14:paraId="0CCDAA5E" w14:textId="77777777" w:rsidR="00535A4E" w:rsidRPr="009D0838" w:rsidRDefault="00535A4E">
      <w:pPr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</w:rPr>
      </w:pPr>
    </w:p>
    <w:p w14:paraId="490D918B" w14:textId="39F9F552" w:rsidR="00535A4E" w:rsidRDefault="00535A4E" w:rsidP="004A3C44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</w:pPr>
    </w:p>
    <w:p w14:paraId="454518CA" w14:textId="77777777" w:rsidR="004A3C44" w:rsidRPr="009D0838" w:rsidRDefault="004A3C44" w:rsidP="004A3C44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</w:pPr>
    </w:p>
    <w:p w14:paraId="28956095" w14:textId="4260CD7F" w:rsidR="00535A4E" w:rsidRPr="009D0838" w:rsidRDefault="005F162C" w:rsidP="004A3C44">
      <w:pPr>
        <w:spacing w:line="276" w:lineRule="auto"/>
        <w:ind w:left="1440" w:right="3513" w:firstLine="720"/>
        <w:jc w:val="center"/>
        <w:rPr>
          <w:rFonts w:ascii="Arial" w:eastAsia="Arial" w:hAnsi="Arial" w:cs="Arial"/>
          <w:b/>
          <w:sz w:val="24"/>
          <w:szCs w:val="24"/>
        </w:rPr>
      </w:pPr>
      <w:r w:rsidRPr="009D0838">
        <w:rPr>
          <w:rFonts w:ascii="Arial" w:eastAsia="Arial" w:hAnsi="Arial" w:cs="Arial"/>
          <w:b/>
          <w:sz w:val="24"/>
          <w:szCs w:val="24"/>
        </w:rPr>
        <w:t xml:space="preserve">Diego Enrique </w:t>
      </w:r>
      <w:r w:rsidR="009D0838" w:rsidRPr="009D0838">
        <w:rPr>
          <w:rFonts w:ascii="Arial" w:eastAsia="Arial" w:hAnsi="Arial" w:cs="Arial"/>
          <w:b/>
          <w:sz w:val="24"/>
          <w:szCs w:val="24"/>
        </w:rPr>
        <w:t>Ramírez</w:t>
      </w:r>
      <w:r w:rsidRPr="009D0838">
        <w:rPr>
          <w:rFonts w:ascii="Arial" w:eastAsia="Arial" w:hAnsi="Arial" w:cs="Arial"/>
          <w:b/>
          <w:sz w:val="24"/>
          <w:szCs w:val="24"/>
        </w:rPr>
        <w:t xml:space="preserve"> Sanguino</w:t>
      </w:r>
    </w:p>
    <w:p w14:paraId="05A6FADD" w14:textId="16B85DFA" w:rsidR="00535A4E" w:rsidRPr="009D0838" w:rsidRDefault="005F162C" w:rsidP="004A3C44">
      <w:pPr>
        <w:spacing w:line="276" w:lineRule="auto"/>
        <w:ind w:left="1440" w:right="3513" w:firstLine="720"/>
        <w:jc w:val="center"/>
        <w:rPr>
          <w:sz w:val="24"/>
          <w:szCs w:val="24"/>
        </w:rPr>
      </w:pPr>
      <w:r w:rsidRPr="009D0838">
        <w:rPr>
          <w:sz w:val="24"/>
          <w:szCs w:val="24"/>
        </w:rPr>
        <w:t>Jefe División de Personal</w:t>
      </w:r>
    </w:p>
    <w:p w14:paraId="71F2B5BE" w14:textId="15F7B503" w:rsidR="00535A4E" w:rsidRPr="009D0838" w:rsidRDefault="009D0838" w:rsidP="004A3C44">
      <w:pPr>
        <w:spacing w:line="276" w:lineRule="auto"/>
        <w:ind w:left="1440" w:right="3513" w:firstLine="720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5409C0">
        <w:rPr>
          <w:sz w:val="24"/>
          <w:szCs w:val="24"/>
        </w:rPr>
        <w:t>4</w:t>
      </w:r>
      <w:r w:rsidR="005F162C" w:rsidRPr="009D0838">
        <w:rPr>
          <w:sz w:val="24"/>
          <w:szCs w:val="24"/>
        </w:rPr>
        <w:t>/</w:t>
      </w:r>
      <w:r w:rsidR="005409C0">
        <w:rPr>
          <w:sz w:val="24"/>
          <w:szCs w:val="24"/>
        </w:rPr>
        <w:t>agosto</w:t>
      </w:r>
      <w:r w:rsidR="005F162C" w:rsidRPr="009D0838">
        <w:rPr>
          <w:sz w:val="24"/>
          <w:szCs w:val="24"/>
        </w:rPr>
        <w:t>/2023</w:t>
      </w:r>
    </w:p>
    <w:p w14:paraId="0733227A" w14:textId="77777777" w:rsidR="00535A4E" w:rsidRDefault="00535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5524B6D0" w14:textId="77777777" w:rsidR="00535A4E" w:rsidRDefault="00535A4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7C86323C" w14:textId="77777777" w:rsidR="00535A4E" w:rsidRDefault="005F162C">
      <w:pPr>
        <w:spacing w:line="276" w:lineRule="auto"/>
        <w:ind w:left="562" w:right="6967"/>
        <w:rPr>
          <w:sz w:val="16"/>
          <w:szCs w:val="16"/>
        </w:rPr>
      </w:pPr>
      <w:r>
        <w:rPr>
          <w:sz w:val="16"/>
          <w:szCs w:val="16"/>
        </w:rPr>
        <w:t>Elaboro Equipo de trabajo SG-SST Revisó Coordinador SST</w:t>
      </w:r>
    </w:p>
    <w:sectPr w:rsidR="00535A4E">
      <w:headerReference w:type="default" r:id="rId8"/>
      <w:pgSz w:w="12240" w:h="15840"/>
      <w:pgMar w:top="980" w:right="1060" w:bottom="280" w:left="11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5365" w14:textId="77777777" w:rsidR="00546281" w:rsidRDefault="00546281">
      <w:r>
        <w:separator/>
      </w:r>
    </w:p>
  </w:endnote>
  <w:endnote w:type="continuationSeparator" w:id="0">
    <w:p w14:paraId="581291F7" w14:textId="77777777" w:rsidR="00546281" w:rsidRDefault="0054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05BC" w14:textId="77777777" w:rsidR="00546281" w:rsidRDefault="00546281">
      <w:r>
        <w:separator/>
      </w:r>
    </w:p>
  </w:footnote>
  <w:footnote w:type="continuationSeparator" w:id="0">
    <w:p w14:paraId="3C696247" w14:textId="77777777" w:rsidR="00546281" w:rsidRDefault="0054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1" w:type="dxa"/>
      <w:tblInd w:w="12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957"/>
      <w:gridCol w:w="4699"/>
      <w:gridCol w:w="996"/>
      <w:gridCol w:w="1139"/>
    </w:tblGrid>
    <w:tr w:rsidR="004A3C44" w14:paraId="02E956FE" w14:textId="77777777" w:rsidTr="00513773">
      <w:trPr>
        <w:trHeight w:val="460"/>
      </w:trPr>
      <w:tc>
        <w:tcPr>
          <w:tcW w:w="2957" w:type="dxa"/>
          <w:vMerge w:val="restart"/>
        </w:tcPr>
        <w:p w14:paraId="61F1E813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"/>
            <w:rPr>
              <w:rFonts w:ascii="Times New Roman" w:eastAsia="Times New Roman" w:hAnsi="Times New Roman" w:cs="Times New Roman"/>
              <w:color w:val="000000"/>
              <w:sz w:val="23"/>
              <w:szCs w:val="23"/>
            </w:rPr>
          </w:pPr>
        </w:p>
        <w:p w14:paraId="1860FCD8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ind w:left="164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0" distR="0" wp14:anchorId="6777419B" wp14:editId="651CBAF6">
                <wp:extent cx="1675530" cy="651509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530" cy="6515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4" w:type="dxa"/>
          <w:gridSpan w:val="3"/>
        </w:tcPr>
        <w:p w14:paraId="5BD09913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1" w:lineRule="auto"/>
            <w:ind w:left="199" w:right="196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CÁMARA DE REPRESENTANTES</w:t>
          </w:r>
        </w:p>
        <w:p w14:paraId="6C8D46FD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19" w:lineRule="auto"/>
            <w:ind w:left="199" w:right="199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DIVISIÓN DE PERSONAL – SEGURIDAD Y SALUD EN EL TRABAJO</w:t>
          </w:r>
        </w:p>
      </w:tc>
    </w:tr>
    <w:tr w:rsidR="004A3C44" w14:paraId="2D94FEE2" w14:textId="77777777" w:rsidTr="00513773">
      <w:trPr>
        <w:trHeight w:val="304"/>
      </w:trPr>
      <w:tc>
        <w:tcPr>
          <w:tcW w:w="2957" w:type="dxa"/>
          <w:vMerge/>
        </w:tcPr>
        <w:p w14:paraId="4CBB0425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4699" w:type="dxa"/>
          <w:vMerge w:val="restart"/>
        </w:tcPr>
        <w:p w14:paraId="3D9AF049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7C010020" w14:textId="1EF30B12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ind w:left="1862" w:right="284" w:hanging="1565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POLÍTICA DE DESCONEXIÓN LABORAL</w:t>
          </w:r>
        </w:p>
      </w:tc>
      <w:tc>
        <w:tcPr>
          <w:tcW w:w="996" w:type="dxa"/>
        </w:tcPr>
        <w:p w14:paraId="4D6EC323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5"/>
            <w:ind w:left="114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Código</w:t>
          </w:r>
        </w:p>
      </w:tc>
      <w:tc>
        <w:tcPr>
          <w:tcW w:w="1139" w:type="dxa"/>
        </w:tcPr>
        <w:p w14:paraId="2D40E4C4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</w:rPr>
          </w:pPr>
        </w:p>
      </w:tc>
    </w:tr>
    <w:tr w:rsidR="004A3C44" w14:paraId="3AE7B6DF" w14:textId="77777777" w:rsidTr="00513773">
      <w:trPr>
        <w:trHeight w:val="213"/>
      </w:trPr>
      <w:tc>
        <w:tcPr>
          <w:tcW w:w="2957" w:type="dxa"/>
          <w:vMerge/>
        </w:tcPr>
        <w:p w14:paraId="4802E91C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4699" w:type="dxa"/>
          <w:vMerge/>
        </w:tcPr>
        <w:p w14:paraId="32B5BC2D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996" w:type="dxa"/>
        </w:tcPr>
        <w:p w14:paraId="0100DE7F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9"/>
            <w:ind w:left="114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Versión</w:t>
          </w:r>
        </w:p>
      </w:tc>
      <w:tc>
        <w:tcPr>
          <w:tcW w:w="1139" w:type="dxa"/>
        </w:tcPr>
        <w:p w14:paraId="196460F1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7"/>
            <w:ind w:left="114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>03</w:t>
          </w:r>
        </w:p>
      </w:tc>
    </w:tr>
    <w:tr w:rsidR="004A3C44" w14:paraId="6C943A18" w14:textId="77777777" w:rsidTr="00513773">
      <w:trPr>
        <w:trHeight w:val="239"/>
      </w:trPr>
      <w:tc>
        <w:tcPr>
          <w:tcW w:w="2957" w:type="dxa"/>
          <w:vMerge/>
        </w:tcPr>
        <w:p w14:paraId="665F6CA0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</w:p>
      </w:tc>
      <w:tc>
        <w:tcPr>
          <w:tcW w:w="4699" w:type="dxa"/>
          <w:vMerge/>
        </w:tcPr>
        <w:p w14:paraId="75D735F3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</w:p>
      </w:tc>
      <w:tc>
        <w:tcPr>
          <w:tcW w:w="996" w:type="dxa"/>
        </w:tcPr>
        <w:p w14:paraId="5C3DA6D5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3"/>
            <w:ind w:left="114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Fecha</w:t>
          </w:r>
        </w:p>
      </w:tc>
      <w:tc>
        <w:tcPr>
          <w:tcW w:w="1139" w:type="dxa"/>
        </w:tcPr>
        <w:p w14:paraId="44362773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1"/>
            <w:ind w:left="114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>09/09/2020</w:t>
          </w:r>
        </w:p>
      </w:tc>
    </w:tr>
    <w:tr w:rsidR="004A3C44" w14:paraId="33FF629F" w14:textId="77777777" w:rsidTr="00513773">
      <w:trPr>
        <w:trHeight w:val="172"/>
      </w:trPr>
      <w:tc>
        <w:tcPr>
          <w:tcW w:w="2957" w:type="dxa"/>
          <w:vMerge/>
        </w:tcPr>
        <w:p w14:paraId="0D85AA53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</w:p>
      </w:tc>
      <w:tc>
        <w:tcPr>
          <w:tcW w:w="4699" w:type="dxa"/>
          <w:vMerge/>
        </w:tcPr>
        <w:p w14:paraId="5BE3F284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</w:p>
      </w:tc>
      <w:tc>
        <w:tcPr>
          <w:tcW w:w="996" w:type="dxa"/>
        </w:tcPr>
        <w:p w14:paraId="52DB8CEA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52" w:lineRule="auto"/>
            <w:ind w:left="114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t>Página</w:t>
          </w:r>
        </w:p>
      </w:tc>
      <w:tc>
        <w:tcPr>
          <w:tcW w:w="1139" w:type="dxa"/>
        </w:tcPr>
        <w:p w14:paraId="4BB9DA7A" w14:textId="77777777" w:rsidR="004A3C44" w:rsidRDefault="004A3C44" w:rsidP="004A3C4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52" w:lineRule="auto"/>
            <w:ind w:left="114"/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color w:val="000000"/>
              <w:sz w:val="14"/>
              <w:szCs w:val="14"/>
            </w:rPr>
            <w:t>1</w:t>
          </w:r>
        </w:p>
      </w:tc>
    </w:tr>
  </w:tbl>
  <w:p w14:paraId="26117809" w14:textId="77777777" w:rsidR="004A3C44" w:rsidRDefault="004A3C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11C50"/>
    <w:multiLevelType w:val="hybridMultilevel"/>
    <w:tmpl w:val="B9AC7DC0"/>
    <w:lvl w:ilvl="0" w:tplc="240A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 w15:restartNumberingAfterBreak="0">
    <w:nsid w:val="2FCA0FBA"/>
    <w:multiLevelType w:val="hybridMultilevel"/>
    <w:tmpl w:val="32EA93C8"/>
    <w:lvl w:ilvl="0" w:tplc="240A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 w15:restartNumberingAfterBreak="0">
    <w:nsid w:val="4DC71056"/>
    <w:multiLevelType w:val="hybridMultilevel"/>
    <w:tmpl w:val="B3C064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C5CD6"/>
    <w:multiLevelType w:val="hybridMultilevel"/>
    <w:tmpl w:val="9A82FF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6878254">
    <w:abstractNumId w:val="0"/>
  </w:num>
  <w:num w:numId="2" w16cid:durableId="1537620046">
    <w:abstractNumId w:val="2"/>
  </w:num>
  <w:num w:numId="3" w16cid:durableId="1300919575">
    <w:abstractNumId w:val="1"/>
  </w:num>
  <w:num w:numId="4" w16cid:durableId="979967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4E"/>
    <w:rsid w:val="004868CD"/>
    <w:rsid w:val="004A3C44"/>
    <w:rsid w:val="00535A4E"/>
    <w:rsid w:val="005409C0"/>
    <w:rsid w:val="00546281"/>
    <w:rsid w:val="005F162C"/>
    <w:rsid w:val="0075250B"/>
    <w:rsid w:val="009D0838"/>
    <w:rsid w:val="00A86937"/>
    <w:rsid w:val="00AE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826"/>
  <w15:docId w15:val="{36749F6C-D1B8-4154-AFE4-B47B9976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1343" w:right="1431"/>
      <w:jc w:val="center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  <w:rPr>
      <w:rFonts w:ascii="Arial" w:eastAsia="Arial" w:hAnsi="Arial" w:cs="Aria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4A3C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C44"/>
  </w:style>
  <w:style w:type="paragraph" w:styleId="Piedepgina">
    <w:name w:val="footer"/>
    <w:basedOn w:val="Normal"/>
    <w:link w:val="PiedepginaCar"/>
    <w:uiPriority w:val="99"/>
    <w:unhideWhenUsed/>
    <w:rsid w:val="004A3C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C44"/>
  </w:style>
  <w:style w:type="paragraph" w:customStyle="1" w:styleId="cvgsua">
    <w:name w:val="cvgsua"/>
    <w:basedOn w:val="Normal"/>
    <w:rsid w:val="004A3C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Z4sVQqwN/sc6EufiuFaAi4+Wiw==">AMUW2mUjrCCIFkK40FqLcR1VKs+qx+KiJcOM4XwGuYhMb9oMqCAhSKEn2eZbGMF1xYlLcVVXd9HJ8nu3GhLf3PwEqJzXtLXnaJ+3fiHcyH8IV9ia4PU3MMo=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Libardo Moreno</dc:creator>
  <cp:lastModifiedBy>Cristian Guillermo Castro Cassiano</cp:lastModifiedBy>
  <cp:revision>2</cp:revision>
  <cp:lastPrinted>2023-08-24T21:54:00Z</cp:lastPrinted>
  <dcterms:created xsi:type="dcterms:W3CDTF">2025-11-10T22:30:00Z</dcterms:created>
  <dcterms:modified xsi:type="dcterms:W3CDTF">2025-11-10T22:30:00Z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</Properties>
</file>