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TEXTO APROBADO EN LA COMISIÓN PRIMERA DE LA HONORABLE CÁMARA DE REPRESENTANTES EN PRIMER DEBATE DEL PROYECTO DE LEY No. 465 DE 2024 CÁMARA – No. 064 DE 2024 SENADO “POR MEDIO DEL CUAL SE MODIFICA EL ARTÍCULO 88 DE LA LEY 1801 DE 2016 GARANTIZANDO EL ACCESO A BAÑOS PÚBLICOS A PERSONAS CON DISCAPACIDAD".</w:t>
      </w:r>
    </w:p>
    <w:p w:rsidR="00000000" w:rsidDel="00000000" w:rsidP="00000000" w:rsidRDefault="00000000" w:rsidRPr="00000000" w14:paraId="00000002">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El Congreso de Colombia</w:t>
      </w:r>
    </w:p>
    <w:p w:rsidR="00000000" w:rsidDel="00000000" w:rsidP="00000000" w:rsidRDefault="00000000" w:rsidRPr="00000000" w14:paraId="00000004">
      <w:pPr>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DECRETA:</w:t>
      </w:r>
    </w:p>
    <w:p w:rsidR="00000000" w:rsidDel="00000000" w:rsidP="00000000" w:rsidRDefault="00000000" w:rsidRPr="00000000" w14:paraId="00000006">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7">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1.- Objeto. </w:t>
      </w:r>
      <w:r w:rsidDel="00000000" w:rsidR="00000000" w:rsidRPr="00000000">
        <w:rPr>
          <w:rFonts w:ascii="Century Gothic" w:cs="Century Gothic" w:eastAsia="Century Gothic" w:hAnsi="Century Gothic"/>
          <w:rtl w:val="0"/>
        </w:rPr>
        <w:t xml:space="preserve">La presente Ley tiene por objeto modificar el artículo 88 de la Ley 1801 de 2016, referente a la inclusión de las personas con discapacidad o con movilidad reducida dentro de la protección especial que establece la disposición legislativa, en el contexto de la utilización de los servicios de baños en establecimientos de comercio abiertos al público, aun sin ser clientes de estos.</w:t>
      </w:r>
    </w:p>
    <w:p w:rsidR="00000000" w:rsidDel="00000000" w:rsidP="00000000" w:rsidRDefault="00000000" w:rsidRPr="00000000" w14:paraId="00000008">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2.- </w:t>
      </w:r>
      <w:r w:rsidDel="00000000" w:rsidR="00000000" w:rsidRPr="00000000">
        <w:rPr>
          <w:rFonts w:ascii="Century Gothic" w:cs="Century Gothic" w:eastAsia="Century Gothic" w:hAnsi="Century Gothic"/>
          <w:rtl w:val="0"/>
        </w:rPr>
        <w:t xml:space="preserve">Modifíquese el artículo 88 de la Ley 1801 de 2016; el cual quedará así:</w:t>
      </w:r>
    </w:p>
    <w:p w:rsidR="00000000" w:rsidDel="00000000" w:rsidP="00000000" w:rsidRDefault="00000000" w:rsidRPr="00000000" w14:paraId="0000000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88. SERVICIO DE BAÑO. </w:t>
      </w:r>
      <w:r w:rsidDel="00000000" w:rsidR="00000000" w:rsidRPr="00000000">
        <w:rPr>
          <w:rFonts w:ascii="Century Gothic" w:cs="Century Gothic" w:eastAsia="Century Gothic" w:hAnsi="Century Gothic"/>
          <w:rtl w:val="0"/>
        </w:rPr>
        <w:t xml:space="preserve">Es obligación de todos y cada uno de los establecimientos de comercio abiertos al público, prestar el servicio de baño a niños, mujeres embarazadas, adultos de la tercera edad y personas con discapacidad o con movilidad reducida, cuando así lo soliciten, sin importar que los mismos sean sus clientes o no. La inobservancia de la presente norma tendrá como consecuencia la imposición de una Multa General Tipo 1 o suspensión temporal de actividad, conforme al Proceso Único de Policía previsto en este código.</w:t>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Será potestad de los establecimientos de comercio en mención el cobro del servicio enunciado el cual deberá ser regulado por los correspondientes entes territoriales, sin que en ningún caso dicho cobro pueda constituir un acto de discriminación hacia las personas de que trata el presente artículo.</w:t>
      </w:r>
    </w:p>
    <w:p w:rsidR="00000000" w:rsidDel="00000000" w:rsidP="00000000" w:rsidRDefault="00000000" w:rsidRPr="00000000" w14:paraId="0000000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exceptúan del deber previsto en el inciso primero, aquellos establecimientos abiertos al público que cuentan con un régimen especial y son supervisados por la Superintendencia Financiera de Colombia, atendiendo a los riesgos inherentes a su actividad.</w:t>
      </w:r>
    </w:p>
    <w:p w:rsidR="00000000" w:rsidDel="00000000" w:rsidP="00000000" w:rsidRDefault="00000000" w:rsidRPr="00000000" w14:paraId="00000010">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Parágrafo. </w:t>
      </w:r>
      <w:r w:rsidDel="00000000" w:rsidR="00000000" w:rsidRPr="00000000">
        <w:rPr>
          <w:rFonts w:ascii="Century Gothic" w:cs="Century Gothic" w:eastAsia="Century Gothic" w:hAnsi="Century Gothic"/>
          <w:rtl w:val="0"/>
        </w:rPr>
        <w:t xml:space="preserve">Las personas contempladas en este artículo a quienes se les haya negado el servicio, de conformidad con lo previsto para el trámite del proceso verbal inmediato o del trámite del proceso verbal abreviado contemplados en este código, podrán presentar un reporte escrito o verbal, presencial o virtual ante la policía nacional, los inspectores de policía, alcaldes o autoridades especiales de policía, según corresponda, quienes deberán observar las reglas del procedimiento contenidas en este código.</w:t>
      </w:r>
    </w:p>
    <w:p w:rsidR="00000000" w:rsidDel="00000000" w:rsidP="00000000" w:rsidRDefault="00000000" w:rsidRPr="00000000" w14:paraId="0000001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3.- Vigencia y derogatorias: La</w:t>
      </w:r>
      <w:r w:rsidDel="00000000" w:rsidR="00000000" w:rsidRPr="00000000">
        <w:rPr>
          <w:rFonts w:ascii="Century Gothic" w:cs="Century Gothic" w:eastAsia="Century Gothic" w:hAnsi="Century Gothic"/>
          <w:rtl w:val="0"/>
        </w:rPr>
        <w:t xml:space="preserve"> presente Ley rige a partir de su sanción, promulgación y publicación en el Diario Oficial y deroga las disposiciones que le sean contrarias.</w:t>
      </w:r>
    </w:p>
    <w:p w:rsidR="00000000" w:rsidDel="00000000" w:rsidP="00000000" w:rsidRDefault="00000000" w:rsidRPr="00000000" w14:paraId="0000001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tabs>
          <w:tab w:val="left" w:leader="none" w:pos="4820"/>
        </w:tabs>
        <w:jc w:val="both"/>
        <w:rPr>
          <w:rFonts w:ascii="Century Gothic" w:cs="Century Gothic" w:eastAsia="Century Gothic" w:hAnsi="Century Gothic"/>
          <w:sz w:val="28"/>
          <w:szCs w:val="28"/>
          <w:highlight w:val="white"/>
        </w:rPr>
      </w:pPr>
      <w:r w:rsidDel="00000000" w:rsidR="00000000" w:rsidRPr="00000000">
        <w:rPr>
          <w:rFonts w:ascii="Century Gothic" w:cs="Century Gothic" w:eastAsia="Century Gothic" w:hAnsi="Century Gothic"/>
          <w:sz w:val="28"/>
          <w:szCs w:val="28"/>
          <w:highlight w:val="white"/>
          <w:rtl w:val="0"/>
        </w:rPr>
        <w:t xml:space="preserve">En los anteriores términos fue aprobado con modificaciones en primer debate el presente Proyecto de Ley, según consta en el acta 03 de sesión del 30 de julio de 2025; así mismo fue anunciado el día 29 de julio de 2025, según consta en el acta 02 de sesión de esa misma fecha.</w:t>
      </w:r>
    </w:p>
    <w:p w:rsidR="00000000" w:rsidDel="00000000" w:rsidP="00000000" w:rsidRDefault="00000000" w:rsidRPr="00000000" w14:paraId="00000018">
      <w:pPr>
        <w:tabs>
          <w:tab w:val="left" w:leader="none" w:pos="5245"/>
        </w:tabs>
        <w:rPr>
          <w:rFonts w:ascii="Century Gothic" w:cs="Century Gothic" w:eastAsia="Century Gothic" w:hAnsi="Century Gothic"/>
          <w:sz w:val="28"/>
          <w:szCs w:val="28"/>
          <w:highlight w:val="white"/>
        </w:rPr>
      </w:pPr>
      <w:r w:rsidDel="00000000" w:rsidR="00000000" w:rsidRPr="00000000">
        <w:rPr>
          <w:rtl w:val="0"/>
        </w:rPr>
      </w:r>
    </w:p>
    <w:p w:rsidR="00000000" w:rsidDel="00000000" w:rsidP="00000000" w:rsidRDefault="00000000" w:rsidRPr="00000000" w14:paraId="00000019">
      <w:pPr>
        <w:tabs>
          <w:tab w:val="left" w:leader="none" w:pos="5245"/>
          <w:tab w:val="left" w:leader="none" w:pos="5529"/>
        </w:tabs>
        <w:rPr>
          <w:rFonts w:ascii="Century Gothic" w:cs="Century Gothic" w:eastAsia="Century Gothic" w:hAnsi="Century Gothic"/>
          <w:sz w:val="32"/>
          <w:szCs w:val="32"/>
          <w:highlight w:val="white"/>
        </w:rPr>
      </w:pPr>
      <w:r w:rsidDel="00000000" w:rsidR="00000000" w:rsidRPr="00000000">
        <w:rPr>
          <w:rtl w:val="0"/>
        </w:rPr>
      </w:r>
    </w:p>
    <w:p w:rsidR="00000000" w:rsidDel="00000000" w:rsidP="00000000" w:rsidRDefault="00000000" w:rsidRPr="00000000" w14:paraId="0000001A">
      <w:pPr>
        <w:tabs>
          <w:tab w:val="left" w:leader="none" w:pos="5245"/>
          <w:tab w:val="left" w:leader="none" w:pos="5529"/>
        </w:tabs>
        <w:rPr>
          <w:rFonts w:ascii="Century Gothic" w:cs="Century Gothic" w:eastAsia="Century Gothic" w:hAnsi="Century Gothic"/>
          <w:sz w:val="32"/>
          <w:szCs w:val="32"/>
          <w:highlight w:val="white"/>
        </w:rPr>
      </w:pPr>
      <w:r w:rsidDel="00000000" w:rsidR="00000000" w:rsidRPr="00000000">
        <w:rPr>
          <w:rtl w:val="0"/>
        </w:rPr>
      </w:r>
    </w:p>
    <w:p w:rsidR="00000000" w:rsidDel="00000000" w:rsidP="00000000" w:rsidRDefault="00000000" w:rsidRPr="00000000" w14:paraId="0000001B">
      <w:pPr>
        <w:tabs>
          <w:tab w:val="left" w:leader="none" w:pos="5245"/>
          <w:tab w:val="left" w:leader="none" w:pos="5529"/>
        </w:tabs>
        <w:rPr>
          <w:rFonts w:ascii="Century Gothic" w:cs="Century Gothic" w:eastAsia="Century Gothic" w:hAnsi="Century Gothic"/>
          <w:sz w:val="32"/>
          <w:szCs w:val="32"/>
          <w:highlight w:val="white"/>
        </w:rPr>
      </w:pPr>
      <w:r w:rsidDel="00000000" w:rsidR="00000000" w:rsidRPr="00000000">
        <w:rPr>
          <w:rtl w:val="0"/>
        </w:rPr>
      </w:r>
    </w:p>
    <w:p w:rsidR="00000000" w:rsidDel="00000000" w:rsidP="00000000" w:rsidRDefault="00000000" w:rsidRPr="00000000" w14:paraId="0000001C">
      <w:pPr>
        <w:tabs>
          <w:tab w:val="left" w:leader="none" w:pos="4678"/>
          <w:tab w:val="left" w:leader="none" w:pos="5103"/>
        </w:tabs>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1D">
      <w:pPr>
        <w:tabs>
          <w:tab w:val="left" w:leader="none" w:pos="4678"/>
          <w:tab w:val="left" w:leader="none" w:pos="5103"/>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MARELEN CASTILLO TORRES</w:t>
        <w:tab/>
        <w:t xml:space="preserve">              GABRIEL BECERRA YÁÑEZ </w:t>
      </w:r>
    </w:p>
    <w:p w:rsidR="00000000" w:rsidDel="00000000" w:rsidP="00000000" w:rsidRDefault="00000000" w:rsidRPr="00000000" w14:paraId="0000001E">
      <w:pPr>
        <w:tabs>
          <w:tab w:val="left" w:leader="none" w:pos="4678"/>
          <w:tab w:val="left" w:leader="none" w:pos="5103"/>
        </w:tabs>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            Ponente Única</w:t>
        <w:tab/>
        <w:t xml:space="preserve">                   Presidente </w:t>
      </w:r>
    </w:p>
    <w:p w:rsidR="00000000" w:rsidDel="00000000" w:rsidP="00000000" w:rsidRDefault="00000000" w:rsidRPr="00000000" w14:paraId="0000001F">
      <w:pPr>
        <w:tabs>
          <w:tab w:val="left" w:leader="none" w:pos="4820"/>
          <w:tab w:val="left" w:leader="none" w:pos="5103"/>
        </w:tabs>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0">
      <w:pPr>
        <w:tabs>
          <w:tab w:val="left" w:leader="none" w:pos="4820"/>
          <w:tab w:val="left" w:leader="none" w:pos="5103"/>
        </w:tabs>
        <w:jc w:val="center"/>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1">
      <w:pPr>
        <w:tabs>
          <w:tab w:val="left" w:leader="none" w:pos="4820"/>
          <w:tab w:val="left" w:leader="none" w:pos="5103"/>
        </w:tabs>
        <w:jc w:val="center"/>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2">
      <w:pPr>
        <w:tabs>
          <w:tab w:val="left" w:leader="none" w:pos="4820"/>
          <w:tab w:val="left" w:leader="none" w:pos="5103"/>
        </w:tabs>
        <w:jc w:val="center"/>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3">
      <w:pPr>
        <w:tabs>
          <w:tab w:val="left" w:leader="none" w:pos="4820"/>
          <w:tab w:val="left" w:leader="none" w:pos="5103"/>
        </w:tabs>
        <w:jc w:val="center"/>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4">
      <w:pPr>
        <w:tabs>
          <w:tab w:val="left" w:leader="none" w:pos="4820"/>
          <w:tab w:val="left" w:leader="none" w:pos="5103"/>
        </w:tabs>
        <w:jc w:val="center"/>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5">
      <w:pPr>
        <w:tabs>
          <w:tab w:val="left" w:leader="none" w:pos="4678"/>
          <w:tab w:val="left" w:leader="none" w:pos="5103"/>
        </w:tabs>
        <w:ind w:left="426" w:firstLine="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AMPARO YANETH CALDERON PERDOMO</w:t>
      </w:r>
    </w:p>
    <w:p w:rsidR="00000000" w:rsidDel="00000000" w:rsidP="00000000" w:rsidRDefault="00000000" w:rsidRPr="00000000" w14:paraId="00000026">
      <w:pPr>
        <w:tabs>
          <w:tab w:val="left" w:leader="none" w:pos="4678"/>
          <w:tab w:val="left" w:leader="none" w:pos="5103"/>
        </w:tabs>
        <w:ind w:left="42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highlight w:val="white"/>
          <w:rtl w:val="0"/>
        </w:rPr>
        <w:t xml:space="preserve">Secretaria</w:t>
      </w:r>
      <w:r w:rsidDel="00000000" w:rsidR="00000000" w:rsidRPr="00000000">
        <w:rPr>
          <w:rtl w:val="0"/>
        </w:rPr>
      </w:r>
    </w:p>
    <w:sectPr>
      <w:headerReference r:id="rId6" w:type="default"/>
      <w:pgSz w:h="15840" w:w="12240" w:orient="portrait"/>
      <w:pgMar w:bottom="1417" w:top="85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sz w:val="22"/>
        <w:szCs w:val="22"/>
      </w:rPr>
    </w:pPr>
    <w:r w:rsidDel="00000000" w:rsidR="00000000" w:rsidRPr="00000000">
      <w:rPr>
        <w:rFonts w:ascii="Arial" w:cs="Arial" w:eastAsia="Arial" w:hAnsi="Arial"/>
        <w:sz w:val="22"/>
        <w:szCs w:val="22"/>
      </w:rPr>
      <mc:AlternateContent>
        <mc:Choice Requires="wps">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27710" cy="329565"/>
              <wp:effectExtent b="3810" l="0" r="0" t="0"/>
              <wp:wrapNone/>
              <wp:docPr id="1" name=""/>
              <a:graphic>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extLst>
                    </wps:spPr>
                    <wps:txbx>
                      <w:txbxContent>
                        <w:p w:rsidR="00793BED" w:rsidDel="00000000" w:rsidP="00000000" w:rsidRDefault="00793BED" w:rsidRPr="00000000" w14:paraId="00667E68" w14:textId="08951640">
                          <w:pPr>
                            <w:pBdr>
                              <w:bottom w:color="auto" w:space="1" w:sz="4" w:val="single"/>
                            </w:pBdr>
                          </w:pPr>
                          <w:r w:rsidDel="00000000" w:rsidR="00000000" w:rsidRPr="00000000">
                            <w:fldChar w:fldCharType="begin"/>
                          </w:r>
                          <w:r w:rsidDel="00000000" w:rsidR="00000000" w:rsidRPr="00000000">
                            <w:instrText>PAGE   \* MERGEFORMAT</w:instrText>
                          </w:r>
                          <w:r w:rsidDel="00000000" w:rsidR="00000000" w:rsidRPr="00000000">
                            <w:fldChar w:fldCharType="separate"/>
                          </w:r>
                          <w:r w:rsidDel="00000000" w:rsidR="00CA44F0" w:rsidRPr="00000000">
                            <w:rPr>
                              <w:noProof w:val="1"/>
                            </w:rPr>
                            <w:t>6</w:t>
                          </w:r>
                          <w:r w:rsidDel="00000000" w:rsidR="00000000" w:rsidRPr="00000000">
                            <w:fldChar w:fldCharType="end"/>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27710" cy="3333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7710" cy="33337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0"/>
        <w:szCs w:val="20"/>
      </w:rPr>
      <w:drawing>
        <wp:inline distB="0" distT="0" distL="0" distR="0">
          <wp:extent cx="1779270" cy="523875"/>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79270" cy="52387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