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118" w:rsidRDefault="00CB67C0" w:rsidP="00911D10">
      <w:pPr>
        <w:pStyle w:val="Encabezado"/>
        <w:jc w:val="center"/>
      </w:pPr>
      <w:sdt>
        <w:sdtPr>
          <w:id w:val="-1452781959"/>
          <w:docPartObj>
            <w:docPartGallery w:val="Page Numbers (Margins)"/>
            <w:docPartUnique/>
          </w:docPartObj>
        </w:sdtPr>
        <w:sdtEndPr/>
        <w:sdtContent>
          <w:r w:rsidR="00413118">
            <w:rPr>
              <w:noProof/>
              <w:lang w:eastAsia="es-CO"/>
            </w:rPr>
            <mc:AlternateContent>
              <mc:Choice Requires="wps">
                <w:drawing>
                  <wp:anchor distT="0" distB="0" distL="114300" distR="114300" simplePos="0" relativeHeight="251659264" behindDoc="0" locked="0" layoutInCell="0" allowOverlap="1" wp14:anchorId="53F391BE" wp14:editId="422AF765">
                    <wp:simplePos x="0" y="0"/>
                    <wp:positionH relativeFrom="rightMargin">
                      <wp:align>right</wp:align>
                    </wp:positionH>
                    <wp:positionV relativeFrom="margin">
                      <wp:align>center</wp:align>
                    </wp:positionV>
                    <wp:extent cx="727710" cy="329565"/>
                    <wp:effectExtent l="0" t="0" r="0" b="381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4EC" w:rsidRDefault="00AE64EC" w:rsidP="00413118">
                                <w:pPr>
                                  <w:pBdr>
                                    <w:bottom w:val="single" w:sz="4" w:space="1" w:color="auto"/>
                                  </w:pBdr>
                                </w:pPr>
                                <w:r>
                                  <w:fldChar w:fldCharType="begin"/>
                                </w:r>
                                <w:r>
                                  <w:instrText>PAGE   \* MERGEFORMAT</w:instrText>
                                </w:r>
                                <w:r>
                                  <w:fldChar w:fldCharType="separate"/>
                                </w:r>
                                <w:r w:rsidRPr="003760F5">
                                  <w:rPr>
                                    <w:noProof/>
                                    <w:lang w:val="es-ES"/>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3F391BE" id="Rectángulo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" o:allowincell="f" stroked="f">
                    <v:textbox>
                      <w:txbxContent>
                        <w:p w:rsidR="00AE64EC" w:rsidRDefault="00AE64EC" w:rsidP="00413118">
                          <w:pPr>
                            <w:pBdr>
                              <w:bottom w:val="single" w:sz="4" w:space="1" w:color="auto"/>
                            </w:pBdr>
                          </w:pPr>
                          <w:r>
                            <w:fldChar w:fldCharType="begin"/>
                          </w:r>
                          <w:r>
                            <w:instrText>PAGE   \* MERGEFORMAT</w:instrText>
                          </w:r>
                          <w:r>
                            <w:fldChar w:fldCharType="separate"/>
                          </w:r>
                          <w:r w:rsidRPr="003760F5">
                            <w:rPr>
                              <w:noProof/>
                              <w:lang w:val="es-ES"/>
                            </w:rPr>
                            <w:t>1</w:t>
                          </w:r>
                          <w:r>
                            <w:fldChar w:fldCharType="end"/>
                          </w:r>
                        </w:p>
                      </w:txbxContent>
                    </v:textbox>
                    <w10:wrap anchorx="margin" anchory="margin"/>
                  </v:rect>
                </w:pict>
              </mc:Fallback>
            </mc:AlternateContent>
          </w:r>
        </w:sdtContent>
      </w:sdt>
    </w:p>
    <w:p w:rsidR="00B52313" w:rsidRDefault="00B52313" w:rsidP="00911D10">
      <w:pPr>
        <w:spacing w:after="0" w:line="240" w:lineRule="auto"/>
        <w:jc w:val="center"/>
        <w:rPr>
          <w:rFonts w:ascii="Arial" w:hAnsi="Arial" w:cs="Arial"/>
          <w:b/>
        </w:rPr>
      </w:pPr>
    </w:p>
    <w:p w:rsidR="004457EB" w:rsidRPr="00C51574" w:rsidRDefault="00187F26" w:rsidP="00911D10">
      <w:pPr>
        <w:spacing w:after="0" w:line="240" w:lineRule="auto"/>
        <w:jc w:val="center"/>
        <w:rPr>
          <w:rFonts w:ascii="Arial" w:hAnsi="Arial" w:cs="Arial"/>
          <w:b/>
        </w:rPr>
      </w:pPr>
      <w:r w:rsidRPr="00C51574">
        <w:rPr>
          <w:rFonts w:ascii="Arial" w:hAnsi="Arial" w:cs="Arial"/>
          <w:b/>
        </w:rPr>
        <w:t xml:space="preserve">TEXTO APROBADO EN LA COMISIÓN PRIMERA DE LA HONORABLE CÁMARA DE REPRESENTANTES EN PRIMER DEBATE </w:t>
      </w:r>
    </w:p>
    <w:p w:rsidR="0084068F" w:rsidRPr="00C51574" w:rsidRDefault="00187F26" w:rsidP="0084068F">
      <w:pPr>
        <w:spacing w:after="0" w:line="240" w:lineRule="auto"/>
        <w:jc w:val="center"/>
        <w:rPr>
          <w:rFonts w:ascii="Arial" w:eastAsia="Arial" w:hAnsi="Arial" w:cs="Arial"/>
          <w:b/>
        </w:rPr>
      </w:pPr>
      <w:r w:rsidRPr="00C51574">
        <w:rPr>
          <w:rFonts w:ascii="Arial" w:hAnsi="Arial" w:cs="Arial"/>
          <w:b/>
        </w:rPr>
        <w:t xml:space="preserve">DEL </w:t>
      </w:r>
      <w:r w:rsidRPr="00C51574">
        <w:rPr>
          <w:rFonts w:ascii="Arial" w:hAnsi="Arial" w:cs="Arial"/>
          <w:b/>
          <w:lang w:bidi="es-CO"/>
        </w:rPr>
        <w:t xml:space="preserve">PROYECTO DE LEY </w:t>
      </w:r>
      <w:r w:rsidRPr="00C51574">
        <w:rPr>
          <w:rFonts w:ascii="Arial" w:eastAsia="Arial" w:hAnsi="Arial" w:cs="Arial"/>
          <w:b/>
        </w:rPr>
        <w:t>N°</w:t>
      </w:r>
      <w:r w:rsidR="00974356" w:rsidRPr="00C51574">
        <w:rPr>
          <w:rFonts w:ascii="Arial" w:eastAsia="Arial" w:hAnsi="Arial" w:cs="Arial"/>
          <w:b/>
        </w:rPr>
        <w:t xml:space="preserve"> </w:t>
      </w:r>
      <w:r w:rsidR="0084068F" w:rsidRPr="00C51574">
        <w:rPr>
          <w:rFonts w:ascii="Arial" w:eastAsia="Arial" w:hAnsi="Arial" w:cs="Arial"/>
          <w:b/>
        </w:rPr>
        <w:t>636/25</w:t>
      </w:r>
      <w:r w:rsidR="0084068F" w:rsidRPr="00C51574">
        <w:rPr>
          <w:rFonts w:ascii="Arial" w:eastAsia="Calibri" w:hAnsi="Arial" w:cs="Arial"/>
          <w:b/>
          <w:bCs/>
        </w:rPr>
        <w:t xml:space="preserve"> CÁMARA – 378/25 SENADO</w:t>
      </w:r>
    </w:p>
    <w:p w:rsidR="0084068F" w:rsidRPr="00C51574" w:rsidRDefault="0084068F" w:rsidP="0084068F">
      <w:pPr>
        <w:adjustRightInd w:val="0"/>
        <w:spacing w:before="28" w:after="0" w:line="276" w:lineRule="auto"/>
        <w:jc w:val="center"/>
        <w:textAlignment w:val="center"/>
        <w:rPr>
          <w:rFonts w:ascii="Arial" w:eastAsia="Calibri" w:hAnsi="Arial" w:cs="Arial"/>
          <w:b/>
          <w:bCs/>
        </w:rPr>
      </w:pPr>
      <w:r w:rsidRPr="00C51574">
        <w:rPr>
          <w:rFonts w:ascii="Arial" w:eastAsia="Calibri" w:hAnsi="Arial" w:cs="Arial"/>
          <w:b/>
          <w:bCs/>
        </w:rPr>
        <w:t>“POR MEDIO DE LA CUAL SE MODIFICA LA LEY 1123 DE 2007 Y SE DICTAN OTRAS DISPOSICIONES”</w:t>
      </w:r>
    </w:p>
    <w:p w:rsidR="0084068F" w:rsidRDefault="0084068F" w:rsidP="0084068F">
      <w:pPr>
        <w:spacing w:after="0" w:line="276" w:lineRule="auto"/>
        <w:jc w:val="both"/>
        <w:rPr>
          <w:rFonts w:ascii="Arial" w:eastAsia="Calibri" w:hAnsi="Arial" w:cs="Arial"/>
        </w:rPr>
      </w:pPr>
    </w:p>
    <w:p w:rsidR="00C51574" w:rsidRPr="00C51574" w:rsidRDefault="00C51574" w:rsidP="0084068F">
      <w:pPr>
        <w:spacing w:after="0" w:line="276" w:lineRule="auto"/>
        <w:jc w:val="both"/>
        <w:rPr>
          <w:rFonts w:ascii="Arial" w:eastAsia="Calibri" w:hAnsi="Arial" w:cs="Arial"/>
        </w:rPr>
      </w:pPr>
    </w:p>
    <w:p w:rsidR="0084068F" w:rsidRPr="00C51574" w:rsidRDefault="0084068F" w:rsidP="0084068F">
      <w:pPr>
        <w:spacing w:after="0" w:line="276" w:lineRule="auto"/>
        <w:jc w:val="center"/>
        <w:rPr>
          <w:rFonts w:ascii="Arial" w:eastAsia="Calibri" w:hAnsi="Arial" w:cs="Arial"/>
          <w:b/>
          <w:bCs/>
        </w:rPr>
      </w:pPr>
      <w:r w:rsidRPr="00C51574">
        <w:rPr>
          <w:rFonts w:ascii="Arial" w:eastAsia="Calibri" w:hAnsi="Arial" w:cs="Arial"/>
          <w:b/>
          <w:bCs/>
        </w:rPr>
        <w:t>EL CONGRESO DE COLOMBIA</w:t>
      </w:r>
    </w:p>
    <w:p w:rsidR="0084068F" w:rsidRPr="00C51574" w:rsidRDefault="0084068F" w:rsidP="0084068F">
      <w:pPr>
        <w:spacing w:after="0" w:line="276" w:lineRule="auto"/>
        <w:jc w:val="center"/>
        <w:rPr>
          <w:rFonts w:ascii="Arial" w:eastAsia="Calibri" w:hAnsi="Arial" w:cs="Arial"/>
          <w:b/>
          <w:bCs/>
        </w:rPr>
      </w:pPr>
    </w:p>
    <w:p w:rsidR="0084068F" w:rsidRPr="00C51574" w:rsidRDefault="0084068F" w:rsidP="0084068F">
      <w:pPr>
        <w:spacing w:after="0" w:line="276" w:lineRule="auto"/>
        <w:jc w:val="center"/>
        <w:rPr>
          <w:rFonts w:ascii="Arial" w:eastAsia="Calibri" w:hAnsi="Arial" w:cs="Arial"/>
          <w:b/>
          <w:bCs/>
        </w:rPr>
      </w:pPr>
      <w:r w:rsidRPr="00C51574">
        <w:rPr>
          <w:rFonts w:ascii="Arial" w:eastAsia="Calibri" w:hAnsi="Arial" w:cs="Arial"/>
          <w:b/>
          <w:bCs/>
        </w:rPr>
        <w:t>DECRETA</w:t>
      </w:r>
      <w:r w:rsidR="00C51574">
        <w:rPr>
          <w:rFonts w:ascii="Arial" w:eastAsia="Calibri" w:hAnsi="Arial" w:cs="Arial"/>
          <w:b/>
          <w:bCs/>
        </w:rPr>
        <w:t>:</w:t>
      </w:r>
    </w:p>
    <w:p w:rsidR="0084068F" w:rsidRPr="00C51574" w:rsidRDefault="0084068F" w:rsidP="0084068F">
      <w:pPr>
        <w:spacing w:after="0" w:line="276" w:lineRule="auto"/>
        <w:jc w:val="both"/>
        <w:rPr>
          <w:rFonts w:ascii="Arial" w:eastAsia="Calibri" w:hAnsi="Arial" w:cs="Arial"/>
        </w:rPr>
      </w:pPr>
    </w:p>
    <w:p w:rsidR="00B52313" w:rsidRDefault="00B52313" w:rsidP="0084068F">
      <w:pPr>
        <w:jc w:val="both"/>
        <w:rPr>
          <w:rFonts w:ascii="Arial" w:eastAsia="Tahoma" w:hAnsi="Arial" w:cs="Arial"/>
          <w:b/>
        </w:rPr>
      </w:pPr>
    </w:p>
    <w:p w:rsidR="0084068F" w:rsidRPr="0084068F" w:rsidRDefault="0084068F" w:rsidP="0084068F">
      <w:pPr>
        <w:jc w:val="both"/>
        <w:rPr>
          <w:rFonts w:ascii="Arial" w:eastAsia="Tahoma" w:hAnsi="Arial" w:cs="Arial"/>
        </w:rPr>
      </w:pPr>
      <w:r w:rsidRPr="0084068F">
        <w:rPr>
          <w:rFonts w:ascii="Arial" w:eastAsia="Tahoma" w:hAnsi="Arial" w:cs="Arial"/>
          <w:b/>
        </w:rPr>
        <w:t xml:space="preserve">Artículo 1°. Objeto. </w:t>
      </w:r>
      <w:r w:rsidRPr="0084068F">
        <w:rPr>
          <w:rFonts w:ascii="Arial" w:eastAsia="Tahoma" w:hAnsi="Arial" w:cs="Arial"/>
        </w:rPr>
        <w:t>La presente Ley tiene por objeto fortalecer el ejercicio de la función disciplinaria de la Comisión Nacional de Disciplina Judicial y de las Comisiones Seccionales de Disciplina Judicial, al establecer la orden de devolución de dineros, bienes y documentos, modificar la Ley 1123 de 2007 y dictar otras disposiciones.</w:t>
      </w:r>
    </w:p>
    <w:p w:rsidR="00397D10" w:rsidRDefault="00397D10" w:rsidP="0084068F">
      <w:pPr>
        <w:jc w:val="both"/>
        <w:rPr>
          <w:rFonts w:ascii="Arial" w:eastAsia="Tahoma" w:hAnsi="Arial" w:cs="Arial"/>
          <w:b/>
        </w:rPr>
      </w:pPr>
    </w:p>
    <w:p w:rsidR="0084068F" w:rsidRPr="0084068F" w:rsidRDefault="0084068F" w:rsidP="0084068F">
      <w:pPr>
        <w:jc w:val="both"/>
        <w:rPr>
          <w:rFonts w:ascii="Arial" w:eastAsia="Tahoma" w:hAnsi="Arial" w:cs="Arial"/>
        </w:rPr>
      </w:pPr>
      <w:r w:rsidRPr="0084068F">
        <w:rPr>
          <w:rFonts w:ascii="Arial" w:eastAsia="Tahoma" w:hAnsi="Arial" w:cs="Arial"/>
          <w:b/>
        </w:rPr>
        <w:t xml:space="preserve">Artículo 2°.  </w:t>
      </w:r>
      <w:r w:rsidRPr="0084068F">
        <w:rPr>
          <w:rFonts w:ascii="Arial" w:eastAsia="Tahoma" w:hAnsi="Arial" w:cs="Arial"/>
        </w:rPr>
        <w:t>Modifíquese el artículo 6 de la Ley 1123 de 2007, el cual quedará así:</w:t>
      </w:r>
    </w:p>
    <w:p w:rsidR="0084068F" w:rsidRPr="0084068F" w:rsidRDefault="00397D10" w:rsidP="0084068F">
      <w:pPr>
        <w:jc w:val="both"/>
        <w:rPr>
          <w:rFonts w:ascii="Arial" w:eastAsia="Tahoma" w:hAnsi="Arial" w:cs="Arial"/>
        </w:rPr>
      </w:pPr>
      <w:r>
        <w:rPr>
          <w:rFonts w:ascii="Arial" w:eastAsia="Tahoma" w:hAnsi="Arial" w:cs="Arial"/>
          <w:b/>
        </w:rPr>
        <w:t>A</w:t>
      </w:r>
      <w:r w:rsidR="0084068F" w:rsidRPr="0084068F">
        <w:rPr>
          <w:rFonts w:ascii="Arial" w:eastAsia="Tahoma" w:hAnsi="Arial" w:cs="Arial"/>
          <w:b/>
        </w:rPr>
        <w:t>rtículo 6o.</w:t>
      </w:r>
      <w:r w:rsidR="0084068F" w:rsidRPr="0084068F">
        <w:rPr>
          <w:rFonts w:ascii="Arial" w:eastAsia="Tahoma" w:hAnsi="Arial" w:cs="Arial"/>
        </w:rPr>
        <w:t xml:space="preserve"> </w:t>
      </w:r>
      <w:r w:rsidR="0084068F" w:rsidRPr="0084068F">
        <w:rPr>
          <w:rFonts w:ascii="Arial" w:eastAsia="Tahoma" w:hAnsi="Arial" w:cs="Arial"/>
          <w:b/>
        </w:rPr>
        <w:t xml:space="preserve">Debido proceso. </w:t>
      </w:r>
      <w:r w:rsidR="0084068F">
        <w:rPr>
          <w:rFonts w:ascii="Arial" w:eastAsia="Tahoma" w:hAnsi="Arial" w:cs="Arial"/>
        </w:rPr>
        <w:t>El</w:t>
      </w:r>
      <w:r w:rsidR="0084068F" w:rsidRPr="0084068F">
        <w:rPr>
          <w:rFonts w:ascii="Arial" w:eastAsia="Tahoma" w:hAnsi="Arial" w:cs="Arial"/>
        </w:rPr>
        <w:t xml:space="preserve"> </w:t>
      </w:r>
      <w:r w:rsidR="0076593F">
        <w:rPr>
          <w:rFonts w:ascii="Arial" w:eastAsia="Tahoma" w:hAnsi="Arial" w:cs="Arial"/>
        </w:rPr>
        <w:t xml:space="preserve">sujeto </w:t>
      </w:r>
      <w:r w:rsidR="0084068F" w:rsidRPr="0084068F">
        <w:rPr>
          <w:rFonts w:ascii="Arial" w:eastAsia="Tahoma" w:hAnsi="Arial" w:cs="Arial"/>
        </w:rPr>
        <w:t xml:space="preserve">disciplinable deberá ser investigado </w:t>
      </w:r>
      <w:r w:rsidR="0076593F">
        <w:rPr>
          <w:rFonts w:ascii="Arial" w:eastAsia="Tahoma" w:hAnsi="Arial" w:cs="Arial"/>
        </w:rPr>
        <w:t xml:space="preserve">por funcionario </w:t>
      </w:r>
      <w:r w:rsidR="0084068F">
        <w:rPr>
          <w:rFonts w:ascii="Arial" w:eastAsia="Tahoma" w:hAnsi="Arial" w:cs="Arial"/>
        </w:rPr>
        <w:t>com</w:t>
      </w:r>
      <w:r w:rsidR="0076593F">
        <w:rPr>
          <w:rFonts w:ascii="Arial" w:eastAsia="Tahoma" w:hAnsi="Arial" w:cs="Arial"/>
        </w:rPr>
        <w:t xml:space="preserve">petente y </w:t>
      </w:r>
      <w:r w:rsidR="0084068F" w:rsidRPr="0084068F">
        <w:rPr>
          <w:rFonts w:ascii="Arial" w:eastAsia="Tahoma" w:hAnsi="Arial" w:cs="Arial"/>
        </w:rPr>
        <w:t>con observancia formal y material de las normas que determinen la ritualidad del proceso, en los términos de este código</w:t>
      </w:r>
      <w:r w:rsidR="0076593F">
        <w:rPr>
          <w:rFonts w:ascii="Arial" w:eastAsia="Tahoma" w:hAnsi="Arial" w:cs="Arial"/>
        </w:rPr>
        <w:t>.</w:t>
      </w:r>
      <w:r w:rsidR="0084068F" w:rsidRPr="0084068F">
        <w:rPr>
          <w:rFonts w:ascii="Arial" w:eastAsia="Tahoma" w:hAnsi="Arial" w:cs="Arial"/>
        </w:rPr>
        <w:t xml:space="preserve"> </w:t>
      </w:r>
    </w:p>
    <w:p w:rsidR="0076593F" w:rsidRPr="0084068F" w:rsidRDefault="0076593F" w:rsidP="0076593F">
      <w:pPr>
        <w:jc w:val="both"/>
        <w:rPr>
          <w:rFonts w:ascii="Arial" w:eastAsia="Tahoma" w:hAnsi="Arial" w:cs="Arial"/>
        </w:rPr>
      </w:pPr>
      <w:r>
        <w:rPr>
          <w:rFonts w:ascii="Arial" w:eastAsia="Tahoma" w:hAnsi="Arial" w:cs="Arial"/>
        </w:rPr>
        <w:t>El</w:t>
      </w:r>
      <w:r w:rsidRPr="0084068F">
        <w:rPr>
          <w:rFonts w:ascii="Arial" w:eastAsia="Tahoma" w:hAnsi="Arial" w:cs="Arial"/>
        </w:rPr>
        <w:t xml:space="preserve"> disciplinable deberá ser investigado </w:t>
      </w:r>
      <w:r>
        <w:rPr>
          <w:rFonts w:ascii="Arial" w:eastAsia="Tahoma" w:hAnsi="Arial" w:cs="Arial"/>
        </w:rPr>
        <w:t>y luego juzgado por funcionario difer</w:t>
      </w:r>
      <w:r w:rsidRPr="0084068F">
        <w:rPr>
          <w:rFonts w:ascii="Arial" w:eastAsia="Tahoma" w:hAnsi="Arial" w:cs="Arial"/>
        </w:rPr>
        <w:t>ente</w:t>
      </w:r>
      <w:r>
        <w:rPr>
          <w:rFonts w:ascii="Arial" w:eastAsia="Tahoma" w:hAnsi="Arial" w:cs="Arial"/>
        </w:rPr>
        <w:t xml:space="preserve">, independiente, imparcial y autónomo que sea competente, quienes deberán actuar </w:t>
      </w:r>
      <w:r w:rsidRPr="0084068F">
        <w:rPr>
          <w:rFonts w:ascii="Arial" w:eastAsia="Tahoma" w:hAnsi="Arial" w:cs="Arial"/>
        </w:rPr>
        <w:t>con observancia formal y material de las normas que determinen la ritualidad del proceso, en los términos de este código</w:t>
      </w:r>
      <w:r>
        <w:rPr>
          <w:rFonts w:ascii="Arial" w:eastAsia="Tahoma" w:hAnsi="Arial" w:cs="Arial"/>
        </w:rPr>
        <w:t xml:space="preserve"> y dándole prevalencia a lo sustancial sobre lo formal</w:t>
      </w:r>
      <w:r w:rsidRPr="0084068F">
        <w:rPr>
          <w:rFonts w:ascii="Arial" w:eastAsia="Tahoma" w:hAnsi="Arial" w:cs="Arial"/>
        </w:rPr>
        <w:t xml:space="preserve">. </w:t>
      </w:r>
    </w:p>
    <w:p w:rsidR="0084068F" w:rsidRDefault="0084068F" w:rsidP="0084068F">
      <w:pPr>
        <w:jc w:val="both"/>
        <w:rPr>
          <w:rFonts w:ascii="Arial" w:eastAsia="Tahoma" w:hAnsi="Arial" w:cs="Arial"/>
          <w:bCs/>
        </w:rPr>
      </w:pPr>
      <w:r>
        <w:rPr>
          <w:rFonts w:ascii="Arial" w:eastAsia="Tahoma" w:hAnsi="Arial" w:cs="Arial"/>
          <w:bCs/>
        </w:rPr>
        <w:t>En el proceso disciplinario debe garantizarse que el funcionario instructor no sea el mismo que adelante el juzgamiento.</w:t>
      </w:r>
    </w:p>
    <w:p w:rsidR="00397D10" w:rsidRDefault="006232F7" w:rsidP="00AE64EC">
      <w:pPr>
        <w:jc w:val="both"/>
        <w:rPr>
          <w:rFonts w:ascii="Arial" w:eastAsia="Tahoma" w:hAnsi="Arial" w:cs="Arial"/>
        </w:rPr>
      </w:pPr>
      <w:r w:rsidRPr="006232F7">
        <w:rPr>
          <w:rFonts w:ascii="Arial" w:eastAsia="Tahoma" w:hAnsi="Arial" w:cs="Arial"/>
        </w:rPr>
        <w:t>Se garantizará la doble instancia, la doble conformidad y la división de roles.</w:t>
      </w:r>
    </w:p>
    <w:p w:rsidR="006232F7" w:rsidRPr="006232F7" w:rsidRDefault="006232F7" w:rsidP="00AE64EC">
      <w:pPr>
        <w:jc w:val="both"/>
        <w:rPr>
          <w:rFonts w:ascii="Arial" w:eastAsia="Tahoma" w:hAnsi="Arial" w:cs="Arial"/>
        </w:rPr>
      </w:pPr>
    </w:p>
    <w:p w:rsidR="00AE64EC" w:rsidRDefault="00AE64EC" w:rsidP="00AE64EC">
      <w:pPr>
        <w:jc w:val="both"/>
        <w:rPr>
          <w:rFonts w:ascii="Arial" w:eastAsia="Tahoma" w:hAnsi="Arial" w:cs="Arial"/>
        </w:rPr>
      </w:pPr>
      <w:r w:rsidRPr="0084068F">
        <w:rPr>
          <w:rFonts w:ascii="Arial" w:eastAsia="Tahoma" w:hAnsi="Arial" w:cs="Arial"/>
          <w:b/>
        </w:rPr>
        <w:t>Artículo 3°.</w:t>
      </w:r>
      <w:r w:rsidRPr="0084068F">
        <w:rPr>
          <w:rFonts w:ascii="Arial" w:eastAsia="Tahoma" w:hAnsi="Arial" w:cs="Arial"/>
        </w:rPr>
        <w:t xml:space="preserve"> Adiciónese </w:t>
      </w:r>
      <w:r>
        <w:rPr>
          <w:rFonts w:ascii="Arial" w:eastAsia="Tahoma" w:hAnsi="Arial" w:cs="Arial"/>
        </w:rPr>
        <w:t xml:space="preserve">un literal al artículo 34 de la </w:t>
      </w:r>
      <w:r w:rsidRPr="0084068F">
        <w:rPr>
          <w:rFonts w:ascii="Arial" w:eastAsia="Tahoma" w:hAnsi="Arial" w:cs="Arial"/>
        </w:rPr>
        <w:t>Ley 1123 de 2007, el cual quedará así:</w:t>
      </w:r>
    </w:p>
    <w:p w:rsidR="0076593F" w:rsidRDefault="0076593F" w:rsidP="00AE64EC">
      <w:pPr>
        <w:jc w:val="both"/>
        <w:rPr>
          <w:rFonts w:ascii="Arial" w:eastAsia="Tahoma" w:hAnsi="Arial" w:cs="Arial"/>
          <w:b/>
        </w:rPr>
      </w:pPr>
      <w:r w:rsidRPr="0076593F">
        <w:rPr>
          <w:rFonts w:ascii="Arial" w:eastAsia="Tahoma" w:hAnsi="Arial" w:cs="Arial"/>
          <w:b/>
        </w:rPr>
        <w:t xml:space="preserve">Artículo 34. </w:t>
      </w:r>
      <w:r w:rsidR="006B2B1C">
        <w:rPr>
          <w:rFonts w:ascii="Arial" w:eastAsia="Tahoma" w:hAnsi="Arial" w:cs="Arial"/>
          <w:b/>
        </w:rPr>
        <w:t>Constituyen faltas de lealtad con el cliente:</w:t>
      </w:r>
    </w:p>
    <w:p w:rsidR="006B2B1C" w:rsidRPr="006B2B1C" w:rsidRDefault="006B2B1C" w:rsidP="00AE64EC">
      <w:pPr>
        <w:jc w:val="both"/>
        <w:rPr>
          <w:rFonts w:ascii="Arial" w:eastAsia="Tahoma" w:hAnsi="Arial" w:cs="Arial"/>
        </w:rPr>
      </w:pPr>
      <w:r w:rsidRPr="006B2B1C">
        <w:rPr>
          <w:rFonts w:ascii="Arial" w:eastAsia="Tahoma" w:hAnsi="Arial" w:cs="Arial"/>
        </w:rPr>
        <w:t>(…)</w:t>
      </w:r>
    </w:p>
    <w:p w:rsidR="00AE64EC" w:rsidRPr="005A22D8" w:rsidRDefault="00397D10" w:rsidP="0084068F">
      <w:pPr>
        <w:jc w:val="both"/>
        <w:rPr>
          <w:rFonts w:ascii="Arial" w:eastAsia="Tahoma" w:hAnsi="Arial" w:cs="Arial"/>
        </w:rPr>
      </w:pPr>
      <w:r>
        <w:rPr>
          <w:rFonts w:ascii="Arial" w:eastAsia="Tahoma" w:hAnsi="Arial" w:cs="Arial"/>
        </w:rPr>
        <w:t xml:space="preserve">j) </w:t>
      </w:r>
      <w:r w:rsidR="00AE64EC" w:rsidRPr="005A22D8">
        <w:rPr>
          <w:rFonts w:ascii="Arial" w:eastAsia="Tahoma" w:hAnsi="Arial" w:cs="Arial"/>
        </w:rPr>
        <w:t xml:space="preserve">Callar, en todo o en parte, hechos, implicaciones jurídicas, pruebas o </w:t>
      </w:r>
      <w:proofErr w:type="gramStart"/>
      <w:r w:rsidR="00AE64EC" w:rsidRPr="005A22D8">
        <w:rPr>
          <w:rFonts w:ascii="Arial" w:eastAsia="Tahoma" w:hAnsi="Arial" w:cs="Arial"/>
        </w:rPr>
        <w:t xml:space="preserve">situaciones </w:t>
      </w:r>
      <w:r w:rsidR="00B52313">
        <w:rPr>
          <w:rFonts w:ascii="Arial" w:eastAsia="Tahoma" w:hAnsi="Arial" w:cs="Arial"/>
        </w:rPr>
        <w:t xml:space="preserve"> </w:t>
      </w:r>
      <w:r w:rsidR="00AE64EC" w:rsidRPr="005A22D8">
        <w:rPr>
          <w:rFonts w:ascii="Arial" w:eastAsia="Tahoma" w:hAnsi="Arial" w:cs="Arial"/>
        </w:rPr>
        <w:t>inherentes</w:t>
      </w:r>
      <w:proofErr w:type="gramEnd"/>
      <w:r w:rsidR="00AE64EC" w:rsidRPr="005A22D8">
        <w:rPr>
          <w:rFonts w:ascii="Arial" w:eastAsia="Tahoma" w:hAnsi="Arial" w:cs="Arial"/>
        </w:rPr>
        <w:t xml:space="preserve"> a la gestión encomendada que vulnere el derecho de contradicción de su representado perjudicando a su defensa y el posible resultado favorable al cliente.</w:t>
      </w:r>
    </w:p>
    <w:p w:rsidR="00B52313" w:rsidRDefault="00B52313" w:rsidP="0084068F">
      <w:pPr>
        <w:jc w:val="both"/>
        <w:rPr>
          <w:rFonts w:ascii="Arial" w:eastAsia="Tahoma" w:hAnsi="Arial" w:cs="Arial"/>
          <w:b/>
        </w:rPr>
      </w:pPr>
    </w:p>
    <w:p w:rsidR="00AE64EC" w:rsidRDefault="00AE64EC" w:rsidP="0084068F">
      <w:pPr>
        <w:jc w:val="both"/>
        <w:rPr>
          <w:rFonts w:ascii="Arial" w:eastAsia="Tahoma" w:hAnsi="Arial" w:cs="Arial"/>
          <w:b/>
        </w:rPr>
      </w:pPr>
      <w:r>
        <w:rPr>
          <w:rFonts w:ascii="Arial" w:eastAsia="Tahoma" w:hAnsi="Arial" w:cs="Arial"/>
          <w:b/>
        </w:rPr>
        <w:t xml:space="preserve">Artículo 4°. </w:t>
      </w:r>
      <w:r w:rsidR="0037348B" w:rsidRPr="0037348B">
        <w:rPr>
          <w:rFonts w:ascii="Arial" w:eastAsia="Tahoma" w:hAnsi="Arial" w:cs="Arial"/>
        </w:rPr>
        <w:t>Modifíquese el Artículo 102 de la Ley 1123 de 2007, el cual quedará así:</w:t>
      </w:r>
      <w:r w:rsidR="0037348B">
        <w:rPr>
          <w:rFonts w:ascii="Arial" w:eastAsia="Tahoma" w:hAnsi="Arial" w:cs="Arial"/>
          <w:b/>
        </w:rPr>
        <w:t xml:space="preserve"> </w:t>
      </w:r>
    </w:p>
    <w:p w:rsidR="00AE64EC" w:rsidRDefault="00AE64EC" w:rsidP="0084068F">
      <w:pPr>
        <w:jc w:val="both"/>
        <w:rPr>
          <w:rFonts w:ascii="Arial" w:eastAsia="Tahoma" w:hAnsi="Arial" w:cs="Arial"/>
        </w:rPr>
      </w:pPr>
      <w:r>
        <w:rPr>
          <w:rFonts w:ascii="Arial" w:eastAsia="Tahoma" w:hAnsi="Arial" w:cs="Arial"/>
          <w:b/>
        </w:rPr>
        <w:t xml:space="preserve">Artículo 102. Iniciación mediante queja o informe. </w:t>
      </w:r>
      <w:r>
        <w:rPr>
          <w:rFonts w:ascii="Arial" w:eastAsia="Tahoma" w:hAnsi="Arial" w:cs="Arial"/>
        </w:rPr>
        <w:t xml:space="preserve">La queja o informe podrá presentarse verbalmente o por escrito, ante la Comisión Nacional o Seccionales de Disciplina Judicial o ante cualquier autoridad pública, en cuyo caso la remitirá de inmediato a la Sala competente en razón del factor territorial. </w:t>
      </w:r>
    </w:p>
    <w:p w:rsidR="00AE64EC" w:rsidRPr="00AE64EC" w:rsidRDefault="00AE64EC" w:rsidP="0084068F">
      <w:pPr>
        <w:jc w:val="both"/>
        <w:rPr>
          <w:rFonts w:ascii="Arial" w:eastAsia="Tahoma" w:hAnsi="Arial" w:cs="Arial"/>
        </w:rPr>
      </w:pPr>
      <w:r>
        <w:rPr>
          <w:rFonts w:ascii="Arial" w:eastAsia="Tahoma" w:hAnsi="Arial" w:cs="Arial"/>
        </w:rPr>
        <w:t>La actuación en primera instancia estará a cargo del magistrado de la Comisión Seccional de Disciplina Judicial que le haya correspondido en reparto hasta la formulación de cargos. El juzgamiento estará a cargo de otro magistrado al que le corresponda por reparto, quien deberá proyectar la sentencia, determinación que se emitirá por la Sala plural respectiva.</w:t>
      </w:r>
    </w:p>
    <w:p w:rsidR="00AE64EC" w:rsidRDefault="00AE64EC" w:rsidP="0084068F">
      <w:pPr>
        <w:jc w:val="both"/>
        <w:rPr>
          <w:rFonts w:ascii="Arial" w:eastAsia="Tahoma" w:hAnsi="Arial" w:cs="Arial"/>
          <w:b/>
        </w:rPr>
      </w:pPr>
    </w:p>
    <w:p w:rsidR="0084068F" w:rsidRPr="0084068F" w:rsidRDefault="0084068F" w:rsidP="0084068F">
      <w:pPr>
        <w:jc w:val="both"/>
        <w:rPr>
          <w:rFonts w:ascii="Arial" w:eastAsia="Tahoma" w:hAnsi="Arial" w:cs="Arial"/>
        </w:rPr>
      </w:pPr>
      <w:r w:rsidRPr="0084068F">
        <w:rPr>
          <w:rFonts w:ascii="Arial" w:eastAsia="Tahoma" w:hAnsi="Arial" w:cs="Arial"/>
          <w:b/>
        </w:rPr>
        <w:t xml:space="preserve">Artículo </w:t>
      </w:r>
      <w:r w:rsidR="00DF3798">
        <w:rPr>
          <w:rFonts w:ascii="Arial" w:eastAsia="Tahoma" w:hAnsi="Arial" w:cs="Arial"/>
          <w:b/>
        </w:rPr>
        <w:t>5</w:t>
      </w:r>
      <w:r w:rsidRPr="0084068F">
        <w:rPr>
          <w:rFonts w:ascii="Arial" w:eastAsia="Tahoma" w:hAnsi="Arial" w:cs="Arial"/>
          <w:b/>
        </w:rPr>
        <w:t>°.</w:t>
      </w:r>
      <w:r w:rsidRPr="0084068F">
        <w:rPr>
          <w:rFonts w:ascii="Arial" w:eastAsia="Tahoma" w:hAnsi="Arial" w:cs="Arial"/>
        </w:rPr>
        <w:t xml:space="preserve"> Adiciónese el artículo 103A a la Ley 1123 de 2007, el cual quedará así:</w:t>
      </w:r>
    </w:p>
    <w:p w:rsidR="0084068F" w:rsidRPr="00DF3798" w:rsidRDefault="0084068F" w:rsidP="0084068F">
      <w:pPr>
        <w:jc w:val="both"/>
        <w:rPr>
          <w:rFonts w:ascii="Arial" w:eastAsia="Tahoma" w:hAnsi="Arial" w:cs="Arial"/>
        </w:rPr>
      </w:pPr>
      <w:r w:rsidRPr="0084068F">
        <w:rPr>
          <w:rFonts w:ascii="Arial" w:eastAsia="Tahoma" w:hAnsi="Arial" w:cs="Arial"/>
          <w:b/>
        </w:rPr>
        <w:t>ARTÍCULO 103A.</w:t>
      </w:r>
      <w:r w:rsidRPr="0084068F">
        <w:rPr>
          <w:rFonts w:ascii="Arial" w:eastAsia="Tahoma" w:hAnsi="Arial" w:cs="Arial"/>
        </w:rPr>
        <w:t xml:space="preserve"> </w:t>
      </w:r>
      <w:r w:rsidRPr="0084068F">
        <w:rPr>
          <w:rFonts w:ascii="Arial" w:eastAsia="Tahoma" w:hAnsi="Arial" w:cs="Arial"/>
          <w:b/>
        </w:rPr>
        <w:t xml:space="preserve">Fase previa de conciliación previa para iniciar la investigación disciplinaria. </w:t>
      </w:r>
      <w:r w:rsidRPr="0084068F">
        <w:rPr>
          <w:rFonts w:ascii="Arial" w:eastAsia="Tahoma" w:hAnsi="Arial" w:cs="Arial"/>
        </w:rPr>
        <w:t xml:space="preserve">Cuando de la queja, el informe de servidor público, o de la noticia, surja que los presuntos hechos con relevancia disciplinaria se relacionan con las faltas a la honradez previstas en el numeral 4 del artículo 35 </w:t>
      </w:r>
      <w:r w:rsidRPr="00DF3798">
        <w:rPr>
          <w:rFonts w:ascii="Arial" w:eastAsia="Tahoma" w:hAnsi="Arial" w:cs="Arial"/>
        </w:rPr>
        <w:t xml:space="preserve">y en el numeral 1 del artículo 37 de la presente Ley, la primera instancia, antes de abrir la investigación disciplinaria, citará a una audiencia de conciliación al posible afectado con la conducta que puede ser o no el quejoso, al agente del ministerio público, al abogado o abogados presuntamente señalados en la queja, informe o noticia, para que puedan conciliar sobre la totalidad del perjuicio ocasionado con el comportamiento eventualmente constitutivo de falta disciplinaria.  </w:t>
      </w:r>
    </w:p>
    <w:p w:rsidR="0084068F" w:rsidRPr="00DF3798" w:rsidRDefault="0084068F" w:rsidP="0084068F">
      <w:pPr>
        <w:jc w:val="both"/>
        <w:rPr>
          <w:rFonts w:ascii="Arial" w:eastAsia="Tahoma" w:hAnsi="Arial" w:cs="Arial"/>
        </w:rPr>
      </w:pPr>
      <w:r w:rsidRPr="00DF3798">
        <w:rPr>
          <w:rFonts w:ascii="Arial" w:eastAsia="Tahoma" w:hAnsi="Arial" w:cs="Arial"/>
        </w:rPr>
        <w:t>La presencia del ministerio público no será obligatoria. Tampoco será necesario que el afectado esté representado por abogado en dicha audiencia y en el trámite de esta fase. En el auto de citación a la audiencia, se les indicará expresamente a los intervinientes que participarán en ella: el alcance de esta actuación, la posibilidad de conciliar como mecanismo alternativo de solución de conflictos; y que, en caso de lograrse y cumplirse, no se iniciará proceso disciplinario en contra del presunto o presuntos responsables. El magistrado del caso podrá proponer formular de arreglo.</w:t>
      </w:r>
    </w:p>
    <w:p w:rsidR="0084068F" w:rsidRPr="0084068F" w:rsidRDefault="0084068F" w:rsidP="0084068F">
      <w:pPr>
        <w:jc w:val="both"/>
        <w:rPr>
          <w:rFonts w:ascii="Arial" w:eastAsia="Tahoma" w:hAnsi="Arial" w:cs="Arial"/>
        </w:rPr>
      </w:pPr>
      <w:r w:rsidRPr="0084068F">
        <w:rPr>
          <w:rFonts w:ascii="Arial" w:eastAsia="Tahoma" w:hAnsi="Arial" w:cs="Arial"/>
        </w:rPr>
        <w:t xml:space="preserve">La audiencia se realizará de acuerdo con lo establecido en la Ley, preferentemente de forma presencial, salvo que las circunstancias impidan su realización de esta manera, caso en el cual se podrá realizar a través de medios tecnológicos. Las personas citadas a la audiencia previa de conciliación, podrán solicitar su aplazamiento y la primera instancia accederá a ello si se encuentra debidamente justificado. En la audiencia, se escucharán a los intervinientes y el funcionario de primera instancia propondrá, si los interesados no lo hacen, fórmulas de arreglo entre el abogado o abogados presuntamente señalados en la queja, informe o noticia y los afectados con el comportamiento con relevancia disciplinaria. </w:t>
      </w:r>
    </w:p>
    <w:p w:rsidR="0084068F" w:rsidRPr="0084068F" w:rsidRDefault="0084068F" w:rsidP="0084068F">
      <w:pPr>
        <w:jc w:val="both"/>
        <w:rPr>
          <w:rFonts w:ascii="Arial" w:eastAsia="Tahoma" w:hAnsi="Arial" w:cs="Arial"/>
        </w:rPr>
      </w:pPr>
      <w:r w:rsidRPr="0084068F">
        <w:rPr>
          <w:rFonts w:ascii="Arial" w:eastAsia="Tahoma" w:hAnsi="Arial" w:cs="Arial"/>
        </w:rPr>
        <w:t xml:space="preserve">En caso de llegarse a un acuerdo, se determinarán las condiciones a que haya lugar y se fijará un plazo para su cumplimiento, que no será superior a un (1) mes, prorrogable máximo por un (1) mes más. </w:t>
      </w:r>
    </w:p>
    <w:p w:rsidR="0084068F" w:rsidRPr="0084068F" w:rsidRDefault="0084068F" w:rsidP="0084068F">
      <w:pPr>
        <w:jc w:val="both"/>
        <w:rPr>
          <w:rFonts w:ascii="Arial" w:eastAsia="Tahoma" w:hAnsi="Arial" w:cs="Arial"/>
        </w:rPr>
      </w:pPr>
      <w:r w:rsidRPr="0084068F">
        <w:rPr>
          <w:rFonts w:ascii="Arial" w:eastAsia="Tahoma" w:hAnsi="Arial" w:cs="Arial"/>
        </w:rPr>
        <w:lastRenderedPageBreak/>
        <w:t xml:space="preserve">El acta en el que conste el acuerdo conciliatorio prestará mérito ejecutivo de acuerdo con lo dispuesto en el artículo 422 del Código General del Proceso y será ejecutable ante los jueces civiles. Si los interesados no llegan a un acuerdo en el curso de la diligencia o no tienen ánimo conciliatorio o el o los abogados presuntamente responsables no concurren a la diligencia, se dispondrá la apertura del proceso disciplinario según lo prevé el artículo 104 de la presente Ley. </w:t>
      </w:r>
    </w:p>
    <w:p w:rsidR="0084068F" w:rsidRPr="0084068F" w:rsidRDefault="0084068F" w:rsidP="0084068F">
      <w:pPr>
        <w:jc w:val="both"/>
        <w:rPr>
          <w:rFonts w:ascii="Arial" w:eastAsia="Tahoma" w:hAnsi="Arial" w:cs="Arial"/>
        </w:rPr>
      </w:pPr>
      <w:r w:rsidRPr="0084068F">
        <w:rPr>
          <w:rFonts w:ascii="Arial" w:eastAsia="Tahoma" w:hAnsi="Arial" w:cs="Arial"/>
        </w:rPr>
        <w:t xml:space="preserve">En el caso de que se logre la conciliación, la primera instancia, una vez cumplido el plazo fijado para su cumplimiento, solicitará por escrito al afectado o afectados y acreedor o acreedores de los derechos incorporados en la conciliación y también a los presuntos responsables de la falta disciplinaria, que le indiquen si se cumplió o no con dichas obligaciones y que remitan la prueba de dicho cumplimiento. La primera instancia ordenará el archivo de las diligencias, si se acredita el cumplimiento del acuerdo conciliatorio. </w:t>
      </w:r>
    </w:p>
    <w:p w:rsidR="0084068F" w:rsidRPr="0084068F" w:rsidRDefault="0084068F" w:rsidP="0084068F">
      <w:pPr>
        <w:jc w:val="both"/>
        <w:rPr>
          <w:rFonts w:ascii="Arial" w:eastAsia="Tahoma" w:hAnsi="Arial" w:cs="Arial"/>
        </w:rPr>
      </w:pPr>
      <w:r w:rsidRPr="0084068F">
        <w:rPr>
          <w:rFonts w:ascii="Arial" w:eastAsia="Tahoma" w:hAnsi="Arial" w:cs="Arial"/>
        </w:rPr>
        <w:t xml:space="preserve">Cuando se presente incumplimiento del acuerdo conciliatorio, la primera instancia podrá citar a los intervinientes a una nueva audiencia para verificar el cumplimiento de lo conciliado, donde dispondrá mediante providencia, la apertura del proceso disciplinario en contra de los posibles responsables y se seguirá el trámite previsto en el artículo 104 de esta Ley. </w:t>
      </w:r>
    </w:p>
    <w:p w:rsidR="0084068F" w:rsidRPr="00DF3798" w:rsidRDefault="0084068F" w:rsidP="0084068F">
      <w:pPr>
        <w:jc w:val="both"/>
        <w:rPr>
          <w:rFonts w:ascii="Arial" w:eastAsia="Tahoma" w:hAnsi="Arial" w:cs="Arial"/>
        </w:rPr>
      </w:pPr>
      <w:r w:rsidRPr="0084068F">
        <w:rPr>
          <w:rFonts w:ascii="Arial" w:eastAsia="Tahoma" w:hAnsi="Arial" w:cs="Arial"/>
        </w:rPr>
        <w:t>La conciliación previa suspenderá el término de prescripción de la acción disciplinaria desde la presentación de la solicitud hasta la celebración efectiva de la audiencia de conciliación, sin que en cualquier caso pueda exceder tres (3) meses.  Lo actuado en esta etapa previa no constituirá prejuzgamiento</w:t>
      </w:r>
      <w:r w:rsidRPr="00DF3798">
        <w:rPr>
          <w:rFonts w:ascii="Arial" w:eastAsia="Tahoma" w:hAnsi="Arial" w:cs="Arial"/>
        </w:rPr>
        <w:t>.</w:t>
      </w:r>
    </w:p>
    <w:p w:rsidR="0084068F" w:rsidRPr="00DF3798" w:rsidRDefault="0084068F" w:rsidP="0084068F">
      <w:pPr>
        <w:jc w:val="both"/>
        <w:rPr>
          <w:rFonts w:ascii="Arial" w:eastAsia="Tahoma" w:hAnsi="Arial" w:cs="Arial"/>
        </w:rPr>
      </w:pPr>
      <w:r w:rsidRPr="00DF3798">
        <w:rPr>
          <w:rFonts w:ascii="Arial" w:eastAsia="Tahoma" w:hAnsi="Arial" w:cs="Arial"/>
          <w:b/>
        </w:rPr>
        <w:t xml:space="preserve">Parágrafo 1°. </w:t>
      </w:r>
      <w:r w:rsidRPr="00DF3798">
        <w:rPr>
          <w:rFonts w:ascii="Arial" w:eastAsia="Tahoma" w:hAnsi="Arial" w:cs="Arial"/>
        </w:rPr>
        <w:t>Hasta antes de dictar sentencia de primera instancia, por una segunda vez y a solicitud de cualquiera de los intervinientes, se podrá adelantar nuevamente audiencia de conciliación.</w:t>
      </w:r>
    </w:p>
    <w:p w:rsidR="0084068F" w:rsidRPr="00DF3798" w:rsidRDefault="0084068F" w:rsidP="0084068F">
      <w:pPr>
        <w:jc w:val="both"/>
        <w:rPr>
          <w:rFonts w:ascii="Arial" w:eastAsia="Tahoma" w:hAnsi="Arial" w:cs="Arial"/>
        </w:rPr>
      </w:pPr>
      <w:r w:rsidRPr="00DF3798">
        <w:rPr>
          <w:rFonts w:ascii="Arial" w:eastAsia="Tahoma" w:hAnsi="Arial" w:cs="Arial"/>
        </w:rPr>
        <w:t xml:space="preserve">En caso de que se llegue a un acuerdo conciliatorio y se verifique su cumplimiento por parte del magistrado de instancia, se decretará la terminación de la actuación, de conformidad con el artículo 103 de la presente Ley.  En caso contrario, se continuará con el trámite que corresponda. </w:t>
      </w:r>
    </w:p>
    <w:p w:rsidR="0084068F" w:rsidRPr="0084068F" w:rsidRDefault="0084068F" w:rsidP="0084068F">
      <w:pPr>
        <w:jc w:val="both"/>
        <w:rPr>
          <w:rFonts w:ascii="Arial" w:eastAsia="Tahoma" w:hAnsi="Arial" w:cs="Arial"/>
        </w:rPr>
      </w:pPr>
      <w:r w:rsidRPr="0084068F">
        <w:rPr>
          <w:rFonts w:ascii="Arial" w:eastAsia="Tahoma" w:hAnsi="Arial" w:cs="Arial"/>
        </w:rPr>
        <w:t>Durante el trámite de la segunda audiencia de conciliación y la verificación de cumplimiento de lo acordado, se suspenderá el término de prescripción. La suspensión no podrá exceder los dos (2) meses.</w:t>
      </w:r>
    </w:p>
    <w:p w:rsidR="0084068F" w:rsidRPr="0084068F" w:rsidRDefault="0084068F" w:rsidP="0084068F">
      <w:pPr>
        <w:jc w:val="both"/>
        <w:rPr>
          <w:rFonts w:ascii="Arial" w:eastAsia="Tahoma" w:hAnsi="Arial" w:cs="Arial"/>
        </w:rPr>
      </w:pPr>
      <w:r w:rsidRPr="0084068F">
        <w:rPr>
          <w:rFonts w:ascii="Arial" w:eastAsia="Tahoma" w:hAnsi="Arial" w:cs="Arial"/>
        </w:rPr>
        <w:t xml:space="preserve">Esta conciliación también podrá ser solicitada en los procesos en curso al momento de entrada en vigencia de la presente Ley, hasta antes de que se profiera sentencia de primera instancia. </w:t>
      </w:r>
    </w:p>
    <w:p w:rsidR="0084068F" w:rsidRDefault="0084068F" w:rsidP="0084068F">
      <w:pPr>
        <w:jc w:val="both"/>
        <w:rPr>
          <w:rFonts w:ascii="Arial" w:eastAsia="Tahoma" w:hAnsi="Arial" w:cs="Arial"/>
        </w:rPr>
      </w:pPr>
      <w:r w:rsidRPr="0084068F">
        <w:rPr>
          <w:rFonts w:ascii="Arial" w:eastAsia="Tahoma" w:hAnsi="Arial" w:cs="Arial"/>
          <w:b/>
        </w:rPr>
        <w:t xml:space="preserve">PARÁGRAFO </w:t>
      </w:r>
      <w:r w:rsidRPr="00C51574">
        <w:rPr>
          <w:rFonts w:ascii="Arial" w:eastAsia="Tahoma" w:hAnsi="Arial" w:cs="Arial"/>
          <w:b/>
        </w:rPr>
        <w:t>2°.</w:t>
      </w:r>
      <w:r w:rsidRPr="0084068F">
        <w:rPr>
          <w:rFonts w:ascii="Arial" w:eastAsia="Tahoma" w:hAnsi="Arial" w:cs="Arial"/>
        </w:rPr>
        <w:t xml:space="preserve"> La conciliación previa que trata el presente artículo no procederá cuando el disciplinable haya celebrado acuerdo conciliatorio por igual conducta dentro de los </w:t>
      </w:r>
      <w:r>
        <w:rPr>
          <w:rFonts w:ascii="Arial" w:eastAsia="Tahoma" w:hAnsi="Arial" w:cs="Arial"/>
        </w:rPr>
        <w:t>tres (3</w:t>
      </w:r>
      <w:r w:rsidRPr="0084068F">
        <w:rPr>
          <w:rFonts w:ascii="Arial" w:eastAsia="Tahoma" w:hAnsi="Arial" w:cs="Arial"/>
        </w:rPr>
        <w:t>) años anteriores. Al efecto, las Comisiones Seccionales de Disciplina Judicial enviarán copia de los acuerdos conciliatorios que suscriban los abogados en desarrollo del procedimiento establecido en el presente artículo a la Unidad Nacional de Registro de Abogados</w:t>
      </w:r>
      <w:r>
        <w:rPr>
          <w:rFonts w:ascii="Arial" w:eastAsia="Tahoma" w:hAnsi="Arial" w:cs="Arial"/>
        </w:rPr>
        <w:t xml:space="preserve"> y deberán quedar registrados y publicados en el Registro Nacional de Abogados, por el término de cinco (5) años contados a partir de la fecha de la conciliación o acuerdo</w:t>
      </w:r>
      <w:r w:rsidRPr="0084068F">
        <w:rPr>
          <w:rFonts w:ascii="Arial" w:eastAsia="Tahoma" w:hAnsi="Arial" w:cs="Arial"/>
        </w:rPr>
        <w:t>.</w:t>
      </w:r>
      <w:r>
        <w:rPr>
          <w:rFonts w:ascii="Arial" w:eastAsia="Tahoma" w:hAnsi="Arial" w:cs="Arial"/>
        </w:rPr>
        <w:t xml:space="preserve"> </w:t>
      </w:r>
      <w:r>
        <w:rPr>
          <w:rFonts w:ascii="Arial" w:eastAsia="Tahoma" w:hAnsi="Arial" w:cs="Arial"/>
        </w:rPr>
        <w:lastRenderedPageBreak/>
        <w:t>Esta información podrá ser verificada por las personas interesadas en contratar los servicios de cualquier profesional del derecho.</w:t>
      </w:r>
    </w:p>
    <w:p w:rsidR="00BC30DE" w:rsidRPr="0084068F" w:rsidRDefault="00BC30DE" w:rsidP="0084068F">
      <w:pPr>
        <w:jc w:val="both"/>
        <w:rPr>
          <w:rFonts w:ascii="Arial" w:eastAsia="Tahoma" w:hAnsi="Arial" w:cs="Arial"/>
        </w:rPr>
      </w:pPr>
      <w:r>
        <w:rPr>
          <w:rFonts w:ascii="Arial" w:eastAsia="Tahoma" w:hAnsi="Arial" w:cs="Arial"/>
        </w:rPr>
        <w:t xml:space="preserve">Cuando un abogado haya incumplido dos (2) acuerdos conciliatorios en un periodo de cinco (5) años, la Comisión Seccional de Disciplina Judicial podrá valorar este hecho como agravante a la falta establecida en el numeral 15 del artículo 33 de la Ley 1123 de 2007, dentro de los procesos disciplinarios posteriores. </w:t>
      </w:r>
    </w:p>
    <w:p w:rsidR="0076593F" w:rsidRDefault="0076593F" w:rsidP="0076593F">
      <w:pPr>
        <w:jc w:val="both"/>
        <w:rPr>
          <w:rFonts w:ascii="Arial" w:eastAsia="Tahoma" w:hAnsi="Arial" w:cs="Arial"/>
          <w:b/>
        </w:rPr>
      </w:pPr>
    </w:p>
    <w:p w:rsidR="0076593F" w:rsidRPr="0076593F" w:rsidRDefault="0076593F" w:rsidP="0076593F">
      <w:pPr>
        <w:jc w:val="both"/>
        <w:rPr>
          <w:rFonts w:ascii="Arial" w:eastAsia="Tahoma" w:hAnsi="Arial" w:cs="Arial"/>
        </w:rPr>
      </w:pPr>
      <w:r>
        <w:rPr>
          <w:rFonts w:ascii="Arial" w:eastAsia="Tahoma" w:hAnsi="Arial" w:cs="Arial"/>
          <w:b/>
        </w:rPr>
        <w:t>Artículo 6</w:t>
      </w:r>
      <w:r>
        <w:rPr>
          <w:rFonts w:ascii="Arial" w:eastAsia="Tahoma" w:hAnsi="Arial" w:cs="Arial"/>
          <w:b/>
        </w:rPr>
        <w:t xml:space="preserve">°. </w:t>
      </w:r>
      <w:r>
        <w:rPr>
          <w:rFonts w:ascii="Arial" w:eastAsia="Tahoma" w:hAnsi="Arial" w:cs="Arial"/>
        </w:rPr>
        <w:t>Adiciónese un Parágrafo al Artículo 106 de la Ley 1123 de 2007, el cual quedará así:</w:t>
      </w:r>
    </w:p>
    <w:p w:rsidR="0084068F" w:rsidRPr="0084068F" w:rsidRDefault="0084068F" w:rsidP="0084068F">
      <w:pPr>
        <w:jc w:val="both"/>
        <w:rPr>
          <w:rFonts w:ascii="Arial" w:eastAsia="Tahoma" w:hAnsi="Arial" w:cs="Arial"/>
        </w:rPr>
      </w:pPr>
      <w:r w:rsidRPr="0084068F">
        <w:rPr>
          <w:rFonts w:ascii="Arial" w:eastAsia="Tahoma" w:hAnsi="Arial" w:cs="Arial"/>
          <w:b/>
        </w:rPr>
        <w:t>Artículo 106.</w:t>
      </w:r>
      <w:r w:rsidRPr="0084068F">
        <w:rPr>
          <w:rFonts w:ascii="Arial" w:eastAsia="Tahoma" w:hAnsi="Arial" w:cs="Arial"/>
        </w:rPr>
        <w:t xml:space="preserve"> </w:t>
      </w:r>
      <w:r w:rsidRPr="0084068F">
        <w:rPr>
          <w:rFonts w:ascii="Arial" w:eastAsia="Tahoma" w:hAnsi="Arial" w:cs="Arial"/>
          <w:b/>
        </w:rPr>
        <w:t>Audiencia de juzgamiento</w:t>
      </w:r>
      <w:r w:rsidRPr="0084068F">
        <w:rPr>
          <w:rFonts w:ascii="Arial" w:eastAsia="Tahoma" w:hAnsi="Arial" w:cs="Arial"/>
        </w:rPr>
        <w:t>.</w:t>
      </w:r>
    </w:p>
    <w:p w:rsidR="0084068F" w:rsidRPr="0084068F" w:rsidRDefault="0084068F" w:rsidP="0084068F">
      <w:pPr>
        <w:jc w:val="both"/>
        <w:rPr>
          <w:rFonts w:ascii="Arial" w:eastAsia="Tahoma" w:hAnsi="Arial" w:cs="Arial"/>
        </w:rPr>
      </w:pPr>
      <w:r w:rsidRPr="0084068F">
        <w:rPr>
          <w:rFonts w:ascii="Arial" w:eastAsia="Tahoma" w:hAnsi="Arial" w:cs="Arial"/>
        </w:rPr>
        <w:t xml:space="preserve">(…) </w:t>
      </w:r>
    </w:p>
    <w:p w:rsidR="0084068F" w:rsidRPr="00C51574" w:rsidRDefault="0084068F" w:rsidP="0084068F">
      <w:pPr>
        <w:jc w:val="both"/>
        <w:rPr>
          <w:rFonts w:ascii="Arial" w:eastAsia="Tahoma" w:hAnsi="Arial" w:cs="Arial"/>
        </w:rPr>
      </w:pPr>
      <w:r w:rsidRPr="0084068F">
        <w:rPr>
          <w:rFonts w:ascii="Arial" w:eastAsia="Tahoma" w:hAnsi="Arial" w:cs="Arial"/>
          <w:b/>
        </w:rPr>
        <w:t>Parágrafo. Orden de devolución de dineros, bienes o documentos.</w:t>
      </w:r>
      <w:r w:rsidRPr="0084068F">
        <w:rPr>
          <w:rFonts w:ascii="Arial" w:eastAsia="Tahoma" w:hAnsi="Arial" w:cs="Arial"/>
        </w:rPr>
        <w:t xml:space="preserve"> Cuando se trate de sentencias que declaren la responsabilidad disciplinaria, por la comisión de faltas a la honradez del abogado, señaladas en el artículo 35 numeral 4° de la presente Ley, la primera instancia deberá incluir, además, un detallado análisis respecto de los dineros, bienes o documentos recibidos en virtud de la gestión profesional y no entregados sin justificación. Adicionalmente, se ordenará expresamente en la parte resolutiva de la sentencia, que el abogado o abogados declarados responsables devuelvan los bienes, dineros o documentos no entregados a los afectados en el plazo que fije el juez o magistrado de primera instancia, el cual no será superior a sesenta (60) días </w:t>
      </w:r>
      <w:r w:rsidRPr="00C51574">
        <w:rPr>
          <w:rFonts w:ascii="Arial" w:eastAsia="Tahoma" w:hAnsi="Arial" w:cs="Arial"/>
        </w:rPr>
        <w:t xml:space="preserve">calendario contados a partir de la ejecutoria de la providencia. </w:t>
      </w:r>
    </w:p>
    <w:p w:rsidR="0084068F" w:rsidRPr="00C51574" w:rsidRDefault="0084068F" w:rsidP="0084068F">
      <w:pPr>
        <w:jc w:val="both"/>
        <w:rPr>
          <w:rFonts w:ascii="Arial" w:eastAsia="Tahoma" w:hAnsi="Arial" w:cs="Arial"/>
        </w:rPr>
      </w:pPr>
      <w:r w:rsidRPr="00C51574">
        <w:rPr>
          <w:rFonts w:ascii="Arial" w:eastAsia="Tahoma" w:hAnsi="Arial" w:cs="Arial"/>
        </w:rPr>
        <w:t>La sentencia respectiva prestará mérito ejecutivo ante los jueces civiles, una vez se surta la audiencia de verificación y cumplimiento</w:t>
      </w:r>
      <w:r w:rsidR="00BC30DE" w:rsidRPr="00C51574">
        <w:rPr>
          <w:rFonts w:ascii="Arial" w:eastAsia="Tahoma" w:hAnsi="Arial" w:cs="Arial"/>
        </w:rPr>
        <w:t>, la cual se adelantará dentro de los treinta (30) días siguientes del término establecido en la sentencia para el cumpli</w:t>
      </w:r>
      <w:r w:rsidRPr="00C51574">
        <w:rPr>
          <w:rFonts w:ascii="Arial" w:eastAsia="Tahoma" w:hAnsi="Arial" w:cs="Arial"/>
        </w:rPr>
        <w:t xml:space="preserve">miento de lo ordenado.   </w:t>
      </w:r>
    </w:p>
    <w:p w:rsidR="00397D10" w:rsidRDefault="00397D10" w:rsidP="0084068F">
      <w:pPr>
        <w:jc w:val="both"/>
        <w:rPr>
          <w:rFonts w:ascii="Arial" w:eastAsia="Tahoma" w:hAnsi="Arial" w:cs="Arial"/>
          <w:b/>
        </w:rPr>
      </w:pPr>
    </w:p>
    <w:p w:rsidR="0084068F" w:rsidRPr="0084068F" w:rsidRDefault="0084068F" w:rsidP="0084068F">
      <w:pPr>
        <w:jc w:val="both"/>
        <w:rPr>
          <w:rFonts w:ascii="Arial" w:eastAsia="Tahoma" w:hAnsi="Arial" w:cs="Arial"/>
        </w:rPr>
      </w:pPr>
      <w:r w:rsidRPr="0084068F">
        <w:rPr>
          <w:rFonts w:ascii="Arial" w:eastAsia="Tahoma" w:hAnsi="Arial" w:cs="Arial"/>
          <w:b/>
        </w:rPr>
        <w:t>Artículo</w:t>
      </w:r>
      <w:r w:rsidR="00DF3798">
        <w:rPr>
          <w:rFonts w:ascii="Arial" w:eastAsia="Tahoma" w:hAnsi="Arial" w:cs="Arial"/>
          <w:b/>
        </w:rPr>
        <w:t xml:space="preserve"> 7</w:t>
      </w:r>
      <w:r w:rsidRPr="0084068F">
        <w:rPr>
          <w:rFonts w:ascii="Arial" w:eastAsia="Tahoma" w:hAnsi="Arial" w:cs="Arial"/>
          <w:b/>
        </w:rPr>
        <w:t xml:space="preserve">°. </w:t>
      </w:r>
      <w:r w:rsidRPr="0084068F">
        <w:rPr>
          <w:rFonts w:ascii="Arial" w:eastAsia="Tahoma" w:hAnsi="Arial" w:cs="Arial"/>
        </w:rPr>
        <w:t>Adiciónese el artículo 106A a la Ley 1123 de 2007, el cual quedará así:</w:t>
      </w:r>
    </w:p>
    <w:p w:rsidR="0084068F" w:rsidRPr="0084068F" w:rsidRDefault="0084068F" w:rsidP="0084068F">
      <w:pPr>
        <w:jc w:val="both"/>
        <w:rPr>
          <w:rFonts w:ascii="Arial" w:eastAsia="Tahoma" w:hAnsi="Arial" w:cs="Arial"/>
        </w:rPr>
      </w:pPr>
      <w:r w:rsidRPr="0084068F">
        <w:rPr>
          <w:rFonts w:ascii="Arial" w:eastAsia="Tahoma" w:hAnsi="Arial" w:cs="Arial"/>
          <w:b/>
        </w:rPr>
        <w:t>ARTÍCULO 106A</w:t>
      </w:r>
      <w:r w:rsidRPr="0084068F">
        <w:rPr>
          <w:rFonts w:ascii="Arial" w:eastAsia="Tahoma" w:hAnsi="Arial" w:cs="Arial"/>
        </w:rPr>
        <w:t xml:space="preserve">. </w:t>
      </w:r>
      <w:r w:rsidRPr="0084068F">
        <w:rPr>
          <w:rFonts w:ascii="Arial" w:eastAsia="Tahoma" w:hAnsi="Arial" w:cs="Arial"/>
          <w:b/>
        </w:rPr>
        <w:t>AUDIENCIA DE VERIFICACIÓN DE CUMPLIMIENTO.</w:t>
      </w:r>
      <w:r w:rsidRPr="0084068F">
        <w:rPr>
          <w:rFonts w:ascii="Arial" w:eastAsia="Tahoma" w:hAnsi="Arial" w:cs="Arial"/>
        </w:rPr>
        <w:t xml:space="preserve"> Cuando en la sentencia de primera instancia se haya impuesto la orden de devolución de dineros, bienes o documentos recibidos y no entregados en virtud de la gestión profesional, de manera oficiosa o a petición </w:t>
      </w:r>
      <w:r w:rsidRPr="00C51574">
        <w:rPr>
          <w:rFonts w:ascii="Arial" w:eastAsia="Tahoma" w:hAnsi="Arial" w:cs="Arial"/>
        </w:rPr>
        <w:t>de los intervinientes</w:t>
      </w:r>
      <w:r w:rsidRPr="0084068F">
        <w:rPr>
          <w:rFonts w:ascii="Arial" w:eastAsia="Tahoma" w:hAnsi="Arial" w:cs="Arial"/>
        </w:rPr>
        <w:t>, una vez vencido el plazo concedido para su cumplimiento, se citará a una audiencia de verificación del cumplimiento de la orden de devolución.</w:t>
      </w:r>
    </w:p>
    <w:p w:rsidR="0084068F" w:rsidRPr="0084068F" w:rsidRDefault="0084068F" w:rsidP="0084068F">
      <w:pPr>
        <w:jc w:val="both"/>
        <w:rPr>
          <w:rFonts w:ascii="Arial" w:eastAsia="Tahoma" w:hAnsi="Arial" w:cs="Arial"/>
        </w:rPr>
      </w:pPr>
      <w:r w:rsidRPr="0084068F">
        <w:rPr>
          <w:rFonts w:ascii="Arial" w:eastAsia="Tahoma" w:hAnsi="Arial" w:cs="Arial"/>
        </w:rPr>
        <w:t xml:space="preserve">A la audiencia se deberá citar al titular o a los titulares del derecho a la devolución, al agente del ministerio público y al abogado o abogados declarados responsables disciplinariamente. </w:t>
      </w:r>
    </w:p>
    <w:p w:rsidR="0084068F" w:rsidRPr="0084068F" w:rsidRDefault="0084068F" w:rsidP="0084068F">
      <w:pPr>
        <w:shd w:val="clear" w:color="auto" w:fill="FFFFFF"/>
        <w:jc w:val="both"/>
        <w:rPr>
          <w:rFonts w:ascii="Arial" w:eastAsia="Tahoma" w:hAnsi="Arial" w:cs="Arial"/>
        </w:rPr>
      </w:pPr>
      <w:r w:rsidRPr="0084068F">
        <w:rPr>
          <w:rFonts w:ascii="Arial" w:eastAsia="Tahoma" w:hAnsi="Arial" w:cs="Arial"/>
        </w:rPr>
        <w:t xml:space="preserve">El magistrado abrirá la audiencia y concederá el uso de la palabra al titular del derecho a la devolución para que manifieste si se cumplió o no con lo ordenado en la sentencia. Posteriormente, el magistrado pondrá en conocimiento del disciplinado lo expuesto por el </w:t>
      </w:r>
      <w:r w:rsidRPr="0084068F">
        <w:rPr>
          <w:rFonts w:ascii="Arial" w:eastAsia="Tahoma" w:hAnsi="Arial" w:cs="Arial"/>
        </w:rPr>
        <w:lastRenderedPageBreak/>
        <w:t xml:space="preserve">afectado. Si se verifica el cumplimiento de la orden de devolución, así se declarará y se ordenará el archivo del expediente. </w:t>
      </w:r>
    </w:p>
    <w:p w:rsidR="00AE64EC" w:rsidRPr="0084068F" w:rsidRDefault="0084068F" w:rsidP="0084068F">
      <w:pPr>
        <w:shd w:val="clear" w:color="auto" w:fill="FFFFFF"/>
        <w:jc w:val="both"/>
        <w:rPr>
          <w:rFonts w:ascii="Arial" w:eastAsia="Tahoma" w:hAnsi="Arial" w:cs="Arial"/>
        </w:rPr>
      </w:pPr>
      <w:r w:rsidRPr="0084068F">
        <w:rPr>
          <w:rFonts w:ascii="Arial" w:eastAsia="Tahoma" w:hAnsi="Arial" w:cs="Arial"/>
        </w:rPr>
        <w:t xml:space="preserve">En caso de inasistencia de los intervinientes a la audiencia convocada o si no existe ánimo de cumplimiento de la orden de devolución, se declarará fracasada, fecha a partir de la cual, el titular del derecho a la devolución podrá iniciar un proceso ejecutivo ante los jueces civiles competentes, en el cual la sentencia disciplinaria prestará mérito ejecutivo. </w:t>
      </w:r>
      <w:r w:rsidR="00AE64EC">
        <w:rPr>
          <w:rFonts w:ascii="Arial" w:eastAsia="Tahoma" w:hAnsi="Arial" w:cs="Arial"/>
        </w:rPr>
        <w:t>Así mismo, se ordenará el inicio de las actuaciones disciplinarias por la falta contemplada en el numeral 15 del artículo 33 de la Ley.</w:t>
      </w:r>
    </w:p>
    <w:p w:rsidR="00397D10" w:rsidRDefault="00397D10" w:rsidP="0084068F">
      <w:pPr>
        <w:jc w:val="both"/>
        <w:rPr>
          <w:rFonts w:ascii="Arial" w:eastAsia="Tahoma" w:hAnsi="Arial" w:cs="Arial"/>
          <w:b/>
        </w:rPr>
      </w:pPr>
    </w:p>
    <w:p w:rsidR="0084068F" w:rsidRPr="0084068F" w:rsidRDefault="00DF3798" w:rsidP="0084068F">
      <w:pPr>
        <w:jc w:val="both"/>
        <w:rPr>
          <w:rFonts w:ascii="Arial" w:eastAsia="Tahoma" w:hAnsi="Arial" w:cs="Arial"/>
        </w:rPr>
      </w:pPr>
      <w:r>
        <w:rPr>
          <w:rFonts w:ascii="Arial" w:eastAsia="Tahoma" w:hAnsi="Arial" w:cs="Arial"/>
          <w:b/>
        </w:rPr>
        <w:t>Artículo 8</w:t>
      </w:r>
      <w:r w:rsidR="0084068F" w:rsidRPr="0084068F">
        <w:rPr>
          <w:rFonts w:ascii="Arial" w:eastAsia="Tahoma" w:hAnsi="Arial" w:cs="Arial"/>
          <w:b/>
        </w:rPr>
        <w:t>°.</w:t>
      </w:r>
      <w:r w:rsidR="0084068F" w:rsidRPr="0084068F">
        <w:rPr>
          <w:rFonts w:ascii="Arial" w:eastAsia="Tahoma" w:hAnsi="Arial" w:cs="Arial"/>
        </w:rPr>
        <w:t xml:space="preserve"> Adiciónese un numeral al artículo 33 de la Ley 1123 de 2007, el cual quedará así:</w:t>
      </w:r>
    </w:p>
    <w:p w:rsidR="0084068F" w:rsidRPr="0084068F" w:rsidRDefault="0084068F" w:rsidP="0084068F">
      <w:pPr>
        <w:jc w:val="both"/>
        <w:rPr>
          <w:rFonts w:ascii="Arial" w:eastAsia="Tahoma" w:hAnsi="Arial" w:cs="Arial"/>
        </w:rPr>
      </w:pPr>
      <w:r w:rsidRPr="0084068F">
        <w:rPr>
          <w:rFonts w:ascii="Arial" w:eastAsia="Tahoma" w:hAnsi="Arial" w:cs="Arial"/>
          <w:b/>
        </w:rPr>
        <w:t xml:space="preserve">ARTÍCULO 33. </w:t>
      </w:r>
      <w:r w:rsidRPr="0084068F">
        <w:rPr>
          <w:rFonts w:ascii="Arial" w:eastAsia="Tahoma" w:hAnsi="Arial" w:cs="Arial"/>
        </w:rPr>
        <w:t>Son faltas contra la recta y leal realización de la justicia y los fines del Estado:</w:t>
      </w:r>
    </w:p>
    <w:p w:rsidR="0084068F" w:rsidRPr="0084068F" w:rsidRDefault="0084068F" w:rsidP="0084068F">
      <w:pPr>
        <w:jc w:val="both"/>
        <w:rPr>
          <w:rFonts w:ascii="Arial" w:eastAsia="Tahoma" w:hAnsi="Arial" w:cs="Arial"/>
          <w:b/>
        </w:rPr>
      </w:pPr>
      <w:r w:rsidRPr="0084068F">
        <w:rPr>
          <w:rFonts w:ascii="Arial" w:eastAsia="Tahoma" w:hAnsi="Arial" w:cs="Arial"/>
          <w:b/>
        </w:rPr>
        <w:t>(…)</w:t>
      </w:r>
    </w:p>
    <w:p w:rsidR="0084068F" w:rsidRPr="0084068F" w:rsidRDefault="0084068F" w:rsidP="0084068F">
      <w:pPr>
        <w:jc w:val="both"/>
        <w:rPr>
          <w:rFonts w:ascii="Arial" w:eastAsia="Tahoma" w:hAnsi="Arial" w:cs="Arial"/>
        </w:rPr>
      </w:pPr>
      <w:r w:rsidRPr="0084068F">
        <w:rPr>
          <w:rFonts w:ascii="Arial" w:eastAsia="Tahoma" w:hAnsi="Arial" w:cs="Arial"/>
        </w:rPr>
        <w:t>15. Incumplir la orden de devolución de bienes, dineros y documentos, contemplada en el parágrafo del artículo 106 de la Ley 1123 de 2007.</w:t>
      </w:r>
    </w:p>
    <w:p w:rsidR="00C51574" w:rsidRDefault="00C51574" w:rsidP="0084068F">
      <w:pPr>
        <w:jc w:val="both"/>
        <w:rPr>
          <w:rFonts w:ascii="Arial" w:eastAsia="Tahoma" w:hAnsi="Arial" w:cs="Arial"/>
          <w:b/>
        </w:rPr>
      </w:pPr>
    </w:p>
    <w:p w:rsidR="00C51574" w:rsidRDefault="00C51574" w:rsidP="0084068F">
      <w:pPr>
        <w:jc w:val="both"/>
        <w:rPr>
          <w:rFonts w:ascii="Arial" w:eastAsia="Tahoma" w:hAnsi="Arial" w:cs="Arial"/>
          <w:b/>
        </w:rPr>
      </w:pPr>
    </w:p>
    <w:p w:rsidR="0084068F" w:rsidRPr="0084068F" w:rsidRDefault="00DF3798" w:rsidP="0084068F">
      <w:pPr>
        <w:jc w:val="both"/>
        <w:rPr>
          <w:rFonts w:ascii="Arial" w:eastAsia="Tahoma" w:hAnsi="Arial" w:cs="Arial"/>
        </w:rPr>
      </w:pPr>
      <w:r>
        <w:rPr>
          <w:rFonts w:ascii="Arial" w:eastAsia="Tahoma" w:hAnsi="Arial" w:cs="Arial"/>
          <w:b/>
        </w:rPr>
        <w:t>Artículo 9</w:t>
      </w:r>
      <w:r w:rsidR="0084068F" w:rsidRPr="0084068F">
        <w:rPr>
          <w:rFonts w:ascii="Arial" w:eastAsia="Tahoma" w:hAnsi="Arial" w:cs="Arial"/>
          <w:b/>
        </w:rPr>
        <w:t xml:space="preserve">°. VIGENCIA Y DEROGATORIAS. </w:t>
      </w:r>
      <w:r w:rsidR="0084068F" w:rsidRPr="0084068F">
        <w:rPr>
          <w:rFonts w:ascii="Arial" w:eastAsia="Tahoma" w:hAnsi="Arial" w:cs="Arial"/>
        </w:rPr>
        <w:t>La presente ley rige a partir de su promulgación y deroga las normas que le sean contrarias.</w:t>
      </w:r>
    </w:p>
    <w:p w:rsidR="0084068F" w:rsidRPr="0084068F" w:rsidRDefault="0084068F" w:rsidP="0084068F">
      <w:pPr>
        <w:spacing w:after="0" w:line="276" w:lineRule="auto"/>
        <w:jc w:val="both"/>
        <w:rPr>
          <w:rFonts w:ascii="Arial" w:eastAsia="Calibri" w:hAnsi="Arial" w:cs="Arial"/>
        </w:rPr>
      </w:pPr>
    </w:p>
    <w:p w:rsidR="00D64FC5" w:rsidRPr="00C51574" w:rsidRDefault="00D64FC5" w:rsidP="00D64FC5">
      <w:pPr>
        <w:spacing w:after="0" w:line="240" w:lineRule="auto"/>
        <w:jc w:val="center"/>
        <w:rPr>
          <w:rFonts w:ascii="Arial" w:eastAsia="Arial" w:hAnsi="Arial" w:cs="Arial"/>
          <w:b/>
        </w:rPr>
      </w:pPr>
    </w:p>
    <w:p w:rsidR="00974356" w:rsidRPr="00C51574" w:rsidRDefault="00974356" w:rsidP="00974356">
      <w:pPr>
        <w:spacing w:after="0" w:line="240" w:lineRule="auto"/>
        <w:jc w:val="center"/>
        <w:rPr>
          <w:rFonts w:ascii="Arial" w:eastAsia="Arial" w:hAnsi="Arial" w:cs="Arial"/>
          <w:b/>
        </w:rPr>
      </w:pPr>
      <w:bookmarkStart w:id="0" w:name="_GoBack"/>
      <w:bookmarkEnd w:id="0"/>
    </w:p>
    <w:p w:rsidR="00974356" w:rsidRPr="00C51574" w:rsidRDefault="00974356" w:rsidP="00974356">
      <w:pPr>
        <w:tabs>
          <w:tab w:val="left" w:pos="4820"/>
        </w:tabs>
        <w:spacing w:after="0" w:line="276" w:lineRule="auto"/>
        <w:jc w:val="both"/>
        <w:rPr>
          <w:rFonts w:ascii="Arial" w:eastAsia="Century Gothic" w:hAnsi="Arial" w:cs="Arial"/>
          <w:highlight w:val="white"/>
        </w:rPr>
      </w:pPr>
      <w:r w:rsidRPr="00C51574">
        <w:rPr>
          <w:rFonts w:ascii="Arial" w:eastAsia="Century Gothic" w:hAnsi="Arial" w:cs="Arial"/>
          <w:highlight w:val="white"/>
        </w:rPr>
        <w:t xml:space="preserve">En los anteriores términos fue aprobado con modificaciones en primer debate el presente Proyecto de </w:t>
      </w:r>
      <w:r w:rsidR="005A22D8" w:rsidRPr="00C51574">
        <w:rPr>
          <w:rFonts w:ascii="Arial" w:eastAsia="Century Gothic" w:hAnsi="Arial" w:cs="Arial"/>
          <w:highlight w:val="white"/>
        </w:rPr>
        <w:t>Ley, según consta en Acta No. 55</w:t>
      </w:r>
      <w:r w:rsidR="007C57E2" w:rsidRPr="00C51574">
        <w:rPr>
          <w:rFonts w:ascii="Arial" w:eastAsia="Century Gothic" w:hAnsi="Arial" w:cs="Arial"/>
          <w:highlight w:val="white"/>
        </w:rPr>
        <w:t xml:space="preserve"> de sesión del </w:t>
      </w:r>
      <w:r w:rsidR="005A22D8" w:rsidRPr="00C51574">
        <w:rPr>
          <w:rFonts w:ascii="Arial" w:eastAsia="Century Gothic" w:hAnsi="Arial" w:cs="Arial"/>
          <w:highlight w:val="white"/>
        </w:rPr>
        <w:t>11</w:t>
      </w:r>
      <w:r w:rsidRPr="00C51574">
        <w:rPr>
          <w:rFonts w:ascii="Arial" w:eastAsia="Century Gothic" w:hAnsi="Arial" w:cs="Arial"/>
          <w:highlight w:val="white"/>
        </w:rPr>
        <w:t xml:space="preserve"> de </w:t>
      </w:r>
      <w:r w:rsidR="005A22D8" w:rsidRPr="00C51574">
        <w:rPr>
          <w:rFonts w:ascii="Arial" w:eastAsia="Century Gothic" w:hAnsi="Arial" w:cs="Arial"/>
          <w:highlight w:val="white"/>
        </w:rPr>
        <w:t>junio</w:t>
      </w:r>
      <w:r w:rsidRPr="00C51574">
        <w:rPr>
          <w:rFonts w:ascii="Arial" w:eastAsia="Century Gothic" w:hAnsi="Arial" w:cs="Arial"/>
          <w:highlight w:val="white"/>
        </w:rPr>
        <w:t xml:space="preserve"> de 2025. Así mismo fue anuncia</w:t>
      </w:r>
      <w:r w:rsidR="007C57E2" w:rsidRPr="00C51574">
        <w:rPr>
          <w:rFonts w:ascii="Arial" w:eastAsia="Century Gothic" w:hAnsi="Arial" w:cs="Arial"/>
          <w:highlight w:val="white"/>
        </w:rPr>
        <w:t>do entr</w:t>
      </w:r>
      <w:r w:rsidR="005A22D8" w:rsidRPr="00C51574">
        <w:rPr>
          <w:rFonts w:ascii="Arial" w:eastAsia="Century Gothic" w:hAnsi="Arial" w:cs="Arial"/>
          <w:highlight w:val="white"/>
        </w:rPr>
        <w:t>e otras fechas, el día 10</w:t>
      </w:r>
      <w:r w:rsidRPr="00C51574">
        <w:rPr>
          <w:rFonts w:ascii="Arial" w:eastAsia="Century Gothic" w:hAnsi="Arial" w:cs="Arial"/>
          <w:highlight w:val="white"/>
        </w:rPr>
        <w:t xml:space="preserve"> de </w:t>
      </w:r>
      <w:r w:rsidR="005A22D8" w:rsidRPr="00C51574">
        <w:rPr>
          <w:rFonts w:ascii="Arial" w:eastAsia="Century Gothic" w:hAnsi="Arial" w:cs="Arial"/>
          <w:highlight w:val="white"/>
        </w:rPr>
        <w:t>junio</w:t>
      </w:r>
      <w:r w:rsidRPr="00C51574">
        <w:rPr>
          <w:rFonts w:ascii="Arial" w:eastAsia="Century Gothic" w:hAnsi="Arial" w:cs="Arial"/>
          <w:highlight w:val="white"/>
        </w:rPr>
        <w:t xml:space="preserve"> de 2025</w:t>
      </w:r>
      <w:r w:rsidR="007C57E2" w:rsidRPr="00C51574">
        <w:rPr>
          <w:rFonts w:ascii="Arial" w:eastAsia="Century Gothic" w:hAnsi="Arial" w:cs="Arial"/>
          <w:highlight w:val="white"/>
        </w:rPr>
        <w:t xml:space="preserve">, según consta en el Acta No. </w:t>
      </w:r>
      <w:r w:rsidR="005A22D8" w:rsidRPr="00C51574">
        <w:rPr>
          <w:rFonts w:ascii="Arial" w:eastAsia="Century Gothic" w:hAnsi="Arial" w:cs="Arial"/>
          <w:highlight w:val="white"/>
        </w:rPr>
        <w:t>54</w:t>
      </w:r>
      <w:r w:rsidRPr="00C51574">
        <w:rPr>
          <w:rFonts w:ascii="Arial" w:eastAsia="Century Gothic" w:hAnsi="Arial" w:cs="Arial"/>
          <w:highlight w:val="white"/>
        </w:rPr>
        <w:t xml:space="preserve"> de sesión de esa misma fecha.</w:t>
      </w:r>
    </w:p>
    <w:p w:rsidR="00974356" w:rsidRPr="00C51574" w:rsidRDefault="00974356" w:rsidP="00BB4B50">
      <w:pPr>
        <w:tabs>
          <w:tab w:val="left" w:pos="4820"/>
        </w:tabs>
        <w:spacing w:after="0" w:line="276" w:lineRule="auto"/>
        <w:jc w:val="both"/>
        <w:rPr>
          <w:rFonts w:ascii="Arial" w:eastAsia="Century Gothic" w:hAnsi="Arial" w:cs="Arial"/>
          <w:highlight w:val="white"/>
        </w:rPr>
      </w:pPr>
    </w:p>
    <w:p w:rsidR="00974356" w:rsidRPr="00C51574" w:rsidRDefault="00974356" w:rsidP="00BB4B50">
      <w:pPr>
        <w:tabs>
          <w:tab w:val="left" w:pos="4820"/>
        </w:tabs>
        <w:spacing w:after="0" w:line="276" w:lineRule="auto"/>
        <w:jc w:val="both"/>
        <w:rPr>
          <w:rFonts w:ascii="Arial" w:eastAsia="Century Gothic" w:hAnsi="Arial" w:cs="Arial"/>
          <w:highlight w:val="white"/>
        </w:rPr>
      </w:pPr>
    </w:p>
    <w:p w:rsidR="00A92BE9" w:rsidRPr="00C51574" w:rsidRDefault="00A92BE9" w:rsidP="00C7658D">
      <w:pPr>
        <w:tabs>
          <w:tab w:val="left" w:pos="4678"/>
          <w:tab w:val="left" w:pos="5103"/>
        </w:tabs>
        <w:spacing w:after="0" w:line="240" w:lineRule="auto"/>
        <w:rPr>
          <w:rFonts w:ascii="Arial" w:eastAsia="Century Gothic" w:hAnsi="Arial" w:cs="Arial"/>
          <w:b/>
          <w:highlight w:val="white"/>
        </w:rPr>
      </w:pPr>
    </w:p>
    <w:p w:rsidR="005F412B" w:rsidRPr="00C51574" w:rsidRDefault="005F412B" w:rsidP="00C7658D">
      <w:pPr>
        <w:tabs>
          <w:tab w:val="left" w:pos="4678"/>
          <w:tab w:val="left" w:pos="5103"/>
        </w:tabs>
        <w:spacing w:after="0" w:line="240" w:lineRule="auto"/>
        <w:rPr>
          <w:rFonts w:ascii="Arial" w:eastAsia="Century Gothic" w:hAnsi="Arial" w:cs="Arial"/>
          <w:b/>
          <w:highlight w:val="white"/>
        </w:rPr>
      </w:pPr>
    </w:p>
    <w:p w:rsidR="00647FD0" w:rsidRPr="00C51574" w:rsidRDefault="00647FD0" w:rsidP="00C7658D">
      <w:pPr>
        <w:tabs>
          <w:tab w:val="left" w:pos="4678"/>
          <w:tab w:val="left" w:pos="5103"/>
        </w:tabs>
        <w:spacing w:after="0" w:line="240" w:lineRule="auto"/>
        <w:rPr>
          <w:rFonts w:ascii="Arial" w:eastAsia="Century Gothic" w:hAnsi="Arial" w:cs="Arial"/>
          <w:b/>
          <w:highlight w:val="white"/>
        </w:rPr>
      </w:pPr>
    </w:p>
    <w:p w:rsidR="00C7658D" w:rsidRPr="00C51574" w:rsidRDefault="007C57E2" w:rsidP="00C7658D">
      <w:pPr>
        <w:tabs>
          <w:tab w:val="left" w:pos="4678"/>
          <w:tab w:val="left" w:pos="5103"/>
        </w:tabs>
        <w:spacing w:after="0" w:line="240" w:lineRule="auto"/>
        <w:rPr>
          <w:rFonts w:ascii="Arial" w:eastAsia="Century Gothic" w:hAnsi="Arial" w:cs="Arial"/>
          <w:b/>
          <w:highlight w:val="white"/>
        </w:rPr>
      </w:pPr>
      <w:r w:rsidRPr="00C51574">
        <w:rPr>
          <w:rFonts w:ascii="Arial" w:eastAsia="Century Gothic" w:hAnsi="Arial" w:cs="Arial"/>
          <w:b/>
          <w:highlight w:val="white"/>
        </w:rPr>
        <w:t xml:space="preserve">ANA PAOLA GARCÍA SOTO                </w:t>
      </w:r>
      <w:r w:rsidR="00C51574">
        <w:rPr>
          <w:rFonts w:ascii="Arial" w:eastAsia="Century Gothic" w:hAnsi="Arial" w:cs="Arial"/>
          <w:b/>
          <w:highlight w:val="white"/>
        </w:rPr>
        <w:t xml:space="preserve">   </w:t>
      </w:r>
      <w:r w:rsidR="00677333" w:rsidRPr="00C51574">
        <w:rPr>
          <w:rFonts w:ascii="Arial" w:eastAsia="Century Gothic" w:hAnsi="Arial" w:cs="Arial"/>
          <w:b/>
          <w:highlight w:val="white"/>
        </w:rPr>
        <w:t xml:space="preserve">            </w:t>
      </w:r>
      <w:r w:rsidR="005A22D8" w:rsidRPr="00C51574">
        <w:rPr>
          <w:rFonts w:ascii="Arial" w:eastAsia="Century Gothic" w:hAnsi="Arial" w:cs="Arial"/>
          <w:b/>
          <w:highlight w:val="white"/>
        </w:rPr>
        <w:t>KARYME A. COTES MARTÍNEZ</w:t>
      </w:r>
    </w:p>
    <w:p w:rsidR="00C7658D" w:rsidRPr="00C51574" w:rsidRDefault="00A92BE9" w:rsidP="00C7658D">
      <w:pPr>
        <w:tabs>
          <w:tab w:val="left" w:pos="4678"/>
          <w:tab w:val="left" w:pos="5103"/>
        </w:tabs>
        <w:spacing w:after="0" w:line="240" w:lineRule="auto"/>
        <w:rPr>
          <w:rFonts w:ascii="Arial" w:eastAsia="Century Gothic" w:hAnsi="Arial" w:cs="Arial"/>
          <w:highlight w:val="white"/>
        </w:rPr>
      </w:pPr>
      <w:r w:rsidRPr="00C51574">
        <w:rPr>
          <w:rFonts w:ascii="Arial" w:eastAsia="Century Gothic" w:hAnsi="Arial" w:cs="Arial"/>
          <w:highlight w:val="white"/>
        </w:rPr>
        <w:t xml:space="preserve">Ponente </w:t>
      </w:r>
      <w:r w:rsidR="007C57E2" w:rsidRPr="00C51574">
        <w:rPr>
          <w:rFonts w:ascii="Arial" w:eastAsia="Century Gothic" w:hAnsi="Arial" w:cs="Arial"/>
          <w:highlight w:val="white"/>
        </w:rPr>
        <w:t xml:space="preserve">Coordinadora                           </w:t>
      </w:r>
      <w:r w:rsidR="00677333" w:rsidRPr="00C51574">
        <w:rPr>
          <w:rFonts w:ascii="Arial" w:eastAsia="Century Gothic" w:hAnsi="Arial" w:cs="Arial"/>
          <w:highlight w:val="white"/>
        </w:rPr>
        <w:t xml:space="preserve">     </w:t>
      </w:r>
      <w:r w:rsidR="005A22D8" w:rsidRPr="00C51574">
        <w:rPr>
          <w:rFonts w:ascii="Arial" w:eastAsia="Century Gothic" w:hAnsi="Arial" w:cs="Arial"/>
          <w:highlight w:val="white"/>
        </w:rPr>
        <w:t xml:space="preserve">          Ponente Coordinadora</w:t>
      </w:r>
    </w:p>
    <w:p w:rsidR="00A92BE9" w:rsidRPr="00C51574" w:rsidRDefault="00A92BE9" w:rsidP="00A92BE9">
      <w:pPr>
        <w:tabs>
          <w:tab w:val="left" w:pos="4678"/>
          <w:tab w:val="left" w:pos="5103"/>
        </w:tabs>
        <w:spacing w:after="0" w:line="240" w:lineRule="auto"/>
        <w:rPr>
          <w:rFonts w:ascii="Arial" w:eastAsia="Century Gothic" w:hAnsi="Arial" w:cs="Arial"/>
        </w:rPr>
      </w:pPr>
    </w:p>
    <w:p w:rsidR="00A92BE9" w:rsidRPr="00C51574" w:rsidRDefault="00A92BE9" w:rsidP="00A92BE9">
      <w:pPr>
        <w:tabs>
          <w:tab w:val="left" w:pos="4678"/>
          <w:tab w:val="left" w:pos="5103"/>
        </w:tabs>
        <w:spacing w:after="0" w:line="240" w:lineRule="auto"/>
        <w:rPr>
          <w:rFonts w:ascii="Arial" w:eastAsia="Century Gothic" w:hAnsi="Arial" w:cs="Arial"/>
        </w:rPr>
      </w:pPr>
    </w:p>
    <w:p w:rsidR="005A22D8" w:rsidRPr="00C51574" w:rsidRDefault="005A22D8" w:rsidP="005A22D8">
      <w:pPr>
        <w:tabs>
          <w:tab w:val="left" w:pos="4678"/>
          <w:tab w:val="left" w:pos="5103"/>
        </w:tabs>
        <w:spacing w:after="0" w:line="240" w:lineRule="auto"/>
        <w:rPr>
          <w:rFonts w:ascii="Arial" w:eastAsia="Century Gothic" w:hAnsi="Arial" w:cs="Arial"/>
          <w:b/>
        </w:rPr>
      </w:pPr>
      <w:r w:rsidRPr="00C51574">
        <w:rPr>
          <w:rFonts w:ascii="Arial" w:eastAsia="Century Gothic" w:hAnsi="Arial" w:cs="Arial"/>
          <w:b/>
        </w:rPr>
        <w:t>JUAN SEBASTIÁN GÓMEZ GONZÁLES</w:t>
      </w:r>
      <w:proofErr w:type="gramStart"/>
      <w:r w:rsidRPr="00C51574">
        <w:rPr>
          <w:rFonts w:ascii="Arial" w:eastAsia="Century Gothic" w:hAnsi="Arial" w:cs="Arial"/>
          <w:b/>
        </w:rPr>
        <w:tab/>
      </w:r>
      <w:r w:rsidR="00C51574">
        <w:rPr>
          <w:rFonts w:ascii="Arial" w:eastAsia="Century Gothic" w:hAnsi="Arial" w:cs="Arial"/>
          <w:b/>
        </w:rPr>
        <w:t xml:space="preserve">  AMPARO</w:t>
      </w:r>
      <w:proofErr w:type="gramEnd"/>
      <w:r w:rsidR="00C51574">
        <w:rPr>
          <w:rFonts w:ascii="Arial" w:eastAsia="Century Gothic" w:hAnsi="Arial" w:cs="Arial"/>
          <w:b/>
        </w:rPr>
        <w:t xml:space="preserve"> Y. </w:t>
      </w:r>
      <w:r w:rsidRPr="00C51574">
        <w:rPr>
          <w:rFonts w:ascii="Arial" w:eastAsia="Century Gothic" w:hAnsi="Arial" w:cs="Arial"/>
          <w:b/>
        </w:rPr>
        <w:t>CALDERON PERDOMO</w:t>
      </w:r>
    </w:p>
    <w:p w:rsidR="005F412B" w:rsidRPr="00C51574" w:rsidRDefault="005A22D8" w:rsidP="00A92BE9">
      <w:pPr>
        <w:tabs>
          <w:tab w:val="left" w:pos="4678"/>
          <w:tab w:val="left" w:pos="5103"/>
        </w:tabs>
        <w:spacing w:after="0" w:line="240" w:lineRule="auto"/>
        <w:rPr>
          <w:rFonts w:ascii="Arial" w:eastAsia="Century Gothic" w:hAnsi="Arial" w:cs="Arial"/>
        </w:rPr>
      </w:pPr>
      <w:r w:rsidRPr="00C51574">
        <w:rPr>
          <w:rFonts w:ascii="Arial" w:eastAsia="Century Gothic" w:hAnsi="Arial" w:cs="Arial"/>
        </w:rPr>
        <w:t>Vicepresidente</w:t>
      </w:r>
      <w:proofErr w:type="gramStart"/>
      <w:r w:rsidRPr="00C51574">
        <w:rPr>
          <w:rFonts w:ascii="Arial" w:eastAsia="Century Gothic" w:hAnsi="Arial" w:cs="Arial"/>
        </w:rPr>
        <w:tab/>
      </w:r>
      <w:r w:rsidR="00C51574">
        <w:rPr>
          <w:rFonts w:ascii="Arial" w:eastAsia="Century Gothic" w:hAnsi="Arial" w:cs="Arial"/>
        </w:rPr>
        <w:t xml:space="preserve">  </w:t>
      </w:r>
      <w:r w:rsidRPr="00C51574">
        <w:rPr>
          <w:rFonts w:ascii="Arial" w:eastAsia="Century Gothic" w:hAnsi="Arial" w:cs="Arial"/>
        </w:rPr>
        <w:t>Secretaria</w:t>
      </w:r>
      <w:proofErr w:type="gramEnd"/>
    </w:p>
    <w:p w:rsidR="00A92BE9" w:rsidRPr="00C51574" w:rsidRDefault="00A92BE9" w:rsidP="00A92BE9">
      <w:pPr>
        <w:tabs>
          <w:tab w:val="left" w:pos="4678"/>
          <w:tab w:val="left" w:pos="5103"/>
        </w:tabs>
        <w:spacing w:after="0" w:line="240" w:lineRule="auto"/>
        <w:rPr>
          <w:rFonts w:ascii="Arial" w:eastAsia="Century Gothic" w:hAnsi="Arial" w:cs="Arial"/>
        </w:rPr>
      </w:pPr>
    </w:p>
    <w:p w:rsidR="008C485F" w:rsidRPr="00C51574" w:rsidRDefault="007042B0" w:rsidP="00A92BE9">
      <w:pPr>
        <w:tabs>
          <w:tab w:val="left" w:pos="4678"/>
          <w:tab w:val="left" w:pos="5103"/>
        </w:tabs>
        <w:spacing w:after="0" w:line="240" w:lineRule="auto"/>
        <w:rPr>
          <w:rFonts w:ascii="Arial" w:eastAsia="Arial Narrow" w:hAnsi="Arial" w:cs="Arial"/>
          <w:color w:val="000000"/>
        </w:rPr>
      </w:pPr>
      <w:r w:rsidRPr="00C51574">
        <w:rPr>
          <w:rFonts w:ascii="Arial" w:eastAsia="Century Gothic" w:hAnsi="Arial" w:cs="Arial"/>
          <w:b/>
        </w:rPr>
        <w:t xml:space="preserve">  </w:t>
      </w:r>
      <w:r w:rsidR="007C57E2" w:rsidRPr="00C51574">
        <w:rPr>
          <w:rFonts w:ascii="Arial" w:eastAsia="Century Gothic" w:hAnsi="Arial" w:cs="Arial"/>
          <w:b/>
        </w:rPr>
        <w:t xml:space="preserve">                        </w:t>
      </w:r>
      <w:r w:rsidRPr="00C51574">
        <w:rPr>
          <w:rFonts w:ascii="Arial" w:eastAsia="Century Gothic" w:hAnsi="Arial" w:cs="Arial"/>
          <w:b/>
        </w:rPr>
        <w:t xml:space="preserve"> </w:t>
      </w:r>
      <w:r w:rsidR="00677333" w:rsidRPr="00C51574">
        <w:rPr>
          <w:rFonts w:ascii="Arial" w:eastAsia="Century Gothic" w:hAnsi="Arial" w:cs="Arial"/>
          <w:b/>
        </w:rPr>
        <w:t xml:space="preserve">            </w:t>
      </w:r>
      <w:r w:rsidR="007C57E2" w:rsidRPr="00C51574">
        <w:rPr>
          <w:rFonts w:ascii="Arial" w:eastAsia="Century Gothic" w:hAnsi="Arial" w:cs="Arial"/>
          <w:highlight w:val="white"/>
        </w:rPr>
        <w:t xml:space="preserve">                       </w:t>
      </w:r>
      <w:r w:rsidRPr="00C51574">
        <w:rPr>
          <w:rFonts w:ascii="Arial" w:eastAsia="Century Gothic" w:hAnsi="Arial" w:cs="Arial"/>
          <w:highlight w:val="white"/>
        </w:rPr>
        <w:t xml:space="preserve">                             </w:t>
      </w:r>
      <w:r w:rsidR="00677333" w:rsidRPr="00C51574">
        <w:rPr>
          <w:rFonts w:ascii="Arial" w:eastAsia="Century Gothic" w:hAnsi="Arial" w:cs="Arial"/>
          <w:highlight w:val="white"/>
        </w:rPr>
        <w:t xml:space="preserve">                </w:t>
      </w:r>
    </w:p>
    <w:sectPr w:rsidR="008C485F" w:rsidRPr="00C51574"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7C0" w:rsidRDefault="00CB67C0" w:rsidP="002B77F9">
      <w:pPr>
        <w:spacing w:after="0" w:line="240" w:lineRule="auto"/>
      </w:pPr>
      <w:r>
        <w:separator/>
      </w:r>
    </w:p>
  </w:endnote>
  <w:endnote w:type="continuationSeparator" w:id="0">
    <w:p w:rsidR="00CB67C0" w:rsidRDefault="00CB67C0"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AE64EC" w:rsidRPr="00F31B05" w:rsidRDefault="00AE64EC"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AE64EC" w:rsidRPr="00CA7BFC" w:rsidRDefault="00AE64EC"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AE64EC" w:rsidRDefault="00AE64EC"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7C0" w:rsidRDefault="00CB67C0" w:rsidP="002B77F9">
      <w:pPr>
        <w:spacing w:after="0" w:line="240" w:lineRule="auto"/>
      </w:pPr>
      <w:r>
        <w:separator/>
      </w:r>
    </w:p>
  </w:footnote>
  <w:footnote w:type="continuationSeparator" w:id="0">
    <w:p w:rsidR="00CB67C0" w:rsidRDefault="00CB67C0"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4EC" w:rsidRDefault="00CB67C0" w:rsidP="00C72FDB">
    <w:pPr>
      <w:pStyle w:val="Encabezado"/>
      <w:jc w:val="center"/>
    </w:pPr>
    <w:sdt>
      <w:sdtPr>
        <w:id w:val="1036773030"/>
        <w:docPartObj>
          <w:docPartGallery w:val="Page Numbers (Margins)"/>
          <w:docPartUnique/>
        </w:docPartObj>
      </w:sdtPr>
      <w:sdtEndPr/>
      <w:sdtContent>
        <w:r w:rsidR="00AE64EC">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4EC" w:rsidRDefault="00AE64EC">
                              <w:pPr>
                                <w:pBdr>
                                  <w:bottom w:val="single" w:sz="4" w:space="1" w:color="auto"/>
                                </w:pBdr>
                              </w:pPr>
                              <w:r>
                                <w:fldChar w:fldCharType="begin"/>
                              </w:r>
                              <w:r>
                                <w:instrText>PAGE   \* MERGEFORMAT</w:instrText>
                              </w:r>
                              <w:r>
                                <w:fldChar w:fldCharType="separate"/>
                              </w:r>
                              <w:r w:rsidR="000F23B9" w:rsidRPr="000F23B9">
                                <w:rPr>
                                  <w:noProof/>
                                  <w:lang w:val="es-ES"/>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7"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AE64EC" w:rsidRDefault="00AE64EC">
                        <w:pPr>
                          <w:pBdr>
                            <w:bottom w:val="single" w:sz="4" w:space="1" w:color="auto"/>
                          </w:pBdr>
                        </w:pPr>
                        <w:r>
                          <w:fldChar w:fldCharType="begin"/>
                        </w:r>
                        <w:r>
                          <w:instrText>PAGE   \* MERGEFORMAT</w:instrText>
                        </w:r>
                        <w:r>
                          <w:fldChar w:fldCharType="separate"/>
                        </w:r>
                        <w:r w:rsidR="000F23B9" w:rsidRPr="000F23B9">
                          <w:rPr>
                            <w:noProof/>
                            <w:lang w:val="es-ES"/>
                          </w:rPr>
                          <w:t>4</w:t>
                        </w:r>
                        <w:r>
                          <w:fldChar w:fldCharType="end"/>
                        </w:r>
                      </w:p>
                    </w:txbxContent>
                  </v:textbox>
                  <w10:wrap anchorx="margin" anchory="margin"/>
                </v:rect>
              </w:pict>
            </mc:Fallback>
          </mc:AlternateContent>
        </w:r>
      </w:sdtContent>
    </w:sdt>
    <w:r w:rsidR="00AE64EC">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AE64EC" w:rsidRDefault="00AE64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F8763F"/>
    <w:multiLevelType w:val="multilevel"/>
    <w:tmpl w:val="5DD665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3DD2EEF"/>
    <w:multiLevelType w:val="multilevel"/>
    <w:tmpl w:val="7C0C4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15:restartNumberingAfterBreak="0">
    <w:nsid w:val="15DD7E67"/>
    <w:multiLevelType w:val="multilevel"/>
    <w:tmpl w:val="206402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19C667F3"/>
    <w:multiLevelType w:val="multilevel"/>
    <w:tmpl w:val="252C6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15:restartNumberingAfterBreak="0">
    <w:nsid w:val="1BFA0DC1"/>
    <w:multiLevelType w:val="multilevel"/>
    <w:tmpl w:val="8F788B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F653D3"/>
    <w:multiLevelType w:val="multilevel"/>
    <w:tmpl w:val="39165556"/>
    <w:lvl w:ilvl="0">
      <w:start w:val="1"/>
      <w:numFmt w:val="decimal"/>
      <w:lvlText w:val="%1."/>
      <w:lvlJc w:val="left"/>
      <w:pPr>
        <w:ind w:left="720" w:hanging="360"/>
      </w:pPr>
      <w:rPr>
        <w:b/>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87D5EAD"/>
    <w:multiLevelType w:val="multilevel"/>
    <w:tmpl w:val="C84A5B8E"/>
    <w:lvl w:ilvl="0">
      <w:start w:val="5"/>
      <w:numFmt w:val="decimal"/>
      <w:lvlText w:val="%1."/>
      <w:lvlJc w:val="left"/>
      <w:pPr>
        <w:ind w:left="360" w:hanging="360"/>
      </w:pPr>
      <w:rPr>
        <w:i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6" w15:restartNumberingAfterBreak="0">
    <w:nsid w:val="3BD81A76"/>
    <w:multiLevelType w:val="multilevel"/>
    <w:tmpl w:val="CFD807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7" w15:restartNumberingAfterBreak="0">
    <w:nsid w:val="3C5D7FE3"/>
    <w:multiLevelType w:val="multilevel"/>
    <w:tmpl w:val="F42035DE"/>
    <w:lvl w:ilvl="0">
      <w:start w:val="4"/>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E6423FF"/>
    <w:multiLevelType w:val="multilevel"/>
    <w:tmpl w:val="5F162B50"/>
    <w:lvl w:ilvl="0">
      <w:start w:val="1"/>
      <w:numFmt w:val="decimal"/>
      <w:lvlText w:val="%1."/>
      <w:lvlJc w:val="left"/>
      <w:pPr>
        <w:ind w:left="842" w:hanging="421"/>
      </w:pPr>
      <w:rPr>
        <w:rFonts w:ascii="Century Gothic" w:eastAsia="Century Gothic" w:hAnsi="Century Gothic" w:cs="Century Gothic"/>
        <w:sz w:val="24"/>
        <w:szCs w:val="24"/>
      </w:rPr>
    </w:lvl>
    <w:lvl w:ilvl="1">
      <w:numFmt w:val="bullet"/>
      <w:lvlText w:val="•"/>
      <w:lvlJc w:val="left"/>
      <w:pPr>
        <w:ind w:left="1784" w:hanging="421"/>
      </w:pPr>
    </w:lvl>
    <w:lvl w:ilvl="2">
      <w:numFmt w:val="bullet"/>
      <w:lvlText w:val="•"/>
      <w:lvlJc w:val="left"/>
      <w:pPr>
        <w:ind w:left="2726" w:hanging="420"/>
      </w:pPr>
    </w:lvl>
    <w:lvl w:ilvl="3">
      <w:numFmt w:val="bullet"/>
      <w:lvlText w:val="•"/>
      <w:lvlJc w:val="left"/>
      <w:pPr>
        <w:ind w:left="3668" w:hanging="421"/>
      </w:pPr>
    </w:lvl>
    <w:lvl w:ilvl="4">
      <w:numFmt w:val="bullet"/>
      <w:lvlText w:val="•"/>
      <w:lvlJc w:val="left"/>
      <w:pPr>
        <w:ind w:left="4610" w:hanging="421"/>
      </w:pPr>
    </w:lvl>
    <w:lvl w:ilvl="5">
      <w:numFmt w:val="bullet"/>
      <w:lvlText w:val="•"/>
      <w:lvlJc w:val="left"/>
      <w:pPr>
        <w:ind w:left="5552" w:hanging="421"/>
      </w:pPr>
    </w:lvl>
    <w:lvl w:ilvl="6">
      <w:numFmt w:val="bullet"/>
      <w:lvlText w:val="•"/>
      <w:lvlJc w:val="left"/>
      <w:pPr>
        <w:ind w:left="6494" w:hanging="421"/>
      </w:pPr>
    </w:lvl>
    <w:lvl w:ilvl="7">
      <w:numFmt w:val="bullet"/>
      <w:lvlText w:val="•"/>
      <w:lvlJc w:val="left"/>
      <w:pPr>
        <w:ind w:left="7436" w:hanging="421"/>
      </w:pPr>
    </w:lvl>
    <w:lvl w:ilvl="8">
      <w:numFmt w:val="bullet"/>
      <w:lvlText w:val="•"/>
      <w:lvlJc w:val="left"/>
      <w:pPr>
        <w:ind w:left="8378" w:hanging="421"/>
      </w:pPr>
    </w:lvl>
  </w:abstractNum>
  <w:abstractNum w:abstractNumId="21" w15:restartNumberingAfterBreak="0">
    <w:nsid w:val="546021DA"/>
    <w:multiLevelType w:val="multilevel"/>
    <w:tmpl w:val="A9406D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2" w15:restartNumberingAfterBreak="0">
    <w:nsid w:val="55781341"/>
    <w:multiLevelType w:val="multilevel"/>
    <w:tmpl w:val="ADB454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CEE5C5E"/>
    <w:multiLevelType w:val="multilevel"/>
    <w:tmpl w:val="9A5436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9"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462EA8"/>
    <w:multiLevelType w:val="multilevel"/>
    <w:tmpl w:val="2C0AFA8C"/>
    <w:lvl w:ilvl="0">
      <w:start w:val="1"/>
      <w:numFmt w:val="decimal"/>
      <w:lvlText w:val="%1."/>
      <w:lvlJc w:val="left"/>
      <w:pPr>
        <w:ind w:left="720" w:hanging="360"/>
      </w:pPr>
    </w:lvl>
    <w:lvl w:ilvl="1">
      <w:start w:val="1"/>
      <w:numFmt w:val="decimal"/>
      <w:lvlText w:val="%1.%2."/>
      <w:lvlJc w:val="left"/>
      <w:pPr>
        <w:ind w:left="720" w:hanging="360"/>
      </w:pPr>
      <w:rPr>
        <w:b/>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5" w15:restartNumberingAfterBreak="0">
    <w:nsid w:val="65D724B4"/>
    <w:multiLevelType w:val="hybridMultilevel"/>
    <w:tmpl w:val="CDFA6D24"/>
    <w:lvl w:ilvl="0" w:tplc="DDD4C518">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639690B"/>
    <w:multiLevelType w:val="multilevel"/>
    <w:tmpl w:val="0B8A00A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18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18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180"/>
      </w:pPr>
      <w:rPr>
        <w:u w:val="none"/>
      </w:rPr>
    </w:lvl>
  </w:abstractNum>
  <w:abstractNum w:abstractNumId="37"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38" w15:restartNumberingAfterBreak="0">
    <w:nsid w:val="71231DD1"/>
    <w:multiLevelType w:val="multilevel"/>
    <w:tmpl w:val="1994BCBC"/>
    <w:lvl w:ilvl="0">
      <w:start w:val="1"/>
      <w:numFmt w:val="lowerLetter"/>
      <w:lvlText w:val="%1."/>
      <w:lvlJc w:val="left"/>
      <w:pPr>
        <w:ind w:left="709" w:hanging="359"/>
      </w:pPr>
      <w:rPr>
        <w:rFonts w:ascii="Calibri" w:eastAsia="Calibri" w:hAnsi="Calibri" w:cs="Calibri"/>
        <w:b/>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9"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3"/>
  </w:num>
  <w:num w:numId="3">
    <w:abstractNumId w:val="19"/>
  </w:num>
  <w:num w:numId="4">
    <w:abstractNumId w:val="1"/>
  </w:num>
  <w:num w:numId="5">
    <w:abstractNumId w:val="2"/>
  </w:num>
  <w:num w:numId="6">
    <w:abstractNumId w:val="12"/>
  </w:num>
  <w:num w:numId="7">
    <w:abstractNumId w:val="0"/>
  </w:num>
  <w:num w:numId="8">
    <w:abstractNumId w:val="27"/>
  </w:num>
  <w:num w:numId="9">
    <w:abstractNumId w:val="14"/>
  </w:num>
  <w:num w:numId="10">
    <w:abstractNumId w:val="23"/>
  </w:num>
  <w:num w:numId="11">
    <w:abstractNumId w:val="41"/>
  </w:num>
  <w:num w:numId="12">
    <w:abstractNumId w:val="31"/>
  </w:num>
  <w:num w:numId="13">
    <w:abstractNumId w:val="40"/>
  </w:num>
  <w:num w:numId="14">
    <w:abstractNumId w:val="29"/>
  </w:num>
  <w:num w:numId="15">
    <w:abstractNumId w:val="26"/>
  </w:num>
  <w:num w:numId="16">
    <w:abstractNumId w:val="34"/>
  </w:num>
  <w:num w:numId="17">
    <w:abstractNumId w:val="25"/>
  </w:num>
  <w:num w:numId="18">
    <w:abstractNumId w:val="4"/>
  </w:num>
  <w:num w:numId="19">
    <w:abstractNumId w:val="5"/>
  </w:num>
  <w:num w:numId="20">
    <w:abstractNumId w:val="37"/>
  </w:num>
  <w:num w:numId="21">
    <w:abstractNumId w:val="32"/>
  </w:num>
  <w:num w:numId="22">
    <w:abstractNumId w:val="30"/>
  </w:num>
  <w:num w:numId="23">
    <w:abstractNumId w:val="24"/>
  </w:num>
  <w:num w:numId="24">
    <w:abstractNumId w:val="39"/>
  </w:num>
  <w:num w:numId="25">
    <w:abstractNumId w:val="18"/>
  </w:num>
  <w:num w:numId="26">
    <w:abstractNumId w:val="33"/>
  </w:num>
  <w:num w:numId="27">
    <w:abstractNumId w:val="11"/>
  </w:num>
  <w:num w:numId="28">
    <w:abstractNumId w:val="38"/>
  </w:num>
  <w:num w:numId="29">
    <w:abstractNumId w:val="15"/>
  </w:num>
  <w:num w:numId="30">
    <w:abstractNumId w:val="20"/>
  </w:num>
  <w:num w:numId="31">
    <w:abstractNumId w:val="22"/>
  </w:num>
  <w:num w:numId="32">
    <w:abstractNumId w:val="8"/>
  </w:num>
  <w:num w:numId="33">
    <w:abstractNumId w:val="36"/>
  </w:num>
  <w:num w:numId="34">
    <w:abstractNumId w:val="16"/>
  </w:num>
  <w:num w:numId="35">
    <w:abstractNumId w:val="6"/>
  </w:num>
  <w:num w:numId="36">
    <w:abstractNumId w:val="7"/>
  </w:num>
  <w:num w:numId="37">
    <w:abstractNumId w:val="3"/>
  </w:num>
  <w:num w:numId="38">
    <w:abstractNumId w:val="21"/>
  </w:num>
  <w:num w:numId="39">
    <w:abstractNumId w:val="28"/>
  </w:num>
  <w:num w:numId="40">
    <w:abstractNumId w:val="17"/>
  </w:num>
  <w:num w:numId="41">
    <w:abstractNumId w:val="9"/>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5734B"/>
    <w:rsid w:val="00060965"/>
    <w:rsid w:val="00071BE2"/>
    <w:rsid w:val="00072389"/>
    <w:rsid w:val="000A348D"/>
    <w:rsid w:val="000B2703"/>
    <w:rsid w:val="000B431C"/>
    <w:rsid w:val="000B4D84"/>
    <w:rsid w:val="000B7306"/>
    <w:rsid w:val="000F23B9"/>
    <w:rsid w:val="001066C3"/>
    <w:rsid w:val="00130B13"/>
    <w:rsid w:val="00130C64"/>
    <w:rsid w:val="00133C16"/>
    <w:rsid w:val="00154066"/>
    <w:rsid w:val="00164B4F"/>
    <w:rsid w:val="00187F26"/>
    <w:rsid w:val="0019687F"/>
    <w:rsid w:val="001A730E"/>
    <w:rsid w:val="001B1713"/>
    <w:rsid w:val="001B59F5"/>
    <w:rsid w:val="001B5DC1"/>
    <w:rsid w:val="001C02DA"/>
    <w:rsid w:val="001D46E7"/>
    <w:rsid w:val="001D7CDA"/>
    <w:rsid w:val="001E5470"/>
    <w:rsid w:val="001F1108"/>
    <w:rsid w:val="001F2372"/>
    <w:rsid w:val="001F2C00"/>
    <w:rsid w:val="001F4B8D"/>
    <w:rsid w:val="00205249"/>
    <w:rsid w:val="00210E09"/>
    <w:rsid w:val="002165D6"/>
    <w:rsid w:val="002227A1"/>
    <w:rsid w:val="0023152C"/>
    <w:rsid w:val="00234747"/>
    <w:rsid w:val="00234FE5"/>
    <w:rsid w:val="002502B4"/>
    <w:rsid w:val="0025197F"/>
    <w:rsid w:val="00255D5C"/>
    <w:rsid w:val="00260D6F"/>
    <w:rsid w:val="002743DF"/>
    <w:rsid w:val="00286D4E"/>
    <w:rsid w:val="002A00E2"/>
    <w:rsid w:val="002A29A3"/>
    <w:rsid w:val="002A3EA0"/>
    <w:rsid w:val="002B541B"/>
    <w:rsid w:val="002B6AF6"/>
    <w:rsid w:val="002B77F9"/>
    <w:rsid w:val="002D1D2E"/>
    <w:rsid w:val="002D7DBF"/>
    <w:rsid w:val="002E25CA"/>
    <w:rsid w:val="002F02B3"/>
    <w:rsid w:val="002F539C"/>
    <w:rsid w:val="00303D5A"/>
    <w:rsid w:val="00311769"/>
    <w:rsid w:val="00321326"/>
    <w:rsid w:val="00323601"/>
    <w:rsid w:val="00335045"/>
    <w:rsid w:val="00342B29"/>
    <w:rsid w:val="00355892"/>
    <w:rsid w:val="003604D0"/>
    <w:rsid w:val="0037348B"/>
    <w:rsid w:val="003760F5"/>
    <w:rsid w:val="00376F05"/>
    <w:rsid w:val="003830E9"/>
    <w:rsid w:val="00384FE4"/>
    <w:rsid w:val="003873C2"/>
    <w:rsid w:val="00387BD8"/>
    <w:rsid w:val="00393CA3"/>
    <w:rsid w:val="00394EAC"/>
    <w:rsid w:val="003961DF"/>
    <w:rsid w:val="00397D10"/>
    <w:rsid w:val="003B0401"/>
    <w:rsid w:val="003B544C"/>
    <w:rsid w:val="003C4239"/>
    <w:rsid w:val="003F126E"/>
    <w:rsid w:val="003F5C5D"/>
    <w:rsid w:val="003F7B98"/>
    <w:rsid w:val="003F7F52"/>
    <w:rsid w:val="00413118"/>
    <w:rsid w:val="00415052"/>
    <w:rsid w:val="00420B8D"/>
    <w:rsid w:val="0043525D"/>
    <w:rsid w:val="00436F33"/>
    <w:rsid w:val="00443168"/>
    <w:rsid w:val="004453D9"/>
    <w:rsid w:val="004457EB"/>
    <w:rsid w:val="00463B62"/>
    <w:rsid w:val="00464F20"/>
    <w:rsid w:val="00464F6C"/>
    <w:rsid w:val="004730CF"/>
    <w:rsid w:val="00485F9F"/>
    <w:rsid w:val="00487B58"/>
    <w:rsid w:val="0049097B"/>
    <w:rsid w:val="004A788F"/>
    <w:rsid w:val="004C0174"/>
    <w:rsid w:val="004C05B3"/>
    <w:rsid w:val="004C367F"/>
    <w:rsid w:val="004C57E9"/>
    <w:rsid w:val="004C5D69"/>
    <w:rsid w:val="004D4AE0"/>
    <w:rsid w:val="004D759E"/>
    <w:rsid w:val="004E0ECA"/>
    <w:rsid w:val="005056F4"/>
    <w:rsid w:val="00511ED4"/>
    <w:rsid w:val="00514173"/>
    <w:rsid w:val="00516271"/>
    <w:rsid w:val="00520C0E"/>
    <w:rsid w:val="00531BD8"/>
    <w:rsid w:val="00535873"/>
    <w:rsid w:val="0054460A"/>
    <w:rsid w:val="00546013"/>
    <w:rsid w:val="0054784F"/>
    <w:rsid w:val="00554A09"/>
    <w:rsid w:val="005648D5"/>
    <w:rsid w:val="00566713"/>
    <w:rsid w:val="0057315F"/>
    <w:rsid w:val="00592B55"/>
    <w:rsid w:val="00594CA0"/>
    <w:rsid w:val="005A22D8"/>
    <w:rsid w:val="005A2CA1"/>
    <w:rsid w:val="005B41D2"/>
    <w:rsid w:val="005B4CE4"/>
    <w:rsid w:val="005C604F"/>
    <w:rsid w:val="005D4583"/>
    <w:rsid w:val="005D4CF6"/>
    <w:rsid w:val="005E17D9"/>
    <w:rsid w:val="005F412B"/>
    <w:rsid w:val="00615662"/>
    <w:rsid w:val="006156D8"/>
    <w:rsid w:val="00617D5F"/>
    <w:rsid w:val="006232F7"/>
    <w:rsid w:val="006263B1"/>
    <w:rsid w:val="006466D3"/>
    <w:rsid w:val="00647FD0"/>
    <w:rsid w:val="00651F09"/>
    <w:rsid w:val="00657E26"/>
    <w:rsid w:val="006729F8"/>
    <w:rsid w:val="00673CBF"/>
    <w:rsid w:val="00674257"/>
    <w:rsid w:val="00677333"/>
    <w:rsid w:val="006842AA"/>
    <w:rsid w:val="00685C7B"/>
    <w:rsid w:val="00692D9C"/>
    <w:rsid w:val="006A040C"/>
    <w:rsid w:val="006A2114"/>
    <w:rsid w:val="006A31E0"/>
    <w:rsid w:val="006A433F"/>
    <w:rsid w:val="006A6080"/>
    <w:rsid w:val="006B2B1C"/>
    <w:rsid w:val="006C2025"/>
    <w:rsid w:val="006C370B"/>
    <w:rsid w:val="006E2C22"/>
    <w:rsid w:val="006E3F60"/>
    <w:rsid w:val="006E4320"/>
    <w:rsid w:val="006F5535"/>
    <w:rsid w:val="007032B8"/>
    <w:rsid w:val="007042B0"/>
    <w:rsid w:val="007118F9"/>
    <w:rsid w:val="007373F0"/>
    <w:rsid w:val="00740FC1"/>
    <w:rsid w:val="00741F4B"/>
    <w:rsid w:val="007523F7"/>
    <w:rsid w:val="00752442"/>
    <w:rsid w:val="00752B02"/>
    <w:rsid w:val="00752CA5"/>
    <w:rsid w:val="00762CE9"/>
    <w:rsid w:val="0076593F"/>
    <w:rsid w:val="00767102"/>
    <w:rsid w:val="00770A1E"/>
    <w:rsid w:val="00771926"/>
    <w:rsid w:val="00784634"/>
    <w:rsid w:val="00791199"/>
    <w:rsid w:val="00797788"/>
    <w:rsid w:val="007A27BF"/>
    <w:rsid w:val="007A64EA"/>
    <w:rsid w:val="007B04B8"/>
    <w:rsid w:val="007C1176"/>
    <w:rsid w:val="007C2835"/>
    <w:rsid w:val="007C57E2"/>
    <w:rsid w:val="007C791A"/>
    <w:rsid w:val="007D2B23"/>
    <w:rsid w:val="007F02A1"/>
    <w:rsid w:val="0080000F"/>
    <w:rsid w:val="0081409F"/>
    <w:rsid w:val="00820746"/>
    <w:rsid w:val="00820AC5"/>
    <w:rsid w:val="008214EF"/>
    <w:rsid w:val="0083563E"/>
    <w:rsid w:val="008356FB"/>
    <w:rsid w:val="00836D1A"/>
    <w:rsid w:val="0084068F"/>
    <w:rsid w:val="00864666"/>
    <w:rsid w:val="00864E81"/>
    <w:rsid w:val="00890E7E"/>
    <w:rsid w:val="008948A9"/>
    <w:rsid w:val="008C0270"/>
    <w:rsid w:val="008C485F"/>
    <w:rsid w:val="008C4F3D"/>
    <w:rsid w:val="008C5463"/>
    <w:rsid w:val="008C5C63"/>
    <w:rsid w:val="008D5251"/>
    <w:rsid w:val="008D78C3"/>
    <w:rsid w:val="008F3182"/>
    <w:rsid w:val="008F48EF"/>
    <w:rsid w:val="0090281F"/>
    <w:rsid w:val="00911D10"/>
    <w:rsid w:val="009175B2"/>
    <w:rsid w:val="009230CE"/>
    <w:rsid w:val="00923E69"/>
    <w:rsid w:val="00930B4E"/>
    <w:rsid w:val="0093261F"/>
    <w:rsid w:val="009338BD"/>
    <w:rsid w:val="00933BB6"/>
    <w:rsid w:val="00937188"/>
    <w:rsid w:val="00971B33"/>
    <w:rsid w:val="00974356"/>
    <w:rsid w:val="00980BCD"/>
    <w:rsid w:val="00986396"/>
    <w:rsid w:val="009927DB"/>
    <w:rsid w:val="00993253"/>
    <w:rsid w:val="0099350E"/>
    <w:rsid w:val="00993DA6"/>
    <w:rsid w:val="009A138B"/>
    <w:rsid w:val="009A58FC"/>
    <w:rsid w:val="009B53F3"/>
    <w:rsid w:val="009B67AC"/>
    <w:rsid w:val="009C12A5"/>
    <w:rsid w:val="009F327E"/>
    <w:rsid w:val="009F5598"/>
    <w:rsid w:val="00A22D16"/>
    <w:rsid w:val="00A25E23"/>
    <w:rsid w:val="00A374D6"/>
    <w:rsid w:val="00A43CC7"/>
    <w:rsid w:val="00A45EAE"/>
    <w:rsid w:val="00A46D79"/>
    <w:rsid w:val="00A75B7B"/>
    <w:rsid w:val="00A75CDA"/>
    <w:rsid w:val="00A872C8"/>
    <w:rsid w:val="00A92BE9"/>
    <w:rsid w:val="00A93F0E"/>
    <w:rsid w:val="00A952CD"/>
    <w:rsid w:val="00A95D13"/>
    <w:rsid w:val="00AA243C"/>
    <w:rsid w:val="00AB14CD"/>
    <w:rsid w:val="00AB469B"/>
    <w:rsid w:val="00AD3B2D"/>
    <w:rsid w:val="00AE64EC"/>
    <w:rsid w:val="00AE692D"/>
    <w:rsid w:val="00AF36DE"/>
    <w:rsid w:val="00AF7024"/>
    <w:rsid w:val="00AF764F"/>
    <w:rsid w:val="00B01CAB"/>
    <w:rsid w:val="00B1158E"/>
    <w:rsid w:val="00B1541C"/>
    <w:rsid w:val="00B17EFD"/>
    <w:rsid w:val="00B445A7"/>
    <w:rsid w:val="00B45F28"/>
    <w:rsid w:val="00B50033"/>
    <w:rsid w:val="00B52313"/>
    <w:rsid w:val="00B60DFC"/>
    <w:rsid w:val="00B74BE7"/>
    <w:rsid w:val="00B75780"/>
    <w:rsid w:val="00B92F56"/>
    <w:rsid w:val="00B93DD4"/>
    <w:rsid w:val="00BB4B50"/>
    <w:rsid w:val="00BB52F2"/>
    <w:rsid w:val="00BB72C3"/>
    <w:rsid w:val="00BC30DE"/>
    <w:rsid w:val="00BC47DE"/>
    <w:rsid w:val="00BD4141"/>
    <w:rsid w:val="00BD5A9F"/>
    <w:rsid w:val="00BE29E0"/>
    <w:rsid w:val="00C0765C"/>
    <w:rsid w:val="00C14E17"/>
    <w:rsid w:val="00C27B20"/>
    <w:rsid w:val="00C32B00"/>
    <w:rsid w:val="00C41881"/>
    <w:rsid w:val="00C421C4"/>
    <w:rsid w:val="00C51574"/>
    <w:rsid w:val="00C5586A"/>
    <w:rsid w:val="00C6177D"/>
    <w:rsid w:val="00C72FDB"/>
    <w:rsid w:val="00C7392E"/>
    <w:rsid w:val="00C74091"/>
    <w:rsid w:val="00C74871"/>
    <w:rsid w:val="00C749AB"/>
    <w:rsid w:val="00C7658D"/>
    <w:rsid w:val="00C81DC9"/>
    <w:rsid w:val="00C90D70"/>
    <w:rsid w:val="00C91D4B"/>
    <w:rsid w:val="00CA1400"/>
    <w:rsid w:val="00CA7F13"/>
    <w:rsid w:val="00CB53B1"/>
    <w:rsid w:val="00CB67C0"/>
    <w:rsid w:val="00CC62CD"/>
    <w:rsid w:val="00CD6BA1"/>
    <w:rsid w:val="00CE3E80"/>
    <w:rsid w:val="00CF0F36"/>
    <w:rsid w:val="00CF4523"/>
    <w:rsid w:val="00CF6F6C"/>
    <w:rsid w:val="00D012A0"/>
    <w:rsid w:val="00D06595"/>
    <w:rsid w:val="00D25E1A"/>
    <w:rsid w:val="00D33DBE"/>
    <w:rsid w:val="00D365ED"/>
    <w:rsid w:val="00D42340"/>
    <w:rsid w:val="00D64FC5"/>
    <w:rsid w:val="00D70D5A"/>
    <w:rsid w:val="00D85690"/>
    <w:rsid w:val="00D870FD"/>
    <w:rsid w:val="00D87E48"/>
    <w:rsid w:val="00D911EB"/>
    <w:rsid w:val="00DA4DD0"/>
    <w:rsid w:val="00DB22F4"/>
    <w:rsid w:val="00DB30E5"/>
    <w:rsid w:val="00DB4E51"/>
    <w:rsid w:val="00DB6485"/>
    <w:rsid w:val="00DC15B5"/>
    <w:rsid w:val="00DC757E"/>
    <w:rsid w:val="00DD54E9"/>
    <w:rsid w:val="00DD5E90"/>
    <w:rsid w:val="00DE1E0A"/>
    <w:rsid w:val="00DE5B04"/>
    <w:rsid w:val="00DF01CA"/>
    <w:rsid w:val="00DF1873"/>
    <w:rsid w:val="00DF3798"/>
    <w:rsid w:val="00DF48FD"/>
    <w:rsid w:val="00DF514E"/>
    <w:rsid w:val="00E00980"/>
    <w:rsid w:val="00E05A72"/>
    <w:rsid w:val="00E0796D"/>
    <w:rsid w:val="00E20DB4"/>
    <w:rsid w:val="00E2117A"/>
    <w:rsid w:val="00E21A9D"/>
    <w:rsid w:val="00E31547"/>
    <w:rsid w:val="00E35FD6"/>
    <w:rsid w:val="00E45EC6"/>
    <w:rsid w:val="00E50203"/>
    <w:rsid w:val="00E56423"/>
    <w:rsid w:val="00E61EC5"/>
    <w:rsid w:val="00E66A69"/>
    <w:rsid w:val="00E7734E"/>
    <w:rsid w:val="00E81991"/>
    <w:rsid w:val="00E846BD"/>
    <w:rsid w:val="00E90D44"/>
    <w:rsid w:val="00EA04A0"/>
    <w:rsid w:val="00EA0B67"/>
    <w:rsid w:val="00EB15E9"/>
    <w:rsid w:val="00EB61BC"/>
    <w:rsid w:val="00ED1DD7"/>
    <w:rsid w:val="00F003FA"/>
    <w:rsid w:val="00F076AA"/>
    <w:rsid w:val="00F1201D"/>
    <w:rsid w:val="00F13684"/>
    <w:rsid w:val="00F20DA4"/>
    <w:rsid w:val="00F22E0C"/>
    <w:rsid w:val="00F27207"/>
    <w:rsid w:val="00F3400C"/>
    <w:rsid w:val="00F418EE"/>
    <w:rsid w:val="00F43BBF"/>
    <w:rsid w:val="00F54808"/>
    <w:rsid w:val="00F5565A"/>
    <w:rsid w:val="00F641BD"/>
    <w:rsid w:val="00F82B12"/>
    <w:rsid w:val="00F86683"/>
    <w:rsid w:val="00FA7F82"/>
    <w:rsid w:val="00FB07C2"/>
    <w:rsid w:val="00FC0521"/>
    <w:rsid w:val="00FE7D52"/>
    <w:rsid w:val="00FF58A9"/>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11712"/>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 w:type="paragraph" w:styleId="Textonotapie">
    <w:name w:val="footnote text"/>
    <w:basedOn w:val="Normal"/>
    <w:link w:val="TextonotapieCar"/>
    <w:uiPriority w:val="99"/>
    <w:unhideWhenUsed/>
    <w:rsid w:val="007042B0"/>
    <w:pPr>
      <w:spacing w:after="0" w:line="240" w:lineRule="auto"/>
    </w:pPr>
    <w:rPr>
      <w:sz w:val="20"/>
      <w:szCs w:val="20"/>
    </w:rPr>
  </w:style>
  <w:style w:type="character" w:customStyle="1" w:styleId="TextonotapieCar">
    <w:name w:val="Texto nota pie Car"/>
    <w:basedOn w:val="Fuentedeprrafopredeter"/>
    <w:link w:val="Textonotapie"/>
    <w:uiPriority w:val="99"/>
    <w:rsid w:val="007042B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724B1-AA4A-4ECD-BCC0-30ED1C0B2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1946</Words>
  <Characters>10706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13</cp:revision>
  <cp:lastPrinted>2025-04-01T21:50:00Z</cp:lastPrinted>
  <dcterms:created xsi:type="dcterms:W3CDTF">2025-06-12T19:21:00Z</dcterms:created>
  <dcterms:modified xsi:type="dcterms:W3CDTF">2025-06-17T15:49:00Z</dcterms:modified>
</cp:coreProperties>
</file>