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014A3256" w:rsidR="007F6D4F" w:rsidRPr="007F7705" w:rsidRDefault="00D96963" w:rsidP="007F6D4F">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sz w:val="24"/>
          <w:szCs w:val="24"/>
          <w:lang w:val="es-ES_tradnl"/>
        </w:rPr>
      </w:pPr>
      <w:r>
        <w:rPr>
          <w:rFonts w:ascii="Times New Roman" w:eastAsia="Century Gothic" w:hAnsi="Times New Roman" w:cs="Times New Roman"/>
          <w:b/>
          <w:color w:val="000000"/>
          <w:sz w:val="24"/>
          <w:szCs w:val="24"/>
          <w:lang w:val="es-ES_tradnl"/>
        </w:rPr>
        <w:t xml:space="preserve">         </w:t>
      </w:r>
      <w:bookmarkStart w:id="0" w:name="_GoBack"/>
      <w:bookmarkEnd w:id="0"/>
      <w:r w:rsidR="000703D1" w:rsidRPr="007F7705">
        <w:rPr>
          <w:rFonts w:ascii="Times New Roman" w:hAnsi="Times New Roman" w:cs="Times New Roman"/>
          <w:noProof/>
          <w:color w:val="000000"/>
          <w:sz w:val="24"/>
          <w:szCs w:val="24"/>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2A135926" w14:textId="77777777" w:rsidR="007F6D4F" w:rsidRPr="007F7705" w:rsidRDefault="007F6D4F" w:rsidP="00CF72E7">
      <w:pPr>
        <w:pBdr>
          <w:top w:val="nil"/>
          <w:left w:val="nil"/>
          <w:bottom w:val="nil"/>
          <w:right w:val="nil"/>
          <w:between w:val="nil"/>
        </w:pBdr>
        <w:spacing w:after="0" w:line="240" w:lineRule="auto"/>
        <w:jc w:val="center"/>
        <w:rPr>
          <w:rFonts w:ascii="Times New Roman" w:eastAsia="Century Gothic" w:hAnsi="Times New Roman" w:cs="Times New Roman"/>
          <w:b/>
          <w:color w:val="000000"/>
          <w:sz w:val="24"/>
          <w:szCs w:val="24"/>
          <w:lang w:val="es-ES_tradnl"/>
        </w:rPr>
      </w:pPr>
    </w:p>
    <w:p w14:paraId="5CCD012E" w14:textId="77777777" w:rsidR="00CF72E7" w:rsidRPr="007F7705" w:rsidRDefault="00CF72E7" w:rsidP="00CF72E7">
      <w:pPr>
        <w:pBdr>
          <w:top w:val="nil"/>
          <w:left w:val="nil"/>
          <w:bottom w:val="nil"/>
          <w:right w:val="nil"/>
          <w:between w:val="nil"/>
        </w:pBdr>
        <w:spacing w:after="0" w:line="240" w:lineRule="auto"/>
        <w:jc w:val="center"/>
        <w:rPr>
          <w:rFonts w:ascii="Times New Roman" w:eastAsia="Century Gothic" w:hAnsi="Times New Roman" w:cs="Times New Roman"/>
          <w:b/>
          <w:color w:val="000000"/>
          <w:sz w:val="24"/>
          <w:szCs w:val="24"/>
          <w:lang w:val="es-ES_tradnl"/>
        </w:rPr>
      </w:pPr>
      <w:r w:rsidRPr="007F7705">
        <w:rPr>
          <w:rFonts w:ascii="Times New Roman" w:eastAsia="Century Gothic" w:hAnsi="Times New Roman" w:cs="Times New Roman"/>
          <w:b/>
          <w:color w:val="000000"/>
          <w:sz w:val="24"/>
          <w:szCs w:val="24"/>
          <w:lang w:val="es-ES_tradnl"/>
        </w:rPr>
        <w:t xml:space="preserve">TEXTO APROBADO EN LA COMISION PRIMERA DE LA HONORABLE CÁMARA DE REPRESENTANTES EN PRIMER DEBATE DEL </w:t>
      </w:r>
    </w:p>
    <w:p w14:paraId="4584C306" w14:textId="6D3BFD19" w:rsidR="007F7705" w:rsidRPr="007F7705" w:rsidRDefault="00165B95" w:rsidP="007F7705">
      <w:pPr>
        <w:jc w:val="center"/>
        <w:rPr>
          <w:rFonts w:ascii="Times New Roman" w:eastAsia="Calibri" w:hAnsi="Times New Roman" w:cs="Times New Roman"/>
          <w:b/>
          <w:i/>
          <w:sz w:val="24"/>
          <w:szCs w:val="24"/>
          <w:lang w:eastAsia="es-CO"/>
        </w:rPr>
      </w:pPr>
      <w:r>
        <w:rPr>
          <w:rFonts w:ascii="Times New Roman" w:eastAsia="Calibri" w:hAnsi="Times New Roman" w:cs="Times New Roman"/>
          <w:b/>
          <w:sz w:val="24"/>
          <w:szCs w:val="24"/>
          <w:lang w:eastAsia="es-CO"/>
        </w:rPr>
        <w:t>PROYECTO DE LEY No</w:t>
      </w:r>
      <w:r w:rsidR="007F7705" w:rsidRPr="007F7705">
        <w:rPr>
          <w:rFonts w:ascii="Times New Roman" w:eastAsia="Calibri" w:hAnsi="Times New Roman" w:cs="Times New Roman"/>
          <w:b/>
          <w:sz w:val="24"/>
          <w:szCs w:val="24"/>
          <w:lang w:eastAsia="es-CO"/>
        </w:rPr>
        <w:t xml:space="preserve">. 388 DE 2021 CÁMARA – 58 DE 2020 SENADO </w:t>
      </w:r>
      <w:r w:rsidR="007F7705" w:rsidRPr="007F7705">
        <w:rPr>
          <w:rFonts w:ascii="Times New Roman" w:eastAsia="Calibri" w:hAnsi="Times New Roman" w:cs="Times New Roman"/>
          <w:b/>
          <w:i/>
          <w:sz w:val="24"/>
          <w:szCs w:val="24"/>
          <w:lang w:eastAsia="es-CO"/>
        </w:rPr>
        <w:t>“</w:t>
      </w:r>
      <w:r w:rsidR="007F7705" w:rsidRPr="007F7705">
        <w:rPr>
          <w:rFonts w:ascii="Times New Roman" w:eastAsia="Calibri" w:hAnsi="Times New Roman" w:cs="Times New Roman"/>
          <w:b/>
          <w:iCs/>
          <w:sz w:val="24"/>
          <w:szCs w:val="24"/>
          <w:lang w:eastAsia="es-CO"/>
        </w:rPr>
        <w:t>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r w:rsidR="007F7705" w:rsidRPr="007F7705">
        <w:rPr>
          <w:rFonts w:ascii="Times New Roman" w:eastAsia="Calibri" w:hAnsi="Times New Roman" w:cs="Times New Roman"/>
          <w:b/>
          <w:i/>
          <w:sz w:val="24"/>
          <w:szCs w:val="24"/>
          <w:lang w:eastAsia="es-CO"/>
        </w:rPr>
        <w:t>”</w:t>
      </w:r>
    </w:p>
    <w:p w14:paraId="3169922F" w14:textId="77777777" w:rsidR="00165B95" w:rsidRDefault="00165B95" w:rsidP="007F7705">
      <w:pPr>
        <w:jc w:val="center"/>
        <w:rPr>
          <w:rFonts w:ascii="Times New Roman" w:eastAsia="Calibri" w:hAnsi="Times New Roman" w:cs="Times New Roman"/>
          <w:b/>
          <w:sz w:val="24"/>
          <w:szCs w:val="24"/>
          <w:lang w:eastAsia="es-CO"/>
        </w:rPr>
      </w:pPr>
    </w:p>
    <w:p w14:paraId="113A9839" w14:textId="77777777" w:rsidR="007F7705" w:rsidRDefault="007F7705" w:rsidP="007F7705">
      <w:pPr>
        <w:jc w:val="center"/>
        <w:rPr>
          <w:rFonts w:ascii="Times New Roman" w:eastAsia="Calibri" w:hAnsi="Times New Roman" w:cs="Times New Roman"/>
          <w:b/>
          <w:sz w:val="24"/>
          <w:szCs w:val="24"/>
          <w:lang w:eastAsia="es-CO"/>
        </w:rPr>
      </w:pPr>
      <w:r w:rsidRPr="007F7705">
        <w:rPr>
          <w:rFonts w:ascii="Times New Roman" w:eastAsia="Calibri" w:hAnsi="Times New Roman" w:cs="Times New Roman"/>
          <w:b/>
          <w:sz w:val="24"/>
          <w:szCs w:val="24"/>
          <w:lang w:eastAsia="es-CO"/>
        </w:rPr>
        <w:t>EL CONGRESO DE COLOMBIA</w:t>
      </w:r>
    </w:p>
    <w:p w14:paraId="241691FB" w14:textId="77777777" w:rsidR="000A4A61" w:rsidRPr="007F7705" w:rsidRDefault="000A4A61" w:rsidP="007F7705">
      <w:pPr>
        <w:jc w:val="center"/>
        <w:rPr>
          <w:rFonts w:ascii="Times New Roman" w:eastAsia="Calibri" w:hAnsi="Times New Roman" w:cs="Times New Roman"/>
          <w:b/>
          <w:sz w:val="24"/>
          <w:szCs w:val="24"/>
          <w:lang w:eastAsia="es-CO"/>
        </w:rPr>
      </w:pPr>
    </w:p>
    <w:p w14:paraId="0FEE6A6C" w14:textId="77777777" w:rsidR="007F7705" w:rsidRDefault="007F7705" w:rsidP="007F7705">
      <w:pPr>
        <w:jc w:val="center"/>
        <w:rPr>
          <w:rFonts w:ascii="Times New Roman" w:eastAsia="Calibri" w:hAnsi="Times New Roman" w:cs="Times New Roman"/>
          <w:b/>
          <w:sz w:val="24"/>
          <w:szCs w:val="24"/>
          <w:lang w:eastAsia="es-CO"/>
        </w:rPr>
      </w:pPr>
      <w:r w:rsidRPr="007F7705">
        <w:rPr>
          <w:rFonts w:ascii="Times New Roman" w:eastAsia="Calibri" w:hAnsi="Times New Roman" w:cs="Times New Roman"/>
          <w:b/>
          <w:sz w:val="24"/>
          <w:szCs w:val="24"/>
          <w:lang w:eastAsia="es-CO"/>
        </w:rPr>
        <w:t>DECRETA:</w:t>
      </w:r>
    </w:p>
    <w:p w14:paraId="3A19E76C" w14:textId="77777777" w:rsidR="00165B95" w:rsidRPr="007F7705" w:rsidRDefault="00165B95" w:rsidP="007F7705">
      <w:pPr>
        <w:jc w:val="center"/>
        <w:rPr>
          <w:rFonts w:ascii="Times New Roman" w:eastAsia="Calibri" w:hAnsi="Times New Roman" w:cs="Times New Roman"/>
          <w:b/>
          <w:sz w:val="24"/>
          <w:szCs w:val="24"/>
          <w:lang w:eastAsia="es-CO"/>
        </w:rPr>
      </w:pPr>
    </w:p>
    <w:p w14:paraId="48756F0D" w14:textId="77777777" w:rsidR="007F7705" w:rsidRPr="007F7705" w:rsidRDefault="007F7705" w:rsidP="007F7705">
      <w:pPr>
        <w:spacing w:after="0"/>
        <w:ind w:left="40" w:right="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Artículo 1º. Objeto.</w:t>
      </w:r>
      <w:r w:rsidRPr="007F7705">
        <w:rPr>
          <w:rFonts w:ascii="Times New Roman" w:eastAsia="Arial" w:hAnsi="Times New Roman" w:cs="Times New Roman"/>
          <w:sz w:val="24"/>
          <w:szCs w:val="24"/>
          <w:lang w:eastAsia="es-CO"/>
        </w:rPr>
        <w:t xml:space="preserve"> La presente ley tiene por objeto garantizar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p w14:paraId="5C3219F1" w14:textId="77777777" w:rsidR="007F7705" w:rsidRPr="007F7705" w:rsidRDefault="007F7705" w:rsidP="007F7705">
      <w:pPr>
        <w:spacing w:after="0"/>
        <w:ind w:left="40" w:right="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 xml:space="preserve"> </w:t>
      </w:r>
    </w:p>
    <w:p w14:paraId="091A12B0" w14:textId="77777777" w:rsidR="007F7705" w:rsidRPr="007F7705" w:rsidRDefault="007F7705" w:rsidP="007F7705">
      <w:pPr>
        <w:spacing w:after="0"/>
        <w:ind w:left="40" w:right="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Artículo 2°. Reglamentación.</w:t>
      </w:r>
      <w:r w:rsidRPr="007F7705">
        <w:rPr>
          <w:rFonts w:ascii="Times New Roman" w:eastAsia="Arial" w:hAnsi="Times New Roman" w:cs="Times New Roman"/>
          <w:sz w:val="24"/>
          <w:szCs w:val="24"/>
          <w:lang w:eastAsia="es-CO"/>
        </w:rPr>
        <w:t xml:space="preserve"> En un término de doce (12) meses contados a partir de la expedición de esta ley, el Gobierno Nacional en cabeza del Ministerio de Defensa, Ministerio de Justicia, el Ministerio de Salud y el Ministerio del Interior expedirá una reglamentación técnica con criterios de evaluación de riesgo de acuerdo a la probabilidad de ocurrencia de una lesión sobre el uso, la fabricación, la manipulación, el transporte, el almacenamiento, la comercialización, la compra, la venta y el expendio en el territorio nacional de pólvora y productos pirotécnicos, considerando tendencias y experiencias de regulación internacional sobre el tema.</w:t>
      </w:r>
    </w:p>
    <w:p w14:paraId="484B9F23" w14:textId="77777777" w:rsidR="007F7705" w:rsidRPr="007F7705" w:rsidRDefault="007F7705" w:rsidP="007F7705">
      <w:pPr>
        <w:spacing w:after="0"/>
        <w:ind w:left="40" w:right="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 xml:space="preserve"> </w:t>
      </w:r>
    </w:p>
    <w:p w14:paraId="1824DA35" w14:textId="77777777" w:rsidR="007F7705" w:rsidRPr="007F7705" w:rsidRDefault="007F7705" w:rsidP="007F7705">
      <w:pPr>
        <w:spacing w:after="0"/>
        <w:ind w:left="40" w:right="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lastRenderedPageBreak/>
        <w:t>Así mismo, estipulará sanciones de carácter pecuniario entre uno (1) y doscientos (200) Salarios Mínimos Mensuales Legales Vigentes - SMMLV para toda persona natural o jurídica que incumpla dicha reglamentación.</w:t>
      </w:r>
    </w:p>
    <w:p w14:paraId="58D3EA96" w14:textId="77777777" w:rsidR="007F7705" w:rsidRPr="007F7705" w:rsidRDefault="007F7705" w:rsidP="007F7705">
      <w:pPr>
        <w:spacing w:after="0"/>
        <w:ind w:left="40" w:right="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 xml:space="preserve"> </w:t>
      </w:r>
    </w:p>
    <w:p w14:paraId="54DB5355" w14:textId="77777777" w:rsidR="007F7705" w:rsidRPr="007F7705" w:rsidRDefault="007F7705" w:rsidP="007F7705">
      <w:pPr>
        <w:spacing w:after="0"/>
        <w:ind w:left="40" w:right="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Si en el marco de la contravención a esta reglamentación se afecta la vida y la integridad de terceros, o de bienes públicos o privados, o se fabriquen artículos pirotécnicos o fuegos artificiales que contengan fósforo blanco o clorhidrato, el Gobierno Nacional en cabeza del Ministerio de Defensa, Ministerio de Justicia y el Ministerio del Interior podrá estipular agravantes a la sanción pecuniaria de la que habla el inciso anterior entre cien (100) a trescientos (300) Salarios Mínimos Mensuales Legales Vigentes – SMMLV.</w:t>
      </w:r>
    </w:p>
    <w:p w14:paraId="7D18D1B8" w14:textId="77777777" w:rsidR="007F7705" w:rsidRPr="007F7705" w:rsidRDefault="007F7705" w:rsidP="007F7705">
      <w:pPr>
        <w:spacing w:after="0"/>
        <w:ind w:left="40" w:right="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 xml:space="preserve"> </w:t>
      </w:r>
    </w:p>
    <w:p w14:paraId="3C328AFC" w14:textId="77777777" w:rsidR="007F7705" w:rsidRPr="007F7705" w:rsidRDefault="007F7705" w:rsidP="007F7705">
      <w:pPr>
        <w:spacing w:after="0"/>
        <w:ind w:left="40" w:right="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 xml:space="preserve">Parágrafo. </w:t>
      </w:r>
      <w:r w:rsidRPr="007F7705">
        <w:rPr>
          <w:rFonts w:ascii="Times New Roman" w:eastAsia="Arial" w:hAnsi="Times New Roman" w:cs="Times New Roman"/>
          <w:sz w:val="24"/>
          <w:szCs w:val="24"/>
          <w:lang w:eastAsia="es-CO"/>
        </w:rPr>
        <w:t>Esta reglamentación podrá determinar los artefactos pirotécnicos cuyo uso deba estar prohibido a particulares, salvo a que se trate de expertos en la manipulación de los mismos.</w:t>
      </w:r>
    </w:p>
    <w:p w14:paraId="7A0ACB39"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Artículo 3°. Formalización y profesionalización.</w:t>
      </w:r>
      <w:r w:rsidRPr="007F7705">
        <w:rPr>
          <w:rFonts w:ascii="Times New Roman" w:eastAsia="Arial" w:hAnsi="Times New Roman" w:cs="Times New Roman"/>
          <w:sz w:val="24"/>
          <w:szCs w:val="24"/>
          <w:lang w:eastAsia="es-CO"/>
        </w:rPr>
        <w:t xml:space="preserve"> El Gobierno Nacional formulará una estrategia de profesionalización, tecnificación y formalización del oficio artesanal de pirotécnico, que se fundamente en la capacitación para la realización de actividades de fabricación y diseño de espectáculos de manera segura, de tal forma que se promueva una actividad pirotécnica formal y profesional en el país, y se desincentive la informalidad y la clandestinidad en la profesión.</w:t>
      </w:r>
    </w:p>
    <w:p w14:paraId="0B233635"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Artículo 4º. Definiciones.</w:t>
      </w:r>
      <w:r w:rsidRPr="007F7705">
        <w:rPr>
          <w:rFonts w:ascii="Times New Roman" w:eastAsia="Arial" w:hAnsi="Times New Roman" w:cs="Times New Roman"/>
          <w:sz w:val="24"/>
          <w:szCs w:val="24"/>
          <w:lang w:eastAsia="es-CO"/>
        </w:rPr>
        <w:t xml:space="preserve"> Para la aplicación e interpretación de esta ley, se tendrán en cuenta las siguientes definiciones:</w:t>
      </w:r>
    </w:p>
    <w:p w14:paraId="60E34354"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Artículos pirotécnicos:</w:t>
      </w:r>
      <w:r w:rsidRPr="007F7705">
        <w:rPr>
          <w:rFonts w:ascii="Times New Roman" w:eastAsia="Arial" w:hAnsi="Times New Roman" w:cs="Times New Roman"/>
          <w:sz w:val="24"/>
          <w:szCs w:val="24"/>
          <w:lang w:eastAsia="es-CO"/>
        </w:rPr>
        <w:t xml:space="preserve"> Toda clase de artefactos que contengan una o varias materias o mezclas de elementos destinados a producir efecto calorífico, luminoso, sonoro, gaseoso o fumígeno, o una combinación de estos efectos, como consecuencia de reacciones químicas exotérmicas auto sostenidas, potenciales causantes de quemaduras e incendios en los que pueden arder otros materiales. Para efectos de esta ley, se entenderán como sinónimos de artículos pirotécnicos, (la pólvora), los juegos pirotécnicos y los fuegos artificiales.</w:t>
      </w:r>
    </w:p>
    <w:p w14:paraId="099AD093"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Categoría profesional.</w:t>
      </w:r>
      <w:r w:rsidRPr="007F7705">
        <w:rPr>
          <w:rFonts w:ascii="Times New Roman" w:eastAsia="Arial" w:hAnsi="Times New Roman" w:cs="Times New Roman"/>
          <w:sz w:val="24"/>
          <w:szCs w:val="24"/>
          <w:lang w:eastAsia="es-CO"/>
        </w:rPr>
        <w:t xml:space="preserve"> Pertenecen a esta categoría aquellos productos a ser manipulados exclusivamente por profesionales acreditados para ser utilizados en espectáculos de diferente índole, realizados bajo techo o a cielo abierto, que presentan un bajo riesgo por su naturaleza química (humos, bengalas, sonidos), tales como obras de teatro, filmaciones de televisión y cine y otros eventos de carácter cultural y deportivo; la venta de estos productos está prohibida a particulares que no cuenten con la debida acreditación.</w:t>
      </w:r>
    </w:p>
    <w:p w14:paraId="13404FD4"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Categoría uno.</w:t>
      </w:r>
      <w:r w:rsidRPr="007F7705">
        <w:rPr>
          <w:rFonts w:ascii="Times New Roman" w:eastAsia="Arial" w:hAnsi="Times New Roman" w:cs="Times New Roman"/>
          <w:sz w:val="24"/>
          <w:szCs w:val="24"/>
          <w:lang w:eastAsia="es-CO"/>
        </w:rPr>
        <w:t xml:space="preserve"> Pertenecen a esta categoría aquellos artículos pirotécnicos o fuegos artificiales que, desde criterios técnicos aceptados a nivel internacional, presentan un riesgo reducido, por lo cual pueden ser usados, bajo instrucciones y criterios de uso definidos, en áreas confinadas, tales como el interior de edificios y viviendas. Su composición no puede contener pólvora, ni cloratos, ni percloratos. Estos artículos pueden ser distribuidos o </w:t>
      </w:r>
      <w:r w:rsidRPr="007F7705">
        <w:rPr>
          <w:rFonts w:ascii="Times New Roman" w:eastAsia="Arial" w:hAnsi="Times New Roman" w:cs="Times New Roman"/>
          <w:sz w:val="24"/>
          <w:szCs w:val="24"/>
          <w:lang w:eastAsia="es-CO"/>
        </w:rPr>
        <w:lastRenderedPageBreak/>
        <w:t xml:space="preserve">comercializados en almacenes por departamentos, mercados, supermercados e hipermercados de acuerdo a los criterios técnicos aceptados y comunes. </w:t>
      </w:r>
    </w:p>
    <w:p w14:paraId="254322E0" w14:textId="2ADE0D78"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Categoría dos</w:t>
      </w:r>
      <w:r w:rsidRPr="007F7705">
        <w:rPr>
          <w:rFonts w:ascii="Times New Roman" w:eastAsia="Arial" w:hAnsi="Times New Roman" w:cs="Times New Roman"/>
          <w:sz w:val="24"/>
          <w:szCs w:val="24"/>
          <w:lang w:eastAsia="es-CO"/>
        </w:rPr>
        <w:t>. Pertenecen a esta categoría los artículos pirotécnicos o fuegos artificiales que, desde criterios técnicos aceptados a nivel internacional, presentan un riesgo moderado, por lo cual pueden ser usados, bajo instrucciones y criterios de uso definidos, en áreas relativamente confinadas, tales como jardines, antejardines, balcones y espacios abiertos al aire libre. Su composición debe presentar cargas píricas de a</w:t>
      </w:r>
      <w:r w:rsidR="00CB3395">
        <w:rPr>
          <w:rFonts w:ascii="Times New Roman" w:eastAsia="Arial" w:hAnsi="Times New Roman" w:cs="Times New Roman"/>
          <w:sz w:val="24"/>
          <w:szCs w:val="24"/>
          <w:lang w:eastAsia="es-CO"/>
        </w:rPr>
        <w:t xml:space="preserve">cuerdo a criterios de </w:t>
      </w:r>
      <w:proofErr w:type="gramStart"/>
      <w:r w:rsidR="00CB3395">
        <w:rPr>
          <w:rFonts w:ascii="Times New Roman" w:eastAsia="Arial" w:hAnsi="Times New Roman" w:cs="Times New Roman"/>
          <w:sz w:val="24"/>
          <w:szCs w:val="24"/>
          <w:lang w:eastAsia="es-CO"/>
        </w:rPr>
        <w:t xml:space="preserve">seguridad </w:t>
      </w:r>
      <w:r w:rsidRPr="007F7705">
        <w:rPr>
          <w:rFonts w:ascii="Times New Roman" w:eastAsia="Arial" w:hAnsi="Times New Roman" w:cs="Times New Roman"/>
          <w:sz w:val="24"/>
          <w:szCs w:val="24"/>
          <w:lang w:eastAsia="es-CO"/>
        </w:rPr>
        <w:t>nacionales o internacionales</w:t>
      </w:r>
      <w:proofErr w:type="gramEnd"/>
      <w:r w:rsidRPr="007F7705">
        <w:rPr>
          <w:rFonts w:ascii="Times New Roman" w:eastAsia="Arial" w:hAnsi="Times New Roman" w:cs="Times New Roman"/>
          <w:sz w:val="24"/>
          <w:szCs w:val="24"/>
          <w:lang w:eastAsia="es-CO"/>
        </w:rPr>
        <w:t xml:space="preserve"> de la industria. Estos artículos pueden ser distribuidos o comercializados en tiendas especializadas, autorizadas por el Ministerio de Defensa y en almacenes por departamentos, mercados, supermercados o hipermercados, que cuenten con espacios especialmente adecuados para tal fin, de acuerdo a los criterios de seguridad que establezca el Ministerio de Defensa para tal efecto.</w:t>
      </w:r>
    </w:p>
    <w:p w14:paraId="1B9DC152"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Categoría tres.</w:t>
      </w:r>
      <w:r w:rsidRPr="007F7705">
        <w:rPr>
          <w:rFonts w:ascii="Times New Roman" w:eastAsia="Arial" w:hAnsi="Times New Roman" w:cs="Times New Roman"/>
          <w:sz w:val="24"/>
          <w:szCs w:val="24"/>
          <w:lang w:eastAsia="es-CO"/>
        </w:rPr>
        <w:t xml:space="preserve"> Pertenecen a esta categoría los artículos pirotécnicos o fuegos artificiales que, desde criterios técnicos aceptados a nivel internacional, presentan un riesgo alto 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Ministerio de Defensa Nacional.</w:t>
      </w:r>
    </w:p>
    <w:p w14:paraId="0E0E2761" w14:textId="13CBAAE6"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Artículos de uso industrial, aeronáutico, agrícola y ganadero:</w:t>
      </w:r>
      <w:r w:rsidR="000873C0">
        <w:rPr>
          <w:rFonts w:ascii="Times New Roman" w:eastAsia="Arial" w:hAnsi="Times New Roman" w:cs="Times New Roman"/>
          <w:sz w:val="24"/>
          <w:szCs w:val="24"/>
          <w:lang w:eastAsia="es-CO"/>
        </w:rPr>
        <w:t xml:space="preserve"> P</w:t>
      </w:r>
      <w:r w:rsidRPr="007F7705">
        <w:rPr>
          <w:rFonts w:ascii="Times New Roman" w:eastAsia="Arial" w:hAnsi="Times New Roman" w:cs="Times New Roman"/>
          <w:sz w:val="24"/>
          <w:szCs w:val="24"/>
          <w:lang w:eastAsia="es-CO"/>
        </w:rPr>
        <w:t>roductos pirotécnicos especializados que son utilizados en labores económicas diversas, tales como botes fumígenos, tiras detonantes, cohetes antigranizo, voladores de despegue y generadores de calor en labores de construcción y excavación minera. Estos artículos no se consideran artículos pirotécnicos para uso de particulares con fines recreativos.</w:t>
      </w:r>
    </w:p>
    <w:p w14:paraId="50097DBE"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Artículos de localización.</w:t>
      </w:r>
      <w:r w:rsidRPr="007F7705">
        <w:rPr>
          <w:rFonts w:ascii="Times New Roman" w:eastAsia="Arial" w:hAnsi="Times New Roman" w:cs="Times New Roman"/>
          <w:sz w:val="24"/>
          <w:szCs w:val="24"/>
          <w:lang w:eastAsia="es-CO"/>
        </w:rPr>
        <w:t xml:space="preserve"> Artefactos que contienen diferentes compuestos químicos que se utilizan para realizar labores de señalización en ferrocarriles, transportes terrestres y marítimos, así como localización de personas. Estos elementos no se consideran artículos pirotécnicos para uso de particulares con fines recreativos. </w:t>
      </w:r>
    </w:p>
    <w:p w14:paraId="1729C322"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Mechas de uso deportivo:</w:t>
      </w:r>
      <w:r w:rsidRPr="007F7705">
        <w:rPr>
          <w:rFonts w:ascii="Times New Roman" w:eastAsia="Arial" w:hAnsi="Times New Roman" w:cs="Times New Roman"/>
          <w:sz w:val="24"/>
          <w:szCs w:val="24"/>
          <w:lang w:eastAsia="es-CO"/>
        </w:rPr>
        <w:t xml:space="preserve"> Porción de pólvora recubierta con un papel rojo fosforescente o blanco, en forma de triángulo equilátero, de seis centímetros (0,06 m) por lado, y que tiene una mínima explosión con el fin de evitar estruendos que ocasionen malestar.</w:t>
      </w:r>
    </w:p>
    <w:p w14:paraId="382FB26A"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Pirotecnia:</w:t>
      </w:r>
      <w:r w:rsidRPr="007F7705">
        <w:rPr>
          <w:rFonts w:ascii="Times New Roman" w:eastAsia="Arial" w:hAnsi="Times New Roman" w:cs="Times New Roman"/>
          <w:sz w:val="24"/>
          <w:szCs w:val="24"/>
          <w:lang w:eastAsia="es-CO"/>
        </w:rPr>
        <w:t xml:space="preserve"> Técnica de la fabricación, manipulación y utilización de artículos pirotécnicos para celebración particular o profesional.</w:t>
      </w:r>
    </w:p>
    <w:p w14:paraId="18DC55CA"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Pirotécnico:</w:t>
      </w:r>
      <w:r w:rsidRPr="007F7705">
        <w:rPr>
          <w:rFonts w:ascii="Times New Roman" w:eastAsia="Arial" w:hAnsi="Times New Roman" w:cs="Times New Roman"/>
          <w:sz w:val="24"/>
          <w:szCs w:val="24"/>
          <w:lang w:eastAsia="es-CO"/>
        </w:rPr>
        <w:t xml:space="preserve"> Persona que arma y enciende artículos pirotécnicos en lugares autorizados por la ley y es responsable de la manipulación de los mismos.</w:t>
      </w:r>
    </w:p>
    <w:p w14:paraId="57D3F295"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lastRenderedPageBreak/>
        <w:t>Pólvora Blanca:</w:t>
      </w:r>
      <w:r w:rsidRPr="007F7705">
        <w:rPr>
          <w:rFonts w:ascii="Times New Roman" w:eastAsia="Arial" w:hAnsi="Times New Roman" w:cs="Times New Roman"/>
          <w:sz w:val="24"/>
          <w:szCs w:val="24"/>
          <w:lang w:eastAsia="es-CO"/>
        </w:rPr>
        <w:t xml:space="preserve"> Sustancia tóxica fabricada con base en clorato de potasio y nitrato de amonio, más azúcar pulverizada y azufre, también conocida como fósforo blanco y que está prohibida por la ley.</w:t>
      </w:r>
    </w:p>
    <w:p w14:paraId="790E33EA"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Pólvora Negra</w:t>
      </w:r>
      <w:r w:rsidRPr="007F7705">
        <w:rPr>
          <w:rFonts w:ascii="Times New Roman" w:eastAsia="Arial" w:hAnsi="Times New Roman" w:cs="Times New Roman"/>
          <w:sz w:val="24"/>
          <w:szCs w:val="24"/>
          <w:lang w:eastAsia="es-CO"/>
        </w:rPr>
        <w:t>: Bajo explosivo constituido por una mezcla elaborada con clorato de potasio y nitrato de amonio, más carbón y azufre.</w:t>
      </w:r>
    </w:p>
    <w:p w14:paraId="30EA8687"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Polvorín:</w:t>
      </w:r>
      <w:r w:rsidRPr="007F7705">
        <w:rPr>
          <w:rFonts w:ascii="Times New Roman" w:eastAsia="Arial" w:hAnsi="Times New Roman" w:cs="Times New Roman"/>
          <w:sz w:val="24"/>
          <w:szCs w:val="24"/>
          <w:lang w:eastAsia="es-CO"/>
        </w:rPr>
        <w:t xml:space="preserve"> Construcción o edificio que cumple con las normas técnicas y de seguridad y es utilizado para el almacenamiento permanente o transitorio de explosivos.</w:t>
      </w:r>
    </w:p>
    <w:p w14:paraId="3037BFE3" w14:textId="5567AF0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Espectáculo Pirotécnico:</w:t>
      </w:r>
      <w:r w:rsidR="00FF1751">
        <w:rPr>
          <w:rFonts w:ascii="Times New Roman" w:eastAsia="Arial" w:hAnsi="Times New Roman" w:cs="Times New Roman"/>
          <w:sz w:val="24"/>
          <w:szCs w:val="24"/>
          <w:lang w:eastAsia="es-CO"/>
        </w:rPr>
        <w:t xml:space="preserve"> E</w:t>
      </w:r>
      <w:r w:rsidRPr="007F7705">
        <w:rPr>
          <w:rFonts w:ascii="Times New Roman" w:eastAsia="Arial" w:hAnsi="Times New Roman" w:cs="Times New Roman"/>
          <w:sz w:val="24"/>
          <w:szCs w:val="24"/>
          <w:lang w:eastAsia="es-CO"/>
        </w:rPr>
        <w:t>vento de entretenimiento contratado para realizar un despliegue público con productos pirotécnicos de categoría III, diseñado y organizado por expertos profesionales acreditados.</w:t>
      </w:r>
    </w:p>
    <w:p w14:paraId="65C92EF2" w14:textId="25A49503"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Lesiones:</w:t>
      </w:r>
      <w:r w:rsidRPr="007F7705">
        <w:rPr>
          <w:rFonts w:ascii="Times New Roman" w:eastAsia="Arial" w:hAnsi="Times New Roman" w:cs="Times New Roman"/>
          <w:sz w:val="24"/>
          <w:szCs w:val="24"/>
          <w:lang w:eastAsia="es-CO"/>
        </w:rPr>
        <w:t xml:space="preserve"> </w:t>
      </w:r>
      <w:r w:rsidR="003A5062">
        <w:rPr>
          <w:rFonts w:ascii="Times New Roman" w:eastAsia="Arial" w:hAnsi="Times New Roman" w:cs="Times New Roman"/>
          <w:sz w:val="24"/>
          <w:szCs w:val="24"/>
          <w:lang w:eastAsia="es-CO"/>
        </w:rPr>
        <w:t>A</w:t>
      </w:r>
      <w:r w:rsidRPr="007F7705">
        <w:rPr>
          <w:rFonts w:ascii="Times New Roman" w:eastAsia="Arial" w:hAnsi="Times New Roman" w:cs="Times New Roman"/>
          <w:sz w:val="24"/>
          <w:szCs w:val="24"/>
          <w:lang w:eastAsia="es-CO"/>
        </w:rPr>
        <w:t>fectaciones físicas a la salud humana por productos pirotécnicos que incluyen laceraciones, quemaduras en diferentes grados y amputaciones de extremidades.</w:t>
      </w:r>
    </w:p>
    <w:p w14:paraId="721ADEB1"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i/>
          <w:sz w:val="24"/>
          <w:szCs w:val="24"/>
          <w:lang w:eastAsia="es-CO"/>
        </w:rPr>
        <w:t>Formalidad:</w:t>
      </w:r>
      <w:r w:rsidRPr="007F7705">
        <w:rPr>
          <w:rFonts w:ascii="Times New Roman" w:eastAsia="Arial" w:hAnsi="Times New Roman" w:cs="Times New Roman"/>
          <w:sz w:val="24"/>
          <w:szCs w:val="24"/>
          <w:lang w:eastAsia="es-CO"/>
        </w:rPr>
        <w:t xml:space="preserve"> Proceso de diseño, fabricación y comercialización, de un producto pirotécnico, de tal forma que presente el mínimo riesgo para la seguridad de la vida y la salud humana, y evite daños a la propiedad y al medio ambiente en condiciones normales y previsibles, en particular en lo que se refiere a las reglas de seguridad y a las prácticas correctas, incluido el período previo a su utilización.</w:t>
      </w:r>
    </w:p>
    <w:p w14:paraId="0BDE11E8"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 xml:space="preserve">Artículo 5. Fondo cuenta para la prevención de las lesiones. </w:t>
      </w:r>
      <w:r w:rsidRPr="007F7705">
        <w:rPr>
          <w:rFonts w:ascii="Times New Roman" w:eastAsia="Arial" w:hAnsi="Times New Roman" w:cs="Times New Roman"/>
          <w:sz w:val="24"/>
          <w:szCs w:val="24"/>
          <w:lang w:eastAsia="es-CO"/>
        </w:rPr>
        <w:t>Créese el Fondo “Prevenir es vivir”, a cargo del Ministerio de Salud y Protección Social, como un patrimonio autónomo de carácter fiduciario, sin personería jurídica ni estructura administrativa.</w:t>
      </w:r>
    </w:p>
    <w:p w14:paraId="6161B072"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brindar atención especializada a víctimas quemadas por artículos pirotécnicos, en cualquier circunstancia, priorizando niños, niñas y adolescentes.</w:t>
      </w:r>
    </w:p>
    <w:p w14:paraId="7BBAE3F8"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El fondo se compondrá de recursos que provienen y podrán ser apropiados a partir de las siguientes fuentes:</w:t>
      </w:r>
    </w:p>
    <w:p w14:paraId="4BC8AA23"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a. Los recursos disponibles en el Presupuesto General de la Nación para el objeto de la presente ley;</w:t>
      </w:r>
    </w:p>
    <w:p w14:paraId="6C33E318" w14:textId="1EC44BF8"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b. El recaudo proveniente de las</w:t>
      </w:r>
      <w:r w:rsidR="003A5062">
        <w:rPr>
          <w:rFonts w:ascii="Times New Roman" w:eastAsia="Arial" w:hAnsi="Times New Roman" w:cs="Times New Roman"/>
          <w:sz w:val="24"/>
          <w:szCs w:val="24"/>
          <w:lang w:eastAsia="es-CO"/>
        </w:rPr>
        <w:t xml:space="preserve"> sanciones de las que habla el A</w:t>
      </w:r>
      <w:r w:rsidRPr="007F7705">
        <w:rPr>
          <w:rFonts w:ascii="Times New Roman" w:eastAsia="Arial" w:hAnsi="Times New Roman" w:cs="Times New Roman"/>
          <w:sz w:val="24"/>
          <w:szCs w:val="24"/>
          <w:lang w:eastAsia="es-CO"/>
        </w:rPr>
        <w:t>rtículo 2 de la presente ley;</w:t>
      </w:r>
    </w:p>
    <w:p w14:paraId="1D9BFC84"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c. Las donaciones que reciba el Fondo, tanto de origen nacional como internacional, con el propósito de desarrollar su objeto;</w:t>
      </w:r>
    </w:p>
    <w:p w14:paraId="043323E8"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d. Los demás recursos que obtenga o se le asignen a cualquier título.</w:t>
      </w:r>
    </w:p>
    <w:p w14:paraId="38F5277D"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lastRenderedPageBreak/>
        <w:t xml:space="preserve">Parágrafo. </w:t>
      </w:r>
      <w:r w:rsidRPr="007F7705">
        <w:rPr>
          <w:rFonts w:ascii="Times New Roman" w:eastAsia="Arial" w:hAnsi="Times New Roman" w:cs="Times New Roman"/>
          <w:sz w:val="24"/>
          <w:szCs w:val="24"/>
          <w:lang w:eastAsia="es-CO"/>
        </w:rPr>
        <w:t xml:space="preserve"> Se autoriza al Gobierno nacional para disponer recursos del Presupuesto General de la Nación cuya apropiación estará sujeta a la disponibilidad presupuestal para la vigencia fiscal respectiva, de conformidad con las leyes orgánicas de presupuesto, las proyecciones de gasto de mediano plazo del Sector y el Marco Fiscal de Mediano Plazo.</w:t>
      </w:r>
    </w:p>
    <w:p w14:paraId="2FF8C6B2"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Artículo 6. Destinación de los recursos del fondo cuenta “Prevenir es vivir”.</w:t>
      </w:r>
      <w:r w:rsidRPr="007F7705">
        <w:rPr>
          <w:rFonts w:ascii="Times New Roman" w:eastAsia="Arial" w:hAnsi="Times New Roman" w:cs="Times New Roman"/>
          <w:sz w:val="24"/>
          <w:szCs w:val="24"/>
          <w:lang w:eastAsia="es-CO"/>
        </w:rPr>
        <w:t xml:space="preserve"> Los recursos tendrán la siguiente destinación: </w:t>
      </w:r>
    </w:p>
    <w:p w14:paraId="75EB5DCC"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1. La atención en salud especializada a víctimas quemadas por pólvora, en cualquier circunstancia y se priorizará a niños, niñas, adolescentes o personas sujetos de especial protección constitucional como personas de la tercera edad, entre otros.</w:t>
      </w:r>
    </w:p>
    <w:p w14:paraId="617A51B8"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 xml:space="preserve">2. Programas de orientación, rehabilitación y recuperación física y psicológica de personas que resulten afectadas físicamente producto del uso, la fabricación, la manipulación, el transporte, el almacenamiento, la comercialización, la compra, la venta y el expendio de pólvora y productos pirotécnicos. </w:t>
      </w:r>
    </w:p>
    <w:p w14:paraId="2C9DEE5D"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3. Financiación de campañas educativas que creen mecanismos de sensibilización, conocimiento y prevención en el manejo y uso de la pólvora, artículos pirotécnicos y fuegos artificiales.</w:t>
      </w:r>
    </w:p>
    <w:p w14:paraId="41CE3C8D" w14:textId="0D95C253"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4. Demás que se dispongan u</w:t>
      </w:r>
      <w:r w:rsidR="00F1550D">
        <w:rPr>
          <w:rFonts w:ascii="Times New Roman" w:eastAsia="Arial" w:hAnsi="Times New Roman" w:cs="Times New Roman"/>
          <w:sz w:val="24"/>
          <w:szCs w:val="24"/>
          <w:lang w:eastAsia="es-CO"/>
        </w:rPr>
        <w:t>na vez se reglamente el fondo “P</w:t>
      </w:r>
      <w:r w:rsidRPr="007F7705">
        <w:rPr>
          <w:rFonts w:ascii="Times New Roman" w:eastAsia="Arial" w:hAnsi="Times New Roman" w:cs="Times New Roman"/>
          <w:sz w:val="24"/>
          <w:szCs w:val="24"/>
          <w:lang w:eastAsia="es-CO"/>
        </w:rPr>
        <w:t>revenir es vivir”.</w:t>
      </w:r>
    </w:p>
    <w:p w14:paraId="1FF5D41A" w14:textId="294A8403"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Parágrafo 1°.</w:t>
      </w:r>
      <w:r w:rsidRPr="007F7705">
        <w:rPr>
          <w:rFonts w:ascii="Times New Roman" w:eastAsia="Arial" w:hAnsi="Times New Roman" w:cs="Times New Roman"/>
          <w:sz w:val="24"/>
          <w:szCs w:val="24"/>
          <w:lang w:eastAsia="es-CO"/>
        </w:rPr>
        <w:t xml:space="preserve"> El Ministerio de Salud y Protección Social expedir</w:t>
      </w:r>
      <w:r w:rsidR="00F1550D">
        <w:rPr>
          <w:rFonts w:ascii="Times New Roman" w:eastAsia="Arial" w:hAnsi="Times New Roman" w:cs="Times New Roman"/>
          <w:sz w:val="24"/>
          <w:szCs w:val="24"/>
          <w:lang w:eastAsia="es-CO"/>
        </w:rPr>
        <w:t>á la reglamentación del fondo “P</w:t>
      </w:r>
      <w:r w:rsidRPr="007F7705">
        <w:rPr>
          <w:rFonts w:ascii="Times New Roman" w:eastAsia="Arial" w:hAnsi="Times New Roman" w:cs="Times New Roman"/>
          <w:sz w:val="24"/>
          <w:szCs w:val="24"/>
          <w:lang w:eastAsia="es-CO"/>
        </w:rPr>
        <w:t>revenir es vivir” en un término no mayor a 6 meses contados a partir de la sanción y entrada en vigencia de la presente ley.</w:t>
      </w:r>
    </w:p>
    <w:p w14:paraId="34D6ABFC"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Parágrafo 2°.</w:t>
      </w:r>
      <w:r w:rsidRPr="007F7705">
        <w:rPr>
          <w:rFonts w:ascii="Times New Roman" w:eastAsia="Arial" w:hAnsi="Times New Roman" w:cs="Times New Roman"/>
          <w:sz w:val="24"/>
          <w:szCs w:val="24"/>
          <w:lang w:eastAsia="es-CO"/>
        </w:rPr>
        <w:t xml:space="preserve"> El Gobierno reglamentará lo relacionado con las funciones y responsabilidades del Ministerio de Salud y Protección Social como ordenador del gasto en relación con el Fondo cuenta, mientras que el control interno y fiscal deberá adelantarse de acuerdo con las normas constitucionales y legales vigentes.</w:t>
      </w:r>
    </w:p>
    <w:p w14:paraId="2A90A16A"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Parágrafo 3°.</w:t>
      </w:r>
      <w:r w:rsidRPr="007F7705">
        <w:rPr>
          <w:rFonts w:ascii="Times New Roman" w:eastAsia="Arial" w:hAnsi="Times New Roman" w:cs="Times New Roman"/>
          <w:sz w:val="24"/>
          <w:szCs w:val="24"/>
          <w:lang w:eastAsia="es-CO"/>
        </w:rPr>
        <w:t xml:space="preserve"> El Ministerio de Salud y Protección Social definirá cada año cuáles serán los gastos concretos con cargo al fondo tomando en cuenta las condiciones de inversión fijadas en la presente ley.</w:t>
      </w:r>
    </w:p>
    <w:p w14:paraId="098D2233" w14:textId="70023121"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 xml:space="preserve">Artículo 7. </w:t>
      </w:r>
      <w:r w:rsidRPr="007F7705">
        <w:rPr>
          <w:rFonts w:ascii="Times New Roman" w:eastAsia="Arial" w:hAnsi="Times New Roman" w:cs="Times New Roman"/>
          <w:sz w:val="24"/>
          <w:szCs w:val="24"/>
          <w:lang w:eastAsia="es-CO"/>
        </w:rPr>
        <w:t>Coordinación Institucional para Reducir el Número de Lesionados. El Ministerio de Defensa y el Instituto Nacional de Salud INS, debe</w:t>
      </w:r>
      <w:r w:rsidR="002C4BD8">
        <w:rPr>
          <w:rFonts w:ascii="Times New Roman" w:eastAsia="Arial" w:hAnsi="Times New Roman" w:cs="Times New Roman"/>
          <w:sz w:val="24"/>
          <w:szCs w:val="24"/>
          <w:lang w:eastAsia="es-CO"/>
        </w:rPr>
        <w:t>n</w:t>
      </w:r>
      <w:r w:rsidRPr="007F7705">
        <w:rPr>
          <w:rFonts w:ascii="Times New Roman" w:eastAsia="Arial" w:hAnsi="Times New Roman" w:cs="Times New Roman"/>
          <w:sz w:val="24"/>
          <w:szCs w:val="24"/>
          <w:lang w:eastAsia="es-CO"/>
        </w:rPr>
        <w:t xml:space="preserve"> organizar una mesa </w:t>
      </w:r>
      <w:r w:rsidR="007136F5">
        <w:rPr>
          <w:rFonts w:ascii="Times New Roman" w:eastAsia="Arial" w:hAnsi="Times New Roman" w:cs="Times New Roman"/>
          <w:sz w:val="24"/>
          <w:szCs w:val="24"/>
          <w:lang w:eastAsia="es-CO"/>
        </w:rPr>
        <w:t xml:space="preserve">técnica </w:t>
      </w:r>
      <w:r w:rsidRPr="007F7705">
        <w:rPr>
          <w:rFonts w:ascii="Times New Roman" w:eastAsia="Arial" w:hAnsi="Times New Roman" w:cs="Times New Roman"/>
          <w:sz w:val="24"/>
          <w:szCs w:val="24"/>
          <w:lang w:eastAsia="es-CO"/>
        </w:rPr>
        <w:t>de trabajo</w:t>
      </w:r>
      <w:r w:rsidR="002C4BD8">
        <w:rPr>
          <w:rFonts w:ascii="Times New Roman" w:eastAsia="Arial" w:hAnsi="Times New Roman" w:cs="Times New Roman"/>
          <w:sz w:val="24"/>
          <w:szCs w:val="24"/>
          <w:lang w:eastAsia="es-CO"/>
        </w:rPr>
        <w:t xml:space="preserve"> </w:t>
      </w:r>
      <w:r w:rsidR="007136F5">
        <w:rPr>
          <w:rFonts w:ascii="Times New Roman" w:eastAsia="Arial" w:hAnsi="Times New Roman" w:cs="Times New Roman"/>
          <w:sz w:val="24"/>
          <w:szCs w:val="24"/>
          <w:lang w:eastAsia="es-CO"/>
        </w:rPr>
        <w:t xml:space="preserve">y coordinación de manera </w:t>
      </w:r>
      <w:r w:rsidRPr="007F7705">
        <w:rPr>
          <w:rFonts w:ascii="Times New Roman" w:eastAsia="Arial" w:hAnsi="Times New Roman" w:cs="Times New Roman"/>
          <w:sz w:val="24"/>
          <w:szCs w:val="24"/>
          <w:lang w:eastAsia="es-CO"/>
        </w:rPr>
        <w:t>anual con la participación de</w:t>
      </w:r>
      <w:r w:rsidR="00876A4E">
        <w:rPr>
          <w:rFonts w:ascii="Times New Roman" w:eastAsia="Arial" w:hAnsi="Times New Roman" w:cs="Times New Roman"/>
          <w:sz w:val="24"/>
          <w:szCs w:val="24"/>
          <w:lang w:eastAsia="es-CO"/>
        </w:rPr>
        <w:t>l</w:t>
      </w:r>
      <w:r w:rsidR="009F3726">
        <w:rPr>
          <w:rFonts w:ascii="Times New Roman" w:eastAsia="Arial" w:hAnsi="Times New Roman" w:cs="Times New Roman"/>
          <w:sz w:val="24"/>
          <w:szCs w:val="24"/>
          <w:lang w:eastAsia="es-CO"/>
        </w:rPr>
        <w:t xml:space="preserve"> Ministerio del Interior y de</w:t>
      </w:r>
      <w:r w:rsidRPr="007F7705">
        <w:rPr>
          <w:rFonts w:ascii="Times New Roman" w:eastAsia="Arial" w:hAnsi="Times New Roman" w:cs="Times New Roman"/>
          <w:sz w:val="24"/>
          <w:szCs w:val="24"/>
          <w:lang w:eastAsia="es-CO"/>
        </w:rPr>
        <w:t xml:space="preserve"> las instituciones que considere necesarias, promoviendo principios de alineación y coordinación en la reglamentación de la importación, fabricación, transporte, comercialización y uso de artículos pirotécnicos, en función de reducir y gestionar el riesgo para todos sus participantes, de manera proactiva.</w:t>
      </w:r>
    </w:p>
    <w:p w14:paraId="0665A4F8" w14:textId="2B18C09A" w:rsid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lastRenderedPageBreak/>
        <w:t>Parágrafo</w:t>
      </w:r>
      <w:r w:rsidR="00A5306B">
        <w:rPr>
          <w:rFonts w:ascii="Times New Roman" w:eastAsia="Arial" w:hAnsi="Times New Roman" w:cs="Times New Roman"/>
          <w:b/>
          <w:sz w:val="24"/>
          <w:szCs w:val="24"/>
          <w:lang w:eastAsia="es-CO"/>
        </w:rPr>
        <w:t xml:space="preserve"> 1</w:t>
      </w:r>
      <w:r w:rsidRPr="007F7705">
        <w:rPr>
          <w:rFonts w:ascii="Times New Roman" w:eastAsia="Arial" w:hAnsi="Times New Roman" w:cs="Times New Roman"/>
          <w:b/>
          <w:sz w:val="24"/>
          <w:szCs w:val="24"/>
          <w:lang w:eastAsia="es-CO"/>
        </w:rPr>
        <w:t>.</w:t>
      </w:r>
      <w:r w:rsidRPr="007F7705">
        <w:rPr>
          <w:rFonts w:ascii="Times New Roman" w:eastAsia="Arial" w:hAnsi="Times New Roman" w:cs="Times New Roman"/>
          <w:sz w:val="24"/>
          <w:szCs w:val="24"/>
          <w:lang w:eastAsia="es-CO"/>
        </w:rPr>
        <w:t xml:space="preserve"> Esta mesa técnica deberá incluir a productores y distribuidores legales de productos pirotécnicos, cuyo concepto no será vinculante, para identificar, evaluar y hacer seguimiento a aquellos artefactos que representan mayor riesgo para los usuarios, con el fin de adoptar los mecanismos a que haya lugar para la prevención de lesiones, entre los cuales se podrá incluir el retiro del mercado de manera efectiva y la divulgación de información sobre sus riesgos a la ciudadanía.</w:t>
      </w:r>
    </w:p>
    <w:p w14:paraId="03A03D75" w14:textId="3522EF39" w:rsidR="00895708" w:rsidRPr="00895708" w:rsidRDefault="00895708" w:rsidP="007F7705">
      <w:pPr>
        <w:spacing w:before="240" w:after="240"/>
        <w:jc w:val="both"/>
        <w:rPr>
          <w:rFonts w:ascii="Times New Roman" w:eastAsia="Arial" w:hAnsi="Times New Roman" w:cs="Times New Roman"/>
          <w:sz w:val="24"/>
          <w:szCs w:val="24"/>
          <w:lang w:eastAsia="es-CO"/>
        </w:rPr>
      </w:pPr>
      <w:r w:rsidRPr="00895708">
        <w:rPr>
          <w:rFonts w:ascii="Times New Roman" w:eastAsia="Arial" w:hAnsi="Times New Roman" w:cs="Times New Roman"/>
          <w:b/>
          <w:sz w:val="24"/>
          <w:szCs w:val="24"/>
          <w:lang w:eastAsia="es-CO"/>
        </w:rPr>
        <w:t>Parágrafo 2.</w:t>
      </w:r>
      <w:r>
        <w:rPr>
          <w:rFonts w:ascii="Times New Roman" w:eastAsia="Arial" w:hAnsi="Times New Roman" w:cs="Times New Roman"/>
          <w:b/>
          <w:sz w:val="24"/>
          <w:szCs w:val="24"/>
          <w:lang w:eastAsia="es-CO"/>
        </w:rPr>
        <w:t xml:space="preserve"> </w:t>
      </w:r>
      <w:r>
        <w:rPr>
          <w:rFonts w:ascii="Times New Roman" w:eastAsia="Arial" w:hAnsi="Times New Roman" w:cs="Times New Roman"/>
          <w:sz w:val="24"/>
          <w:szCs w:val="24"/>
          <w:lang w:eastAsia="es-CO"/>
        </w:rPr>
        <w:t>El Gobierno Nacional reglamentará el funcionamiento, operación y demás aspect</w:t>
      </w:r>
      <w:r w:rsidR="00033D5C">
        <w:rPr>
          <w:rFonts w:ascii="Times New Roman" w:eastAsia="Arial" w:hAnsi="Times New Roman" w:cs="Times New Roman"/>
          <w:sz w:val="24"/>
          <w:szCs w:val="24"/>
          <w:lang w:eastAsia="es-CO"/>
        </w:rPr>
        <w:t>os de esta mesa de trabajo y coo</w:t>
      </w:r>
      <w:r>
        <w:rPr>
          <w:rFonts w:ascii="Times New Roman" w:eastAsia="Arial" w:hAnsi="Times New Roman" w:cs="Times New Roman"/>
          <w:sz w:val="24"/>
          <w:szCs w:val="24"/>
          <w:lang w:eastAsia="es-CO"/>
        </w:rPr>
        <w:t>rdinación que no se encuentren regulados en esta ley, en un plazo no mayor a seis (6) meses contados a partir de su entrada en vigencia.</w:t>
      </w:r>
    </w:p>
    <w:p w14:paraId="0476788B" w14:textId="6F921E73"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Artículo 8.</w:t>
      </w:r>
      <w:r w:rsidR="009A0E59">
        <w:rPr>
          <w:rFonts w:ascii="Times New Roman" w:eastAsia="Arial" w:hAnsi="Times New Roman" w:cs="Times New Roman"/>
          <w:sz w:val="24"/>
          <w:szCs w:val="24"/>
          <w:lang w:eastAsia="es-CO"/>
        </w:rPr>
        <w:t xml:space="preserve"> Modifíquese el Artículo 15 de la L</w:t>
      </w:r>
      <w:r w:rsidRPr="007F7705">
        <w:rPr>
          <w:rFonts w:ascii="Times New Roman" w:eastAsia="Arial" w:hAnsi="Times New Roman" w:cs="Times New Roman"/>
          <w:sz w:val="24"/>
          <w:szCs w:val="24"/>
          <w:lang w:eastAsia="es-CO"/>
        </w:rPr>
        <w:t>ey 670 de 2001, el cual quedará así:</w:t>
      </w:r>
    </w:p>
    <w:p w14:paraId="4FFB13AF" w14:textId="77777777" w:rsidR="007F7705" w:rsidRPr="007F7705" w:rsidRDefault="007F7705" w:rsidP="007F7705">
      <w:pPr>
        <w:spacing w:before="240" w:after="240"/>
        <w:ind w:left="697" w:right="697"/>
        <w:jc w:val="both"/>
        <w:rPr>
          <w:rFonts w:ascii="Times New Roman" w:eastAsia="Arial" w:hAnsi="Times New Roman" w:cs="Times New Roman"/>
          <w:sz w:val="24"/>
          <w:szCs w:val="24"/>
          <w:lang w:eastAsia="es-CO"/>
        </w:rPr>
      </w:pPr>
      <w:r w:rsidRPr="007F7705">
        <w:rPr>
          <w:rFonts w:ascii="Times New Roman" w:eastAsia="Arial" w:hAnsi="Times New Roman" w:cs="Times New Roman"/>
          <w:b/>
          <w:bCs/>
          <w:i/>
          <w:sz w:val="24"/>
          <w:szCs w:val="24"/>
          <w:lang w:eastAsia="es-CO"/>
        </w:rPr>
        <w:t>ARTÍCULO 15.</w:t>
      </w:r>
      <w:r w:rsidRPr="007F7705">
        <w:rPr>
          <w:rFonts w:ascii="Times New Roman" w:eastAsia="Arial" w:hAnsi="Times New Roman" w:cs="Times New Roman"/>
          <w:i/>
          <w:sz w:val="24"/>
          <w:szCs w:val="24"/>
          <w:lang w:eastAsia="es-CO"/>
        </w:rPr>
        <w:t xml:space="preserve"> Todo artículo pirotécnico debe llevar una etiqueta sobre la necesidad de usarlo con implementos aptos para la manipulación y las prohibiciones de la presente ley, así como la circulación restringida de estos materiales por su grado de toxicidad y peligrosidad. Debe quedar expresamente señalado que la manipulación de todo tipo de pólvora está expresamente prohibida para menores de edad mediante una etiqueta y personas que estén en estado de embriaguez.</w:t>
      </w:r>
    </w:p>
    <w:p w14:paraId="6E2EFA56"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 xml:space="preserve">Artículo 9°. Cultura Ciudadana y uso de la pólvora. </w:t>
      </w:r>
      <w:r w:rsidRPr="007F7705">
        <w:rPr>
          <w:rFonts w:ascii="Times New Roman" w:eastAsia="Arial" w:hAnsi="Times New Roman" w:cs="Times New Roman"/>
          <w:sz w:val="24"/>
          <w:szCs w:val="24"/>
          <w:lang w:eastAsia="es-CO"/>
        </w:rPr>
        <w:t>Cada municipio o Distrito, a iniciativa de su respectivo alcalde, deberá garantizar que se implementen propuestas pedagógicas (de auto y mutua regulación) que promuevan cambios de actitudes y comportamientos en el uso responsable de la pólvora que incluya como mínimo acciones de:</w:t>
      </w:r>
    </w:p>
    <w:p w14:paraId="1B46A650"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a) Pedagogía a la ciudadanía en general;</w:t>
      </w:r>
    </w:p>
    <w:p w14:paraId="0067024A"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b) Pedagogía a los agentes involucrados en el mercado de la pólvora;</w:t>
      </w:r>
    </w:p>
    <w:p w14:paraId="0ACF7F58"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c) Pedagogía a los padres, madres o responsables de las niñas, niños y adolescentes;</w:t>
      </w:r>
    </w:p>
    <w:p w14:paraId="5554F7C2"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d) Pedagogía a las y los profesores;</w:t>
      </w:r>
    </w:p>
    <w:p w14:paraId="37B1BCD0" w14:textId="77777777"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e) Pedagogía a las niñas, niños y adolescentes;</w:t>
      </w:r>
    </w:p>
    <w:p w14:paraId="38A53EF8" w14:textId="77777777" w:rsid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sz w:val="24"/>
          <w:szCs w:val="24"/>
          <w:lang w:eastAsia="es-CO"/>
        </w:rPr>
        <w:t>f) Interlocución de las autoridades municipales con los polvoreros, con sus voceros institucionales y con sus apoderados.</w:t>
      </w:r>
    </w:p>
    <w:p w14:paraId="43E85A01" w14:textId="15BEFC27" w:rsidR="00081F81" w:rsidRPr="007F7705" w:rsidRDefault="00081F81" w:rsidP="007F7705">
      <w:pPr>
        <w:spacing w:before="240" w:after="240"/>
        <w:jc w:val="both"/>
        <w:rPr>
          <w:rFonts w:ascii="Times New Roman" w:eastAsia="Arial" w:hAnsi="Times New Roman" w:cs="Times New Roman"/>
          <w:sz w:val="24"/>
          <w:szCs w:val="24"/>
          <w:lang w:eastAsia="es-CO"/>
        </w:rPr>
      </w:pPr>
      <w:r>
        <w:rPr>
          <w:rFonts w:ascii="Times New Roman" w:eastAsia="Arial" w:hAnsi="Times New Roman" w:cs="Times New Roman"/>
          <w:sz w:val="24"/>
          <w:szCs w:val="24"/>
          <w:lang w:eastAsia="es-CO"/>
        </w:rPr>
        <w:t xml:space="preserve">Todas las iniciativas pedagógicas que se implementen deberán explicar los impactos negativos de los artículos pirotécnicos y de fuegos artificiales sobre los seres humanos, sobre los animales y el medio ambiente. </w:t>
      </w:r>
    </w:p>
    <w:p w14:paraId="366D8DE8" w14:textId="7130C758" w:rsidR="007F7705" w:rsidRPr="007F7705" w:rsidRDefault="007F7705" w:rsidP="007F7705">
      <w:pPr>
        <w:spacing w:before="240" w:after="240"/>
        <w:jc w:val="both"/>
        <w:rPr>
          <w:rFonts w:ascii="Times New Roman" w:eastAsia="Arial" w:hAnsi="Times New Roman" w:cs="Times New Roman"/>
          <w:sz w:val="24"/>
          <w:szCs w:val="24"/>
          <w:lang w:eastAsia="es-CO"/>
        </w:rPr>
      </w:pPr>
      <w:r w:rsidRPr="007F7705">
        <w:rPr>
          <w:rFonts w:ascii="Times New Roman" w:eastAsia="Arial" w:hAnsi="Times New Roman" w:cs="Times New Roman"/>
          <w:b/>
          <w:sz w:val="24"/>
          <w:szCs w:val="24"/>
          <w:lang w:eastAsia="es-CO"/>
        </w:rPr>
        <w:t>Parágrafo.</w:t>
      </w:r>
      <w:r w:rsidRPr="007F7705">
        <w:rPr>
          <w:rFonts w:ascii="Times New Roman" w:eastAsia="Arial" w:hAnsi="Times New Roman" w:cs="Times New Roman"/>
          <w:sz w:val="24"/>
          <w:szCs w:val="24"/>
          <w:lang w:eastAsia="es-CO"/>
        </w:rPr>
        <w:t xml:space="preserve"> Para este fin, las administraciones distritales y municipales podrán disponer de los recursos para cultura ciudadana y pedagogía de </w:t>
      </w:r>
      <w:r w:rsidR="0001542C">
        <w:rPr>
          <w:rFonts w:ascii="Times New Roman" w:eastAsia="Arial" w:hAnsi="Times New Roman" w:cs="Times New Roman"/>
          <w:sz w:val="24"/>
          <w:szCs w:val="24"/>
          <w:lang w:eastAsia="es-CO"/>
        </w:rPr>
        <w:t>los que trata el parágrafo del A</w:t>
      </w:r>
      <w:r w:rsidRPr="007F7705">
        <w:rPr>
          <w:rFonts w:ascii="Times New Roman" w:eastAsia="Arial" w:hAnsi="Times New Roman" w:cs="Times New Roman"/>
          <w:sz w:val="24"/>
          <w:szCs w:val="24"/>
          <w:lang w:eastAsia="es-CO"/>
        </w:rPr>
        <w:t xml:space="preserve">rtículo 180 de la Ley 1801 de 2016. </w:t>
      </w:r>
    </w:p>
    <w:p w14:paraId="10EB1C88" w14:textId="77777777" w:rsidR="000A4A61" w:rsidRDefault="000A4A61" w:rsidP="007F7705">
      <w:pPr>
        <w:jc w:val="both"/>
        <w:rPr>
          <w:rFonts w:ascii="Times New Roman" w:eastAsia="Arial" w:hAnsi="Times New Roman" w:cs="Times New Roman"/>
          <w:b/>
          <w:sz w:val="24"/>
          <w:szCs w:val="24"/>
          <w:lang w:eastAsia="es-CO"/>
        </w:rPr>
      </w:pPr>
    </w:p>
    <w:p w14:paraId="26B258C9" w14:textId="77777777" w:rsidR="000A4A61" w:rsidRDefault="000A4A61" w:rsidP="007F7705">
      <w:pPr>
        <w:jc w:val="both"/>
        <w:rPr>
          <w:rFonts w:ascii="Times New Roman" w:eastAsia="Arial" w:hAnsi="Times New Roman" w:cs="Times New Roman"/>
          <w:b/>
          <w:sz w:val="24"/>
          <w:szCs w:val="24"/>
          <w:lang w:eastAsia="es-CO"/>
        </w:rPr>
      </w:pPr>
    </w:p>
    <w:p w14:paraId="25AFAE02" w14:textId="23E9C0A5" w:rsidR="007F7705" w:rsidRDefault="007F7705" w:rsidP="007F7705">
      <w:pPr>
        <w:jc w:val="both"/>
        <w:rPr>
          <w:rFonts w:ascii="Times New Roman" w:hAnsi="Times New Roman" w:cs="Times New Roman"/>
          <w:sz w:val="24"/>
          <w:szCs w:val="24"/>
        </w:rPr>
      </w:pPr>
      <w:r w:rsidRPr="007F7705">
        <w:rPr>
          <w:rFonts w:ascii="Times New Roman" w:eastAsia="Arial" w:hAnsi="Times New Roman" w:cs="Times New Roman"/>
          <w:b/>
          <w:sz w:val="24"/>
          <w:szCs w:val="24"/>
          <w:lang w:eastAsia="es-CO"/>
        </w:rPr>
        <w:t>Artículo 10°. Vigencia y derogatorias.</w:t>
      </w:r>
      <w:r w:rsidRPr="007F7705">
        <w:rPr>
          <w:rFonts w:ascii="Times New Roman" w:eastAsia="Arial" w:hAnsi="Times New Roman" w:cs="Times New Roman"/>
          <w:sz w:val="24"/>
          <w:szCs w:val="24"/>
          <w:lang w:eastAsia="es-CO"/>
        </w:rPr>
        <w:t xml:space="preserve"> La presente ley rige a partir de la fecha de su promulgación y deroga todas las disposiciones que le sean contrarias.</w:t>
      </w:r>
    </w:p>
    <w:p w14:paraId="5FB34676" w14:textId="77777777" w:rsidR="007F7705" w:rsidRDefault="007F7705" w:rsidP="00EC58E5">
      <w:pPr>
        <w:jc w:val="both"/>
        <w:rPr>
          <w:rFonts w:ascii="Times New Roman" w:hAnsi="Times New Roman" w:cs="Times New Roman"/>
          <w:sz w:val="24"/>
          <w:szCs w:val="24"/>
        </w:rPr>
      </w:pPr>
    </w:p>
    <w:p w14:paraId="7BA2FE7F" w14:textId="77777777" w:rsidR="007F7705" w:rsidRDefault="007F7705" w:rsidP="00EC58E5">
      <w:pPr>
        <w:jc w:val="both"/>
        <w:rPr>
          <w:rFonts w:ascii="Times New Roman" w:hAnsi="Times New Roman" w:cs="Times New Roman"/>
          <w:sz w:val="24"/>
          <w:szCs w:val="24"/>
        </w:rPr>
      </w:pPr>
    </w:p>
    <w:p w14:paraId="403520D5" w14:textId="1763B6BE" w:rsidR="00BF34E3" w:rsidRPr="007F7705" w:rsidRDefault="00766BD4" w:rsidP="00EC58E5">
      <w:pPr>
        <w:jc w:val="both"/>
        <w:rPr>
          <w:rFonts w:ascii="Times New Roman" w:hAnsi="Times New Roman" w:cs="Times New Roman"/>
          <w:sz w:val="24"/>
          <w:szCs w:val="24"/>
          <w:lang w:val="es-ES" w:eastAsia="es-ES"/>
        </w:rPr>
      </w:pPr>
      <w:r w:rsidRPr="007F7705">
        <w:rPr>
          <w:rFonts w:ascii="Times New Roman" w:hAnsi="Times New Roman" w:cs="Times New Roman"/>
          <w:sz w:val="24"/>
          <w:szCs w:val="24"/>
        </w:rPr>
        <w:t>E</w:t>
      </w:r>
      <w:r w:rsidR="002F5EF2" w:rsidRPr="007F7705">
        <w:rPr>
          <w:rFonts w:ascii="Times New Roman" w:hAnsi="Times New Roman" w:cs="Times New Roman"/>
          <w:sz w:val="24"/>
          <w:szCs w:val="24"/>
        </w:rPr>
        <w:t>n</w:t>
      </w:r>
      <w:r w:rsidR="00CA4DEE" w:rsidRPr="007F7705">
        <w:rPr>
          <w:rFonts w:ascii="Times New Roman" w:hAnsi="Times New Roman" w:cs="Times New Roman"/>
          <w:sz w:val="24"/>
          <w:szCs w:val="24"/>
          <w:lang w:val="es-ES" w:eastAsia="es-ES"/>
        </w:rPr>
        <w:t xml:space="preserve"> los ant</w:t>
      </w:r>
      <w:r w:rsidR="00E31BB3" w:rsidRPr="007F7705">
        <w:rPr>
          <w:rFonts w:ascii="Times New Roman" w:hAnsi="Times New Roman" w:cs="Times New Roman"/>
          <w:sz w:val="24"/>
          <w:szCs w:val="24"/>
          <w:lang w:val="es-ES" w:eastAsia="es-ES"/>
        </w:rPr>
        <w:t>eriores términos fue aprobado co</w:t>
      </w:r>
      <w:r w:rsidR="00CA4DEE" w:rsidRPr="007F7705">
        <w:rPr>
          <w:rFonts w:ascii="Times New Roman" w:hAnsi="Times New Roman" w:cs="Times New Roman"/>
          <w:sz w:val="24"/>
          <w:szCs w:val="24"/>
          <w:lang w:val="es-ES" w:eastAsia="es-ES"/>
        </w:rPr>
        <w:t>n modificacio</w:t>
      </w:r>
      <w:r w:rsidR="00EC58E5" w:rsidRPr="007F7705">
        <w:rPr>
          <w:rFonts w:ascii="Times New Roman" w:hAnsi="Times New Roman" w:cs="Times New Roman"/>
          <w:sz w:val="24"/>
          <w:szCs w:val="24"/>
          <w:lang w:val="es-ES" w:eastAsia="es-ES"/>
        </w:rPr>
        <w:t xml:space="preserve">nes el presente Proyecto de Ley </w:t>
      </w:r>
      <w:r w:rsidR="007F6D4F" w:rsidRPr="007F7705">
        <w:rPr>
          <w:rFonts w:ascii="Times New Roman" w:hAnsi="Times New Roman" w:cs="Times New Roman"/>
          <w:sz w:val="24"/>
          <w:szCs w:val="24"/>
          <w:lang w:val="es-ES" w:eastAsia="es-ES"/>
        </w:rPr>
        <w:t>según consta en Acta</w:t>
      </w:r>
      <w:r w:rsidR="008A58CD" w:rsidRPr="007F7705">
        <w:rPr>
          <w:rFonts w:ascii="Times New Roman" w:hAnsi="Times New Roman" w:cs="Times New Roman"/>
          <w:sz w:val="24"/>
          <w:szCs w:val="24"/>
          <w:lang w:val="es-ES" w:eastAsia="es-ES"/>
        </w:rPr>
        <w:t xml:space="preserve"> </w:t>
      </w:r>
      <w:r w:rsidR="00CA4DEE" w:rsidRPr="007F7705">
        <w:rPr>
          <w:rFonts w:ascii="Times New Roman" w:hAnsi="Times New Roman" w:cs="Times New Roman"/>
          <w:sz w:val="24"/>
          <w:szCs w:val="24"/>
          <w:lang w:val="es-ES" w:eastAsia="es-ES"/>
        </w:rPr>
        <w:t>No.</w:t>
      </w:r>
      <w:r w:rsidR="00273C85" w:rsidRPr="007F7705">
        <w:rPr>
          <w:rFonts w:ascii="Times New Roman" w:hAnsi="Times New Roman" w:cs="Times New Roman"/>
          <w:sz w:val="24"/>
          <w:szCs w:val="24"/>
          <w:lang w:val="es-ES" w:eastAsia="es-ES"/>
        </w:rPr>
        <w:t xml:space="preserve"> </w:t>
      </w:r>
      <w:r w:rsidR="00E31BB3" w:rsidRPr="007F7705">
        <w:rPr>
          <w:rFonts w:ascii="Times New Roman" w:hAnsi="Times New Roman" w:cs="Times New Roman"/>
          <w:sz w:val="24"/>
          <w:szCs w:val="24"/>
          <w:lang w:val="es-ES" w:eastAsia="es-ES"/>
        </w:rPr>
        <w:t>39</w:t>
      </w:r>
      <w:r w:rsidRPr="007F7705">
        <w:rPr>
          <w:rFonts w:ascii="Times New Roman" w:hAnsi="Times New Roman" w:cs="Times New Roman"/>
          <w:sz w:val="24"/>
          <w:szCs w:val="24"/>
          <w:lang w:val="es-ES" w:eastAsia="es-ES"/>
        </w:rPr>
        <w:t xml:space="preserve"> de Sesión </w:t>
      </w:r>
      <w:r w:rsidR="00E31BB3" w:rsidRPr="007F7705">
        <w:rPr>
          <w:rFonts w:ascii="Times New Roman" w:hAnsi="Times New Roman" w:cs="Times New Roman"/>
          <w:sz w:val="24"/>
          <w:szCs w:val="24"/>
          <w:lang w:val="es-ES" w:eastAsia="es-ES"/>
        </w:rPr>
        <w:t>Presencial de Abril 06 de 2022</w:t>
      </w:r>
      <w:r w:rsidR="007F6D4F" w:rsidRPr="007F7705">
        <w:rPr>
          <w:rFonts w:ascii="Times New Roman" w:hAnsi="Times New Roman" w:cs="Times New Roman"/>
          <w:sz w:val="24"/>
          <w:szCs w:val="24"/>
          <w:lang w:val="es-ES" w:eastAsia="es-ES"/>
        </w:rPr>
        <w:t>.</w:t>
      </w:r>
      <w:r w:rsidR="008A58CD" w:rsidRPr="007F7705">
        <w:rPr>
          <w:rFonts w:ascii="Times New Roman" w:hAnsi="Times New Roman" w:cs="Times New Roman"/>
          <w:sz w:val="24"/>
          <w:szCs w:val="24"/>
          <w:lang w:val="es-ES" w:eastAsia="es-ES"/>
        </w:rPr>
        <w:t xml:space="preserve"> </w:t>
      </w:r>
      <w:r w:rsidR="00CA4DEE" w:rsidRPr="007F7705">
        <w:rPr>
          <w:rFonts w:ascii="Times New Roman" w:hAnsi="Times New Roman" w:cs="Times New Roman"/>
          <w:sz w:val="24"/>
          <w:szCs w:val="24"/>
          <w:lang w:val="es-ES" w:eastAsia="es-ES"/>
        </w:rPr>
        <w:t xml:space="preserve">Anunciado entre otras fechas, el </w:t>
      </w:r>
      <w:r w:rsidR="00E31BB3" w:rsidRPr="007F7705">
        <w:rPr>
          <w:rFonts w:ascii="Times New Roman" w:hAnsi="Times New Roman" w:cs="Times New Roman"/>
          <w:sz w:val="24"/>
          <w:szCs w:val="24"/>
          <w:lang w:val="es-ES" w:eastAsia="es-ES"/>
        </w:rPr>
        <w:t>30</w:t>
      </w:r>
      <w:r w:rsidR="00623185">
        <w:rPr>
          <w:rFonts w:ascii="Times New Roman" w:hAnsi="Times New Roman" w:cs="Times New Roman"/>
          <w:sz w:val="24"/>
          <w:szCs w:val="24"/>
          <w:lang w:val="es-ES" w:eastAsia="es-ES"/>
        </w:rPr>
        <w:t xml:space="preserve"> </w:t>
      </w:r>
      <w:r w:rsidR="00DF170E" w:rsidRPr="007F7705">
        <w:rPr>
          <w:rFonts w:ascii="Times New Roman" w:hAnsi="Times New Roman" w:cs="Times New Roman"/>
          <w:sz w:val="24"/>
          <w:szCs w:val="24"/>
          <w:lang w:val="es-ES" w:eastAsia="es-ES"/>
        </w:rPr>
        <w:t xml:space="preserve">de </w:t>
      </w:r>
      <w:r w:rsidR="00E31BB3" w:rsidRPr="007F7705">
        <w:rPr>
          <w:rFonts w:ascii="Times New Roman" w:hAnsi="Times New Roman" w:cs="Times New Roman"/>
          <w:sz w:val="24"/>
          <w:szCs w:val="24"/>
          <w:lang w:val="es-ES" w:eastAsia="es-ES"/>
        </w:rPr>
        <w:t>Marzo de 2022 según consta en Acta No. 38</w:t>
      </w:r>
      <w:r w:rsidR="00DF170E" w:rsidRPr="007F7705">
        <w:rPr>
          <w:rFonts w:ascii="Times New Roman" w:hAnsi="Times New Roman" w:cs="Times New Roman"/>
          <w:sz w:val="24"/>
          <w:szCs w:val="24"/>
          <w:lang w:val="es-ES" w:eastAsia="es-ES"/>
        </w:rPr>
        <w:t>.</w:t>
      </w:r>
      <w:r w:rsidR="001E0A8D" w:rsidRPr="007F7705">
        <w:rPr>
          <w:rFonts w:ascii="Times New Roman" w:eastAsia="Times New Roman" w:hAnsi="Times New Roman" w:cs="Times New Roman"/>
          <w:b/>
          <w:sz w:val="24"/>
          <w:szCs w:val="24"/>
          <w:lang w:eastAsia="es-CO"/>
        </w:rPr>
        <w:t xml:space="preserve"> </w:t>
      </w:r>
    </w:p>
    <w:p w14:paraId="0B78667B" w14:textId="77777777" w:rsidR="00A01C1A" w:rsidRPr="007F7705" w:rsidRDefault="00A01C1A" w:rsidP="00503E9D">
      <w:pPr>
        <w:spacing w:before="45" w:after="15" w:line="276" w:lineRule="auto"/>
        <w:ind w:right="30"/>
        <w:jc w:val="both"/>
        <w:rPr>
          <w:rFonts w:ascii="Times New Roman" w:eastAsia="Times New Roman" w:hAnsi="Times New Roman" w:cs="Times New Roman"/>
          <w:b/>
          <w:sz w:val="24"/>
          <w:szCs w:val="24"/>
          <w:lang w:eastAsia="es-CO"/>
        </w:rPr>
      </w:pPr>
    </w:p>
    <w:p w14:paraId="41258C4D" w14:textId="77777777" w:rsidR="00E529CC" w:rsidRPr="007F7705" w:rsidRDefault="00E529CC" w:rsidP="004F2831">
      <w:pPr>
        <w:spacing w:before="45" w:after="15" w:line="240" w:lineRule="auto"/>
        <w:ind w:right="30"/>
        <w:jc w:val="both"/>
        <w:rPr>
          <w:rFonts w:ascii="Times New Roman" w:eastAsia="Times New Roman" w:hAnsi="Times New Roman" w:cs="Times New Roman"/>
          <w:b/>
          <w:sz w:val="24"/>
          <w:szCs w:val="24"/>
          <w:lang w:eastAsia="es-CO"/>
        </w:rPr>
      </w:pPr>
    </w:p>
    <w:p w14:paraId="19051645" w14:textId="77777777" w:rsidR="00865F9B" w:rsidRPr="007F7705" w:rsidRDefault="00865F9B" w:rsidP="00DF170E">
      <w:pPr>
        <w:spacing w:after="0" w:line="240" w:lineRule="auto"/>
        <w:jc w:val="both"/>
        <w:rPr>
          <w:rFonts w:ascii="Times New Roman" w:eastAsia="Times New Roman" w:hAnsi="Times New Roman" w:cs="Times New Roman"/>
          <w:b/>
          <w:sz w:val="24"/>
          <w:szCs w:val="24"/>
          <w:lang w:eastAsia="es-CO"/>
        </w:rPr>
      </w:pPr>
    </w:p>
    <w:p w14:paraId="0C2F39BB" w14:textId="77777777" w:rsidR="00B73205" w:rsidRPr="007F7705" w:rsidRDefault="00B73205" w:rsidP="00DF170E">
      <w:pPr>
        <w:spacing w:after="0" w:line="240" w:lineRule="auto"/>
        <w:jc w:val="both"/>
        <w:rPr>
          <w:rFonts w:ascii="Times New Roman" w:eastAsia="Times New Roman" w:hAnsi="Times New Roman" w:cs="Times New Roman"/>
          <w:b/>
          <w:sz w:val="24"/>
          <w:szCs w:val="24"/>
          <w:lang w:eastAsia="es-CO"/>
        </w:rPr>
      </w:pPr>
    </w:p>
    <w:p w14:paraId="608C17A5" w14:textId="0C85C5FC" w:rsidR="00DF170E" w:rsidRPr="007F7705" w:rsidRDefault="00623185" w:rsidP="00DF170E">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JULIÁN PEINADO RAMÍREZ</w:t>
      </w:r>
      <w:r>
        <w:rPr>
          <w:rFonts w:ascii="Times New Roman" w:eastAsia="Times New Roman" w:hAnsi="Times New Roman" w:cs="Times New Roman"/>
          <w:b/>
          <w:sz w:val="24"/>
          <w:szCs w:val="24"/>
          <w:lang w:eastAsia="es-CO"/>
        </w:rPr>
        <w:tab/>
      </w:r>
      <w:r w:rsidR="00DF170E" w:rsidRPr="007F7705">
        <w:rPr>
          <w:rFonts w:ascii="Times New Roman" w:eastAsia="Times New Roman" w:hAnsi="Times New Roman" w:cs="Times New Roman"/>
          <w:b/>
          <w:sz w:val="24"/>
          <w:szCs w:val="24"/>
          <w:lang w:eastAsia="es-CO"/>
        </w:rPr>
        <w:tab/>
      </w:r>
      <w:r w:rsidR="00B73205" w:rsidRPr="007F7705">
        <w:rPr>
          <w:rFonts w:ascii="Times New Roman" w:eastAsia="Times New Roman" w:hAnsi="Times New Roman" w:cs="Times New Roman"/>
          <w:b/>
          <w:sz w:val="24"/>
          <w:szCs w:val="24"/>
          <w:lang w:eastAsia="es-CO"/>
        </w:rPr>
        <w:t xml:space="preserve">       JULIO CÉSAR TRIANA QUINTERO</w:t>
      </w:r>
    </w:p>
    <w:p w14:paraId="7D0C364E" w14:textId="589B187C" w:rsidR="00654984" w:rsidRPr="007F7705" w:rsidRDefault="001E0A8D" w:rsidP="00DF170E">
      <w:pPr>
        <w:spacing w:after="0" w:line="240" w:lineRule="auto"/>
        <w:jc w:val="both"/>
        <w:rPr>
          <w:rFonts w:ascii="Times New Roman" w:eastAsia="Times New Roman" w:hAnsi="Times New Roman" w:cs="Times New Roman"/>
          <w:b/>
          <w:sz w:val="24"/>
          <w:szCs w:val="24"/>
          <w:lang w:eastAsia="es-CO"/>
        </w:rPr>
      </w:pPr>
      <w:r w:rsidRPr="007F7705">
        <w:rPr>
          <w:rFonts w:ascii="Times New Roman" w:eastAsia="Times New Roman" w:hAnsi="Times New Roman" w:cs="Times New Roman"/>
          <w:sz w:val="24"/>
          <w:szCs w:val="24"/>
          <w:lang w:eastAsia="es-CO"/>
        </w:rPr>
        <w:t>Ponente Coordinador</w:t>
      </w:r>
      <w:r w:rsidR="00040AC1" w:rsidRPr="007F7705">
        <w:rPr>
          <w:rFonts w:ascii="Times New Roman" w:eastAsia="Times New Roman" w:hAnsi="Times New Roman" w:cs="Times New Roman"/>
          <w:sz w:val="24"/>
          <w:szCs w:val="24"/>
          <w:lang w:eastAsia="es-CO"/>
        </w:rPr>
        <w:tab/>
      </w:r>
      <w:r w:rsidR="00040AC1" w:rsidRPr="007F7705">
        <w:rPr>
          <w:rFonts w:ascii="Times New Roman" w:eastAsia="Times New Roman" w:hAnsi="Times New Roman" w:cs="Times New Roman"/>
          <w:sz w:val="24"/>
          <w:szCs w:val="24"/>
          <w:lang w:eastAsia="es-CO"/>
        </w:rPr>
        <w:tab/>
      </w:r>
      <w:r w:rsidR="00040AC1" w:rsidRPr="007F7705">
        <w:rPr>
          <w:rFonts w:ascii="Times New Roman" w:eastAsia="Times New Roman" w:hAnsi="Times New Roman" w:cs="Times New Roman"/>
          <w:sz w:val="24"/>
          <w:szCs w:val="24"/>
          <w:lang w:eastAsia="es-CO"/>
        </w:rPr>
        <w:tab/>
        <w:t xml:space="preserve">     </w:t>
      </w:r>
      <w:r w:rsidR="00EC58E5" w:rsidRPr="007F7705">
        <w:rPr>
          <w:rFonts w:ascii="Times New Roman" w:eastAsia="Times New Roman" w:hAnsi="Times New Roman" w:cs="Times New Roman"/>
          <w:sz w:val="24"/>
          <w:szCs w:val="24"/>
          <w:lang w:eastAsia="es-CO"/>
        </w:rPr>
        <w:t xml:space="preserve">            </w:t>
      </w:r>
      <w:r w:rsidR="00B73205" w:rsidRPr="007F7705">
        <w:rPr>
          <w:rFonts w:ascii="Times New Roman" w:eastAsia="Times New Roman" w:hAnsi="Times New Roman" w:cs="Times New Roman"/>
          <w:sz w:val="24"/>
          <w:szCs w:val="24"/>
          <w:lang w:eastAsia="es-CO"/>
        </w:rPr>
        <w:t xml:space="preserve">  Presidente</w:t>
      </w:r>
    </w:p>
    <w:p w14:paraId="385C6D38" w14:textId="23EDCD59" w:rsidR="00DF170E" w:rsidRPr="007F7705" w:rsidRDefault="00DF170E" w:rsidP="00DF170E">
      <w:pPr>
        <w:spacing w:after="0" w:line="240" w:lineRule="auto"/>
        <w:jc w:val="both"/>
        <w:rPr>
          <w:rFonts w:ascii="Times New Roman" w:eastAsia="Times New Roman" w:hAnsi="Times New Roman" w:cs="Times New Roman"/>
          <w:sz w:val="24"/>
          <w:szCs w:val="24"/>
          <w:lang w:eastAsia="es-CO"/>
        </w:rPr>
      </w:pPr>
    </w:p>
    <w:p w14:paraId="72D45757" w14:textId="77777777" w:rsidR="00DF170E" w:rsidRPr="007F7705" w:rsidRDefault="00DF170E" w:rsidP="00DF170E">
      <w:pPr>
        <w:spacing w:after="0" w:line="240" w:lineRule="auto"/>
        <w:jc w:val="both"/>
        <w:rPr>
          <w:rFonts w:ascii="Times New Roman" w:eastAsia="Times New Roman" w:hAnsi="Times New Roman" w:cs="Times New Roman"/>
          <w:sz w:val="24"/>
          <w:szCs w:val="24"/>
          <w:lang w:eastAsia="es-CO"/>
        </w:rPr>
      </w:pPr>
    </w:p>
    <w:p w14:paraId="4CD6DB01" w14:textId="77777777" w:rsidR="00DF170E" w:rsidRPr="007F7705" w:rsidRDefault="00DF170E" w:rsidP="00DF170E">
      <w:pPr>
        <w:spacing w:after="0" w:line="240" w:lineRule="auto"/>
        <w:jc w:val="both"/>
        <w:rPr>
          <w:rFonts w:ascii="Times New Roman" w:eastAsia="Times New Roman" w:hAnsi="Times New Roman" w:cs="Times New Roman"/>
          <w:sz w:val="24"/>
          <w:szCs w:val="24"/>
          <w:lang w:eastAsia="es-CO"/>
        </w:rPr>
      </w:pPr>
    </w:p>
    <w:p w14:paraId="1EE5A619" w14:textId="77777777" w:rsidR="00B73205" w:rsidRPr="007F7705" w:rsidRDefault="00B73205" w:rsidP="00DF170E">
      <w:pPr>
        <w:spacing w:after="0" w:line="240" w:lineRule="auto"/>
        <w:jc w:val="both"/>
        <w:rPr>
          <w:rFonts w:ascii="Times New Roman" w:eastAsia="Times New Roman" w:hAnsi="Times New Roman" w:cs="Times New Roman"/>
          <w:sz w:val="24"/>
          <w:szCs w:val="24"/>
          <w:lang w:eastAsia="es-CO"/>
        </w:rPr>
      </w:pPr>
    </w:p>
    <w:p w14:paraId="6B21D682" w14:textId="77777777" w:rsidR="00B73205" w:rsidRPr="007F7705" w:rsidRDefault="00B73205" w:rsidP="00DF170E">
      <w:pPr>
        <w:spacing w:after="0" w:line="240" w:lineRule="auto"/>
        <w:jc w:val="both"/>
        <w:rPr>
          <w:rFonts w:ascii="Times New Roman" w:eastAsia="Times New Roman" w:hAnsi="Times New Roman" w:cs="Times New Roman"/>
          <w:sz w:val="24"/>
          <w:szCs w:val="24"/>
          <w:lang w:eastAsia="es-CO"/>
        </w:rPr>
      </w:pPr>
    </w:p>
    <w:p w14:paraId="5BD887A4" w14:textId="5B9F8848" w:rsidR="00DF170E" w:rsidRPr="007F7705" w:rsidRDefault="00B73205" w:rsidP="00DF170E">
      <w:pPr>
        <w:spacing w:after="0" w:line="240" w:lineRule="auto"/>
        <w:jc w:val="both"/>
        <w:rPr>
          <w:rFonts w:ascii="Times New Roman" w:eastAsia="Times New Roman" w:hAnsi="Times New Roman" w:cs="Times New Roman"/>
          <w:b/>
          <w:sz w:val="24"/>
          <w:szCs w:val="24"/>
          <w:lang w:eastAsia="es-CO"/>
        </w:rPr>
      </w:pPr>
      <w:r w:rsidRPr="007F7705">
        <w:rPr>
          <w:rFonts w:ascii="Times New Roman" w:eastAsia="Times New Roman" w:hAnsi="Times New Roman" w:cs="Times New Roman"/>
          <w:b/>
          <w:sz w:val="24"/>
          <w:szCs w:val="24"/>
          <w:lang w:eastAsia="es-CO"/>
        </w:rPr>
        <w:tab/>
      </w:r>
      <w:r w:rsidRPr="007F7705">
        <w:rPr>
          <w:rFonts w:ascii="Times New Roman" w:eastAsia="Times New Roman" w:hAnsi="Times New Roman" w:cs="Times New Roman"/>
          <w:b/>
          <w:sz w:val="24"/>
          <w:szCs w:val="24"/>
          <w:lang w:eastAsia="es-CO"/>
        </w:rPr>
        <w:tab/>
      </w:r>
      <w:r w:rsidR="00DF170E" w:rsidRPr="007F7705">
        <w:rPr>
          <w:rFonts w:ascii="Times New Roman" w:eastAsia="Times New Roman" w:hAnsi="Times New Roman" w:cs="Times New Roman"/>
          <w:b/>
          <w:sz w:val="24"/>
          <w:szCs w:val="24"/>
          <w:lang w:eastAsia="es-CO"/>
        </w:rPr>
        <w:tab/>
        <w:t xml:space="preserve">     AMPARO Y. CALDERON PERDOMO</w:t>
      </w:r>
    </w:p>
    <w:p w14:paraId="699C9126" w14:textId="26CCEE7B" w:rsidR="00DF170E" w:rsidRPr="007F7705" w:rsidRDefault="00B73205" w:rsidP="00DF170E">
      <w:pPr>
        <w:tabs>
          <w:tab w:val="center" w:pos="4419"/>
        </w:tabs>
        <w:spacing w:after="0" w:line="240" w:lineRule="auto"/>
        <w:jc w:val="both"/>
        <w:rPr>
          <w:rFonts w:ascii="Times New Roman" w:eastAsia="Times New Roman" w:hAnsi="Times New Roman" w:cs="Times New Roman"/>
          <w:sz w:val="24"/>
          <w:szCs w:val="24"/>
          <w:lang w:eastAsia="es-CO"/>
        </w:rPr>
      </w:pPr>
      <w:r w:rsidRPr="007F7705">
        <w:rPr>
          <w:rFonts w:ascii="Times New Roman" w:eastAsia="Times New Roman" w:hAnsi="Times New Roman" w:cs="Times New Roman"/>
          <w:sz w:val="24"/>
          <w:szCs w:val="24"/>
          <w:lang w:eastAsia="es-CO"/>
        </w:rPr>
        <w:t xml:space="preserve">                                                 </w:t>
      </w:r>
      <w:r w:rsidR="00DF170E" w:rsidRPr="007F7705">
        <w:rPr>
          <w:rFonts w:ascii="Times New Roman" w:eastAsia="Times New Roman" w:hAnsi="Times New Roman" w:cs="Times New Roman"/>
          <w:sz w:val="24"/>
          <w:szCs w:val="24"/>
          <w:lang w:eastAsia="es-CO"/>
        </w:rPr>
        <w:t xml:space="preserve">                  Secretaria</w:t>
      </w:r>
    </w:p>
    <w:p w14:paraId="588C3E94" w14:textId="437453B4" w:rsidR="00BF34E3" w:rsidRPr="007F7705" w:rsidRDefault="00BF34E3" w:rsidP="00DF170E">
      <w:pPr>
        <w:spacing w:after="0" w:line="240" w:lineRule="auto"/>
        <w:jc w:val="both"/>
        <w:rPr>
          <w:rFonts w:ascii="Times New Roman" w:eastAsia="Times New Roman" w:hAnsi="Times New Roman" w:cs="Times New Roman"/>
          <w:sz w:val="24"/>
          <w:szCs w:val="24"/>
          <w:lang w:eastAsia="es-CO"/>
        </w:rPr>
      </w:pPr>
    </w:p>
    <w:sectPr w:rsidR="00BF34E3" w:rsidRPr="007F7705" w:rsidSect="004750CB">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DCE0A" w14:textId="77777777" w:rsidR="000B7179" w:rsidRDefault="000B7179" w:rsidP="00F464B3">
      <w:pPr>
        <w:spacing w:after="0" w:line="240" w:lineRule="auto"/>
      </w:pPr>
      <w:r>
        <w:separator/>
      </w:r>
    </w:p>
  </w:endnote>
  <w:endnote w:type="continuationSeparator" w:id="0">
    <w:p w14:paraId="19A03A6B" w14:textId="77777777" w:rsidR="000B7179" w:rsidRDefault="000B717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189618"/>
      <w:docPartObj>
        <w:docPartGallery w:val="Page Numbers (Bottom of Page)"/>
        <w:docPartUnique/>
      </w:docPartObj>
    </w:sdtPr>
    <w:sdtEndPr/>
    <w:sdtContent>
      <w:p w14:paraId="7007B65E" w14:textId="6AE90F22" w:rsidR="00623185" w:rsidRDefault="00623185">
        <w:pPr>
          <w:pStyle w:val="Piedepgina"/>
          <w:jc w:val="right"/>
        </w:pPr>
        <w:r>
          <w:fldChar w:fldCharType="begin"/>
        </w:r>
        <w:r>
          <w:instrText>PAGE   \* MERGEFORMAT</w:instrText>
        </w:r>
        <w:r>
          <w:fldChar w:fldCharType="separate"/>
        </w:r>
        <w:r w:rsidR="00D96963" w:rsidRPr="00D96963">
          <w:rPr>
            <w:noProof/>
            <w:lang w:val="es-ES"/>
          </w:rPr>
          <w:t>7</w:t>
        </w:r>
        <w:r>
          <w:fldChar w:fldCharType="end"/>
        </w:r>
      </w:p>
    </w:sdtContent>
  </w:sdt>
  <w:p w14:paraId="421B457E" w14:textId="77777777" w:rsidR="00C760B8" w:rsidRDefault="00C760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2FAD8" w14:textId="77777777" w:rsidR="000B7179" w:rsidRDefault="000B7179" w:rsidP="00F464B3">
      <w:pPr>
        <w:spacing w:after="0" w:line="240" w:lineRule="auto"/>
      </w:pPr>
      <w:r>
        <w:separator/>
      </w:r>
    </w:p>
  </w:footnote>
  <w:footnote w:type="continuationSeparator" w:id="0">
    <w:p w14:paraId="75E3AED7" w14:textId="77777777" w:rsidR="000B7179" w:rsidRDefault="000B7179"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3E22CFB"/>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5734F76"/>
    <w:multiLevelType w:val="hybridMultilevel"/>
    <w:tmpl w:val="6164AF78"/>
    <w:lvl w:ilvl="0" w:tplc="0C0A0017">
      <w:start w:val="1"/>
      <w:numFmt w:val="lowerLetter"/>
      <w:lvlText w:val="%1)"/>
      <w:lvlJc w:val="left"/>
      <w:pPr>
        <w:ind w:left="921" w:hanging="360"/>
      </w:pPr>
      <w:rPr>
        <w:rFonts w:hint="default"/>
        <w:spacing w:val="-5"/>
        <w:w w:val="100"/>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839192B"/>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5">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7">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5244921"/>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3">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CAA538E"/>
    <w:multiLevelType w:val="hybridMultilevel"/>
    <w:tmpl w:val="489AB04A"/>
    <w:lvl w:ilvl="0" w:tplc="8B7A6466">
      <w:start w:val="1"/>
      <w:numFmt w:val="lowerLetter"/>
      <w:lvlText w:val="%1."/>
      <w:lvlJc w:val="left"/>
      <w:pPr>
        <w:ind w:left="720" w:hanging="360"/>
      </w:pPr>
      <w:rPr>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21">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E5F6985"/>
    <w:multiLevelType w:val="multilevel"/>
    <w:tmpl w:val="1E96A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29">
    <w:nsid w:val="275A7168"/>
    <w:multiLevelType w:val="multilevel"/>
    <w:tmpl w:val="D0F004AC"/>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8DB231E"/>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2">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4">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5">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2">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3">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39DF6197"/>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7">
    <w:nsid w:val="3A8C5B6F"/>
    <w:multiLevelType w:val="multilevel"/>
    <w:tmpl w:val="101C45AA"/>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8">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49">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52">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4">
    <w:nsid w:val="4835529F"/>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5">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5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4B111C12"/>
    <w:multiLevelType w:val="multilevel"/>
    <w:tmpl w:val="1F1CEEC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8">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59">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55F73F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3">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nsid w:val="66EE0A94"/>
    <w:multiLevelType w:val="multilevel"/>
    <w:tmpl w:val="21E23AC0"/>
    <w:lvl w:ilvl="0">
      <w:start w:val="1"/>
      <w:numFmt w:val="decimal"/>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70">
    <w:nsid w:val="68513FC4"/>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71">
    <w:nsid w:val="6A2E3240"/>
    <w:multiLevelType w:val="multilevel"/>
    <w:tmpl w:val="2262627C"/>
    <w:lvl w:ilvl="0">
      <w:start w:val="6"/>
      <w:numFmt w:val="decimal"/>
      <w:lvlText w:val="%1."/>
      <w:lvlJc w:val="left"/>
      <w:pPr>
        <w:ind w:left="266" w:hanging="266"/>
      </w:pPr>
      <w:rPr>
        <w:smallCaps w:val="0"/>
        <w:strike w:val="0"/>
        <w:shd w:val="clear" w:color="auto" w:fill="auto"/>
        <w:vertAlign w:val="baseline"/>
      </w:rPr>
    </w:lvl>
    <w:lvl w:ilvl="1">
      <w:start w:val="1"/>
      <w:numFmt w:val="decimal"/>
      <w:lvlText w:val="%2."/>
      <w:lvlJc w:val="left"/>
      <w:pPr>
        <w:ind w:left="1066" w:hanging="266"/>
      </w:pPr>
      <w:rPr>
        <w:smallCaps w:val="0"/>
        <w:strike w:val="0"/>
        <w:shd w:val="clear" w:color="auto" w:fill="auto"/>
        <w:vertAlign w:val="baseline"/>
      </w:rPr>
    </w:lvl>
    <w:lvl w:ilvl="2">
      <w:start w:val="1"/>
      <w:numFmt w:val="decimal"/>
      <w:lvlText w:val="%3."/>
      <w:lvlJc w:val="left"/>
      <w:pPr>
        <w:ind w:left="1866" w:hanging="266"/>
      </w:pPr>
      <w:rPr>
        <w:smallCaps w:val="0"/>
        <w:strike w:val="0"/>
        <w:shd w:val="clear" w:color="auto" w:fill="auto"/>
        <w:vertAlign w:val="baseline"/>
      </w:rPr>
    </w:lvl>
    <w:lvl w:ilvl="3">
      <w:start w:val="1"/>
      <w:numFmt w:val="decimal"/>
      <w:lvlText w:val="%4."/>
      <w:lvlJc w:val="left"/>
      <w:pPr>
        <w:ind w:left="2666" w:hanging="265"/>
      </w:pPr>
      <w:rPr>
        <w:smallCaps w:val="0"/>
        <w:strike w:val="0"/>
        <w:shd w:val="clear" w:color="auto" w:fill="auto"/>
        <w:vertAlign w:val="baseline"/>
      </w:rPr>
    </w:lvl>
    <w:lvl w:ilvl="4">
      <w:start w:val="1"/>
      <w:numFmt w:val="decimal"/>
      <w:lvlText w:val="%5."/>
      <w:lvlJc w:val="left"/>
      <w:pPr>
        <w:ind w:left="3466" w:hanging="266"/>
      </w:pPr>
      <w:rPr>
        <w:smallCaps w:val="0"/>
        <w:strike w:val="0"/>
        <w:shd w:val="clear" w:color="auto" w:fill="auto"/>
        <w:vertAlign w:val="baseline"/>
      </w:rPr>
    </w:lvl>
    <w:lvl w:ilvl="5">
      <w:start w:val="1"/>
      <w:numFmt w:val="decimal"/>
      <w:lvlText w:val="%6."/>
      <w:lvlJc w:val="left"/>
      <w:pPr>
        <w:ind w:left="4266" w:hanging="266"/>
      </w:pPr>
      <w:rPr>
        <w:smallCaps w:val="0"/>
        <w:strike w:val="0"/>
        <w:shd w:val="clear" w:color="auto" w:fill="auto"/>
        <w:vertAlign w:val="baseline"/>
      </w:rPr>
    </w:lvl>
    <w:lvl w:ilvl="6">
      <w:start w:val="1"/>
      <w:numFmt w:val="decimal"/>
      <w:lvlText w:val="%7."/>
      <w:lvlJc w:val="left"/>
      <w:pPr>
        <w:ind w:left="5066" w:hanging="266"/>
      </w:pPr>
      <w:rPr>
        <w:smallCaps w:val="0"/>
        <w:strike w:val="0"/>
        <w:shd w:val="clear" w:color="auto" w:fill="auto"/>
        <w:vertAlign w:val="baseline"/>
      </w:rPr>
    </w:lvl>
    <w:lvl w:ilvl="7">
      <w:start w:val="1"/>
      <w:numFmt w:val="decimal"/>
      <w:lvlText w:val="%8."/>
      <w:lvlJc w:val="left"/>
      <w:pPr>
        <w:ind w:left="5866" w:hanging="266"/>
      </w:pPr>
      <w:rPr>
        <w:smallCaps w:val="0"/>
        <w:strike w:val="0"/>
        <w:shd w:val="clear" w:color="auto" w:fill="auto"/>
        <w:vertAlign w:val="baseline"/>
      </w:rPr>
    </w:lvl>
    <w:lvl w:ilvl="8">
      <w:start w:val="1"/>
      <w:numFmt w:val="decimal"/>
      <w:lvlText w:val="%9."/>
      <w:lvlJc w:val="left"/>
      <w:pPr>
        <w:ind w:left="6666" w:hanging="266"/>
      </w:pPr>
      <w:rPr>
        <w:smallCaps w:val="0"/>
        <w:strike w:val="0"/>
        <w:shd w:val="clear" w:color="auto" w:fill="auto"/>
        <w:vertAlign w:val="baseline"/>
      </w:rPr>
    </w:lvl>
  </w:abstractNum>
  <w:abstractNum w:abstractNumId="72">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3">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5">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6">
    <w:nsid w:val="720F0102"/>
    <w:multiLevelType w:val="multilevel"/>
    <w:tmpl w:val="C9D23012"/>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77">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9">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766B3E30"/>
    <w:multiLevelType w:val="hybridMultilevel"/>
    <w:tmpl w:val="693809AA"/>
    <w:lvl w:ilvl="0" w:tplc="0C0A000F">
      <w:start w:val="1"/>
      <w:numFmt w:val="decimal"/>
      <w:lvlText w:val="%1."/>
      <w:lvlJc w:val="left"/>
      <w:pPr>
        <w:ind w:left="921" w:hanging="360"/>
      </w:pPr>
      <w:rPr>
        <w:rFonts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81">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2">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83">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4">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6">
    <w:nsid w:val="7CF10872"/>
    <w:multiLevelType w:val="multilevel"/>
    <w:tmpl w:val="CA7EEBE6"/>
    <w:lvl w:ilvl="0">
      <w:start w:val="1"/>
      <w:numFmt w:val="decimal"/>
      <w:lvlText w:val="%1."/>
      <w:lvlJc w:val="left"/>
      <w:pPr>
        <w:ind w:left="1288" w:hanging="359"/>
      </w:pPr>
      <w:rPr>
        <w:rFonts w:ascii="Century Gothic" w:eastAsia="Garamond" w:hAnsi="Century Gothic" w:cs="Garamond"/>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7">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8">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9">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60"/>
  </w:num>
  <w:num w:numId="2">
    <w:abstractNumId w:val="53"/>
  </w:num>
  <w:num w:numId="3">
    <w:abstractNumId w:val="59"/>
  </w:num>
  <w:num w:numId="4">
    <w:abstractNumId w:val="37"/>
  </w:num>
  <w:num w:numId="5">
    <w:abstractNumId w:val="49"/>
  </w:num>
  <w:num w:numId="6">
    <w:abstractNumId w:val="64"/>
  </w:num>
  <w:num w:numId="7">
    <w:abstractNumId w:val="81"/>
  </w:num>
  <w:num w:numId="8">
    <w:abstractNumId w:val="11"/>
  </w:num>
  <w:num w:numId="9">
    <w:abstractNumId w:val="14"/>
  </w:num>
  <w:num w:numId="10">
    <w:abstractNumId w:val="61"/>
  </w:num>
  <w:num w:numId="11">
    <w:abstractNumId w:val="66"/>
  </w:num>
  <w:num w:numId="12">
    <w:abstractNumId w:val="68"/>
  </w:num>
  <w:num w:numId="13">
    <w:abstractNumId w:val="65"/>
  </w:num>
  <w:num w:numId="14">
    <w:abstractNumId w:val="77"/>
  </w:num>
  <w:num w:numId="15">
    <w:abstractNumId w:val="63"/>
  </w:num>
  <w:num w:numId="16">
    <w:abstractNumId w:val="17"/>
  </w:num>
  <w:num w:numId="17">
    <w:abstractNumId w:val="13"/>
  </w:num>
  <w:num w:numId="18">
    <w:abstractNumId w:val="26"/>
  </w:num>
  <w:num w:numId="19">
    <w:abstractNumId w:val="27"/>
  </w:num>
  <w:num w:numId="20">
    <w:abstractNumId w:val="78"/>
  </w:num>
  <w:num w:numId="21">
    <w:abstractNumId w:val="44"/>
  </w:num>
  <w:num w:numId="22">
    <w:abstractNumId w:val="84"/>
  </w:num>
  <w:num w:numId="23">
    <w:abstractNumId w:val="36"/>
  </w:num>
  <w:num w:numId="24">
    <w:abstractNumId w:val="10"/>
  </w:num>
  <w:num w:numId="25">
    <w:abstractNumId w:val="7"/>
  </w:num>
  <w:num w:numId="26">
    <w:abstractNumId w:val="35"/>
  </w:num>
  <w:num w:numId="27">
    <w:abstractNumId w:val="73"/>
  </w:num>
  <w:num w:numId="28">
    <w:abstractNumId w:val="30"/>
  </w:num>
  <w:num w:numId="29">
    <w:abstractNumId w:val="87"/>
  </w:num>
  <w:num w:numId="30">
    <w:abstractNumId w:val="85"/>
  </w:num>
  <w:num w:numId="31">
    <w:abstractNumId w:val="45"/>
  </w:num>
  <w:num w:numId="32">
    <w:abstractNumId w:val="72"/>
  </w:num>
  <w:num w:numId="33">
    <w:abstractNumId w:val="18"/>
  </w:num>
  <w:num w:numId="34">
    <w:abstractNumId w:val="22"/>
  </w:num>
  <w:num w:numId="35">
    <w:abstractNumId w:val="74"/>
  </w:num>
  <w:num w:numId="36">
    <w:abstractNumId w:val="75"/>
  </w:num>
  <w:num w:numId="37">
    <w:abstractNumId w:val="89"/>
  </w:num>
  <w:num w:numId="38">
    <w:abstractNumId w:val="25"/>
  </w:num>
  <w:num w:numId="39">
    <w:abstractNumId w:val="38"/>
  </w:num>
  <w:num w:numId="40">
    <w:abstractNumId w:val="43"/>
  </w:num>
  <w:num w:numId="41">
    <w:abstractNumId w:val="50"/>
  </w:num>
  <w:num w:numId="42">
    <w:abstractNumId w:val="67"/>
  </w:num>
  <w:num w:numId="43">
    <w:abstractNumId w:val="56"/>
  </w:num>
  <w:num w:numId="44">
    <w:abstractNumId w:val="32"/>
  </w:num>
  <w:num w:numId="45">
    <w:abstractNumId w:val="39"/>
  </w:num>
  <w:num w:numId="46">
    <w:abstractNumId w:val="79"/>
  </w:num>
  <w:num w:numId="47">
    <w:abstractNumId w:val="16"/>
  </w:num>
  <w:num w:numId="48">
    <w:abstractNumId w:val="0"/>
  </w:num>
  <w:num w:numId="49">
    <w:abstractNumId w:val="9"/>
  </w:num>
  <w:num w:numId="50">
    <w:abstractNumId w:val="2"/>
  </w:num>
  <w:num w:numId="51">
    <w:abstractNumId w:val="15"/>
  </w:num>
  <w:num w:numId="52">
    <w:abstractNumId w:val="33"/>
  </w:num>
  <w:num w:numId="53">
    <w:abstractNumId w:val="6"/>
  </w:num>
  <w:num w:numId="54">
    <w:abstractNumId w:val="70"/>
  </w:num>
  <w:num w:numId="55">
    <w:abstractNumId w:val="83"/>
  </w:num>
  <w:num w:numId="56">
    <w:abstractNumId w:val="82"/>
  </w:num>
  <w:num w:numId="57">
    <w:abstractNumId w:val="40"/>
  </w:num>
  <w:num w:numId="58">
    <w:abstractNumId w:val="58"/>
  </w:num>
  <w:num w:numId="59">
    <w:abstractNumId w:val="8"/>
  </w:num>
  <w:num w:numId="60">
    <w:abstractNumId w:val="28"/>
  </w:num>
  <w:num w:numId="61">
    <w:abstractNumId w:val="52"/>
  </w:num>
  <w:num w:numId="62">
    <w:abstractNumId w:val="41"/>
  </w:num>
  <w:num w:numId="63">
    <w:abstractNumId w:val="47"/>
  </w:num>
  <w:num w:numId="64">
    <w:abstractNumId w:val="88"/>
  </w:num>
  <w:num w:numId="65">
    <w:abstractNumId w:val="12"/>
  </w:num>
  <w:num w:numId="66">
    <w:abstractNumId w:val="1"/>
  </w:num>
  <w:num w:numId="67">
    <w:abstractNumId w:val="24"/>
  </w:num>
  <w:num w:numId="68">
    <w:abstractNumId w:val="57"/>
  </w:num>
  <w:num w:numId="69">
    <w:abstractNumId w:val="34"/>
  </w:num>
  <w:num w:numId="70">
    <w:abstractNumId w:val="5"/>
  </w:num>
  <w:num w:numId="71">
    <w:abstractNumId w:val="20"/>
  </w:num>
  <w:num w:numId="72">
    <w:abstractNumId w:val="71"/>
  </w:num>
  <w:num w:numId="73">
    <w:abstractNumId w:val="51"/>
  </w:num>
  <w:num w:numId="74">
    <w:abstractNumId w:val="76"/>
  </w:num>
  <w:num w:numId="75">
    <w:abstractNumId w:val="55"/>
  </w:num>
  <w:num w:numId="76">
    <w:abstractNumId w:val="69"/>
  </w:num>
  <w:num w:numId="77">
    <w:abstractNumId w:val="21"/>
  </w:num>
  <w:num w:numId="78">
    <w:abstractNumId w:val="62"/>
  </w:num>
  <w:num w:numId="79">
    <w:abstractNumId w:val="42"/>
  </w:num>
  <w:num w:numId="80">
    <w:abstractNumId w:val="48"/>
  </w:num>
  <w:num w:numId="81">
    <w:abstractNumId w:val="29"/>
  </w:num>
  <w:num w:numId="82">
    <w:abstractNumId w:val="86"/>
  </w:num>
  <w:num w:numId="83">
    <w:abstractNumId w:val="54"/>
  </w:num>
  <w:num w:numId="84">
    <w:abstractNumId w:val="31"/>
  </w:num>
  <w:num w:numId="85">
    <w:abstractNumId w:val="46"/>
  </w:num>
  <w:num w:numId="86">
    <w:abstractNumId w:val="4"/>
  </w:num>
  <w:num w:numId="87">
    <w:abstractNumId w:val="19"/>
  </w:num>
  <w:num w:numId="88">
    <w:abstractNumId w:val="3"/>
  </w:num>
  <w:num w:numId="89">
    <w:abstractNumId w:val="80"/>
  </w:num>
  <w:num w:numId="90">
    <w:abstractNumId w:val="2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42C"/>
    <w:rsid w:val="000179F1"/>
    <w:rsid w:val="0002009E"/>
    <w:rsid w:val="00020D63"/>
    <w:rsid w:val="00024601"/>
    <w:rsid w:val="0002764E"/>
    <w:rsid w:val="00033D5C"/>
    <w:rsid w:val="00034368"/>
    <w:rsid w:val="000347ED"/>
    <w:rsid w:val="000400EE"/>
    <w:rsid w:val="00040AC1"/>
    <w:rsid w:val="0004655B"/>
    <w:rsid w:val="00050437"/>
    <w:rsid w:val="0005585D"/>
    <w:rsid w:val="0005609F"/>
    <w:rsid w:val="000603D3"/>
    <w:rsid w:val="00063133"/>
    <w:rsid w:val="000643FE"/>
    <w:rsid w:val="00066797"/>
    <w:rsid w:val="000674CE"/>
    <w:rsid w:val="00067B15"/>
    <w:rsid w:val="000703D1"/>
    <w:rsid w:val="00076C38"/>
    <w:rsid w:val="0008050D"/>
    <w:rsid w:val="00081F81"/>
    <w:rsid w:val="00082B4E"/>
    <w:rsid w:val="0008366E"/>
    <w:rsid w:val="00083C33"/>
    <w:rsid w:val="000873C0"/>
    <w:rsid w:val="00094E9C"/>
    <w:rsid w:val="0009516F"/>
    <w:rsid w:val="000A085C"/>
    <w:rsid w:val="000A41B6"/>
    <w:rsid w:val="000A4A61"/>
    <w:rsid w:val="000A7951"/>
    <w:rsid w:val="000B5A32"/>
    <w:rsid w:val="000B6F96"/>
    <w:rsid w:val="000B7179"/>
    <w:rsid w:val="000B7BA1"/>
    <w:rsid w:val="000B7FC7"/>
    <w:rsid w:val="000C04C0"/>
    <w:rsid w:val="000C07C9"/>
    <w:rsid w:val="000C1779"/>
    <w:rsid w:val="000C3A6D"/>
    <w:rsid w:val="000C4E14"/>
    <w:rsid w:val="000C51CB"/>
    <w:rsid w:val="000D4E3C"/>
    <w:rsid w:val="000E11C2"/>
    <w:rsid w:val="000E2CB1"/>
    <w:rsid w:val="000E31BC"/>
    <w:rsid w:val="000E4E9C"/>
    <w:rsid w:val="000F0D59"/>
    <w:rsid w:val="000F3552"/>
    <w:rsid w:val="000F63D1"/>
    <w:rsid w:val="00102396"/>
    <w:rsid w:val="001042EE"/>
    <w:rsid w:val="001051B9"/>
    <w:rsid w:val="00107437"/>
    <w:rsid w:val="0010767F"/>
    <w:rsid w:val="00111BA6"/>
    <w:rsid w:val="00112E25"/>
    <w:rsid w:val="00113C7F"/>
    <w:rsid w:val="001176BD"/>
    <w:rsid w:val="001219B8"/>
    <w:rsid w:val="0012211D"/>
    <w:rsid w:val="00124F86"/>
    <w:rsid w:val="0012607A"/>
    <w:rsid w:val="00132CC4"/>
    <w:rsid w:val="001412D4"/>
    <w:rsid w:val="00143359"/>
    <w:rsid w:val="001455BD"/>
    <w:rsid w:val="00146466"/>
    <w:rsid w:val="0015426D"/>
    <w:rsid w:val="0015512A"/>
    <w:rsid w:val="0015777F"/>
    <w:rsid w:val="001645A1"/>
    <w:rsid w:val="00164804"/>
    <w:rsid w:val="00165B95"/>
    <w:rsid w:val="00166B48"/>
    <w:rsid w:val="00170E01"/>
    <w:rsid w:val="00171B5A"/>
    <w:rsid w:val="00174792"/>
    <w:rsid w:val="00175521"/>
    <w:rsid w:val="00180D52"/>
    <w:rsid w:val="001859AC"/>
    <w:rsid w:val="00187BDB"/>
    <w:rsid w:val="001A4525"/>
    <w:rsid w:val="001A75E9"/>
    <w:rsid w:val="001B11A0"/>
    <w:rsid w:val="001B24AF"/>
    <w:rsid w:val="001B3073"/>
    <w:rsid w:val="001C430B"/>
    <w:rsid w:val="001C43DC"/>
    <w:rsid w:val="001C443E"/>
    <w:rsid w:val="001C4B0B"/>
    <w:rsid w:val="001D1723"/>
    <w:rsid w:val="001E0A8D"/>
    <w:rsid w:val="001E1FFE"/>
    <w:rsid w:val="001E3F0C"/>
    <w:rsid w:val="001E64C8"/>
    <w:rsid w:val="001E792C"/>
    <w:rsid w:val="001F1366"/>
    <w:rsid w:val="001F3415"/>
    <w:rsid w:val="00203AA3"/>
    <w:rsid w:val="00203BAF"/>
    <w:rsid w:val="00204548"/>
    <w:rsid w:val="00216A70"/>
    <w:rsid w:val="00217602"/>
    <w:rsid w:val="002239AB"/>
    <w:rsid w:val="00232EEB"/>
    <w:rsid w:val="00237BCB"/>
    <w:rsid w:val="002419BE"/>
    <w:rsid w:val="002446B7"/>
    <w:rsid w:val="0025745F"/>
    <w:rsid w:val="00265C75"/>
    <w:rsid w:val="00266F05"/>
    <w:rsid w:val="00271232"/>
    <w:rsid w:val="0027373B"/>
    <w:rsid w:val="00273C85"/>
    <w:rsid w:val="00275203"/>
    <w:rsid w:val="00275E68"/>
    <w:rsid w:val="002769F8"/>
    <w:rsid w:val="0028188C"/>
    <w:rsid w:val="00281E60"/>
    <w:rsid w:val="00283BF7"/>
    <w:rsid w:val="00294C57"/>
    <w:rsid w:val="002960E0"/>
    <w:rsid w:val="00296DD2"/>
    <w:rsid w:val="002A630F"/>
    <w:rsid w:val="002B0A6E"/>
    <w:rsid w:val="002B3FA6"/>
    <w:rsid w:val="002B5DE3"/>
    <w:rsid w:val="002B7BC5"/>
    <w:rsid w:val="002C2736"/>
    <w:rsid w:val="002C313D"/>
    <w:rsid w:val="002C4BD8"/>
    <w:rsid w:val="002D20EE"/>
    <w:rsid w:val="002D36BF"/>
    <w:rsid w:val="002F2A40"/>
    <w:rsid w:val="002F570D"/>
    <w:rsid w:val="002F5EF2"/>
    <w:rsid w:val="002F603A"/>
    <w:rsid w:val="003048FD"/>
    <w:rsid w:val="00304A48"/>
    <w:rsid w:val="00310BD0"/>
    <w:rsid w:val="00312721"/>
    <w:rsid w:val="00316E7C"/>
    <w:rsid w:val="00321E0D"/>
    <w:rsid w:val="003242AF"/>
    <w:rsid w:val="003330D8"/>
    <w:rsid w:val="00334522"/>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A5062"/>
    <w:rsid w:val="003B2CD7"/>
    <w:rsid w:val="003B470F"/>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502E0"/>
    <w:rsid w:val="0045788D"/>
    <w:rsid w:val="00460BB0"/>
    <w:rsid w:val="004721F2"/>
    <w:rsid w:val="00472F92"/>
    <w:rsid w:val="004747EE"/>
    <w:rsid w:val="004750CB"/>
    <w:rsid w:val="00480B0E"/>
    <w:rsid w:val="0048299A"/>
    <w:rsid w:val="00484D12"/>
    <w:rsid w:val="0049319D"/>
    <w:rsid w:val="0049348D"/>
    <w:rsid w:val="004937A0"/>
    <w:rsid w:val="004961B6"/>
    <w:rsid w:val="004A1689"/>
    <w:rsid w:val="004A329B"/>
    <w:rsid w:val="004A6139"/>
    <w:rsid w:val="004B37AE"/>
    <w:rsid w:val="004B48A7"/>
    <w:rsid w:val="004B584A"/>
    <w:rsid w:val="004C32FC"/>
    <w:rsid w:val="004C59FD"/>
    <w:rsid w:val="004D48F0"/>
    <w:rsid w:val="004D55BD"/>
    <w:rsid w:val="004E422C"/>
    <w:rsid w:val="004F05FE"/>
    <w:rsid w:val="004F2831"/>
    <w:rsid w:val="004F4257"/>
    <w:rsid w:val="004F49B6"/>
    <w:rsid w:val="004F60B8"/>
    <w:rsid w:val="004F73D2"/>
    <w:rsid w:val="005031EA"/>
    <w:rsid w:val="00503E9D"/>
    <w:rsid w:val="005040CB"/>
    <w:rsid w:val="00505BD6"/>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517F3"/>
    <w:rsid w:val="005560E6"/>
    <w:rsid w:val="00560475"/>
    <w:rsid w:val="00560D2E"/>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7D3E"/>
    <w:rsid w:val="005D2F81"/>
    <w:rsid w:val="005D314D"/>
    <w:rsid w:val="005D3C35"/>
    <w:rsid w:val="005E4DAD"/>
    <w:rsid w:val="005F3B9E"/>
    <w:rsid w:val="005F5FEC"/>
    <w:rsid w:val="00601F0E"/>
    <w:rsid w:val="00602BDE"/>
    <w:rsid w:val="00607725"/>
    <w:rsid w:val="006158AE"/>
    <w:rsid w:val="00620F0B"/>
    <w:rsid w:val="006228CF"/>
    <w:rsid w:val="00622AB2"/>
    <w:rsid w:val="00623185"/>
    <w:rsid w:val="006343BF"/>
    <w:rsid w:val="00637688"/>
    <w:rsid w:val="006417DE"/>
    <w:rsid w:val="00642EF5"/>
    <w:rsid w:val="006438E1"/>
    <w:rsid w:val="00647512"/>
    <w:rsid w:val="00647A02"/>
    <w:rsid w:val="00654984"/>
    <w:rsid w:val="00656A11"/>
    <w:rsid w:val="00657AE7"/>
    <w:rsid w:val="006641DF"/>
    <w:rsid w:val="00665A9C"/>
    <w:rsid w:val="00667528"/>
    <w:rsid w:val="006724A9"/>
    <w:rsid w:val="0067281A"/>
    <w:rsid w:val="00673819"/>
    <w:rsid w:val="0067455E"/>
    <w:rsid w:val="0067641E"/>
    <w:rsid w:val="0067740C"/>
    <w:rsid w:val="0068080C"/>
    <w:rsid w:val="00682C1C"/>
    <w:rsid w:val="0068369B"/>
    <w:rsid w:val="00685C86"/>
    <w:rsid w:val="00690A5E"/>
    <w:rsid w:val="006915E1"/>
    <w:rsid w:val="0069258E"/>
    <w:rsid w:val="0069360F"/>
    <w:rsid w:val="0069372B"/>
    <w:rsid w:val="00696073"/>
    <w:rsid w:val="006A64B2"/>
    <w:rsid w:val="006B58CF"/>
    <w:rsid w:val="006C244C"/>
    <w:rsid w:val="006C3E27"/>
    <w:rsid w:val="006D07D4"/>
    <w:rsid w:val="006D23D9"/>
    <w:rsid w:val="006D7439"/>
    <w:rsid w:val="006E0408"/>
    <w:rsid w:val="006E2BB9"/>
    <w:rsid w:val="006E458E"/>
    <w:rsid w:val="006F1E48"/>
    <w:rsid w:val="006F2E70"/>
    <w:rsid w:val="006F2F0E"/>
    <w:rsid w:val="006F309E"/>
    <w:rsid w:val="00704C38"/>
    <w:rsid w:val="0071209F"/>
    <w:rsid w:val="007136F5"/>
    <w:rsid w:val="00723C8B"/>
    <w:rsid w:val="00730794"/>
    <w:rsid w:val="00736FFD"/>
    <w:rsid w:val="00747ABC"/>
    <w:rsid w:val="0075240B"/>
    <w:rsid w:val="007538D4"/>
    <w:rsid w:val="00756A1B"/>
    <w:rsid w:val="00766BD4"/>
    <w:rsid w:val="00770E18"/>
    <w:rsid w:val="0077125D"/>
    <w:rsid w:val="00772333"/>
    <w:rsid w:val="00773E0C"/>
    <w:rsid w:val="007820CB"/>
    <w:rsid w:val="007870F9"/>
    <w:rsid w:val="00791092"/>
    <w:rsid w:val="00795D6F"/>
    <w:rsid w:val="007A44E4"/>
    <w:rsid w:val="007A618A"/>
    <w:rsid w:val="007A6348"/>
    <w:rsid w:val="007A640D"/>
    <w:rsid w:val="007A7532"/>
    <w:rsid w:val="007B4F50"/>
    <w:rsid w:val="007B65AD"/>
    <w:rsid w:val="007C5724"/>
    <w:rsid w:val="007C74A7"/>
    <w:rsid w:val="007D21A4"/>
    <w:rsid w:val="007D2B2D"/>
    <w:rsid w:val="007D3408"/>
    <w:rsid w:val="007E0D9F"/>
    <w:rsid w:val="007E2712"/>
    <w:rsid w:val="007F0C6E"/>
    <w:rsid w:val="007F1D24"/>
    <w:rsid w:val="007F6D4F"/>
    <w:rsid w:val="007F7705"/>
    <w:rsid w:val="008065EA"/>
    <w:rsid w:val="00807DB9"/>
    <w:rsid w:val="00810675"/>
    <w:rsid w:val="00813DE7"/>
    <w:rsid w:val="00815277"/>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5F9B"/>
    <w:rsid w:val="0087039C"/>
    <w:rsid w:val="00871444"/>
    <w:rsid w:val="0087299B"/>
    <w:rsid w:val="00876A4E"/>
    <w:rsid w:val="00881367"/>
    <w:rsid w:val="008857A6"/>
    <w:rsid w:val="0088646C"/>
    <w:rsid w:val="00895708"/>
    <w:rsid w:val="00896F08"/>
    <w:rsid w:val="008A58CD"/>
    <w:rsid w:val="008B4C69"/>
    <w:rsid w:val="008C3F1F"/>
    <w:rsid w:val="008C5DB8"/>
    <w:rsid w:val="008C6A67"/>
    <w:rsid w:val="008D2ED6"/>
    <w:rsid w:val="008D3094"/>
    <w:rsid w:val="008D5E3D"/>
    <w:rsid w:val="008D6682"/>
    <w:rsid w:val="008E061B"/>
    <w:rsid w:val="008E1115"/>
    <w:rsid w:val="008F02EB"/>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0E59"/>
    <w:rsid w:val="009A5162"/>
    <w:rsid w:val="009B645A"/>
    <w:rsid w:val="009D5F41"/>
    <w:rsid w:val="009E0346"/>
    <w:rsid w:val="009E41A8"/>
    <w:rsid w:val="009E55C7"/>
    <w:rsid w:val="009F0E10"/>
    <w:rsid w:val="009F3726"/>
    <w:rsid w:val="00A00489"/>
    <w:rsid w:val="00A01305"/>
    <w:rsid w:val="00A015F4"/>
    <w:rsid w:val="00A01C1A"/>
    <w:rsid w:val="00A0558D"/>
    <w:rsid w:val="00A113B3"/>
    <w:rsid w:val="00A11E04"/>
    <w:rsid w:val="00A122AA"/>
    <w:rsid w:val="00A13C08"/>
    <w:rsid w:val="00A14CAC"/>
    <w:rsid w:val="00A152A2"/>
    <w:rsid w:val="00A177FA"/>
    <w:rsid w:val="00A41B7B"/>
    <w:rsid w:val="00A46A7B"/>
    <w:rsid w:val="00A47B51"/>
    <w:rsid w:val="00A50581"/>
    <w:rsid w:val="00A520E5"/>
    <w:rsid w:val="00A52DC6"/>
    <w:rsid w:val="00A5306B"/>
    <w:rsid w:val="00A570C6"/>
    <w:rsid w:val="00A574C3"/>
    <w:rsid w:val="00A63F97"/>
    <w:rsid w:val="00A658BE"/>
    <w:rsid w:val="00A67478"/>
    <w:rsid w:val="00A7214F"/>
    <w:rsid w:val="00A75565"/>
    <w:rsid w:val="00A80428"/>
    <w:rsid w:val="00A83DAE"/>
    <w:rsid w:val="00A858EE"/>
    <w:rsid w:val="00A92EFE"/>
    <w:rsid w:val="00AA3DC5"/>
    <w:rsid w:val="00AB0713"/>
    <w:rsid w:val="00AC2BEA"/>
    <w:rsid w:val="00AC2CFC"/>
    <w:rsid w:val="00AC585F"/>
    <w:rsid w:val="00AC6549"/>
    <w:rsid w:val="00AD02C7"/>
    <w:rsid w:val="00AD6144"/>
    <w:rsid w:val="00AD662E"/>
    <w:rsid w:val="00AE120F"/>
    <w:rsid w:val="00AE1255"/>
    <w:rsid w:val="00AE1660"/>
    <w:rsid w:val="00AE26AF"/>
    <w:rsid w:val="00AF05ED"/>
    <w:rsid w:val="00AF5978"/>
    <w:rsid w:val="00B03CC7"/>
    <w:rsid w:val="00B053FD"/>
    <w:rsid w:val="00B06E58"/>
    <w:rsid w:val="00B12865"/>
    <w:rsid w:val="00B17C11"/>
    <w:rsid w:val="00B2028B"/>
    <w:rsid w:val="00B23B5A"/>
    <w:rsid w:val="00B303DE"/>
    <w:rsid w:val="00B30A0D"/>
    <w:rsid w:val="00B32722"/>
    <w:rsid w:val="00B32FE3"/>
    <w:rsid w:val="00B331EB"/>
    <w:rsid w:val="00B3777F"/>
    <w:rsid w:val="00B41FCE"/>
    <w:rsid w:val="00B4471F"/>
    <w:rsid w:val="00B54B57"/>
    <w:rsid w:val="00B569DB"/>
    <w:rsid w:val="00B63D2A"/>
    <w:rsid w:val="00B64D54"/>
    <w:rsid w:val="00B67E3C"/>
    <w:rsid w:val="00B73205"/>
    <w:rsid w:val="00B75203"/>
    <w:rsid w:val="00B82C19"/>
    <w:rsid w:val="00B86149"/>
    <w:rsid w:val="00B90EBE"/>
    <w:rsid w:val="00B928FF"/>
    <w:rsid w:val="00B95C60"/>
    <w:rsid w:val="00B965E5"/>
    <w:rsid w:val="00B9795C"/>
    <w:rsid w:val="00BA0A1A"/>
    <w:rsid w:val="00BA2727"/>
    <w:rsid w:val="00BA2BBE"/>
    <w:rsid w:val="00BA4E0B"/>
    <w:rsid w:val="00BB3A4B"/>
    <w:rsid w:val="00BB5149"/>
    <w:rsid w:val="00BC36CC"/>
    <w:rsid w:val="00BC6652"/>
    <w:rsid w:val="00BC73C8"/>
    <w:rsid w:val="00BD6E6C"/>
    <w:rsid w:val="00BD76A5"/>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362C4"/>
    <w:rsid w:val="00C414F2"/>
    <w:rsid w:val="00C430EA"/>
    <w:rsid w:val="00C6351D"/>
    <w:rsid w:val="00C64899"/>
    <w:rsid w:val="00C66652"/>
    <w:rsid w:val="00C7069C"/>
    <w:rsid w:val="00C711D9"/>
    <w:rsid w:val="00C73EE9"/>
    <w:rsid w:val="00C75C7B"/>
    <w:rsid w:val="00C760B8"/>
    <w:rsid w:val="00C8272B"/>
    <w:rsid w:val="00C84277"/>
    <w:rsid w:val="00C84633"/>
    <w:rsid w:val="00C92D50"/>
    <w:rsid w:val="00C96031"/>
    <w:rsid w:val="00C960C4"/>
    <w:rsid w:val="00CA1934"/>
    <w:rsid w:val="00CA4DEE"/>
    <w:rsid w:val="00CB3395"/>
    <w:rsid w:val="00CB66E3"/>
    <w:rsid w:val="00CC21CA"/>
    <w:rsid w:val="00CC3C18"/>
    <w:rsid w:val="00CC7223"/>
    <w:rsid w:val="00CD421B"/>
    <w:rsid w:val="00CD6675"/>
    <w:rsid w:val="00CD6D65"/>
    <w:rsid w:val="00CE41FA"/>
    <w:rsid w:val="00CE4225"/>
    <w:rsid w:val="00CF3981"/>
    <w:rsid w:val="00CF4328"/>
    <w:rsid w:val="00CF672B"/>
    <w:rsid w:val="00CF72E7"/>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64ED2"/>
    <w:rsid w:val="00D756CE"/>
    <w:rsid w:val="00D77629"/>
    <w:rsid w:val="00D80A76"/>
    <w:rsid w:val="00D810CB"/>
    <w:rsid w:val="00D81BB3"/>
    <w:rsid w:val="00D8350D"/>
    <w:rsid w:val="00D85EB3"/>
    <w:rsid w:val="00D93774"/>
    <w:rsid w:val="00D96963"/>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4FFD"/>
    <w:rsid w:val="00E31BB3"/>
    <w:rsid w:val="00E325C3"/>
    <w:rsid w:val="00E34C58"/>
    <w:rsid w:val="00E359F6"/>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50C3"/>
    <w:rsid w:val="00ED5628"/>
    <w:rsid w:val="00ED6CE5"/>
    <w:rsid w:val="00EE2BF0"/>
    <w:rsid w:val="00EE56A4"/>
    <w:rsid w:val="00EE6A61"/>
    <w:rsid w:val="00EE74ED"/>
    <w:rsid w:val="00EE78B1"/>
    <w:rsid w:val="00EF0082"/>
    <w:rsid w:val="00EF39A3"/>
    <w:rsid w:val="00EF6CBD"/>
    <w:rsid w:val="00EF7F49"/>
    <w:rsid w:val="00F077D0"/>
    <w:rsid w:val="00F10E6E"/>
    <w:rsid w:val="00F1550D"/>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 w:val="00FF17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3AD6-EC41-4793-8B7D-8AC07B18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2459</Words>
  <Characters>13528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27</cp:revision>
  <cp:lastPrinted>2020-04-22T18:33:00Z</cp:lastPrinted>
  <dcterms:created xsi:type="dcterms:W3CDTF">2022-04-07T14:06:00Z</dcterms:created>
  <dcterms:modified xsi:type="dcterms:W3CDTF">2022-04-20T21:33:00Z</dcterms:modified>
</cp:coreProperties>
</file>