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6C" w:rsidRPr="006A6080" w:rsidRDefault="00CF6F6C" w:rsidP="00CF6F6C">
      <w:pPr>
        <w:spacing w:after="0" w:line="240" w:lineRule="auto"/>
        <w:jc w:val="center"/>
        <w:rPr>
          <w:rFonts w:ascii="Book Antiqua" w:hAnsi="Book Antiqua" w:cs="Arial"/>
          <w:b/>
        </w:rPr>
      </w:pPr>
    </w:p>
    <w:p w:rsidR="006A6080" w:rsidRPr="006A6080" w:rsidRDefault="00CF6F6C" w:rsidP="006A6080">
      <w:pPr>
        <w:spacing w:after="0" w:line="240" w:lineRule="auto"/>
        <w:jc w:val="center"/>
        <w:rPr>
          <w:rFonts w:ascii="Book Antiqua" w:hAnsi="Book Antiqua" w:cs="Arial"/>
          <w:b/>
          <w:lang w:bidi="es-CO"/>
        </w:rPr>
      </w:pPr>
      <w:r w:rsidRPr="006A6080">
        <w:rPr>
          <w:rFonts w:ascii="Book Antiqua" w:hAnsi="Book Antiqua" w:cs="Arial"/>
          <w:b/>
        </w:rPr>
        <w:t xml:space="preserve">TEXTO APROBADO EN LA COMISIÓN PRIMERA DE LA HONORABLE CÁMARA DE REPRESENTANTES EN PRIMER DEBATE DEL </w:t>
      </w:r>
      <w:r w:rsidRPr="006A6080">
        <w:rPr>
          <w:rFonts w:ascii="Book Antiqua" w:hAnsi="Book Antiqua" w:cs="Arial"/>
          <w:b/>
          <w:lang w:bidi="es-CO"/>
        </w:rPr>
        <w:t>PROYECTO DE LEY No.</w:t>
      </w:r>
      <w:r w:rsidR="006A6080">
        <w:rPr>
          <w:rFonts w:ascii="Book Antiqua" w:hAnsi="Book Antiqua" w:cs="Arial"/>
          <w:b/>
          <w:lang w:bidi="es-CO"/>
        </w:rPr>
        <w:t xml:space="preserve"> </w:t>
      </w:r>
      <w:r w:rsidR="006A6080" w:rsidRPr="006A6080">
        <w:rPr>
          <w:rFonts w:ascii="Book Antiqua" w:eastAsia="Constantia" w:hAnsi="Book Antiqua" w:cs="Times New Roman"/>
          <w:b/>
        </w:rPr>
        <w:t xml:space="preserve">072 DE 2024 CÁMARA </w:t>
      </w:r>
      <w:r w:rsidR="006A6080" w:rsidRPr="006A6080">
        <w:rPr>
          <w:rFonts w:ascii="Book Antiqua" w:eastAsia="Book Antiqua" w:hAnsi="Book Antiqua" w:cs="Book Antiqua"/>
          <w:b/>
        </w:rPr>
        <w:t>“POR MEDIO DEL CUAL SE CREAN Y REGULAN LOS INCENTIVOS DE LAS ACCIONES POPULARES DE QUE TRATA LA LEY 472 DE 1998 Y SE DICTAN OTRAS DISPOSICIONES”</w:t>
      </w:r>
    </w:p>
    <w:p w:rsidR="006A6080" w:rsidRDefault="006A6080" w:rsidP="006A6080">
      <w:pPr>
        <w:pStyle w:val="Prrafodelista"/>
        <w:spacing w:line="276" w:lineRule="auto"/>
        <w:jc w:val="center"/>
        <w:rPr>
          <w:rFonts w:ascii="Book Antiqua" w:eastAsia="Book Antiqua" w:hAnsi="Book Antiqua" w:cs="Book Antiqua"/>
          <w:b/>
        </w:rPr>
      </w:pPr>
    </w:p>
    <w:p w:rsidR="006A6080" w:rsidRPr="006A6080" w:rsidRDefault="006A6080" w:rsidP="006A6080">
      <w:pPr>
        <w:pStyle w:val="Prrafodelista"/>
        <w:spacing w:line="276" w:lineRule="auto"/>
        <w:jc w:val="center"/>
        <w:rPr>
          <w:rFonts w:ascii="Book Antiqua" w:eastAsia="Book Antiqua" w:hAnsi="Book Antiqua" w:cs="Book Antiqua"/>
          <w:b/>
        </w:rPr>
      </w:pPr>
    </w:p>
    <w:p w:rsidR="006A6080" w:rsidRPr="006A6080" w:rsidRDefault="006A6080" w:rsidP="006A6080">
      <w:pPr>
        <w:pStyle w:val="Prrafodelista"/>
        <w:spacing w:line="276" w:lineRule="auto"/>
        <w:jc w:val="center"/>
        <w:rPr>
          <w:rFonts w:ascii="Book Antiqua" w:eastAsia="Book Antiqua" w:hAnsi="Book Antiqua" w:cs="Book Antiqua"/>
          <w:b/>
        </w:rPr>
      </w:pPr>
      <w:r w:rsidRPr="006A6080">
        <w:rPr>
          <w:rFonts w:ascii="Book Antiqua" w:eastAsia="Book Antiqua" w:hAnsi="Book Antiqua" w:cs="Book Antiqua"/>
          <w:b/>
        </w:rPr>
        <w:t>EL CONGRESO DE COLOMBIA</w:t>
      </w:r>
    </w:p>
    <w:p w:rsidR="006A6080" w:rsidRDefault="006A6080" w:rsidP="006A6080">
      <w:pPr>
        <w:pStyle w:val="Prrafodelista"/>
        <w:spacing w:line="276" w:lineRule="auto"/>
        <w:jc w:val="center"/>
        <w:rPr>
          <w:rFonts w:ascii="Book Antiqua" w:eastAsia="Book Antiqua" w:hAnsi="Book Antiqua" w:cs="Book Antiqua"/>
          <w:b/>
        </w:rPr>
      </w:pPr>
    </w:p>
    <w:p w:rsidR="006A6080" w:rsidRPr="006A6080" w:rsidRDefault="006A6080" w:rsidP="006A6080">
      <w:pPr>
        <w:pStyle w:val="Prrafodelista"/>
        <w:spacing w:line="276" w:lineRule="auto"/>
        <w:jc w:val="center"/>
        <w:rPr>
          <w:rFonts w:ascii="Book Antiqua" w:eastAsia="Book Antiqua" w:hAnsi="Book Antiqua" w:cs="Book Antiqua"/>
          <w:b/>
        </w:rPr>
      </w:pPr>
      <w:r w:rsidRPr="006A6080">
        <w:rPr>
          <w:rFonts w:ascii="Book Antiqua" w:eastAsia="Book Antiqua" w:hAnsi="Book Antiqua" w:cs="Book Antiqua"/>
          <w:b/>
        </w:rPr>
        <w:t>DECRETA:</w:t>
      </w:r>
    </w:p>
    <w:p w:rsidR="006A6080" w:rsidRPr="00F62631" w:rsidRDefault="006A6080" w:rsidP="006A6080">
      <w:pPr>
        <w:spacing w:line="276" w:lineRule="auto"/>
        <w:jc w:val="center"/>
        <w:rPr>
          <w:rFonts w:ascii="Times New Roman" w:eastAsia="Constantia" w:hAnsi="Times New Roman" w:cs="Times New Roman"/>
          <w:b/>
        </w:rPr>
      </w:pPr>
    </w:p>
    <w:p w:rsidR="006A6080" w:rsidRDefault="006A6080" w:rsidP="006A6080">
      <w:pPr>
        <w:spacing w:line="276" w:lineRule="auto"/>
        <w:rPr>
          <w:rFonts w:ascii="Book Antiqua" w:eastAsia="Book Antiqua" w:hAnsi="Book Antiqua" w:cs="Book Antiqua"/>
        </w:rPr>
      </w:pPr>
      <w:r>
        <w:rPr>
          <w:rFonts w:ascii="Book Antiqua" w:eastAsia="Book Antiqua" w:hAnsi="Book Antiqua" w:cs="Book Antiqua"/>
          <w:b/>
        </w:rPr>
        <w:t xml:space="preserve">Artículo 1º. Objeto. </w:t>
      </w:r>
      <w:r>
        <w:rPr>
          <w:rFonts w:ascii="Book Antiqua" w:eastAsia="Book Antiqua" w:hAnsi="Book Antiqua" w:cs="Book Antiqua"/>
        </w:rPr>
        <w:t>La presente Ley tiene por objeto crear y regular los incentivos para las acciones populares establecidas en la Ley 472 de 1998 y dictar otras disposiciones.</w:t>
      </w:r>
    </w:p>
    <w:p w:rsidR="006A6080" w:rsidRDefault="006A6080" w:rsidP="006A6080">
      <w:pPr>
        <w:shd w:val="clear" w:color="auto" w:fill="FFFFFF"/>
        <w:spacing w:before="240" w:after="240" w:line="276" w:lineRule="auto"/>
        <w:rPr>
          <w:rFonts w:ascii="Book Antiqua" w:eastAsia="Book Antiqua" w:hAnsi="Book Antiqua" w:cs="Book Antiqua"/>
          <w:highlight w:val="white"/>
        </w:rPr>
      </w:pPr>
      <w:r>
        <w:rPr>
          <w:rFonts w:ascii="Book Antiqua" w:eastAsia="Book Antiqua" w:hAnsi="Book Antiqua" w:cs="Book Antiqua"/>
          <w:b/>
          <w:highlight w:val="white"/>
        </w:rPr>
        <w:t xml:space="preserve">Artículo 2. </w:t>
      </w:r>
      <w:r>
        <w:rPr>
          <w:rFonts w:ascii="Book Antiqua" w:eastAsia="Book Antiqua" w:hAnsi="Book Antiqua" w:cs="Book Antiqua"/>
          <w:highlight w:val="white"/>
        </w:rPr>
        <w:t>Adiciónese el</w:t>
      </w:r>
      <w:r>
        <w:rPr>
          <w:rFonts w:ascii="Book Antiqua" w:eastAsia="Book Antiqua" w:hAnsi="Book Antiqua" w:cs="Book Antiqua"/>
          <w:b/>
          <w:highlight w:val="white"/>
        </w:rPr>
        <w:t xml:space="preserve"> artículo 39 </w:t>
      </w:r>
      <w:r>
        <w:rPr>
          <w:rFonts w:ascii="Book Antiqua" w:eastAsia="Book Antiqua" w:hAnsi="Book Antiqua" w:cs="Book Antiqua"/>
          <w:highlight w:val="white"/>
        </w:rPr>
        <w:t xml:space="preserve">al </w:t>
      </w:r>
      <w:r>
        <w:rPr>
          <w:rFonts w:ascii="Book Antiqua" w:eastAsia="Book Antiqua" w:hAnsi="Book Antiqua" w:cs="Book Antiqua"/>
          <w:b/>
          <w:highlight w:val="white"/>
        </w:rPr>
        <w:t>CAPÍTULO XI s</w:t>
      </w:r>
      <w:r>
        <w:rPr>
          <w:rFonts w:ascii="Book Antiqua" w:eastAsia="Book Antiqua" w:hAnsi="Book Antiqua" w:cs="Book Antiqua"/>
          <w:highlight w:val="white"/>
        </w:rPr>
        <w:t>obre</w:t>
      </w:r>
      <w:r>
        <w:rPr>
          <w:rFonts w:ascii="Book Antiqua" w:eastAsia="Book Antiqua" w:hAnsi="Book Antiqua" w:cs="Book Antiqua"/>
          <w:b/>
          <w:highlight w:val="white"/>
        </w:rPr>
        <w:t xml:space="preserve"> INCENTIVOS</w:t>
      </w:r>
      <w:r>
        <w:rPr>
          <w:rFonts w:ascii="Book Antiqua" w:eastAsia="Book Antiqua" w:hAnsi="Book Antiqua" w:cs="Book Antiqua"/>
          <w:highlight w:val="white"/>
        </w:rPr>
        <w:t xml:space="preserve"> de la</w:t>
      </w:r>
      <w:r>
        <w:rPr>
          <w:rFonts w:ascii="Book Antiqua" w:eastAsia="Book Antiqua" w:hAnsi="Book Antiqua" w:cs="Book Antiqua"/>
          <w:b/>
          <w:highlight w:val="white"/>
        </w:rPr>
        <w:t xml:space="preserve"> Ley 472 de 1998, </w:t>
      </w:r>
      <w:r>
        <w:rPr>
          <w:rFonts w:ascii="Book Antiqua" w:eastAsia="Book Antiqua" w:hAnsi="Book Antiqua" w:cs="Book Antiqua"/>
          <w:highlight w:val="white"/>
        </w:rPr>
        <w:t>el cual quedará así:</w:t>
      </w:r>
    </w:p>
    <w:p w:rsidR="006A6080" w:rsidRDefault="006A6080" w:rsidP="006A6080">
      <w:pPr>
        <w:shd w:val="clear" w:color="auto" w:fill="FFFFFF"/>
        <w:spacing w:before="240" w:after="240" w:line="276" w:lineRule="auto"/>
        <w:ind w:left="720"/>
        <w:jc w:val="both"/>
        <w:rPr>
          <w:rFonts w:ascii="Book Antiqua" w:eastAsia="Book Antiqua" w:hAnsi="Book Antiqua" w:cs="Book Antiqua"/>
          <w:highlight w:val="white"/>
        </w:rPr>
      </w:pPr>
      <w:r>
        <w:rPr>
          <w:rFonts w:ascii="Book Antiqua" w:eastAsia="Book Antiqua" w:hAnsi="Book Antiqua" w:cs="Book Antiqua"/>
          <w:b/>
          <w:highlight w:val="white"/>
        </w:rPr>
        <w:t xml:space="preserve">“Artículo 39. </w:t>
      </w:r>
      <w:r>
        <w:rPr>
          <w:rFonts w:ascii="Book Antiqua" w:eastAsia="Book Antiqua" w:hAnsi="Book Antiqua" w:cs="Book Antiqua"/>
          <w:highlight w:val="white"/>
        </w:rPr>
        <w:t>El actor popular que, en cualquier etapa de un proceso de acción popular, incluyendo la del pacto de cumplimiento de que trata el artículo 27 de la presente ley, logre el reconocimiento total o parcial de sus pretensiones, tendientes a la protección de los derechos e intereses colectivos, tendrá derecho a que se le reconozcan los siguientes incentivos, los cuales podrán acumularse:</w:t>
      </w:r>
    </w:p>
    <w:p w:rsidR="006A6080" w:rsidRDefault="006A6080" w:rsidP="006A6080">
      <w:pPr>
        <w:spacing w:line="276" w:lineRule="auto"/>
        <w:ind w:left="720"/>
        <w:jc w:val="both"/>
        <w:rPr>
          <w:rFonts w:ascii="Book Antiqua" w:eastAsia="Book Antiqua" w:hAnsi="Book Antiqua" w:cs="Book Antiqua"/>
          <w:b/>
          <w:color w:val="000000"/>
          <w:u w:val="single"/>
        </w:rPr>
      </w:pPr>
      <w:r>
        <w:rPr>
          <w:rFonts w:ascii="Book Antiqua" w:eastAsia="Book Antiqua" w:hAnsi="Book Antiqua" w:cs="Book Antiqua"/>
          <w:b/>
          <w:color w:val="000000"/>
          <w:u w:val="single"/>
        </w:rPr>
        <w:t>Incentivo económico</w:t>
      </w:r>
    </w:p>
    <w:p w:rsidR="006A6080" w:rsidRDefault="006A6080" w:rsidP="006A6080">
      <w:pPr>
        <w:spacing w:line="276" w:lineRule="auto"/>
        <w:ind w:left="720"/>
        <w:jc w:val="both"/>
        <w:rPr>
          <w:rFonts w:ascii="Book Antiqua" w:eastAsia="Book Antiqua" w:hAnsi="Book Antiqua" w:cs="Book Antiqua"/>
          <w:b/>
          <w:color w:val="000000"/>
          <w:u w:val="single"/>
        </w:rPr>
      </w:pPr>
    </w:p>
    <w:p w:rsidR="006A6080" w:rsidRPr="0019166D" w:rsidRDefault="006A6080" w:rsidP="006A6080">
      <w:pPr>
        <w:pStyle w:val="Prrafodelista"/>
        <w:numPr>
          <w:ilvl w:val="0"/>
          <w:numId w:val="22"/>
        </w:numPr>
        <w:pBdr>
          <w:top w:val="nil"/>
          <w:left w:val="nil"/>
          <w:bottom w:val="nil"/>
          <w:right w:val="nil"/>
          <w:between w:val="nil"/>
        </w:pBdr>
        <w:spacing w:after="0" w:line="276" w:lineRule="auto"/>
        <w:ind w:left="1440"/>
        <w:jc w:val="both"/>
        <w:rPr>
          <w:rFonts w:ascii="Book Antiqua" w:eastAsia="Book Antiqua" w:hAnsi="Book Antiqua" w:cs="Book Antiqua"/>
          <w:color w:val="000000"/>
        </w:rPr>
      </w:pPr>
      <w:r w:rsidRPr="003846BB">
        <w:rPr>
          <w:rFonts w:ascii="Book Antiqua" w:eastAsia="Book Antiqua" w:hAnsi="Book Antiqua" w:cs="Book Antiqua"/>
          <w:b/>
          <w:color w:val="000000"/>
        </w:rPr>
        <w:t>Incentivo económico para los derechos e intereses colectivos.</w:t>
      </w:r>
      <w:r w:rsidRPr="003846BB">
        <w:rPr>
          <w:rFonts w:ascii="Book Antiqua" w:eastAsia="Book Antiqua" w:hAnsi="Book Antiqua" w:cs="Book Antiqua"/>
          <w:color w:val="000000"/>
        </w:rPr>
        <w:t xml:space="preserve"> El juez competente, bajo su arbitrio judicial, reconocerá y ordenará el pago de un incentivo económico a favor del actor popular, hasta de cinco (5) </w:t>
      </w:r>
      <w:r w:rsidRPr="0019166D">
        <w:rPr>
          <w:rFonts w:ascii="Book Antiqua" w:eastAsia="Book Antiqua" w:hAnsi="Book Antiqua" w:cs="Book Antiqua"/>
          <w:color w:val="000000"/>
        </w:rPr>
        <w:t>SMLMV, teniendo en cuenta el impacto social, económico o cultural que se generó o se hubiese generado para la comunidad en general.</w:t>
      </w:r>
    </w:p>
    <w:p w:rsidR="006A6080" w:rsidRDefault="006A6080" w:rsidP="006A6080">
      <w:pPr>
        <w:pBdr>
          <w:top w:val="nil"/>
          <w:left w:val="nil"/>
          <w:bottom w:val="nil"/>
          <w:right w:val="nil"/>
          <w:between w:val="nil"/>
        </w:pBdr>
        <w:spacing w:line="276" w:lineRule="auto"/>
        <w:ind w:left="1505"/>
        <w:jc w:val="both"/>
        <w:rPr>
          <w:rFonts w:ascii="Book Antiqua" w:eastAsia="Book Antiqua" w:hAnsi="Book Antiqua" w:cs="Book Antiqua"/>
          <w:color w:val="000000"/>
        </w:rPr>
      </w:pPr>
    </w:p>
    <w:p w:rsidR="006A6080" w:rsidRPr="00BD2832" w:rsidRDefault="006A6080" w:rsidP="006A6080">
      <w:pPr>
        <w:spacing w:line="276" w:lineRule="auto"/>
        <w:ind w:left="720"/>
        <w:jc w:val="both"/>
        <w:rPr>
          <w:rFonts w:ascii="Book Antiqua" w:eastAsia="Book Antiqua" w:hAnsi="Book Antiqua" w:cs="Book Antiqua"/>
          <w:b/>
          <w:u w:val="single"/>
        </w:rPr>
      </w:pPr>
      <w:r w:rsidRPr="00BD2832">
        <w:rPr>
          <w:rFonts w:ascii="Book Antiqua" w:eastAsia="Book Antiqua" w:hAnsi="Book Antiqua" w:cs="Book Antiqua"/>
          <w:b/>
          <w:u w:val="single"/>
        </w:rPr>
        <w:t xml:space="preserve">Incentivos sociales </w:t>
      </w:r>
    </w:p>
    <w:p w:rsidR="006A6080" w:rsidRDefault="006A6080" w:rsidP="006A6080">
      <w:pPr>
        <w:pBdr>
          <w:top w:val="nil"/>
          <w:left w:val="nil"/>
          <w:bottom w:val="nil"/>
          <w:right w:val="nil"/>
          <w:between w:val="nil"/>
        </w:pBdr>
        <w:spacing w:line="276" w:lineRule="auto"/>
        <w:ind w:left="1440"/>
        <w:jc w:val="both"/>
        <w:rPr>
          <w:rFonts w:ascii="Book Antiqua" w:eastAsia="Book Antiqua" w:hAnsi="Book Antiqua" w:cs="Book Antiqua"/>
          <w:b/>
          <w:color w:val="000000"/>
        </w:rPr>
      </w:pPr>
    </w:p>
    <w:p w:rsidR="006A6080" w:rsidRPr="0019166D" w:rsidRDefault="006A6080" w:rsidP="006A6080">
      <w:pPr>
        <w:pStyle w:val="Prrafodelista"/>
        <w:numPr>
          <w:ilvl w:val="0"/>
          <w:numId w:val="23"/>
        </w:numPr>
        <w:pBdr>
          <w:top w:val="nil"/>
          <w:left w:val="nil"/>
          <w:bottom w:val="nil"/>
          <w:right w:val="nil"/>
          <w:between w:val="nil"/>
        </w:pBdr>
        <w:spacing w:after="0" w:line="276" w:lineRule="auto"/>
        <w:jc w:val="both"/>
        <w:rPr>
          <w:rFonts w:ascii="Book Antiqua" w:eastAsia="Book Antiqua" w:hAnsi="Book Antiqua" w:cs="Book Antiqua"/>
          <w:color w:val="000000"/>
        </w:rPr>
      </w:pPr>
      <w:r w:rsidRPr="0019166D">
        <w:rPr>
          <w:rFonts w:ascii="Book Antiqua" w:eastAsia="Book Antiqua" w:hAnsi="Book Antiqua" w:cs="Book Antiqua"/>
          <w:b/>
          <w:color w:val="000000"/>
        </w:rPr>
        <w:t>Reconocimiento público por parte de la entidad pública o particular</w:t>
      </w:r>
      <w:r w:rsidRPr="0019166D">
        <w:rPr>
          <w:rFonts w:ascii="Book Antiqua" w:eastAsia="Book Antiqua" w:hAnsi="Book Antiqua" w:cs="Book Antiqua"/>
          <w:color w:val="000000"/>
        </w:rPr>
        <w:t>: El accionado vencido en el proceso judicial, deberá realizar un reconocimiento público del actor popular en sus plataformas digitales</w:t>
      </w:r>
      <w:r w:rsidRPr="0019166D">
        <w:rPr>
          <w:rFonts w:ascii="Book Antiqua" w:eastAsia="Book Antiqua" w:hAnsi="Book Antiqua" w:cs="Book Antiqua"/>
        </w:rPr>
        <w:t xml:space="preserve">, en caso de disponer de ellas, </w:t>
      </w:r>
      <w:r w:rsidRPr="0019166D">
        <w:rPr>
          <w:rFonts w:ascii="Book Antiqua" w:eastAsia="Book Antiqua" w:hAnsi="Book Antiqua" w:cs="Book Antiqua"/>
          <w:color w:val="000000"/>
        </w:rPr>
        <w:t>en donde se detallen las partes y resultas del proceso</w:t>
      </w:r>
      <w:r w:rsidRPr="0019166D">
        <w:rPr>
          <w:rFonts w:ascii="Book Antiqua" w:eastAsia="Book Antiqua" w:hAnsi="Book Antiqua" w:cs="Book Antiqua"/>
        </w:rPr>
        <w:t>.</w:t>
      </w:r>
    </w:p>
    <w:p w:rsidR="006A6080" w:rsidRPr="00F62631" w:rsidRDefault="006A6080" w:rsidP="006A6080">
      <w:pPr>
        <w:pBdr>
          <w:top w:val="nil"/>
          <w:left w:val="nil"/>
          <w:bottom w:val="nil"/>
          <w:right w:val="nil"/>
          <w:between w:val="nil"/>
        </w:pBdr>
        <w:spacing w:line="276" w:lineRule="auto"/>
        <w:ind w:left="1440"/>
        <w:jc w:val="both"/>
        <w:rPr>
          <w:rFonts w:ascii="Book Antiqua" w:eastAsia="Book Antiqua" w:hAnsi="Book Antiqua" w:cs="Book Antiqua"/>
          <w:color w:val="000000"/>
        </w:rPr>
      </w:pPr>
    </w:p>
    <w:p w:rsidR="006A6080" w:rsidRPr="00F8150F" w:rsidRDefault="006A6080" w:rsidP="006A6080">
      <w:pPr>
        <w:numPr>
          <w:ilvl w:val="0"/>
          <w:numId w:val="23"/>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Reconocimiento público por parte de la Defensoría del Pueblo</w:t>
      </w:r>
      <w:r>
        <w:rPr>
          <w:rFonts w:ascii="Book Antiqua" w:eastAsia="Book Antiqua" w:hAnsi="Book Antiqua" w:cs="Book Antiqua"/>
          <w:color w:val="000000"/>
        </w:rPr>
        <w:t>: La Defensoría del Pueblo realizará un reconocimiento público del actor</w:t>
      </w:r>
      <w:r>
        <w:rPr>
          <w:rFonts w:ascii="Book Antiqua" w:eastAsia="Book Antiqua" w:hAnsi="Book Antiqua" w:cs="Book Antiqua"/>
        </w:rPr>
        <w:t xml:space="preserve"> popular</w:t>
      </w:r>
      <w:r>
        <w:rPr>
          <w:rFonts w:ascii="Book Antiqua" w:eastAsia="Book Antiqua" w:hAnsi="Book Antiqua" w:cs="Book Antiqua"/>
          <w:color w:val="000000"/>
        </w:rPr>
        <w:t xml:space="preserve"> en sus plataformas digitales, donde se detallen las partes y resultas del proceso. </w:t>
      </w:r>
    </w:p>
    <w:p w:rsidR="006A6080" w:rsidRDefault="006A6080" w:rsidP="006A6080">
      <w:pPr>
        <w:shd w:val="clear" w:color="auto" w:fill="FFFFFF"/>
        <w:spacing w:before="240" w:after="240" w:line="276" w:lineRule="auto"/>
        <w:ind w:left="720"/>
        <w:jc w:val="both"/>
        <w:rPr>
          <w:rFonts w:ascii="Book Antiqua" w:eastAsia="Book Antiqua" w:hAnsi="Book Antiqua" w:cs="Book Antiqua"/>
        </w:rPr>
      </w:pPr>
      <w:r>
        <w:rPr>
          <w:rFonts w:ascii="Book Antiqua" w:eastAsia="Book Antiqua" w:hAnsi="Book Antiqua" w:cs="Book Antiqua"/>
          <w:b/>
          <w:highlight w:val="white"/>
        </w:rPr>
        <w:t xml:space="preserve">Parágrafo </w:t>
      </w:r>
      <w:r w:rsidRPr="00BD2832">
        <w:rPr>
          <w:rFonts w:ascii="Book Antiqua" w:eastAsia="Book Antiqua" w:hAnsi="Book Antiqua" w:cs="Book Antiqua"/>
          <w:b/>
          <w:highlight w:val="white"/>
        </w:rPr>
        <w:t>primero:</w:t>
      </w:r>
      <w:r>
        <w:rPr>
          <w:rFonts w:ascii="Book Antiqua" w:eastAsia="Book Antiqua" w:hAnsi="Book Antiqua" w:cs="Book Antiqua"/>
          <w:b/>
          <w:highlight w:val="white"/>
        </w:rPr>
        <w:t xml:space="preserve"> </w:t>
      </w:r>
      <w:r>
        <w:rPr>
          <w:rFonts w:ascii="Book Antiqua" w:eastAsia="Book Antiqua" w:hAnsi="Book Antiqua" w:cs="Book Antiqua"/>
          <w:highlight w:val="white"/>
        </w:rPr>
        <w:t>El reconocimiento de los incentivos procederán, siempre y cuando,</w:t>
      </w:r>
      <w:r>
        <w:rPr>
          <w:rFonts w:ascii="Book Antiqua" w:eastAsia="Book Antiqua" w:hAnsi="Book Antiqua" w:cs="Book Antiqua"/>
          <w:b/>
          <w:highlight w:val="white"/>
        </w:rPr>
        <w:t xml:space="preserve"> </w:t>
      </w:r>
      <w:r>
        <w:rPr>
          <w:rFonts w:ascii="Book Antiqua" w:eastAsia="Book Antiqua" w:hAnsi="Book Antiqua" w:cs="Book Antiqua"/>
          <w:highlight w:val="white"/>
        </w:rPr>
        <w:t xml:space="preserve">se demuestre que hubo </w:t>
      </w:r>
      <w:r>
        <w:rPr>
          <w:rFonts w:ascii="Book Antiqua" w:eastAsia="Book Antiqua" w:hAnsi="Book Antiqua" w:cs="Book Antiqua"/>
        </w:rPr>
        <w:t xml:space="preserve">una participación activa y constante del accionante o accionantes durante todo el proceso judicial de la acción popular. </w:t>
      </w:r>
    </w:p>
    <w:p w:rsidR="006A6080" w:rsidRPr="00BD2832" w:rsidRDefault="006A6080" w:rsidP="006A6080">
      <w:pPr>
        <w:shd w:val="clear" w:color="auto" w:fill="FFFFFF"/>
        <w:spacing w:before="240" w:after="240" w:line="276" w:lineRule="auto"/>
        <w:ind w:left="720"/>
        <w:jc w:val="both"/>
        <w:rPr>
          <w:rFonts w:ascii="Book Antiqua" w:eastAsia="Book Antiqua" w:hAnsi="Book Antiqua" w:cs="Book Antiqua"/>
        </w:rPr>
      </w:pPr>
      <w:r w:rsidRPr="00BD2832">
        <w:rPr>
          <w:rFonts w:ascii="Book Antiqua" w:eastAsia="Book Antiqua" w:hAnsi="Book Antiqua" w:cs="Book Antiqua"/>
        </w:rPr>
        <w:t>Esto será determinado por el juez competente en cada caso en concreto.</w:t>
      </w:r>
    </w:p>
    <w:p w:rsidR="006A6080" w:rsidRPr="00BD2832" w:rsidRDefault="006A6080" w:rsidP="006A6080">
      <w:pPr>
        <w:spacing w:line="276" w:lineRule="auto"/>
        <w:ind w:left="720"/>
        <w:jc w:val="both"/>
        <w:rPr>
          <w:rFonts w:ascii="Book Antiqua" w:eastAsia="Book Antiqua" w:hAnsi="Book Antiqua" w:cs="Book Antiqua"/>
          <w:highlight w:val="white"/>
        </w:rPr>
      </w:pPr>
      <w:r w:rsidRPr="00BD2832">
        <w:rPr>
          <w:rFonts w:ascii="Book Antiqua" w:eastAsia="Book Antiqua" w:hAnsi="Book Antiqua" w:cs="Book Antiqua"/>
          <w:b/>
          <w:highlight w:val="white"/>
        </w:rPr>
        <w:t>Parágrafo segundo:</w:t>
      </w:r>
      <w:r w:rsidRPr="00BD2832">
        <w:rPr>
          <w:rFonts w:ascii="Book Antiqua" w:eastAsia="Book Antiqua" w:hAnsi="Book Antiqua" w:cs="Book Antiqua"/>
          <w:highlight w:val="white"/>
        </w:rPr>
        <w:t xml:space="preserve"> El incentivo económico que decida decretar el juez, será hasta de cinco (5) </w:t>
      </w:r>
      <w:proofErr w:type="spellStart"/>
      <w:r w:rsidRPr="00BD2832">
        <w:rPr>
          <w:rFonts w:ascii="Book Antiqua" w:eastAsia="Book Antiqua" w:hAnsi="Book Antiqua" w:cs="Book Antiqua"/>
          <w:highlight w:val="white"/>
        </w:rPr>
        <w:t>smlmv</w:t>
      </w:r>
      <w:proofErr w:type="spellEnd"/>
      <w:r w:rsidRPr="00BD2832">
        <w:rPr>
          <w:rFonts w:ascii="Book Antiqua" w:eastAsia="Book Antiqua" w:hAnsi="Book Antiqua" w:cs="Book Antiqua"/>
          <w:highlight w:val="white"/>
        </w:rPr>
        <w:t xml:space="preserve">, y en caso se pluralidad de actores populares, ese monto se deberá distribuir entre todos. </w:t>
      </w:r>
    </w:p>
    <w:p w:rsidR="006A6080" w:rsidRPr="00BD2832" w:rsidRDefault="006A6080" w:rsidP="006A6080">
      <w:pPr>
        <w:spacing w:line="276" w:lineRule="auto"/>
        <w:ind w:left="720"/>
        <w:jc w:val="both"/>
        <w:rPr>
          <w:rFonts w:ascii="Book Antiqua" w:eastAsia="Book Antiqua" w:hAnsi="Book Antiqua" w:cs="Book Antiqua"/>
          <w:b/>
          <w:highlight w:val="white"/>
        </w:rPr>
      </w:pPr>
    </w:p>
    <w:p w:rsidR="006A6080" w:rsidRPr="0019166D" w:rsidRDefault="006A6080" w:rsidP="006A6080">
      <w:pPr>
        <w:spacing w:line="276" w:lineRule="auto"/>
        <w:ind w:left="720"/>
        <w:jc w:val="both"/>
        <w:rPr>
          <w:rFonts w:ascii="Book Antiqua" w:eastAsia="Book Antiqua" w:hAnsi="Book Antiqua" w:cs="Book Antiqua"/>
          <w:highlight w:val="white"/>
        </w:rPr>
      </w:pPr>
      <w:r w:rsidRPr="0019166D">
        <w:rPr>
          <w:rFonts w:ascii="Book Antiqua" w:eastAsia="Book Antiqua" w:hAnsi="Book Antiqua" w:cs="Book Antiqua"/>
          <w:b/>
          <w:highlight w:val="white"/>
        </w:rPr>
        <w:t>Parágrafo tercero:</w:t>
      </w:r>
      <w:r w:rsidRPr="0019166D">
        <w:rPr>
          <w:rFonts w:ascii="Book Antiqua" w:eastAsia="Book Antiqua" w:hAnsi="Book Antiqua" w:cs="Book Antiqua"/>
          <w:highlight w:val="white"/>
        </w:rPr>
        <w:t xml:space="preserve"> En caso de acumulación de acciones populares, el incentivo económico solo podrá reconocérsele al actor popular cuya </w:t>
      </w:r>
      <w:r>
        <w:rPr>
          <w:rFonts w:ascii="Book Antiqua" w:eastAsia="Book Antiqua" w:hAnsi="Book Antiqua" w:cs="Book Antiqua"/>
          <w:highlight w:val="white"/>
        </w:rPr>
        <w:t>acción popular</w:t>
      </w:r>
      <w:r w:rsidRPr="0019166D">
        <w:rPr>
          <w:rFonts w:ascii="Book Antiqua" w:eastAsia="Book Antiqua" w:hAnsi="Book Antiqua" w:cs="Book Antiqua"/>
          <w:highlight w:val="white"/>
        </w:rPr>
        <w:t xml:space="preserve"> haya sido admitida primero en el tiempo.</w:t>
      </w:r>
    </w:p>
    <w:p w:rsidR="006A6080" w:rsidRPr="0019166D" w:rsidRDefault="006A6080" w:rsidP="006A6080">
      <w:pPr>
        <w:spacing w:line="276" w:lineRule="auto"/>
        <w:jc w:val="both"/>
        <w:rPr>
          <w:rFonts w:ascii="Book Antiqua" w:eastAsia="Book Antiqua" w:hAnsi="Book Antiqua" w:cs="Book Antiqua"/>
          <w:bCs/>
          <w:highlight w:val="white"/>
        </w:rPr>
      </w:pPr>
    </w:p>
    <w:p w:rsidR="006A6080" w:rsidRPr="0019166D" w:rsidRDefault="006A6080" w:rsidP="006A6080">
      <w:pPr>
        <w:spacing w:line="276" w:lineRule="auto"/>
        <w:ind w:left="720"/>
        <w:jc w:val="both"/>
        <w:rPr>
          <w:rFonts w:ascii="Book Antiqua" w:eastAsia="Book Antiqua" w:hAnsi="Book Antiqua" w:cs="Book Antiqua"/>
          <w:bCs/>
          <w:color w:val="333333"/>
          <w:highlight w:val="white"/>
        </w:rPr>
      </w:pPr>
      <w:r w:rsidRPr="0019166D">
        <w:rPr>
          <w:rFonts w:ascii="Book Antiqua" w:eastAsia="Book Antiqua" w:hAnsi="Book Antiqua" w:cs="Book Antiqua"/>
          <w:b/>
          <w:bCs/>
          <w:highlight w:val="white"/>
        </w:rPr>
        <w:t>Parágrafo cuarto:</w:t>
      </w:r>
      <w:r w:rsidRPr="0019166D">
        <w:rPr>
          <w:rFonts w:ascii="Book Antiqua" w:eastAsia="Book Antiqua" w:hAnsi="Book Antiqua" w:cs="Book Antiqua"/>
          <w:bCs/>
          <w:highlight w:val="white"/>
        </w:rPr>
        <w:t xml:space="preserve"> </w:t>
      </w:r>
      <w:r w:rsidRPr="0019166D">
        <w:rPr>
          <w:rFonts w:ascii="Book Antiqua" w:eastAsia="Book Antiqua" w:hAnsi="Book Antiqua" w:cs="Book Antiqua"/>
          <w:bCs/>
        </w:rPr>
        <w:t>Cuando el actor popular sea una entidad pública, el incentivo económico si llegara a decretarse por el juez, se destinará al Fondo para la Defensa d</w:t>
      </w:r>
      <w:r>
        <w:rPr>
          <w:rFonts w:ascii="Book Antiqua" w:eastAsia="Book Antiqua" w:hAnsi="Book Antiqua" w:cs="Book Antiqua"/>
          <w:bCs/>
        </w:rPr>
        <w:t>e los</w:t>
      </w:r>
      <w:r w:rsidRPr="0019166D">
        <w:rPr>
          <w:rFonts w:ascii="Book Antiqua" w:eastAsia="Book Antiqua" w:hAnsi="Book Antiqua" w:cs="Book Antiqua"/>
          <w:bCs/>
        </w:rPr>
        <w:t xml:space="preserve"> Derechos e Intereses Colectivos.</w:t>
      </w:r>
    </w:p>
    <w:p w:rsidR="006A6080" w:rsidRDefault="006A6080" w:rsidP="006A6080">
      <w:pPr>
        <w:shd w:val="clear" w:color="auto" w:fill="FFFFFF"/>
        <w:spacing w:before="240" w:after="240" w:line="276" w:lineRule="auto"/>
        <w:jc w:val="both"/>
        <w:rPr>
          <w:rFonts w:ascii="Book Antiqua" w:eastAsia="Book Antiqua" w:hAnsi="Book Antiqua" w:cs="Book Antiqua"/>
          <w:b/>
          <w:highlight w:val="white"/>
        </w:rPr>
      </w:pPr>
    </w:p>
    <w:p w:rsidR="006A6080" w:rsidRDefault="006A6080" w:rsidP="006A6080">
      <w:pPr>
        <w:shd w:val="clear" w:color="auto" w:fill="FFFFFF"/>
        <w:spacing w:before="240" w:after="240" w:line="276" w:lineRule="auto"/>
        <w:jc w:val="both"/>
        <w:rPr>
          <w:rFonts w:ascii="Book Antiqua" w:eastAsia="Book Antiqua" w:hAnsi="Book Antiqua" w:cs="Book Antiqua"/>
          <w:b/>
          <w:highlight w:val="white"/>
        </w:rPr>
      </w:pPr>
    </w:p>
    <w:p w:rsidR="006A6080" w:rsidRDefault="006A6080" w:rsidP="006A6080">
      <w:pPr>
        <w:shd w:val="clear" w:color="auto" w:fill="FFFFFF"/>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Artículo 3. Modifíquese el artículo 38 de la Ley 472 de 1998, el cual quedará de la siguiente manera: </w:t>
      </w:r>
    </w:p>
    <w:p w:rsidR="006A6080" w:rsidRDefault="006A6080" w:rsidP="006A6080">
      <w:pPr>
        <w:shd w:val="clear" w:color="auto" w:fill="FFFFFF"/>
        <w:spacing w:before="240" w:after="240" w:line="276" w:lineRule="auto"/>
        <w:ind w:left="708"/>
        <w:jc w:val="both"/>
        <w:rPr>
          <w:rFonts w:ascii="Book Antiqua" w:eastAsia="Book Antiqua" w:hAnsi="Book Antiqua" w:cs="Book Antiqua"/>
          <w:color w:val="333333"/>
          <w:highlight w:val="white"/>
        </w:rPr>
      </w:pPr>
      <w:r>
        <w:rPr>
          <w:rFonts w:ascii="Book Antiqua" w:eastAsia="Book Antiqua" w:hAnsi="Book Antiqua" w:cs="Book Antiqua"/>
          <w:b/>
          <w:highlight w:val="white"/>
        </w:rPr>
        <w:t>“</w:t>
      </w:r>
      <w:r>
        <w:rPr>
          <w:rFonts w:ascii="Book Antiqua" w:eastAsia="Book Antiqua" w:hAnsi="Book Antiqua" w:cs="Book Antiqua"/>
          <w:b/>
          <w:color w:val="333333"/>
          <w:highlight w:val="white"/>
        </w:rPr>
        <w:t>ARTÍCULO 38.-</w:t>
      </w:r>
      <w:r w:rsidRPr="002E25CA">
        <w:rPr>
          <w:rFonts w:ascii="Book Antiqua" w:eastAsia="Book Antiqua" w:hAnsi="Book Antiqua" w:cs="Book Antiqua"/>
          <w:b/>
          <w:color w:val="333333"/>
          <w:highlight w:val="white"/>
        </w:rPr>
        <w:t> </w:t>
      </w:r>
      <w:r w:rsidRPr="002E25CA">
        <w:rPr>
          <w:rFonts w:ascii="Book Antiqua" w:eastAsia="Book Antiqua" w:hAnsi="Book Antiqua" w:cs="Book Antiqua"/>
          <w:b/>
          <w:i/>
          <w:color w:val="333333"/>
          <w:highlight w:val="white"/>
        </w:rPr>
        <w:t>Costas</w:t>
      </w:r>
      <w:r w:rsidR="002E25CA" w:rsidRPr="002E25CA">
        <w:rPr>
          <w:rFonts w:ascii="Book Antiqua" w:eastAsia="Book Antiqua" w:hAnsi="Book Antiqua" w:cs="Book Antiqua"/>
          <w:b/>
          <w:i/>
          <w:color w:val="333333"/>
          <w:highlight w:val="white"/>
        </w:rPr>
        <w:t xml:space="preserve"> y agencias en derecho</w:t>
      </w:r>
      <w:r w:rsidRPr="002E25CA">
        <w:rPr>
          <w:rFonts w:ascii="Book Antiqua" w:eastAsia="Book Antiqua" w:hAnsi="Book Antiqua" w:cs="Book Antiqua"/>
          <w:b/>
          <w:i/>
          <w:color w:val="333333"/>
          <w:highlight w:val="white"/>
        </w:rPr>
        <w:t>.</w:t>
      </w:r>
      <w:r>
        <w:rPr>
          <w:rFonts w:ascii="Book Antiqua" w:eastAsia="Book Antiqua" w:hAnsi="Book Antiqua" w:cs="Book Antiqua"/>
          <w:i/>
          <w:color w:val="333333"/>
          <w:highlight w:val="white"/>
        </w:rPr>
        <w:t> </w:t>
      </w:r>
      <w:r>
        <w:rPr>
          <w:rFonts w:ascii="Book Antiqua" w:eastAsia="Book Antiqua" w:hAnsi="Book Antiqua" w:cs="Book Antiqua"/>
          <w:color w:val="333333"/>
          <w:highlight w:val="white"/>
        </w:rPr>
        <w:t>El juez aplicará las normas del Código General del Proceso relativas a las costas</w:t>
      </w:r>
      <w:r w:rsidR="002E25CA">
        <w:rPr>
          <w:rFonts w:ascii="Book Antiqua" w:eastAsia="Book Antiqua" w:hAnsi="Book Antiqua" w:cs="Book Antiqua"/>
          <w:color w:val="333333"/>
          <w:highlight w:val="white"/>
        </w:rPr>
        <w:t xml:space="preserve"> y agencias en derecho.</w:t>
      </w:r>
      <w:r>
        <w:rPr>
          <w:rFonts w:ascii="Book Antiqua" w:eastAsia="Book Antiqua" w:hAnsi="Book Antiqua" w:cs="Book Antiqua"/>
          <w:color w:val="333333"/>
          <w:highlight w:val="white"/>
        </w:rPr>
        <w:t xml:space="preserve"> </w:t>
      </w:r>
    </w:p>
    <w:p w:rsidR="006A6080" w:rsidRDefault="006A6080" w:rsidP="006A6080">
      <w:pPr>
        <w:shd w:val="clear" w:color="auto" w:fill="FFFFFF"/>
        <w:spacing w:before="240" w:after="240" w:line="276" w:lineRule="auto"/>
        <w:ind w:left="708"/>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 xml:space="preserve">El juez condenará en costas </w:t>
      </w:r>
      <w:r w:rsidR="002E25CA">
        <w:rPr>
          <w:rFonts w:ascii="Book Antiqua" w:eastAsia="Book Antiqua" w:hAnsi="Book Antiqua" w:cs="Book Antiqua"/>
          <w:color w:val="333333"/>
          <w:highlight w:val="white"/>
        </w:rPr>
        <w:t xml:space="preserve">y agencias en derecho </w:t>
      </w:r>
      <w:bookmarkStart w:id="0" w:name="_GoBack"/>
      <w:bookmarkEnd w:id="0"/>
      <w:r>
        <w:rPr>
          <w:rFonts w:ascii="Book Antiqua" w:eastAsia="Book Antiqua" w:hAnsi="Book Antiqua" w:cs="Book Antiqua"/>
          <w:color w:val="333333"/>
          <w:highlight w:val="white"/>
        </w:rPr>
        <w:t xml:space="preserve">al accionado, cuando el actor popular </w:t>
      </w:r>
      <w:proofErr w:type="gramStart"/>
      <w:r w:rsidRPr="00BD2832">
        <w:rPr>
          <w:rFonts w:ascii="Book Antiqua" w:eastAsia="Book Antiqua" w:hAnsi="Book Antiqua" w:cs="Book Antiqua"/>
          <w:bCs/>
          <w:color w:val="333333"/>
          <w:highlight w:val="white"/>
        </w:rPr>
        <w:t>que</w:t>
      </w:r>
      <w:proofErr w:type="gramEnd"/>
      <w:r w:rsidRPr="00BD2832">
        <w:rPr>
          <w:rFonts w:ascii="Book Antiqua" w:eastAsia="Book Antiqua" w:hAnsi="Book Antiqua" w:cs="Book Antiqua"/>
          <w:bCs/>
          <w:color w:val="333333"/>
          <w:highlight w:val="white"/>
        </w:rPr>
        <w:t xml:space="preserve"> actuando directamente o mediante apoderado, logre</w:t>
      </w:r>
      <w:r w:rsidRPr="00BD2832">
        <w:rPr>
          <w:rFonts w:ascii="Book Antiqua" w:eastAsia="Book Antiqua" w:hAnsi="Book Antiqua" w:cs="Book Antiqua"/>
          <w:color w:val="333333"/>
          <w:highlight w:val="white"/>
        </w:rPr>
        <w:t xml:space="preserve"> </w:t>
      </w:r>
      <w:r>
        <w:rPr>
          <w:rFonts w:ascii="Book Antiqua" w:eastAsia="Book Antiqua" w:hAnsi="Book Antiqua" w:cs="Book Antiqua"/>
          <w:color w:val="333333"/>
          <w:highlight w:val="white"/>
        </w:rPr>
        <w:t xml:space="preserve">el reconocimiento total o parcial de las pretensiones o se termine con pacto de cumplimiento.  </w:t>
      </w:r>
    </w:p>
    <w:p w:rsidR="006A6080" w:rsidRDefault="006A6080" w:rsidP="006A6080">
      <w:pPr>
        <w:shd w:val="clear" w:color="auto" w:fill="FFFFFF"/>
        <w:spacing w:before="240" w:after="240" w:line="276" w:lineRule="auto"/>
        <w:ind w:left="708"/>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lastRenderedPageBreak/>
        <w:t xml:space="preserve">El juez podrá condenar al accionante a sufragar los honorarios, gastos y costos ocasionados al accionado, cuando la acción presentada sea temeraria o de mala fe. </w:t>
      </w:r>
    </w:p>
    <w:p w:rsidR="006A6080" w:rsidRPr="00BD2832" w:rsidRDefault="006A6080" w:rsidP="006A6080">
      <w:pPr>
        <w:shd w:val="clear" w:color="auto" w:fill="FFFFFF"/>
        <w:spacing w:before="240" w:after="240" w:line="276" w:lineRule="auto"/>
        <w:ind w:left="708"/>
        <w:jc w:val="both"/>
        <w:rPr>
          <w:rFonts w:ascii="Book Antiqua" w:eastAsia="Book Antiqua" w:hAnsi="Book Antiqua" w:cs="Book Antiqua"/>
          <w:color w:val="333333"/>
          <w:highlight w:val="white"/>
        </w:rPr>
      </w:pPr>
      <w:r>
        <w:rPr>
          <w:rFonts w:ascii="Book Antiqua" w:eastAsia="Book Antiqua" w:hAnsi="Book Antiqua" w:cs="Book Antiqua"/>
          <w:color w:val="333333"/>
          <w:highlight w:val="white"/>
        </w:rPr>
        <w:t>En caso de mala fe de cualquiera de las partes, el juez impondrá una multa hasta de veinte (20) salarios mínimos mensuales, los cuales serán destinados al Fondo para la Defensa de los Derechos e Intereses Colectivos, sin perjuicio de las demás acciones a que haya lugar”.</w:t>
      </w:r>
    </w:p>
    <w:p w:rsidR="006A6080" w:rsidRDefault="006A6080" w:rsidP="006A6080">
      <w:pPr>
        <w:shd w:val="clear" w:color="auto" w:fill="FFFFFF"/>
        <w:spacing w:before="240" w:after="240" w:line="276" w:lineRule="auto"/>
        <w:jc w:val="both"/>
        <w:rPr>
          <w:rFonts w:ascii="Book Antiqua" w:eastAsia="Book Antiqua" w:hAnsi="Book Antiqua" w:cs="Book Antiqua"/>
        </w:rPr>
      </w:pPr>
      <w:r>
        <w:rPr>
          <w:rFonts w:ascii="Book Antiqua" w:eastAsia="Book Antiqua" w:hAnsi="Book Antiqua" w:cs="Book Antiqua"/>
          <w:b/>
          <w:highlight w:val="white"/>
        </w:rPr>
        <w:t xml:space="preserve">Artículo </w:t>
      </w:r>
      <w:r w:rsidRPr="00E35650">
        <w:rPr>
          <w:rFonts w:ascii="Book Antiqua" w:eastAsia="Book Antiqua" w:hAnsi="Book Antiqua" w:cs="Book Antiqua"/>
          <w:b/>
          <w:strike/>
        </w:rPr>
        <w:t>4</w:t>
      </w:r>
      <w:r w:rsidRPr="00E35650">
        <w:rPr>
          <w:rFonts w:ascii="Book Antiqua" w:eastAsia="Book Antiqua" w:hAnsi="Book Antiqua" w:cs="Book Antiqua"/>
          <w:b/>
        </w:rPr>
        <w:t>.</w:t>
      </w:r>
      <w:r>
        <w:rPr>
          <w:rFonts w:ascii="Book Antiqua" w:eastAsia="Book Antiqua" w:hAnsi="Book Antiqua" w:cs="Book Antiqua"/>
          <w:b/>
        </w:rPr>
        <w:t xml:space="preserve"> </w:t>
      </w:r>
      <w:r>
        <w:rPr>
          <w:rFonts w:ascii="Book Antiqua" w:eastAsia="Book Antiqua" w:hAnsi="Book Antiqua" w:cs="Book Antiqua"/>
          <w:highlight w:val="white"/>
        </w:rPr>
        <w:t>Las disposiciones de la presente ley, se aplicarán al medio de control de protección de derechos e intereses colectivos establecido en el artículo 144 de la Ley 1437 de 2011.</w:t>
      </w:r>
    </w:p>
    <w:p w:rsidR="006A6080" w:rsidRPr="00BD2832" w:rsidRDefault="006A6080" w:rsidP="006A6080">
      <w:pPr>
        <w:jc w:val="both"/>
        <w:rPr>
          <w:rFonts w:ascii="Book Antiqua" w:eastAsia="Book Antiqua" w:hAnsi="Book Antiqua" w:cs="Book Antiqua"/>
          <w:b/>
          <w:color w:val="333333"/>
        </w:rPr>
      </w:pPr>
      <w:r w:rsidRPr="00BD2832">
        <w:rPr>
          <w:rFonts w:ascii="Book Antiqua" w:eastAsia="Book Antiqua" w:hAnsi="Book Antiqua" w:cs="Book Antiqua"/>
          <w:b/>
          <w:color w:val="333333"/>
        </w:rPr>
        <w:t xml:space="preserve">Artículo 5. </w:t>
      </w:r>
      <w:r w:rsidRPr="00BD2832">
        <w:rPr>
          <w:rFonts w:ascii="Book Antiqua" w:eastAsia="Book Antiqua" w:hAnsi="Book Antiqua" w:cs="Book Antiqua"/>
          <w:color w:val="333333"/>
        </w:rPr>
        <w:t>Vigencia y derogaciones. La presente ley rige a partir de la fecha de su promulgación y deroga expresamente las disposiciones que le sean contrarias.</w:t>
      </w:r>
    </w:p>
    <w:p w:rsidR="008C485F" w:rsidRDefault="00CF6F6C" w:rsidP="00DF01CA">
      <w:pPr>
        <w:spacing w:after="0" w:line="240" w:lineRule="auto"/>
        <w:jc w:val="center"/>
        <w:rPr>
          <w:rFonts w:ascii="Arial Narrow" w:hAnsi="Arial Narrow" w:cs="Arial"/>
          <w:b/>
          <w:sz w:val="24"/>
          <w:szCs w:val="24"/>
          <w:lang w:bidi="es-CO"/>
        </w:rPr>
      </w:pPr>
      <w:r w:rsidRPr="00CF6F6C">
        <w:rPr>
          <w:rFonts w:ascii="Arial Narrow" w:hAnsi="Arial Narrow" w:cs="Arial"/>
          <w:b/>
          <w:sz w:val="24"/>
          <w:szCs w:val="24"/>
          <w:lang w:bidi="es-CO"/>
        </w:rPr>
        <w:t xml:space="preserve"> </w:t>
      </w:r>
    </w:p>
    <w:p w:rsidR="00DF01CA" w:rsidRDefault="00DF01CA" w:rsidP="00DF01CA">
      <w:pPr>
        <w:spacing w:after="0" w:line="240" w:lineRule="auto"/>
        <w:jc w:val="center"/>
        <w:rPr>
          <w:rFonts w:ascii="Arial Narrow" w:hAnsi="Arial Narrow" w:cs="Arial"/>
          <w:b/>
          <w:sz w:val="24"/>
          <w:szCs w:val="24"/>
          <w:lang w:bidi="es-CO"/>
        </w:rPr>
      </w:pPr>
    </w:p>
    <w:p w:rsidR="006A6080" w:rsidRDefault="006A6080" w:rsidP="00C7658D">
      <w:pPr>
        <w:tabs>
          <w:tab w:val="left" w:pos="4820"/>
        </w:tabs>
        <w:spacing w:after="0" w:line="240" w:lineRule="auto"/>
        <w:jc w:val="both"/>
        <w:rPr>
          <w:rFonts w:ascii="Book Antiqua" w:eastAsia="Century Gothic" w:hAnsi="Book Antiqua" w:cs="Arial"/>
          <w:highlight w:val="white"/>
        </w:rPr>
      </w:pPr>
    </w:p>
    <w:p w:rsidR="00C7658D" w:rsidRPr="006A6080" w:rsidRDefault="00C7658D" w:rsidP="00C7658D">
      <w:pPr>
        <w:tabs>
          <w:tab w:val="left" w:pos="4820"/>
        </w:tabs>
        <w:spacing w:after="0" w:line="240" w:lineRule="auto"/>
        <w:jc w:val="both"/>
        <w:rPr>
          <w:rFonts w:ascii="Book Antiqua" w:eastAsia="Century Gothic" w:hAnsi="Book Antiqua" w:cs="Arial"/>
          <w:highlight w:val="white"/>
        </w:rPr>
      </w:pPr>
      <w:r w:rsidRPr="006A6080">
        <w:rPr>
          <w:rFonts w:ascii="Book Antiqua" w:eastAsia="Century Gothic" w:hAnsi="Book Antiqua" w:cs="Arial"/>
          <w:highlight w:val="white"/>
        </w:rPr>
        <w:t xml:space="preserve">En los anteriores términos fue aprobado </w:t>
      </w:r>
      <w:r w:rsidR="00D06595" w:rsidRPr="006A6080">
        <w:rPr>
          <w:rFonts w:ascii="Book Antiqua" w:eastAsia="Century Gothic" w:hAnsi="Book Antiqua" w:cs="Arial"/>
          <w:highlight w:val="white"/>
        </w:rPr>
        <w:t>co</w:t>
      </w:r>
      <w:r w:rsidRPr="006A6080">
        <w:rPr>
          <w:rFonts w:ascii="Book Antiqua" w:eastAsia="Century Gothic" w:hAnsi="Book Antiqua" w:cs="Arial"/>
          <w:highlight w:val="white"/>
        </w:rPr>
        <w:t>n modificaciones en primer debate el presente Proyecto de Ley, según consta en el Acta No. 28 de sesión del 11 de diciembre de 2024. Así mismo fue anunciado entre otras fechas el día 10 de diciembre de 2024, según consta en el Acta 05 de Sesión Conjuntas Senado de la República y Cámara de Representantes de esa misma fecha.</w:t>
      </w:r>
    </w:p>
    <w:p w:rsidR="00C7658D" w:rsidRPr="006A6080" w:rsidRDefault="00C7658D" w:rsidP="00C7658D">
      <w:pPr>
        <w:tabs>
          <w:tab w:val="left" w:pos="5245"/>
        </w:tabs>
        <w:spacing w:after="0" w:line="240" w:lineRule="auto"/>
        <w:rPr>
          <w:rFonts w:ascii="Book Antiqua" w:eastAsia="Century Gothic" w:hAnsi="Book Antiqua" w:cs="Arial"/>
          <w:highlight w:val="white"/>
        </w:rPr>
      </w:pPr>
    </w:p>
    <w:p w:rsidR="00C7658D" w:rsidRPr="006A6080" w:rsidRDefault="00C7658D" w:rsidP="00C7658D">
      <w:pPr>
        <w:tabs>
          <w:tab w:val="left" w:pos="5245"/>
          <w:tab w:val="left" w:pos="5529"/>
        </w:tabs>
        <w:spacing w:after="0" w:line="240" w:lineRule="auto"/>
        <w:rPr>
          <w:rFonts w:ascii="Book Antiqua" w:eastAsia="Century Gothic" w:hAnsi="Book Antiqua" w:cs="Arial"/>
          <w:highlight w:val="white"/>
        </w:rPr>
      </w:pPr>
    </w:p>
    <w:p w:rsidR="00C7658D" w:rsidRPr="006A6080" w:rsidRDefault="00C7658D" w:rsidP="00C7658D">
      <w:pPr>
        <w:tabs>
          <w:tab w:val="left" w:pos="5245"/>
          <w:tab w:val="left" w:pos="5529"/>
        </w:tabs>
        <w:spacing w:after="0" w:line="240" w:lineRule="auto"/>
        <w:rPr>
          <w:rFonts w:ascii="Book Antiqua" w:eastAsia="Century Gothic" w:hAnsi="Book Antiqua" w:cs="Arial"/>
          <w:highlight w:val="white"/>
        </w:rPr>
      </w:pPr>
    </w:p>
    <w:p w:rsidR="00C7658D" w:rsidRPr="006A6080" w:rsidRDefault="00C7658D" w:rsidP="00C7658D">
      <w:pPr>
        <w:tabs>
          <w:tab w:val="left" w:pos="5245"/>
          <w:tab w:val="left" w:pos="5529"/>
        </w:tabs>
        <w:spacing w:after="0" w:line="240" w:lineRule="auto"/>
        <w:rPr>
          <w:rFonts w:ascii="Book Antiqua" w:eastAsia="Century Gothic" w:hAnsi="Book Antiqua" w:cs="Arial"/>
          <w:highlight w:val="white"/>
        </w:rPr>
      </w:pPr>
    </w:p>
    <w:p w:rsidR="00C7658D" w:rsidRPr="006A6080" w:rsidRDefault="00C7658D" w:rsidP="00C7658D">
      <w:pPr>
        <w:tabs>
          <w:tab w:val="left" w:pos="5245"/>
          <w:tab w:val="left" w:pos="5529"/>
        </w:tabs>
        <w:spacing w:after="0" w:line="240" w:lineRule="auto"/>
        <w:rPr>
          <w:rFonts w:ascii="Book Antiqua" w:eastAsia="Century Gothic" w:hAnsi="Book Antiqua" w:cs="Arial"/>
          <w:highlight w:val="white"/>
        </w:rPr>
      </w:pPr>
    </w:p>
    <w:p w:rsidR="00C7658D" w:rsidRPr="006A6080" w:rsidRDefault="00D06595" w:rsidP="00C7658D">
      <w:pPr>
        <w:tabs>
          <w:tab w:val="left" w:pos="4678"/>
          <w:tab w:val="left" w:pos="5103"/>
        </w:tabs>
        <w:spacing w:after="0" w:line="240" w:lineRule="auto"/>
        <w:rPr>
          <w:rFonts w:ascii="Book Antiqua" w:eastAsia="Century Gothic" w:hAnsi="Book Antiqua" w:cs="Arial"/>
          <w:b/>
          <w:highlight w:val="white"/>
        </w:rPr>
      </w:pPr>
      <w:r w:rsidRPr="006A6080">
        <w:rPr>
          <w:rFonts w:ascii="Book Antiqua" w:eastAsia="Century Gothic" w:hAnsi="Book Antiqua" w:cs="Arial"/>
          <w:b/>
          <w:highlight w:val="white"/>
        </w:rPr>
        <w:t>JUAN DANIEL PEÑUELA CALVACHE</w:t>
      </w:r>
      <w:r w:rsidR="00C7658D" w:rsidRPr="006A6080">
        <w:rPr>
          <w:rFonts w:ascii="Book Antiqua" w:eastAsia="Century Gothic" w:hAnsi="Book Antiqua" w:cs="Arial"/>
          <w:b/>
          <w:highlight w:val="white"/>
        </w:rPr>
        <w:t xml:space="preserve"> </w:t>
      </w:r>
      <w:r w:rsidR="00C7658D" w:rsidRPr="006A6080">
        <w:rPr>
          <w:rFonts w:ascii="Book Antiqua" w:eastAsia="Century Gothic" w:hAnsi="Book Antiqua" w:cs="Arial"/>
          <w:b/>
          <w:highlight w:val="white"/>
        </w:rPr>
        <w:tab/>
      </w:r>
      <w:r w:rsidR="00C7658D" w:rsidRPr="006A6080">
        <w:rPr>
          <w:rFonts w:ascii="Book Antiqua" w:eastAsia="Century Gothic" w:hAnsi="Book Antiqua" w:cs="Arial"/>
          <w:b/>
          <w:highlight w:val="white"/>
        </w:rPr>
        <w:tab/>
        <w:t>ANA PAOLA GARCÍA SOTO</w:t>
      </w:r>
    </w:p>
    <w:p w:rsidR="00C7658D" w:rsidRPr="006A6080" w:rsidRDefault="00C7658D" w:rsidP="00C7658D">
      <w:pPr>
        <w:tabs>
          <w:tab w:val="left" w:pos="4678"/>
          <w:tab w:val="left" w:pos="5103"/>
        </w:tabs>
        <w:spacing w:after="0" w:line="240" w:lineRule="auto"/>
        <w:rPr>
          <w:rFonts w:ascii="Book Antiqua" w:eastAsia="Century Gothic" w:hAnsi="Book Antiqua" w:cs="Arial"/>
          <w:highlight w:val="white"/>
        </w:rPr>
      </w:pPr>
      <w:r w:rsidRPr="006A6080">
        <w:rPr>
          <w:rFonts w:ascii="Book Antiqua" w:eastAsia="Century Gothic" w:hAnsi="Book Antiqua" w:cs="Arial"/>
          <w:highlight w:val="white"/>
        </w:rPr>
        <w:t>Ponente Único</w:t>
      </w:r>
      <w:r w:rsidRPr="006A6080">
        <w:rPr>
          <w:rFonts w:ascii="Book Antiqua" w:eastAsia="Century Gothic" w:hAnsi="Book Antiqua" w:cs="Arial"/>
          <w:highlight w:val="white"/>
        </w:rPr>
        <w:tab/>
      </w:r>
      <w:r w:rsidRPr="006A6080">
        <w:rPr>
          <w:rFonts w:ascii="Book Antiqua" w:eastAsia="Century Gothic" w:hAnsi="Book Antiqua" w:cs="Arial"/>
          <w:highlight w:val="white"/>
        </w:rPr>
        <w:tab/>
        <w:t xml:space="preserve">Presidenta </w:t>
      </w:r>
    </w:p>
    <w:p w:rsidR="00C7658D" w:rsidRPr="006A6080" w:rsidRDefault="00C7658D" w:rsidP="00C7658D">
      <w:pPr>
        <w:tabs>
          <w:tab w:val="left" w:pos="4820"/>
          <w:tab w:val="left" w:pos="5103"/>
        </w:tabs>
        <w:spacing w:after="0" w:line="240" w:lineRule="auto"/>
        <w:rPr>
          <w:rFonts w:ascii="Book Antiqua" w:eastAsia="Century Gothic" w:hAnsi="Book Antiqua" w:cs="Arial"/>
          <w:highlight w:val="white"/>
        </w:rPr>
      </w:pPr>
    </w:p>
    <w:p w:rsidR="00C7658D" w:rsidRPr="006A6080" w:rsidRDefault="00C7658D" w:rsidP="00C7658D">
      <w:pPr>
        <w:tabs>
          <w:tab w:val="left" w:pos="4820"/>
          <w:tab w:val="left" w:pos="5103"/>
        </w:tabs>
        <w:spacing w:after="0" w:line="240" w:lineRule="auto"/>
        <w:jc w:val="center"/>
        <w:rPr>
          <w:rFonts w:ascii="Book Antiqua" w:eastAsia="Century Gothic" w:hAnsi="Book Antiqua" w:cs="Arial"/>
          <w:highlight w:val="white"/>
        </w:rPr>
      </w:pPr>
    </w:p>
    <w:p w:rsidR="00C7658D" w:rsidRPr="006A6080" w:rsidRDefault="00C7658D" w:rsidP="00C7658D">
      <w:pPr>
        <w:tabs>
          <w:tab w:val="left" w:pos="4820"/>
          <w:tab w:val="left" w:pos="5103"/>
        </w:tabs>
        <w:spacing w:after="0" w:line="240" w:lineRule="auto"/>
        <w:jc w:val="center"/>
        <w:rPr>
          <w:rFonts w:ascii="Book Antiqua" w:eastAsia="Century Gothic" w:hAnsi="Book Antiqua" w:cs="Arial"/>
          <w:highlight w:val="white"/>
        </w:rPr>
      </w:pPr>
    </w:p>
    <w:p w:rsidR="00C7658D" w:rsidRPr="006A6080" w:rsidRDefault="00C7658D" w:rsidP="00C7658D">
      <w:pPr>
        <w:tabs>
          <w:tab w:val="left" w:pos="4820"/>
          <w:tab w:val="left" w:pos="5103"/>
        </w:tabs>
        <w:spacing w:after="0" w:line="240" w:lineRule="auto"/>
        <w:jc w:val="center"/>
        <w:rPr>
          <w:rFonts w:ascii="Book Antiqua" w:eastAsia="Century Gothic" w:hAnsi="Book Antiqua" w:cs="Arial"/>
          <w:highlight w:val="white"/>
        </w:rPr>
      </w:pPr>
    </w:p>
    <w:p w:rsidR="00C7658D" w:rsidRPr="006A6080" w:rsidRDefault="00C7658D" w:rsidP="00C7658D">
      <w:pPr>
        <w:tabs>
          <w:tab w:val="left" w:pos="4820"/>
          <w:tab w:val="left" w:pos="5103"/>
        </w:tabs>
        <w:spacing w:after="0" w:line="240" w:lineRule="auto"/>
        <w:jc w:val="center"/>
        <w:rPr>
          <w:rFonts w:ascii="Book Antiqua" w:eastAsia="Century Gothic" w:hAnsi="Book Antiqua" w:cs="Arial"/>
          <w:highlight w:val="white"/>
        </w:rPr>
      </w:pPr>
    </w:p>
    <w:p w:rsidR="00C7658D" w:rsidRPr="006A6080" w:rsidRDefault="00C7658D" w:rsidP="00C7658D">
      <w:pPr>
        <w:tabs>
          <w:tab w:val="left" w:pos="4678"/>
          <w:tab w:val="left" w:pos="5103"/>
        </w:tabs>
        <w:spacing w:after="0" w:line="240" w:lineRule="auto"/>
        <w:ind w:left="426"/>
        <w:rPr>
          <w:rFonts w:ascii="Book Antiqua" w:eastAsia="Century Gothic" w:hAnsi="Book Antiqua" w:cs="Arial"/>
          <w:b/>
        </w:rPr>
      </w:pPr>
      <w:r w:rsidRPr="006A6080">
        <w:rPr>
          <w:rFonts w:ascii="Book Antiqua" w:eastAsia="Century Gothic" w:hAnsi="Book Antiqua" w:cs="Arial"/>
          <w:b/>
        </w:rPr>
        <w:t xml:space="preserve">                          AMPARO YANETH CALDERON PERDOMO</w:t>
      </w:r>
    </w:p>
    <w:p w:rsidR="00C7658D" w:rsidRPr="006A6080" w:rsidRDefault="00C7658D" w:rsidP="00C7658D">
      <w:pPr>
        <w:tabs>
          <w:tab w:val="left" w:pos="4678"/>
          <w:tab w:val="left" w:pos="5103"/>
        </w:tabs>
        <w:spacing w:after="0" w:line="240" w:lineRule="auto"/>
        <w:ind w:left="426"/>
        <w:rPr>
          <w:rFonts w:ascii="Book Antiqua" w:eastAsia="Century Gothic" w:hAnsi="Book Antiqua" w:cs="Arial"/>
          <w:highlight w:val="white"/>
        </w:rPr>
      </w:pPr>
      <w:r w:rsidRPr="006A6080">
        <w:rPr>
          <w:rFonts w:ascii="Book Antiqua" w:eastAsia="Century Gothic" w:hAnsi="Book Antiqua" w:cs="Arial"/>
          <w:highlight w:val="white"/>
        </w:rPr>
        <w:t xml:space="preserve">                                                    Secretaria</w:t>
      </w:r>
    </w:p>
    <w:p w:rsidR="008C485F" w:rsidRPr="006A6080" w:rsidRDefault="008C485F" w:rsidP="008C485F">
      <w:pPr>
        <w:pBdr>
          <w:top w:val="nil"/>
          <w:left w:val="nil"/>
          <w:bottom w:val="nil"/>
          <w:right w:val="nil"/>
          <w:between w:val="nil"/>
        </w:pBdr>
        <w:jc w:val="both"/>
        <w:rPr>
          <w:rFonts w:ascii="Book Antiqua" w:eastAsia="Arial Narrow" w:hAnsi="Book Antiqua" w:cs="Arial Narrow"/>
          <w:color w:val="000000"/>
        </w:rPr>
      </w:pPr>
    </w:p>
    <w:sectPr w:rsidR="008C485F" w:rsidRPr="006A6080"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3F7" w:rsidRDefault="007523F7" w:rsidP="002B77F9">
      <w:pPr>
        <w:spacing w:after="0" w:line="240" w:lineRule="auto"/>
      </w:pPr>
      <w:r>
        <w:separator/>
      </w:r>
    </w:p>
  </w:endnote>
  <w:endnote w:type="continuationSeparator" w:id="0">
    <w:p w:rsidR="007523F7" w:rsidRDefault="007523F7"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3F7" w:rsidRDefault="007523F7" w:rsidP="002B77F9">
      <w:pPr>
        <w:spacing w:after="0" w:line="240" w:lineRule="auto"/>
      </w:pPr>
      <w:r>
        <w:separator/>
      </w:r>
    </w:p>
  </w:footnote>
  <w:footnote w:type="continuationSeparator" w:id="0">
    <w:p w:rsidR="007523F7" w:rsidRDefault="007523F7"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7523F7"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2E25CA" w:rsidRPr="002E25CA">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2E25CA" w:rsidRPr="002E25CA">
                          <w:rPr>
                            <w:noProof/>
                            <w:lang w:val="es-ES"/>
                          </w:rPr>
                          <w:t>3</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0"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9"/>
  </w:num>
  <w:num w:numId="4">
    <w:abstractNumId w:val="1"/>
  </w:num>
  <w:num w:numId="5">
    <w:abstractNumId w:val="2"/>
  </w:num>
  <w:num w:numId="6">
    <w:abstractNumId w:val="6"/>
  </w:num>
  <w:num w:numId="7">
    <w:abstractNumId w:val="0"/>
  </w:num>
  <w:num w:numId="8">
    <w:abstractNumId w:val="14"/>
  </w:num>
  <w:num w:numId="9">
    <w:abstractNumId w:val="8"/>
  </w:num>
  <w:num w:numId="10">
    <w:abstractNumId w:val="10"/>
  </w:num>
  <w:num w:numId="11">
    <w:abstractNumId w:val="22"/>
  </w:num>
  <w:num w:numId="12">
    <w:abstractNumId w:val="17"/>
  </w:num>
  <w:num w:numId="13">
    <w:abstractNumId w:val="21"/>
  </w:num>
  <w:num w:numId="14">
    <w:abstractNumId w:val="15"/>
  </w:num>
  <w:num w:numId="15">
    <w:abstractNumId w:val="13"/>
  </w:num>
  <w:num w:numId="16">
    <w:abstractNumId w:val="19"/>
  </w:num>
  <w:num w:numId="17">
    <w:abstractNumId w:val="12"/>
  </w:num>
  <w:num w:numId="18">
    <w:abstractNumId w:val="3"/>
  </w:num>
  <w:num w:numId="19">
    <w:abstractNumId w:val="4"/>
  </w:num>
  <w:num w:numId="20">
    <w:abstractNumId w:val="20"/>
  </w:num>
  <w:num w:numId="21">
    <w:abstractNumId w:val="18"/>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19687F"/>
    <w:rsid w:val="001A730E"/>
    <w:rsid w:val="001B59F5"/>
    <w:rsid w:val="001C02DA"/>
    <w:rsid w:val="001D46E7"/>
    <w:rsid w:val="001F1108"/>
    <w:rsid w:val="001F4B8D"/>
    <w:rsid w:val="00205249"/>
    <w:rsid w:val="00234747"/>
    <w:rsid w:val="00234FE5"/>
    <w:rsid w:val="002502B4"/>
    <w:rsid w:val="00255D5C"/>
    <w:rsid w:val="00260D6F"/>
    <w:rsid w:val="002743DF"/>
    <w:rsid w:val="00286D4E"/>
    <w:rsid w:val="002A00E2"/>
    <w:rsid w:val="002A3EA0"/>
    <w:rsid w:val="002B541B"/>
    <w:rsid w:val="002B77F9"/>
    <w:rsid w:val="002D7DBF"/>
    <w:rsid w:val="002E25CA"/>
    <w:rsid w:val="002F02B3"/>
    <w:rsid w:val="002F539C"/>
    <w:rsid w:val="00321326"/>
    <w:rsid w:val="00335045"/>
    <w:rsid w:val="00342B29"/>
    <w:rsid w:val="00355892"/>
    <w:rsid w:val="003604D0"/>
    <w:rsid w:val="00376F05"/>
    <w:rsid w:val="003873C2"/>
    <w:rsid w:val="00393CA3"/>
    <w:rsid w:val="00394EAC"/>
    <w:rsid w:val="003C4239"/>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511ED4"/>
    <w:rsid w:val="00520C0E"/>
    <w:rsid w:val="00531BD8"/>
    <w:rsid w:val="0054460A"/>
    <w:rsid w:val="00546013"/>
    <w:rsid w:val="0054784F"/>
    <w:rsid w:val="00554A09"/>
    <w:rsid w:val="00566713"/>
    <w:rsid w:val="0057315F"/>
    <w:rsid w:val="00592B55"/>
    <w:rsid w:val="005A2CA1"/>
    <w:rsid w:val="005B4CE4"/>
    <w:rsid w:val="005C604F"/>
    <w:rsid w:val="005D4583"/>
    <w:rsid w:val="005D4CF6"/>
    <w:rsid w:val="005E17D9"/>
    <w:rsid w:val="00615662"/>
    <w:rsid w:val="006263B1"/>
    <w:rsid w:val="00651F09"/>
    <w:rsid w:val="00657E26"/>
    <w:rsid w:val="006842AA"/>
    <w:rsid w:val="006A6080"/>
    <w:rsid w:val="006C2025"/>
    <w:rsid w:val="006F5535"/>
    <w:rsid w:val="007118F9"/>
    <w:rsid w:val="00741F4B"/>
    <w:rsid w:val="007523F7"/>
    <w:rsid w:val="00767102"/>
    <w:rsid w:val="00770A1E"/>
    <w:rsid w:val="00784634"/>
    <w:rsid w:val="007A64EA"/>
    <w:rsid w:val="007C1176"/>
    <w:rsid w:val="007C791A"/>
    <w:rsid w:val="007F02A1"/>
    <w:rsid w:val="0081409F"/>
    <w:rsid w:val="008214EF"/>
    <w:rsid w:val="0083563E"/>
    <w:rsid w:val="008356FB"/>
    <w:rsid w:val="00836D1A"/>
    <w:rsid w:val="00864666"/>
    <w:rsid w:val="00864E81"/>
    <w:rsid w:val="008948A9"/>
    <w:rsid w:val="008C485F"/>
    <w:rsid w:val="008C4F3D"/>
    <w:rsid w:val="008C5C63"/>
    <w:rsid w:val="008D5251"/>
    <w:rsid w:val="008F3182"/>
    <w:rsid w:val="009230CE"/>
    <w:rsid w:val="00923E69"/>
    <w:rsid w:val="00930B4E"/>
    <w:rsid w:val="0093261F"/>
    <w:rsid w:val="009338BD"/>
    <w:rsid w:val="00971B33"/>
    <w:rsid w:val="00980BCD"/>
    <w:rsid w:val="00986396"/>
    <w:rsid w:val="00993253"/>
    <w:rsid w:val="0099350E"/>
    <w:rsid w:val="009A138B"/>
    <w:rsid w:val="009A58FC"/>
    <w:rsid w:val="009C12A5"/>
    <w:rsid w:val="009F5598"/>
    <w:rsid w:val="00A25E23"/>
    <w:rsid w:val="00A43CC7"/>
    <w:rsid w:val="00A46D79"/>
    <w:rsid w:val="00A75B7B"/>
    <w:rsid w:val="00A75CDA"/>
    <w:rsid w:val="00A872C8"/>
    <w:rsid w:val="00A952CD"/>
    <w:rsid w:val="00A95D13"/>
    <w:rsid w:val="00AB14CD"/>
    <w:rsid w:val="00AD3B2D"/>
    <w:rsid w:val="00AE692D"/>
    <w:rsid w:val="00AF36DE"/>
    <w:rsid w:val="00AF7024"/>
    <w:rsid w:val="00AF764F"/>
    <w:rsid w:val="00B01CAB"/>
    <w:rsid w:val="00B17EFD"/>
    <w:rsid w:val="00B445A7"/>
    <w:rsid w:val="00B45F28"/>
    <w:rsid w:val="00B60DFC"/>
    <w:rsid w:val="00BB52F2"/>
    <w:rsid w:val="00BC47DE"/>
    <w:rsid w:val="00BD4141"/>
    <w:rsid w:val="00C0765C"/>
    <w:rsid w:val="00C41881"/>
    <w:rsid w:val="00C421C4"/>
    <w:rsid w:val="00C5586A"/>
    <w:rsid w:val="00C72FDB"/>
    <w:rsid w:val="00C74091"/>
    <w:rsid w:val="00C7658D"/>
    <w:rsid w:val="00C81DC9"/>
    <w:rsid w:val="00C90D70"/>
    <w:rsid w:val="00C91D4B"/>
    <w:rsid w:val="00CA1400"/>
    <w:rsid w:val="00CF4523"/>
    <w:rsid w:val="00CF6F6C"/>
    <w:rsid w:val="00D06595"/>
    <w:rsid w:val="00D33DBE"/>
    <w:rsid w:val="00D365ED"/>
    <w:rsid w:val="00D42340"/>
    <w:rsid w:val="00D87E48"/>
    <w:rsid w:val="00D911EB"/>
    <w:rsid w:val="00DB30E5"/>
    <w:rsid w:val="00DC15B5"/>
    <w:rsid w:val="00DC757E"/>
    <w:rsid w:val="00DE5B04"/>
    <w:rsid w:val="00DF01CA"/>
    <w:rsid w:val="00DF1873"/>
    <w:rsid w:val="00DF48FD"/>
    <w:rsid w:val="00DF514E"/>
    <w:rsid w:val="00E0796D"/>
    <w:rsid w:val="00E20DB4"/>
    <w:rsid w:val="00E2117A"/>
    <w:rsid w:val="00E35FD6"/>
    <w:rsid w:val="00E50203"/>
    <w:rsid w:val="00E56423"/>
    <w:rsid w:val="00E61EC5"/>
    <w:rsid w:val="00E66A69"/>
    <w:rsid w:val="00E7734E"/>
    <w:rsid w:val="00E81991"/>
    <w:rsid w:val="00ED1DD7"/>
    <w:rsid w:val="00F076AA"/>
    <w:rsid w:val="00F1201D"/>
    <w:rsid w:val="00F20DA4"/>
    <w:rsid w:val="00F22E0C"/>
    <w:rsid w:val="00F27207"/>
    <w:rsid w:val="00F3400C"/>
    <w:rsid w:val="00F43BBF"/>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3512A"/>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718</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5</cp:revision>
  <cp:lastPrinted>2024-06-13T12:53:00Z</cp:lastPrinted>
  <dcterms:created xsi:type="dcterms:W3CDTF">2024-12-16T17:28:00Z</dcterms:created>
  <dcterms:modified xsi:type="dcterms:W3CDTF">2024-12-16T17:42:00Z</dcterms:modified>
</cp:coreProperties>
</file>