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A4A" w:rsidRDefault="00F724D2" w:rsidP="00D82A4A">
      <w:pPr>
        <w:pStyle w:val="Encabezado"/>
        <w:jc w:val="center"/>
        <w:rPr>
          <w:rFonts w:ascii="Bookman Old Style" w:hAnsi="Bookman Old Style" w:cs="Arial"/>
          <w:b/>
        </w:rPr>
      </w:pPr>
      <w:sdt>
        <w:sdtPr>
          <w:id w:val="-1452781959"/>
          <w:docPartObj>
            <w:docPartGallery w:val="Page Numbers (Margins)"/>
            <w:docPartUnique/>
          </w:docPartObj>
        </w:sdtPr>
        <w:sdtEndPr>
          <w:rPr>
            <w:rFonts w:ascii="Bookman Old Style" w:hAnsi="Bookman Old Style" w:cs="Arial"/>
            <w:b/>
          </w:rPr>
        </w:sdtEndPr>
        <w:sdtContent>
          <w:r w:rsidR="00413118" w:rsidRPr="00067922">
            <w:rPr>
              <w:rFonts w:ascii="Bookman Old Style" w:hAnsi="Bookman Old Style" w:cs="Arial"/>
              <w:b/>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4D2" w:rsidRDefault="00F724D2" w:rsidP="00413118">
                                <w:pPr>
                                  <w:pBdr>
                                    <w:bottom w:val="single" w:sz="4" w:space="1" w:color="auto"/>
                                  </w:pBdr>
                                </w:pPr>
                                <w:r>
                                  <w:fldChar w:fldCharType="begin"/>
                                </w:r>
                                <w:r>
                                  <w:instrText>PAGE   \* MERGEFORMAT</w:instrText>
                                </w:r>
                                <w:r>
                                  <w:fldChar w:fldCharType="separate"/>
                                </w:r>
                                <w:r w:rsidR="00D82A4A" w:rsidRPr="00D82A4A">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F724D2" w:rsidRDefault="00F724D2" w:rsidP="00413118">
                          <w:pPr>
                            <w:pBdr>
                              <w:bottom w:val="single" w:sz="4" w:space="1" w:color="auto"/>
                            </w:pBdr>
                          </w:pPr>
                          <w:r>
                            <w:fldChar w:fldCharType="begin"/>
                          </w:r>
                          <w:r>
                            <w:instrText>PAGE   \* MERGEFORMAT</w:instrText>
                          </w:r>
                          <w:r>
                            <w:fldChar w:fldCharType="separate"/>
                          </w:r>
                          <w:r w:rsidR="00D82A4A" w:rsidRPr="00D82A4A">
                            <w:rPr>
                              <w:noProof/>
                              <w:lang w:val="es-ES"/>
                            </w:rPr>
                            <w:t>1</w:t>
                          </w:r>
                          <w:r>
                            <w:fldChar w:fldCharType="end"/>
                          </w:r>
                        </w:p>
                      </w:txbxContent>
                    </v:textbox>
                    <w10:wrap anchorx="margin" anchory="margin"/>
                  </v:rect>
                </w:pict>
              </mc:Fallback>
            </mc:AlternateContent>
          </w:r>
        </w:sdtContent>
      </w:sdt>
    </w:p>
    <w:p w:rsidR="004457EB" w:rsidRPr="00427F8B" w:rsidRDefault="00187F26" w:rsidP="00D82A4A">
      <w:pPr>
        <w:pStyle w:val="Encabezado"/>
        <w:jc w:val="center"/>
        <w:rPr>
          <w:rFonts w:ascii="Bookman Old Style" w:hAnsi="Bookman Old Style" w:cs="Arial"/>
          <w:b/>
          <w:sz w:val="24"/>
          <w:szCs w:val="24"/>
        </w:rPr>
      </w:pPr>
      <w:r w:rsidRPr="00427F8B">
        <w:rPr>
          <w:rFonts w:ascii="Bookman Old Style" w:hAnsi="Bookman Old Style" w:cs="Arial"/>
          <w:b/>
          <w:sz w:val="24"/>
          <w:szCs w:val="24"/>
        </w:rPr>
        <w:t>T</w:t>
      </w:r>
      <w:r w:rsidR="00067922" w:rsidRPr="00427F8B">
        <w:rPr>
          <w:rFonts w:ascii="Bookman Old Style" w:hAnsi="Bookman Old Style" w:cs="Arial"/>
          <w:b/>
          <w:sz w:val="24"/>
          <w:szCs w:val="24"/>
        </w:rPr>
        <w:t xml:space="preserve">EXTO APROBADO EN LA COMISIÓN PRIMERA DE LA HONORABLE CÁMARA DE REPRESENTANTES EN PRIMER DEBATE </w:t>
      </w:r>
    </w:p>
    <w:p w:rsidR="00067922" w:rsidRPr="00427F8B" w:rsidRDefault="00067922" w:rsidP="00427F8B">
      <w:pPr>
        <w:spacing w:after="0" w:line="240" w:lineRule="auto"/>
        <w:jc w:val="center"/>
        <w:rPr>
          <w:rFonts w:ascii="Bookman Old Style" w:eastAsia="Arial" w:hAnsi="Bookman Old Style" w:cs="Arial"/>
          <w:b/>
          <w:sz w:val="24"/>
          <w:szCs w:val="24"/>
        </w:rPr>
      </w:pPr>
      <w:r w:rsidRPr="00427F8B">
        <w:rPr>
          <w:rFonts w:ascii="Bookman Old Style" w:hAnsi="Bookman Old Style" w:cs="Arial"/>
          <w:b/>
          <w:sz w:val="24"/>
          <w:szCs w:val="24"/>
        </w:rPr>
        <w:t xml:space="preserve">DEL </w:t>
      </w:r>
      <w:r w:rsidRPr="00427F8B">
        <w:rPr>
          <w:rFonts w:ascii="Bookman Old Style" w:hAnsi="Bookman Old Style" w:cs="Arial"/>
          <w:b/>
          <w:sz w:val="24"/>
          <w:szCs w:val="24"/>
          <w:lang w:bidi="es-CO"/>
        </w:rPr>
        <w:t xml:space="preserve">PROYECTO DE LEY </w:t>
      </w:r>
      <w:r w:rsidRPr="00427F8B">
        <w:rPr>
          <w:rFonts w:ascii="Bookman Old Style" w:eastAsia="Arial" w:hAnsi="Bookman Old Style" w:cs="Arial"/>
          <w:b/>
          <w:sz w:val="24"/>
          <w:szCs w:val="24"/>
        </w:rPr>
        <w:t xml:space="preserve">N° </w:t>
      </w:r>
      <w:r w:rsidRPr="00427F8B">
        <w:rPr>
          <w:rFonts w:ascii="Bookman Old Style" w:eastAsia="Bookman Old Style" w:hAnsi="Bookman Old Style" w:cs="Bookman Old Style"/>
          <w:b/>
          <w:sz w:val="24"/>
          <w:szCs w:val="24"/>
        </w:rPr>
        <w:t xml:space="preserve">122 DE 2024 </w:t>
      </w:r>
    </w:p>
    <w:p w:rsidR="00067922" w:rsidRPr="00427F8B" w:rsidRDefault="00067922" w:rsidP="00067922">
      <w:pPr>
        <w:spacing w:after="0" w:line="240" w:lineRule="auto"/>
        <w:jc w:val="center"/>
        <w:rPr>
          <w:rFonts w:ascii="Bookman Old Style" w:eastAsia="Bookman Old Style" w:hAnsi="Bookman Old Style" w:cs="Bookman Old Style"/>
          <w:b/>
          <w:sz w:val="24"/>
          <w:szCs w:val="24"/>
        </w:rPr>
      </w:pPr>
      <w:r w:rsidRPr="00427F8B">
        <w:rPr>
          <w:rFonts w:ascii="Bookman Old Style" w:eastAsia="Bookman Old Style" w:hAnsi="Bookman Old Style" w:cs="Bookman Old Style"/>
          <w:b/>
          <w:sz w:val="24"/>
          <w:szCs w:val="24"/>
        </w:rPr>
        <w:t>“</w:t>
      </w:r>
      <w:r w:rsidR="003457FD">
        <w:rPr>
          <w:rFonts w:ascii="Bookman Old Style" w:eastAsia="Bookman Old Style" w:hAnsi="Bookman Old Style" w:cs="Bookman Old Style"/>
          <w:b/>
          <w:sz w:val="24"/>
          <w:szCs w:val="24"/>
        </w:rPr>
        <w:t xml:space="preserve">LEY SARA MILLEREY: </w:t>
      </w:r>
      <w:r w:rsidRPr="00427F8B">
        <w:rPr>
          <w:rFonts w:ascii="Bookman Old Style" w:eastAsia="Bookman Old Style" w:hAnsi="Bookman Old Style" w:cs="Bookman Old Style"/>
          <w:b/>
          <w:sz w:val="24"/>
          <w:szCs w:val="24"/>
        </w:rPr>
        <w:t>POR MEDIO DE LA CUAL SE EXPIDE LA LEY INTEGRAL DE IDENTIDAD DE GÉNERO”</w:t>
      </w:r>
    </w:p>
    <w:p w:rsidR="00067922" w:rsidRPr="00427F8B" w:rsidRDefault="00067922" w:rsidP="00067922">
      <w:pPr>
        <w:spacing w:after="0" w:line="240" w:lineRule="auto"/>
        <w:jc w:val="center"/>
        <w:rPr>
          <w:rFonts w:ascii="Bookman Old Style" w:eastAsia="Bookman Old Style" w:hAnsi="Bookman Old Style" w:cs="Bookman Old Style"/>
          <w:b/>
          <w:sz w:val="24"/>
          <w:szCs w:val="24"/>
        </w:rPr>
      </w:pPr>
    </w:p>
    <w:p w:rsidR="00D82A4A" w:rsidRDefault="00D82A4A" w:rsidP="00067922">
      <w:pPr>
        <w:spacing w:after="0" w:line="240" w:lineRule="auto"/>
        <w:jc w:val="center"/>
        <w:rPr>
          <w:rFonts w:ascii="Bookman Old Style" w:eastAsia="Bookman Old Style" w:hAnsi="Bookman Old Style" w:cs="Bookman Old Style"/>
          <w:b/>
          <w:sz w:val="24"/>
          <w:szCs w:val="24"/>
        </w:rPr>
      </w:pPr>
    </w:p>
    <w:p w:rsidR="00067922" w:rsidRPr="00427F8B" w:rsidRDefault="00067922" w:rsidP="00067922">
      <w:pPr>
        <w:spacing w:after="0" w:line="240" w:lineRule="auto"/>
        <w:jc w:val="center"/>
        <w:rPr>
          <w:rFonts w:ascii="Bookman Old Style" w:eastAsia="Bookman Old Style" w:hAnsi="Bookman Old Style" w:cs="Bookman Old Style"/>
          <w:b/>
          <w:sz w:val="24"/>
          <w:szCs w:val="24"/>
        </w:rPr>
      </w:pPr>
      <w:r w:rsidRPr="00427F8B">
        <w:rPr>
          <w:rFonts w:ascii="Bookman Old Style" w:eastAsia="Bookman Old Style" w:hAnsi="Bookman Old Style" w:cs="Bookman Old Style"/>
          <w:b/>
          <w:sz w:val="24"/>
          <w:szCs w:val="24"/>
        </w:rPr>
        <w:t xml:space="preserve">EL CONGRESO DE COLOMBIA </w:t>
      </w:r>
    </w:p>
    <w:p w:rsidR="00067922" w:rsidRPr="00427F8B" w:rsidRDefault="00067922" w:rsidP="00067922">
      <w:pPr>
        <w:spacing w:after="0" w:line="240" w:lineRule="auto"/>
        <w:jc w:val="center"/>
        <w:rPr>
          <w:rFonts w:ascii="Bookman Old Style" w:eastAsia="Bookman Old Style" w:hAnsi="Bookman Old Style" w:cs="Bookman Old Style"/>
          <w:b/>
          <w:sz w:val="24"/>
          <w:szCs w:val="24"/>
        </w:rPr>
      </w:pPr>
    </w:p>
    <w:p w:rsidR="00067922" w:rsidRPr="00427F8B" w:rsidRDefault="00067922" w:rsidP="00067922">
      <w:pPr>
        <w:spacing w:after="0" w:line="240" w:lineRule="auto"/>
        <w:jc w:val="center"/>
        <w:rPr>
          <w:rFonts w:ascii="Bookman Old Style" w:eastAsia="Bookman Old Style" w:hAnsi="Bookman Old Style" w:cs="Bookman Old Style"/>
          <w:b/>
          <w:sz w:val="24"/>
          <w:szCs w:val="24"/>
        </w:rPr>
      </w:pPr>
      <w:r w:rsidRPr="00427F8B">
        <w:rPr>
          <w:rFonts w:ascii="Bookman Old Style" w:eastAsia="Bookman Old Style" w:hAnsi="Bookman Old Style" w:cs="Bookman Old Style"/>
          <w:b/>
          <w:sz w:val="24"/>
          <w:szCs w:val="24"/>
        </w:rPr>
        <w:t xml:space="preserve">DECRETA: </w:t>
      </w:r>
    </w:p>
    <w:p w:rsidR="00067922" w:rsidRPr="00427F8B" w:rsidRDefault="00067922" w:rsidP="00067922">
      <w:pPr>
        <w:spacing w:after="0" w:line="240" w:lineRule="auto"/>
        <w:jc w:val="center"/>
        <w:rPr>
          <w:rFonts w:ascii="Bookman Old Style" w:eastAsia="Bookman Old Style" w:hAnsi="Bookman Old Style" w:cs="Bookman Old Style"/>
          <w:b/>
          <w:sz w:val="24"/>
          <w:szCs w:val="24"/>
        </w:rPr>
      </w:pPr>
    </w:p>
    <w:p w:rsidR="00067922" w:rsidRPr="00427F8B" w:rsidRDefault="00067922" w:rsidP="00067922">
      <w:pPr>
        <w:spacing w:after="0" w:line="240" w:lineRule="auto"/>
        <w:jc w:val="both"/>
        <w:rPr>
          <w:rFonts w:ascii="Bookman Old Style" w:eastAsia="Cambria" w:hAnsi="Bookman Old Style" w:cs="Cambria"/>
          <w:b/>
          <w:sz w:val="24"/>
          <w:szCs w:val="24"/>
          <w:highlight w:val="white"/>
        </w:rPr>
      </w:pPr>
    </w:p>
    <w:p w:rsidR="00067922" w:rsidRPr="00427F8B" w:rsidRDefault="00067922" w:rsidP="00067922">
      <w:pPr>
        <w:spacing w:after="0" w:line="240" w:lineRule="auto"/>
        <w:jc w:val="center"/>
        <w:rPr>
          <w:rFonts w:ascii="Bookman Old Style" w:eastAsia="Cambria" w:hAnsi="Bookman Old Style" w:cs="Cambria"/>
          <w:b/>
          <w:sz w:val="24"/>
          <w:szCs w:val="24"/>
          <w:highlight w:val="white"/>
        </w:rPr>
      </w:pPr>
      <w:r w:rsidRPr="00427F8B">
        <w:rPr>
          <w:rFonts w:ascii="Bookman Old Style" w:hAnsi="Bookman Old Style" w:cs="Arial"/>
          <w:b/>
          <w:color w:val="000000" w:themeColor="text1"/>
          <w:sz w:val="24"/>
          <w:szCs w:val="24"/>
        </w:rPr>
        <w:t>TITULO I.  DISPOSICIONES GENERALES</w:t>
      </w:r>
    </w:p>
    <w:p w:rsidR="00067922" w:rsidRPr="00427F8B" w:rsidRDefault="00067922" w:rsidP="00067922">
      <w:pPr>
        <w:spacing w:after="0" w:line="240" w:lineRule="auto"/>
        <w:jc w:val="both"/>
        <w:rPr>
          <w:rFonts w:ascii="Bookman Old Style" w:eastAsia="Cambria" w:hAnsi="Bookman Old Style" w:cs="Cambria"/>
          <w:b/>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427F8B">
        <w:rPr>
          <w:rFonts w:ascii="Bookman Old Style" w:hAnsi="Bookman Old Style" w:cs="Arial"/>
          <w:b/>
          <w:color w:val="000000" w:themeColor="text1"/>
          <w:sz w:val="24"/>
          <w:szCs w:val="24"/>
        </w:rPr>
        <w:t xml:space="preserve">Artículo 1.  Objeto. </w:t>
      </w:r>
      <w:r w:rsidRPr="00427F8B">
        <w:rPr>
          <w:rFonts w:ascii="Bookman Old Style" w:hAnsi="Bookman Old Style" w:cs="Arial"/>
          <w:color w:val="000000" w:themeColor="text1"/>
          <w:sz w:val="24"/>
          <w:szCs w:val="24"/>
        </w:rPr>
        <w:t xml:space="preserve"> La presente Ley tiene por objeto establecer un marco integral para contribuir al ejercicio pleno de los derechos de las personas con identidades de género diversas, que implica adoptar todas aquellas acciones que deben implementarse desde diferentes ámbitos para eliminar toda forma de injusticia, exclusión, discriminación y violencia en el ámbito públic</w:t>
      </w:r>
      <w:r w:rsidRPr="00CC0EE5">
        <w:rPr>
          <w:rFonts w:ascii="Bookman Old Style" w:hAnsi="Bookman Old Style" w:cs="Arial"/>
          <w:color w:val="000000" w:themeColor="text1"/>
          <w:sz w:val="24"/>
          <w:szCs w:val="24"/>
        </w:rPr>
        <w:t>o y privado; así como la adopción y promoción de acciones afirmativas, políticas públicas, planes, programas, procedimientos y proyectos para garantizar su autonomía y el ejercicio pleno de sus derechos.</w:t>
      </w:r>
    </w:p>
    <w:p w:rsidR="00067922" w:rsidRPr="00CC0EE5" w:rsidRDefault="00067922" w:rsidP="00067922">
      <w:pPr>
        <w:spacing w:after="0" w:line="240" w:lineRule="auto"/>
        <w:jc w:val="both"/>
        <w:rPr>
          <w:rFonts w:ascii="Cambria" w:eastAsia="Cambria" w:hAnsi="Cambria" w:cs="Cambria"/>
          <w:b/>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2.  Interpretación e integración normativa. </w:t>
      </w:r>
      <w:r w:rsidRPr="00CC0EE5">
        <w:rPr>
          <w:rFonts w:ascii="Bookman Old Style" w:hAnsi="Bookman Old Style" w:cs="Arial"/>
          <w:color w:val="000000" w:themeColor="text1"/>
          <w:sz w:val="24"/>
          <w:szCs w:val="24"/>
        </w:rPr>
        <w:t xml:space="preserve"> La presente Ley debe interpretarse con base en los principios constitucionales y los establecidos en esta Ley, de conformidad con los Instrumentos Internacionales de Derechos Humanos ratificados por Colombia que integran el bloque de constitucionalidad.  Asimismo</w:t>
      </w:r>
      <w:r w:rsidR="00D7797C">
        <w:rPr>
          <w:rFonts w:ascii="Bookman Old Style" w:hAnsi="Bookman Old Style" w:cs="Arial"/>
          <w:color w:val="000000" w:themeColor="text1"/>
          <w:sz w:val="24"/>
          <w:szCs w:val="24"/>
        </w:rPr>
        <w:t>, su interpretación debe acoger l</w:t>
      </w:r>
      <w:r w:rsidRPr="00CC0EE5">
        <w:rPr>
          <w:rFonts w:ascii="Bookman Old Style" w:hAnsi="Bookman Old Style" w:cs="Arial"/>
          <w:color w:val="000000" w:themeColor="text1"/>
          <w:sz w:val="24"/>
          <w:szCs w:val="24"/>
        </w:rPr>
        <w:t xml:space="preserve">os criterios unificados establecidos en los precedentes jurisprudenciales de la Corte Constitucional Colombiana y la Corte Interamericana de Derechos Humanos, en concordancia con el principio de progresividad. En concordancia con lo anterior, se deberá aplicar siempre la norma o interpretación que ofrezca el estándar más alto de protección a esta población. </w:t>
      </w:r>
    </w:p>
    <w:p w:rsidR="00067922" w:rsidRPr="00CC0EE5" w:rsidRDefault="00067922" w:rsidP="00067922">
      <w:pPr>
        <w:spacing w:after="0" w:line="240" w:lineRule="auto"/>
        <w:jc w:val="both"/>
        <w:rPr>
          <w:rFonts w:ascii="Cambria" w:eastAsia="Cambria" w:hAnsi="Cambria" w:cs="Cambria"/>
          <w:b/>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3.  Definiciones. </w:t>
      </w:r>
      <w:r w:rsidRPr="00CC0EE5">
        <w:rPr>
          <w:rFonts w:ascii="Bookman Old Style" w:hAnsi="Bookman Old Style" w:cs="Arial"/>
          <w:color w:val="000000" w:themeColor="text1"/>
          <w:sz w:val="24"/>
          <w:szCs w:val="24"/>
        </w:rPr>
        <w:t xml:space="preserve"> Para efectos de la presente Ley se utilizarán las siguientes definiciones: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r w:rsidRPr="00CC0EE5">
        <w:rPr>
          <w:rFonts w:ascii="Bookman Old Style" w:hAnsi="Bookman Old Style" w:cs="Arial"/>
          <w:b/>
          <w:color w:val="000000" w:themeColor="text1"/>
          <w:sz w:val="24"/>
          <w:szCs w:val="24"/>
        </w:rPr>
        <w:t xml:space="preserve">Acción Afirmativa. </w:t>
      </w:r>
      <w:r w:rsidRPr="00CC0EE5">
        <w:rPr>
          <w:rFonts w:ascii="Bookman Old Style" w:hAnsi="Bookman Old Style" w:cs="Arial"/>
          <w:color w:val="000000" w:themeColor="text1"/>
          <w:sz w:val="24"/>
          <w:szCs w:val="24"/>
        </w:rPr>
        <w:t xml:space="preserve"> Son medidas dirigidas a alcanzar la igualdad real y efectiva de derechos de las personas o grupos de especial protección constitucional, vigentes hasta alcanzar este objetivo. </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lastRenderedPageBreak/>
        <w:t xml:space="preserve">Identidad de género. </w:t>
      </w:r>
      <w:r w:rsidRPr="00CC0EE5">
        <w:rPr>
          <w:rFonts w:ascii="Bookman Old Style" w:hAnsi="Bookman Old Style" w:cs="Arial"/>
          <w:color w:val="000000" w:themeColor="text1"/>
          <w:sz w:val="24"/>
          <w:szCs w:val="24"/>
        </w:rPr>
        <w:t xml:space="preserve"> Se refiere a la vivencia interna e individual del género, tal como cada persona se percibe a si misma, la cual podría corresponder o no con las expectativas sociales para el sexo que le fue asignado al nacer.  </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Identidad de género diversa. </w:t>
      </w:r>
      <w:r w:rsidRPr="00CC0EE5">
        <w:rPr>
          <w:rFonts w:ascii="Bookman Old Style" w:hAnsi="Bookman Old Style" w:cs="Arial"/>
          <w:color w:val="000000" w:themeColor="text1"/>
          <w:sz w:val="24"/>
          <w:szCs w:val="24"/>
        </w:rPr>
        <w:t xml:space="preserve"> Hace referencia a aquellas identidades que difieren de la identidad de género asociada tradicionalmente con el sexo asignado al nacer (o clasificación sexual de nacimiento).  Esto incluye las identidades de género de las personas trans, personas no binarias, de género fluido, entre otras.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Sexo asignado al nacer.  </w:t>
      </w:r>
      <w:r w:rsidRPr="00CC0EE5">
        <w:rPr>
          <w:rFonts w:ascii="Bookman Old Style" w:hAnsi="Bookman Old Style" w:cs="Arial"/>
          <w:color w:val="000000" w:themeColor="text1"/>
          <w:sz w:val="24"/>
          <w:szCs w:val="24"/>
        </w:rPr>
        <w:t xml:space="preserve"> Hace referencia a la asignación o clasificación </w:t>
      </w:r>
      <w:r w:rsidR="00D7797C">
        <w:rPr>
          <w:rFonts w:ascii="Bookman Old Style" w:hAnsi="Bookman Old Style" w:cs="Arial"/>
          <w:color w:val="000000" w:themeColor="text1"/>
          <w:sz w:val="24"/>
          <w:szCs w:val="24"/>
        </w:rPr>
        <w:t xml:space="preserve">realizada por el profesional competente al momento del parto </w:t>
      </w:r>
      <w:r w:rsidRPr="00CC0EE5">
        <w:rPr>
          <w:rFonts w:ascii="Bookman Old Style" w:hAnsi="Bookman Old Style" w:cs="Arial"/>
          <w:color w:val="000000" w:themeColor="text1"/>
          <w:sz w:val="24"/>
          <w:szCs w:val="24"/>
        </w:rPr>
        <w:t>con base en los genitales al momento del nacimiento y que se consigna en diversos documentos incluyendo certificado de nacido vivo, registro civil de nacimiento, entre otros. También llamada clasificación sexual de nacimiento.</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r w:rsidRPr="00CC0EE5">
        <w:rPr>
          <w:rFonts w:ascii="Bookman Old Style" w:hAnsi="Bookman Old Style" w:cs="Arial"/>
          <w:b/>
          <w:color w:val="000000" w:themeColor="text1"/>
          <w:sz w:val="24"/>
          <w:szCs w:val="24"/>
        </w:rPr>
        <w:t xml:space="preserve">Expresión de género.  </w:t>
      </w:r>
      <w:r w:rsidRPr="00CC0EE5">
        <w:rPr>
          <w:rFonts w:ascii="Bookman Old Style" w:hAnsi="Bookman Old Style" w:cs="Arial"/>
          <w:color w:val="000000" w:themeColor="text1"/>
          <w:sz w:val="24"/>
          <w:szCs w:val="24"/>
        </w:rPr>
        <w:t>Se entiende como la manifestación externa del género de una persona, a través de su aspecto físico, la cual puede incluir el modo de vestir, el corte de cabello, o la utilización de artículos cosméticos, la forma de hablar, patrones de comportamiento personal y de interacción social, el uso de nombres o pronombres personales (él, ella, elle), entre otros.  La expresión de género de una persona puede o no corresponder con las expectativas sociales para una identidad de género determinada.  Entre las clasificaciones utilizadas para la expresión de género, se entiende lo masculino, lo femenino, lo andrógino, lo no binario, entre otras; no obstante, debe entenderse como un espectro amplio que no tiene una sola forma de concebirse.</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r w:rsidRPr="00CC0EE5">
        <w:rPr>
          <w:rFonts w:ascii="Bookman Old Style" w:hAnsi="Bookman Old Style" w:cs="Arial"/>
          <w:b/>
          <w:color w:val="000000" w:themeColor="text1"/>
          <w:sz w:val="24"/>
          <w:szCs w:val="24"/>
        </w:rPr>
        <w:t>Nombre identitario:</w:t>
      </w:r>
      <w:r w:rsidRPr="00CC0EE5">
        <w:rPr>
          <w:rFonts w:ascii="Bookman Old Style" w:hAnsi="Bookman Old Style" w:cs="Arial"/>
          <w:color w:val="000000" w:themeColor="text1"/>
          <w:sz w:val="24"/>
          <w:szCs w:val="24"/>
        </w:rPr>
        <w:t xml:space="preserve"> se refiere al nombre que una persona adopta para reflejar y afirmar su identidad personal, especialmente en contextos donde su nombre legal o el registrado al nacer no le identifica.  Hace parte del proceso de autoidentificación.</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CC0EE5" w:rsidRDefault="00067922" w:rsidP="00067922">
      <w:pPr>
        <w:spacing w:after="0" w:line="240" w:lineRule="auto"/>
        <w:jc w:val="both"/>
        <w:rPr>
          <w:rFonts w:ascii="Cambria" w:eastAsia="Cambria" w:hAnsi="Cambria" w:cs="Cambria"/>
          <w:b/>
          <w:sz w:val="24"/>
          <w:szCs w:val="24"/>
          <w:highlight w:val="white"/>
        </w:rPr>
      </w:pPr>
      <w:r w:rsidRPr="00CC0EE5">
        <w:rPr>
          <w:rFonts w:ascii="Bookman Old Style" w:hAnsi="Bookman Old Style" w:cs="Arial"/>
          <w:b/>
          <w:color w:val="000000" w:themeColor="text1"/>
          <w:sz w:val="24"/>
          <w:szCs w:val="24"/>
        </w:rPr>
        <w:t xml:space="preserve">Nombre Jurídico: </w:t>
      </w:r>
      <w:r w:rsidRPr="00CC0EE5">
        <w:rPr>
          <w:rFonts w:ascii="Bookman Old Style" w:hAnsi="Bookman Old Style" w:cs="Arial"/>
          <w:color w:val="000000" w:themeColor="text1"/>
          <w:sz w:val="24"/>
          <w:szCs w:val="24"/>
        </w:rPr>
        <w:t>Este es el nombre legalmente registrado en los documentos de identidad y no necesariamente corresponde al nombre identitario de las personas con identidades de género diversas</w:t>
      </w:r>
    </w:p>
    <w:p w:rsidR="00067922" w:rsidRPr="00CC0EE5" w:rsidRDefault="00067922" w:rsidP="00067922">
      <w:pPr>
        <w:spacing w:after="0" w:line="240" w:lineRule="auto"/>
        <w:jc w:val="both"/>
        <w:rPr>
          <w:rFonts w:ascii="Cambria" w:eastAsia="Cambria" w:hAnsi="Cambria" w:cs="Cambria"/>
          <w:b/>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Persona Cisgénero. </w:t>
      </w:r>
      <w:r w:rsidRPr="00CC0EE5">
        <w:rPr>
          <w:rFonts w:ascii="Bookman Old Style" w:hAnsi="Bookman Old Style" w:cs="Arial"/>
          <w:color w:val="000000" w:themeColor="text1"/>
          <w:sz w:val="24"/>
          <w:szCs w:val="24"/>
        </w:rPr>
        <w:t xml:space="preserve"> Toda aquella persona cuya identidad de género corresponde con </w:t>
      </w:r>
      <w:r w:rsidRPr="00CC0EE5">
        <w:rPr>
          <w:rFonts w:ascii="Bookman Old Style" w:hAnsi="Bookman Old Style" w:cs="Arial"/>
          <w:b/>
          <w:bCs/>
          <w:color w:val="000000" w:themeColor="text1"/>
          <w:sz w:val="24"/>
          <w:szCs w:val="24"/>
        </w:rPr>
        <w:t>el</w:t>
      </w:r>
      <w:r w:rsidRPr="00CC0EE5">
        <w:rPr>
          <w:rFonts w:ascii="Bookman Old Style" w:hAnsi="Bookman Old Style" w:cs="Arial"/>
          <w:color w:val="000000" w:themeColor="text1"/>
          <w:sz w:val="24"/>
          <w:szCs w:val="24"/>
        </w:rPr>
        <w:t xml:space="preserve"> sexo que le fue asignado al nacer (o clasificación sexual de nacimiento).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Persona trans/transgénero. </w:t>
      </w:r>
      <w:r w:rsidRPr="00CC0EE5">
        <w:rPr>
          <w:rFonts w:ascii="Bookman Old Style" w:hAnsi="Bookman Old Style" w:cs="Arial"/>
          <w:color w:val="000000" w:themeColor="text1"/>
          <w:sz w:val="24"/>
          <w:szCs w:val="24"/>
        </w:rPr>
        <w:t xml:space="preserve"> Se refiere a una persona cuya identidad de género no corresponde con aquella que típicamente se encuentra asociada </w:t>
      </w:r>
      <w:r w:rsidRPr="00CC0EE5">
        <w:rPr>
          <w:rFonts w:ascii="Bookman Old Style" w:hAnsi="Bookman Old Style" w:cs="Arial"/>
          <w:color w:val="000000" w:themeColor="text1"/>
          <w:sz w:val="24"/>
          <w:szCs w:val="24"/>
        </w:rPr>
        <w:lastRenderedPageBreak/>
        <w:t xml:space="preserve">con el sexo asignado al nacer (o clasificación sexual de nacimiento).  Las personas trans construyen su identidad independientemente de tratamientos médicos o intervenciones quirúrgicas.  El término trans, es amplio y se utiliza para describir las diversas variantes de la identidad de género, todas caracterizadas por la discrepancia entre el sexo asignado al nacer y la identidad de género que ha sido tradicionalmente asignada a esta persona.  Una persona transgénero o trans puede identificarse con los conceptos de hombre, mujer, hombre trans, mujer trans, persona no binaria, o bien con otros, como hijra, tercer género, biespiritual, travesti, fa’afafine, queer, transpinoy, muxé, waria y meti, entre otros. </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Persona de género fluido. </w:t>
      </w:r>
      <w:r w:rsidRPr="00CC0EE5">
        <w:rPr>
          <w:rFonts w:ascii="Bookman Old Style" w:hAnsi="Bookman Old Style" w:cs="Arial"/>
          <w:color w:val="000000" w:themeColor="text1"/>
          <w:sz w:val="24"/>
          <w:szCs w:val="24"/>
        </w:rPr>
        <w:t xml:space="preserve"> Personas que tienen una vivencia fluctuante del género, sin un género fijo y/o permanente, que en ocasiones difiere del género entendido de forma binaria.</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Persona no binaria. </w:t>
      </w:r>
      <w:r w:rsidRPr="00CC0EE5">
        <w:rPr>
          <w:rFonts w:ascii="Bookman Old Style" w:hAnsi="Bookman Old Style" w:cs="Arial"/>
          <w:color w:val="000000" w:themeColor="text1"/>
          <w:sz w:val="24"/>
          <w:szCs w:val="24"/>
        </w:rPr>
        <w:t xml:space="preserve"> Comprendida como aquellas identidades que, al no concebirse en el marco de las categorías dicotómicas, masculino o femenino, se aleja del sistema mayoritario de sexo-género, binario por tradición cultural.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Intersexualidad.  </w:t>
      </w:r>
      <w:r w:rsidRPr="00CC0EE5">
        <w:rPr>
          <w:rFonts w:ascii="Bookman Old Style" w:hAnsi="Bookman Old Style" w:cs="Arial"/>
          <w:color w:val="000000" w:themeColor="text1"/>
          <w:sz w:val="24"/>
          <w:szCs w:val="24"/>
        </w:rPr>
        <w:t>La condición de aquellas personas nacidas con unas características biológicas, anatómicas o fisiológicas, endocrinológicas, una anatomía sexual, unos órganos reproductivos o un patrón cromosómico que no corresponden con las nociones socialmente establecidas de los cuerpos masculinos o femeninos.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Género racializado. </w:t>
      </w:r>
      <w:r w:rsidRPr="00CC0EE5">
        <w:rPr>
          <w:rFonts w:ascii="Bookman Old Style" w:hAnsi="Bookman Old Style" w:cs="Arial"/>
          <w:color w:val="000000" w:themeColor="text1"/>
          <w:sz w:val="24"/>
          <w:szCs w:val="24"/>
        </w:rPr>
        <w:t xml:space="preserve"> Se refiere al análisis crítico de los efectos simultáneos e interconectados de los procesos de raza y género en las personas, las familias y las comunidades.  Este concepto reconoce que las personas racializadas y con género diverso, no habitan la raza y el género de forma homogénea.</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Discriminación directa.  </w:t>
      </w:r>
      <w:r w:rsidRPr="00CC0EE5">
        <w:rPr>
          <w:rFonts w:ascii="Bookman Old Style" w:hAnsi="Bookman Old Style" w:cs="Arial"/>
          <w:color w:val="000000" w:themeColor="text1"/>
          <w:sz w:val="24"/>
          <w:szCs w:val="24"/>
        </w:rPr>
        <w:t>Conducta frente a una persona o grupo determinado, en el que se establece un tratamiento diferenciado, injustificado y desfavorable, basado en criterios como la raza, el sexo, la discapacidad, opiniones personales, la orientación sexual, la identidad de género, la expresión de género, entre otras.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Discriminación indirecta.  </w:t>
      </w:r>
      <w:r w:rsidRPr="00CC0EE5">
        <w:rPr>
          <w:rFonts w:ascii="Bookman Old Style" w:hAnsi="Bookman Old Style" w:cs="Arial"/>
          <w:color w:val="000000" w:themeColor="text1"/>
          <w:sz w:val="24"/>
          <w:szCs w:val="24"/>
        </w:rPr>
        <w:t>Cuando de tratamientos formalmente no discriminatorios se derivan consecuencias fácticas desiguales para algunas personas, lo que produce lesiones y vulneraciones de sus derechos o limitan el goce de los mismos.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lastRenderedPageBreak/>
        <w:t xml:space="preserve">Discriminación múltiple e interseccional. </w:t>
      </w:r>
      <w:r w:rsidRPr="00CC0EE5">
        <w:rPr>
          <w:rFonts w:ascii="Bookman Old Style" w:hAnsi="Bookman Old Style" w:cs="Arial"/>
          <w:color w:val="000000" w:themeColor="text1"/>
          <w:sz w:val="24"/>
          <w:szCs w:val="24"/>
        </w:rPr>
        <w:t xml:space="preserve"> Se refiere a la discriminación experimentada por personas o grupos de personas en razón a múltiples características de su identidad, dichas características se entrelazan o intersectan, generando situaciones complejas y particulares de desigualdad y violencia.  Se produce discriminación múltiple cuando una persona es discriminada, de manera simultánea o consecutiva, por dos o más características previstas en esta ley, y/o por otra causa o causas de discriminación previstas en las leyes 1482 de 2011 y 1752 de 2015, generando una forma específica de discriminación y/o categorías sospechosas de discriminación fijadas por la Corte Constitucional.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Violencia por prejuicio en razón de la identidad de género</w:t>
      </w:r>
      <w:r w:rsidRPr="00CC0EE5">
        <w:rPr>
          <w:rFonts w:ascii="Bookman Old Style" w:hAnsi="Bookman Old Style" w:cs="Arial"/>
          <w:color w:val="000000" w:themeColor="text1"/>
          <w:sz w:val="24"/>
          <w:szCs w:val="24"/>
        </w:rPr>
        <w:t>.  Violencia motivada en ideas discriminatorias sobre lo que una persona parece ser.  Es decir, cuando se escoge a la víctima porque tiene una orientación sexual, identidad de género o una expresión de género que transgrede lo socialmente aceptado, o cuando se ejerce una violencia adicional o distinta por esta misma discriminación contra su orientación sexual, por identidad o expresión de género.   La violencia por prejuicio tiene dos fines: simbólico e instrumental.  Simbólico en la medida que se ejerce violencia contra la víctima con el fin de enviar un mensaje a la sociedad sobre la prohibición de que otras personas “como ella” existan o con el fin de aleccionar a una persona o grupo de personas.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Violencias basadas en género.  </w:t>
      </w:r>
      <w:r w:rsidRPr="00CC0EE5">
        <w:rPr>
          <w:rFonts w:ascii="Bookman Old Style" w:hAnsi="Bookman Old Style" w:cs="Arial"/>
          <w:color w:val="000000" w:themeColor="text1"/>
          <w:sz w:val="24"/>
          <w:szCs w:val="24"/>
        </w:rPr>
        <w:t>Se entiende cualquier acción, omisión, conducta o amenaza de violencia que tenga o pueda tener como resultado la muerte, daño o sufrimiento físico, sexual, psicológico, económico y/o patrimonial tanto en el ámbito público, como en el privado, que se desarrolle a partir de las relaciones de poder, prejuicios o estereotipos de género o identidad de género.</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Transfobia y no binariofobia. </w:t>
      </w:r>
      <w:r w:rsidRPr="00CC0EE5">
        <w:rPr>
          <w:rFonts w:ascii="Bookman Old Style" w:hAnsi="Bookman Old Style" w:cs="Arial"/>
          <w:color w:val="000000" w:themeColor="text1"/>
          <w:sz w:val="24"/>
          <w:szCs w:val="24"/>
        </w:rPr>
        <w:t xml:space="preserve"> Toda actitud, conducta o discurso de odio, rechazo, repudio, prejuicio, discriminación, hostigamiento o intolerancia hacia las personas trans y/o no binarias por el hecho de serlo.  Se puede manifestar de diversas formas, como el uso persistente y deliberado de pronombres incorrectos, negación de la identidad de género, acoso verbal o físico, exclusión social y discriminación en entornos educativos, laborales, de atención médica y en la sociedad en general.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4.  Principios.  </w:t>
      </w:r>
      <w:r w:rsidRPr="00CC0EE5">
        <w:rPr>
          <w:rFonts w:ascii="Bookman Old Style" w:hAnsi="Bookman Old Style" w:cs="Arial"/>
          <w:color w:val="000000" w:themeColor="text1"/>
          <w:sz w:val="24"/>
          <w:szCs w:val="24"/>
        </w:rPr>
        <w:t>Los siguientes principios guiarán la aplicación y la interpretación de la presente Ley, en concordancia con los demás principios de orden constitucional, los establecidos en la jurisprudencia nacional y el derecho internacional, con el fin de garantizar la efectiva materialización de los derechos de las personas con identidades de género diversas: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lastRenderedPageBreak/>
        <w:t xml:space="preserve">Principio de Despatologización. </w:t>
      </w:r>
      <w:r w:rsidRPr="00CC0EE5">
        <w:rPr>
          <w:rFonts w:ascii="Bookman Old Style" w:hAnsi="Bookman Old Style" w:cs="Arial"/>
          <w:color w:val="000000" w:themeColor="text1"/>
          <w:sz w:val="24"/>
          <w:szCs w:val="24"/>
        </w:rPr>
        <w:t xml:space="preserve"> Se reconocerá plenamente por parte del Estado, la sociedad y todas las entidades públicas y privadas, que las identidades de género diversas no constituyen una patología. En consecuencia, ninguna persona natural o jurídica podrá exigir, solicitar, o condicionar el acceso a cualquier derecho, beneficio, o servicio público a evaluaciones, procedimientos o tratamientos médicos que tengan como intención o efecto la patologización de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Principio de Participación. </w:t>
      </w:r>
      <w:r w:rsidRPr="00CC0EE5">
        <w:rPr>
          <w:rFonts w:ascii="Bookman Old Style" w:hAnsi="Bookman Old Style" w:cs="Arial"/>
          <w:color w:val="000000" w:themeColor="text1"/>
          <w:sz w:val="24"/>
          <w:szCs w:val="24"/>
        </w:rPr>
        <w:t xml:space="preserve"> Es la intervención efectiva de las personas con identidades de género diversas y las comunidades en los espacios de toma de decisiones; en la gestión, vigilancia y control de medidas, programas, planes y políticas públicas relacionadas con los derechos de las personas con identidades de género diversas, ante las entidades e instancias encargadas de la formulación, implementación y evaluación de éstas.</w:t>
      </w:r>
    </w:p>
    <w:p w:rsidR="00AD5DB5" w:rsidRDefault="00AD5DB5" w:rsidP="00067922">
      <w:pPr>
        <w:spacing w:after="0" w:line="240" w:lineRule="auto"/>
        <w:jc w:val="both"/>
        <w:rPr>
          <w:rFonts w:ascii="Bookman Old Style" w:hAnsi="Bookman Old Style" w:cs="Arial"/>
          <w:b/>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Principio de Pro-Persona. </w:t>
      </w:r>
      <w:r w:rsidRPr="00CC0EE5">
        <w:rPr>
          <w:rFonts w:ascii="Bookman Old Style" w:hAnsi="Bookman Old Style" w:cs="Arial"/>
          <w:color w:val="000000" w:themeColor="text1"/>
          <w:sz w:val="24"/>
          <w:szCs w:val="24"/>
        </w:rPr>
        <w:t xml:space="preserve"> En cualquier interpretación normativa y actuación realizada por las autoridades públicas, entidades privadas y por las personas, se optará por aquella que sea más favorable a los derechos, vida y dignidad de las personas con identidad de género diversa.</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Principio de Progresividad y no Regresividad. </w:t>
      </w:r>
      <w:r w:rsidRPr="00CC0EE5">
        <w:rPr>
          <w:rFonts w:ascii="Bookman Old Style" w:hAnsi="Bookman Old Style" w:cs="Arial"/>
          <w:color w:val="000000" w:themeColor="text1"/>
          <w:sz w:val="24"/>
          <w:szCs w:val="24"/>
        </w:rPr>
        <w:t xml:space="preserve"> Las autoridades públicas adoptarán medidas tendientes a fortalecer y avanzar en el reconocimiento, protección y desarrollo material de los derechos de las personas con identidades de género diversas.  Ninguna autoridad establecerá medidas que contravengan o minen los avances fijados en las leyes, jurisprudencia y en los estándares fijados por los órganos autorizados en los sistemas internacionales de derechos humanos. La progresividad no implica el aplazamiento indefinido del cumplimiento de los derechos, sino que exige la adopción de medidas deliberadas, concretas y orientadas al logro efectivo de su garantía, algunas de carácter inmediato.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Principio de Transversalización y Territorialidad. </w:t>
      </w:r>
      <w:r w:rsidRPr="00CC0EE5">
        <w:rPr>
          <w:rFonts w:ascii="Bookman Old Style" w:hAnsi="Bookman Old Style" w:cs="Arial"/>
          <w:color w:val="000000" w:themeColor="text1"/>
          <w:sz w:val="24"/>
          <w:szCs w:val="24"/>
        </w:rPr>
        <w:t xml:space="preserve"> Las autoridades públicas del nivel nacional, departamental y municipal tendrán el deber de adoptar medidas para garantizar que lo establecido en la presente ley sea incluido y se aplique en el ejercicio de las funciones y actividades dentro del marco de sus competencias.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Principio de Igualdad de Oportunidades y Accesibilidad.  </w:t>
      </w:r>
      <w:r w:rsidRPr="00CC0EE5">
        <w:rPr>
          <w:rFonts w:ascii="Bookman Old Style" w:hAnsi="Bookman Old Style" w:cs="Arial"/>
          <w:color w:val="000000" w:themeColor="text1"/>
          <w:sz w:val="24"/>
          <w:szCs w:val="24"/>
        </w:rPr>
        <w:t xml:space="preserve">En todas sus actuaciones el Estado deberá buscar la eliminación de los obstáculos o las barreras que generan desigualdades materiales y formales al pleno disfrute de los derechos de las personas con identidades de género diversas.  Las entidades públicas y privadas deberán establecer mecanismos de accesibilidad, incluyendo ajustes razonables, y el diseño universal para </w:t>
      </w:r>
      <w:r w:rsidRPr="00CC0EE5">
        <w:rPr>
          <w:rFonts w:ascii="Bookman Old Style" w:hAnsi="Bookman Old Style" w:cs="Arial"/>
          <w:color w:val="000000" w:themeColor="text1"/>
          <w:sz w:val="24"/>
          <w:szCs w:val="24"/>
        </w:rPr>
        <w:lastRenderedPageBreak/>
        <w:t>eliminar los obstáculos impuestos a las personas con identidades de género diversas, en especial aquellas con discapacidad, neuro-divergentes, con pertenencia étnica y privadas de la libertad.</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bCs/>
          <w:sz w:val="24"/>
          <w:szCs w:val="24"/>
          <w:highlight w:val="white"/>
        </w:rPr>
      </w:pPr>
      <w:r w:rsidRPr="00CC0EE5">
        <w:rPr>
          <w:rFonts w:ascii="Bookman Old Style" w:hAnsi="Bookman Old Style" w:cs="Arial"/>
          <w:b/>
          <w:color w:val="000000" w:themeColor="text1"/>
          <w:sz w:val="24"/>
          <w:szCs w:val="24"/>
        </w:rPr>
        <w:t xml:space="preserve">Principio de autonomía progresiva o evolución progresiva de las facultades de niños, niñas y adolescentes.  </w:t>
      </w:r>
      <w:r w:rsidRPr="00CC0EE5">
        <w:rPr>
          <w:rFonts w:ascii="Bookman Old Style" w:hAnsi="Bookman Old Style" w:cs="Arial"/>
          <w:bCs/>
          <w:color w:val="000000" w:themeColor="text1"/>
          <w:sz w:val="24"/>
          <w:szCs w:val="24"/>
        </w:rPr>
        <w:t xml:space="preserve">Se respetará la autonomía progresiva o evolución progresiva de las facultades de niños, niñas y adolescentes en los términos en los que ha sido definido por la Convención de los Derechos del Niño y la jurisprudencia de la Corte Constitucional.  </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5.  Enfoques. </w:t>
      </w:r>
      <w:r w:rsidRPr="00CC0EE5">
        <w:rPr>
          <w:rFonts w:ascii="Bookman Old Style" w:hAnsi="Bookman Old Style" w:cs="Arial"/>
          <w:color w:val="000000" w:themeColor="text1"/>
          <w:sz w:val="24"/>
          <w:szCs w:val="24"/>
        </w:rPr>
        <w:t xml:space="preserve"> En la aplicación de la presente Ley se tendrán los siguientes enfoques.</w:t>
      </w:r>
    </w:p>
    <w:p w:rsidR="003457FD" w:rsidRDefault="003457FD" w:rsidP="00067922">
      <w:pPr>
        <w:spacing w:after="0" w:line="240" w:lineRule="auto"/>
        <w:jc w:val="both"/>
        <w:rPr>
          <w:rFonts w:ascii="Bookman Old Style" w:hAnsi="Bookman Old Style" w:cs="Arial"/>
          <w:b/>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Enfoque de Orientación Sexual, Identidad y Expresión de Género Diversa</w:t>
      </w:r>
      <w:r w:rsidRPr="00CC0EE5">
        <w:rPr>
          <w:rFonts w:ascii="Bookman Old Style" w:hAnsi="Bookman Old Style" w:cs="Arial"/>
          <w:color w:val="000000" w:themeColor="text1"/>
          <w:sz w:val="24"/>
          <w:szCs w:val="24"/>
        </w:rPr>
        <w:t>.  Las personas de Orientación Sexual, Identidad y Expresión de Género Diversa deben ser considerados de forma diferencial al momento de desarrollar cualquier acción, plan, programa o política que le afecte.</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r w:rsidRPr="00CC0EE5">
        <w:rPr>
          <w:rFonts w:ascii="Bookman Old Style" w:hAnsi="Bookman Old Style" w:cs="Arial"/>
          <w:b/>
          <w:color w:val="000000" w:themeColor="text1"/>
          <w:sz w:val="24"/>
          <w:szCs w:val="24"/>
        </w:rPr>
        <w:t xml:space="preserve">Enfoque de curso de vida. </w:t>
      </w:r>
      <w:r w:rsidRPr="00CC0EE5">
        <w:rPr>
          <w:rFonts w:ascii="Bookman Old Style" w:hAnsi="Bookman Old Style" w:cs="Arial"/>
          <w:color w:val="000000" w:themeColor="text1"/>
          <w:sz w:val="24"/>
          <w:szCs w:val="24"/>
        </w:rPr>
        <w:t xml:space="preserve">Se reconoce que según la edad las personas se exponen en mayor o menor medida a la discriminación en razón de sus identidades de género diversas por lo cual la acción, plan, programa o política estatal deberá ser diferenciada. </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Enfoque Interseccional. </w:t>
      </w:r>
      <w:r w:rsidRPr="00CC0EE5">
        <w:rPr>
          <w:rFonts w:ascii="Bookman Old Style" w:hAnsi="Bookman Old Style" w:cs="Arial"/>
          <w:color w:val="000000" w:themeColor="text1"/>
          <w:sz w:val="24"/>
          <w:szCs w:val="24"/>
        </w:rPr>
        <w:t>Se reconoce los distintos factores de discriminación u opresión que afectan a las personas con identidades de género diversas y la manera en que la confluencia de estos diferentes factores o características genera un impacto específico y diferenciado, por lo cual se adoptarán las medidas adecuadas y necesarias para hacer frente a ese impacto y lograr el respeto, protección y garantía de los derechos de las personas en toda su diversidad</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Enfoque anticapacitista: </w:t>
      </w:r>
      <w:r w:rsidRPr="00CC0EE5">
        <w:rPr>
          <w:rFonts w:ascii="Bookman Old Style" w:hAnsi="Bookman Old Style" w:cs="Arial"/>
          <w:color w:val="000000" w:themeColor="text1"/>
          <w:sz w:val="24"/>
          <w:szCs w:val="24"/>
        </w:rPr>
        <w:t>Este enfoque reconoce que las personas con identidades de genero diversas con discapacidad, enfrentan múltiples barreras de tipo físico, comunicacional, social, legal y actitudinal y que la discriminación por identidad de género tiene un impacto significativo en su bienestar.  Por lo tanto, todas las medidas que dispone esta Ley deberán formularse, implementarse y evaluarse con una perspectiva anticapacitista, garantizando la accesibilidad universal, la garantía de apoyos y ajustes razonables, la autonomía en la toma de decisiones y orientada a eliminar la exclusión y las barreras estructurales que impiden la participación activa y plena en todos los ámbitos de la vida política, económica, cultural y social.</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Enfoque antirracista:</w:t>
      </w:r>
      <w:r w:rsidRPr="00CC0EE5">
        <w:rPr>
          <w:rFonts w:ascii="Bookman Old Style" w:hAnsi="Bookman Old Style" w:cs="Arial"/>
          <w:color w:val="000000" w:themeColor="text1"/>
          <w:sz w:val="24"/>
          <w:szCs w:val="24"/>
        </w:rPr>
        <w:t xml:space="preserve"> Las identidades de genero diversas de las personas negras, afrodescendientes, raizales, palenqueras, Rrom o gitano y con </w:t>
      </w:r>
      <w:r w:rsidRPr="00CC0EE5">
        <w:rPr>
          <w:rFonts w:ascii="Bookman Old Style" w:hAnsi="Bookman Old Style" w:cs="Arial"/>
          <w:color w:val="000000" w:themeColor="text1"/>
          <w:sz w:val="24"/>
          <w:szCs w:val="24"/>
        </w:rPr>
        <w:lastRenderedPageBreak/>
        <w:t>pertenencia étnica enfrentan discriminación y exclusión estructural de la sociedad de manera diferenciada.  Este enfoque reconoce las profundas raíces históricas y sociales del racismo en el país y busca eliminar, reparar y prevenir las desigualdades sistémicas que afectan a las comunidades racializadas.  Por lo tanto, todas las medidas que dispone esta Ley deberán formularse, implementarse y evaluarse con una perspectiva antirracista que garantice la igualdad, la dignidad, los derechos culturales y territoriales; entre otros, orientada a eliminar la exclusión estructural y las barreras que impiden la participación activa y plena en todos los ámbitos de la vida política, económica, cultural y social en el país.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Parágrafo.  </w:t>
      </w:r>
      <w:r w:rsidRPr="00CC0EE5">
        <w:rPr>
          <w:rFonts w:ascii="Bookman Old Style" w:hAnsi="Bookman Old Style" w:cs="Arial"/>
          <w:color w:val="000000" w:themeColor="text1"/>
          <w:sz w:val="24"/>
          <w:szCs w:val="24"/>
        </w:rPr>
        <w:t>De igual forma, se incluirán en la interpretación y aplicación de la presente Ley, los enfoques diferenciales incluyendo también los enfoques de género, territorial; entre otros, tanto en sus regulaciones y definiciones nacionales, como también la contenida en los Instrumentos Internacionales de Derechos Humanos ratificados por Colombia.</w:t>
      </w:r>
    </w:p>
    <w:p w:rsidR="00067922" w:rsidRDefault="00067922" w:rsidP="00067922">
      <w:pPr>
        <w:spacing w:after="0" w:line="240" w:lineRule="auto"/>
        <w:jc w:val="center"/>
        <w:rPr>
          <w:rFonts w:ascii="Bookman Old Style" w:hAnsi="Bookman Old Style" w:cs="Arial"/>
          <w:color w:val="000000" w:themeColor="text1"/>
          <w:sz w:val="24"/>
          <w:szCs w:val="24"/>
        </w:rPr>
      </w:pPr>
    </w:p>
    <w:p w:rsidR="00D82A4A" w:rsidRPr="00CC0EE5" w:rsidRDefault="00D82A4A" w:rsidP="00067922">
      <w:pPr>
        <w:spacing w:after="0" w:line="240" w:lineRule="auto"/>
        <w:jc w:val="center"/>
        <w:rPr>
          <w:rFonts w:ascii="Bookman Old Style" w:hAnsi="Bookman Old Style" w:cs="Arial"/>
          <w:color w:val="000000" w:themeColor="text1"/>
          <w:sz w:val="24"/>
          <w:szCs w:val="24"/>
        </w:rPr>
      </w:pPr>
    </w:p>
    <w:p w:rsidR="00067922" w:rsidRPr="00CC0EE5" w:rsidRDefault="00067922" w:rsidP="00067922">
      <w:pPr>
        <w:spacing w:after="0" w:line="240" w:lineRule="auto"/>
        <w:jc w:val="center"/>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TÍTULO II: DE LA ACTUACIÓN DE LOS SERVIDORES PÚBLICOS Y LOS ÓRGANOS DEL ESTADO PARA LA GARANTÍA DE LOS DERECHOS DE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Artículo 6.  Prohibición de la discriminación. </w:t>
      </w:r>
      <w:r w:rsidRPr="00CC0EE5">
        <w:rPr>
          <w:rFonts w:ascii="Bookman Old Style" w:hAnsi="Bookman Old Style" w:cs="Arial"/>
          <w:color w:val="000000" w:themeColor="text1"/>
          <w:sz w:val="24"/>
          <w:szCs w:val="24"/>
        </w:rPr>
        <w:t xml:space="preserve"> Se prohíbe toda forma de discriminación por razón de identidad o expresión de género, incluyendo: Discriminación directa, indirecta, por asociación o estigmatización, discriminación interseccional, acoso, hostigamiento y violencia; inducción, orden o instrucción de discriminar</w:t>
      </w:r>
      <w:r w:rsidR="00C573E5">
        <w:rPr>
          <w:rFonts w:ascii="Bookman Old Style" w:hAnsi="Bookman Old Style" w:cs="Arial"/>
          <w:color w:val="000000" w:themeColor="text1"/>
          <w:sz w:val="24"/>
          <w:szCs w:val="24"/>
        </w:rPr>
        <w:t>.</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Artículo 7.  Ámbito de Protección.  </w:t>
      </w:r>
      <w:r w:rsidRPr="00CC0EE5">
        <w:rPr>
          <w:rFonts w:ascii="Bookman Old Style" w:hAnsi="Bookman Old Style" w:cs="Arial"/>
          <w:color w:val="000000" w:themeColor="text1"/>
          <w:sz w:val="24"/>
          <w:szCs w:val="24"/>
        </w:rPr>
        <w:t>El Estado colombiano, en todos sus niveles, propenderá por la implementación de medidas para reconocer, garantizar, proteger y promover la equidad y el respeto a las identidades de género diversas, asegurando el acceso a la justicia y la reparación en casos de discriminación y vulneración de derechos, para ello:</w:t>
      </w:r>
    </w:p>
    <w:p w:rsidR="00067922" w:rsidRPr="00CC0EE5" w:rsidRDefault="00067922" w:rsidP="00067922">
      <w:pPr>
        <w:spacing w:after="0" w:line="240" w:lineRule="auto"/>
        <w:jc w:val="both"/>
        <w:rPr>
          <w:rFonts w:ascii="Cambria" w:eastAsia="Cambria" w:hAnsi="Cambria" w:cs="Cambria"/>
          <w:sz w:val="24"/>
          <w:szCs w:val="24"/>
          <w:highlight w:val="white"/>
        </w:rPr>
      </w:pPr>
    </w:p>
    <w:p w:rsidR="00C573E5" w:rsidRDefault="00C573E5" w:rsidP="00C573E5">
      <w:pPr>
        <w:spacing w:after="0" w:line="240" w:lineRule="auto"/>
        <w:ind w:left="360" w:hanging="36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A.</w:t>
      </w:r>
      <w:r>
        <w:rPr>
          <w:rFonts w:ascii="Bookman Old Style" w:hAnsi="Bookman Old Style" w:cs="Arial"/>
          <w:color w:val="000000" w:themeColor="text1"/>
          <w:sz w:val="24"/>
          <w:szCs w:val="24"/>
        </w:rPr>
        <w:tab/>
      </w:r>
      <w:r w:rsidR="00067922" w:rsidRPr="00C573E5">
        <w:rPr>
          <w:rFonts w:ascii="Bookman Old Style" w:hAnsi="Bookman Old Style" w:cs="Arial"/>
          <w:color w:val="000000" w:themeColor="text1"/>
          <w:sz w:val="24"/>
          <w:szCs w:val="24"/>
        </w:rPr>
        <w:t xml:space="preserve">Las autoridades públicas promoverán en cada vigencia campañas y programas de sensibilización </w:t>
      </w:r>
      <w:r w:rsidR="00B50D3A">
        <w:rPr>
          <w:rFonts w:ascii="Bookman Old Style" w:hAnsi="Bookman Old Style" w:cs="Arial"/>
          <w:color w:val="000000" w:themeColor="text1"/>
          <w:sz w:val="24"/>
          <w:szCs w:val="24"/>
        </w:rPr>
        <w:t xml:space="preserve">sobre la no discriminación hacia las personas con </w:t>
      </w:r>
      <w:r w:rsidR="00067922" w:rsidRPr="00C573E5">
        <w:rPr>
          <w:rFonts w:ascii="Bookman Old Style" w:hAnsi="Bookman Old Style" w:cs="Arial"/>
          <w:color w:val="000000" w:themeColor="text1"/>
          <w:sz w:val="24"/>
          <w:szCs w:val="24"/>
        </w:rPr>
        <w:t xml:space="preserve">identidades de género diversas, con énfasis en poblaciones vulnerables. </w:t>
      </w:r>
    </w:p>
    <w:p w:rsidR="00C573E5" w:rsidRDefault="00C573E5" w:rsidP="00C573E5">
      <w:pPr>
        <w:spacing w:after="0" w:line="240" w:lineRule="auto"/>
        <w:ind w:left="360" w:hanging="36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B. </w:t>
      </w:r>
      <w:r w:rsidR="00067922" w:rsidRPr="00C573E5">
        <w:rPr>
          <w:rFonts w:ascii="Bookman Old Style" w:hAnsi="Bookman Old Style" w:cs="Arial"/>
          <w:color w:val="000000" w:themeColor="text1"/>
          <w:sz w:val="24"/>
          <w:szCs w:val="24"/>
        </w:rPr>
        <w:t xml:space="preserve">Las autoridades públicas y privadas que cumplan funciones públicas </w:t>
      </w:r>
      <w:r>
        <w:rPr>
          <w:rFonts w:ascii="Bookman Old Style" w:hAnsi="Bookman Old Style" w:cs="Arial"/>
          <w:color w:val="000000" w:themeColor="text1"/>
          <w:sz w:val="24"/>
          <w:szCs w:val="24"/>
        </w:rPr>
        <w:t xml:space="preserve">      </w:t>
      </w:r>
      <w:r w:rsidR="00067922" w:rsidRPr="00C573E5">
        <w:rPr>
          <w:rFonts w:ascii="Bookman Old Style" w:hAnsi="Bookman Old Style" w:cs="Arial"/>
          <w:color w:val="000000" w:themeColor="text1"/>
          <w:sz w:val="24"/>
          <w:szCs w:val="24"/>
        </w:rPr>
        <w:t>crearán lineamientos, que garanticen el trato digno y respetuoso de las personas con identidades de género diversas; así como de los respectivos protocolos de acción, sanción e investigación en caso de incurrir en discriminación.</w:t>
      </w:r>
    </w:p>
    <w:p w:rsidR="00C573E5" w:rsidRDefault="00C573E5" w:rsidP="00C573E5">
      <w:pPr>
        <w:spacing w:after="0" w:line="240" w:lineRule="auto"/>
        <w:ind w:left="360" w:hanging="36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lastRenderedPageBreak/>
        <w:t>C.</w:t>
      </w:r>
      <w:r>
        <w:rPr>
          <w:rFonts w:ascii="Bookman Old Style" w:hAnsi="Bookman Old Style" w:cs="Arial"/>
          <w:color w:val="000000" w:themeColor="text1"/>
          <w:sz w:val="24"/>
          <w:szCs w:val="24"/>
        </w:rPr>
        <w:tab/>
      </w:r>
      <w:r w:rsidR="00067922" w:rsidRPr="00C573E5">
        <w:rPr>
          <w:rFonts w:ascii="Bookman Old Style" w:hAnsi="Bookman Old Style" w:cs="Arial"/>
          <w:color w:val="000000" w:themeColor="text1"/>
          <w:sz w:val="24"/>
          <w:szCs w:val="24"/>
        </w:rPr>
        <w:t>El Ministerio de la Igualdad y Equidad o quien haga sus veces, en coordinación con el Departamento Administrativo de la Función Pública, implementará de manera permanente un programa pedagógico en las instituciones estatales sobre el alcance y pertinencia de esta ley.</w:t>
      </w:r>
    </w:p>
    <w:p w:rsidR="00C573E5" w:rsidRDefault="00C573E5" w:rsidP="00C573E5">
      <w:pPr>
        <w:spacing w:after="0" w:line="240" w:lineRule="auto"/>
        <w:ind w:left="360" w:hanging="36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D.</w:t>
      </w:r>
      <w:r>
        <w:rPr>
          <w:rFonts w:ascii="Bookman Old Style" w:hAnsi="Bookman Old Style" w:cs="Arial"/>
          <w:color w:val="000000" w:themeColor="text1"/>
          <w:sz w:val="24"/>
          <w:szCs w:val="24"/>
        </w:rPr>
        <w:tab/>
      </w:r>
      <w:r w:rsidR="00067922" w:rsidRPr="00C573E5">
        <w:rPr>
          <w:rFonts w:ascii="Bookman Old Style" w:hAnsi="Bookman Old Style" w:cs="Arial"/>
          <w:color w:val="000000" w:themeColor="text1"/>
          <w:sz w:val="24"/>
          <w:szCs w:val="24"/>
        </w:rPr>
        <w:t xml:space="preserve">El Ministerio de Justicia y del Derecho promoverá procesos de sensibilización </w:t>
      </w:r>
      <w:r w:rsidR="00E53217">
        <w:rPr>
          <w:rFonts w:ascii="Bookman Old Style" w:hAnsi="Bookman Old Style" w:cs="Arial"/>
          <w:color w:val="000000" w:themeColor="text1"/>
          <w:sz w:val="24"/>
          <w:szCs w:val="24"/>
        </w:rPr>
        <w:t xml:space="preserve">sobre la no discriminación hacia personas con </w:t>
      </w:r>
      <w:r w:rsidR="00067922" w:rsidRPr="00C573E5">
        <w:rPr>
          <w:rFonts w:ascii="Bookman Old Style" w:hAnsi="Bookman Old Style" w:cs="Arial"/>
          <w:color w:val="000000" w:themeColor="text1"/>
          <w:sz w:val="24"/>
          <w:szCs w:val="24"/>
        </w:rPr>
        <w:t>identidades de género diversas para autoridades administrativas y prestadores de servicios de justicia.</w:t>
      </w:r>
    </w:p>
    <w:p w:rsidR="00067922" w:rsidRPr="00C573E5" w:rsidRDefault="00C573E5" w:rsidP="00C573E5">
      <w:pPr>
        <w:spacing w:after="0" w:line="240" w:lineRule="auto"/>
        <w:ind w:left="360" w:hanging="36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w:t>
      </w:r>
      <w:r>
        <w:rPr>
          <w:rFonts w:ascii="Bookman Old Style" w:hAnsi="Bookman Old Style" w:cs="Arial"/>
          <w:color w:val="000000" w:themeColor="text1"/>
          <w:sz w:val="24"/>
          <w:szCs w:val="24"/>
        </w:rPr>
        <w:tab/>
      </w:r>
      <w:r w:rsidR="00067922" w:rsidRPr="00C573E5">
        <w:rPr>
          <w:rFonts w:ascii="Bookman Old Style" w:hAnsi="Bookman Old Style" w:cs="Arial"/>
          <w:color w:val="000000" w:themeColor="text1"/>
          <w:sz w:val="24"/>
          <w:szCs w:val="24"/>
        </w:rPr>
        <w:t>El Ministerio del Trabajo establecerá mecanismos para garantizar el derecho al trabajo de la población con identidad de género diversa y su permanencia en el mismo como un ambiente seguro y libre de discriminación.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Artículo 8.  Medidas para la visibilización estadística</w:t>
      </w:r>
      <w:r w:rsidRPr="00CC0EE5">
        <w:rPr>
          <w:rFonts w:ascii="Bookman Old Style" w:hAnsi="Bookman Old Style" w:cs="Arial"/>
          <w:color w:val="000000" w:themeColor="text1"/>
          <w:sz w:val="24"/>
          <w:szCs w:val="24"/>
        </w:rPr>
        <w:t>.  El Departamento Administrativo Nacional de Estadística - DANE y demás entidades que generan información estadística y demográfica incorporarán progresivamente la variable "identidad de género" en todos los sistemas oficiales de información y mediciones públicas.  En la recolección de datos en servicios estatales a nivel nacional, departamental y municipal, se estandarizarán las preguntas sobre el sexo asignado al nacer y la identidad de género.  Los sistemas de información del Estado integrarán de manera gradual datos del Sistema Estadístico Nacional (SEN) y otras autoridades relevantes sobre personas con identidades de género diversas.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Para su financiación el Gobierno Nacional deberá disponer de recursos del Presupuesto General de la Nación y en concordancia con el Marco Fiscal de Mediano Plazo.</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El Estado promoverá estudios demográficos y estadísticos sobre la situación de las personas con identidades de género diversas, para orientar políticas públicas que respondan a sus necesidades y aborden la discriminación, la violencia y la falta de acceso a servicios adecuados.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Artículo 9.  Acciones para erradicar la estigmatización social de las i</w:t>
      </w:r>
      <w:r w:rsidR="003457FD">
        <w:rPr>
          <w:rFonts w:ascii="Bookman Old Style" w:hAnsi="Bookman Old Style" w:cs="Arial"/>
          <w:b/>
          <w:color w:val="000000" w:themeColor="text1"/>
          <w:sz w:val="24"/>
          <w:szCs w:val="24"/>
        </w:rPr>
        <w:t xml:space="preserve">dentidades de género diversas. </w:t>
      </w:r>
      <w:r w:rsidRPr="00CC0EE5">
        <w:rPr>
          <w:rFonts w:ascii="Bookman Old Style" w:hAnsi="Bookman Old Style" w:cs="Arial"/>
          <w:color w:val="000000" w:themeColor="text1"/>
          <w:sz w:val="24"/>
          <w:szCs w:val="24"/>
        </w:rPr>
        <w:t>El Estado promoverá campañas y programas para el conocimiento y respeto de las identidades de género diversas, previniendo la discriminación en todas las esferas sociales.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 xml:space="preserve">El Gobierno Nacional, a través del Ministerio de la Igualdad y Equidad, el Ministerio del Interior o quien haga sus veces, las autoridades territoriales y demás entidades competentes, deberán diseñar políticas públicas, planes y proyectos dirigidos a eliminar la discriminación y los prejuicios sociales, y a educar a la sociedad civil sobre los derechos humanos con perspectiva de género y diversidad de género.  Este proceso se realizará de manera </w:t>
      </w:r>
      <w:r w:rsidRPr="00CC0EE5">
        <w:rPr>
          <w:rFonts w:ascii="Bookman Old Style" w:hAnsi="Bookman Old Style" w:cs="Arial"/>
          <w:color w:val="000000" w:themeColor="text1"/>
          <w:sz w:val="24"/>
          <w:szCs w:val="24"/>
        </w:rPr>
        <w:lastRenderedPageBreak/>
        <w:t>participativa, vinculando a organizaciones y personas con identidades de género diversas.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10.  Criterios de actuación de los servidores públicos. </w:t>
      </w:r>
      <w:r w:rsidRPr="00CC0EE5">
        <w:rPr>
          <w:rFonts w:ascii="Bookman Old Style" w:hAnsi="Bookman Old Style" w:cs="Arial"/>
          <w:color w:val="000000" w:themeColor="text1"/>
          <w:sz w:val="24"/>
          <w:szCs w:val="24"/>
        </w:rPr>
        <w:t xml:space="preserve"> Serán principios generales de todas las actuaciones de las entidades y autoridades públicas, así como de los servidores públicos y todas las instituciones que ejerzan función pública, de acuerdo con sus competencias: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pStyle w:val="Prrafodelista"/>
        <w:numPr>
          <w:ilvl w:val="2"/>
          <w:numId w:val="48"/>
        </w:num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Dar trato respetuoso, considerado y diligente a las personas con identidades de género diversas, modificando prácticas y estereotipos que discriminan a las personas con identidades de género diversas.</w:t>
      </w:r>
    </w:p>
    <w:p w:rsidR="00067922" w:rsidRPr="00CC0EE5" w:rsidRDefault="00067922" w:rsidP="00067922">
      <w:pPr>
        <w:pStyle w:val="Prrafodelista"/>
        <w:numPr>
          <w:ilvl w:val="2"/>
          <w:numId w:val="48"/>
        </w:num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 xml:space="preserve">Integrar </w:t>
      </w:r>
      <w:r w:rsidR="00E53217">
        <w:rPr>
          <w:rFonts w:ascii="Bookman Old Style" w:hAnsi="Bookman Old Style" w:cs="Arial"/>
          <w:color w:val="000000" w:themeColor="text1"/>
          <w:sz w:val="24"/>
          <w:szCs w:val="24"/>
        </w:rPr>
        <w:t>de manera transversal l</w:t>
      </w:r>
      <w:r w:rsidRPr="00CC0EE5">
        <w:rPr>
          <w:rFonts w:ascii="Bookman Old Style" w:hAnsi="Bookman Old Style" w:cs="Arial"/>
          <w:color w:val="000000" w:themeColor="text1"/>
          <w:sz w:val="24"/>
          <w:szCs w:val="24"/>
        </w:rPr>
        <w:t>os principios y enfoques relacionados con el ejercicio de derechos de las personas con identidades de género diversas, conforme lo establecido en la Constitución, la Ley y los reglamentos aplicables.</w:t>
      </w:r>
    </w:p>
    <w:p w:rsidR="00067922" w:rsidRPr="00CC0EE5" w:rsidRDefault="00067922" w:rsidP="00067922">
      <w:pPr>
        <w:pStyle w:val="Prrafodelista"/>
        <w:numPr>
          <w:ilvl w:val="2"/>
          <w:numId w:val="48"/>
        </w:num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La adopción de medidas para erradicar la violencia basada en género y la violencia por prejuicio, incluyendo la prevención, atención y sanción del acoso laboral, escolar y sexual.</w:t>
      </w:r>
    </w:p>
    <w:p w:rsidR="00E53217" w:rsidRPr="00E53217" w:rsidRDefault="00E53217" w:rsidP="00067922">
      <w:pPr>
        <w:pStyle w:val="Prrafodelista"/>
        <w:numPr>
          <w:ilvl w:val="2"/>
          <w:numId w:val="48"/>
        </w:numPr>
        <w:spacing w:after="0" w:line="240" w:lineRule="auto"/>
        <w:jc w:val="both"/>
        <w:rPr>
          <w:rFonts w:ascii="Cambria" w:eastAsia="Cambria" w:hAnsi="Cambria" w:cs="Cambria"/>
          <w:sz w:val="24"/>
          <w:szCs w:val="24"/>
          <w:highlight w:val="white"/>
        </w:rPr>
      </w:pPr>
      <w:r>
        <w:rPr>
          <w:rFonts w:ascii="Bookman Old Style" w:hAnsi="Bookman Old Style" w:cs="Arial"/>
          <w:color w:val="000000" w:themeColor="text1"/>
          <w:sz w:val="24"/>
          <w:szCs w:val="24"/>
        </w:rPr>
        <w:t>Promover la formación, sensibilización y divulgación sobre el respeto a la diversidad sexual y de género, con enfoque diferencial e interseccional, orientadas a transformar imaginarios sociales y prácticas institucionales discriminatorias.</w:t>
      </w:r>
    </w:p>
    <w:p w:rsidR="00E53217" w:rsidRDefault="00E53217" w:rsidP="00E53217">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Artículo 11.  Medidas contra la discriminación por parte de servidores públicos. </w:t>
      </w:r>
      <w:r w:rsidRPr="00CC0EE5">
        <w:rPr>
          <w:rFonts w:ascii="Bookman Old Style" w:hAnsi="Bookman Old Style" w:cs="Arial"/>
          <w:color w:val="000000" w:themeColor="text1"/>
          <w:sz w:val="24"/>
          <w:szCs w:val="24"/>
        </w:rPr>
        <w:t xml:space="preserve"> La Fuerza Pública, la Fiscalía General de la Nación, el Instituto Nacional de Medicina Legal y Ciencias Forenses, la Procuraduría General de la Nación, </w:t>
      </w:r>
      <w:r w:rsidR="005E3A2B">
        <w:rPr>
          <w:rFonts w:ascii="Bookman Old Style" w:hAnsi="Bookman Old Style" w:cs="Arial"/>
          <w:color w:val="000000" w:themeColor="text1"/>
          <w:sz w:val="24"/>
          <w:szCs w:val="24"/>
        </w:rPr>
        <w:t xml:space="preserve">la Defensoría del Pueblo </w:t>
      </w:r>
      <w:r w:rsidRPr="00CC0EE5">
        <w:rPr>
          <w:rFonts w:ascii="Bookman Old Style" w:hAnsi="Bookman Old Style" w:cs="Arial"/>
          <w:color w:val="000000" w:themeColor="text1"/>
          <w:sz w:val="24"/>
          <w:szCs w:val="24"/>
        </w:rPr>
        <w:t>y demás autoridades públicas, en el marco d</w:t>
      </w:r>
      <w:r w:rsidR="005E3A2B">
        <w:rPr>
          <w:rFonts w:ascii="Bookman Old Style" w:hAnsi="Bookman Old Style" w:cs="Arial"/>
          <w:color w:val="000000" w:themeColor="text1"/>
          <w:sz w:val="24"/>
          <w:szCs w:val="24"/>
        </w:rPr>
        <w:t>e sus competencias se articulará</w:t>
      </w:r>
      <w:r w:rsidRPr="00CC0EE5">
        <w:rPr>
          <w:rFonts w:ascii="Bookman Old Style" w:hAnsi="Bookman Old Style" w:cs="Arial"/>
          <w:color w:val="000000" w:themeColor="text1"/>
          <w:sz w:val="24"/>
          <w:szCs w:val="24"/>
        </w:rPr>
        <w:t>n y tomarán las medidas de carácter administrativo, disciplinario o penal pertinentes contra los servidores públicos que, por acción u omisión, incurran en actos de discriminación contra personas con identidades de género diversas.</w:t>
      </w:r>
    </w:p>
    <w:p w:rsidR="00067922" w:rsidRDefault="00067922" w:rsidP="00067922">
      <w:pPr>
        <w:spacing w:after="0" w:line="240" w:lineRule="auto"/>
        <w:jc w:val="both"/>
        <w:rPr>
          <w:rFonts w:ascii="Bookman Old Style" w:hAnsi="Bookman Old Style" w:cs="Arial"/>
          <w:color w:val="000000" w:themeColor="text1"/>
          <w:sz w:val="24"/>
          <w:szCs w:val="24"/>
        </w:rPr>
      </w:pPr>
    </w:p>
    <w:p w:rsidR="00D82A4A" w:rsidRPr="00CC0EE5" w:rsidRDefault="00D82A4A" w:rsidP="00067922">
      <w:pPr>
        <w:spacing w:after="0" w:line="240" w:lineRule="auto"/>
        <w:jc w:val="both"/>
        <w:rPr>
          <w:rFonts w:ascii="Bookman Old Style" w:hAnsi="Bookman Old Style" w:cs="Arial"/>
          <w:color w:val="000000" w:themeColor="text1"/>
          <w:sz w:val="24"/>
          <w:szCs w:val="24"/>
        </w:rPr>
      </w:pPr>
    </w:p>
    <w:p w:rsidR="00067922" w:rsidRPr="00CC0EE5" w:rsidRDefault="003457FD" w:rsidP="00067922">
      <w:pPr>
        <w:spacing w:after="0" w:line="240" w:lineRule="auto"/>
        <w:jc w:val="center"/>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 xml:space="preserve">TÍTULO III. </w:t>
      </w:r>
      <w:r w:rsidR="00067922" w:rsidRPr="00CC0EE5">
        <w:rPr>
          <w:rFonts w:ascii="Bookman Old Style" w:hAnsi="Bookman Old Style" w:cs="Arial"/>
          <w:b/>
          <w:color w:val="000000" w:themeColor="text1"/>
          <w:sz w:val="24"/>
          <w:szCs w:val="24"/>
        </w:rPr>
        <w:t>DE LA IGUALDAD DE DERECHOS EN LOS DIFERENTES ÁMBITOS DE LA VIDA DE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3457FD" w:rsidRDefault="00067922" w:rsidP="003457FD">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Capítulo I.</w:t>
      </w:r>
    </w:p>
    <w:p w:rsidR="00067922" w:rsidRPr="00CC0EE5" w:rsidRDefault="00067922" w:rsidP="003457FD">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Reconocimiento y protección de la identidad de género.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Artículo 12.  Derecho al registro e identificación acorde a la identidad de género.  </w:t>
      </w:r>
      <w:r w:rsidRPr="00CC0EE5">
        <w:rPr>
          <w:rFonts w:ascii="Bookman Old Style" w:hAnsi="Bookman Old Style" w:cs="Arial"/>
          <w:color w:val="000000" w:themeColor="text1"/>
          <w:sz w:val="24"/>
          <w:szCs w:val="24"/>
        </w:rPr>
        <w:t xml:space="preserve">La Registraduría Nacional del Estado Civil, desarrollará todas las medidas reglamentarias a que haya lugar para garantizar que las personas con identidades de género diversas accedan al registro e </w:t>
      </w:r>
      <w:r w:rsidRPr="00CC0EE5">
        <w:rPr>
          <w:rFonts w:ascii="Bookman Old Style" w:hAnsi="Bookman Old Style" w:cs="Arial"/>
          <w:color w:val="000000" w:themeColor="text1"/>
          <w:sz w:val="24"/>
          <w:szCs w:val="24"/>
        </w:rPr>
        <w:lastRenderedPageBreak/>
        <w:t>identificación acorde a su identidad de género, de manera digna, oportuna y gratuita.</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Style w:val="Ninguno"/>
          <w:rFonts w:ascii="Bookman Old Style" w:hAnsi="Bookman Old Style"/>
          <w:strike/>
          <w:sz w:val="24"/>
          <w:szCs w:val="24"/>
          <w:lang w:val="es-ES_tradnl"/>
        </w:rPr>
      </w:pPr>
      <w:r w:rsidRPr="00CC0EE5">
        <w:rPr>
          <w:rStyle w:val="Ninguno"/>
          <w:rFonts w:ascii="Bookman Old Style" w:hAnsi="Bookman Old Style"/>
          <w:sz w:val="24"/>
          <w:szCs w:val="24"/>
          <w:lang w:val="es-ES_tradnl"/>
        </w:rPr>
        <w:t>La Registraduría Nacional del Estado Civil entregará a solicitud de la persona con identidad de género diversa un certificado en el que coste la corrección de nombre, el componente de sexo y el Número Único de Identificación Personal en el momento en que realice el procedimiento. La Registraduría le proveerá orientación acerca del derecho que tiene la persona a solicitar que las entidades públicas y privadas actualicen sus datos de identificación.</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3457FD"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Parágrafo 1.  La Registradurí</w:t>
      </w:r>
      <w:r w:rsidR="00067922" w:rsidRPr="00CC0EE5">
        <w:rPr>
          <w:rFonts w:ascii="Bookman Old Style" w:hAnsi="Bookman Old Style" w:cs="Arial"/>
          <w:color w:val="000000" w:themeColor="text1"/>
          <w:sz w:val="24"/>
          <w:szCs w:val="24"/>
        </w:rPr>
        <w:t>a Nacional del Estado Civil, en el marco de sus funciones y competencias, tendrá seis (6) meses después de la promulgación de la presente ley para la adecuación institucional que le permita realizar el certificado.</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Parágrafo 2.  Las disposiciones de este capítulo se aplicarán a las personas que busquen corregir el componente sexo (asignado al nacer) o cambiar el nombre en su Registro Civil de Nacimiento y demás documentos de identidad.  Asimismo, abarcarán a las notarías y a la Registraduría Nacional del Estado Civil, así como a las entidades públicas que conforman el Sistema Estadístico Nacional en lo que concierne a la actualización de las variables sexo /género en sus registros administrativos y sistemas de información, lo anterior bajo la inspección, vigilancia y control de control corresponsables.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13.  Modificación del Registro Civil de Nacimiento </w:t>
      </w:r>
      <w:r w:rsidRPr="00CC0EE5">
        <w:rPr>
          <w:rStyle w:val="Ninguno"/>
          <w:rFonts w:ascii="Bookman Old Style" w:hAnsi="Bookman Old Style"/>
          <w:b/>
          <w:bCs/>
          <w:sz w:val="24"/>
          <w:szCs w:val="24"/>
          <w:lang w:val="es-ES_tradnl"/>
        </w:rPr>
        <w:t>y rectificación del documento de identidad</w:t>
      </w:r>
      <w:r w:rsidRPr="00CC0EE5">
        <w:rPr>
          <w:rFonts w:ascii="Bookman Old Style" w:hAnsi="Bookman Old Style" w:cs="Arial"/>
          <w:b/>
          <w:color w:val="000000" w:themeColor="text1"/>
          <w:sz w:val="24"/>
          <w:szCs w:val="24"/>
        </w:rPr>
        <w:t xml:space="preserve">.  </w:t>
      </w:r>
      <w:r w:rsidRPr="00CC0EE5">
        <w:rPr>
          <w:rFonts w:ascii="Bookman Old Style" w:hAnsi="Bookman Old Style" w:cs="Arial"/>
          <w:color w:val="000000" w:themeColor="text1"/>
          <w:sz w:val="24"/>
          <w:szCs w:val="24"/>
        </w:rPr>
        <w:t xml:space="preserve">Las personas que busquen corregir el componente sexo de su Registro Civil de Nacimiento, con el fin de que el mismo coincida con su identidad de género, deberán hacerlo mediante escritura pública ante una notaría, a través de la cual se protocolizará la solicitud de corrección.  Posteriormente, deberá allegar a la oficina registral la escritura pública en la que obre la corrección del componente sexo y/o nombre, con el fin de que la oficina registral realice los cambios pertinentes en el </w:t>
      </w:r>
      <w:r w:rsidRPr="00757B30">
        <w:rPr>
          <w:rFonts w:ascii="Bookman Old Style" w:hAnsi="Bookman Old Style" w:cs="Arial"/>
          <w:color w:val="000000" w:themeColor="text1"/>
          <w:sz w:val="24"/>
          <w:szCs w:val="24"/>
        </w:rPr>
        <w:t xml:space="preserve">registro civil de nacimiento, en un término no </w:t>
      </w:r>
      <w:r w:rsidR="005E3A2B">
        <w:rPr>
          <w:rFonts w:ascii="Bookman Old Style" w:hAnsi="Bookman Old Style" w:cs="Arial"/>
          <w:color w:val="000000" w:themeColor="text1"/>
          <w:sz w:val="24"/>
          <w:szCs w:val="24"/>
        </w:rPr>
        <w:t>superior a (1) un mes y rectique</w:t>
      </w:r>
      <w:r w:rsidRPr="00757B30">
        <w:rPr>
          <w:rFonts w:ascii="Bookman Old Style" w:hAnsi="Bookman Old Style" w:cs="Arial"/>
          <w:color w:val="000000" w:themeColor="text1"/>
          <w:sz w:val="24"/>
          <w:szCs w:val="24"/>
        </w:rPr>
        <w:t xml:space="preserve"> el documento de identidad correspondiente.  Para este procedimiento se estipulan las siguientes consideraciones:</w:t>
      </w:r>
    </w:p>
    <w:p w:rsidR="00067922" w:rsidRPr="00757B30" w:rsidRDefault="00067922" w:rsidP="00067922">
      <w:pPr>
        <w:spacing w:after="0" w:line="240" w:lineRule="auto"/>
        <w:jc w:val="both"/>
        <w:rPr>
          <w:rFonts w:ascii="Bookman Old Style" w:hAnsi="Bookman Old Style" w:cs="Arial"/>
          <w:color w:val="000000" w:themeColor="text1"/>
          <w:sz w:val="24"/>
          <w:szCs w:val="24"/>
        </w:rPr>
      </w:pPr>
    </w:p>
    <w:p w:rsidR="00067922" w:rsidRPr="00757B30" w:rsidRDefault="00067922" w:rsidP="00067922">
      <w:pPr>
        <w:pStyle w:val="Prrafodelista"/>
        <w:numPr>
          <w:ilvl w:val="3"/>
          <w:numId w:val="48"/>
        </w:numPr>
        <w:spacing w:after="0" w:line="240" w:lineRule="auto"/>
        <w:jc w:val="both"/>
        <w:rPr>
          <w:rFonts w:ascii="Cambria" w:eastAsia="Cambria" w:hAnsi="Cambria" w:cs="Cambria"/>
          <w:sz w:val="24"/>
          <w:szCs w:val="24"/>
          <w:highlight w:val="white"/>
        </w:rPr>
      </w:pPr>
      <w:r w:rsidRPr="00757B30">
        <w:rPr>
          <w:rFonts w:ascii="Bookman Old Style" w:hAnsi="Bookman Old Style" w:cs="Arial"/>
          <w:color w:val="000000" w:themeColor="text1"/>
          <w:sz w:val="24"/>
          <w:szCs w:val="24"/>
        </w:rPr>
        <w:t xml:space="preserve">La modificación del componente de sexo en el Registro Civil de Nacimiento y la rectificación del documento de identidad correspondiente pueden implicar la inclusión de las siguientes variables: Femenino (F), Masculino (M), No Binario (NB), Trans o travesti (T). </w:t>
      </w:r>
    </w:p>
    <w:p w:rsidR="00067922" w:rsidRPr="00757B30" w:rsidRDefault="00067922" w:rsidP="00067922">
      <w:pPr>
        <w:pStyle w:val="Prrafodelista"/>
        <w:numPr>
          <w:ilvl w:val="3"/>
          <w:numId w:val="48"/>
        </w:numPr>
        <w:spacing w:after="0" w:line="240" w:lineRule="auto"/>
        <w:jc w:val="both"/>
        <w:rPr>
          <w:rFonts w:ascii="Cambria" w:eastAsia="Cambria" w:hAnsi="Cambria" w:cs="Cambria"/>
          <w:sz w:val="24"/>
          <w:szCs w:val="24"/>
          <w:highlight w:val="white"/>
        </w:rPr>
      </w:pPr>
      <w:r w:rsidRPr="00757B30">
        <w:rPr>
          <w:rFonts w:ascii="Bookman Old Style" w:hAnsi="Bookman Old Style" w:cs="Arial"/>
          <w:color w:val="000000" w:themeColor="text1"/>
          <w:sz w:val="24"/>
          <w:szCs w:val="24"/>
        </w:rPr>
        <w:t>En la misma escritura pública podrá disponerse tanto la corrección del componente sexo como del componente nombre en el Registro Civil de Nacimiento.</w:t>
      </w:r>
    </w:p>
    <w:p w:rsidR="00067922" w:rsidRPr="00757B30" w:rsidRDefault="00067922" w:rsidP="00067922">
      <w:pPr>
        <w:pStyle w:val="Prrafodelista"/>
        <w:numPr>
          <w:ilvl w:val="3"/>
          <w:numId w:val="48"/>
        </w:numPr>
        <w:spacing w:after="0" w:line="240" w:lineRule="auto"/>
        <w:jc w:val="both"/>
        <w:rPr>
          <w:rStyle w:val="Ninguno"/>
          <w:rFonts w:ascii="Bookman Old Style" w:hAnsi="Bookman Old Style"/>
          <w:sz w:val="24"/>
          <w:szCs w:val="24"/>
          <w:lang w:val="es-ES_tradnl"/>
        </w:rPr>
      </w:pPr>
      <w:r w:rsidRPr="00757B30">
        <w:rPr>
          <w:rFonts w:ascii="Bookman Old Style" w:hAnsi="Bookman Old Style" w:cs="Arial"/>
          <w:color w:val="000000" w:themeColor="text1"/>
          <w:sz w:val="24"/>
          <w:szCs w:val="24"/>
        </w:rPr>
        <w:lastRenderedPageBreak/>
        <w:t xml:space="preserve">El otorgamiento de la escritura pública, la expedición de copias y demás trámites necesarios para el cambio de nombre y corrección del componente de sexo de personas con identidades de género diversas en situación de vulnerabilidad, incluyendo las personas privadas de la libertad, están exentos de pago de tarifas notariales </w:t>
      </w:r>
      <w:r w:rsidRPr="00757B30">
        <w:rPr>
          <w:rStyle w:val="Ninguno"/>
          <w:rFonts w:ascii="Bookman Old Style" w:hAnsi="Bookman Old Style"/>
          <w:sz w:val="24"/>
          <w:szCs w:val="24"/>
          <w:lang w:val="es-ES_tradnl"/>
        </w:rPr>
        <w:t xml:space="preserve">cuando este trámite se realice por primera vez. La gratuidad aplicará para expedición del nuevo documento de identidad. </w:t>
      </w:r>
    </w:p>
    <w:p w:rsidR="00067922" w:rsidRPr="00757B30" w:rsidRDefault="00067922" w:rsidP="00067922">
      <w:pPr>
        <w:pStyle w:val="Prrafodelista"/>
        <w:numPr>
          <w:ilvl w:val="3"/>
          <w:numId w:val="48"/>
        </w:numPr>
        <w:spacing w:after="0" w:line="240" w:lineRule="auto"/>
        <w:jc w:val="both"/>
        <w:rPr>
          <w:rFonts w:ascii="Cambria" w:eastAsia="Cambria" w:hAnsi="Cambria" w:cs="Cambria"/>
          <w:sz w:val="24"/>
          <w:szCs w:val="24"/>
          <w:highlight w:val="white"/>
        </w:rPr>
      </w:pPr>
      <w:r w:rsidRPr="00757B30">
        <w:rPr>
          <w:rFonts w:ascii="Bookman Old Style" w:hAnsi="Bookman Old Style" w:cs="Arial"/>
          <w:color w:val="000000" w:themeColor="text1"/>
          <w:sz w:val="24"/>
          <w:szCs w:val="24"/>
        </w:rPr>
        <w:t xml:space="preserve">El Número Único de Identificación Personal (NUIP) no se modificará con la corrección del componente sexo en el Registro Civil, salvo en los casos de las cédulas de menos de diez dígitos, caso en el cual se podrá asignar un nuevo Número Único de Identificación Personal (NUIP) de diez (10) dígitos, en virtud a que el cupo numérico de las cédulas expedidas con anterioridad al año 2000, se asignaban de acuerdo con el sexo.   </w:t>
      </w:r>
    </w:p>
    <w:p w:rsidR="00067922" w:rsidRPr="00757B30" w:rsidRDefault="00067922" w:rsidP="00067922">
      <w:pPr>
        <w:pStyle w:val="Prrafodelista"/>
        <w:numPr>
          <w:ilvl w:val="3"/>
          <w:numId w:val="48"/>
        </w:numPr>
        <w:spacing w:after="0" w:line="240" w:lineRule="auto"/>
        <w:jc w:val="both"/>
        <w:rPr>
          <w:rFonts w:ascii="Cambria" w:eastAsia="Cambria" w:hAnsi="Cambria" w:cs="Cambria"/>
          <w:sz w:val="24"/>
          <w:szCs w:val="24"/>
          <w:highlight w:val="white"/>
        </w:rPr>
      </w:pPr>
      <w:r w:rsidRPr="00757B30">
        <w:rPr>
          <w:rFonts w:ascii="Bookman Old Style" w:hAnsi="Bookman Old Style" w:cs="Arial"/>
          <w:color w:val="000000" w:themeColor="text1"/>
          <w:sz w:val="24"/>
          <w:szCs w:val="24"/>
        </w:rPr>
        <w:t xml:space="preserve">En caso de que una persona con identidad de género diversa requiera modificar el Registro Civil de Nacimiento o documento de identidad por más de una vez podrá hacerlo. </w:t>
      </w:r>
    </w:p>
    <w:p w:rsidR="00067922" w:rsidRPr="00757B30" w:rsidRDefault="00067922" w:rsidP="00067922">
      <w:pPr>
        <w:pStyle w:val="Prrafodelista"/>
        <w:numPr>
          <w:ilvl w:val="3"/>
          <w:numId w:val="48"/>
        </w:numPr>
        <w:spacing w:after="0" w:line="240" w:lineRule="auto"/>
        <w:jc w:val="both"/>
        <w:rPr>
          <w:rFonts w:ascii="Cambria" w:eastAsia="Cambria" w:hAnsi="Cambria" w:cs="Cambria"/>
          <w:color w:val="000000" w:themeColor="text1"/>
          <w:sz w:val="24"/>
          <w:szCs w:val="24"/>
          <w:highlight w:val="white"/>
        </w:rPr>
      </w:pPr>
      <w:r w:rsidRPr="00757B30">
        <w:rPr>
          <w:rFonts w:ascii="Bookman Old Style" w:hAnsi="Bookman Old Style" w:cs="Arial"/>
          <w:color w:val="000000" w:themeColor="text1"/>
          <w:sz w:val="24"/>
          <w:szCs w:val="24"/>
        </w:rPr>
        <w:t>En el caso de desplazamiento por violencia o discriminación, será la Notaría quien se encargue de solicitar a la oficina donde repose el registro civil de nacimiento la copia simple de este documento.</w:t>
      </w:r>
      <w:r w:rsidRPr="00757B30">
        <w:rPr>
          <w:rFonts w:ascii="Bookman Old Style" w:hAnsi="Bookman Old Style" w:cs="Arial"/>
          <w:strike/>
          <w:color w:val="000000" w:themeColor="text1"/>
          <w:sz w:val="24"/>
          <w:szCs w:val="24"/>
        </w:rPr>
        <w:t>,</w:t>
      </w:r>
      <w:r w:rsidRPr="00757B30">
        <w:rPr>
          <w:rFonts w:ascii="Bookman Old Style" w:hAnsi="Bookman Old Style" w:cs="Arial"/>
          <w:color w:val="000000" w:themeColor="text1"/>
          <w:sz w:val="24"/>
          <w:szCs w:val="24"/>
        </w:rPr>
        <w:t xml:space="preserve"> La calidad de desplazamiento por violencia o discriminación se indicará a través de una declaración juramentada </w:t>
      </w:r>
      <w:r w:rsidRPr="00757B30">
        <w:rPr>
          <w:rStyle w:val="Ninguno"/>
          <w:rFonts w:ascii="Bookman Old Style" w:hAnsi="Bookman Old Style"/>
          <w:sz w:val="24"/>
          <w:szCs w:val="24"/>
          <w:lang w:val="es-ES_tradnl"/>
        </w:rPr>
        <w:t>gratuita ante la notaría cuando este trámite se realice por primera vez</w:t>
      </w:r>
      <w:r w:rsidRPr="00757B30">
        <w:rPr>
          <w:rFonts w:cs="Arial"/>
        </w:rPr>
        <w:t xml:space="preserve"> </w:t>
      </w:r>
      <w:r w:rsidRPr="00757B30">
        <w:rPr>
          <w:rFonts w:ascii="Bookman Old Style" w:hAnsi="Bookman Old Style" w:cs="Arial"/>
          <w:color w:val="000000" w:themeColor="text1"/>
          <w:sz w:val="24"/>
          <w:szCs w:val="24"/>
        </w:rPr>
        <w:t xml:space="preserve">al momento de hacer la escritura pública.  El término para la respectiva solicitud será de cinco (5) días para presentar la solicitud de documentos, y la entidad encargada de dar respuesta, tendrá cinco (5) días desde el día del acuse de recibido para dar respuesta a la solicitud. Para el caso de personas que cumplen la mayoría de edad y pretenden obtener su cédula de ciudadanía por primera vez, se permitirá que inicien el trámite para la corrección de componente sexo y cambio de nombre con su tarjeta de identidad.   </w:t>
      </w:r>
    </w:p>
    <w:p w:rsidR="00067922" w:rsidRPr="00757B30" w:rsidRDefault="00067922" w:rsidP="00067922">
      <w:pPr>
        <w:spacing w:after="0" w:line="240" w:lineRule="auto"/>
        <w:jc w:val="both"/>
        <w:rPr>
          <w:rFonts w:ascii="Cambria" w:eastAsia="Cambria" w:hAnsi="Cambria" w:cs="Cambria"/>
          <w:color w:val="000000" w:themeColor="text1"/>
          <w:sz w:val="24"/>
          <w:szCs w:val="24"/>
          <w:highlight w:val="white"/>
        </w:rPr>
      </w:pPr>
    </w:p>
    <w:p w:rsidR="00067922" w:rsidRPr="00757B30" w:rsidRDefault="00067922" w:rsidP="00067922">
      <w:pPr>
        <w:spacing w:after="0" w:line="240" w:lineRule="auto"/>
        <w:jc w:val="both"/>
        <w:rPr>
          <w:rFonts w:ascii="Bookman Old Style" w:hAnsi="Bookman Old Style" w:cs="Arial"/>
          <w:sz w:val="24"/>
          <w:szCs w:val="24"/>
        </w:rPr>
      </w:pPr>
      <w:r w:rsidRPr="00CC0EE5">
        <w:rPr>
          <w:rFonts w:ascii="Bookman Old Style" w:hAnsi="Bookman Old Style" w:cs="Arial"/>
          <w:b/>
          <w:color w:val="000000" w:themeColor="text1"/>
          <w:sz w:val="24"/>
          <w:szCs w:val="24"/>
        </w:rPr>
        <w:t xml:space="preserve">Parágrafo 1. </w:t>
      </w:r>
      <w:r w:rsidRPr="00CC0EE5">
        <w:rPr>
          <w:rFonts w:ascii="Bookman Old Style" w:hAnsi="Bookman Old Style" w:cs="Arial"/>
          <w:color w:val="000000" w:themeColor="text1"/>
          <w:sz w:val="24"/>
          <w:szCs w:val="24"/>
        </w:rPr>
        <w:t xml:space="preserve"> </w:t>
      </w:r>
      <w:r w:rsidRPr="00757B30">
        <w:rPr>
          <w:rFonts w:ascii="Bookman Old Style" w:hAnsi="Bookman Old Style" w:cs="Arial"/>
          <w:color w:val="000000" w:themeColor="text1"/>
          <w:sz w:val="24"/>
          <w:szCs w:val="24"/>
        </w:rPr>
        <w:t xml:space="preserve">Con base en el principio de autodeterminación de la identidad de género queda prohibido solicitar cualquier documento, pruebas médicas o cualquier tipo de evidencia adicional a la determinada en el presente artículo para el procedimiento de corrección del componente sexo o componente nombre en el Registro Civil de nacimiento </w:t>
      </w:r>
      <w:r w:rsidRPr="00757B30">
        <w:rPr>
          <w:rStyle w:val="Ninguno"/>
          <w:rFonts w:ascii="Bookman Old Style" w:hAnsi="Bookman Old Style"/>
          <w:sz w:val="24"/>
          <w:szCs w:val="24"/>
          <w:lang w:val="es-ES_tradnl"/>
        </w:rPr>
        <w:t>y demás documentos de identificación</w:t>
      </w:r>
      <w:r w:rsidRPr="00757B30">
        <w:rPr>
          <w:rFonts w:ascii="Bookman Old Style" w:hAnsi="Bookman Old Style" w:cs="Arial"/>
          <w:sz w:val="24"/>
          <w:szCs w:val="24"/>
        </w:rPr>
        <w:t>.</w:t>
      </w:r>
    </w:p>
    <w:p w:rsidR="00067922" w:rsidRPr="00757B30"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Parágrafo 2</w:t>
      </w:r>
      <w:r w:rsidRPr="00CC0EE5">
        <w:rPr>
          <w:rFonts w:ascii="Bookman Old Style" w:hAnsi="Bookman Old Style" w:cs="Arial"/>
          <w:color w:val="000000" w:themeColor="text1"/>
          <w:sz w:val="24"/>
          <w:szCs w:val="24"/>
        </w:rPr>
        <w:t>.  Una vez radicada la solicitud de cambio de nombre y componente sexo, la notaría deberá expedir la Escritura Pública dentro un plazo razonable, con el fin de que la persona pueda realizar oportunamente el cambio del Registro Civil de Nacimiento y demás documentos de identificación.</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lastRenderedPageBreak/>
        <w:t xml:space="preserve">Parágrafo 3.  </w:t>
      </w:r>
      <w:r w:rsidRPr="00CC0EE5">
        <w:rPr>
          <w:rFonts w:ascii="Bookman Old Style" w:hAnsi="Bookman Old Style" w:cs="Arial"/>
          <w:color w:val="000000" w:themeColor="text1"/>
          <w:sz w:val="24"/>
          <w:szCs w:val="24"/>
        </w:rPr>
        <w:t xml:space="preserve">Realizada la corrección de componente sexo en el registro civil de nacimiento, la Registraduría Nacional del Estado Civil entregará, por una sola vez, una (1) copia gratuita del nuevo registro civil de nacimiento.  </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Parágrafo 4. </w:t>
      </w:r>
      <w:r w:rsidRPr="00CC0EE5">
        <w:rPr>
          <w:rFonts w:ascii="Bookman Old Style" w:hAnsi="Bookman Old Style" w:cs="Arial"/>
          <w:color w:val="000000" w:themeColor="text1"/>
          <w:sz w:val="24"/>
          <w:szCs w:val="24"/>
        </w:rPr>
        <w:t xml:space="preserve"> Para la validación de los documentos de identidad la Registraduría Nacional del Estado Civil, pondrá a disposición de las entidades públicas y privadas mecanismos para la interoperabilidad de las bases de datos.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color w:val="000000" w:themeColor="text1"/>
          <w:sz w:val="24"/>
          <w:szCs w:val="24"/>
          <w:highlight w:val="white"/>
        </w:rPr>
      </w:pPr>
      <w:r w:rsidRPr="00CC0EE5">
        <w:rPr>
          <w:rFonts w:ascii="Bookman Old Style" w:hAnsi="Bookman Old Style" w:cs="Arial"/>
          <w:b/>
          <w:color w:val="000000" w:themeColor="text1"/>
          <w:sz w:val="24"/>
          <w:szCs w:val="24"/>
        </w:rPr>
        <w:t>Artículo 14</w:t>
      </w:r>
      <w:r w:rsidRPr="00983495">
        <w:rPr>
          <w:rFonts w:ascii="Bookman Old Style" w:hAnsi="Bookman Old Style" w:cs="Arial"/>
          <w:b/>
          <w:color w:val="000000" w:themeColor="text1"/>
          <w:sz w:val="24"/>
          <w:szCs w:val="24"/>
        </w:rPr>
        <w:t>.  Reserva del registro civil de nacimiento corregido.</w:t>
      </w:r>
      <w:r w:rsidRPr="00757B30">
        <w:rPr>
          <w:rFonts w:ascii="Bookman Old Style" w:hAnsi="Bookman Old Style" w:cs="Arial"/>
          <w:bCs/>
          <w:color w:val="000000" w:themeColor="text1"/>
          <w:sz w:val="24"/>
          <w:szCs w:val="24"/>
        </w:rPr>
        <w:t xml:space="preserve">  La información de la actuación está sujeta a reserva, de tal forma que el primer registro sólo podrá ser consultado por la persona titular, por orden judicial, o por parte de las autoridades públicas que lo requieran para el ejercicio de sus funciones.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757B30"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Artículo 15.  Enlaces de Identidad. </w:t>
      </w:r>
      <w:r w:rsidRPr="00CC0EE5">
        <w:rPr>
          <w:rFonts w:ascii="Bookman Old Style" w:hAnsi="Bookman Old Style" w:cs="Arial"/>
          <w:color w:val="000000" w:themeColor="text1"/>
          <w:sz w:val="24"/>
          <w:szCs w:val="24"/>
        </w:rPr>
        <w:t xml:space="preserve"> </w:t>
      </w:r>
      <w:r w:rsidRPr="00757B30">
        <w:rPr>
          <w:rFonts w:ascii="Bookman Old Style" w:hAnsi="Bookman Old Style" w:cs="Arial"/>
          <w:color w:val="000000" w:themeColor="text1"/>
          <w:sz w:val="24"/>
          <w:szCs w:val="24"/>
        </w:rPr>
        <w:t xml:space="preserve">La Registraduría Nacional del Estado Civil, en sus delegaciones departamentales y registradurías especiales, contará con una persona con conocimientos en enfoque diferencial y de género para que entre sus funciones pueda desempeñarse como enlace de identidad, para acompañar el proceso de corrección del Registro Civil y del proceso de notificación a las demás autoridades públicas para la rectificación de los demás documentos de identidad de la persona que solicita la corrección.  </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757B30"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Parágrafo 1. </w:t>
      </w:r>
      <w:r w:rsidRPr="00CC0EE5">
        <w:rPr>
          <w:rFonts w:ascii="Bookman Old Style" w:hAnsi="Bookman Old Style" w:cs="Arial"/>
          <w:color w:val="000000" w:themeColor="text1"/>
          <w:sz w:val="24"/>
          <w:szCs w:val="24"/>
        </w:rPr>
        <w:t xml:space="preserve"> </w:t>
      </w:r>
      <w:r w:rsidRPr="00757B30">
        <w:rPr>
          <w:rFonts w:ascii="Bookman Old Style" w:hAnsi="Bookman Old Style" w:cs="Arial"/>
          <w:color w:val="000000" w:themeColor="text1"/>
          <w:sz w:val="24"/>
          <w:szCs w:val="24"/>
        </w:rPr>
        <w:t>La Registraduría Nacional del Estado Civil a través de los enlaces de identidad de género, hará capacitaciones permanentes en lo concerniente a esta ley a registradurías especiales, auxiliares y municipales, notarias y entidades que lo requieran.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Parágrafo 2. </w:t>
      </w:r>
      <w:r w:rsidRPr="00CC0EE5">
        <w:rPr>
          <w:rFonts w:ascii="Bookman Old Style" w:hAnsi="Bookman Old Style" w:cs="Arial"/>
          <w:color w:val="000000" w:themeColor="text1"/>
          <w:sz w:val="24"/>
          <w:szCs w:val="24"/>
        </w:rPr>
        <w:t xml:space="preserve"> Las autoridades de los diferentes sectores, elaborarán planes, lineamientos y políticas públicas con el fin de facilitar y hacer más eficiente el proceso de cambio del nombre y corrección de componente sexo en los demás documentos relevantes que incorporan datos de identificación, lo cual incluye, pero no se limita, diplomas, actas, certificados, licencias, tarjetas profesionales, entre otros.  Para lo cual se crearán e implementarán mecanismos para la articulación entre el sector público y privado.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 xml:space="preserve">Artículo 16.  Difusión y divulgación.  </w:t>
      </w:r>
      <w:r w:rsidRPr="00CC0EE5">
        <w:rPr>
          <w:rFonts w:ascii="Bookman Old Style" w:hAnsi="Bookman Old Style" w:cs="Arial"/>
          <w:color w:val="000000" w:themeColor="text1"/>
          <w:sz w:val="24"/>
          <w:szCs w:val="24"/>
        </w:rPr>
        <w:t>La Registraduría Nacional de Estado Civil, deberá realizar la difusión necesaria de las rutas para la corrección de sexo y/o nombre, dirigida a las personas que así lo requieran en todo el territorio nacional.</w:t>
      </w:r>
    </w:p>
    <w:p w:rsidR="00067922" w:rsidRDefault="00067922" w:rsidP="00067922">
      <w:pPr>
        <w:spacing w:after="0" w:line="240" w:lineRule="auto"/>
        <w:jc w:val="both"/>
        <w:rPr>
          <w:rFonts w:ascii="Bookman Old Style" w:eastAsia="Bookman Old Style" w:hAnsi="Bookman Old Style" w:cs="Bookman Old Style"/>
          <w:sz w:val="26"/>
          <w:szCs w:val="26"/>
        </w:rPr>
      </w:pPr>
    </w:p>
    <w:p w:rsidR="003457FD" w:rsidRDefault="00067922" w:rsidP="003457FD">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Capítulo II.</w:t>
      </w:r>
    </w:p>
    <w:p w:rsidR="00067922" w:rsidRPr="00CC0EE5" w:rsidRDefault="00067922" w:rsidP="003457FD">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lastRenderedPageBreak/>
        <w:t>Mecanismos para la protección efectiva y la reparación frente a la discriminación y la violencia.</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Artículo 17.  Protección de la vida e integridad para la garantía de las personas con identidades de género diversas</w:t>
      </w:r>
      <w:r w:rsidRPr="00CC0EE5">
        <w:rPr>
          <w:rFonts w:ascii="Bookman Old Style" w:hAnsi="Bookman Old Style" w:cs="Arial"/>
          <w:color w:val="000000" w:themeColor="text1"/>
          <w:sz w:val="24"/>
          <w:szCs w:val="24"/>
        </w:rPr>
        <w:t xml:space="preserve">.  </w:t>
      </w:r>
      <w:r w:rsidRPr="00757B30">
        <w:rPr>
          <w:rFonts w:ascii="Bookman Old Style" w:hAnsi="Bookman Old Style" w:cs="Arial"/>
          <w:color w:val="000000" w:themeColor="text1"/>
          <w:sz w:val="24"/>
          <w:szCs w:val="24"/>
        </w:rPr>
        <w:t>La Fuerza pública, la Fiscalía</w:t>
      </w:r>
      <w:r w:rsidR="004F722A">
        <w:rPr>
          <w:rFonts w:ascii="Bookman Old Style" w:hAnsi="Bookman Old Style" w:cs="Arial"/>
          <w:color w:val="000000" w:themeColor="text1"/>
          <w:sz w:val="24"/>
          <w:szCs w:val="24"/>
        </w:rPr>
        <w:t>, la Defensoría del Pueblo</w:t>
      </w:r>
      <w:r w:rsidRPr="00757B30">
        <w:rPr>
          <w:rFonts w:ascii="Bookman Old Style" w:hAnsi="Bookman Old Style" w:cs="Arial"/>
          <w:color w:val="000000" w:themeColor="text1"/>
          <w:sz w:val="24"/>
          <w:szCs w:val="24"/>
        </w:rPr>
        <w:t xml:space="preserve"> y el Instituto Naciona</w:t>
      </w:r>
      <w:r w:rsidR="004F722A">
        <w:rPr>
          <w:rFonts w:ascii="Bookman Old Style" w:hAnsi="Bookman Old Style" w:cs="Arial"/>
          <w:color w:val="000000" w:themeColor="text1"/>
          <w:sz w:val="24"/>
          <w:szCs w:val="24"/>
        </w:rPr>
        <w:t>l de Medicina Legal y Ciencias F</w:t>
      </w:r>
      <w:r w:rsidRPr="00757B30">
        <w:rPr>
          <w:rFonts w:ascii="Bookman Old Style" w:hAnsi="Bookman Old Style" w:cs="Arial"/>
          <w:color w:val="000000" w:themeColor="text1"/>
          <w:sz w:val="24"/>
          <w:szCs w:val="24"/>
        </w:rPr>
        <w:t>orenses adoptarán medidas para prevenir, registrar, investigar y sancionar las violencias por prejuicio y en razón a la discriminación a personas con identidades de género diversas.</w:t>
      </w:r>
    </w:p>
    <w:p w:rsidR="005E3A2B" w:rsidRDefault="005E3A2B" w:rsidP="00067922">
      <w:pPr>
        <w:spacing w:after="0" w:line="240" w:lineRule="auto"/>
        <w:jc w:val="both"/>
        <w:rPr>
          <w:rFonts w:ascii="Bookman Old Style" w:hAnsi="Bookman Old Style" w:cs="Arial"/>
          <w:color w:val="000000" w:themeColor="text1"/>
          <w:sz w:val="24"/>
          <w:szCs w:val="24"/>
        </w:rPr>
      </w:pP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r w:rsidRPr="005E3A2B">
        <w:rPr>
          <w:rFonts w:ascii="Bookman Old Style" w:eastAsia="Times New Roman" w:hAnsi="Bookman Old Style" w:cs="Arial"/>
          <w:color w:val="222222"/>
          <w:sz w:val="24"/>
          <w:szCs w:val="24"/>
          <w:lang w:eastAsia="es-CO"/>
        </w:rPr>
        <w:t>Estas entidades deberán, en el marco de sus competencias:</w:t>
      </w: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r w:rsidRPr="005E3A2B">
        <w:rPr>
          <w:rFonts w:ascii="Bookman Old Style" w:eastAsia="Times New Roman" w:hAnsi="Bookman Old Style" w:cs="Arial"/>
          <w:color w:val="222222"/>
          <w:sz w:val="24"/>
          <w:szCs w:val="24"/>
          <w:lang w:eastAsia="es-CO"/>
        </w:rPr>
        <w:t>1. Desarrollar procesos de formación de carácter obligatorio, continuo y con enfoque en derechos humanos, dirigidos a funcionarios, contratistas y servidores públicos actuales y futuros, con el fin de eliminar prejuicios, estigmas y prácticas discriminatorias hacia personas con identidades de género diversas.</w:t>
      </w: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r w:rsidRPr="005E3A2B">
        <w:rPr>
          <w:rFonts w:ascii="Bookman Old Style" w:eastAsia="Times New Roman" w:hAnsi="Bookman Old Style" w:cs="Arial"/>
          <w:color w:val="222222"/>
          <w:sz w:val="24"/>
          <w:szCs w:val="24"/>
          <w:lang w:eastAsia="es-CO"/>
        </w:rPr>
        <w:t>2. Garantizar que dichos procesos de formación sean diseñados con base en metodologias pedagógicas y cientificas libres de sesgos, con participación de expertos/as, organizaciones de la sociedad civil y personas con experiencia vivencial.</w:t>
      </w: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r w:rsidRPr="005E3A2B">
        <w:rPr>
          <w:rFonts w:ascii="Bookman Old Style" w:eastAsia="Times New Roman" w:hAnsi="Bookman Old Style" w:cs="Arial"/>
          <w:color w:val="222222"/>
          <w:sz w:val="24"/>
          <w:szCs w:val="24"/>
          <w:lang w:eastAsia="es-CO"/>
        </w:rPr>
        <w:t>3. Elaborar y adoptar protocolos, manuales operativos, instructivos y guías técnicas que orienten la actuación institucional en procedimientos policivos, judiciales y forenses, asegurando el respeto a la dignidad, identidad y derechos de las personas con identidades de género diversas.</w:t>
      </w: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p>
    <w:p w:rsidR="005E3A2B" w:rsidRPr="005E3A2B" w:rsidRDefault="005E3A2B" w:rsidP="005E3A2B">
      <w:pPr>
        <w:shd w:val="clear" w:color="auto" w:fill="FFFFFF"/>
        <w:spacing w:after="0" w:line="240" w:lineRule="auto"/>
        <w:jc w:val="both"/>
        <w:rPr>
          <w:rFonts w:ascii="Bookman Old Style" w:eastAsia="Times New Roman" w:hAnsi="Bookman Old Style" w:cs="Arial"/>
          <w:color w:val="222222"/>
          <w:sz w:val="24"/>
          <w:szCs w:val="24"/>
          <w:lang w:eastAsia="es-CO"/>
        </w:rPr>
      </w:pPr>
      <w:r w:rsidRPr="005E3A2B">
        <w:rPr>
          <w:rFonts w:ascii="Bookman Old Style" w:eastAsia="Times New Roman" w:hAnsi="Bookman Old Style" w:cs="Arial"/>
          <w:color w:val="222222"/>
          <w:sz w:val="24"/>
          <w:szCs w:val="24"/>
          <w:lang w:eastAsia="es-CO"/>
        </w:rPr>
        <w:t>4. Implementar sistemas de recolección y análisis de datos desagregados que permitan identificar, visibilizar y hacer seguimiento a las violencias por prejuicio basadas en la identidad de género, asegurando la trazabilidad de los casos y su abordaje con enfoque diferencial e interseccional.</w:t>
      </w:r>
    </w:p>
    <w:p w:rsidR="005E3A2B" w:rsidRPr="005E3A2B" w:rsidRDefault="005E3A2B" w:rsidP="005E3A2B">
      <w:pPr>
        <w:spacing w:after="0" w:line="240" w:lineRule="auto"/>
        <w:jc w:val="both"/>
        <w:rPr>
          <w:rFonts w:ascii="Bookman Old Style" w:eastAsia="Bookman Old Style" w:hAnsi="Bookman Old Style" w:cs="Bookman Old Style"/>
          <w:sz w:val="24"/>
          <w:szCs w:val="24"/>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El Ministerio de Igualdad y Equidad o quien haga sus veces, adoptará medidas para prevenir y atender cualquier tipo de violencia contra las personas con identidades de género diversas, incluyendo acciones posteriores a su fallecimiento.</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b/>
          <w:color w:val="000000" w:themeColor="text1"/>
          <w:sz w:val="24"/>
          <w:szCs w:val="24"/>
        </w:rPr>
        <w:t>Artículo 18.  Medidas de protección frente a la violencia en el ámbito familiar.</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pStyle w:val="Prrafodelista"/>
        <w:numPr>
          <w:ilvl w:val="4"/>
          <w:numId w:val="48"/>
        </w:num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 xml:space="preserve">Las personas víctimas de violencia en razón de su identidad de género diversa en el ámbito familiar tienen derecho a la asistencia integral y especializada.  </w:t>
      </w:r>
      <w:r w:rsidRPr="00757B30">
        <w:rPr>
          <w:rFonts w:ascii="Bookman Old Style" w:hAnsi="Bookman Old Style" w:cs="Arial"/>
          <w:bCs/>
          <w:color w:val="000000" w:themeColor="text1"/>
          <w:sz w:val="24"/>
          <w:szCs w:val="24"/>
        </w:rPr>
        <w:t xml:space="preserve">El Ministerio de Justicia y del Derecho generará </w:t>
      </w:r>
      <w:r w:rsidRPr="00757B30">
        <w:rPr>
          <w:rFonts w:ascii="Bookman Old Style" w:hAnsi="Bookman Old Style" w:cs="Arial"/>
          <w:bCs/>
          <w:color w:val="000000" w:themeColor="text1"/>
          <w:sz w:val="24"/>
          <w:szCs w:val="24"/>
        </w:rPr>
        <w:lastRenderedPageBreak/>
        <w:t>lineamientos para la inclusión y fortalecimiento del enfoque de identidad de género diverso en las</w:t>
      </w:r>
      <w:r w:rsidRPr="00CC0EE5">
        <w:rPr>
          <w:rFonts w:ascii="Bookman Old Style" w:hAnsi="Bookman Old Style" w:cs="Arial"/>
          <w:color w:val="000000" w:themeColor="text1"/>
          <w:sz w:val="24"/>
          <w:szCs w:val="24"/>
        </w:rPr>
        <w:t xml:space="preserve"> comisarías de familia de todo el territorio nacional.  Las comisarías de familia, en coordinación con las entidades territoriales, que, en el ámbito de sus competencias, garantizarán una atención integral y especializada a las personas víctimas de violencia basada en la identidad de género diversa ocurridas en el ámbito familiar.  Este derecho comprenderá, al menos:</w:t>
      </w:r>
    </w:p>
    <w:p w:rsidR="00067922" w:rsidRPr="00CC0EE5" w:rsidRDefault="00067922" w:rsidP="00067922">
      <w:pPr>
        <w:pStyle w:val="Prrafodelista"/>
        <w:numPr>
          <w:ilvl w:val="5"/>
          <w:numId w:val="48"/>
        </w:num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 xml:space="preserve">Información y orientación accesibles sobre sus derechos, así como sobre los recursos disponibles. </w:t>
      </w:r>
    </w:p>
    <w:p w:rsidR="00067922" w:rsidRPr="00CC0EE5" w:rsidRDefault="00067922" w:rsidP="00067922">
      <w:pPr>
        <w:pStyle w:val="Prrafodelista"/>
        <w:numPr>
          <w:ilvl w:val="5"/>
          <w:numId w:val="48"/>
        </w:num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Asistencia psicológica y orientación jurídica.</w:t>
      </w:r>
    </w:p>
    <w:p w:rsidR="00067922" w:rsidRPr="00CC0EE5" w:rsidRDefault="00067922" w:rsidP="00067922">
      <w:pPr>
        <w:pStyle w:val="Prrafodelista"/>
        <w:numPr>
          <w:ilvl w:val="5"/>
          <w:numId w:val="48"/>
        </w:num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Atención a las necesidades que presente la víctima en el marco de sus competencias.</w:t>
      </w:r>
    </w:p>
    <w:p w:rsidR="00067922" w:rsidRPr="00CC0EE5" w:rsidRDefault="00067922" w:rsidP="00067922">
      <w:pPr>
        <w:pStyle w:val="Prrafodelista"/>
        <w:numPr>
          <w:ilvl w:val="4"/>
          <w:numId w:val="48"/>
        </w:num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El Instituto Colombiano de Bienestar Familiar (ICBF) en coordinación con la secretaría de educación certificada del ente territorial competente en materia educativa, escolarizarán a les menores de edad víctimas de actos de violencia, velando por su integridad personal y no revictimización.</w:t>
      </w:r>
    </w:p>
    <w:p w:rsidR="00067922" w:rsidRPr="00CC0EE5" w:rsidRDefault="00067922" w:rsidP="00067922">
      <w:pPr>
        <w:pStyle w:val="Prrafodelista"/>
        <w:numPr>
          <w:ilvl w:val="4"/>
          <w:numId w:val="48"/>
        </w:numPr>
        <w:spacing w:after="0" w:line="240" w:lineRule="auto"/>
        <w:jc w:val="both"/>
        <w:rPr>
          <w:rFonts w:ascii="Bookman Old Style" w:eastAsia="Bookman Old Style" w:hAnsi="Bookman Old Style" w:cs="Bookman Old Style"/>
          <w:sz w:val="26"/>
          <w:szCs w:val="26"/>
        </w:rPr>
      </w:pPr>
      <w:r w:rsidRPr="00757B30">
        <w:rPr>
          <w:rFonts w:ascii="Bookman Old Style" w:hAnsi="Bookman Old Style" w:cs="Arial"/>
          <w:color w:val="000000" w:themeColor="text1"/>
          <w:sz w:val="24"/>
          <w:szCs w:val="24"/>
        </w:rPr>
        <w:t>En los procesos de atención de violencia intrafamiliar adelantados</w:t>
      </w:r>
      <w:r w:rsidRPr="00CC0EE5">
        <w:rPr>
          <w:rFonts w:ascii="Bookman Old Style" w:hAnsi="Bookman Old Style" w:cs="Arial"/>
          <w:color w:val="000000" w:themeColor="text1"/>
          <w:sz w:val="24"/>
          <w:szCs w:val="24"/>
        </w:rPr>
        <w:t xml:space="preserve"> por las Comisarías de Familia en los casos de violencia contra personas con identidades de género diversas deberá implementarse el enfoque OSIEG y demás enfoques diferenciales.</w:t>
      </w:r>
    </w:p>
    <w:p w:rsidR="00067922" w:rsidRPr="00CC0EE5" w:rsidRDefault="00067922" w:rsidP="00067922">
      <w:pPr>
        <w:pStyle w:val="Prrafodelista"/>
        <w:numPr>
          <w:ilvl w:val="4"/>
          <w:numId w:val="48"/>
        </w:num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El Ministerio de la Igualdad y Equidad, o quien haga sus veces, así como las secretarías departamentales, distritales y municipales adoptarán medidas para garantizar el acceso a programas y estrategias de casas de acogida o refugios, cuando por razones fundamentadas en su identidad de género sean expulsadas, desalojadas o desplazadas de sus contextos habitacionales.</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b/>
          <w:sz w:val="24"/>
          <w:szCs w:val="24"/>
        </w:rPr>
        <w:t xml:space="preserve">Artículo 19.  </w:t>
      </w:r>
      <w:r w:rsidRPr="00CC0EE5">
        <w:rPr>
          <w:rFonts w:ascii="Bookman Old Style" w:hAnsi="Bookman Old Style" w:cs="Arial"/>
          <w:sz w:val="24"/>
          <w:szCs w:val="24"/>
        </w:rPr>
        <w:t>Se adicionará una circunstancia de agravación punitiva del tipo penal de feminicidio para la inclusión del transfeminicidio, travesticidio y homicidio en razón de la identidad de género diversa, al artículo 104B de la Ley 599 de 2000, en los siguientes términos:</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3457FD" w:rsidRDefault="00067922" w:rsidP="00067922">
      <w:pPr>
        <w:spacing w:after="0" w:line="240" w:lineRule="auto"/>
        <w:jc w:val="both"/>
        <w:rPr>
          <w:rFonts w:ascii="Bookman Old Style" w:hAnsi="Bookman Old Style" w:cs="Arial"/>
          <w:b/>
          <w:sz w:val="24"/>
          <w:szCs w:val="24"/>
        </w:rPr>
      </w:pPr>
      <w:r w:rsidRPr="00073B7F">
        <w:rPr>
          <w:rFonts w:ascii="Bookman Old Style" w:hAnsi="Bookman Old Style" w:cs="Arial"/>
          <w:b/>
          <w:sz w:val="24"/>
          <w:szCs w:val="24"/>
        </w:rPr>
        <w:t xml:space="preserve">ARTÍCULO 104B.  </w:t>
      </w:r>
      <w:r w:rsidR="003457FD">
        <w:rPr>
          <w:rFonts w:ascii="Bookman Old Style" w:hAnsi="Bookman Old Style" w:cs="Arial"/>
          <w:b/>
          <w:sz w:val="24"/>
          <w:szCs w:val="24"/>
        </w:rPr>
        <w:t>Circunstancias de Agravación Punitiva d</w:t>
      </w:r>
      <w:r w:rsidRPr="003457FD">
        <w:rPr>
          <w:rFonts w:ascii="Bookman Old Style" w:hAnsi="Bookman Old Style" w:cs="Arial"/>
          <w:b/>
          <w:sz w:val="24"/>
          <w:szCs w:val="24"/>
        </w:rPr>
        <w:t>el Feminicidio.  Adicionado por el Artículo 3 de la Ley 1761 de 2015.</w:t>
      </w:r>
    </w:p>
    <w:p w:rsidR="00067922" w:rsidRPr="003457FD" w:rsidRDefault="00067922" w:rsidP="00067922">
      <w:pPr>
        <w:spacing w:after="0" w:line="240" w:lineRule="auto"/>
        <w:jc w:val="both"/>
        <w:rPr>
          <w:rFonts w:ascii="Bookman Old Style" w:hAnsi="Bookman Old Style" w:cs="Arial"/>
          <w:sz w:val="24"/>
          <w:szCs w:val="24"/>
        </w:rPr>
      </w:pPr>
    </w:p>
    <w:p w:rsidR="00067922" w:rsidRPr="00CC0EE5" w:rsidRDefault="00067922" w:rsidP="00067922">
      <w:pPr>
        <w:spacing w:after="0" w:line="240" w:lineRule="auto"/>
        <w:jc w:val="both"/>
        <w:rPr>
          <w:rFonts w:ascii="Bookman Old Style" w:hAnsi="Bookman Old Style" w:cs="Arial"/>
          <w:sz w:val="24"/>
          <w:szCs w:val="24"/>
        </w:rPr>
      </w:pPr>
      <w:r w:rsidRPr="00CC0EE5">
        <w:rPr>
          <w:rFonts w:ascii="Bookman Old Style" w:hAnsi="Bookman Old Style" w:cs="Arial"/>
          <w:sz w:val="24"/>
          <w:szCs w:val="24"/>
        </w:rPr>
        <w:t>La pena será de quinientos (500) meses a seiscientos (600) meses de prisión, si el feminicidio se cometiere:</w:t>
      </w:r>
    </w:p>
    <w:p w:rsidR="00067922" w:rsidRPr="00CC0EE5" w:rsidRDefault="00067922" w:rsidP="00067922">
      <w:pPr>
        <w:spacing w:after="0" w:line="240" w:lineRule="auto"/>
        <w:jc w:val="both"/>
        <w:rPr>
          <w:rFonts w:ascii="Bookman Old Style" w:hAnsi="Bookman Old Style" w:cs="Arial"/>
          <w:sz w:val="24"/>
          <w:szCs w:val="24"/>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t xml:space="preserve">A.  Cuando el autor tenga la calidad de servidor público y desarrolle la conducta punible aprovechándose de esta calidad. </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lastRenderedPageBreak/>
        <w:t>B.  Cuando la conducta punible se cometiere en mujer menor de dieciocho (18) años o mayor de sesenta (60) o mujer en estado de embarazo.</w:t>
      </w:r>
    </w:p>
    <w:p w:rsidR="00067922" w:rsidRPr="00CC0EE5" w:rsidRDefault="00067922" w:rsidP="00067922">
      <w:pPr>
        <w:spacing w:after="0" w:line="240" w:lineRule="auto"/>
        <w:jc w:val="both"/>
        <w:rPr>
          <w:rFonts w:ascii="Bookman Old Style" w:hAnsi="Bookman Old Style" w:cs="Arial"/>
          <w:i/>
          <w:sz w:val="24"/>
          <w:szCs w:val="24"/>
        </w:rPr>
      </w:pPr>
      <w:r w:rsidRPr="00CC0EE5">
        <w:rPr>
          <w:rFonts w:ascii="Bookman Old Style" w:hAnsi="Bookman Old Style" w:cs="Arial"/>
          <w:sz w:val="24"/>
          <w:szCs w:val="24"/>
        </w:rPr>
        <w:t xml:space="preserve">C.   </w:t>
      </w:r>
      <w:r w:rsidRPr="002C7CD5">
        <w:rPr>
          <w:rFonts w:ascii="Bookman Old Style" w:hAnsi="Bookman Old Style" w:cs="Arial"/>
          <w:sz w:val="24"/>
          <w:szCs w:val="24"/>
        </w:rPr>
        <w:t>Cuando la conducta se cometiere con el concurso de otra u otras personas.</w:t>
      </w:r>
      <w:r w:rsidRPr="00CC0EE5">
        <w:rPr>
          <w:rFonts w:ascii="Bookman Old Style" w:hAnsi="Bookman Old Style" w:cs="Arial"/>
          <w:i/>
          <w:sz w:val="24"/>
          <w:szCs w:val="24"/>
        </w:rPr>
        <w:t xml:space="preserve"> </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t xml:space="preserve">D.  Cuando se cometiere en una mujer en situación de discapacidad física, psíquica o sensorial o desplazamiento forzado, condición socioeconómica o por prejuicios relacionados con la condición étnica o la orientación sexual. </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t xml:space="preserve">E.  Cuando la conducta punible fuere cometida en presencia de cualquier persona que integre la unidad doméstica de la víctima. </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t xml:space="preserve">F.  Cuando se cometa el delito con posterioridad a una agresión sexual, a la realización de rituales, actos de mutilación genital o cualquier otro tipo de agresión o sufrimiento físico o psicológico. </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t>G.  Por medio de las circunstancias de agravación punitiva descritas en los numerales 1, 3, 5, 6, 7 y 8 del Artículo 104 de este Código.</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eastAsia="Bookman Old Style" w:hAnsi="Bookman Old Style" w:cs="Bookman Old Style"/>
          <w:sz w:val="26"/>
          <w:szCs w:val="26"/>
        </w:rPr>
        <w:t xml:space="preserve">H.  Cuando la conducta punible se haya ejercido sobre el cuerpo y la vida de la persona con identidad de género diversa actos de ensañamiento (múltiples heridas), instrumentalización de género o sexual y/o acciones de violencia excesiva, sobre el rostro, el cabello, el área genital, los senos o implantes mamarios o cualquier zona que haya sido intervenida quirúrgica o estéticamente en su proceso de construcción identitaria. </w:t>
      </w:r>
    </w:p>
    <w:p w:rsidR="00067922" w:rsidRPr="00CC0EE5" w:rsidRDefault="009B5743" w:rsidP="00067922">
      <w:pPr>
        <w:spacing w:after="0" w:line="24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I</w:t>
      </w:r>
      <w:r w:rsidR="00067922" w:rsidRPr="00CC0EE5">
        <w:rPr>
          <w:rFonts w:ascii="Bookman Old Style" w:eastAsia="Bookman Old Style" w:hAnsi="Bookman Old Style" w:cs="Bookman Old Style"/>
          <w:sz w:val="26"/>
          <w:szCs w:val="26"/>
        </w:rPr>
        <w:t>. Cuando la conducta punible se cometa en un contexto con presencia de normas de conducta discriminatorias en el territorio.</w:t>
      </w:r>
    </w:p>
    <w:p w:rsidR="00067922" w:rsidRPr="00757B30" w:rsidRDefault="009B5743"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J</w:t>
      </w:r>
      <w:r w:rsidR="002C7CD5">
        <w:rPr>
          <w:rFonts w:ascii="Bookman Old Style" w:hAnsi="Bookman Old Style" w:cs="Arial"/>
          <w:color w:val="000000" w:themeColor="text1"/>
          <w:sz w:val="24"/>
          <w:szCs w:val="24"/>
        </w:rPr>
        <w:t xml:space="preserve">. </w:t>
      </w:r>
      <w:r w:rsidR="00067922" w:rsidRPr="00CC0EE5">
        <w:rPr>
          <w:rFonts w:ascii="Bookman Old Style" w:hAnsi="Bookman Old Style" w:cs="Arial"/>
          <w:color w:val="000000" w:themeColor="text1"/>
          <w:sz w:val="24"/>
          <w:szCs w:val="24"/>
        </w:rPr>
        <w:t xml:space="preserve">Cuando la conducta punible se derive de actos de violencia que pretendían disciplinar, coaccionar o sancionar a la víctima por su identidad o expresión de género, especialmente si fue dejado el cuerpo en posición sexualizada (genupectoral u otras </w:t>
      </w:r>
      <w:r w:rsidR="00067922" w:rsidRPr="00757B30">
        <w:rPr>
          <w:rFonts w:ascii="Bookman Old Style" w:hAnsi="Bookman Old Style" w:cs="Arial"/>
          <w:color w:val="000000" w:themeColor="text1"/>
          <w:sz w:val="24"/>
          <w:szCs w:val="24"/>
        </w:rPr>
        <w:t xml:space="preserve">similares) o signos, inscripciones o elementos simbólicos que evidencien desprecio, humillación o castigo hacia dicha identidad o expresión.  </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757B30" w:rsidRDefault="00067922" w:rsidP="00067922">
      <w:pPr>
        <w:spacing w:after="0" w:line="240" w:lineRule="auto"/>
        <w:jc w:val="both"/>
        <w:rPr>
          <w:rFonts w:ascii="Bookman Old Style" w:eastAsia="Bookman Old Style" w:hAnsi="Bookman Old Style" w:cs="Bookman Old Style"/>
          <w:bCs/>
          <w:sz w:val="26"/>
          <w:szCs w:val="26"/>
        </w:rPr>
      </w:pPr>
      <w:r w:rsidRPr="00CC0EE5">
        <w:rPr>
          <w:rFonts w:ascii="Bookman Old Style" w:hAnsi="Bookman Old Style" w:cs="Arial"/>
          <w:b/>
          <w:color w:val="000000" w:themeColor="text1"/>
          <w:sz w:val="24"/>
          <w:szCs w:val="24"/>
        </w:rPr>
        <w:t xml:space="preserve">Artículo 20.  </w:t>
      </w:r>
      <w:r w:rsidRPr="00757B30">
        <w:rPr>
          <w:rFonts w:ascii="Bookman Old Style" w:hAnsi="Bookman Old Style" w:cs="Arial"/>
          <w:b/>
          <w:color w:val="000000" w:themeColor="text1"/>
          <w:sz w:val="24"/>
          <w:szCs w:val="24"/>
        </w:rPr>
        <w:t>Reconocimiento de la responsabilidad frente a la violencia y discriminación sistemática contra las personas con identidades de género diversa por parte del Estado.</w:t>
      </w:r>
      <w:r w:rsidRPr="00757B30">
        <w:rPr>
          <w:rFonts w:ascii="Bookman Old Style" w:hAnsi="Bookman Old Style" w:cs="Arial"/>
          <w:bCs/>
          <w:color w:val="000000" w:themeColor="text1"/>
          <w:sz w:val="24"/>
          <w:szCs w:val="24"/>
        </w:rPr>
        <w:t xml:space="preserve">  El Estado reconocerá públicamente su responsabilidad frente a los impactos diferenciales y profundos generados por las violencias sistemáticas ejercidas por parte de las autoridades administrativas y la fuerza pública contra personas con identidades de género diversas. Se establecerá el </w:t>
      </w:r>
      <w:r>
        <w:rPr>
          <w:rFonts w:ascii="Bookman Old Style" w:hAnsi="Bookman Old Style" w:cs="Arial"/>
          <w:bCs/>
          <w:color w:val="000000" w:themeColor="text1"/>
          <w:sz w:val="24"/>
          <w:szCs w:val="24"/>
        </w:rPr>
        <w:t>20</w:t>
      </w:r>
      <w:r w:rsidRPr="00757B30">
        <w:rPr>
          <w:rFonts w:ascii="Bookman Old Style" w:hAnsi="Bookman Old Style" w:cs="Arial"/>
          <w:bCs/>
          <w:color w:val="000000" w:themeColor="text1"/>
          <w:sz w:val="24"/>
          <w:szCs w:val="24"/>
        </w:rPr>
        <w:t xml:space="preserve"> de noviembre como día de la memoria trans. El Ministerio del Interior o quien haga sus veces liderará actos enfocados en la reparación y la memoria histórica frente la </w:t>
      </w:r>
      <w:r w:rsidRPr="00757B30">
        <w:rPr>
          <w:rFonts w:ascii="Bookman Old Style" w:hAnsi="Bookman Old Style" w:cs="Arial"/>
          <w:bCs/>
          <w:color w:val="000000" w:themeColor="text1"/>
          <w:sz w:val="24"/>
          <w:szCs w:val="24"/>
        </w:rPr>
        <w:lastRenderedPageBreak/>
        <w:t>violencia sistemática ejercida contra personas con identidades de género diversas.</w:t>
      </w:r>
    </w:p>
    <w:p w:rsidR="00067922" w:rsidRDefault="00067922" w:rsidP="00067922">
      <w:pPr>
        <w:spacing w:after="0" w:line="240" w:lineRule="auto"/>
        <w:jc w:val="both"/>
        <w:rPr>
          <w:rFonts w:ascii="Bookman Old Style" w:eastAsia="Bookman Old Style" w:hAnsi="Bookman Old Style" w:cs="Bookman Old Style"/>
          <w:sz w:val="26"/>
          <w:szCs w:val="26"/>
        </w:rPr>
      </w:pPr>
    </w:p>
    <w:p w:rsidR="00D82A4A" w:rsidRPr="00CC0EE5" w:rsidRDefault="00D82A4A" w:rsidP="00067922">
      <w:pPr>
        <w:spacing w:after="0" w:line="240" w:lineRule="auto"/>
        <w:jc w:val="both"/>
        <w:rPr>
          <w:rFonts w:ascii="Bookman Old Style" w:eastAsia="Bookman Old Style" w:hAnsi="Bookman Old Style" w:cs="Bookman Old Style"/>
          <w:sz w:val="26"/>
          <w:szCs w:val="26"/>
        </w:rPr>
      </w:pPr>
    </w:p>
    <w:p w:rsidR="00570909" w:rsidRDefault="00067922" w:rsidP="00570909">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Capítulo III.</w:t>
      </w:r>
    </w:p>
    <w:p w:rsidR="00067922" w:rsidRPr="00CC0EE5" w:rsidRDefault="00067922" w:rsidP="00570909">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Mecanismos para garantizar el cuidado de la vida de las personas con identidades de género diversas</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757B30"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b/>
          <w:color w:val="000000" w:themeColor="text1"/>
          <w:sz w:val="24"/>
          <w:szCs w:val="24"/>
        </w:rPr>
        <w:t xml:space="preserve">Artículo 21.  </w:t>
      </w:r>
      <w:r w:rsidRPr="00757B30">
        <w:rPr>
          <w:rFonts w:ascii="Bookman Old Style" w:hAnsi="Bookman Old Style" w:cs="Arial"/>
          <w:color w:val="000000" w:themeColor="text1"/>
          <w:sz w:val="24"/>
          <w:szCs w:val="24"/>
        </w:rPr>
        <w:t>El Estado garantizará el reconocimiento del valor del trabajo de cuidado que realizan las personas con identidades de género diversas y el derecho a recibir cuidados de calidad para garantizar el desarrollo integral de las personas con identidades de género diversas a lo largo de su curso de vida.  Para ello:</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 xml:space="preserve">A.  El Gobierno Nacional establecerá mecanismos para garantizar el acceso a la población con identidades de género diversas en condiciones de vulnerabilidad al Sistema Nacional de Cuidado y demás políticas, programas, planes y proyectos enfocados en garantizar el derecho al cuidado. </w:t>
      </w:r>
    </w:p>
    <w:p w:rsidR="00570909" w:rsidRPr="00757B30" w:rsidRDefault="00570909" w:rsidP="00067922">
      <w:pPr>
        <w:spacing w:after="0" w:line="240" w:lineRule="auto"/>
        <w:jc w:val="both"/>
        <w:rPr>
          <w:rFonts w:ascii="Bookman Old Style" w:hAnsi="Bookman Old Style" w:cs="Arial"/>
          <w:color w:val="000000" w:themeColor="text1"/>
          <w:sz w:val="24"/>
          <w:szCs w:val="24"/>
        </w:rPr>
      </w:pPr>
    </w:p>
    <w:p w:rsidR="00067922" w:rsidRPr="00757B30" w:rsidRDefault="00067922" w:rsidP="00067922">
      <w:pPr>
        <w:spacing w:after="0" w:line="240" w:lineRule="auto"/>
        <w:jc w:val="both"/>
        <w:rPr>
          <w:rFonts w:ascii="Bookman Old Style" w:hAnsi="Bookman Old Style" w:cs="Arial"/>
          <w:strike/>
          <w:color w:val="000000" w:themeColor="text1"/>
          <w:sz w:val="24"/>
          <w:szCs w:val="24"/>
        </w:rPr>
      </w:pPr>
      <w:r w:rsidRPr="00757B30">
        <w:rPr>
          <w:rFonts w:ascii="Bookman Old Style" w:hAnsi="Bookman Old Style" w:cs="Arial"/>
          <w:color w:val="000000" w:themeColor="text1"/>
          <w:sz w:val="24"/>
          <w:szCs w:val="24"/>
        </w:rPr>
        <w:t>B.  El Departamento Administrativo para la Prosperidad Social incluirá como criterio de ingreso a los diversos programas de transferencias condicionadas y no condicionadas, monetarias y en especie, la identidad de género diversa, con el objetivo de garantizar la cobertura de esta población en situación de pobreza, pobreza extrema y vulnerabilidad socio económica.</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Parágrafo. </w:t>
      </w:r>
      <w:r w:rsidRPr="00CC0EE5">
        <w:rPr>
          <w:rFonts w:ascii="Bookman Old Style" w:hAnsi="Bookman Old Style" w:cs="Arial"/>
          <w:color w:val="000000" w:themeColor="text1"/>
          <w:sz w:val="24"/>
          <w:szCs w:val="24"/>
        </w:rPr>
        <w:t xml:space="preserve"> El Departamento para la Prosperidad Social y la Mesa de Equidad establecida en el artículo 211 de la Ley 1955 de 2019, o quien haga sus veces, establecerán mecanismos para la priorización de personas con identidades de género diversas víctimas de violencias en razón a sus identidades, incluyendo personas privadas de la libertad.</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b/>
          <w:strike/>
          <w:color w:val="000000" w:themeColor="text1"/>
          <w:sz w:val="24"/>
          <w:szCs w:val="24"/>
        </w:rPr>
      </w:pPr>
      <w:r w:rsidRPr="00CC0EE5">
        <w:rPr>
          <w:rFonts w:ascii="Bookman Old Style" w:hAnsi="Bookman Old Style" w:cs="Arial"/>
          <w:b/>
          <w:color w:val="000000" w:themeColor="text1"/>
          <w:sz w:val="24"/>
          <w:szCs w:val="24"/>
        </w:rPr>
        <w:t xml:space="preserve">Artículo 22. </w:t>
      </w:r>
      <w:r w:rsidRPr="00CC0EE5">
        <w:rPr>
          <w:rFonts w:ascii="Bookman Old Style" w:hAnsi="Bookman Old Style" w:cs="Arial"/>
          <w:color w:val="000000" w:themeColor="text1"/>
          <w:sz w:val="24"/>
          <w:szCs w:val="24"/>
        </w:rPr>
        <w:t xml:space="preserve"> Modifíquese el artículo 1 de la Ley 1413 de 2010 de la siguiente manera:</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067922" w:rsidP="00067922">
      <w:pPr>
        <w:spacing w:after="0" w:line="240" w:lineRule="auto"/>
        <w:jc w:val="both"/>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 xml:space="preserve">ARTÍCULO 1o.  OBJETO Y ALCANCE DE LA LEY.  </w:t>
      </w:r>
      <w:r w:rsidRPr="00CC0EE5">
        <w:rPr>
          <w:rFonts w:ascii="Bookman Old Style" w:hAnsi="Bookman Old Style" w:cs="Arial"/>
          <w:color w:val="000000" w:themeColor="text1"/>
          <w:sz w:val="24"/>
          <w:szCs w:val="24"/>
        </w:rPr>
        <w:t xml:space="preserve">La presente ley tiene por objeto incluir la economía del cuidado conformada por el trabajo de hogar no remunerado en el Sistema de Cuentas Nacionales, con el objeto de medir la contribución de la mujer </w:t>
      </w:r>
      <w:r w:rsidRPr="00CC0EE5">
        <w:rPr>
          <w:rFonts w:ascii="Bookman Old Style" w:hAnsi="Bookman Old Style" w:cs="Arial"/>
          <w:bCs/>
          <w:iCs/>
          <w:color w:val="000000" w:themeColor="text1"/>
          <w:sz w:val="24"/>
          <w:szCs w:val="24"/>
        </w:rPr>
        <w:t>y de las personas con identidades de género diversas</w:t>
      </w:r>
      <w:r w:rsidRPr="00CC0EE5">
        <w:rPr>
          <w:rFonts w:ascii="Bookman Old Style" w:hAnsi="Bookman Old Style" w:cs="Arial"/>
          <w:color w:val="000000" w:themeColor="text1"/>
          <w:sz w:val="24"/>
          <w:szCs w:val="24"/>
        </w:rPr>
        <w:t>, al desarrollo económico y social del país y como herramienta fundamental para la definición e implementación de políticas públicas.</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lastRenderedPageBreak/>
        <w:t>Artículo 23.  Mecanismos diferenciales para garantizar el derecho a la educación de las personas con id</w:t>
      </w:r>
      <w:r w:rsidR="006933A1">
        <w:rPr>
          <w:rFonts w:ascii="Bookman Old Style" w:hAnsi="Bookman Old Style" w:cs="Arial"/>
          <w:b/>
          <w:color w:val="000000" w:themeColor="text1"/>
          <w:sz w:val="24"/>
          <w:szCs w:val="24"/>
        </w:rPr>
        <w:t xml:space="preserve">entidades de género diversas. </w:t>
      </w:r>
      <w:r w:rsidRPr="00CC0EE5">
        <w:rPr>
          <w:rFonts w:ascii="Bookman Old Style" w:hAnsi="Bookman Old Style" w:cs="Arial"/>
          <w:color w:val="000000" w:themeColor="text1"/>
          <w:sz w:val="24"/>
          <w:szCs w:val="24"/>
        </w:rPr>
        <w:t>El Estado, a través del Ministerio de Educación deberá adoptar los decretos, resoluciones y políticas públicas que sean pertinentes con el fin de lograr las garantías para que el derecho a la educación se preste en condiciones dignas a las personas con identidades de género diversas en todos los niveles educativos.  Para tal efecto, el Gobierno Nacional desarrollará las siguientes medidas: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757B30"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 xml:space="preserve">1. </w:t>
      </w:r>
      <w:r w:rsidRPr="00CC0EE5">
        <w:rPr>
          <w:rFonts w:ascii="Bookman Old Style" w:hAnsi="Bookman Old Style" w:cs="Arial"/>
          <w:color w:val="000000" w:themeColor="text1"/>
          <w:sz w:val="24"/>
          <w:szCs w:val="24"/>
        </w:rPr>
        <w:tab/>
      </w:r>
      <w:r w:rsidRPr="00757B30">
        <w:rPr>
          <w:rFonts w:ascii="Bookman Old Style" w:hAnsi="Bookman Old Style" w:cs="Arial"/>
          <w:color w:val="000000" w:themeColor="text1"/>
          <w:sz w:val="24"/>
          <w:szCs w:val="24"/>
        </w:rPr>
        <w:t xml:space="preserve">El Ministerio de Educación, en coordinación con las Secretarías de Educación de las entidades territoriales, implementará medidas que propendan a asegurar el acceso y permanencia en el sistema educativo de la población con identidades de género diversas en todos los niveles educativos.  Esto incluirá la búsqueda activa de personas con identidad de género diversa desescolarizadas, así como estrategias para su inserción en programas de educación formal.  </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spacing w:after="0" w:line="240" w:lineRule="auto"/>
        <w:jc w:val="both"/>
        <w:rPr>
          <w:rFonts w:ascii="Bookman Old Style" w:hAnsi="Bookman Old Style" w:cs="Arial"/>
          <w:strike/>
          <w:color w:val="000000" w:themeColor="text1"/>
          <w:sz w:val="24"/>
          <w:szCs w:val="24"/>
        </w:rPr>
      </w:pPr>
      <w:r w:rsidRPr="00757B30">
        <w:rPr>
          <w:rFonts w:ascii="Bookman Old Style" w:hAnsi="Bookman Old Style" w:cs="Arial"/>
          <w:color w:val="000000" w:themeColor="text1"/>
          <w:sz w:val="24"/>
          <w:szCs w:val="24"/>
        </w:rPr>
        <w:t xml:space="preserve">2. </w:t>
      </w:r>
      <w:r w:rsidRPr="00757B30">
        <w:rPr>
          <w:rFonts w:ascii="Bookman Old Style" w:hAnsi="Bookman Old Style" w:cs="Arial"/>
          <w:color w:val="000000" w:themeColor="text1"/>
          <w:sz w:val="24"/>
          <w:szCs w:val="24"/>
        </w:rPr>
        <w:tab/>
        <w:t xml:space="preserve">El Ministerio de Educación implementarán estrategias de difusión dirigida a personas con identidades de género diversas sobre la Política de Gratuidad Matrícula Cero del Gobierno Nacional para garantizar que conozcan los criterios de acceso, estén informadas y sean incluidas en las oportunidades de acceder a las instituciones de educación superior públicas.  </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 xml:space="preserve">3.  El Ministerio de Educación </w:t>
      </w:r>
      <w:r w:rsidR="006933A1">
        <w:rPr>
          <w:rFonts w:ascii="Bookman Old Style" w:hAnsi="Bookman Old Style" w:cs="Arial"/>
          <w:color w:val="000000" w:themeColor="text1"/>
          <w:sz w:val="24"/>
          <w:szCs w:val="24"/>
        </w:rPr>
        <w:t xml:space="preserve">podrá implementar </w:t>
      </w:r>
      <w:r w:rsidRPr="00757B30">
        <w:rPr>
          <w:rFonts w:ascii="Bookman Old Style" w:hAnsi="Bookman Old Style" w:cs="Arial"/>
          <w:color w:val="000000" w:themeColor="text1"/>
          <w:sz w:val="24"/>
          <w:szCs w:val="24"/>
        </w:rPr>
        <w:t>cupos especiales de admisión como medidas diferenciadas para aumentar las personas con identidad de género diversa que acceden a sus programas de formación de educación super</w:t>
      </w:r>
      <w:r w:rsidR="006933A1">
        <w:rPr>
          <w:rFonts w:ascii="Bookman Old Style" w:hAnsi="Bookman Old Style" w:cs="Arial"/>
          <w:color w:val="000000" w:themeColor="text1"/>
          <w:sz w:val="24"/>
          <w:szCs w:val="24"/>
        </w:rPr>
        <w:t xml:space="preserve">ior en instituciones públicas. </w:t>
      </w:r>
      <w:r w:rsidRPr="00757B30">
        <w:rPr>
          <w:rFonts w:ascii="Bookman Old Style" w:hAnsi="Bookman Old Style" w:cs="Arial"/>
          <w:color w:val="000000" w:themeColor="text1"/>
          <w:sz w:val="24"/>
          <w:szCs w:val="24"/>
        </w:rPr>
        <w:t xml:space="preserve">Estos cupos serán adicionales a los ya existentes y serán garantizados dentro de los cupos creados a partir de la entrada en vigencia de la presente ley. </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 xml:space="preserve">4. El Departamento Administrativo para la Prosperidad Social incluirá parámetros en las estrategias de apoyo para el sostenimiento previstas para </w:t>
      </w:r>
      <w:r w:rsidRPr="00757B30">
        <w:rPr>
          <w:rStyle w:val="Ninguno"/>
          <w:rFonts w:ascii="Bookman Old Style" w:hAnsi="Bookman Old Style"/>
          <w:sz w:val="24"/>
          <w:szCs w:val="24"/>
          <w:lang w:val="es-ES_tradnl"/>
        </w:rPr>
        <w:t>programas de transferencias monetarias condicionadas</w:t>
      </w:r>
      <w:r w:rsidR="006933A1">
        <w:rPr>
          <w:rFonts w:ascii="Bookman Old Style" w:hAnsi="Bookman Old Style" w:cs="Arial"/>
          <w:color w:val="000000" w:themeColor="text1"/>
          <w:sz w:val="24"/>
          <w:szCs w:val="24"/>
        </w:rPr>
        <w:t xml:space="preserve"> para jóvenes </w:t>
      </w:r>
      <w:r w:rsidRPr="00757B30">
        <w:rPr>
          <w:rFonts w:ascii="Bookman Old Style" w:hAnsi="Bookman Old Style" w:cs="Arial"/>
          <w:color w:val="000000" w:themeColor="text1"/>
          <w:sz w:val="24"/>
          <w:szCs w:val="24"/>
        </w:rPr>
        <w:t>que permita alcanzar a la población con identidad de género diversa vulnerable incluyendo las personas privadas de la libertad, que requieren apoyo económico para su permanencia en el sistema educativo.</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 xml:space="preserve">5. </w:t>
      </w:r>
      <w:r w:rsidRPr="00757B30">
        <w:rPr>
          <w:rFonts w:ascii="Bookman Old Style" w:hAnsi="Bookman Old Style" w:cs="Arial"/>
          <w:color w:val="000000" w:themeColor="text1"/>
          <w:sz w:val="24"/>
          <w:szCs w:val="24"/>
        </w:rPr>
        <w:tab/>
        <w:t>El Ministerio de Educación o quien haga sus veces implementará medidas a nivel nacional y territorial para prevenir, reducir e investigar las violencias contra personas con identidades de género diversas en el ámbito educativo.</w:t>
      </w:r>
    </w:p>
    <w:p w:rsidR="00067922" w:rsidRPr="00757B30" w:rsidRDefault="00067922" w:rsidP="00067922">
      <w:pPr>
        <w:spacing w:after="0" w:line="240" w:lineRule="auto"/>
        <w:jc w:val="both"/>
        <w:rPr>
          <w:rFonts w:ascii="Bookman Old Style" w:hAnsi="Bookman Old Style" w:cs="Arial"/>
          <w:color w:val="000000" w:themeColor="text1"/>
          <w:sz w:val="24"/>
          <w:szCs w:val="24"/>
        </w:rPr>
      </w:pPr>
    </w:p>
    <w:p w:rsidR="00067922" w:rsidRPr="00757B30" w:rsidRDefault="00067922" w:rsidP="00067922">
      <w:pPr>
        <w:spacing w:after="0" w:line="240" w:lineRule="auto"/>
        <w:jc w:val="both"/>
        <w:rPr>
          <w:rFonts w:ascii="Bookman Old Style" w:eastAsia="Bookman Old Style" w:hAnsi="Bookman Old Style" w:cs="Bookman Old Style"/>
          <w:sz w:val="26"/>
          <w:szCs w:val="26"/>
        </w:rPr>
      </w:pPr>
      <w:r w:rsidRPr="00757B30">
        <w:rPr>
          <w:rFonts w:ascii="Bookman Old Style" w:hAnsi="Bookman Old Style" w:cs="Arial"/>
          <w:color w:val="000000" w:themeColor="text1"/>
          <w:sz w:val="24"/>
          <w:szCs w:val="24"/>
        </w:rPr>
        <w:lastRenderedPageBreak/>
        <w:t xml:space="preserve">6. </w:t>
      </w:r>
      <w:r w:rsidRPr="00757B30">
        <w:rPr>
          <w:rFonts w:ascii="Bookman Old Style" w:hAnsi="Bookman Old Style" w:cs="Arial"/>
          <w:color w:val="000000" w:themeColor="text1"/>
          <w:sz w:val="24"/>
          <w:szCs w:val="24"/>
        </w:rPr>
        <w:tab/>
        <w:t>El Ministerio de Educación generará instrumentos para la sensibilización y formación de la planta docente del país en temas relacionados con la identidad de género y la diversidad.</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 xml:space="preserve">7.  El Ministerio de Educación implementará políticas </w:t>
      </w:r>
      <w:r w:rsidR="006933A1">
        <w:rPr>
          <w:rFonts w:ascii="Bookman Old Style" w:hAnsi="Bookman Old Style" w:cs="Arial"/>
          <w:color w:val="000000" w:themeColor="text1"/>
          <w:sz w:val="24"/>
          <w:szCs w:val="24"/>
        </w:rPr>
        <w:t xml:space="preserve">y creará mecanismos </w:t>
      </w:r>
      <w:r w:rsidRPr="00757B30">
        <w:rPr>
          <w:rFonts w:ascii="Bookman Old Style" w:hAnsi="Bookman Old Style" w:cs="Arial"/>
          <w:color w:val="000000" w:themeColor="text1"/>
          <w:sz w:val="24"/>
          <w:szCs w:val="24"/>
        </w:rPr>
        <w:t xml:space="preserve">para </w:t>
      </w:r>
      <w:r w:rsidR="006933A1">
        <w:rPr>
          <w:rFonts w:ascii="Bookman Old Style" w:hAnsi="Bookman Old Style" w:cs="Arial"/>
          <w:color w:val="000000" w:themeColor="text1"/>
          <w:sz w:val="24"/>
          <w:szCs w:val="24"/>
        </w:rPr>
        <w:t>garantizar</w:t>
      </w:r>
      <w:r w:rsidRPr="00757B30">
        <w:rPr>
          <w:rFonts w:ascii="Bookman Old Style" w:hAnsi="Bookman Old Style" w:cs="Arial"/>
          <w:color w:val="000000" w:themeColor="text1"/>
          <w:sz w:val="24"/>
          <w:szCs w:val="24"/>
        </w:rPr>
        <w:t xml:space="preserve"> la eliminación de la discriminación </w:t>
      </w:r>
      <w:r w:rsidR="006933A1">
        <w:rPr>
          <w:rFonts w:ascii="Bookman Old Style" w:hAnsi="Bookman Old Style" w:cs="Arial"/>
          <w:color w:val="000000" w:themeColor="text1"/>
          <w:sz w:val="24"/>
          <w:szCs w:val="24"/>
        </w:rPr>
        <w:t>y la protección de l</w:t>
      </w:r>
      <w:r w:rsidRPr="00757B30">
        <w:rPr>
          <w:rFonts w:ascii="Bookman Old Style" w:hAnsi="Bookman Old Style" w:cs="Arial"/>
          <w:color w:val="000000" w:themeColor="text1"/>
          <w:sz w:val="24"/>
          <w:szCs w:val="24"/>
        </w:rPr>
        <w:t>a</w:t>
      </w:r>
      <w:r w:rsidR="006933A1">
        <w:rPr>
          <w:rFonts w:ascii="Bookman Old Style" w:hAnsi="Bookman Old Style" w:cs="Arial"/>
          <w:color w:val="000000" w:themeColor="text1"/>
          <w:sz w:val="24"/>
          <w:szCs w:val="24"/>
        </w:rPr>
        <w:t>s</w:t>
      </w:r>
      <w:r w:rsidRPr="00757B30">
        <w:rPr>
          <w:rFonts w:ascii="Bookman Old Style" w:hAnsi="Bookman Old Style" w:cs="Arial"/>
          <w:color w:val="000000" w:themeColor="text1"/>
          <w:sz w:val="24"/>
          <w:szCs w:val="24"/>
        </w:rPr>
        <w:t xml:space="preserve"> personas con identidades de género diversas</w:t>
      </w:r>
      <w:r w:rsidR="006933A1">
        <w:rPr>
          <w:rFonts w:ascii="Bookman Old Style" w:hAnsi="Bookman Old Style" w:cs="Arial"/>
          <w:color w:val="000000" w:themeColor="text1"/>
          <w:sz w:val="24"/>
          <w:szCs w:val="24"/>
        </w:rPr>
        <w:t xml:space="preserve"> en el sistema educativo.</w:t>
      </w:r>
    </w:p>
    <w:p w:rsidR="00067922" w:rsidRPr="00757B30" w:rsidRDefault="00067922" w:rsidP="00067922">
      <w:pPr>
        <w:spacing w:after="0" w:line="240" w:lineRule="auto"/>
        <w:jc w:val="both"/>
        <w:rPr>
          <w:rFonts w:ascii="Bookman Old Style" w:eastAsia="Bookman Old Style" w:hAnsi="Bookman Old Style" w:cs="Bookman Old Style"/>
          <w:sz w:val="26"/>
          <w:szCs w:val="26"/>
        </w:rPr>
      </w:pPr>
    </w:p>
    <w:p w:rsidR="00067922" w:rsidRPr="00757B30" w:rsidRDefault="00067922" w:rsidP="00067922">
      <w:pPr>
        <w:spacing w:after="0" w:line="240" w:lineRule="auto"/>
        <w:jc w:val="both"/>
        <w:rPr>
          <w:rFonts w:ascii="Bookman Old Style" w:hAnsi="Bookman Old Style" w:cs="Arial"/>
          <w:color w:val="000000" w:themeColor="text1"/>
          <w:sz w:val="24"/>
          <w:szCs w:val="24"/>
        </w:rPr>
      </w:pPr>
      <w:r w:rsidRPr="00757B30">
        <w:rPr>
          <w:rFonts w:ascii="Bookman Old Style" w:hAnsi="Bookman Old Style" w:cs="Arial"/>
          <w:color w:val="000000" w:themeColor="text1"/>
          <w:sz w:val="24"/>
          <w:szCs w:val="24"/>
        </w:rPr>
        <w:t xml:space="preserve">8. </w:t>
      </w:r>
      <w:r w:rsidRPr="00757B30">
        <w:rPr>
          <w:rFonts w:ascii="Bookman Old Style" w:hAnsi="Bookman Old Style" w:cs="Arial"/>
          <w:color w:val="000000" w:themeColor="text1"/>
          <w:sz w:val="24"/>
          <w:szCs w:val="24"/>
        </w:rPr>
        <w:tab/>
        <w:t xml:space="preserve">Las instituciones educativas, en todos los niveles, deberán respetar la identidad de género de las personas con identidad de género diversas, incluyendo su nombre identitario, pronombres, expresión de género, entre otras.  </w:t>
      </w:r>
    </w:p>
    <w:p w:rsidR="00067922" w:rsidRDefault="00067922" w:rsidP="00D2128C">
      <w:pPr>
        <w:spacing w:after="0" w:line="240" w:lineRule="auto"/>
        <w:jc w:val="center"/>
        <w:rPr>
          <w:rFonts w:ascii="Bookman Old Style" w:eastAsia="Bookman Old Style" w:hAnsi="Bookman Old Style" w:cs="Bookman Old Style"/>
          <w:sz w:val="26"/>
          <w:szCs w:val="26"/>
        </w:rPr>
      </w:pPr>
    </w:p>
    <w:p w:rsidR="00D82A4A" w:rsidRPr="00CC0EE5" w:rsidRDefault="00D82A4A" w:rsidP="00D2128C">
      <w:pPr>
        <w:spacing w:after="0" w:line="240" w:lineRule="auto"/>
        <w:jc w:val="center"/>
        <w:rPr>
          <w:rFonts w:ascii="Bookman Old Style" w:eastAsia="Bookman Old Style" w:hAnsi="Bookman Old Style" w:cs="Bookman Old Style"/>
          <w:sz w:val="26"/>
          <w:szCs w:val="26"/>
        </w:rPr>
      </w:pPr>
    </w:p>
    <w:p w:rsidR="0078721A" w:rsidRDefault="003457FD" w:rsidP="00D2128C">
      <w:pPr>
        <w:spacing w:after="0" w:line="240" w:lineRule="auto"/>
        <w:jc w:val="center"/>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 xml:space="preserve">Capítulo </w:t>
      </w:r>
      <w:r w:rsidR="0078721A">
        <w:rPr>
          <w:rFonts w:ascii="Bookman Old Style" w:hAnsi="Bookman Old Style" w:cs="Arial"/>
          <w:b/>
          <w:color w:val="000000" w:themeColor="text1"/>
          <w:sz w:val="24"/>
          <w:szCs w:val="24"/>
        </w:rPr>
        <w:t>I</w:t>
      </w:r>
      <w:r>
        <w:rPr>
          <w:rFonts w:ascii="Bookman Old Style" w:hAnsi="Bookman Old Style" w:cs="Arial"/>
          <w:b/>
          <w:color w:val="000000" w:themeColor="text1"/>
          <w:sz w:val="24"/>
          <w:szCs w:val="24"/>
        </w:rPr>
        <w:t>V</w:t>
      </w:r>
      <w:r w:rsidR="00067922" w:rsidRPr="00CC0EE5">
        <w:rPr>
          <w:rFonts w:ascii="Bookman Old Style" w:hAnsi="Bookman Old Style" w:cs="Arial"/>
          <w:b/>
          <w:color w:val="000000" w:themeColor="text1"/>
          <w:sz w:val="24"/>
          <w:szCs w:val="24"/>
        </w:rPr>
        <w:t xml:space="preserve">.   </w:t>
      </w:r>
    </w:p>
    <w:p w:rsidR="00067922" w:rsidRPr="00CC0EE5" w:rsidRDefault="00067922" w:rsidP="00D2128C">
      <w:pPr>
        <w:spacing w:after="0" w:line="240" w:lineRule="auto"/>
        <w:jc w:val="center"/>
        <w:rPr>
          <w:rFonts w:ascii="Bookman Old Style" w:eastAsia="Bookman Old Style" w:hAnsi="Bookman Old Style" w:cs="Bookman Old Style"/>
          <w:sz w:val="26"/>
          <w:szCs w:val="26"/>
        </w:rPr>
      </w:pPr>
      <w:r w:rsidRPr="00CC0EE5">
        <w:rPr>
          <w:rFonts w:ascii="Bookman Old Style" w:hAnsi="Bookman Old Style" w:cs="Arial"/>
          <w:b/>
          <w:color w:val="000000" w:themeColor="text1"/>
          <w:sz w:val="24"/>
          <w:szCs w:val="24"/>
        </w:rPr>
        <w:t>Situación militar</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3457FD" w:rsidP="00067922">
      <w:pPr>
        <w:spacing w:after="0" w:line="240" w:lineRule="auto"/>
        <w:jc w:val="both"/>
        <w:rPr>
          <w:rFonts w:ascii="Bookman Old Style" w:eastAsia="Bookman Old Style" w:hAnsi="Bookman Old Style" w:cs="Bookman Old Style"/>
          <w:sz w:val="26"/>
          <w:szCs w:val="26"/>
        </w:rPr>
      </w:pPr>
      <w:r>
        <w:rPr>
          <w:rFonts w:ascii="Bookman Old Style" w:hAnsi="Bookman Old Style" w:cs="Arial"/>
          <w:b/>
          <w:color w:val="000000" w:themeColor="text1"/>
          <w:sz w:val="24"/>
          <w:szCs w:val="24"/>
        </w:rPr>
        <w:t>Artículo 24</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 xml:space="preserve"> Adiciónese el parágrafo 3 al artículo 4 de la Ley 1861 de 2017, el cual quedará así:</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2E1C35">
        <w:rPr>
          <w:rFonts w:ascii="Bookman Old Style" w:hAnsi="Bookman Old Style" w:cs="Arial"/>
          <w:b/>
          <w:color w:val="000000" w:themeColor="text1"/>
          <w:sz w:val="24"/>
          <w:szCs w:val="24"/>
        </w:rPr>
        <w:t>PARÁGRAFO 3o.</w:t>
      </w:r>
      <w:r w:rsidRPr="00CC0EE5">
        <w:rPr>
          <w:rFonts w:ascii="Bookman Old Style" w:hAnsi="Bookman Old Style" w:cs="Arial"/>
          <w:color w:val="000000" w:themeColor="text1"/>
          <w:sz w:val="24"/>
          <w:szCs w:val="24"/>
        </w:rPr>
        <w:t xml:space="preserve">  Las mujeres trans, hombres trans, personas no binarias y personas con identidades de género diversas podrán prestar el servicio militar de manera voluntaria. El Ministerio de Defensa establecerá los lineamientos para prevenir, atender y sancionar la violencia y discriminación en razón de la identidad de género, así como adelantará procesos de capacitación y sensibilización a las Fuerzas Armadas con enfoque diferencial, dentro de los seis (6) meses siguientes a la promulgación de la presente ley.</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3457FD" w:rsidP="00067922">
      <w:pPr>
        <w:spacing w:after="0" w:line="240" w:lineRule="auto"/>
        <w:jc w:val="both"/>
        <w:rPr>
          <w:rFonts w:ascii="Bookman Old Style" w:eastAsia="Bookman Old Style" w:hAnsi="Bookman Old Style" w:cs="Bookman Old Style"/>
          <w:sz w:val="26"/>
          <w:szCs w:val="26"/>
        </w:rPr>
      </w:pPr>
      <w:r>
        <w:rPr>
          <w:rFonts w:ascii="Bookman Old Style" w:hAnsi="Bookman Old Style" w:cs="Arial"/>
          <w:b/>
          <w:color w:val="000000" w:themeColor="text1"/>
          <w:sz w:val="24"/>
          <w:szCs w:val="24"/>
        </w:rPr>
        <w:t>Artículo 25</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 xml:space="preserve"> Modifíquese el literal k del artículo 12 de la Ley 1861 de 2017, el cual quedará así:</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k.  Las personas con identidades de género diversas, a través de una declaración juramentada que manifieste el auto reconocimiento de su identidad de género.</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3457FD" w:rsidP="00067922">
      <w:pPr>
        <w:spacing w:after="0" w:line="240" w:lineRule="auto"/>
        <w:jc w:val="both"/>
        <w:rPr>
          <w:rFonts w:ascii="Bookman Old Style" w:eastAsia="Bookman Old Style" w:hAnsi="Bookman Old Style" w:cs="Bookman Old Style"/>
          <w:sz w:val="26"/>
          <w:szCs w:val="26"/>
        </w:rPr>
      </w:pPr>
      <w:r>
        <w:rPr>
          <w:rFonts w:ascii="Bookman Old Style" w:hAnsi="Bookman Old Style" w:cs="Arial"/>
          <w:b/>
          <w:color w:val="000000" w:themeColor="text1"/>
          <w:sz w:val="24"/>
          <w:szCs w:val="24"/>
        </w:rPr>
        <w:t>Artículo 26</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Adiciónese el parágrafo 6 al artículo 17 de la Ley 1861 de 2017, el cual quedará así:</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7A467E"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b/>
          <w:color w:val="000000" w:themeColor="text1"/>
          <w:sz w:val="24"/>
          <w:szCs w:val="24"/>
        </w:rPr>
        <w:t xml:space="preserve">PARÁGRAFO 6°. </w:t>
      </w:r>
      <w:r w:rsidR="00067922" w:rsidRPr="00CC0EE5">
        <w:rPr>
          <w:rFonts w:ascii="Bookman Old Style" w:hAnsi="Bookman Old Style" w:cs="Arial"/>
          <w:color w:val="000000" w:themeColor="text1"/>
          <w:sz w:val="24"/>
          <w:szCs w:val="24"/>
        </w:rPr>
        <w:t xml:space="preserve">El Ministerio de Defensa Nacional establecerá un protocolo diferencial de atención, prevención de la discriminación, la violencia por prejuicio y el reclutamiento involuntario de personas con identidades de </w:t>
      </w:r>
      <w:r w:rsidR="00067922" w:rsidRPr="00CC0EE5">
        <w:rPr>
          <w:rFonts w:ascii="Bookman Old Style" w:hAnsi="Bookman Old Style" w:cs="Arial"/>
          <w:color w:val="000000" w:themeColor="text1"/>
          <w:sz w:val="24"/>
          <w:szCs w:val="24"/>
        </w:rPr>
        <w:lastRenderedPageBreak/>
        <w:t>género diversas, durante cada una de las etapas de definición de la situación militar, el cual será expedido en los seis (6) meses siguientes a la entrada en vigencia de la presente ley.</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El Ministerio de Educación Nacional creará un protocolo de difusión, en articulación con los planteles educativos informarán a los estudiantes de grados superiores las causales de exención del servicio militar, haciendo énfasis en el numeral k para prevenir el reclutamiento involuntario de personas con identidades de género diversas.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Artículo </w:t>
      </w:r>
      <w:r w:rsidR="003457FD">
        <w:rPr>
          <w:rFonts w:ascii="Bookman Old Style" w:hAnsi="Bookman Old Style" w:cs="Arial"/>
          <w:b/>
          <w:color w:val="000000" w:themeColor="text1"/>
          <w:sz w:val="24"/>
          <w:szCs w:val="24"/>
        </w:rPr>
        <w:t>27</w:t>
      </w:r>
      <w:r w:rsidRPr="00CC0EE5">
        <w:rPr>
          <w:rFonts w:ascii="Bookman Old Style" w:hAnsi="Bookman Old Style" w:cs="Arial"/>
          <w:b/>
          <w:color w:val="000000" w:themeColor="text1"/>
          <w:sz w:val="24"/>
          <w:szCs w:val="24"/>
        </w:rPr>
        <w:t xml:space="preserve">.  </w:t>
      </w:r>
      <w:r w:rsidRPr="00CC0EE5">
        <w:rPr>
          <w:rFonts w:ascii="Bookman Old Style" w:hAnsi="Bookman Old Style" w:cs="Arial"/>
          <w:color w:val="000000" w:themeColor="text1"/>
          <w:sz w:val="24"/>
          <w:szCs w:val="24"/>
        </w:rPr>
        <w:t>Adiciónese el parágrafo 1 al artículo 18 de la Ley 1861 de 2017, el cual quedará así:</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b/>
          <w:color w:val="000000" w:themeColor="text1"/>
          <w:sz w:val="24"/>
          <w:szCs w:val="24"/>
        </w:rPr>
        <w:t xml:space="preserve">PARÁGRAFO 1º.  </w:t>
      </w:r>
      <w:r w:rsidRPr="00CC0EE5">
        <w:rPr>
          <w:rFonts w:ascii="Bookman Old Style" w:hAnsi="Bookman Old Style" w:cs="Arial"/>
          <w:color w:val="000000" w:themeColor="text1"/>
          <w:sz w:val="24"/>
          <w:szCs w:val="24"/>
        </w:rPr>
        <w:t>El Ministerio de Defensa Nacional garantizará mediante un protocolo diferencial la prevención de la patologización y de todo acto de discriminación y violencia durante la evaluación de aptitud psicofísica que involucre a mujeres trans, hombres trans, personas no binarias y personas con identidades de género diversas, el cual se expedirá en los seis (6) meses siguientes a la entrada en vigencia de la presente ley.</w:t>
      </w:r>
    </w:p>
    <w:p w:rsidR="00067922" w:rsidRDefault="00067922" w:rsidP="00067922">
      <w:pPr>
        <w:spacing w:after="0" w:line="240" w:lineRule="auto"/>
        <w:jc w:val="both"/>
        <w:rPr>
          <w:rFonts w:ascii="Bookman Old Style" w:hAnsi="Bookman Old Style" w:cs="Arial"/>
          <w:color w:val="000000" w:themeColor="text1"/>
          <w:sz w:val="24"/>
          <w:szCs w:val="24"/>
        </w:rPr>
      </w:pPr>
    </w:p>
    <w:p w:rsidR="00D82A4A" w:rsidRPr="00CC0EE5" w:rsidRDefault="00D82A4A" w:rsidP="00067922">
      <w:pPr>
        <w:spacing w:after="0" w:line="240" w:lineRule="auto"/>
        <w:jc w:val="both"/>
        <w:rPr>
          <w:rFonts w:ascii="Bookman Old Style" w:hAnsi="Bookman Old Style" w:cs="Arial"/>
          <w:color w:val="000000" w:themeColor="text1"/>
          <w:sz w:val="24"/>
          <w:szCs w:val="24"/>
        </w:rPr>
      </w:pPr>
    </w:p>
    <w:p w:rsidR="00360C55" w:rsidRDefault="00A37F0F" w:rsidP="003457FD">
      <w:pPr>
        <w:spacing w:after="0" w:line="240" w:lineRule="auto"/>
        <w:jc w:val="center"/>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Capítulo V</w:t>
      </w:r>
      <w:r w:rsidR="00067922" w:rsidRPr="00CC0EE5">
        <w:rPr>
          <w:rFonts w:ascii="Bookman Old Style" w:hAnsi="Bookman Old Style" w:cs="Arial"/>
          <w:b/>
          <w:color w:val="000000" w:themeColor="text1"/>
          <w:sz w:val="24"/>
          <w:szCs w:val="24"/>
        </w:rPr>
        <w:t>.</w:t>
      </w:r>
    </w:p>
    <w:p w:rsidR="00067922" w:rsidRPr="00CC0EE5" w:rsidRDefault="00067922" w:rsidP="003457FD">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 xml:space="preserve">  Garantías para la participación efectiva</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360C55" w:rsidP="00067922">
      <w:pPr>
        <w:spacing w:after="0" w:line="240" w:lineRule="auto"/>
        <w:jc w:val="both"/>
        <w:rPr>
          <w:rFonts w:ascii="Bookman Old Style" w:eastAsia="Bookman Old Style" w:hAnsi="Bookman Old Style" w:cs="Bookman Old Style"/>
          <w:sz w:val="26"/>
          <w:szCs w:val="26"/>
        </w:rPr>
      </w:pPr>
      <w:r>
        <w:rPr>
          <w:rFonts w:ascii="Bookman Old Style" w:hAnsi="Bookman Old Style" w:cs="Arial"/>
          <w:b/>
          <w:color w:val="000000" w:themeColor="text1"/>
          <w:sz w:val="24"/>
          <w:szCs w:val="24"/>
        </w:rPr>
        <w:t>Artículo 28</w:t>
      </w:r>
      <w:r w:rsidR="00067922" w:rsidRPr="00CC0EE5">
        <w:rPr>
          <w:rFonts w:ascii="Bookman Old Style" w:hAnsi="Bookman Old Style" w:cs="Arial"/>
          <w:b/>
          <w:color w:val="000000" w:themeColor="text1"/>
          <w:sz w:val="24"/>
          <w:szCs w:val="24"/>
        </w:rPr>
        <w:t xml:space="preserve">.  Participación de las personas con identidades de género diversas y de sus organizaciones. </w:t>
      </w:r>
      <w:r w:rsidR="00067922" w:rsidRPr="00CC0EE5">
        <w:rPr>
          <w:rFonts w:ascii="Bookman Old Style" w:hAnsi="Bookman Old Style" w:cs="Arial"/>
          <w:color w:val="000000" w:themeColor="text1"/>
          <w:sz w:val="24"/>
          <w:szCs w:val="24"/>
        </w:rPr>
        <w:t xml:space="preserve"> Se garantizará la participación de las personas con identidades de género diversas y de sus organizaciones, en todas las instancias de participación ciudadana, particularmente en los siguientes ámbitos y espacios propios del sector:</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 xml:space="preserve">1. </w:t>
      </w:r>
      <w:r w:rsidRPr="00CC0EE5">
        <w:rPr>
          <w:rFonts w:ascii="Bookman Old Style" w:hAnsi="Bookman Old Style" w:cs="Arial"/>
          <w:color w:val="000000" w:themeColor="text1"/>
          <w:sz w:val="24"/>
          <w:szCs w:val="24"/>
        </w:rPr>
        <w:tab/>
        <w:t>En todos los órganos o instituciones relacionados con los derechos de las personas LGBTIQ+ y su implementación.</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 xml:space="preserve">2. </w:t>
      </w:r>
      <w:r w:rsidRPr="00CC0EE5">
        <w:rPr>
          <w:rFonts w:ascii="Bookman Old Style" w:hAnsi="Bookman Old Style" w:cs="Arial"/>
          <w:color w:val="000000" w:themeColor="text1"/>
          <w:sz w:val="24"/>
          <w:szCs w:val="24"/>
        </w:rPr>
        <w:tab/>
        <w:t>En la actualización, implementación, se</w:t>
      </w:r>
      <w:r w:rsidRPr="006C4705">
        <w:rPr>
          <w:rFonts w:ascii="Bookman Old Style" w:hAnsi="Bookman Old Style" w:cs="Arial"/>
          <w:bCs/>
          <w:color w:val="000000" w:themeColor="text1"/>
          <w:sz w:val="24"/>
          <w:szCs w:val="24"/>
        </w:rPr>
        <w:t>gu</w:t>
      </w:r>
      <w:r w:rsidRPr="00CC0EE5">
        <w:rPr>
          <w:rFonts w:ascii="Bookman Old Style" w:hAnsi="Bookman Old Style" w:cs="Arial"/>
          <w:color w:val="000000" w:themeColor="text1"/>
          <w:sz w:val="24"/>
          <w:szCs w:val="24"/>
        </w:rPr>
        <w:t>imiento y veeduría de la Política Pública Nacional para la Garantía de los derechos de las personas de los sectores sociales LGBTIQ+.</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 xml:space="preserve">3. </w:t>
      </w:r>
      <w:r w:rsidRPr="00CC0EE5">
        <w:rPr>
          <w:rFonts w:ascii="Bookman Old Style" w:hAnsi="Bookman Old Style" w:cs="Arial"/>
          <w:color w:val="000000" w:themeColor="text1"/>
          <w:sz w:val="24"/>
          <w:szCs w:val="24"/>
        </w:rPr>
        <w:tab/>
        <w:t>En los procesos de participación para la toma de decisiones, particularmente en los aspectos social, económico, ambiental, político, educativo, laboral y cultural.</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lastRenderedPageBreak/>
        <w:t xml:space="preserve">4. </w:t>
      </w:r>
      <w:r w:rsidRPr="00CC0EE5">
        <w:rPr>
          <w:rFonts w:ascii="Bookman Old Style" w:hAnsi="Bookman Old Style" w:cs="Arial"/>
          <w:color w:val="000000" w:themeColor="text1"/>
          <w:sz w:val="24"/>
          <w:szCs w:val="24"/>
        </w:rPr>
        <w:tab/>
        <w:t>En las instancias de participación de los consejos de juventudes, las mesas de participación de víctimas, entre otras instancias sectoriales y temáticas que les afecten.</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Bookman Old Style" w:eastAsia="Bookman Old Style" w:hAnsi="Bookman Old Style" w:cs="Bookman Old Style"/>
          <w:sz w:val="26"/>
          <w:szCs w:val="26"/>
        </w:rPr>
      </w:pPr>
      <w:r w:rsidRPr="00CC0EE5">
        <w:rPr>
          <w:rFonts w:ascii="Bookman Old Style" w:hAnsi="Bookman Old Style" w:cs="Arial"/>
          <w:color w:val="000000" w:themeColor="text1"/>
          <w:sz w:val="24"/>
          <w:szCs w:val="24"/>
        </w:rPr>
        <w:t xml:space="preserve">5. </w:t>
      </w:r>
      <w:r w:rsidRPr="00CC0EE5">
        <w:rPr>
          <w:rFonts w:ascii="Bookman Old Style" w:hAnsi="Bookman Old Style" w:cs="Arial"/>
          <w:color w:val="000000" w:themeColor="text1"/>
          <w:sz w:val="24"/>
          <w:szCs w:val="24"/>
        </w:rPr>
        <w:tab/>
        <w:t xml:space="preserve">En la </w:t>
      </w:r>
      <w:r w:rsidRPr="006C4705">
        <w:rPr>
          <w:rFonts w:ascii="Bookman Old Style" w:hAnsi="Bookman Old Style" w:cs="Arial"/>
          <w:color w:val="000000" w:themeColor="text1"/>
          <w:sz w:val="24"/>
          <w:szCs w:val="24"/>
        </w:rPr>
        <w:t>formulación, planificación y eje</w:t>
      </w:r>
      <w:r w:rsidRPr="00CC0EE5">
        <w:rPr>
          <w:rFonts w:ascii="Bookman Old Style" w:hAnsi="Bookman Old Style" w:cs="Arial"/>
          <w:color w:val="000000" w:themeColor="text1"/>
          <w:sz w:val="24"/>
          <w:szCs w:val="24"/>
        </w:rPr>
        <w:t>cución de las políticas de los procesos culturales, mediante los Consejos de Cultura Nacional, Departamental, Distrital y Municipal, de acuerdo a lo establecido en la Ley General de Cultura.</w:t>
      </w:r>
    </w:p>
    <w:p w:rsidR="00067922" w:rsidRPr="00CC0EE5" w:rsidRDefault="00067922" w:rsidP="00067922">
      <w:pPr>
        <w:spacing w:after="0" w:line="240" w:lineRule="auto"/>
        <w:jc w:val="both"/>
        <w:rPr>
          <w:rFonts w:ascii="Bookman Old Style" w:eastAsia="Bookman Old Style" w:hAnsi="Bookman Old Style" w:cs="Bookman Old Style"/>
          <w:sz w:val="26"/>
          <w:szCs w:val="26"/>
        </w:rPr>
      </w:pPr>
    </w:p>
    <w:p w:rsidR="00067922" w:rsidRPr="00CC0EE5" w:rsidRDefault="00067922" w:rsidP="00067922">
      <w:pPr>
        <w:spacing w:after="0" w:line="240" w:lineRule="auto"/>
        <w:jc w:val="both"/>
        <w:rPr>
          <w:rFonts w:ascii="Cambria" w:eastAsia="Cambria" w:hAnsi="Cambria" w:cs="Cambria"/>
          <w:sz w:val="24"/>
          <w:szCs w:val="24"/>
          <w:highlight w:val="white"/>
        </w:rPr>
      </w:pPr>
    </w:p>
    <w:p w:rsidR="00360C55" w:rsidRDefault="00A37F0F" w:rsidP="00360C55">
      <w:pPr>
        <w:spacing w:after="0" w:line="240" w:lineRule="auto"/>
        <w:jc w:val="center"/>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Capítulo V</w:t>
      </w:r>
      <w:r w:rsidR="00360C55">
        <w:rPr>
          <w:rFonts w:ascii="Bookman Old Style" w:hAnsi="Bookman Old Style" w:cs="Arial"/>
          <w:b/>
          <w:color w:val="000000" w:themeColor="text1"/>
          <w:sz w:val="24"/>
          <w:szCs w:val="24"/>
        </w:rPr>
        <w:t>I</w:t>
      </w:r>
      <w:r w:rsidR="00067922" w:rsidRPr="00CC0EE5">
        <w:rPr>
          <w:rFonts w:ascii="Bookman Old Style" w:hAnsi="Bookman Old Style" w:cs="Arial"/>
          <w:b/>
          <w:color w:val="000000" w:themeColor="text1"/>
          <w:sz w:val="24"/>
          <w:szCs w:val="24"/>
        </w:rPr>
        <w:t>.</w:t>
      </w:r>
    </w:p>
    <w:p w:rsidR="00067922" w:rsidRPr="00CC0EE5" w:rsidRDefault="00067922" w:rsidP="00360C55">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Trabajo y autonomía económica</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360C55"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29</w:t>
      </w:r>
      <w:r w:rsidR="00067922" w:rsidRPr="00CC0EE5">
        <w:rPr>
          <w:rFonts w:ascii="Bookman Old Style" w:hAnsi="Bookman Old Style" w:cs="Arial"/>
          <w:b/>
          <w:color w:val="000000" w:themeColor="text1"/>
          <w:sz w:val="24"/>
          <w:szCs w:val="24"/>
        </w:rPr>
        <w:t>.  Medidas afirmativas para la garantía del derecho al trabajo</w:t>
      </w:r>
      <w:r w:rsidR="002E1C35">
        <w:rPr>
          <w:rFonts w:ascii="Bookman Old Style" w:hAnsi="Bookman Old Style" w:cs="Arial"/>
          <w:color w:val="000000" w:themeColor="text1"/>
          <w:sz w:val="24"/>
          <w:szCs w:val="24"/>
        </w:rPr>
        <w:t xml:space="preserve">. </w:t>
      </w:r>
      <w:r w:rsidR="00067922" w:rsidRPr="00CC0EE5">
        <w:rPr>
          <w:rFonts w:ascii="Bookman Old Style" w:hAnsi="Bookman Old Style" w:cs="Arial"/>
          <w:color w:val="000000" w:themeColor="text1"/>
          <w:sz w:val="24"/>
          <w:szCs w:val="24"/>
        </w:rPr>
        <w:t>Para garantizar el derecho al trabajo de las personas con identidades de género diversas, en términos de igualdad de oportunidades, equidad e inclusión, el Gobierno Nacional, a través de las entidades competentes, establecerá entre otras las siguientes medidas: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1)</w:t>
      </w:r>
      <w:r w:rsidRPr="00CC0EE5">
        <w:rPr>
          <w:rFonts w:ascii="Bookman Old Style" w:hAnsi="Bookman Old Style" w:cs="Arial"/>
          <w:color w:val="000000" w:themeColor="text1"/>
          <w:sz w:val="24"/>
          <w:szCs w:val="24"/>
        </w:rPr>
        <w:tab/>
        <w:t>El Gobierno Nacional, a través del Ministerio de Trabajo, el Ministerio de Industria, Comercio y Turismo y el Departamento Administrativo de la Función Pública o quienes hagan sus veces, expedirá las normas reglamentarias y políticas públicas que sean pertinentes, a fin de lograr la transversalización del enfoque diferencial para las personas con identidades de género diversas y generar incentivos, con el fin de que las mismas sean contratadas con todas las exigencias y garantías legalmente establecidas por el sector privado y público.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2)</w:t>
      </w:r>
      <w:r w:rsidRPr="00CC0EE5">
        <w:rPr>
          <w:rFonts w:ascii="Bookman Old Style" w:hAnsi="Bookman Old Style" w:cs="Arial"/>
          <w:color w:val="000000" w:themeColor="text1"/>
          <w:sz w:val="24"/>
          <w:szCs w:val="24"/>
        </w:rPr>
        <w:tab/>
        <w:t>El Ministerio de Trabajo y el Ministerio de Comercio, Industria y Turismo y el Departamento Administrativo de la Función Pública, o quienes hagan sus veces, deberán: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a)</w:t>
      </w:r>
      <w:r w:rsidRPr="00CC0EE5">
        <w:rPr>
          <w:rFonts w:ascii="Bookman Old Style" w:eastAsia="Cambria" w:hAnsi="Bookman Old Style" w:cs="Cambria"/>
          <w:sz w:val="24"/>
          <w:szCs w:val="24"/>
        </w:rPr>
        <w:tab/>
        <w:t xml:space="preserve">Garantizar la adopción de medidas, lineamientos y mecanismos que prohíban explícitamente la discriminación por razón de identidad de género, en el empleo público y privado, y dirigidas a  proteger a las personas con identidades de género diversas que ya se encuentran vinculadas a una actividad laboral o comercial, así como a aquellas que se encuentran buscando empleo asegurando que estén  protegidas contra cualquier forma de discriminación en el marco de los procesos de promoción, selección, capacitación profesional, contratación, despido, indemnizaciones, liquidaciones y remuneración.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b)</w:t>
      </w:r>
      <w:r w:rsidRPr="00CC0EE5">
        <w:rPr>
          <w:rFonts w:ascii="Bookman Old Style" w:eastAsia="Cambria" w:hAnsi="Bookman Old Style" w:cs="Cambria"/>
          <w:sz w:val="24"/>
          <w:szCs w:val="24"/>
        </w:rPr>
        <w:tab/>
        <w:t xml:space="preserve">Adoptar dentro de la Política Nacional de Empleo y demás políticas públicas relacionadas las medidas pertinentes dirigidas a la creación y </w:t>
      </w:r>
      <w:r w:rsidRPr="00CC0EE5">
        <w:rPr>
          <w:rFonts w:ascii="Bookman Old Style" w:eastAsia="Cambria" w:hAnsi="Bookman Old Style" w:cs="Cambria"/>
          <w:sz w:val="24"/>
          <w:szCs w:val="24"/>
        </w:rPr>
        <w:lastRenderedPageBreak/>
        <w:t xml:space="preserve">promoción de fuentes de trabajo para las personas con identidades de género diversas.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c)</w:t>
      </w:r>
      <w:r w:rsidRPr="00CC0EE5">
        <w:rPr>
          <w:rFonts w:ascii="Bookman Old Style" w:eastAsia="Cambria" w:hAnsi="Bookman Old Style" w:cs="Cambria"/>
          <w:sz w:val="24"/>
          <w:szCs w:val="24"/>
        </w:rPr>
        <w:tab/>
        <w:t>Impulsar la creación y fortalecimiento de unidades productivas, mediante capacitación técnica y empresarial, así como el acceso a líneas de crédito específicas, con bajas tasas de interés, para personas con identidades de género diversas en condiciones de vulnerabilidad.  Asimismo, se brindará apoyo con tecnologías de la información y la comunicación, y diseño de páginas web para la difusión de sus productos, dando prelación a la distribución, venta y adquisición de sus productos por parte de las entidades públicas a través de los mecanismos existentes;</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d)</w:t>
      </w:r>
      <w:r w:rsidRPr="00CC0EE5">
        <w:rPr>
          <w:rFonts w:ascii="Bookman Old Style" w:eastAsia="Cambria" w:hAnsi="Bookman Old Style" w:cs="Cambria"/>
          <w:sz w:val="24"/>
          <w:szCs w:val="24"/>
        </w:rPr>
        <w:tab/>
        <w:t>Incentivar el desarrollo de negocios inclusivos y fortalecer el emprendimiento y crecimiento empresarial de los negocios y empresas que propenden por la autonomía económica y superación de la pobreza de las personas con identidades de género diversas, mediante programas de intermediación de mercados que potencien la producción, la comercialización o venta de productos y servicios generados por las mismas, a partir del financiamiento con recursos específicos y estrategias dirigidas;</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e)</w:t>
      </w:r>
      <w:r w:rsidRPr="00CC0EE5">
        <w:rPr>
          <w:rFonts w:ascii="Bookman Old Style" w:eastAsia="Cambria" w:hAnsi="Bookman Old Style" w:cs="Cambria"/>
          <w:sz w:val="24"/>
          <w:szCs w:val="24"/>
        </w:rPr>
        <w:tab/>
        <w:t xml:space="preserve">Documentar y reconocer el trabajo y las actividades productivas de las personas con identidades de género diversas en los sistemas de información que manejan.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 xml:space="preserve">f)  </w:t>
      </w:r>
      <w:r w:rsidRPr="00CC0EE5">
        <w:rPr>
          <w:rFonts w:ascii="Bookman Old Style" w:eastAsia="Cambria" w:hAnsi="Bookman Old Style" w:cs="Cambria"/>
          <w:sz w:val="24"/>
          <w:szCs w:val="24"/>
        </w:rPr>
        <w:tab/>
        <w:t xml:space="preserve">Promover la participación de personas con identidades de género diversas en los programas de empleo e inserción económica establecidos para poblaciones priorizadas, por ejemplo, adultos mayores, personas pos-penadas, víctimas del conflicto armado, personas migrantes y personas con discapacidad.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3)</w:t>
      </w:r>
      <w:r w:rsidRPr="00CC0EE5">
        <w:rPr>
          <w:rFonts w:ascii="Bookman Old Style" w:eastAsia="Cambria" w:hAnsi="Bookman Old Style" w:cs="Cambria"/>
          <w:sz w:val="24"/>
          <w:szCs w:val="24"/>
        </w:rPr>
        <w:tab/>
        <w:t>El Servicio Nacional de Aprendizaje, SENA, deberá:</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a)</w:t>
      </w:r>
      <w:r w:rsidRPr="00CC0EE5">
        <w:rPr>
          <w:rFonts w:ascii="Bookman Old Style" w:eastAsia="Cambria" w:hAnsi="Bookman Old Style" w:cs="Cambria"/>
          <w:sz w:val="24"/>
          <w:szCs w:val="24"/>
        </w:rPr>
        <w:tab/>
        <w:t xml:space="preserve">Implementar políticas y planes para la inclusión y permanencia efectiva de las personas con identidades de género diversas en todos sus programas y servicios de la entidad y apoyo pedagógico.  Asegurando la capacitación y formación al trabajo teniendo en cuenta la oferta laboral del país, en coordinación con el Servicio Público de Empleo.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b)</w:t>
      </w:r>
      <w:r w:rsidRPr="00CC0EE5">
        <w:rPr>
          <w:rFonts w:ascii="Bookman Old Style" w:eastAsia="Cambria" w:hAnsi="Bookman Old Style" w:cs="Cambria"/>
          <w:sz w:val="24"/>
          <w:szCs w:val="24"/>
        </w:rPr>
        <w:tab/>
        <w:t>Garantizar asesoría y acompañamiento a las y los empresarios que deseen contratar personas con identidades de género diversas;</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c)</w:t>
      </w:r>
      <w:r w:rsidRPr="00CC0EE5">
        <w:rPr>
          <w:rFonts w:ascii="Bookman Old Style" w:eastAsia="Cambria" w:hAnsi="Bookman Old Style" w:cs="Cambria"/>
          <w:sz w:val="24"/>
          <w:szCs w:val="24"/>
        </w:rPr>
        <w:tab/>
        <w:t xml:space="preserve">Fortalecer el Servicio Público de Empleo de cada Regional para que garantice el acceso y beneficio de las personas con identidades de género </w:t>
      </w:r>
      <w:r w:rsidRPr="00CC0EE5">
        <w:rPr>
          <w:rFonts w:ascii="Bookman Old Style" w:eastAsia="Cambria" w:hAnsi="Bookman Old Style" w:cs="Cambria"/>
          <w:sz w:val="24"/>
          <w:szCs w:val="24"/>
        </w:rPr>
        <w:lastRenderedPageBreak/>
        <w:t>diversas mediante estrategias de promoción direccionadas hacia el sector empresarial;</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d)</w:t>
      </w:r>
      <w:r w:rsidRPr="00CC0EE5">
        <w:rPr>
          <w:rFonts w:ascii="Bookman Old Style" w:eastAsia="Cambria" w:hAnsi="Bookman Old Style" w:cs="Cambria"/>
          <w:sz w:val="24"/>
          <w:szCs w:val="24"/>
        </w:rPr>
        <w:tab/>
        <w:t>Difundir, promover y garantizar los programas de refrendación de conocimientos impartido por organizaciones de y para las personas con identidades de género diversas, que cumplan con los requisitos;</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highlight w:val="white"/>
        </w:rPr>
      </w:pPr>
      <w:r w:rsidRPr="00CC0EE5">
        <w:rPr>
          <w:rFonts w:ascii="Bookman Old Style" w:eastAsia="Cambria" w:hAnsi="Bookman Old Style" w:cs="Cambria"/>
          <w:sz w:val="24"/>
          <w:szCs w:val="24"/>
        </w:rPr>
        <w:t>e)</w:t>
      </w:r>
      <w:r w:rsidRPr="00CC0EE5">
        <w:rPr>
          <w:rFonts w:ascii="Bookman Old Style" w:eastAsia="Cambria" w:hAnsi="Bookman Old Style" w:cs="Cambria"/>
          <w:sz w:val="24"/>
          <w:szCs w:val="24"/>
        </w:rPr>
        <w:tab/>
        <w:t>Crear protocolos y rutas de atención ante casos de violencia y discriminación en razón a la identidad de género al interior de la institución.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Cambria" w:eastAsia="Cambria" w:hAnsi="Cambria" w:cs="Cambria"/>
          <w:sz w:val="24"/>
          <w:szCs w:val="24"/>
          <w:highlight w:val="white"/>
        </w:rPr>
      </w:pPr>
      <w:r w:rsidRPr="006C4705">
        <w:rPr>
          <w:rFonts w:ascii="Bookman Old Style" w:hAnsi="Bookman Old Style" w:cs="Arial"/>
          <w:color w:val="000000" w:themeColor="text1"/>
          <w:sz w:val="24"/>
          <w:szCs w:val="24"/>
        </w:rPr>
        <w:t>4)</w:t>
      </w:r>
      <w:r w:rsidRPr="006C4705">
        <w:rPr>
          <w:rFonts w:ascii="Bookman Old Style" w:hAnsi="Bookman Old Style" w:cs="Arial"/>
          <w:color w:val="000000" w:themeColor="text1"/>
          <w:sz w:val="24"/>
          <w:szCs w:val="24"/>
        </w:rPr>
        <w:tab/>
        <w:t>El Gobierno Nacional reglamentará la implementación de incentivos y compensaciones destinados a los empleadores particulares que contraten laboralmente a personas con identidades de género diversas, en un porcentaje mínimo del 10% de su planta de trabajadores.  En los procesos de contratación y adjudicación de contratos públicos establecerá mecanismos para incentivar la contratación de personas con identidades de género diversas por parte de las empresas contratistas seleccionadas, incluyendo puntuación ponderada que estimule acciones afirmativas dentro de éstas.</w:t>
      </w:r>
    </w:p>
    <w:p w:rsidR="00067922" w:rsidRPr="006C470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Cambria" w:eastAsia="Cambria" w:hAnsi="Cambria" w:cs="Cambria"/>
          <w:sz w:val="24"/>
          <w:szCs w:val="24"/>
          <w:highlight w:val="white"/>
        </w:rPr>
      </w:pPr>
      <w:r w:rsidRPr="006C4705">
        <w:rPr>
          <w:rFonts w:ascii="Bookman Old Style" w:hAnsi="Bookman Old Style" w:cs="Arial"/>
          <w:color w:val="000000" w:themeColor="text1"/>
          <w:sz w:val="24"/>
          <w:szCs w:val="24"/>
        </w:rPr>
        <w:t>5)</w:t>
      </w:r>
      <w:r w:rsidRPr="006C4705">
        <w:rPr>
          <w:rFonts w:ascii="Bookman Old Style" w:hAnsi="Bookman Old Style" w:cs="Arial"/>
          <w:color w:val="000000" w:themeColor="text1"/>
          <w:sz w:val="24"/>
          <w:szCs w:val="24"/>
        </w:rPr>
        <w:tab/>
        <w:t xml:space="preserve">El Gobierno Nacional, departamental, distrital y municipal, promoverá acciones afirmativas </w:t>
      </w:r>
      <w:r w:rsidR="002E1C35">
        <w:rPr>
          <w:rFonts w:ascii="Bookman Old Style" w:hAnsi="Bookman Old Style" w:cs="Arial"/>
          <w:color w:val="000000" w:themeColor="text1"/>
          <w:sz w:val="24"/>
          <w:szCs w:val="24"/>
        </w:rPr>
        <w:t xml:space="preserve">para la promoción de contratistas y proveedores que sean </w:t>
      </w:r>
      <w:r w:rsidRPr="006C4705">
        <w:rPr>
          <w:rFonts w:ascii="Bookman Old Style" w:hAnsi="Bookman Old Style" w:cs="Arial"/>
          <w:color w:val="000000" w:themeColor="text1"/>
          <w:sz w:val="24"/>
          <w:szCs w:val="24"/>
        </w:rPr>
        <w:t>personas con identidades de género diversas</w:t>
      </w:r>
      <w:r w:rsidR="002E1C35">
        <w:rPr>
          <w:rFonts w:ascii="Bookman Old Style" w:hAnsi="Bookman Old Style" w:cs="Arial"/>
          <w:color w:val="000000" w:themeColor="text1"/>
          <w:sz w:val="24"/>
          <w:szCs w:val="24"/>
        </w:rPr>
        <w:t>, siempre que se garantice los principios de la contratación pública</w:t>
      </w:r>
      <w:r w:rsidRPr="006C4705">
        <w:rPr>
          <w:rFonts w:ascii="Bookman Old Style" w:hAnsi="Bookman Old Style" w:cs="Arial"/>
          <w:color w:val="000000" w:themeColor="text1"/>
          <w:sz w:val="24"/>
          <w:szCs w:val="24"/>
        </w:rPr>
        <w:t>.</w:t>
      </w:r>
    </w:p>
    <w:p w:rsidR="00067922" w:rsidRPr="006C470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t>6) La Comisión Nacional del Servicio Civil eliminará todas las barreras de acceso a los concursos de méritos para las personas con identidades de género diversas, para esto adecuará los procesos, procedimientos y caracterización en las etapas de Verificación de requisitos Mínimos y Valoración de Antecedentes en los procesos de selección que se realicen.</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6C4705" w:rsidRDefault="00360C55"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30</w:t>
      </w:r>
      <w:r w:rsidR="00067922" w:rsidRPr="00CC0EE5">
        <w:rPr>
          <w:rFonts w:ascii="Bookman Old Style" w:hAnsi="Bookman Old Style" w:cs="Arial"/>
          <w:b/>
          <w:color w:val="000000" w:themeColor="text1"/>
          <w:sz w:val="24"/>
          <w:szCs w:val="24"/>
        </w:rPr>
        <w:t xml:space="preserve">.  Garantías para el acceso a la vivienda para personas con identidades de género diversas. </w:t>
      </w:r>
      <w:r w:rsidR="00067922" w:rsidRPr="00CC0EE5">
        <w:rPr>
          <w:rFonts w:ascii="Bookman Old Style" w:hAnsi="Bookman Old Style" w:cs="Arial"/>
          <w:color w:val="000000" w:themeColor="text1"/>
          <w:sz w:val="24"/>
          <w:szCs w:val="24"/>
        </w:rPr>
        <w:t xml:space="preserve"> </w:t>
      </w:r>
      <w:r w:rsidR="00067922" w:rsidRPr="006C4705">
        <w:rPr>
          <w:rFonts w:ascii="Bookman Old Style" w:hAnsi="Bookman Old Style" w:cs="Arial"/>
          <w:color w:val="000000" w:themeColor="text1"/>
          <w:sz w:val="24"/>
          <w:szCs w:val="24"/>
        </w:rPr>
        <w:t>Las autoridades públicas, en cabeza del Ministerio de Vivienda, Ciudad y Territorio, en el ámbito de sus competencias, adoptarán medidas destinadas a fortalecer progresivamente el acceso a condiciones de vivienda digna para las personas con identidades de género diversas.</w:t>
      </w:r>
    </w:p>
    <w:p w:rsidR="00067922" w:rsidRPr="006C470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t>1.  El Ministerio de Vivienda, Ciudad y Territorio o quien haga sus veces, deberá:</w:t>
      </w:r>
    </w:p>
    <w:p w:rsidR="00067922" w:rsidRPr="006C470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Cambria" w:eastAsia="Cambria" w:hAnsi="Cambria" w:cs="Cambria"/>
          <w:sz w:val="24"/>
          <w:szCs w:val="24"/>
          <w:highlight w:val="white"/>
        </w:rPr>
      </w:pPr>
      <w:r w:rsidRPr="006C4705">
        <w:rPr>
          <w:rFonts w:ascii="Bookman Old Style" w:hAnsi="Bookman Old Style" w:cs="Arial"/>
          <w:color w:val="000000" w:themeColor="text1"/>
          <w:sz w:val="24"/>
          <w:szCs w:val="24"/>
        </w:rPr>
        <w:t>A.  Prevenir, corregir y eliminar toda forma de discriminación por razón de identidad de género en el acceso a la vivienda;</w:t>
      </w:r>
    </w:p>
    <w:p w:rsidR="00067922" w:rsidRPr="006C470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lastRenderedPageBreak/>
        <w:t>B.  Garantizar progresivamente el acceso de las personas con identidades de género diversas a viviendas de interés social y prioritarias y demás mecanismos públicos dispuestos para la adquisición de vivienda digna;</w:t>
      </w:r>
    </w:p>
    <w:p w:rsidR="00067922" w:rsidRPr="006C4705" w:rsidRDefault="00067922" w:rsidP="00067922">
      <w:pPr>
        <w:spacing w:after="0" w:line="240" w:lineRule="auto"/>
        <w:jc w:val="both"/>
        <w:rPr>
          <w:rFonts w:ascii="Bookman Old Style" w:hAnsi="Bookman Old Style" w:cs="Arial"/>
          <w:color w:val="000000" w:themeColor="text1"/>
          <w:sz w:val="24"/>
          <w:szCs w:val="24"/>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t>C.  Establecer mecanismos para eliminar discriminación o exclusión en el acceso a viviendas en arriendo o alquiler hacia personas con identidades de género diversas;</w:t>
      </w:r>
    </w:p>
    <w:p w:rsidR="00067922" w:rsidRPr="006C4705" w:rsidRDefault="00067922" w:rsidP="00067922">
      <w:pPr>
        <w:spacing w:after="0" w:line="240" w:lineRule="auto"/>
        <w:jc w:val="both"/>
        <w:rPr>
          <w:rFonts w:ascii="Bookman Old Style" w:hAnsi="Bookman Old Style" w:cs="Arial"/>
          <w:color w:val="000000" w:themeColor="text1"/>
          <w:sz w:val="24"/>
          <w:szCs w:val="24"/>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t>D.  Generar acciones afirmativas que permitan el otorgamiento de subsidios de vivienda y habitacionales para las personas con identidad de género diversa de los estratos 1, 2 y 3, de manera prioritaria.</w:t>
      </w:r>
    </w:p>
    <w:p w:rsidR="00067922" w:rsidRPr="006C4705" w:rsidRDefault="00067922" w:rsidP="00067922">
      <w:pPr>
        <w:spacing w:after="0" w:line="240" w:lineRule="auto"/>
        <w:jc w:val="both"/>
        <w:rPr>
          <w:rFonts w:ascii="Bookman Old Style" w:hAnsi="Bookman Old Style" w:cs="Arial"/>
          <w:color w:val="000000" w:themeColor="text1"/>
          <w:sz w:val="24"/>
          <w:szCs w:val="24"/>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t>2.   El Fondo Nacional de Ahorro o quien haga sus veces, podrá desarrollar</w:t>
      </w:r>
      <w:r w:rsidRPr="006C4705">
        <w:rPr>
          <w:rFonts w:ascii="Bookman Old Style" w:hAnsi="Bookman Old Style" w:cs="Arial"/>
          <w:strike/>
          <w:color w:val="000000" w:themeColor="text1"/>
          <w:sz w:val="24"/>
          <w:szCs w:val="24"/>
        </w:rPr>
        <w:t xml:space="preserve"> </w:t>
      </w:r>
      <w:r w:rsidRPr="006C4705">
        <w:rPr>
          <w:rFonts w:ascii="Bookman Old Style" w:hAnsi="Bookman Old Style" w:cs="Arial"/>
          <w:color w:val="000000" w:themeColor="text1"/>
          <w:sz w:val="24"/>
          <w:szCs w:val="24"/>
        </w:rPr>
        <w:t>programas e incentivos para otorgar créditos de vivienda para las personas con identidades de género diversas, con una tasa de interés diferenciales y otros incentivos para el acceso a vivienda digna.</w:t>
      </w:r>
    </w:p>
    <w:p w:rsidR="00067922" w:rsidRPr="006C4705" w:rsidRDefault="00067922" w:rsidP="00067922">
      <w:pPr>
        <w:spacing w:after="0" w:line="240" w:lineRule="auto"/>
        <w:jc w:val="both"/>
        <w:rPr>
          <w:rFonts w:ascii="Cambria" w:eastAsia="Cambria" w:hAnsi="Cambria" w:cs="Cambria"/>
          <w:sz w:val="24"/>
          <w:szCs w:val="24"/>
          <w:highlight w:val="white"/>
        </w:rPr>
      </w:pPr>
    </w:p>
    <w:p w:rsidR="00067922" w:rsidRPr="006C4705" w:rsidRDefault="00067922" w:rsidP="00067922">
      <w:pPr>
        <w:spacing w:after="0" w:line="240" w:lineRule="auto"/>
        <w:jc w:val="both"/>
        <w:rPr>
          <w:rFonts w:ascii="Bookman Old Style" w:hAnsi="Bookman Old Style" w:cs="Arial"/>
          <w:color w:val="000000" w:themeColor="text1"/>
          <w:sz w:val="24"/>
          <w:szCs w:val="24"/>
        </w:rPr>
      </w:pPr>
      <w:r w:rsidRPr="006C4705">
        <w:rPr>
          <w:rFonts w:ascii="Bookman Old Style" w:hAnsi="Bookman Old Style" w:cs="Arial"/>
          <w:color w:val="000000" w:themeColor="text1"/>
          <w:sz w:val="24"/>
          <w:szCs w:val="24"/>
        </w:rPr>
        <w:t>3.  El Departamento Administrativo Nacional de Estadística, en su política de fortalecimiento, actualización y generación de estadísticas sectoriales, particularmente en lo referente a la vivienda, realizará investigación para producir información estadística que contribuya a identificar las condiciones de déficit cuantitativo y cualitativo de vivienda de las personas con identidades de género diversas.</w:t>
      </w:r>
    </w:p>
    <w:p w:rsidR="00D82A4A" w:rsidRDefault="00D82A4A" w:rsidP="00360C55">
      <w:pPr>
        <w:spacing w:after="0" w:line="240" w:lineRule="auto"/>
        <w:jc w:val="center"/>
        <w:rPr>
          <w:rFonts w:ascii="Bookman Old Style" w:hAnsi="Bookman Old Style" w:cs="Arial"/>
          <w:b/>
          <w:color w:val="000000" w:themeColor="text1"/>
          <w:sz w:val="24"/>
          <w:szCs w:val="24"/>
        </w:rPr>
      </w:pPr>
    </w:p>
    <w:p w:rsidR="00D82A4A" w:rsidRDefault="00D82A4A" w:rsidP="00360C55">
      <w:pPr>
        <w:spacing w:after="0" w:line="240" w:lineRule="auto"/>
        <w:jc w:val="center"/>
        <w:rPr>
          <w:rFonts w:ascii="Bookman Old Style" w:hAnsi="Bookman Old Style" w:cs="Arial"/>
          <w:b/>
          <w:color w:val="000000" w:themeColor="text1"/>
          <w:sz w:val="24"/>
          <w:szCs w:val="24"/>
        </w:rPr>
      </w:pPr>
    </w:p>
    <w:p w:rsidR="00360C55" w:rsidRDefault="00067922" w:rsidP="00360C55">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 xml:space="preserve">Capítulo </w:t>
      </w:r>
      <w:r w:rsidR="00A37F0F">
        <w:rPr>
          <w:rFonts w:ascii="Bookman Old Style" w:hAnsi="Bookman Old Style" w:cs="Arial"/>
          <w:b/>
          <w:color w:val="000000" w:themeColor="text1"/>
          <w:sz w:val="24"/>
          <w:szCs w:val="24"/>
        </w:rPr>
        <w:t>VII</w:t>
      </w:r>
      <w:r w:rsidRPr="00CC0EE5">
        <w:rPr>
          <w:rFonts w:ascii="Bookman Old Style" w:hAnsi="Bookman Old Style" w:cs="Arial"/>
          <w:b/>
          <w:color w:val="000000" w:themeColor="text1"/>
          <w:sz w:val="24"/>
          <w:szCs w:val="24"/>
        </w:rPr>
        <w:t>.</w:t>
      </w:r>
    </w:p>
    <w:p w:rsidR="00067922" w:rsidRPr="00CC0EE5" w:rsidRDefault="00067922" w:rsidP="00360C55">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Arte y cultura</w:t>
      </w:r>
    </w:p>
    <w:p w:rsidR="00067922" w:rsidRPr="00CC0EE5" w:rsidRDefault="00067922" w:rsidP="00360C55">
      <w:pPr>
        <w:spacing w:after="0" w:line="240" w:lineRule="auto"/>
        <w:jc w:val="center"/>
        <w:rPr>
          <w:rFonts w:ascii="Bookman Old Style" w:hAnsi="Bookman Old Style" w:cs="Arial"/>
          <w:b/>
          <w:color w:val="000000" w:themeColor="text1"/>
          <w:sz w:val="24"/>
          <w:szCs w:val="24"/>
        </w:rPr>
      </w:pPr>
    </w:p>
    <w:p w:rsidR="00067922" w:rsidRPr="00CC0EE5" w:rsidRDefault="00360C55" w:rsidP="00067922">
      <w:pPr>
        <w:spacing w:after="0" w:line="240" w:lineRule="auto"/>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Artículo 31</w:t>
      </w:r>
      <w:r w:rsidR="00067922" w:rsidRPr="00CC0EE5">
        <w:rPr>
          <w:rFonts w:ascii="Bookman Old Style" w:hAnsi="Bookman Old Style" w:cs="Arial"/>
          <w:b/>
          <w:color w:val="000000" w:themeColor="text1"/>
          <w:sz w:val="24"/>
          <w:szCs w:val="24"/>
        </w:rPr>
        <w:t xml:space="preserve">.   Garantías para el ejercicio pleno de los derechos culturales y el goce de las artes en todas sus manifestaciones. </w:t>
      </w:r>
      <w:r w:rsidR="00067922" w:rsidRPr="00CC0EE5">
        <w:rPr>
          <w:rFonts w:ascii="Bookman Old Style" w:hAnsi="Bookman Old Style" w:cs="Arial"/>
          <w:color w:val="000000" w:themeColor="text1"/>
          <w:sz w:val="24"/>
          <w:szCs w:val="24"/>
        </w:rPr>
        <w:t xml:space="preserve"> El Ministerio de las Culturas, las Artes y los Saberes, de manera articulada al Ministerio de la Igualdad y la Equidad, el Ministerio de Educación y el Sistema de Medios Públicos (RTVC), o quienes hagan sus veces, en el marco de sus competencias, adoptarán las siguientes medidas</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067922" w:rsidP="00067922">
      <w:pPr>
        <w:spacing w:after="0" w:line="240" w:lineRule="auto"/>
        <w:jc w:val="both"/>
        <w:rPr>
          <w:rFonts w:ascii="Bookman Old Style" w:hAnsi="Bookman Old Style" w:cs="Arial"/>
          <w:b/>
          <w:color w:val="000000" w:themeColor="text1"/>
          <w:sz w:val="24"/>
          <w:szCs w:val="24"/>
        </w:rPr>
      </w:pPr>
      <w:r w:rsidRPr="00CC0EE5">
        <w:rPr>
          <w:rFonts w:ascii="Bookman Old Style" w:hAnsi="Bookman Old Style" w:cs="Arial"/>
          <w:color w:val="000000" w:themeColor="text1"/>
          <w:sz w:val="24"/>
          <w:szCs w:val="24"/>
        </w:rPr>
        <w:t>1.  Transversalizar el enfoque de orientaciones sexuales, identidades y expresiones de género diversas -OSIEG- y demás enfoques diferenciales, en todos sus programas, proyectos y lineamientos, además instará a las entidades culturales a nivel regional, departamental y municipal la implementación de este enfoque;</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 xml:space="preserve">2.  Promover, a través de programas y campañas educativos, una cultura ciudadana incluyente, respetuosa y dignificante con las personas con identidades de género diversas, a partir de una transformación cultural para </w:t>
      </w:r>
      <w:r w:rsidRPr="00CC0EE5">
        <w:rPr>
          <w:rFonts w:ascii="Bookman Old Style" w:hAnsi="Bookman Old Style" w:cs="Arial"/>
          <w:color w:val="000000" w:themeColor="text1"/>
          <w:sz w:val="24"/>
          <w:szCs w:val="24"/>
        </w:rPr>
        <w:lastRenderedPageBreak/>
        <w:t>la superación de prejuicios, discriminación y violencias en razón a la identidad y expresión de género diversa.  El Sistema de Medios Públicos (RTVC); en su labor por la transformación cultural, promoverá discursos e imágenes que partan de las voces y autonomía de personas con identidades de género diversas, para superar los estereotipos que recaen sobre esta población.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3.  Implementar planes, proyectos, programas y políticas culturales con enfoque en identidades de género diversas.  Asimismo, fomentará la participación de personas con identidades de género diversas, a través de líneas específicas para esta población, en los programas de estímulos a la creación y programas de Concertación Cultural.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 xml:space="preserve">4.  Crear fondos, becas y estímulos, en el marco de sus competencias, para la producción de obras artísticas y productos culturales que tiendan a superar los estereotipos de género, y que promuevan una cultura de inclusión y respeto hacia las personas con identidades de género diversas.  </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5.  Implementar estrategias de investigación y memoria de las prácticas artísticas y culturales de las personas con identidades de género diversas.  Instar a las entidades regionales, departamentales y municipales para la protección y conservación de estas prácticas.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 xml:space="preserve">6.  Acompañar los procesos de generación de patrimonio cultural a través de ejercicios de memoria histórica de personas con identidades de género diversas y proteger los procesos culturales de grupos y personas con identidades de género diversas que estén en riesgo de desaparecer, por las dinámicas económicas, sociales, políticas o culturales a nivel municipal, departamental, y nacional.  </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7.  Incentivar la cooperativización de colectividades de personas con identidades de género diversas, que trabajan en el sector cultural, a través de fondos, becas y estímulos, que promuevan una economía popular en el sector artístico y cultural.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E80100">
        <w:rPr>
          <w:rFonts w:ascii="Bookman Old Style" w:hAnsi="Bookman Old Style" w:cs="Arial"/>
          <w:bCs/>
          <w:color w:val="000000" w:themeColor="text1"/>
          <w:sz w:val="24"/>
          <w:szCs w:val="24"/>
        </w:rPr>
        <w:t>8.</w:t>
      </w:r>
      <w:r w:rsidRPr="00CC0EE5">
        <w:rPr>
          <w:rFonts w:ascii="Bookman Old Style" w:hAnsi="Bookman Old Style" w:cs="Arial"/>
          <w:b/>
          <w:color w:val="000000" w:themeColor="text1"/>
          <w:sz w:val="24"/>
          <w:szCs w:val="24"/>
        </w:rPr>
        <w:t xml:space="preserve">  </w:t>
      </w:r>
      <w:r w:rsidRPr="00E80100">
        <w:rPr>
          <w:rFonts w:ascii="Bookman Old Style" w:hAnsi="Bookman Old Style" w:cs="Arial"/>
          <w:bCs/>
          <w:color w:val="000000" w:themeColor="text1"/>
          <w:sz w:val="24"/>
          <w:szCs w:val="24"/>
        </w:rPr>
        <w:t>Facilitar el fortalecimiento de</w:t>
      </w:r>
      <w:r w:rsidRPr="00CC0EE5">
        <w:rPr>
          <w:rFonts w:ascii="Bookman Old Style" w:hAnsi="Bookman Old Style" w:cs="Arial"/>
          <w:b/>
          <w:color w:val="000000" w:themeColor="text1"/>
          <w:sz w:val="24"/>
          <w:szCs w:val="24"/>
        </w:rPr>
        <w:t xml:space="preserve"> </w:t>
      </w:r>
      <w:r w:rsidRPr="00CC0EE5">
        <w:rPr>
          <w:rFonts w:ascii="Bookman Old Style" w:hAnsi="Bookman Old Style" w:cs="Arial"/>
          <w:color w:val="000000" w:themeColor="text1"/>
          <w:sz w:val="24"/>
          <w:szCs w:val="24"/>
        </w:rPr>
        <w:t>la infraestructura cultural de las organizaciones de personas con identidades de género diversas que cuenten con espacios propios para la ejecución de sus prácticas artísticas y culturales; además promover el acceso a infraestructura a las organizaciones que no cuentan con los mismos, a través de figuras como el comodato y demás facilidades para el acceso y disfrute de la infraestructura cultural.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lastRenderedPageBreak/>
        <w:t>9.  Crear mecanismos de acceso a los diferentes bienes culturales, de carácter público o privado, para las personas con identidades de género diversas.</w:t>
      </w:r>
    </w:p>
    <w:p w:rsidR="00D82A4A" w:rsidRPr="00CC0EE5" w:rsidRDefault="00D82A4A"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p>
    <w:p w:rsidR="00A37F0F" w:rsidRDefault="00A37F0F" w:rsidP="00D7797C">
      <w:pPr>
        <w:spacing w:after="0" w:line="240" w:lineRule="auto"/>
        <w:jc w:val="center"/>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Capítulo VIII</w:t>
      </w:r>
      <w:r w:rsidR="00067922" w:rsidRPr="00CC0EE5">
        <w:rPr>
          <w:rFonts w:ascii="Bookman Old Style" w:hAnsi="Bookman Old Style" w:cs="Arial"/>
          <w:b/>
          <w:color w:val="000000" w:themeColor="text1"/>
          <w:sz w:val="24"/>
          <w:szCs w:val="24"/>
        </w:rPr>
        <w:t xml:space="preserve">.  </w:t>
      </w:r>
    </w:p>
    <w:p w:rsidR="00067922" w:rsidRPr="00CC0EE5" w:rsidRDefault="00067922" w:rsidP="00D7797C">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Ruralidad y ambiente</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360C55"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32</w:t>
      </w:r>
      <w:r w:rsidR="00067922" w:rsidRPr="00CC0EE5">
        <w:rPr>
          <w:rFonts w:ascii="Bookman Old Style" w:hAnsi="Bookman Old Style" w:cs="Arial"/>
          <w:b/>
          <w:color w:val="000000" w:themeColor="text1"/>
          <w:sz w:val="24"/>
          <w:szCs w:val="24"/>
        </w:rPr>
        <w:t>.  Medidas para el desarrollo rural y ambiental que promuevan la inclusión de las personas con identidades de género diversas</w:t>
      </w:r>
      <w:r w:rsidR="00067922" w:rsidRPr="00CC0EE5">
        <w:rPr>
          <w:rFonts w:ascii="Bookman Old Style" w:hAnsi="Bookman Old Style" w:cs="Arial"/>
          <w:color w:val="000000" w:themeColor="text1"/>
          <w:sz w:val="24"/>
          <w:szCs w:val="24"/>
        </w:rPr>
        <w:t>.  El Ministerio de Agricultura y Desarrollo Rural, el Ministerio de Ambiente y Desarrollo Sostenible, el Ministerio de la Igualdad y Equidad o quien haga sus veces, y las demás entidades competentes, de manera articulada, adoptarán e implementarán medidas, planes, y políticas para garantizar los derechos de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En virtud de lo anterior, el Ministerio de Agricultura y Desarrollo Rural, en el marco de sus competencias, implementará las siguientes medidas: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1.  Diseñar, implementar y socializar los lineamientos técnicos que orientarán el trabajo del Ministerio de Agricultura y Desarrollo Rural y el Ministerio de Ambiente y Desarrollo Sostenible, con el fin de transversalizar los enfoques diferenciales para que incorpore como sujetos de las políticas agrarias y ambientales a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2.  Diseñar e implementar, en articulación con el DANE, herramientas estadísticas u otras medidas necesarias para identificar las necesidades de las personas con identidades de género diversas en materia de acceso a medidas agrarias y ambientales con el fin de diseñar e implementar medidas de política pública específicas en este ámbito.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3.  El Ministerio de Agricultura, en coordinación con la Agencia Nacional de Tierras, diseñará e implementará un programa de acceso y formalización a la tierra con enfoque diferencial dirigida a las personas con identidades de género diversas campesinas y con vocación agraria, en forma individual o asociativa, con el fin de promover el acceso progresivo a la propiedad de la tierra priorizando a aquellas personas y sujetos colectivos que solicitan este tipo de medidas como mecanismo de reparación a las afectaciones diferenciales del conflicto social y armado.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 xml:space="preserve">4.  Las políticas, planes, programas y proyectos implementados para este fin deberán formular líneas de acceso, formalización y medidas de extensión agropecuaria, en las que se garantice la innovación, adaptabilidad, financiamiento y la formulación de proyectos productivos y otras garantías </w:t>
      </w:r>
      <w:r w:rsidRPr="00CC0EE5">
        <w:rPr>
          <w:rFonts w:ascii="Bookman Old Style" w:hAnsi="Bookman Old Style" w:cs="Arial"/>
          <w:color w:val="000000" w:themeColor="text1"/>
          <w:sz w:val="24"/>
          <w:szCs w:val="24"/>
        </w:rPr>
        <w:lastRenderedPageBreak/>
        <w:t>necesarias para lograr un desarrollo rural integral, con un énfasis en la asociatividad, el cooperativismo y la agricultura familiar.</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Asimismo, corresponde al Ministerio de Ambiente y Desarrollo Sostenible, en el marco de sus competencias: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 xml:space="preserve">A.  Desarrollar e implementar lineamientos y estrategias para promover y garantizar la participación ambiental efectiva de la población con identidades de género diversas para toma </w:t>
      </w:r>
      <w:r w:rsidRPr="00E80100">
        <w:rPr>
          <w:rFonts w:ascii="Bookman Old Style" w:hAnsi="Bookman Old Style" w:cs="Arial"/>
          <w:bCs/>
          <w:color w:val="000000" w:themeColor="text1"/>
          <w:sz w:val="24"/>
          <w:szCs w:val="24"/>
        </w:rPr>
        <w:t>la</w:t>
      </w:r>
      <w:r w:rsidRPr="00CC0EE5">
        <w:rPr>
          <w:rFonts w:ascii="Bookman Old Style" w:hAnsi="Bookman Old Style" w:cs="Arial"/>
          <w:color w:val="000000" w:themeColor="text1"/>
          <w:sz w:val="24"/>
          <w:szCs w:val="24"/>
        </w:rPr>
        <w:t xml:space="preserve"> de decisiones en torno a proyectos, planes y programas que afecten su territorio.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B.  El Ministerio de Ambiente, en articulación con el Ministerio de Agricultura, el Ministerio de Tecnologías de la Información y Comunicaciones de Colombia y el Ministerio de Ciencia, Tecnología e Información, deberá garantizar que las personas con identidades de género diversas tengan acceso diferencial a los distintos planes, programas y medidas relacionadas con la ciencia, la investigación, la capacitación, la tecnología y la innovación.  Acciones encaminadas a garantizar prácticas de producción agrarias sostenibles, así como medidas de restauración ecológica, participativa y productiva, con el fin de armonizar las políticas agrarias y ambientales existentes.  Lo anterior reconociendo, fortaleciendo y articulando los conocimientos y prácticas tradicionales ancestrales de las comunidades étnicas y campesinas</w:t>
      </w:r>
    </w:p>
    <w:p w:rsidR="00067922" w:rsidRDefault="00067922" w:rsidP="00067922">
      <w:pPr>
        <w:spacing w:after="0" w:line="240" w:lineRule="auto"/>
        <w:jc w:val="both"/>
        <w:rPr>
          <w:rFonts w:ascii="Cambria" w:eastAsia="Cambria" w:hAnsi="Cambria" w:cs="Cambria"/>
          <w:sz w:val="24"/>
          <w:szCs w:val="24"/>
          <w:highlight w:val="white"/>
        </w:rPr>
      </w:pPr>
    </w:p>
    <w:p w:rsidR="00D82A4A" w:rsidRPr="00CC0EE5" w:rsidRDefault="00D82A4A" w:rsidP="00067922">
      <w:pPr>
        <w:spacing w:after="0" w:line="240" w:lineRule="auto"/>
        <w:jc w:val="both"/>
        <w:rPr>
          <w:rFonts w:ascii="Cambria" w:eastAsia="Cambria" w:hAnsi="Cambria" w:cs="Cambria"/>
          <w:sz w:val="24"/>
          <w:szCs w:val="24"/>
          <w:highlight w:val="white"/>
        </w:rPr>
      </w:pPr>
    </w:p>
    <w:p w:rsidR="002E1C35" w:rsidRDefault="00A37F0F" w:rsidP="002E1C35">
      <w:pPr>
        <w:spacing w:after="0" w:line="240" w:lineRule="auto"/>
        <w:jc w:val="center"/>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Capítulo IX</w:t>
      </w:r>
      <w:r w:rsidR="00067922" w:rsidRPr="00CC0EE5">
        <w:rPr>
          <w:rFonts w:ascii="Bookman Old Style" w:hAnsi="Bookman Old Style" w:cs="Arial"/>
          <w:b/>
          <w:color w:val="000000" w:themeColor="text1"/>
          <w:sz w:val="24"/>
          <w:szCs w:val="24"/>
        </w:rPr>
        <w:t>.</w:t>
      </w:r>
    </w:p>
    <w:p w:rsidR="00067922" w:rsidRPr="00CC0EE5" w:rsidRDefault="00067922" w:rsidP="002E1C35">
      <w:pPr>
        <w:spacing w:after="0" w:line="240" w:lineRule="auto"/>
        <w:jc w:val="center"/>
        <w:rPr>
          <w:rFonts w:ascii="Cambria" w:eastAsia="Cambria" w:hAnsi="Cambria" w:cs="Cambria"/>
          <w:sz w:val="24"/>
          <w:szCs w:val="24"/>
          <w:highlight w:val="white"/>
        </w:rPr>
      </w:pPr>
      <w:r w:rsidRPr="00CC0EE5">
        <w:rPr>
          <w:rFonts w:ascii="Bookman Old Style" w:hAnsi="Bookman Old Style" w:cs="Arial"/>
          <w:b/>
          <w:color w:val="000000" w:themeColor="text1"/>
          <w:sz w:val="24"/>
          <w:szCs w:val="24"/>
        </w:rPr>
        <w:t>Protección frente a los impactos diferenciados del conflicto armado.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A37F0F"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33</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 xml:space="preserve"> Las entidades que conforman el Sistema Nacional de Atención y Reparación a Víctimas garantizarán la implementación de enfoques diferenciales en todos sus trámites y procedimientos, con el fin de reconocer las afectaciones y priorizar las necesidades específicas de las personas víctimas del conflicto con identidades de género diversas y su acceso </w:t>
      </w:r>
      <w:bookmarkStart w:id="0" w:name="_GoBack"/>
      <w:bookmarkEnd w:id="0"/>
      <w:r w:rsidR="00067922" w:rsidRPr="00CC0EE5">
        <w:rPr>
          <w:rFonts w:ascii="Bookman Old Style" w:hAnsi="Bookman Old Style" w:cs="Arial"/>
          <w:color w:val="000000" w:themeColor="text1"/>
          <w:sz w:val="24"/>
          <w:szCs w:val="24"/>
        </w:rPr>
        <w:t>equitativo a la oferta institucional para la asistencia, atención y reparación, conforme a la Ley de Víctimas y Restitución de Tierras y demás instrumentos legales.  Asimismo, se diseñarán e implementarán medidas para eliminar la discriminación y la violencia institucional en los procesos de atención y participación.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A37F0F"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34</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 xml:space="preserve"> Los formatos de registro de víctimas deberán incluir variables diferenciales que agrupen la información sobre sexo asignado al nacer, la identidad de género, la referencia al nombre jurídico y al nombre identitario, entre otras.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A37F0F" w:rsidRDefault="00A37F0F" w:rsidP="00067922">
      <w:pPr>
        <w:spacing w:after="0" w:line="240" w:lineRule="auto"/>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lastRenderedPageBreak/>
        <w:t>Artículo 35</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 xml:space="preserve"> Si al momento de la realización del registro ante la Unidad de Atención y Reparación Integral a las Víctimas -UARIV- o en el curso del otorgamiento del beneficio de indemnización administrativa una víctima hubiere realizado el cambio del nombre y/o de componente sexo (género) en el registro civil, esta situación en ningún motivo podrá suponer una razón válida para la denegación de su inclusión en el registro y/o del derecho de indemnización administrativa, como tampoco supondrá barreras administrativa o dilaciones para el reconocimiento de tal derecho a la indemnización.  </w:t>
      </w:r>
    </w:p>
    <w:p w:rsidR="00067922" w:rsidRPr="00CC0EE5" w:rsidRDefault="00067922" w:rsidP="00067922">
      <w:pPr>
        <w:spacing w:after="0" w:line="240" w:lineRule="auto"/>
        <w:jc w:val="both"/>
        <w:rPr>
          <w:rFonts w:ascii="Cambria" w:eastAsia="Cambria" w:hAnsi="Cambria" w:cs="Cambria"/>
          <w:sz w:val="24"/>
          <w:szCs w:val="24"/>
          <w:highlight w:val="white"/>
        </w:rPr>
      </w:pPr>
    </w:p>
    <w:p w:rsidR="002E1C35" w:rsidRPr="002E1C35" w:rsidRDefault="00A37F0F"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b/>
          <w:color w:val="000000" w:themeColor="text1"/>
          <w:sz w:val="24"/>
          <w:szCs w:val="24"/>
        </w:rPr>
        <w:t>Artículo 36</w:t>
      </w:r>
      <w:r w:rsidR="00067922" w:rsidRPr="002E1C35">
        <w:rPr>
          <w:rFonts w:ascii="Bookman Old Style" w:hAnsi="Bookman Old Style" w:cs="Arial"/>
          <w:color w:val="000000" w:themeColor="text1"/>
          <w:sz w:val="24"/>
          <w:szCs w:val="24"/>
        </w:rPr>
        <w:t xml:space="preserve">.  Las Mesas de Participación de Víctimas deberán garantizar la participación de representantes de personas con identidades de género diversas </w:t>
      </w:r>
      <w:r w:rsidR="002E1C35">
        <w:rPr>
          <w:rFonts w:ascii="Bookman Old Style" w:hAnsi="Bookman Old Style" w:cs="Arial"/>
          <w:color w:val="000000" w:themeColor="text1"/>
          <w:sz w:val="24"/>
          <w:szCs w:val="24"/>
        </w:rPr>
        <w:t xml:space="preserve">víctimas del conflicto armado, </w:t>
      </w:r>
      <w:r w:rsidR="002E1C35" w:rsidRPr="002E1C35">
        <w:rPr>
          <w:rFonts w:ascii="Bookman Old Style" w:hAnsi="Bookman Old Style" w:cs="Arial"/>
          <w:color w:val="222222"/>
          <w:sz w:val="24"/>
          <w:szCs w:val="24"/>
          <w:shd w:val="clear" w:color="auto" w:fill="FFFFFF"/>
        </w:rPr>
        <w:t xml:space="preserve">asegurando su participación activa, autónoma e incidente en los espacios de deliberación </w:t>
      </w:r>
      <w:r w:rsidR="002E1C35">
        <w:rPr>
          <w:rFonts w:ascii="Bookman Old Style" w:hAnsi="Bookman Old Style" w:cs="Arial"/>
          <w:color w:val="222222"/>
          <w:sz w:val="24"/>
          <w:szCs w:val="24"/>
          <w:shd w:val="clear" w:color="auto" w:fill="FFFFFF"/>
        </w:rPr>
        <w:t>y decisión. Para tal fin, deberá</w:t>
      </w:r>
      <w:r w:rsidR="002E1C35" w:rsidRPr="002E1C35">
        <w:rPr>
          <w:rFonts w:ascii="Bookman Old Style" w:hAnsi="Bookman Old Style" w:cs="Arial"/>
          <w:color w:val="222222"/>
          <w:sz w:val="24"/>
          <w:szCs w:val="24"/>
          <w:shd w:val="clear" w:color="auto" w:fill="FFFFFF"/>
        </w:rPr>
        <w:t>n adoptarse mecanismos que reconozcan las particularidades, vulnerabilidades y formas de org</w:t>
      </w:r>
      <w:r w:rsidR="002E1C35">
        <w:rPr>
          <w:rFonts w:ascii="Bookman Old Style" w:hAnsi="Bookman Old Style" w:cs="Arial"/>
          <w:color w:val="222222"/>
          <w:sz w:val="24"/>
          <w:szCs w:val="24"/>
          <w:shd w:val="clear" w:color="auto" w:fill="FFFFFF"/>
        </w:rPr>
        <w:t>anización de estas personas, así</w:t>
      </w:r>
      <w:r w:rsidR="002E1C35" w:rsidRPr="002E1C35">
        <w:rPr>
          <w:rFonts w:ascii="Bookman Old Style" w:hAnsi="Bookman Old Style" w:cs="Arial"/>
          <w:color w:val="222222"/>
          <w:sz w:val="24"/>
          <w:szCs w:val="24"/>
          <w:shd w:val="clear" w:color="auto" w:fill="FFFFFF"/>
        </w:rPr>
        <w:t xml:space="preserve"> como medidas para prevenir actos de discriminación, exclusión o revictimización dentro de dichos espacios</w:t>
      </w:r>
    </w:p>
    <w:p w:rsidR="002E1C35" w:rsidRPr="002E1C35" w:rsidRDefault="002E1C35" w:rsidP="00067922">
      <w:pPr>
        <w:spacing w:after="0" w:line="240" w:lineRule="auto"/>
        <w:jc w:val="both"/>
        <w:rPr>
          <w:rFonts w:ascii="Bookman Old Style" w:hAnsi="Bookman Old Style" w:cs="Arial"/>
          <w:color w:val="000000" w:themeColor="text1"/>
          <w:sz w:val="24"/>
          <w:szCs w:val="24"/>
        </w:rPr>
      </w:pPr>
    </w:p>
    <w:p w:rsidR="002E1C35" w:rsidRPr="002E1C35" w:rsidRDefault="00067922" w:rsidP="002E1C35">
      <w:pPr>
        <w:shd w:val="clear" w:color="auto" w:fill="FFFFFF"/>
        <w:jc w:val="both"/>
        <w:rPr>
          <w:rFonts w:ascii="Bookman Old Style" w:eastAsia="Times New Roman" w:hAnsi="Bookman Old Style" w:cs="Arial"/>
          <w:color w:val="222222"/>
          <w:sz w:val="24"/>
          <w:szCs w:val="24"/>
          <w:lang w:eastAsia="es-CO"/>
        </w:rPr>
      </w:pPr>
      <w:r w:rsidRPr="002E1C35">
        <w:rPr>
          <w:rFonts w:ascii="Bookman Old Style" w:hAnsi="Bookman Old Style" w:cs="Arial"/>
          <w:color w:val="000000" w:themeColor="text1"/>
          <w:sz w:val="24"/>
          <w:szCs w:val="24"/>
        </w:rPr>
        <w:t>Igualmente, la Unidad de Atención y Reparación Integral para las Víctimas desarrollará una estrategia de acompañamiento técnico y fortalecimiento para la promoción de líneas de incidencia social y política.</w:t>
      </w:r>
      <w:r w:rsidR="002E1C35" w:rsidRPr="002E1C35">
        <w:rPr>
          <w:rFonts w:ascii="Bookman Old Style" w:hAnsi="Bookman Old Style" w:cs="Arial"/>
          <w:color w:val="000000" w:themeColor="text1"/>
          <w:sz w:val="24"/>
          <w:szCs w:val="24"/>
        </w:rPr>
        <w:t xml:space="preserve"> </w:t>
      </w:r>
      <w:r w:rsidR="002E1C35" w:rsidRPr="002E1C35">
        <w:rPr>
          <w:rFonts w:ascii="Bookman Old Style" w:eastAsia="Times New Roman" w:hAnsi="Bookman Old Style" w:cs="Arial"/>
          <w:color w:val="222222"/>
          <w:sz w:val="24"/>
          <w:szCs w:val="24"/>
          <w:lang w:eastAsia="es-CO"/>
        </w:rPr>
        <w:t>Dicha estrategia incluirá, entre otros aspectos, procesos de formación en derechos, liderazgo y participación, apoyo a la consolidación de agendas colectivas y acciones de visibilización de las afectaciones diferenciadas sufridas por estas victimas en el marco del conflicto armado.</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A37F0F"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b/>
          <w:color w:val="000000" w:themeColor="text1"/>
          <w:sz w:val="24"/>
          <w:szCs w:val="24"/>
        </w:rPr>
        <w:t>Artículo 37</w:t>
      </w:r>
      <w:r w:rsidR="00067922" w:rsidRPr="00CC0EE5">
        <w:rPr>
          <w:rFonts w:ascii="Bookman Old Style" w:hAnsi="Bookman Old Style" w:cs="Arial"/>
          <w:b/>
          <w:color w:val="000000" w:themeColor="text1"/>
          <w:sz w:val="24"/>
          <w:szCs w:val="24"/>
        </w:rPr>
        <w:t xml:space="preserve">. </w:t>
      </w:r>
      <w:r w:rsidR="00067922" w:rsidRPr="00CC0EE5">
        <w:rPr>
          <w:rFonts w:ascii="Bookman Old Style" w:hAnsi="Bookman Old Style" w:cs="Arial"/>
          <w:color w:val="000000" w:themeColor="text1"/>
          <w:sz w:val="24"/>
          <w:szCs w:val="24"/>
        </w:rPr>
        <w:t xml:space="preserve"> Se garantizará y priorizará la reparación de sujetos colectivos integrados por personas con identidades de género diversas, y aquellos colectivos que han sufrido afectaciones a raíz de su identidad de género, comprendiendo los impactos diferenciados de las violencias y los daños colectivos y comunitarios, permitiendo que sus derechos e identidades puedan ser reconstruidas y reparados.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A37F0F"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b/>
          <w:color w:val="000000" w:themeColor="text1"/>
          <w:sz w:val="24"/>
          <w:szCs w:val="24"/>
        </w:rPr>
        <w:t>Artículo 38</w:t>
      </w:r>
      <w:r w:rsidR="00067922" w:rsidRPr="00CC0EE5">
        <w:rPr>
          <w:rFonts w:ascii="Bookman Old Style" w:hAnsi="Bookman Old Style" w:cs="Arial"/>
          <w:color w:val="000000" w:themeColor="text1"/>
          <w:sz w:val="24"/>
          <w:szCs w:val="24"/>
        </w:rPr>
        <w:t>.  La Unidad Administrativa Especial para la Atención y Reparación de víctimas, o quien haga de sus veces, deberá adoptar e implementar medidas de reparación simbólica y de memoria efectivas para personas con identidades de género diversas, permitiendo el fortalecimiento y reconstrucción de aquellos colectivos, iniciativas y organizaciones Trans que desaparecieron debido al control social y territorial de actores armados sobre sus territorios.</w:t>
      </w:r>
    </w:p>
    <w:p w:rsidR="00067922" w:rsidRDefault="00067922" w:rsidP="00067922">
      <w:pPr>
        <w:spacing w:after="0" w:line="240" w:lineRule="auto"/>
        <w:jc w:val="both"/>
        <w:rPr>
          <w:rFonts w:ascii="Bookman Old Style" w:hAnsi="Bookman Old Style" w:cs="Arial"/>
          <w:color w:val="000000" w:themeColor="text1"/>
          <w:sz w:val="24"/>
          <w:szCs w:val="24"/>
        </w:rPr>
      </w:pPr>
    </w:p>
    <w:p w:rsidR="00360C55" w:rsidRPr="00CC0EE5" w:rsidRDefault="00360C55" w:rsidP="00067922">
      <w:pPr>
        <w:spacing w:after="0" w:line="240" w:lineRule="auto"/>
        <w:jc w:val="both"/>
        <w:rPr>
          <w:rFonts w:ascii="Bookman Old Style" w:hAnsi="Bookman Old Style" w:cs="Arial"/>
          <w:color w:val="000000" w:themeColor="text1"/>
          <w:sz w:val="24"/>
          <w:szCs w:val="24"/>
        </w:rPr>
      </w:pPr>
    </w:p>
    <w:p w:rsidR="00067922" w:rsidRPr="00266074" w:rsidRDefault="00067922" w:rsidP="00266074">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lastRenderedPageBreak/>
        <w:t>Título IV.</w:t>
      </w:r>
      <w:r w:rsidR="00266074">
        <w:rPr>
          <w:rFonts w:ascii="Bookman Old Style" w:hAnsi="Bookman Old Style" w:cs="Arial"/>
          <w:b/>
          <w:color w:val="000000" w:themeColor="text1"/>
          <w:sz w:val="24"/>
          <w:szCs w:val="24"/>
        </w:rPr>
        <w:t xml:space="preserve"> </w:t>
      </w:r>
      <w:r w:rsidRPr="00CC0EE5">
        <w:rPr>
          <w:rFonts w:ascii="Bookman Old Style" w:hAnsi="Bookman Old Style" w:cs="Arial"/>
          <w:b/>
          <w:color w:val="000000" w:themeColor="text1"/>
          <w:sz w:val="24"/>
          <w:szCs w:val="24"/>
        </w:rPr>
        <w:t>De la interseccionalidad y la protección de las personas con identidades de género diversas en todas sus diversidades</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A37F0F"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b/>
          <w:color w:val="000000" w:themeColor="text1"/>
          <w:sz w:val="24"/>
          <w:szCs w:val="24"/>
        </w:rPr>
        <w:t>Artículo 39</w:t>
      </w:r>
      <w:r w:rsidR="00067922" w:rsidRPr="00CC0EE5">
        <w:rPr>
          <w:rFonts w:ascii="Bookman Old Style" w:hAnsi="Bookman Old Style" w:cs="Arial"/>
          <w:b/>
          <w:color w:val="000000" w:themeColor="text1"/>
          <w:sz w:val="24"/>
          <w:szCs w:val="24"/>
        </w:rPr>
        <w:t xml:space="preserve">. </w:t>
      </w:r>
      <w:r>
        <w:rPr>
          <w:rFonts w:ascii="Bookman Old Style" w:hAnsi="Bookman Old Style" w:cs="Arial"/>
          <w:b/>
          <w:color w:val="000000" w:themeColor="text1"/>
          <w:sz w:val="24"/>
          <w:szCs w:val="24"/>
        </w:rPr>
        <w:t>P</w:t>
      </w:r>
      <w:r w:rsidR="00067922" w:rsidRPr="00CC0EE5">
        <w:rPr>
          <w:rFonts w:ascii="Bookman Old Style" w:hAnsi="Bookman Old Style" w:cs="Arial"/>
          <w:b/>
          <w:color w:val="000000" w:themeColor="text1"/>
          <w:sz w:val="24"/>
          <w:szCs w:val="24"/>
        </w:rPr>
        <w:t xml:space="preserve">ersonas con identidades de género diversas en situación y condición de habitabilidad de calle. </w:t>
      </w:r>
      <w:r w:rsidR="00067922" w:rsidRPr="00CC0EE5">
        <w:rPr>
          <w:rFonts w:ascii="Bookman Old Style" w:hAnsi="Bookman Old Style" w:cs="Arial"/>
          <w:color w:val="000000" w:themeColor="text1"/>
          <w:sz w:val="24"/>
          <w:szCs w:val="24"/>
        </w:rPr>
        <w:t xml:space="preserve"> Las autoridades públicas pertinentes, definidas por la dirección de personas en situación de habitabilidad de calle del Ministerio de la Igualdad, o quien haga sus veces, las secretarías de gobierno departamentales y municipales adoptarán las medidas necesarias para la prevención y atención de las personas con identidades de género diversas en situación y condición de habitabilidad de calle.</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 xml:space="preserve">Las entidades territoriales en primera instancia, el Ministerio de la igualdad, o quien haga sus veces; y el Ministerio de Salud, el Ministerio de Interior y el Instituto Colombiano de Bienestar Familiar, en el marco de sus competencias, deberán: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 xml:space="preserve">1. </w:t>
      </w:r>
      <w:r w:rsidRPr="00CC0EE5">
        <w:rPr>
          <w:rFonts w:ascii="Bookman Old Style" w:eastAsia="Cambria" w:hAnsi="Bookman Old Style" w:cs="Cambria"/>
          <w:sz w:val="24"/>
          <w:szCs w:val="24"/>
        </w:rPr>
        <w:tab/>
        <w:t xml:space="preserve">Realizar investigaciones y estudios focalizados para identificar los factores de riesgo que exponen a las personas con identidades de género diversas a una situación de habitabilidad de calle, con el fin de generar políticas públicas diferenciales para la garantía de derechos.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 xml:space="preserve">2. </w:t>
      </w:r>
      <w:r w:rsidRPr="00CC0EE5">
        <w:rPr>
          <w:rFonts w:ascii="Bookman Old Style" w:eastAsia="Cambria" w:hAnsi="Bookman Old Style" w:cs="Cambria"/>
          <w:sz w:val="24"/>
          <w:szCs w:val="24"/>
        </w:rPr>
        <w:tab/>
        <w:t xml:space="preserve">Capacitar de forma suficiente, continuada y actualizada a las y los funcionarios públicos que trabajan con personas con identidades de género diversas en situación de habitabilidad de calle.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 xml:space="preserve">3. </w:t>
      </w:r>
      <w:r w:rsidRPr="00CC0EE5">
        <w:rPr>
          <w:rFonts w:ascii="Bookman Old Style" w:eastAsia="Cambria" w:hAnsi="Bookman Old Style" w:cs="Cambria"/>
          <w:sz w:val="24"/>
          <w:szCs w:val="24"/>
        </w:rPr>
        <w:tab/>
        <w:t xml:space="preserve">Adoptar medidas oportunas para prevenir la violencia por prejuicio en razón de la discriminación que sufren las personas con identidades de género diversas en habitabilidad de calle, en concordancia con la Ley 1752 de 2015.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rPr>
      </w:pPr>
      <w:r w:rsidRPr="00CC0EE5">
        <w:rPr>
          <w:rFonts w:ascii="Bookman Old Style" w:eastAsia="Cambria" w:hAnsi="Bookman Old Style" w:cs="Cambria"/>
          <w:sz w:val="24"/>
          <w:szCs w:val="24"/>
        </w:rPr>
        <w:t xml:space="preserve">4. </w:t>
      </w:r>
      <w:r w:rsidRPr="00CC0EE5">
        <w:rPr>
          <w:rFonts w:ascii="Bookman Old Style" w:eastAsia="Cambria" w:hAnsi="Bookman Old Style" w:cs="Cambria"/>
          <w:sz w:val="24"/>
          <w:szCs w:val="24"/>
        </w:rPr>
        <w:tab/>
        <w:t xml:space="preserve">Implementar el enfoque diferencial en los servicios sociales, para atender de manera oportuna y eficaz las necesidades de las personas con identidades de género diversas en situación y condición de habitabilidad de calle. </w:t>
      </w:r>
    </w:p>
    <w:p w:rsidR="00067922" w:rsidRPr="00CC0EE5" w:rsidRDefault="00067922" w:rsidP="00067922">
      <w:pPr>
        <w:spacing w:after="0" w:line="240" w:lineRule="auto"/>
        <w:jc w:val="both"/>
        <w:rPr>
          <w:rFonts w:ascii="Bookman Old Style" w:eastAsia="Cambria" w:hAnsi="Bookman Old Style" w:cs="Cambria"/>
          <w:sz w:val="24"/>
          <w:szCs w:val="24"/>
        </w:rPr>
      </w:pPr>
    </w:p>
    <w:p w:rsidR="00067922" w:rsidRPr="00CC0EE5" w:rsidRDefault="00067922" w:rsidP="00067922">
      <w:pPr>
        <w:spacing w:after="0" w:line="240" w:lineRule="auto"/>
        <w:jc w:val="both"/>
        <w:rPr>
          <w:rFonts w:ascii="Bookman Old Style" w:eastAsia="Cambria" w:hAnsi="Bookman Old Style" w:cs="Cambria"/>
          <w:sz w:val="24"/>
          <w:szCs w:val="24"/>
          <w:highlight w:val="white"/>
        </w:rPr>
      </w:pPr>
      <w:r w:rsidRPr="00CC0EE5">
        <w:rPr>
          <w:rFonts w:ascii="Bookman Old Style" w:eastAsia="Cambria" w:hAnsi="Bookman Old Style" w:cs="Cambria"/>
          <w:sz w:val="24"/>
          <w:szCs w:val="24"/>
        </w:rPr>
        <w:t>El Departamento Nacional de Estadística -DANE- deberá desarrollar la caracterización demográfica y socioeconómica de las personas con identidades de género habitantes de calle, con el fin de establecer una línea base de esta población.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A37F0F" w:rsidP="00067922">
      <w:pPr>
        <w:spacing w:after="0" w:line="240" w:lineRule="auto"/>
        <w:jc w:val="both"/>
        <w:rPr>
          <w:rFonts w:ascii="Bookman Old Style" w:hAnsi="Bookman Old Style" w:cs="Arial"/>
          <w:color w:val="000000" w:themeColor="text1"/>
          <w:sz w:val="24"/>
          <w:szCs w:val="24"/>
        </w:rPr>
      </w:pPr>
      <w:r>
        <w:rPr>
          <w:rFonts w:ascii="Bookman Old Style" w:hAnsi="Bookman Old Style" w:cs="Arial"/>
          <w:b/>
          <w:color w:val="000000" w:themeColor="text1"/>
          <w:sz w:val="24"/>
          <w:szCs w:val="24"/>
        </w:rPr>
        <w:t>Artículo 40</w:t>
      </w:r>
      <w:r w:rsidR="00067922" w:rsidRPr="00CC0EE5">
        <w:rPr>
          <w:rFonts w:ascii="Bookman Old Style" w:hAnsi="Bookman Old Style" w:cs="Arial"/>
          <w:b/>
          <w:color w:val="000000" w:themeColor="text1"/>
          <w:sz w:val="24"/>
          <w:szCs w:val="24"/>
        </w:rPr>
        <w:t>.  Protección de las personas con identidades de género diversas con discapacidad</w:t>
      </w:r>
      <w:r w:rsidR="00067922" w:rsidRPr="00CC0EE5">
        <w:rPr>
          <w:rFonts w:ascii="Bookman Old Style" w:hAnsi="Bookman Old Style" w:cs="Arial"/>
          <w:color w:val="000000" w:themeColor="text1"/>
          <w:sz w:val="24"/>
          <w:szCs w:val="24"/>
        </w:rPr>
        <w:t xml:space="preserve">.  En cumplimiento de la presente Ley, el Estado garantizará el pleno respeto a la identidad de género de las personas con </w:t>
      </w:r>
      <w:r w:rsidR="00067922" w:rsidRPr="00CC0EE5">
        <w:rPr>
          <w:rFonts w:ascii="Bookman Old Style" w:hAnsi="Bookman Old Style" w:cs="Arial"/>
          <w:color w:val="000000" w:themeColor="text1"/>
          <w:sz w:val="24"/>
          <w:szCs w:val="24"/>
        </w:rPr>
        <w:lastRenderedPageBreak/>
        <w:t xml:space="preserve">discapacidad, asegurando su derecho a decidir de manera autónoma sobre el desarrollo de su identidad de género y la toma de decisiones. </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El Estado deberá implementar los apoyos y ajustes razonables para la eliminación de barreras que permitan acceso a la información, el conocimiento y participación de las personas con identidades de género diversas con discapacidad.  Asimismo, eliminará las prácticas discriminatorias y de patologización de la vida de las personas con identidades de género diversas con discapacidad que limiten, restrinjan o impidan la toma decisiones en salud de forma autónoma y acorde a su proceso personal e íntimo de autorreconocimiento.</w:t>
      </w:r>
    </w:p>
    <w:p w:rsidR="00067922" w:rsidRPr="00CC0EE5" w:rsidRDefault="00067922" w:rsidP="00067922">
      <w:pPr>
        <w:spacing w:after="0" w:line="240" w:lineRule="auto"/>
        <w:jc w:val="both"/>
        <w:rPr>
          <w:rFonts w:ascii="Bookman Old Style" w:hAnsi="Bookman Old Style" w:cs="Arial"/>
          <w:color w:val="000000" w:themeColor="text1"/>
          <w:sz w:val="24"/>
          <w:szCs w:val="24"/>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El Ministerio de la Igualdad o quien haga sus veces, el Ministerio del Interior y otras entidades, en el marco de sus competencias, deberán considerar las situaciones de discriminación interseccional que enfrentan las personas con identidades de género diversas con discapacidad y las especiales condiciones de vulnerabilidad que les afectan, con el fin de incorporar medidas que atiendan estos escenarios de riesgo de vulneración de derechos en el diseño de políticas públicas.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A37F0F"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41</w:t>
      </w:r>
      <w:r w:rsidR="00067922" w:rsidRPr="00CC0EE5">
        <w:rPr>
          <w:rFonts w:ascii="Bookman Old Style" w:hAnsi="Bookman Old Style" w:cs="Arial"/>
          <w:b/>
          <w:color w:val="000000" w:themeColor="text1"/>
          <w:sz w:val="24"/>
          <w:szCs w:val="24"/>
        </w:rPr>
        <w:t xml:space="preserve">.  Protección de las personas con identidades de género diversas durante todo su curso de vida.  </w:t>
      </w:r>
      <w:r w:rsidR="00067922" w:rsidRPr="00CC0EE5">
        <w:rPr>
          <w:rFonts w:ascii="Bookman Old Style" w:hAnsi="Bookman Old Style" w:cs="Arial"/>
          <w:color w:val="000000" w:themeColor="text1"/>
          <w:sz w:val="24"/>
          <w:szCs w:val="24"/>
        </w:rPr>
        <w:t xml:space="preserve">El Estado creará mecanismos para que la sociedad, las familias y las personas cuidadoras reciben acompañamiento, información y herramientas para la protección de los derechos de las personas con identidad de género diversas durante todo su </w:t>
      </w:r>
      <w:r w:rsidR="00067922" w:rsidRPr="00E80100">
        <w:rPr>
          <w:rFonts w:ascii="Bookman Old Style" w:hAnsi="Bookman Old Style" w:cs="Arial"/>
          <w:color w:val="000000" w:themeColor="text1"/>
          <w:sz w:val="24"/>
          <w:szCs w:val="24"/>
        </w:rPr>
        <w:t xml:space="preserve">curso </w:t>
      </w:r>
      <w:r w:rsidR="00067922" w:rsidRPr="00CC0EE5">
        <w:rPr>
          <w:rFonts w:ascii="Bookman Old Style" w:hAnsi="Bookman Old Style" w:cs="Arial"/>
          <w:color w:val="000000" w:themeColor="text1"/>
          <w:sz w:val="24"/>
          <w:szCs w:val="24"/>
        </w:rPr>
        <w:t>de vida hasta la muerte.</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Bookman Old Style" w:hAnsi="Bookman Old Style" w:cs="Arial"/>
          <w:color w:val="000000" w:themeColor="text1"/>
          <w:sz w:val="24"/>
          <w:szCs w:val="24"/>
        </w:rPr>
      </w:pPr>
      <w:r w:rsidRPr="00CC0EE5">
        <w:rPr>
          <w:rFonts w:ascii="Bookman Old Style" w:hAnsi="Bookman Old Style" w:cs="Arial"/>
          <w:color w:val="000000" w:themeColor="text1"/>
          <w:sz w:val="24"/>
          <w:szCs w:val="24"/>
        </w:rPr>
        <w:t>1.  El Instituto Colombiano de Bienestar Familiar, en articulación con el Ministerio de Justicia y del Derecho, el Ministerio de la Igualdad y Equidad o quien haga sus veces, y el Ministerio del Interior desarrollarán programas, planes y proyectos para la prevención, atención e identificación de las múltiples formas de violencias que se presentan en el ámbito familiar contra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2.  Las entidades que hacen parte del Sistema de Bienestar Familiar, liderado por el Instituto Colombiano de Bienestar Familiar, deberán ajustar los mecanismos, protocolos, rutas y demás directrices de los procesos de restablecimiento de derechos, incluidos los de responsabilidad penal para adolescentes, para la transversalización de los enfoques diferenciales en la atención y garantía de derechos de las personas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 xml:space="preserve">3.  Las entidades que componen el Sistema Nacional del Cuidado, incluidos el Ministerio de Igualdad y Equidad o quien haga sus veces, el Ministerio del </w:t>
      </w:r>
      <w:r w:rsidRPr="00CC0EE5">
        <w:rPr>
          <w:rFonts w:ascii="Bookman Old Style" w:hAnsi="Bookman Old Style" w:cs="Arial"/>
          <w:color w:val="000000" w:themeColor="text1"/>
          <w:sz w:val="24"/>
          <w:szCs w:val="24"/>
        </w:rPr>
        <w:lastRenderedPageBreak/>
        <w:t>Interior y las entidades territoriales, en el ámbito de sus competencias, garantizarán el acceso, sin discriminación, a los centros residenciales, los centros día o cualquier otro tipo establecimiento donde se encuentren personas adultas mayores con identidades de género diversas.  Así mismo, se establecerán las medidas específicas para capacitar a los profesionales que trabajan en estos centros, servicios y programas sociales tanto públicos como privados sobre los derechos humanos y el marco de protección de derechos de las personas adultas mayores con identidades de género diversas.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067922">
      <w:pPr>
        <w:spacing w:after="0" w:line="240" w:lineRule="auto"/>
        <w:jc w:val="both"/>
        <w:rPr>
          <w:rFonts w:ascii="Cambria" w:eastAsia="Cambria" w:hAnsi="Cambria" w:cs="Cambria"/>
          <w:sz w:val="24"/>
          <w:szCs w:val="24"/>
          <w:highlight w:val="white"/>
        </w:rPr>
      </w:pPr>
      <w:r w:rsidRPr="00CC0EE5">
        <w:rPr>
          <w:rFonts w:ascii="Bookman Old Style" w:hAnsi="Bookman Old Style" w:cs="Arial"/>
          <w:color w:val="000000" w:themeColor="text1"/>
          <w:sz w:val="24"/>
          <w:szCs w:val="24"/>
        </w:rPr>
        <w:t>4.  El Ministerio de Igualdad y Equidad o quien haga sus veces, el Ministerio del Interior y el Ministerio del Deporte y las entidades del nivel municipal y departamental, en el ámbito de sus competencias, promoverán espacios y recursos comunitarios dirigidos a las personas adultas mayores con identidades de género diversas para la socialización, ocio, uso del tiempo libre y actividades educativas.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E80100" w:rsidRDefault="00A37F0F"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42</w:t>
      </w:r>
      <w:r w:rsidR="00067922" w:rsidRPr="00CC0EE5">
        <w:rPr>
          <w:rFonts w:ascii="Bookman Old Style" w:hAnsi="Bookman Old Style" w:cs="Arial"/>
          <w:b/>
          <w:color w:val="000000" w:themeColor="text1"/>
          <w:sz w:val="24"/>
          <w:szCs w:val="24"/>
        </w:rPr>
        <w:t xml:space="preserve">.  Protección de las personas con identidades de género diversas con pertenencia étnica y afrodescendientes, negras, palenqueras y raizales.  </w:t>
      </w:r>
      <w:r w:rsidR="00067922" w:rsidRPr="00E80100">
        <w:rPr>
          <w:rFonts w:ascii="Bookman Old Style" w:hAnsi="Bookman Old Style" w:cs="Arial"/>
          <w:color w:val="000000" w:themeColor="text1"/>
          <w:sz w:val="24"/>
          <w:szCs w:val="24"/>
        </w:rPr>
        <w:t>Las autoridades públicas deberán respetar y reconocer las formas propias y autóctonas de nombrar, significar y autodeterminar las experiencias de vida de las personas con identidades de género diversas, según la cosmovisión de las personas con identidades de género diversas.  Se incluyen los enfoques interseccionales, y antirracista para el abordaje y atención integral.</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E80100" w:rsidRDefault="00A37F0F"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43</w:t>
      </w:r>
      <w:r w:rsidR="00067922" w:rsidRPr="00CC0EE5">
        <w:rPr>
          <w:rFonts w:ascii="Bookman Old Style" w:hAnsi="Bookman Old Style" w:cs="Arial"/>
          <w:b/>
          <w:color w:val="000000" w:themeColor="text1"/>
          <w:sz w:val="24"/>
          <w:szCs w:val="24"/>
        </w:rPr>
        <w:t xml:space="preserve">.  Medidas para la protección de las personas en situación de movilidad humana con identidades de género diversas.  </w:t>
      </w:r>
      <w:r w:rsidR="00067922" w:rsidRPr="00E80100">
        <w:rPr>
          <w:rFonts w:ascii="Bookman Old Style" w:hAnsi="Bookman Old Style" w:cs="Arial"/>
          <w:color w:val="000000" w:themeColor="text1"/>
          <w:sz w:val="24"/>
          <w:szCs w:val="24"/>
        </w:rPr>
        <w:t>Migración Colombia y demás autoridades migratorias, así como la Policía Nacional, implementarán mecanismos, protocolos, sensibilizaciones, capacitaciones, entre otros, para que sus funcionarios brinden atención digna y diferencial a personas con identidades de género diversas en situación de desplazamiento, migración, refugio o movilidad humana, independientemente de su origen nacional, respetando su identidad de género y su nombre identitario.  Asimismo, adecuarán progresivamente sus sistemas de información para incluir categorías diferenciales que permitan la inclusión de las personas con identidades de género diversas en estos.</w:t>
      </w:r>
    </w:p>
    <w:p w:rsidR="00067922" w:rsidRPr="00E80100" w:rsidRDefault="00067922" w:rsidP="00067922">
      <w:pPr>
        <w:spacing w:after="0" w:line="240" w:lineRule="auto"/>
        <w:jc w:val="both"/>
        <w:rPr>
          <w:rFonts w:ascii="Cambria" w:eastAsia="Cambria" w:hAnsi="Cambria" w:cs="Cambria"/>
          <w:sz w:val="24"/>
          <w:szCs w:val="24"/>
          <w:highlight w:val="white"/>
        </w:rPr>
      </w:pPr>
    </w:p>
    <w:p w:rsidR="00067922" w:rsidRPr="00E80100" w:rsidRDefault="00067922" w:rsidP="00067922">
      <w:pPr>
        <w:spacing w:after="0" w:line="240" w:lineRule="auto"/>
        <w:jc w:val="both"/>
        <w:rPr>
          <w:rFonts w:ascii="Cambria" w:eastAsia="Cambria" w:hAnsi="Cambria" w:cs="Cambria"/>
          <w:sz w:val="24"/>
          <w:szCs w:val="24"/>
          <w:highlight w:val="white"/>
        </w:rPr>
      </w:pPr>
      <w:r w:rsidRPr="00E80100">
        <w:rPr>
          <w:rFonts w:ascii="Bookman Old Style" w:hAnsi="Bookman Old Style" w:cs="Arial"/>
          <w:color w:val="000000" w:themeColor="text1"/>
          <w:sz w:val="24"/>
          <w:szCs w:val="24"/>
        </w:rPr>
        <w:t>La Unidad Administrativa Especial Migración Colombia y las demás entidades públicas, del orden municipal y departamental deberán integrar en sus protocolos y normas regulatorias procedimientos para facilitar el cambio del componente sexo y el nombre en los documentos de regularización para personas con identidades de género diversas, eliminando las barreras administrativas, desde un enfoque interseccional.</w:t>
      </w:r>
    </w:p>
    <w:p w:rsidR="00067922" w:rsidRPr="00E80100" w:rsidRDefault="00067922" w:rsidP="00067922">
      <w:pPr>
        <w:spacing w:after="0" w:line="240" w:lineRule="auto"/>
        <w:jc w:val="both"/>
        <w:rPr>
          <w:rFonts w:ascii="Cambria" w:eastAsia="Cambria" w:hAnsi="Cambria" w:cs="Cambria"/>
          <w:sz w:val="24"/>
          <w:szCs w:val="24"/>
          <w:highlight w:val="white"/>
        </w:rPr>
      </w:pPr>
    </w:p>
    <w:p w:rsidR="00067922" w:rsidRPr="00E80100" w:rsidRDefault="00067922" w:rsidP="00067922">
      <w:pPr>
        <w:spacing w:after="0" w:line="240" w:lineRule="auto"/>
        <w:jc w:val="both"/>
        <w:rPr>
          <w:rFonts w:ascii="Cambria" w:eastAsia="Cambria" w:hAnsi="Cambria" w:cs="Cambria"/>
          <w:sz w:val="24"/>
          <w:szCs w:val="24"/>
          <w:highlight w:val="white"/>
        </w:rPr>
      </w:pPr>
      <w:r w:rsidRPr="00E80100">
        <w:rPr>
          <w:rFonts w:ascii="Bookman Old Style" w:hAnsi="Bookman Old Style" w:cs="Arial"/>
          <w:color w:val="000000" w:themeColor="text1"/>
          <w:sz w:val="24"/>
          <w:szCs w:val="24"/>
        </w:rPr>
        <w:t>Igualmente, expedirán lineamientos de fácil acceso, con eficacia administrativa y que eliminen las múltiples barreras que enfrentan las personas con identidades de género diversa en el proceso de regularización migratoria, en relación con el cambio de nombre y componente sexo y demás trámites necesarios.</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CC0EE5" w:rsidRDefault="00067922" w:rsidP="00266074">
      <w:pPr>
        <w:spacing w:after="0" w:line="240" w:lineRule="auto"/>
        <w:jc w:val="center"/>
        <w:rPr>
          <w:rFonts w:ascii="Bookman Old Style" w:hAnsi="Bookman Old Style" w:cs="Arial"/>
          <w:b/>
          <w:color w:val="000000" w:themeColor="text1"/>
          <w:sz w:val="24"/>
          <w:szCs w:val="24"/>
        </w:rPr>
      </w:pPr>
      <w:r w:rsidRPr="00CC0EE5">
        <w:rPr>
          <w:rFonts w:ascii="Bookman Old Style" w:hAnsi="Bookman Old Style" w:cs="Arial"/>
          <w:b/>
          <w:color w:val="000000" w:themeColor="text1"/>
          <w:sz w:val="24"/>
          <w:szCs w:val="24"/>
        </w:rPr>
        <w:t>Título V.</w:t>
      </w:r>
      <w:r w:rsidR="00266074">
        <w:rPr>
          <w:rFonts w:ascii="Bookman Old Style" w:hAnsi="Bookman Old Style" w:cs="Arial"/>
          <w:b/>
          <w:color w:val="000000" w:themeColor="text1"/>
          <w:sz w:val="24"/>
          <w:szCs w:val="24"/>
        </w:rPr>
        <w:t xml:space="preserve"> </w:t>
      </w:r>
      <w:r w:rsidRPr="00CC0EE5">
        <w:rPr>
          <w:rFonts w:ascii="Bookman Old Style" w:hAnsi="Bookman Old Style" w:cs="Arial"/>
          <w:b/>
          <w:color w:val="000000" w:themeColor="text1"/>
          <w:sz w:val="24"/>
          <w:szCs w:val="24"/>
        </w:rPr>
        <w:t>Disposiciones finales</w:t>
      </w:r>
    </w:p>
    <w:p w:rsidR="00067922" w:rsidRPr="00CC0EE5" w:rsidRDefault="00067922" w:rsidP="00067922">
      <w:pPr>
        <w:spacing w:after="0" w:line="240" w:lineRule="auto"/>
        <w:jc w:val="both"/>
        <w:rPr>
          <w:rFonts w:ascii="Bookman Old Style" w:hAnsi="Bookman Old Style" w:cs="Arial"/>
          <w:b/>
          <w:color w:val="000000" w:themeColor="text1"/>
          <w:sz w:val="24"/>
          <w:szCs w:val="24"/>
        </w:rPr>
      </w:pPr>
    </w:p>
    <w:p w:rsidR="00067922" w:rsidRPr="00CC0EE5" w:rsidRDefault="00A37F0F" w:rsidP="00067922">
      <w:pPr>
        <w:spacing w:after="0" w:line="240" w:lineRule="auto"/>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Artículo 44</w:t>
      </w:r>
      <w:r w:rsidR="00067922" w:rsidRPr="00CC0EE5">
        <w:rPr>
          <w:rFonts w:ascii="Bookman Old Style" w:hAnsi="Bookman Old Style" w:cs="Arial"/>
          <w:b/>
          <w:color w:val="000000" w:themeColor="text1"/>
          <w:sz w:val="24"/>
          <w:szCs w:val="24"/>
        </w:rPr>
        <w:t xml:space="preserve">.  Publicidad.  </w:t>
      </w:r>
      <w:r w:rsidR="00067922" w:rsidRPr="00E80100">
        <w:rPr>
          <w:rFonts w:ascii="Bookman Old Style" w:hAnsi="Bookman Old Style" w:cs="Arial"/>
          <w:color w:val="000000" w:themeColor="text1"/>
          <w:sz w:val="24"/>
          <w:szCs w:val="24"/>
        </w:rPr>
        <w:t>La presente Ley será difundida a nivel nacional, departamental, municipal y distrital, para su conocimiento por parte de las personas con identidades de género diversas y las autoridades competentes.  Además, se ajustará a los sistemas de comunicación de las distintas discapacidades.  El Ministerio de la Igualdad y Equidad, así como el Departamento Nacional de Planeación apoyaran activamente su difusión su divulgación</w:t>
      </w:r>
    </w:p>
    <w:p w:rsidR="00067922" w:rsidRPr="00CC0EE5" w:rsidRDefault="00067922" w:rsidP="00067922">
      <w:pPr>
        <w:spacing w:after="0" w:line="240" w:lineRule="auto"/>
        <w:jc w:val="both"/>
        <w:rPr>
          <w:rFonts w:ascii="Cambria" w:eastAsia="Cambria" w:hAnsi="Cambria" w:cs="Cambria"/>
          <w:sz w:val="24"/>
          <w:szCs w:val="24"/>
          <w:highlight w:val="white"/>
        </w:rPr>
      </w:pPr>
    </w:p>
    <w:p w:rsidR="00067922" w:rsidRPr="00E80100" w:rsidRDefault="00DF2A7B" w:rsidP="00067922">
      <w:pPr>
        <w:spacing w:after="0" w:line="240" w:lineRule="auto"/>
        <w:jc w:val="both"/>
        <w:rPr>
          <w:rFonts w:ascii="Bookman Old Style" w:hAnsi="Bookman Old Style" w:cs="Arial"/>
          <w:strike/>
          <w:color w:val="000000" w:themeColor="text1"/>
          <w:sz w:val="24"/>
          <w:szCs w:val="24"/>
        </w:rPr>
      </w:pPr>
      <w:r>
        <w:rPr>
          <w:rFonts w:ascii="Bookman Old Style" w:hAnsi="Bookman Old Style" w:cs="Arial"/>
          <w:b/>
          <w:color w:val="000000" w:themeColor="text1"/>
          <w:sz w:val="24"/>
          <w:szCs w:val="24"/>
        </w:rPr>
        <w:t>Artículo 45</w:t>
      </w:r>
      <w:r w:rsidR="00067922" w:rsidRPr="00CC0EE5">
        <w:rPr>
          <w:rFonts w:ascii="Bookman Old Style" w:hAnsi="Bookman Old Style" w:cs="Arial"/>
          <w:b/>
          <w:color w:val="000000" w:themeColor="text1"/>
          <w:sz w:val="24"/>
          <w:szCs w:val="24"/>
        </w:rPr>
        <w:t xml:space="preserve">.  Promoción, protección y supervisión.  </w:t>
      </w:r>
      <w:r w:rsidR="00067922" w:rsidRPr="00E80100">
        <w:rPr>
          <w:rFonts w:ascii="Bookman Old Style" w:hAnsi="Bookman Old Style" w:cs="Arial"/>
          <w:color w:val="000000" w:themeColor="text1"/>
          <w:sz w:val="24"/>
          <w:szCs w:val="24"/>
        </w:rPr>
        <w:t xml:space="preserve">El Ministerio de la Igualdad y Equidad y el Ministerio del Interior, o quien haga sus veces, establecerán un mecanismo interinstitucional para promover, proteger, supervisar y hacer seguimiento al efectivo ejercicio de los derechos de las personas con identidades de género diversas según lo dispuesto en esta ley.  A través de este mecanismo se designará como responsable de coordinar todas las acciones adelantadas por las entidades y dependencias bajo la rectoría de las cabezas de sector, relacionadas con la implementación de las medidas contempladas en la presente ley.  </w:t>
      </w:r>
    </w:p>
    <w:p w:rsidR="00067922" w:rsidRPr="00CC0EE5" w:rsidRDefault="00067922" w:rsidP="00067922">
      <w:pPr>
        <w:spacing w:after="0" w:line="240" w:lineRule="auto"/>
        <w:jc w:val="both"/>
        <w:rPr>
          <w:rFonts w:ascii="Bookman Old Style" w:hAnsi="Bookman Old Style" w:cs="Arial"/>
          <w:strike/>
          <w:color w:val="000000" w:themeColor="text1"/>
          <w:sz w:val="24"/>
          <w:szCs w:val="24"/>
        </w:rPr>
      </w:pPr>
    </w:p>
    <w:p w:rsidR="00067922" w:rsidRPr="00E80100" w:rsidRDefault="00067922" w:rsidP="00067922">
      <w:pPr>
        <w:spacing w:after="0" w:line="240" w:lineRule="auto"/>
        <w:jc w:val="both"/>
        <w:rPr>
          <w:rFonts w:ascii="Bookman Old Style" w:hAnsi="Bookman Old Style" w:cs="Arial"/>
          <w:bCs/>
          <w:color w:val="000000" w:themeColor="text1"/>
          <w:sz w:val="24"/>
          <w:szCs w:val="24"/>
        </w:rPr>
      </w:pPr>
      <w:r w:rsidRPr="00E80100">
        <w:rPr>
          <w:rFonts w:ascii="Bookman Old Style" w:hAnsi="Bookman Old Style" w:cs="Arial"/>
          <w:bCs/>
          <w:color w:val="000000" w:themeColor="text1"/>
          <w:sz w:val="24"/>
          <w:szCs w:val="24"/>
        </w:rPr>
        <w:t xml:space="preserve"> El mecanismo promoción, protección y seguimiento incluirá la participación de organizaciones y personas con identidad de género diversas del orden nacional y territorial, de las entidades competentes en el marco de las disposiciones de la presente ley, así como de Defensoría del Pueblo. </w:t>
      </w:r>
    </w:p>
    <w:p w:rsidR="00067922" w:rsidRPr="00E80100" w:rsidRDefault="00067922" w:rsidP="00067922">
      <w:pPr>
        <w:spacing w:after="0" w:line="240" w:lineRule="auto"/>
        <w:jc w:val="both"/>
        <w:rPr>
          <w:rFonts w:ascii="Bookman Old Style" w:hAnsi="Bookman Old Style" w:cs="Arial"/>
          <w:bCs/>
          <w:color w:val="000000" w:themeColor="text1"/>
          <w:sz w:val="24"/>
          <w:szCs w:val="24"/>
        </w:rPr>
      </w:pPr>
    </w:p>
    <w:p w:rsidR="00067922" w:rsidRPr="00E80100" w:rsidRDefault="00067922" w:rsidP="00067922">
      <w:pPr>
        <w:spacing w:after="0" w:line="240" w:lineRule="auto"/>
        <w:jc w:val="both"/>
        <w:rPr>
          <w:rFonts w:ascii="Bookman Old Style" w:hAnsi="Bookman Old Style" w:cs="Arial"/>
          <w:bCs/>
          <w:color w:val="000000" w:themeColor="text1"/>
          <w:sz w:val="24"/>
          <w:szCs w:val="24"/>
        </w:rPr>
      </w:pPr>
      <w:r w:rsidRPr="00AA6408">
        <w:rPr>
          <w:rFonts w:ascii="Bookman Old Style" w:hAnsi="Bookman Old Style" w:cs="Arial"/>
          <w:b/>
          <w:color w:val="000000" w:themeColor="text1"/>
          <w:sz w:val="24"/>
          <w:szCs w:val="24"/>
        </w:rPr>
        <w:t>Parágrafo.</w:t>
      </w:r>
      <w:r w:rsidRPr="00E80100">
        <w:rPr>
          <w:rFonts w:ascii="Bookman Old Style" w:hAnsi="Bookman Old Style" w:cs="Arial"/>
          <w:bCs/>
          <w:color w:val="000000" w:themeColor="text1"/>
          <w:sz w:val="24"/>
          <w:szCs w:val="24"/>
        </w:rPr>
        <w:t xml:space="preserve">  Anualmente el Ministerio de la Igualdad y Equidad y el Ministerio del Interior, o quienes hagan sus veces, presentarán a las Comisiones Primeras Constitucionales Permanentes, un informe sobre el avance en la implementación de las medias contenidas en la presente ley.</w:t>
      </w:r>
    </w:p>
    <w:p w:rsidR="00067922" w:rsidRPr="00CC0EE5" w:rsidRDefault="00067922" w:rsidP="00067922">
      <w:pPr>
        <w:spacing w:after="0" w:line="240" w:lineRule="auto"/>
        <w:jc w:val="both"/>
        <w:rPr>
          <w:rFonts w:ascii="Cambria" w:eastAsia="Cambria" w:hAnsi="Cambria" w:cs="Cambria"/>
          <w:sz w:val="24"/>
          <w:szCs w:val="24"/>
          <w:highlight w:val="white"/>
        </w:rPr>
      </w:pPr>
    </w:p>
    <w:p w:rsidR="00D82A4A" w:rsidRDefault="00D82A4A" w:rsidP="00067922">
      <w:pPr>
        <w:spacing w:after="0" w:line="240" w:lineRule="auto"/>
        <w:jc w:val="both"/>
        <w:rPr>
          <w:rFonts w:ascii="Bookman Old Style" w:hAnsi="Bookman Old Style" w:cs="Arial"/>
          <w:b/>
          <w:color w:val="000000" w:themeColor="text1"/>
          <w:sz w:val="24"/>
          <w:szCs w:val="24"/>
        </w:rPr>
      </w:pPr>
    </w:p>
    <w:p w:rsidR="00067922" w:rsidRPr="00CC0EE5" w:rsidRDefault="00DF2A7B" w:rsidP="00067922">
      <w:pPr>
        <w:spacing w:after="0" w:line="240" w:lineRule="auto"/>
        <w:jc w:val="both"/>
        <w:rPr>
          <w:rFonts w:ascii="Cambria" w:eastAsia="Cambria" w:hAnsi="Cambria" w:cs="Cambria"/>
          <w:sz w:val="24"/>
          <w:szCs w:val="24"/>
          <w:highlight w:val="white"/>
        </w:rPr>
      </w:pPr>
      <w:r>
        <w:rPr>
          <w:rFonts w:ascii="Bookman Old Style" w:hAnsi="Bookman Old Style" w:cs="Arial"/>
          <w:b/>
          <w:color w:val="000000" w:themeColor="text1"/>
          <w:sz w:val="24"/>
          <w:szCs w:val="24"/>
        </w:rPr>
        <w:t>Artículo 46</w:t>
      </w:r>
      <w:r w:rsidR="00067922" w:rsidRPr="00CC0EE5">
        <w:rPr>
          <w:rFonts w:ascii="Bookman Old Style" w:hAnsi="Bookman Old Style" w:cs="Arial"/>
          <w:color w:val="000000" w:themeColor="text1"/>
          <w:sz w:val="24"/>
          <w:szCs w:val="24"/>
        </w:rPr>
        <w:t xml:space="preserve">.  </w:t>
      </w:r>
      <w:r w:rsidR="00067922" w:rsidRPr="00CC0EE5">
        <w:rPr>
          <w:rFonts w:ascii="Bookman Old Style" w:hAnsi="Bookman Old Style" w:cs="Arial"/>
          <w:b/>
          <w:color w:val="000000" w:themeColor="text1"/>
          <w:sz w:val="24"/>
          <w:szCs w:val="24"/>
        </w:rPr>
        <w:t>Vigencia</w:t>
      </w:r>
      <w:r w:rsidR="00067922" w:rsidRPr="00CC0EE5">
        <w:rPr>
          <w:rFonts w:ascii="Bookman Old Style" w:hAnsi="Bookman Old Style" w:cs="Arial"/>
          <w:color w:val="000000" w:themeColor="text1"/>
          <w:sz w:val="24"/>
          <w:szCs w:val="24"/>
        </w:rPr>
        <w:t>.  La presente ley rige a partir de su publicación, y deroga las disposiciones que le sean contrarias.</w:t>
      </w:r>
    </w:p>
    <w:p w:rsidR="00067922" w:rsidRDefault="00067922" w:rsidP="00067922">
      <w:pPr>
        <w:spacing w:after="0" w:line="240" w:lineRule="auto"/>
        <w:jc w:val="both"/>
        <w:rPr>
          <w:rFonts w:ascii="Cambria" w:eastAsia="Cambria" w:hAnsi="Cambria" w:cs="Cambria"/>
          <w:sz w:val="24"/>
          <w:szCs w:val="24"/>
          <w:highlight w:val="white"/>
        </w:rPr>
      </w:pPr>
    </w:p>
    <w:p w:rsidR="00D82A4A" w:rsidRDefault="00D82A4A" w:rsidP="00067922">
      <w:pPr>
        <w:spacing w:after="0" w:line="240" w:lineRule="auto"/>
        <w:jc w:val="both"/>
        <w:rPr>
          <w:rFonts w:ascii="Cambria" w:eastAsia="Cambria" w:hAnsi="Cambria" w:cs="Cambria"/>
          <w:sz w:val="24"/>
          <w:szCs w:val="24"/>
          <w:highlight w:val="white"/>
        </w:rPr>
      </w:pPr>
    </w:p>
    <w:p w:rsidR="00974356" w:rsidRPr="00427F8B" w:rsidRDefault="00974356" w:rsidP="00974356">
      <w:pPr>
        <w:spacing w:after="0" w:line="240" w:lineRule="auto"/>
        <w:jc w:val="center"/>
        <w:rPr>
          <w:rFonts w:ascii="Bookman Old Style" w:eastAsia="Arial" w:hAnsi="Bookman Old Style" w:cs="Arial"/>
          <w:b/>
          <w:sz w:val="24"/>
          <w:szCs w:val="24"/>
        </w:rPr>
      </w:pPr>
    </w:p>
    <w:p w:rsidR="00D82A4A" w:rsidRDefault="00D82A4A" w:rsidP="00DF2A7B">
      <w:pPr>
        <w:tabs>
          <w:tab w:val="left" w:pos="4820"/>
        </w:tabs>
        <w:spacing w:after="0" w:line="240" w:lineRule="auto"/>
        <w:jc w:val="both"/>
        <w:rPr>
          <w:rFonts w:ascii="Bookman Old Style" w:eastAsia="Century Gothic" w:hAnsi="Bookman Old Style" w:cs="Arial"/>
          <w:sz w:val="24"/>
          <w:szCs w:val="24"/>
          <w:highlight w:val="white"/>
        </w:rPr>
      </w:pPr>
    </w:p>
    <w:p w:rsidR="00D82A4A" w:rsidRDefault="00D82A4A" w:rsidP="00DF2A7B">
      <w:pPr>
        <w:tabs>
          <w:tab w:val="left" w:pos="4820"/>
        </w:tabs>
        <w:spacing w:after="0" w:line="240" w:lineRule="auto"/>
        <w:jc w:val="both"/>
        <w:rPr>
          <w:rFonts w:ascii="Bookman Old Style" w:eastAsia="Century Gothic" w:hAnsi="Bookman Old Style" w:cs="Arial"/>
          <w:sz w:val="24"/>
          <w:szCs w:val="24"/>
          <w:highlight w:val="white"/>
        </w:rPr>
      </w:pPr>
    </w:p>
    <w:p w:rsidR="00D82A4A" w:rsidRDefault="00D82A4A" w:rsidP="00DF2A7B">
      <w:pPr>
        <w:tabs>
          <w:tab w:val="left" w:pos="4820"/>
        </w:tabs>
        <w:spacing w:after="0" w:line="240" w:lineRule="auto"/>
        <w:jc w:val="both"/>
        <w:rPr>
          <w:rFonts w:ascii="Bookman Old Style" w:eastAsia="Century Gothic" w:hAnsi="Bookman Old Style" w:cs="Arial"/>
          <w:sz w:val="24"/>
          <w:szCs w:val="24"/>
          <w:highlight w:val="white"/>
        </w:rPr>
      </w:pPr>
    </w:p>
    <w:p w:rsidR="00E82C93" w:rsidRPr="00DF2A7B" w:rsidRDefault="00974356" w:rsidP="00DF2A7B">
      <w:pPr>
        <w:tabs>
          <w:tab w:val="left" w:pos="4820"/>
        </w:tabs>
        <w:spacing w:after="0" w:line="240" w:lineRule="auto"/>
        <w:jc w:val="both"/>
        <w:rPr>
          <w:rFonts w:ascii="Bookman Old Style" w:eastAsia="Century Gothic" w:hAnsi="Bookman Old Style" w:cs="Arial"/>
          <w:sz w:val="24"/>
          <w:szCs w:val="24"/>
          <w:highlight w:val="white"/>
        </w:rPr>
      </w:pPr>
      <w:r w:rsidRPr="00DF2A7B">
        <w:rPr>
          <w:rFonts w:ascii="Bookman Old Style" w:eastAsia="Century Gothic" w:hAnsi="Bookman Old Style" w:cs="Arial"/>
          <w:sz w:val="24"/>
          <w:szCs w:val="24"/>
          <w:highlight w:val="white"/>
        </w:rPr>
        <w:t xml:space="preserve">En los anteriores términos fue aprobado con modificaciones en primer debate el presente Proyecto de </w:t>
      </w:r>
      <w:r w:rsidR="005A22D8" w:rsidRPr="00DF2A7B">
        <w:rPr>
          <w:rFonts w:ascii="Bookman Old Style" w:eastAsia="Century Gothic" w:hAnsi="Bookman Old Style" w:cs="Arial"/>
          <w:sz w:val="24"/>
          <w:szCs w:val="24"/>
          <w:highlight w:val="white"/>
        </w:rPr>
        <w:t>Ley, según consta en Act</w:t>
      </w:r>
      <w:r w:rsidR="00067922" w:rsidRPr="00DF2A7B">
        <w:rPr>
          <w:rFonts w:ascii="Bookman Old Style" w:eastAsia="Century Gothic" w:hAnsi="Bookman Old Style" w:cs="Arial"/>
          <w:sz w:val="24"/>
          <w:szCs w:val="24"/>
          <w:highlight w:val="white"/>
        </w:rPr>
        <w:t>a No. 51</w:t>
      </w:r>
      <w:r w:rsidR="007C57E2" w:rsidRPr="00DF2A7B">
        <w:rPr>
          <w:rFonts w:ascii="Bookman Old Style" w:eastAsia="Century Gothic" w:hAnsi="Bookman Old Style" w:cs="Arial"/>
          <w:sz w:val="24"/>
          <w:szCs w:val="24"/>
          <w:highlight w:val="white"/>
        </w:rPr>
        <w:t xml:space="preserve"> de sesión del </w:t>
      </w:r>
      <w:r w:rsidR="00067922" w:rsidRPr="00DF2A7B">
        <w:rPr>
          <w:rFonts w:ascii="Bookman Old Style" w:eastAsia="Century Gothic" w:hAnsi="Bookman Old Style" w:cs="Arial"/>
          <w:sz w:val="24"/>
          <w:szCs w:val="24"/>
          <w:highlight w:val="white"/>
        </w:rPr>
        <w:t>03</w:t>
      </w:r>
      <w:r w:rsidRPr="00DF2A7B">
        <w:rPr>
          <w:rFonts w:ascii="Bookman Old Style" w:eastAsia="Century Gothic" w:hAnsi="Bookman Old Style" w:cs="Arial"/>
          <w:sz w:val="24"/>
          <w:szCs w:val="24"/>
          <w:highlight w:val="white"/>
        </w:rPr>
        <w:t xml:space="preserve"> de </w:t>
      </w:r>
      <w:r w:rsidR="005A22D8" w:rsidRPr="00DF2A7B">
        <w:rPr>
          <w:rFonts w:ascii="Bookman Old Style" w:eastAsia="Century Gothic" w:hAnsi="Bookman Old Style" w:cs="Arial"/>
          <w:sz w:val="24"/>
          <w:szCs w:val="24"/>
          <w:highlight w:val="white"/>
        </w:rPr>
        <w:t>junio</w:t>
      </w:r>
      <w:r w:rsidRPr="00DF2A7B">
        <w:rPr>
          <w:rFonts w:ascii="Bookman Old Style" w:eastAsia="Century Gothic" w:hAnsi="Bookman Old Style" w:cs="Arial"/>
          <w:sz w:val="24"/>
          <w:szCs w:val="24"/>
          <w:highlight w:val="white"/>
        </w:rPr>
        <w:t xml:space="preserve"> de 2025</w:t>
      </w:r>
      <w:r w:rsidR="00067922" w:rsidRPr="00DF2A7B">
        <w:rPr>
          <w:rFonts w:ascii="Bookman Old Style" w:eastAsia="Century Gothic" w:hAnsi="Bookman Old Style" w:cs="Arial"/>
          <w:sz w:val="24"/>
          <w:szCs w:val="24"/>
          <w:highlight w:val="white"/>
        </w:rPr>
        <w:t>, Acta No. 52 de sesión del 04 de junio de 2025, Acta No. 54 de sesión del 10 de junio de 2025 y Acta No. 57 de sesión del 19 de junio de 2025</w:t>
      </w:r>
      <w:r w:rsidRPr="00DF2A7B">
        <w:rPr>
          <w:rFonts w:ascii="Bookman Old Style" w:eastAsia="Century Gothic" w:hAnsi="Bookman Old Style" w:cs="Arial"/>
          <w:sz w:val="24"/>
          <w:szCs w:val="24"/>
          <w:highlight w:val="white"/>
        </w:rPr>
        <w:t>. Así mismo fue anuncia</w:t>
      </w:r>
      <w:r w:rsidR="007C57E2" w:rsidRPr="00DF2A7B">
        <w:rPr>
          <w:rFonts w:ascii="Bookman Old Style" w:eastAsia="Century Gothic" w:hAnsi="Bookman Old Style" w:cs="Arial"/>
          <w:sz w:val="24"/>
          <w:szCs w:val="24"/>
          <w:highlight w:val="white"/>
        </w:rPr>
        <w:t>do entr</w:t>
      </w:r>
      <w:r w:rsidR="005A22D8" w:rsidRPr="00DF2A7B">
        <w:rPr>
          <w:rFonts w:ascii="Bookman Old Style" w:eastAsia="Century Gothic" w:hAnsi="Bookman Old Style" w:cs="Arial"/>
          <w:sz w:val="24"/>
          <w:szCs w:val="24"/>
          <w:highlight w:val="white"/>
        </w:rPr>
        <w:t xml:space="preserve">e otras fechas, el día </w:t>
      </w:r>
      <w:r w:rsidR="00067922" w:rsidRPr="00DF2A7B">
        <w:rPr>
          <w:rFonts w:ascii="Bookman Old Style" w:eastAsia="Century Gothic" w:hAnsi="Bookman Old Style" w:cs="Arial"/>
          <w:sz w:val="24"/>
          <w:szCs w:val="24"/>
          <w:highlight w:val="white"/>
        </w:rPr>
        <w:t>27</w:t>
      </w:r>
      <w:r w:rsidRPr="00DF2A7B">
        <w:rPr>
          <w:rFonts w:ascii="Bookman Old Style" w:eastAsia="Century Gothic" w:hAnsi="Bookman Old Style" w:cs="Arial"/>
          <w:sz w:val="24"/>
          <w:szCs w:val="24"/>
          <w:highlight w:val="white"/>
        </w:rPr>
        <w:t xml:space="preserve"> de </w:t>
      </w:r>
      <w:r w:rsidR="00067922" w:rsidRPr="00DF2A7B">
        <w:rPr>
          <w:rFonts w:ascii="Bookman Old Style" w:eastAsia="Century Gothic" w:hAnsi="Bookman Old Style" w:cs="Arial"/>
          <w:sz w:val="24"/>
          <w:szCs w:val="24"/>
          <w:highlight w:val="white"/>
        </w:rPr>
        <w:t>may</w:t>
      </w:r>
      <w:r w:rsidR="005A22D8" w:rsidRPr="00DF2A7B">
        <w:rPr>
          <w:rFonts w:ascii="Bookman Old Style" w:eastAsia="Century Gothic" w:hAnsi="Bookman Old Style" w:cs="Arial"/>
          <w:sz w:val="24"/>
          <w:szCs w:val="24"/>
          <w:highlight w:val="white"/>
        </w:rPr>
        <w:t>o</w:t>
      </w:r>
      <w:r w:rsidRPr="00DF2A7B">
        <w:rPr>
          <w:rFonts w:ascii="Bookman Old Style" w:eastAsia="Century Gothic" w:hAnsi="Bookman Old Style" w:cs="Arial"/>
          <w:sz w:val="24"/>
          <w:szCs w:val="24"/>
          <w:highlight w:val="white"/>
        </w:rPr>
        <w:t xml:space="preserve"> de 2025</w:t>
      </w:r>
      <w:r w:rsidR="007C57E2" w:rsidRPr="00DF2A7B">
        <w:rPr>
          <w:rFonts w:ascii="Bookman Old Style" w:eastAsia="Century Gothic" w:hAnsi="Bookman Old Style" w:cs="Arial"/>
          <w:sz w:val="24"/>
          <w:szCs w:val="24"/>
          <w:highlight w:val="white"/>
        </w:rPr>
        <w:t xml:space="preserve">, según consta en el Acta No. </w:t>
      </w:r>
      <w:r w:rsidR="005A22D8" w:rsidRPr="00DF2A7B">
        <w:rPr>
          <w:rFonts w:ascii="Bookman Old Style" w:eastAsia="Century Gothic" w:hAnsi="Bookman Old Style" w:cs="Arial"/>
          <w:sz w:val="24"/>
          <w:szCs w:val="24"/>
          <w:highlight w:val="white"/>
        </w:rPr>
        <w:t>5</w:t>
      </w:r>
      <w:r w:rsidR="00067922" w:rsidRPr="00DF2A7B">
        <w:rPr>
          <w:rFonts w:ascii="Bookman Old Style" w:eastAsia="Century Gothic" w:hAnsi="Bookman Old Style" w:cs="Arial"/>
          <w:sz w:val="24"/>
          <w:szCs w:val="24"/>
          <w:highlight w:val="white"/>
        </w:rPr>
        <w:t>0</w:t>
      </w:r>
      <w:r w:rsidR="00E82C93" w:rsidRPr="00DF2A7B">
        <w:rPr>
          <w:rFonts w:ascii="Bookman Old Style" w:eastAsia="Century Gothic" w:hAnsi="Bookman Old Style" w:cs="Arial"/>
          <w:sz w:val="24"/>
          <w:szCs w:val="24"/>
          <w:highlight w:val="white"/>
        </w:rPr>
        <w:t xml:space="preserve"> de sesión de esa misma fecha, </w:t>
      </w:r>
      <w:r w:rsidR="00067922" w:rsidRPr="00DF2A7B">
        <w:rPr>
          <w:rFonts w:ascii="Bookman Old Style" w:eastAsia="Century Gothic" w:hAnsi="Bookman Old Style" w:cs="Arial"/>
          <w:sz w:val="24"/>
          <w:szCs w:val="24"/>
          <w:highlight w:val="white"/>
        </w:rPr>
        <w:t>el día 03 de junio de 2025, según consta en el Acta No. 51</w:t>
      </w:r>
      <w:r w:rsidR="00E82C93" w:rsidRPr="00DF2A7B">
        <w:rPr>
          <w:rFonts w:ascii="Bookman Old Style" w:eastAsia="Century Gothic" w:hAnsi="Bookman Old Style" w:cs="Arial"/>
          <w:sz w:val="24"/>
          <w:szCs w:val="24"/>
          <w:highlight w:val="white"/>
        </w:rPr>
        <w:t xml:space="preserve"> de sesión de esa misma fecha, </w:t>
      </w:r>
      <w:r w:rsidR="00067922" w:rsidRPr="00DF2A7B">
        <w:rPr>
          <w:rFonts w:ascii="Bookman Old Style" w:eastAsia="Century Gothic" w:hAnsi="Bookman Old Style" w:cs="Arial"/>
          <w:sz w:val="24"/>
          <w:szCs w:val="24"/>
          <w:highlight w:val="white"/>
        </w:rPr>
        <w:t xml:space="preserve">el día </w:t>
      </w:r>
      <w:r w:rsidR="00E82C93" w:rsidRPr="00DF2A7B">
        <w:rPr>
          <w:rFonts w:ascii="Bookman Old Style" w:eastAsia="Century Gothic" w:hAnsi="Bookman Old Style" w:cs="Arial"/>
          <w:sz w:val="24"/>
          <w:szCs w:val="24"/>
          <w:highlight w:val="white"/>
        </w:rPr>
        <w:t>04</w:t>
      </w:r>
      <w:r w:rsidR="00067922" w:rsidRPr="00DF2A7B">
        <w:rPr>
          <w:rFonts w:ascii="Bookman Old Style" w:eastAsia="Century Gothic" w:hAnsi="Bookman Old Style" w:cs="Arial"/>
          <w:sz w:val="24"/>
          <w:szCs w:val="24"/>
          <w:highlight w:val="white"/>
        </w:rPr>
        <w:t xml:space="preserve"> de </w:t>
      </w:r>
      <w:r w:rsidR="00E82C93" w:rsidRPr="00DF2A7B">
        <w:rPr>
          <w:rFonts w:ascii="Bookman Old Style" w:eastAsia="Century Gothic" w:hAnsi="Bookman Old Style" w:cs="Arial"/>
          <w:sz w:val="24"/>
          <w:szCs w:val="24"/>
          <w:highlight w:val="white"/>
        </w:rPr>
        <w:t>juni</w:t>
      </w:r>
      <w:r w:rsidR="00067922" w:rsidRPr="00DF2A7B">
        <w:rPr>
          <w:rFonts w:ascii="Bookman Old Style" w:eastAsia="Century Gothic" w:hAnsi="Bookman Old Style" w:cs="Arial"/>
          <w:sz w:val="24"/>
          <w:szCs w:val="24"/>
          <w:highlight w:val="white"/>
        </w:rPr>
        <w:t>o de 2025, según consta en el Acta No. 5</w:t>
      </w:r>
      <w:r w:rsidR="00E82C93" w:rsidRPr="00DF2A7B">
        <w:rPr>
          <w:rFonts w:ascii="Bookman Old Style" w:eastAsia="Century Gothic" w:hAnsi="Bookman Old Style" w:cs="Arial"/>
          <w:sz w:val="24"/>
          <w:szCs w:val="24"/>
          <w:highlight w:val="white"/>
        </w:rPr>
        <w:t>2 de sesión de esa misma fecha y el día 18 de junio de 2025, según consta en el Acta No. 56 de sesión de esa misma fecha.</w:t>
      </w:r>
    </w:p>
    <w:p w:rsidR="00974356" w:rsidRPr="00DF2A7B" w:rsidRDefault="00E82C93" w:rsidP="00DF2A7B">
      <w:pPr>
        <w:tabs>
          <w:tab w:val="left" w:pos="4820"/>
        </w:tabs>
        <w:spacing w:after="0" w:line="240" w:lineRule="auto"/>
        <w:jc w:val="both"/>
        <w:rPr>
          <w:rFonts w:ascii="Bookman Old Style" w:eastAsia="Century Gothic" w:hAnsi="Bookman Old Style" w:cs="Arial"/>
          <w:sz w:val="24"/>
          <w:szCs w:val="24"/>
          <w:highlight w:val="white"/>
        </w:rPr>
      </w:pPr>
      <w:r w:rsidRPr="00DF2A7B">
        <w:rPr>
          <w:rFonts w:ascii="Bookman Old Style" w:eastAsia="Century Gothic" w:hAnsi="Bookman Old Style" w:cs="Arial"/>
          <w:sz w:val="24"/>
          <w:szCs w:val="24"/>
          <w:highlight w:val="white"/>
        </w:rPr>
        <w:t xml:space="preserve"> </w:t>
      </w:r>
    </w:p>
    <w:p w:rsidR="00A92BE9" w:rsidRPr="00DF2A7B" w:rsidRDefault="00A92BE9" w:rsidP="00DF2A7B">
      <w:pPr>
        <w:tabs>
          <w:tab w:val="left" w:pos="4678"/>
          <w:tab w:val="left" w:pos="5103"/>
        </w:tabs>
        <w:spacing w:after="0" w:line="240" w:lineRule="auto"/>
        <w:rPr>
          <w:rFonts w:ascii="Bookman Old Style" w:eastAsia="Century Gothic" w:hAnsi="Bookman Old Style" w:cs="Arial"/>
          <w:b/>
          <w:sz w:val="24"/>
          <w:szCs w:val="24"/>
          <w:highlight w:val="white"/>
        </w:rPr>
      </w:pPr>
    </w:p>
    <w:p w:rsidR="005F412B" w:rsidRPr="00DF2A7B" w:rsidRDefault="005F412B" w:rsidP="00DF2A7B">
      <w:pPr>
        <w:tabs>
          <w:tab w:val="left" w:pos="4678"/>
          <w:tab w:val="left" w:pos="5103"/>
        </w:tabs>
        <w:spacing w:after="0" w:line="240" w:lineRule="auto"/>
        <w:rPr>
          <w:rFonts w:ascii="Bookman Old Style" w:eastAsia="Century Gothic" w:hAnsi="Bookman Old Style" w:cs="Arial"/>
          <w:b/>
          <w:sz w:val="24"/>
          <w:szCs w:val="24"/>
          <w:highlight w:val="white"/>
        </w:rPr>
      </w:pPr>
    </w:p>
    <w:p w:rsidR="00647FD0" w:rsidRPr="00DF2A7B" w:rsidRDefault="00647FD0" w:rsidP="00DF2A7B">
      <w:pPr>
        <w:tabs>
          <w:tab w:val="left" w:pos="4678"/>
          <w:tab w:val="left" w:pos="5103"/>
        </w:tabs>
        <w:spacing w:after="0" w:line="240" w:lineRule="auto"/>
        <w:rPr>
          <w:rFonts w:ascii="Bookman Old Style" w:eastAsia="Century Gothic" w:hAnsi="Bookman Old Style" w:cs="Arial"/>
          <w:b/>
          <w:sz w:val="24"/>
          <w:szCs w:val="24"/>
          <w:highlight w:val="white"/>
        </w:rPr>
      </w:pPr>
    </w:p>
    <w:p w:rsidR="00C7658D" w:rsidRPr="00DF2A7B" w:rsidRDefault="00067922" w:rsidP="00DF2A7B">
      <w:pPr>
        <w:tabs>
          <w:tab w:val="left" w:pos="4678"/>
          <w:tab w:val="left" w:pos="5103"/>
        </w:tabs>
        <w:spacing w:after="0" w:line="240" w:lineRule="auto"/>
        <w:rPr>
          <w:rFonts w:ascii="Bookman Old Style" w:eastAsia="Century Gothic" w:hAnsi="Bookman Old Style" w:cs="Arial"/>
          <w:b/>
          <w:sz w:val="24"/>
          <w:szCs w:val="24"/>
          <w:highlight w:val="white"/>
        </w:rPr>
      </w:pPr>
      <w:r w:rsidRPr="00DF2A7B">
        <w:rPr>
          <w:rFonts w:ascii="Bookman Old Style" w:eastAsia="Century Gothic" w:hAnsi="Bookman Old Style" w:cs="Arial"/>
          <w:b/>
          <w:sz w:val="24"/>
          <w:szCs w:val="24"/>
          <w:highlight w:val="white"/>
        </w:rPr>
        <w:t>GABRIEL BECERRA YAÑEZ</w:t>
      </w:r>
      <w:r w:rsidR="007C57E2" w:rsidRPr="00DF2A7B">
        <w:rPr>
          <w:rFonts w:ascii="Bookman Old Style" w:eastAsia="Century Gothic" w:hAnsi="Bookman Old Style" w:cs="Arial"/>
          <w:b/>
          <w:sz w:val="24"/>
          <w:szCs w:val="24"/>
          <w:highlight w:val="white"/>
        </w:rPr>
        <w:t xml:space="preserve">             </w:t>
      </w:r>
      <w:r w:rsidR="00677333" w:rsidRPr="00DF2A7B">
        <w:rPr>
          <w:rFonts w:ascii="Bookman Old Style" w:eastAsia="Century Gothic" w:hAnsi="Bookman Old Style" w:cs="Arial"/>
          <w:b/>
          <w:sz w:val="24"/>
          <w:szCs w:val="24"/>
          <w:highlight w:val="white"/>
        </w:rPr>
        <w:t xml:space="preserve">         </w:t>
      </w:r>
      <w:r w:rsidR="005A22D8" w:rsidRPr="00DF2A7B">
        <w:rPr>
          <w:rFonts w:ascii="Bookman Old Style" w:eastAsia="Century Gothic" w:hAnsi="Bookman Old Style" w:cs="Arial"/>
          <w:b/>
          <w:sz w:val="24"/>
          <w:szCs w:val="24"/>
          <w:highlight w:val="white"/>
        </w:rPr>
        <w:t>A</w:t>
      </w:r>
      <w:r w:rsidR="001F7960" w:rsidRPr="00DF2A7B">
        <w:rPr>
          <w:rFonts w:ascii="Bookman Old Style" w:eastAsia="Century Gothic" w:hAnsi="Bookman Old Style" w:cs="Arial"/>
          <w:b/>
          <w:sz w:val="24"/>
          <w:szCs w:val="24"/>
          <w:highlight w:val="white"/>
        </w:rPr>
        <w:t>NA PAOLA GARCÍA SOTO</w:t>
      </w:r>
    </w:p>
    <w:p w:rsidR="00C7658D" w:rsidRPr="00DF2A7B" w:rsidRDefault="00A92BE9" w:rsidP="00DF2A7B">
      <w:pPr>
        <w:tabs>
          <w:tab w:val="left" w:pos="4678"/>
          <w:tab w:val="left" w:pos="5103"/>
        </w:tabs>
        <w:spacing w:after="0" w:line="240" w:lineRule="auto"/>
        <w:rPr>
          <w:rFonts w:ascii="Bookman Old Style" w:eastAsia="Century Gothic" w:hAnsi="Bookman Old Style" w:cs="Arial"/>
          <w:sz w:val="24"/>
          <w:szCs w:val="24"/>
          <w:highlight w:val="white"/>
        </w:rPr>
      </w:pPr>
      <w:r w:rsidRPr="00DF2A7B">
        <w:rPr>
          <w:rFonts w:ascii="Bookman Old Style" w:eastAsia="Century Gothic" w:hAnsi="Bookman Old Style" w:cs="Arial"/>
          <w:sz w:val="24"/>
          <w:szCs w:val="24"/>
          <w:highlight w:val="white"/>
        </w:rPr>
        <w:t xml:space="preserve">Ponente </w:t>
      </w:r>
      <w:r w:rsidR="00067922" w:rsidRPr="00DF2A7B">
        <w:rPr>
          <w:rFonts w:ascii="Bookman Old Style" w:eastAsia="Century Gothic" w:hAnsi="Bookman Old Style" w:cs="Arial"/>
          <w:sz w:val="24"/>
          <w:szCs w:val="24"/>
          <w:highlight w:val="white"/>
        </w:rPr>
        <w:t>Coordinador</w:t>
      </w:r>
      <w:r w:rsidR="007C57E2" w:rsidRPr="00DF2A7B">
        <w:rPr>
          <w:rFonts w:ascii="Bookman Old Style" w:eastAsia="Century Gothic" w:hAnsi="Bookman Old Style" w:cs="Arial"/>
          <w:sz w:val="24"/>
          <w:szCs w:val="24"/>
          <w:highlight w:val="white"/>
        </w:rPr>
        <w:t xml:space="preserve">                          </w:t>
      </w:r>
      <w:r w:rsidR="00067922" w:rsidRPr="00DF2A7B">
        <w:rPr>
          <w:rFonts w:ascii="Bookman Old Style" w:eastAsia="Century Gothic" w:hAnsi="Bookman Old Style" w:cs="Arial"/>
          <w:sz w:val="24"/>
          <w:szCs w:val="24"/>
          <w:highlight w:val="white"/>
        </w:rPr>
        <w:t xml:space="preserve"> </w:t>
      </w:r>
      <w:r w:rsidR="001F7960" w:rsidRPr="00DF2A7B">
        <w:rPr>
          <w:rFonts w:ascii="Bookman Old Style" w:eastAsia="Century Gothic" w:hAnsi="Bookman Old Style" w:cs="Arial"/>
          <w:sz w:val="24"/>
          <w:szCs w:val="24"/>
          <w:highlight w:val="white"/>
        </w:rPr>
        <w:t xml:space="preserve">         Presidenta</w:t>
      </w:r>
    </w:p>
    <w:p w:rsidR="00A92BE9" w:rsidRDefault="00A92BE9" w:rsidP="00DF2A7B">
      <w:pPr>
        <w:tabs>
          <w:tab w:val="left" w:pos="4678"/>
          <w:tab w:val="left" w:pos="5103"/>
        </w:tabs>
        <w:spacing w:after="0" w:line="240" w:lineRule="auto"/>
        <w:rPr>
          <w:rFonts w:ascii="Bookman Old Style" w:eastAsia="Century Gothic" w:hAnsi="Bookman Old Style" w:cs="Arial"/>
          <w:sz w:val="24"/>
          <w:szCs w:val="24"/>
        </w:rPr>
      </w:pPr>
    </w:p>
    <w:p w:rsidR="00D82A4A" w:rsidRPr="00DF2A7B" w:rsidRDefault="00D82A4A" w:rsidP="00DF2A7B">
      <w:pPr>
        <w:tabs>
          <w:tab w:val="left" w:pos="4678"/>
          <w:tab w:val="left" w:pos="5103"/>
        </w:tabs>
        <w:spacing w:after="0" w:line="240" w:lineRule="auto"/>
        <w:rPr>
          <w:rFonts w:ascii="Bookman Old Style" w:eastAsia="Century Gothic" w:hAnsi="Bookman Old Style" w:cs="Arial"/>
          <w:sz w:val="24"/>
          <w:szCs w:val="24"/>
        </w:rPr>
      </w:pPr>
    </w:p>
    <w:p w:rsidR="006D1C56" w:rsidRPr="00DF2A7B" w:rsidRDefault="006D1C56" w:rsidP="00DF2A7B">
      <w:pPr>
        <w:tabs>
          <w:tab w:val="left" w:pos="4678"/>
          <w:tab w:val="left" w:pos="5103"/>
        </w:tabs>
        <w:spacing w:after="0" w:line="240" w:lineRule="auto"/>
        <w:rPr>
          <w:rFonts w:ascii="Bookman Old Style" w:eastAsia="Century Gothic" w:hAnsi="Bookman Old Style" w:cs="Arial"/>
          <w:sz w:val="24"/>
          <w:szCs w:val="24"/>
        </w:rPr>
      </w:pPr>
    </w:p>
    <w:p w:rsidR="00A92BE9" w:rsidRPr="00DF2A7B" w:rsidRDefault="00A92BE9" w:rsidP="00DF2A7B">
      <w:pPr>
        <w:tabs>
          <w:tab w:val="left" w:pos="4678"/>
          <w:tab w:val="left" w:pos="5103"/>
        </w:tabs>
        <w:spacing w:after="0" w:line="240" w:lineRule="auto"/>
        <w:rPr>
          <w:rFonts w:ascii="Bookman Old Style" w:eastAsia="Century Gothic" w:hAnsi="Bookman Old Style" w:cs="Arial"/>
          <w:sz w:val="24"/>
          <w:szCs w:val="24"/>
        </w:rPr>
      </w:pPr>
    </w:p>
    <w:p w:rsidR="005A22D8" w:rsidRPr="00DF2A7B" w:rsidRDefault="00067922" w:rsidP="00DF2A7B">
      <w:pPr>
        <w:tabs>
          <w:tab w:val="left" w:pos="4678"/>
          <w:tab w:val="left" w:pos="5103"/>
        </w:tabs>
        <w:spacing w:after="0" w:line="240" w:lineRule="auto"/>
        <w:rPr>
          <w:rFonts w:ascii="Bookman Old Style" w:eastAsia="Century Gothic" w:hAnsi="Bookman Old Style" w:cs="Arial"/>
          <w:b/>
          <w:sz w:val="24"/>
          <w:szCs w:val="24"/>
        </w:rPr>
      </w:pPr>
      <w:r w:rsidRPr="00DF2A7B">
        <w:rPr>
          <w:rFonts w:ascii="Bookman Old Style" w:eastAsia="Century Gothic" w:hAnsi="Bookman Old Style" w:cs="Arial"/>
          <w:b/>
          <w:sz w:val="24"/>
          <w:szCs w:val="24"/>
        </w:rPr>
        <w:t xml:space="preserve">             </w:t>
      </w:r>
      <w:r w:rsidR="001F7960" w:rsidRPr="00DF2A7B">
        <w:rPr>
          <w:rFonts w:ascii="Bookman Old Style" w:eastAsia="Century Gothic" w:hAnsi="Bookman Old Style" w:cs="Arial"/>
          <w:b/>
          <w:sz w:val="24"/>
          <w:szCs w:val="24"/>
        </w:rPr>
        <w:t xml:space="preserve">             </w:t>
      </w:r>
      <w:r w:rsidR="00C51574" w:rsidRPr="00DF2A7B">
        <w:rPr>
          <w:rFonts w:ascii="Bookman Old Style" w:eastAsia="Century Gothic" w:hAnsi="Bookman Old Style" w:cs="Arial"/>
          <w:b/>
          <w:sz w:val="24"/>
          <w:szCs w:val="24"/>
        </w:rPr>
        <w:t xml:space="preserve">AMPARO Y. </w:t>
      </w:r>
      <w:r w:rsidR="005A22D8" w:rsidRPr="00DF2A7B">
        <w:rPr>
          <w:rFonts w:ascii="Bookman Old Style" w:eastAsia="Century Gothic" w:hAnsi="Bookman Old Style" w:cs="Arial"/>
          <w:b/>
          <w:sz w:val="24"/>
          <w:szCs w:val="24"/>
        </w:rPr>
        <w:t>CALDERON PERDOMO</w:t>
      </w:r>
    </w:p>
    <w:p w:rsidR="005F412B" w:rsidRPr="00DF2A7B" w:rsidRDefault="001F7960" w:rsidP="00DF2A7B">
      <w:pPr>
        <w:tabs>
          <w:tab w:val="left" w:pos="4678"/>
          <w:tab w:val="left" w:pos="5103"/>
        </w:tabs>
        <w:spacing w:after="0" w:line="240" w:lineRule="auto"/>
        <w:rPr>
          <w:rFonts w:ascii="Bookman Old Style" w:eastAsia="Century Gothic" w:hAnsi="Bookman Old Style" w:cs="Arial"/>
          <w:sz w:val="24"/>
          <w:szCs w:val="24"/>
        </w:rPr>
      </w:pPr>
      <w:r w:rsidRPr="00DF2A7B">
        <w:rPr>
          <w:rFonts w:ascii="Bookman Old Style" w:eastAsia="Century Gothic" w:hAnsi="Bookman Old Style" w:cs="Arial"/>
          <w:sz w:val="24"/>
          <w:szCs w:val="24"/>
        </w:rPr>
        <w:t xml:space="preserve">                                          </w:t>
      </w:r>
      <w:r w:rsidR="00C51574" w:rsidRPr="00DF2A7B">
        <w:rPr>
          <w:rFonts w:ascii="Bookman Old Style" w:eastAsia="Century Gothic" w:hAnsi="Bookman Old Style" w:cs="Arial"/>
          <w:sz w:val="24"/>
          <w:szCs w:val="24"/>
        </w:rPr>
        <w:t xml:space="preserve">  </w:t>
      </w:r>
      <w:r w:rsidR="005A22D8" w:rsidRPr="00DF2A7B">
        <w:rPr>
          <w:rFonts w:ascii="Bookman Old Style" w:eastAsia="Century Gothic" w:hAnsi="Bookman Old Style" w:cs="Arial"/>
          <w:sz w:val="24"/>
          <w:szCs w:val="24"/>
        </w:rPr>
        <w:t>Secretaria</w:t>
      </w:r>
    </w:p>
    <w:p w:rsidR="00A92BE9" w:rsidRPr="00DF2A7B" w:rsidRDefault="00A92BE9" w:rsidP="00DF2A7B">
      <w:pPr>
        <w:tabs>
          <w:tab w:val="left" w:pos="4678"/>
          <w:tab w:val="left" w:pos="5103"/>
        </w:tabs>
        <w:spacing w:after="0" w:line="240" w:lineRule="auto"/>
        <w:rPr>
          <w:rFonts w:ascii="Bookman Old Style" w:eastAsia="Century Gothic" w:hAnsi="Bookman Old Style" w:cs="Arial"/>
          <w:sz w:val="24"/>
          <w:szCs w:val="24"/>
        </w:rPr>
      </w:pPr>
    </w:p>
    <w:p w:rsidR="008C485F" w:rsidRPr="00DF2A7B" w:rsidRDefault="007042B0" w:rsidP="00DF2A7B">
      <w:pPr>
        <w:tabs>
          <w:tab w:val="left" w:pos="4678"/>
          <w:tab w:val="left" w:pos="5103"/>
        </w:tabs>
        <w:spacing w:after="0" w:line="240" w:lineRule="auto"/>
        <w:rPr>
          <w:rFonts w:ascii="Bookman Old Style" w:eastAsia="Arial Narrow" w:hAnsi="Bookman Old Style" w:cs="Arial"/>
          <w:color w:val="000000"/>
          <w:sz w:val="24"/>
          <w:szCs w:val="24"/>
        </w:rPr>
      </w:pPr>
      <w:r w:rsidRPr="00DF2A7B">
        <w:rPr>
          <w:rFonts w:ascii="Bookman Old Style" w:eastAsia="Century Gothic" w:hAnsi="Bookman Old Style" w:cs="Arial"/>
          <w:b/>
          <w:sz w:val="24"/>
          <w:szCs w:val="24"/>
        </w:rPr>
        <w:t xml:space="preserve">  </w:t>
      </w:r>
      <w:r w:rsidR="007C57E2" w:rsidRPr="00DF2A7B">
        <w:rPr>
          <w:rFonts w:ascii="Bookman Old Style" w:eastAsia="Century Gothic" w:hAnsi="Bookman Old Style" w:cs="Arial"/>
          <w:b/>
          <w:sz w:val="24"/>
          <w:szCs w:val="24"/>
        </w:rPr>
        <w:t xml:space="preserve">                        </w:t>
      </w:r>
      <w:r w:rsidRPr="00DF2A7B">
        <w:rPr>
          <w:rFonts w:ascii="Bookman Old Style" w:eastAsia="Century Gothic" w:hAnsi="Bookman Old Style" w:cs="Arial"/>
          <w:b/>
          <w:sz w:val="24"/>
          <w:szCs w:val="24"/>
        </w:rPr>
        <w:t xml:space="preserve"> </w:t>
      </w:r>
      <w:r w:rsidR="00677333" w:rsidRPr="00DF2A7B">
        <w:rPr>
          <w:rFonts w:ascii="Bookman Old Style" w:eastAsia="Century Gothic" w:hAnsi="Bookman Old Style" w:cs="Arial"/>
          <w:b/>
          <w:sz w:val="24"/>
          <w:szCs w:val="24"/>
        </w:rPr>
        <w:t xml:space="preserve">            </w:t>
      </w:r>
      <w:r w:rsidR="007C57E2" w:rsidRPr="00DF2A7B">
        <w:rPr>
          <w:rFonts w:ascii="Bookman Old Style" w:eastAsia="Century Gothic" w:hAnsi="Bookman Old Style" w:cs="Arial"/>
          <w:sz w:val="24"/>
          <w:szCs w:val="24"/>
          <w:highlight w:val="white"/>
        </w:rPr>
        <w:t xml:space="preserve">                       </w:t>
      </w:r>
      <w:r w:rsidRPr="00DF2A7B">
        <w:rPr>
          <w:rFonts w:ascii="Bookman Old Style" w:eastAsia="Century Gothic" w:hAnsi="Bookman Old Style" w:cs="Arial"/>
          <w:sz w:val="24"/>
          <w:szCs w:val="24"/>
          <w:highlight w:val="white"/>
        </w:rPr>
        <w:t xml:space="preserve">                             </w:t>
      </w:r>
      <w:r w:rsidR="00677333" w:rsidRPr="00DF2A7B">
        <w:rPr>
          <w:rFonts w:ascii="Bookman Old Style" w:eastAsia="Century Gothic" w:hAnsi="Bookman Old Style" w:cs="Arial"/>
          <w:sz w:val="24"/>
          <w:szCs w:val="24"/>
          <w:highlight w:val="white"/>
        </w:rPr>
        <w:t xml:space="preserve">                </w:t>
      </w:r>
    </w:p>
    <w:sectPr w:rsidR="008C485F" w:rsidRPr="00DF2A7B"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FB9" w:rsidRDefault="00A74FB9" w:rsidP="002B77F9">
      <w:pPr>
        <w:spacing w:after="0" w:line="240" w:lineRule="auto"/>
      </w:pPr>
      <w:r>
        <w:separator/>
      </w:r>
    </w:p>
  </w:endnote>
  <w:endnote w:type="continuationSeparator" w:id="0">
    <w:p w:rsidR="00A74FB9" w:rsidRDefault="00A74FB9"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Content>
      <w:p w:rsidR="00F724D2" w:rsidRPr="00F31B05" w:rsidRDefault="00F724D2"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F724D2" w:rsidRPr="00CA7BFC" w:rsidRDefault="00F724D2"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F724D2" w:rsidRDefault="00F724D2"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B9" w:rsidRDefault="00A74FB9" w:rsidP="002B77F9">
      <w:pPr>
        <w:spacing w:after="0" w:line="240" w:lineRule="auto"/>
      </w:pPr>
      <w:r>
        <w:separator/>
      </w:r>
    </w:p>
  </w:footnote>
  <w:footnote w:type="continuationSeparator" w:id="0">
    <w:p w:rsidR="00A74FB9" w:rsidRDefault="00A74FB9"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4D2" w:rsidRDefault="00F724D2" w:rsidP="00C72FDB">
    <w:pPr>
      <w:pStyle w:val="Encabezado"/>
      <w:jc w:val="center"/>
    </w:pPr>
    <w:sdt>
      <w:sdtPr>
        <w:id w:val="1036773030"/>
        <w:docPartObj>
          <w:docPartGallery w:val="Page Numbers (Margins)"/>
          <w:docPartUnique/>
        </w:docPartObj>
      </w:sdtPr>
      <w:sdtContent>
        <w:r>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4D2" w:rsidRDefault="00F724D2">
                              <w:pPr>
                                <w:pBdr>
                                  <w:bottom w:val="single" w:sz="4" w:space="1" w:color="auto"/>
                                </w:pBdr>
                              </w:pPr>
                              <w:r>
                                <w:fldChar w:fldCharType="begin"/>
                              </w:r>
                              <w:r>
                                <w:instrText>PAGE   \* MERGEFORMAT</w:instrText>
                              </w:r>
                              <w:r>
                                <w:fldChar w:fldCharType="separate"/>
                              </w:r>
                              <w:r w:rsidR="00D82A4A" w:rsidRPr="00D82A4A">
                                <w:rPr>
                                  <w:noProof/>
                                  <w:lang w:val="es-ES"/>
                                </w:rPr>
                                <w:t>28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F724D2" w:rsidRDefault="00F724D2">
                        <w:pPr>
                          <w:pBdr>
                            <w:bottom w:val="single" w:sz="4" w:space="1" w:color="auto"/>
                          </w:pBdr>
                        </w:pPr>
                        <w:r>
                          <w:fldChar w:fldCharType="begin"/>
                        </w:r>
                        <w:r>
                          <w:instrText>PAGE   \* MERGEFORMAT</w:instrText>
                        </w:r>
                        <w:r>
                          <w:fldChar w:fldCharType="separate"/>
                        </w:r>
                        <w:r w:rsidR="00D82A4A" w:rsidRPr="00D82A4A">
                          <w:rPr>
                            <w:noProof/>
                            <w:lang w:val="es-ES"/>
                          </w:rPr>
                          <w:t>28</w:t>
                        </w:r>
                        <w:r>
                          <w:fldChar w:fldCharType="end"/>
                        </w:r>
                      </w:p>
                    </w:txbxContent>
                  </v:textbox>
                  <w10:wrap anchorx="margin" anchory="margin"/>
                </v:rect>
              </w:pict>
            </mc:Fallback>
          </mc:AlternateContent>
        </w:r>
      </w:sdtContent>
    </w:sdt>
    <w:r>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F724D2" w:rsidRDefault="00F724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15:restartNumberingAfterBreak="0">
    <w:nsid w:val="39D72460"/>
    <w:multiLevelType w:val="multilevel"/>
    <w:tmpl w:val="4ECC78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2" w15:restartNumberingAfterBreak="0">
    <w:nsid w:val="4F313E56"/>
    <w:multiLevelType w:val="multilevel"/>
    <w:tmpl w:val="18B07832"/>
    <w:lvl w:ilvl="0">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643" w:hanging="360"/>
      </w:pPr>
      <w:rPr>
        <w:u w:val="none"/>
      </w:rPr>
    </w:lvl>
    <w:lvl w:ilvl="3">
      <w:start w:val="1"/>
      <w:numFmt w:val="decimal"/>
      <w:lvlText w:val="%4."/>
      <w:lvlJc w:val="left"/>
      <w:pPr>
        <w:ind w:left="360" w:hanging="360"/>
      </w:pPr>
      <w:rPr>
        <w:b w:val="0"/>
        <w:bCs w:val="0"/>
        <w:u w:val="none"/>
      </w:rPr>
    </w:lvl>
    <w:lvl w:ilvl="4">
      <w:start w:val="1"/>
      <w:numFmt w:val="decimal"/>
      <w:lvlText w:val="%5."/>
      <w:lvlJc w:val="left"/>
      <w:pPr>
        <w:ind w:left="360" w:hanging="360"/>
      </w:pPr>
      <w:rPr>
        <w:u w:val="none"/>
      </w:rPr>
    </w:lvl>
    <w:lvl w:ilvl="5">
      <w:start w:val="1"/>
      <w:numFmt w:val="lowerLetter"/>
      <w:lvlText w:val="%6."/>
      <w:lvlJc w:val="left"/>
      <w:pPr>
        <w:ind w:left="785" w:hanging="360"/>
      </w:p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67860"/>
    <w:multiLevelType w:val="multilevel"/>
    <w:tmpl w:val="8DB6F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15:restartNumberingAfterBreak="0">
    <w:nsid w:val="5D332B91"/>
    <w:multiLevelType w:val="multilevel"/>
    <w:tmpl w:val="465CA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9" w15:restartNumberingAfterBreak="0">
    <w:nsid w:val="65D724B4"/>
    <w:multiLevelType w:val="hybridMultilevel"/>
    <w:tmpl w:val="CDFA6D24"/>
    <w:lvl w:ilvl="0" w:tplc="DDD4C51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1"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42" w15:restartNumberingAfterBreak="0">
    <w:nsid w:val="70FC4A7F"/>
    <w:multiLevelType w:val="multilevel"/>
    <w:tmpl w:val="3DD2E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4"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EE5B04"/>
    <w:multiLevelType w:val="multilevel"/>
    <w:tmpl w:val="D512B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20"/>
  </w:num>
  <w:num w:numId="4">
    <w:abstractNumId w:val="1"/>
  </w:num>
  <w:num w:numId="5">
    <w:abstractNumId w:val="2"/>
  </w:num>
  <w:num w:numId="6">
    <w:abstractNumId w:val="12"/>
  </w:num>
  <w:num w:numId="7">
    <w:abstractNumId w:val="0"/>
  </w:num>
  <w:num w:numId="8">
    <w:abstractNumId w:val="30"/>
  </w:num>
  <w:num w:numId="9">
    <w:abstractNumId w:val="14"/>
  </w:num>
  <w:num w:numId="10">
    <w:abstractNumId w:val="26"/>
  </w:num>
  <w:num w:numId="11">
    <w:abstractNumId w:val="47"/>
  </w:num>
  <w:num w:numId="12">
    <w:abstractNumId w:val="35"/>
  </w:num>
  <w:num w:numId="13">
    <w:abstractNumId w:val="46"/>
  </w:num>
  <w:num w:numId="14">
    <w:abstractNumId w:val="33"/>
  </w:num>
  <w:num w:numId="15">
    <w:abstractNumId w:val="29"/>
  </w:num>
  <w:num w:numId="16">
    <w:abstractNumId w:val="38"/>
  </w:num>
  <w:num w:numId="17">
    <w:abstractNumId w:val="28"/>
  </w:num>
  <w:num w:numId="18">
    <w:abstractNumId w:val="4"/>
  </w:num>
  <w:num w:numId="19">
    <w:abstractNumId w:val="5"/>
  </w:num>
  <w:num w:numId="20">
    <w:abstractNumId w:val="41"/>
  </w:num>
  <w:num w:numId="21">
    <w:abstractNumId w:val="36"/>
  </w:num>
  <w:num w:numId="22">
    <w:abstractNumId w:val="34"/>
  </w:num>
  <w:num w:numId="23">
    <w:abstractNumId w:val="27"/>
  </w:num>
  <w:num w:numId="24">
    <w:abstractNumId w:val="44"/>
  </w:num>
  <w:num w:numId="25">
    <w:abstractNumId w:val="19"/>
  </w:num>
  <w:num w:numId="26">
    <w:abstractNumId w:val="37"/>
  </w:num>
  <w:num w:numId="27">
    <w:abstractNumId w:val="11"/>
  </w:num>
  <w:num w:numId="28">
    <w:abstractNumId w:val="43"/>
  </w:num>
  <w:num w:numId="29">
    <w:abstractNumId w:val="15"/>
  </w:num>
  <w:num w:numId="30">
    <w:abstractNumId w:val="21"/>
  </w:num>
  <w:num w:numId="31">
    <w:abstractNumId w:val="24"/>
  </w:num>
  <w:num w:numId="32">
    <w:abstractNumId w:val="8"/>
  </w:num>
  <w:num w:numId="33">
    <w:abstractNumId w:val="40"/>
  </w:num>
  <w:num w:numId="34">
    <w:abstractNumId w:val="17"/>
  </w:num>
  <w:num w:numId="35">
    <w:abstractNumId w:val="6"/>
  </w:num>
  <w:num w:numId="36">
    <w:abstractNumId w:val="7"/>
  </w:num>
  <w:num w:numId="37">
    <w:abstractNumId w:val="3"/>
  </w:num>
  <w:num w:numId="38">
    <w:abstractNumId w:val="23"/>
  </w:num>
  <w:num w:numId="39">
    <w:abstractNumId w:val="31"/>
  </w:num>
  <w:num w:numId="40">
    <w:abstractNumId w:val="18"/>
  </w:num>
  <w:num w:numId="41">
    <w:abstractNumId w:val="9"/>
  </w:num>
  <w:num w:numId="42">
    <w:abstractNumId w:val="39"/>
  </w:num>
  <w:num w:numId="43">
    <w:abstractNumId w:val="42"/>
  </w:num>
  <w:num w:numId="44">
    <w:abstractNumId w:val="32"/>
  </w:num>
  <w:num w:numId="45">
    <w:abstractNumId w:val="16"/>
  </w:num>
  <w:num w:numId="46">
    <w:abstractNumId w:val="45"/>
  </w:num>
  <w:num w:numId="47">
    <w:abstractNumId w:val="25"/>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415E7"/>
    <w:rsid w:val="0005734B"/>
    <w:rsid w:val="00060965"/>
    <w:rsid w:val="00067922"/>
    <w:rsid w:val="00071BE2"/>
    <w:rsid w:val="00072389"/>
    <w:rsid w:val="00073B7F"/>
    <w:rsid w:val="000A348D"/>
    <w:rsid w:val="000B2703"/>
    <w:rsid w:val="000B431C"/>
    <w:rsid w:val="000B4D84"/>
    <w:rsid w:val="000B7306"/>
    <w:rsid w:val="000F23B9"/>
    <w:rsid w:val="001066C3"/>
    <w:rsid w:val="00130B13"/>
    <w:rsid w:val="00130C64"/>
    <w:rsid w:val="00133C16"/>
    <w:rsid w:val="00154066"/>
    <w:rsid w:val="00164B4F"/>
    <w:rsid w:val="00187F26"/>
    <w:rsid w:val="0019687F"/>
    <w:rsid w:val="001A730E"/>
    <w:rsid w:val="001B1713"/>
    <w:rsid w:val="001B561C"/>
    <w:rsid w:val="001B59F5"/>
    <w:rsid w:val="001B5DC1"/>
    <w:rsid w:val="001C02DA"/>
    <w:rsid w:val="001D46E7"/>
    <w:rsid w:val="001D7CDA"/>
    <w:rsid w:val="001E5470"/>
    <w:rsid w:val="001F1108"/>
    <w:rsid w:val="001F2372"/>
    <w:rsid w:val="001F2C00"/>
    <w:rsid w:val="001F4B8D"/>
    <w:rsid w:val="001F7960"/>
    <w:rsid w:val="00205249"/>
    <w:rsid w:val="00210E09"/>
    <w:rsid w:val="002165D6"/>
    <w:rsid w:val="002227A1"/>
    <w:rsid w:val="0023152C"/>
    <w:rsid w:val="00234747"/>
    <w:rsid w:val="00234FE5"/>
    <w:rsid w:val="002502B4"/>
    <w:rsid w:val="0025197F"/>
    <w:rsid w:val="00255D5C"/>
    <w:rsid w:val="00260D6F"/>
    <w:rsid w:val="002611C0"/>
    <w:rsid w:val="00266074"/>
    <w:rsid w:val="002743DF"/>
    <w:rsid w:val="00286D4E"/>
    <w:rsid w:val="002A00E2"/>
    <w:rsid w:val="002A29A3"/>
    <w:rsid w:val="002A3EA0"/>
    <w:rsid w:val="002B541B"/>
    <w:rsid w:val="002B6AF6"/>
    <w:rsid w:val="002B77F9"/>
    <w:rsid w:val="002C7CD5"/>
    <w:rsid w:val="002D1D2E"/>
    <w:rsid w:val="002D7DBF"/>
    <w:rsid w:val="002E1C35"/>
    <w:rsid w:val="002E25CA"/>
    <w:rsid w:val="002F02B3"/>
    <w:rsid w:val="002F539C"/>
    <w:rsid w:val="00303D5A"/>
    <w:rsid w:val="00311769"/>
    <w:rsid w:val="00321326"/>
    <w:rsid w:val="00323601"/>
    <w:rsid w:val="00335045"/>
    <w:rsid w:val="00342B29"/>
    <w:rsid w:val="003457FD"/>
    <w:rsid w:val="00355892"/>
    <w:rsid w:val="003604D0"/>
    <w:rsid w:val="00360C55"/>
    <w:rsid w:val="0037348B"/>
    <w:rsid w:val="003760F5"/>
    <w:rsid w:val="00376F05"/>
    <w:rsid w:val="003830E9"/>
    <w:rsid w:val="00384FE4"/>
    <w:rsid w:val="003873C2"/>
    <w:rsid w:val="00387BD8"/>
    <w:rsid w:val="00393CA3"/>
    <w:rsid w:val="00394EAC"/>
    <w:rsid w:val="003961DF"/>
    <w:rsid w:val="00397D10"/>
    <w:rsid w:val="003B0401"/>
    <w:rsid w:val="003B544C"/>
    <w:rsid w:val="003C4239"/>
    <w:rsid w:val="003F126E"/>
    <w:rsid w:val="003F5C5D"/>
    <w:rsid w:val="003F7B98"/>
    <w:rsid w:val="003F7F52"/>
    <w:rsid w:val="00413118"/>
    <w:rsid w:val="00415052"/>
    <w:rsid w:val="00420B8D"/>
    <w:rsid w:val="00427F8B"/>
    <w:rsid w:val="0043525D"/>
    <w:rsid w:val="00436F33"/>
    <w:rsid w:val="00443168"/>
    <w:rsid w:val="004453D9"/>
    <w:rsid w:val="004457EB"/>
    <w:rsid w:val="00463B62"/>
    <w:rsid w:val="00464F20"/>
    <w:rsid w:val="00464F6C"/>
    <w:rsid w:val="004730CF"/>
    <w:rsid w:val="00485F9F"/>
    <w:rsid w:val="00487B58"/>
    <w:rsid w:val="0049097B"/>
    <w:rsid w:val="004A788F"/>
    <w:rsid w:val="004C0174"/>
    <w:rsid w:val="004C05B3"/>
    <w:rsid w:val="004C367F"/>
    <w:rsid w:val="004C57E9"/>
    <w:rsid w:val="004C5D69"/>
    <w:rsid w:val="004D4AE0"/>
    <w:rsid w:val="004D759E"/>
    <w:rsid w:val="004E0ECA"/>
    <w:rsid w:val="004F722A"/>
    <w:rsid w:val="005056F4"/>
    <w:rsid w:val="00511ED4"/>
    <w:rsid w:val="00514173"/>
    <w:rsid w:val="00516271"/>
    <w:rsid w:val="00520C0E"/>
    <w:rsid w:val="00531BD8"/>
    <w:rsid w:val="00535873"/>
    <w:rsid w:val="0054460A"/>
    <w:rsid w:val="00546013"/>
    <w:rsid w:val="0054784F"/>
    <w:rsid w:val="00554A09"/>
    <w:rsid w:val="005648D5"/>
    <w:rsid w:val="00566713"/>
    <w:rsid w:val="00570909"/>
    <w:rsid w:val="0057315F"/>
    <w:rsid w:val="00592B55"/>
    <w:rsid w:val="00594CA0"/>
    <w:rsid w:val="005A22D8"/>
    <w:rsid w:val="005A2CA1"/>
    <w:rsid w:val="005B41D2"/>
    <w:rsid w:val="005B4CE4"/>
    <w:rsid w:val="005C604F"/>
    <w:rsid w:val="005D4583"/>
    <w:rsid w:val="005D4CF6"/>
    <w:rsid w:val="005E17D9"/>
    <w:rsid w:val="005E3A2B"/>
    <w:rsid w:val="005F412B"/>
    <w:rsid w:val="00615662"/>
    <w:rsid w:val="006156D8"/>
    <w:rsid w:val="00617D5F"/>
    <w:rsid w:val="006232F7"/>
    <w:rsid w:val="006263B1"/>
    <w:rsid w:val="006466D3"/>
    <w:rsid w:val="00647FD0"/>
    <w:rsid w:val="00651F09"/>
    <w:rsid w:val="00657E26"/>
    <w:rsid w:val="006729F8"/>
    <w:rsid w:val="00673CBF"/>
    <w:rsid w:val="00674257"/>
    <w:rsid w:val="00677333"/>
    <w:rsid w:val="006842AA"/>
    <w:rsid w:val="00685C7B"/>
    <w:rsid w:val="00692D9C"/>
    <w:rsid w:val="006933A1"/>
    <w:rsid w:val="006A040C"/>
    <w:rsid w:val="006A2114"/>
    <w:rsid w:val="006A31E0"/>
    <w:rsid w:val="006A433F"/>
    <w:rsid w:val="006A6080"/>
    <w:rsid w:val="006B2B1C"/>
    <w:rsid w:val="006C2025"/>
    <w:rsid w:val="006C370B"/>
    <w:rsid w:val="006D1C56"/>
    <w:rsid w:val="006E2C22"/>
    <w:rsid w:val="006E3F60"/>
    <w:rsid w:val="006E4320"/>
    <w:rsid w:val="006E4755"/>
    <w:rsid w:val="006F5535"/>
    <w:rsid w:val="007032B8"/>
    <w:rsid w:val="007042B0"/>
    <w:rsid w:val="007118F9"/>
    <w:rsid w:val="007373F0"/>
    <w:rsid w:val="00740FC1"/>
    <w:rsid w:val="00741F4B"/>
    <w:rsid w:val="007523F7"/>
    <w:rsid w:val="00752442"/>
    <w:rsid w:val="00752B02"/>
    <w:rsid w:val="00752CA5"/>
    <w:rsid w:val="00762CE9"/>
    <w:rsid w:val="0076593F"/>
    <w:rsid w:val="00767102"/>
    <w:rsid w:val="00770A1E"/>
    <w:rsid w:val="00771926"/>
    <w:rsid w:val="00784634"/>
    <w:rsid w:val="0078721A"/>
    <w:rsid w:val="00791199"/>
    <w:rsid w:val="00797788"/>
    <w:rsid w:val="007A27BF"/>
    <w:rsid w:val="007A467E"/>
    <w:rsid w:val="007A64EA"/>
    <w:rsid w:val="007B04B8"/>
    <w:rsid w:val="007C1176"/>
    <w:rsid w:val="007C2835"/>
    <w:rsid w:val="007C57E2"/>
    <w:rsid w:val="007C791A"/>
    <w:rsid w:val="007D2B23"/>
    <w:rsid w:val="007F02A1"/>
    <w:rsid w:val="007F6A91"/>
    <w:rsid w:val="0080000F"/>
    <w:rsid w:val="0081409F"/>
    <w:rsid w:val="00820746"/>
    <w:rsid w:val="00820AC5"/>
    <w:rsid w:val="008214EF"/>
    <w:rsid w:val="0083563E"/>
    <w:rsid w:val="008356FB"/>
    <w:rsid w:val="00836D1A"/>
    <w:rsid w:val="0084068F"/>
    <w:rsid w:val="00847D44"/>
    <w:rsid w:val="00864666"/>
    <w:rsid w:val="00864E81"/>
    <w:rsid w:val="00890E7E"/>
    <w:rsid w:val="008948A9"/>
    <w:rsid w:val="008C0270"/>
    <w:rsid w:val="008C485F"/>
    <w:rsid w:val="008C4F3D"/>
    <w:rsid w:val="008C5463"/>
    <w:rsid w:val="008C5C63"/>
    <w:rsid w:val="008D5251"/>
    <w:rsid w:val="008D78C3"/>
    <w:rsid w:val="008E20D5"/>
    <w:rsid w:val="008F3182"/>
    <w:rsid w:val="008F48EF"/>
    <w:rsid w:val="0090281F"/>
    <w:rsid w:val="00911D10"/>
    <w:rsid w:val="009175B2"/>
    <w:rsid w:val="009230CE"/>
    <w:rsid w:val="00923E69"/>
    <w:rsid w:val="00930B4E"/>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B53F3"/>
    <w:rsid w:val="009B5743"/>
    <w:rsid w:val="009B67AC"/>
    <w:rsid w:val="009C12A5"/>
    <w:rsid w:val="009D41C3"/>
    <w:rsid w:val="009F327E"/>
    <w:rsid w:val="009F5598"/>
    <w:rsid w:val="00A22D16"/>
    <w:rsid w:val="00A25E23"/>
    <w:rsid w:val="00A374D6"/>
    <w:rsid w:val="00A37F0F"/>
    <w:rsid w:val="00A43CC7"/>
    <w:rsid w:val="00A45EAE"/>
    <w:rsid w:val="00A46D79"/>
    <w:rsid w:val="00A74FB9"/>
    <w:rsid w:val="00A75B7B"/>
    <w:rsid w:val="00A75CDA"/>
    <w:rsid w:val="00A872C8"/>
    <w:rsid w:val="00A92BE9"/>
    <w:rsid w:val="00A92D27"/>
    <w:rsid w:val="00A93F0E"/>
    <w:rsid w:val="00A952CD"/>
    <w:rsid w:val="00A95D13"/>
    <w:rsid w:val="00AA243C"/>
    <w:rsid w:val="00AB14CD"/>
    <w:rsid w:val="00AB469B"/>
    <w:rsid w:val="00AD3B2D"/>
    <w:rsid w:val="00AD5DB5"/>
    <w:rsid w:val="00AE64EC"/>
    <w:rsid w:val="00AE692D"/>
    <w:rsid w:val="00AF36DE"/>
    <w:rsid w:val="00AF7024"/>
    <w:rsid w:val="00AF764F"/>
    <w:rsid w:val="00B01CAB"/>
    <w:rsid w:val="00B1158E"/>
    <w:rsid w:val="00B1541C"/>
    <w:rsid w:val="00B17EFD"/>
    <w:rsid w:val="00B445A7"/>
    <w:rsid w:val="00B45F28"/>
    <w:rsid w:val="00B50033"/>
    <w:rsid w:val="00B50D3A"/>
    <w:rsid w:val="00B52313"/>
    <w:rsid w:val="00B60DFC"/>
    <w:rsid w:val="00B74BE7"/>
    <w:rsid w:val="00B75780"/>
    <w:rsid w:val="00B92F56"/>
    <w:rsid w:val="00B93DD4"/>
    <w:rsid w:val="00BB4B50"/>
    <w:rsid w:val="00BB52F2"/>
    <w:rsid w:val="00BB72C3"/>
    <w:rsid w:val="00BC30DE"/>
    <w:rsid w:val="00BC47DE"/>
    <w:rsid w:val="00BD4141"/>
    <w:rsid w:val="00BD5A9F"/>
    <w:rsid w:val="00BE29E0"/>
    <w:rsid w:val="00C0765C"/>
    <w:rsid w:val="00C14E17"/>
    <w:rsid w:val="00C27B20"/>
    <w:rsid w:val="00C32B00"/>
    <w:rsid w:val="00C41881"/>
    <w:rsid w:val="00C421C4"/>
    <w:rsid w:val="00C51574"/>
    <w:rsid w:val="00C5586A"/>
    <w:rsid w:val="00C573E5"/>
    <w:rsid w:val="00C6177D"/>
    <w:rsid w:val="00C72FDB"/>
    <w:rsid w:val="00C7392E"/>
    <w:rsid w:val="00C74091"/>
    <w:rsid w:val="00C74871"/>
    <w:rsid w:val="00C749AB"/>
    <w:rsid w:val="00C7658D"/>
    <w:rsid w:val="00C81DC9"/>
    <w:rsid w:val="00C90D70"/>
    <w:rsid w:val="00C91D4B"/>
    <w:rsid w:val="00CA1400"/>
    <w:rsid w:val="00CA7F13"/>
    <w:rsid w:val="00CB53B1"/>
    <w:rsid w:val="00CB67C0"/>
    <w:rsid w:val="00CC62CD"/>
    <w:rsid w:val="00CD6BA1"/>
    <w:rsid w:val="00CE3E80"/>
    <w:rsid w:val="00CF0F36"/>
    <w:rsid w:val="00CF4523"/>
    <w:rsid w:val="00CF6F6C"/>
    <w:rsid w:val="00D012A0"/>
    <w:rsid w:val="00D06595"/>
    <w:rsid w:val="00D2128C"/>
    <w:rsid w:val="00D25E1A"/>
    <w:rsid w:val="00D33DBE"/>
    <w:rsid w:val="00D365ED"/>
    <w:rsid w:val="00D42340"/>
    <w:rsid w:val="00D64FC5"/>
    <w:rsid w:val="00D70D5A"/>
    <w:rsid w:val="00D7797C"/>
    <w:rsid w:val="00D82A4A"/>
    <w:rsid w:val="00D85690"/>
    <w:rsid w:val="00D870FD"/>
    <w:rsid w:val="00D87E48"/>
    <w:rsid w:val="00D911EB"/>
    <w:rsid w:val="00DA4DD0"/>
    <w:rsid w:val="00DB22F4"/>
    <w:rsid w:val="00DB30E5"/>
    <w:rsid w:val="00DB4E51"/>
    <w:rsid w:val="00DB6485"/>
    <w:rsid w:val="00DC15B5"/>
    <w:rsid w:val="00DC757E"/>
    <w:rsid w:val="00DD54E9"/>
    <w:rsid w:val="00DD5E90"/>
    <w:rsid w:val="00DE1E0A"/>
    <w:rsid w:val="00DE5B04"/>
    <w:rsid w:val="00DF01CA"/>
    <w:rsid w:val="00DF1873"/>
    <w:rsid w:val="00DF2A7B"/>
    <w:rsid w:val="00DF3798"/>
    <w:rsid w:val="00DF48FD"/>
    <w:rsid w:val="00DF514E"/>
    <w:rsid w:val="00E00980"/>
    <w:rsid w:val="00E05A72"/>
    <w:rsid w:val="00E0796D"/>
    <w:rsid w:val="00E20DB4"/>
    <w:rsid w:val="00E2117A"/>
    <w:rsid w:val="00E21A9D"/>
    <w:rsid w:val="00E31547"/>
    <w:rsid w:val="00E35FD6"/>
    <w:rsid w:val="00E45EC6"/>
    <w:rsid w:val="00E50203"/>
    <w:rsid w:val="00E53217"/>
    <w:rsid w:val="00E56423"/>
    <w:rsid w:val="00E61EC5"/>
    <w:rsid w:val="00E66A69"/>
    <w:rsid w:val="00E7734E"/>
    <w:rsid w:val="00E81991"/>
    <w:rsid w:val="00E82C93"/>
    <w:rsid w:val="00E846BD"/>
    <w:rsid w:val="00E90D44"/>
    <w:rsid w:val="00EA04A0"/>
    <w:rsid w:val="00EA0B67"/>
    <w:rsid w:val="00EB15E9"/>
    <w:rsid w:val="00EB61BC"/>
    <w:rsid w:val="00ED1DD7"/>
    <w:rsid w:val="00F003FA"/>
    <w:rsid w:val="00F076AA"/>
    <w:rsid w:val="00F1201D"/>
    <w:rsid w:val="00F13684"/>
    <w:rsid w:val="00F20DA4"/>
    <w:rsid w:val="00F22E0C"/>
    <w:rsid w:val="00F27207"/>
    <w:rsid w:val="00F3400C"/>
    <w:rsid w:val="00F418EE"/>
    <w:rsid w:val="00F43BBF"/>
    <w:rsid w:val="00F54808"/>
    <w:rsid w:val="00F5565A"/>
    <w:rsid w:val="00F641BD"/>
    <w:rsid w:val="00F724D2"/>
    <w:rsid w:val="00F82B12"/>
    <w:rsid w:val="00F86683"/>
    <w:rsid w:val="00FA7F82"/>
    <w:rsid w:val="00FB07C2"/>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7CBB7"/>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67922"/>
  </w:style>
  <w:style w:type="character" w:customStyle="1" w:styleId="Ninguno">
    <w:name w:val="Ninguno"/>
    <w:rsid w:val="00067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5945084">
      <w:bodyDiv w:val="1"/>
      <w:marLeft w:val="0"/>
      <w:marRight w:val="0"/>
      <w:marTop w:val="0"/>
      <w:marBottom w:val="0"/>
      <w:divBdr>
        <w:top w:val="none" w:sz="0" w:space="0" w:color="auto"/>
        <w:left w:val="none" w:sz="0" w:space="0" w:color="auto"/>
        <w:bottom w:val="none" w:sz="0" w:space="0" w:color="auto"/>
        <w:right w:val="none" w:sz="0" w:space="0" w:color="auto"/>
      </w:divBdr>
      <w:divsChild>
        <w:div w:id="152929388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1948535245">
      <w:bodyDiv w:val="1"/>
      <w:marLeft w:val="0"/>
      <w:marRight w:val="0"/>
      <w:marTop w:val="0"/>
      <w:marBottom w:val="0"/>
      <w:divBdr>
        <w:top w:val="none" w:sz="0" w:space="0" w:color="auto"/>
        <w:left w:val="none" w:sz="0" w:space="0" w:color="auto"/>
        <w:bottom w:val="none" w:sz="0" w:space="0" w:color="auto"/>
        <w:right w:val="none" w:sz="0" w:space="0" w:color="auto"/>
      </w:divBdr>
      <w:divsChild>
        <w:div w:id="175509865">
          <w:marLeft w:val="0"/>
          <w:marRight w:val="0"/>
          <w:marTop w:val="0"/>
          <w:marBottom w:val="0"/>
          <w:divBdr>
            <w:top w:val="none" w:sz="0" w:space="0" w:color="auto"/>
            <w:left w:val="none" w:sz="0" w:space="0" w:color="auto"/>
            <w:bottom w:val="none" w:sz="0" w:space="0" w:color="auto"/>
            <w:right w:val="none" w:sz="0" w:space="0" w:color="auto"/>
          </w:divBdr>
          <w:divsChild>
            <w:div w:id="608784463">
              <w:marLeft w:val="0"/>
              <w:marRight w:val="0"/>
              <w:marTop w:val="0"/>
              <w:marBottom w:val="0"/>
              <w:divBdr>
                <w:top w:val="none" w:sz="0" w:space="0" w:color="auto"/>
                <w:left w:val="none" w:sz="0" w:space="0" w:color="auto"/>
                <w:bottom w:val="none" w:sz="0" w:space="0" w:color="auto"/>
                <w:right w:val="none" w:sz="0" w:space="0" w:color="auto"/>
              </w:divBdr>
              <w:divsChild>
                <w:div w:id="1146121054">
                  <w:marLeft w:val="0"/>
                  <w:marRight w:val="0"/>
                  <w:marTop w:val="120"/>
                  <w:marBottom w:val="0"/>
                  <w:divBdr>
                    <w:top w:val="none" w:sz="0" w:space="0" w:color="auto"/>
                    <w:left w:val="none" w:sz="0" w:space="0" w:color="auto"/>
                    <w:bottom w:val="none" w:sz="0" w:space="0" w:color="auto"/>
                    <w:right w:val="none" w:sz="0" w:space="0" w:color="auto"/>
                  </w:divBdr>
                  <w:divsChild>
                    <w:div w:id="213197231">
                      <w:marLeft w:val="0"/>
                      <w:marRight w:val="0"/>
                      <w:marTop w:val="0"/>
                      <w:marBottom w:val="0"/>
                      <w:divBdr>
                        <w:top w:val="none" w:sz="0" w:space="0" w:color="auto"/>
                        <w:left w:val="none" w:sz="0" w:space="0" w:color="auto"/>
                        <w:bottom w:val="none" w:sz="0" w:space="0" w:color="auto"/>
                        <w:right w:val="none" w:sz="0" w:space="0" w:color="auto"/>
                      </w:divBdr>
                      <w:divsChild>
                        <w:div w:id="1786149693">
                          <w:marLeft w:val="0"/>
                          <w:marRight w:val="0"/>
                          <w:marTop w:val="0"/>
                          <w:marBottom w:val="0"/>
                          <w:divBdr>
                            <w:top w:val="none" w:sz="0" w:space="0" w:color="auto"/>
                            <w:left w:val="none" w:sz="0" w:space="0" w:color="auto"/>
                            <w:bottom w:val="none" w:sz="0" w:space="0" w:color="auto"/>
                            <w:right w:val="none" w:sz="0" w:space="0" w:color="auto"/>
                          </w:divBdr>
                          <w:divsChild>
                            <w:div w:id="787435761">
                              <w:marLeft w:val="0"/>
                              <w:marRight w:val="0"/>
                              <w:marTop w:val="0"/>
                              <w:marBottom w:val="0"/>
                              <w:divBdr>
                                <w:top w:val="none" w:sz="0" w:space="0" w:color="auto"/>
                                <w:left w:val="none" w:sz="0" w:space="0" w:color="auto"/>
                                <w:bottom w:val="none" w:sz="0" w:space="0" w:color="auto"/>
                                <w:right w:val="none" w:sz="0" w:space="0" w:color="auto"/>
                              </w:divBdr>
                            </w:div>
                            <w:div w:id="1594971092">
                              <w:marLeft w:val="0"/>
                              <w:marRight w:val="0"/>
                              <w:marTop w:val="0"/>
                              <w:marBottom w:val="0"/>
                              <w:divBdr>
                                <w:top w:val="none" w:sz="0" w:space="0" w:color="auto"/>
                                <w:left w:val="none" w:sz="0" w:space="0" w:color="auto"/>
                                <w:bottom w:val="none" w:sz="0" w:space="0" w:color="auto"/>
                                <w:right w:val="none" w:sz="0" w:space="0" w:color="auto"/>
                              </w:divBdr>
                            </w:div>
                            <w:div w:id="226108666">
                              <w:marLeft w:val="0"/>
                              <w:marRight w:val="0"/>
                              <w:marTop w:val="0"/>
                              <w:marBottom w:val="0"/>
                              <w:divBdr>
                                <w:top w:val="none" w:sz="0" w:space="0" w:color="auto"/>
                                <w:left w:val="none" w:sz="0" w:space="0" w:color="auto"/>
                                <w:bottom w:val="none" w:sz="0" w:space="0" w:color="auto"/>
                                <w:right w:val="none" w:sz="0" w:space="0" w:color="auto"/>
                              </w:divBdr>
                            </w:div>
                            <w:div w:id="791292982">
                              <w:marLeft w:val="0"/>
                              <w:marRight w:val="0"/>
                              <w:marTop w:val="0"/>
                              <w:marBottom w:val="0"/>
                              <w:divBdr>
                                <w:top w:val="none" w:sz="0" w:space="0" w:color="auto"/>
                                <w:left w:val="none" w:sz="0" w:space="0" w:color="auto"/>
                                <w:bottom w:val="none" w:sz="0" w:space="0" w:color="auto"/>
                                <w:right w:val="none" w:sz="0" w:space="0" w:color="auto"/>
                              </w:divBdr>
                            </w:div>
                            <w:div w:id="979114159">
                              <w:marLeft w:val="0"/>
                              <w:marRight w:val="0"/>
                              <w:marTop w:val="0"/>
                              <w:marBottom w:val="0"/>
                              <w:divBdr>
                                <w:top w:val="none" w:sz="0" w:space="0" w:color="auto"/>
                                <w:left w:val="none" w:sz="0" w:space="0" w:color="auto"/>
                                <w:bottom w:val="none" w:sz="0" w:space="0" w:color="auto"/>
                                <w:right w:val="none" w:sz="0" w:space="0" w:color="auto"/>
                              </w:divBdr>
                            </w:div>
                            <w:div w:id="240600311">
                              <w:marLeft w:val="0"/>
                              <w:marRight w:val="0"/>
                              <w:marTop w:val="0"/>
                              <w:marBottom w:val="0"/>
                              <w:divBdr>
                                <w:top w:val="none" w:sz="0" w:space="0" w:color="auto"/>
                                <w:left w:val="none" w:sz="0" w:space="0" w:color="auto"/>
                                <w:bottom w:val="none" w:sz="0" w:space="0" w:color="auto"/>
                                <w:right w:val="none" w:sz="0" w:space="0" w:color="auto"/>
                              </w:divBdr>
                            </w:div>
                            <w:div w:id="1428772067">
                              <w:marLeft w:val="0"/>
                              <w:marRight w:val="0"/>
                              <w:marTop w:val="0"/>
                              <w:marBottom w:val="0"/>
                              <w:divBdr>
                                <w:top w:val="none" w:sz="0" w:space="0" w:color="auto"/>
                                <w:left w:val="none" w:sz="0" w:space="0" w:color="auto"/>
                                <w:bottom w:val="none" w:sz="0" w:space="0" w:color="auto"/>
                                <w:right w:val="none" w:sz="0" w:space="0" w:color="auto"/>
                              </w:divBdr>
                            </w:div>
                            <w:div w:id="930353500">
                              <w:marLeft w:val="0"/>
                              <w:marRight w:val="0"/>
                              <w:marTop w:val="0"/>
                              <w:marBottom w:val="0"/>
                              <w:divBdr>
                                <w:top w:val="none" w:sz="0" w:space="0" w:color="auto"/>
                                <w:left w:val="none" w:sz="0" w:space="0" w:color="auto"/>
                                <w:bottom w:val="none" w:sz="0" w:space="0" w:color="auto"/>
                                <w:right w:val="none" w:sz="0" w:space="0" w:color="auto"/>
                              </w:divBdr>
                            </w:div>
                            <w:div w:id="3738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D815-BD85-4295-9051-04FC9037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4294967269</TotalTime>
  <Pages>32</Pages>
  <Words>11384</Words>
  <Characters>62612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22</cp:revision>
  <cp:lastPrinted>2025-06-24T21:17:00Z</cp:lastPrinted>
  <dcterms:created xsi:type="dcterms:W3CDTF">2025-06-24T19:46:00Z</dcterms:created>
  <dcterms:modified xsi:type="dcterms:W3CDTF">2025-06-24T21:23:00Z</dcterms:modified>
</cp:coreProperties>
</file>