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E1A" w:rsidRPr="00DD54E9" w:rsidRDefault="00DD54E9" w:rsidP="001F2372">
      <w:pPr>
        <w:spacing w:after="0" w:line="240" w:lineRule="auto"/>
        <w:jc w:val="center"/>
        <w:rPr>
          <w:rFonts w:asciiTheme="majorHAnsi" w:hAnsiTheme="majorHAnsi" w:cs="Arial"/>
          <w:b/>
          <w:sz w:val="24"/>
          <w:szCs w:val="24"/>
        </w:rPr>
      </w:pPr>
      <w:r w:rsidRPr="00DD54E9">
        <w:rPr>
          <w:rFonts w:asciiTheme="majorHAnsi" w:hAnsiTheme="majorHAnsi" w:cs="Arial"/>
          <w:b/>
          <w:sz w:val="24"/>
          <w:szCs w:val="24"/>
        </w:rPr>
        <w:t>TEXTO APROBADO EN LA COMISIÓN PRIMERA DE LA HONORABLE CÁMARA DE REPRESENTANTES EN PRIMER DEBATE DEL</w:t>
      </w:r>
    </w:p>
    <w:p w:rsidR="00DD54E9" w:rsidRPr="00DD54E9" w:rsidRDefault="00DD54E9" w:rsidP="00DD54E9">
      <w:pPr>
        <w:pBdr>
          <w:top w:val="nil"/>
          <w:left w:val="nil"/>
          <w:bottom w:val="nil"/>
          <w:right w:val="nil"/>
          <w:between w:val="nil"/>
        </w:pBdr>
        <w:spacing w:after="0" w:line="276" w:lineRule="auto"/>
        <w:ind w:left="360"/>
        <w:jc w:val="center"/>
        <w:rPr>
          <w:rFonts w:asciiTheme="majorHAnsi" w:hAnsiTheme="majorHAnsi" w:cs="Arial"/>
          <w:b/>
          <w:sz w:val="24"/>
          <w:szCs w:val="24"/>
          <w:lang w:bidi="es-CO"/>
        </w:rPr>
      </w:pPr>
      <w:r>
        <w:rPr>
          <w:rFonts w:asciiTheme="majorHAnsi" w:hAnsiTheme="majorHAnsi" w:cs="Arial"/>
          <w:b/>
          <w:sz w:val="24"/>
          <w:szCs w:val="24"/>
          <w:lang w:bidi="es-CO"/>
        </w:rPr>
        <w:t>PROYECTO DE LEY No</w:t>
      </w:r>
      <w:r w:rsidRPr="00DD54E9">
        <w:rPr>
          <w:rFonts w:asciiTheme="majorHAnsi" w:hAnsiTheme="majorHAnsi" w:cs="Arial"/>
          <w:b/>
          <w:sz w:val="24"/>
          <w:szCs w:val="24"/>
          <w:lang w:bidi="es-CO"/>
        </w:rPr>
        <w:t xml:space="preserve">. </w:t>
      </w:r>
      <w:r w:rsidRPr="00DD54E9">
        <w:rPr>
          <w:rFonts w:asciiTheme="majorHAnsi" w:eastAsia="Arial" w:hAnsiTheme="majorHAnsi" w:cs="Arial"/>
          <w:b/>
          <w:color w:val="000000"/>
          <w:sz w:val="24"/>
          <w:szCs w:val="24"/>
        </w:rPr>
        <w:t>2</w:t>
      </w:r>
      <w:r w:rsidRPr="00DD54E9">
        <w:rPr>
          <w:rFonts w:asciiTheme="majorHAnsi" w:hAnsiTheme="majorHAnsi"/>
          <w:b/>
          <w:sz w:val="24"/>
          <w:szCs w:val="24"/>
        </w:rPr>
        <w:t>00</w:t>
      </w:r>
      <w:r w:rsidRPr="00DD54E9">
        <w:rPr>
          <w:rFonts w:asciiTheme="majorHAnsi" w:eastAsia="Arial" w:hAnsiTheme="majorHAnsi" w:cs="Arial"/>
          <w:b/>
          <w:color w:val="000000"/>
          <w:sz w:val="24"/>
          <w:szCs w:val="24"/>
        </w:rPr>
        <w:t xml:space="preserve"> DE 202</w:t>
      </w:r>
      <w:r w:rsidRPr="00DD54E9">
        <w:rPr>
          <w:rFonts w:asciiTheme="majorHAnsi" w:hAnsiTheme="majorHAnsi"/>
          <w:b/>
          <w:sz w:val="24"/>
          <w:szCs w:val="24"/>
        </w:rPr>
        <w:t>4</w:t>
      </w:r>
      <w:r w:rsidRPr="00DD54E9">
        <w:rPr>
          <w:rFonts w:asciiTheme="majorHAnsi" w:eastAsia="Arial" w:hAnsiTheme="majorHAnsi" w:cs="Arial"/>
          <w:b/>
          <w:color w:val="000000"/>
          <w:sz w:val="24"/>
          <w:szCs w:val="24"/>
        </w:rPr>
        <w:t xml:space="preserve"> CÁMARA </w:t>
      </w:r>
      <w:r w:rsidRPr="00DD54E9">
        <w:rPr>
          <w:rFonts w:asciiTheme="majorHAnsi" w:hAnsiTheme="majorHAnsi"/>
          <w:b/>
          <w:sz w:val="24"/>
          <w:szCs w:val="24"/>
        </w:rPr>
        <w:t>“POR MEDIO DE LA CUAL FORTALECE EL MARCO JURÍDICO EN BENEFICIO DE LAS TIENDAS DE BARRIO Y NEGOCIOS DE LA ECONOMÍA POPULAR”</w:t>
      </w:r>
    </w:p>
    <w:p w:rsidR="00DD54E9" w:rsidRPr="00DD54E9" w:rsidRDefault="00DD54E9" w:rsidP="00DD54E9">
      <w:pPr>
        <w:jc w:val="center"/>
        <w:rPr>
          <w:rFonts w:asciiTheme="majorHAnsi" w:hAnsiTheme="majorHAnsi"/>
          <w:b/>
          <w:sz w:val="24"/>
          <w:szCs w:val="24"/>
        </w:rPr>
      </w:pPr>
    </w:p>
    <w:p w:rsidR="00A92BE9" w:rsidRDefault="00DD54E9" w:rsidP="00DD54E9">
      <w:pPr>
        <w:tabs>
          <w:tab w:val="center" w:pos="4417"/>
          <w:tab w:val="left" w:pos="7860"/>
        </w:tabs>
        <w:rPr>
          <w:rFonts w:asciiTheme="majorHAnsi" w:hAnsiTheme="majorHAnsi"/>
          <w:b/>
          <w:sz w:val="24"/>
          <w:szCs w:val="24"/>
        </w:rPr>
      </w:pPr>
      <w:r w:rsidRPr="00DD54E9">
        <w:rPr>
          <w:rFonts w:asciiTheme="majorHAnsi" w:hAnsiTheme="majorHAnsi"/>
          <w:b/>
          <w:sz w:val="24"/>
          <w:szCs w:val="24"/>
        </w:rPr>
        <w:tab/>
        <w:t>EL CONGRESO DE COLOMBIA</w:t>
      </w:r>
    </w:p>
    <w:p w:rsidR="00DD54E9" w:rsidRPr="00DD54E9" w:rsidRDefault="00DD54E9" w:rsidP="00A92BE9">
      <w:pPr>
        <w:tabs>
          <w:tab w:val="center" w:pos="4417"/>
          <w:tab w:val="left" w:pos="7860"/>
        </w:tabs>
        <w:rPr>
          <w:rFonts w:asciiTheme="majorHAnsi" w:hAnsiTheme="majorHAnsi"/>
          <w:b/>
          <w:sz w:val="24"/>
          <w:szCs w:val="24"/>
        </w:rPr>
      </w:pPr>
      <w:r w:rsidRPr="00DD54E9">
        <w:rPr>
          <w:rFonts w:asciiTheme="majorHAnsi" w:hAnsiTheme="majorHAnsi"/>
          <w:b/>
          <w:sz w:val="24"/>
          <w:szCs w:val="24"/>
        </w:rPr>
        <w:tab/>
      </w:r>
      <w:r w:rsidR="00A92BE9">
        <w:rPr>
          <w:rFonts w:asciiTheme="majorHAnsi" w:hAnsiTheme="majorHAnsi"/>
          <w:b/>
          <w:sz w:val="24"/>
          <w:szCs w:val="24"/>
        </w:rPr>
        <w:t>DECRETA:</w:t>
      </w:r>
    </w:p>
    <w:p w:rsidR="00DD54E9" w:rsidRPr="00DD54E9" w:rsidRDefault="00DD54E9" w:rsidP="00A92BE9">
      <w:pPr>
        <w:jc w:val="center"/>
        <w:rPr>
          <w:rFonts w:asciiTheme="majorHAnsi" w:hAnsiTheme="majorHAnsi"/>
          <w:b/>
          <w:sz w:val="24"/>
          <w:szCs w:val="24"/>
        </w:rPr>
      </w:pPr>
    </w:p>
    <w:p w:rsidR="00DD54E9" w:rsidRDefault="00DD54E9" w:rsidP="00DD54E9">
      <w:r w:rsidRPr="00DD54E9">
        <w:rPr>
          <w:rFonts w:asciiTheme="majorHAnsi" w:hAnsiTheme="majorHAnsi"/>
          <w:b/>
          <w:sz w:val="24"/>
          <w:szCs w:val="24"/>
        </w:rPr>
        <w:t xml:space="preserve">ARTÍCULO 1. Objeto. </w:t>
      </w:r>
      <w:r w:rsidRPr="00DD54E9">
        <w:rPr>
          <w:rFonts w:asciiTheme="majorHAnsi" w:hAnsiTheme="majorHAnsi"/>
          <w:sz w:val="24"/>
          <w:szCs w:val="24"/>
        </w:rPr>
        <w:t>La presente iniciativa legislativa tiene como objetivo modificar la Ley 1801 de 2016, con el propósito de fortalecer el marco jurídico en beneficio de las tiendas de barrio, pequeños emprendimientos comerciales y negocios de la economía popu</w:t>
      </w:r>
      <w:r>
        <w:t>lar en Colombia.</w:t>
      </w:r>
    </w:p>
    <w:p w:rsidR="00DD54E9" w:rsidRPr="00DD54E9" w:rsidRDefault="00DD54E9" w:rsidP="00DD54E9">
      <w:pPr>
        <w:rPr>
          <w:rFonts w:asciiTheme="majorHAnsi" w:hAnsiTheme="majorHAnsi"/>
          <w:sz w:val="24"/>
          <w:szCs w:val="24"/>
        </w:rPr>
      </w:pPr>
    </w:p>
    <w:p w:rsidR="00DD54E9" w:rsidRPr="00DD54E9" w:rsidRDefault="00DD54E9" w:rsidP="00DD54E9">
      <w:pPr>
        <w:ind w:firstLine="10"/>
        <w:rPr>
          <w:rFonts w:asciiTheme="majorHAnsi" w:hAnsiTheme="majorHAnsi"/>
          <w:sz w:val="24"/>
          <w:szCs w:val="24"/>
        </w:rPr>
      </w:pPr>
      <w:r w:rsidRPr="00DD54E9">
        <w:rPr>
          <w:rFonts w:asciiTheme="majorHAnsi" w:hAnsiTheme="majorHAnsi"/>
          <w:b/>
          <w:sz w:val="24"/>
          <w:szCs w:val="24"/>
        </w:rPr>
        <w:t xml:space="preserve">ARTÍCULO 2. </w:t>
      </w:r>
      <w:r w:rsidRPr="00DD54E9">
        <w:rPr>
          <w:rFonts w:asciiTheme="majorHAnsi" w:hAnsiTheme="majorHAnsi"/>
          <w:sz w:val="24"/>
          <w:szCs w:val="24"/>
        </w:rPr>
        <w:t xml:space="preserve"> Modifíquese el artículo 135 de la Ley 1801 de 2016, el cual quedará así:</w:t>
      </w:r>
    </w:p>
    <w:p w:rsidR="00DD54E9" w:rsidRPr="00DD54E9" w:rsidRDefault="00DD54E9" w:rsidP="00DD54E9">
      <w:pPr>
        <w:ind w:firstLine="10"/>
        <w:jc w:val="both"/>
        <w:rPr>
          <w:rFonts w:asciiTheme="majorHAnsi" w:hAnsiTheme="majorHAnsi"/>
          <w:sz w:val="24"/>
          <w:szCs w:val="24"/>
        </w:rPr>
      </w:pPr>
      <w:r w:rsidRPr="00DD54E9">
        <w:rPr>
          <w:rFonts w:asciiTheme="majorHAnsi" w:hAnsiTheme="majorHAnsi"/>
          <w:b/>
          <w:sz w:val="24"/>
          <w:szCs w:val="24"/>
        </w:rPr>
        <w:t>ARTÍCULO 135. Comportamientos contrarios a la integridad urbanística.</w:t>
      </w:r>
      <w:r w:rsidRPr="00DD54E9">
        <w:rPr>
          <w:rFonts w:asciiTheme="majorHAnsi" w:hAnsiTheme="majorHAnsi"/>
          <w:sz w:val="24"/>
          <w:szCs w:val="24"/>
        </w:rPr>
        <w:t> Los siguientes comportamientos, relacionados con bienes inmuebles de particulares, bienes fiscales, bienes de uso público y el espacio público, son contrarios a la convivencia pues afectan la integridad urbanística y por lo tanto no deben realizarse, según la modalidad señalada:</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A) Parcelar, urbanizar, demoler, intervenir o construir:</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1. En áreas protegidas o afectadas por el plan vial o de infraestructura de servicios públicos domiciliarios, y las destinadas a equipamientos públicos.</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2. Con desconocimiento a lo preceptuado en la licencia.</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3. En bienes de uso público y terrenos afectados al espacio público.</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4. En terrenos aptos para estas actuaciones, sin licencia o cuando esta hubiere caducado</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B) Actuaciones en los inmuebles declarados de conservación e interés cultural, histórico, urbanístico, paisajístico y arquitectónico.</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5. Demoler sin previa autorización o licencia.</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6. Intervenir o modificar sin la licencia</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lastRenderedPageBreak/>
        <w:t>7. Incumplir las obligaciones para su adecuada conservación.</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8. Realizar acciones que puedan generar impactos negativos en el bien de interés cultural, tales como intervenciones estructurales, arquitectónicas, adecuaciones funcionales, intervenciones en las zonas de influencia y/o en los contextos del inmueble que puedan afectar las características y los valores culturales por los cuales los inmuebles se declararon como bien de interés cultural.</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C) Usar o destinar un inmueble a:</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 xml:space="preserve">9. Uso diferente al permitido en los Planes de Ordenamiento Territorial, Planes Básicos de Ordenamiento Territorial y Esquemas de Ordenamiento Territorial de los municipios y demás normas urbanísticas. Se permite el desarrollo del comercio local, independientemente de si se trata de vivienda unifamiliar, </w:t>
      </w:r>
      <w:proofErr w:type="spellStart"/>
      <w:r w:rsidRPr="00DD54E9">
        <w:rPr>
          <w:rFonts w:asciiTheme="majorHAnsi" w:hAnsiTheme="majorHAnsi"/>
          <w:sz w:val="24"/>
          <w:szCs w:val="24"/>
        </w:rPr>
        <w:t>bifamiliar</w:t>
      </w:r>
      <w:proofErr w:type="spellEnd"/>
      <w:r w:rsidRPr="00DD54E9">
        <w:rPr>
          <w:rFonts w:asciiTheme="majorHAnsi" w:hAnsiTheme="majorHAnsi"/>
          <w:sz w:val="24"/>
          <w:szCs w:val="24"/>
        </w:rPr>
        <w:t xml:space="preserve"> o en propiedad horizontal siempre que se cumplan con las normas urbanísticas y regulaciones aplicables para el ejercicio de la actividad comercial.</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10. Ubicación diferente a la señalada en la licencia de construcción.</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11. Contravenir los usos específicos del suelo.</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12. Facilitar, en cualquier clase de inmueble, el desarrollo de usos o destinaciones del suelo con desconocimiento de las normas urbanísticas sobre usos específicos.</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D) Incumplir cualquiera de las siguientes obligaciones:</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13. Destinar un lugar al interior de la construcción para guardar materiales, maquinaria, escombros o residuos y no ocupar con ellos, ni siquiera de manera temporal, el andén, las vías o espacios públicos circundantes.</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14. Proveer de unidades sanitarias provisionales para el personal que labora y visita la obra y adoptar las medidas requeridas para mantenerlas aseadas, salvo que exista una solución viable, cómoda e higiénica en el área.</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15. Instalar protecciones o elementos especiales en los frentes y costados de la obra y señalización, semáforos o luces nocturnas para la seguridad de quienes se movilizan por el lugar y evitar accidentes o incomodidades.</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16. Limpiar las llantas de los vehículos que salen de la obra para evitar que se arroje barro o cemento en el espacio público.</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lastRenderedPageBreak/>
        <w:t>17. Limpiar el material, cemento y los residuos de la obra, de manera inmediata, cuando caigan en el espacio público.</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18. Retirar los andamios, barreras, escombros y residuos de cualquier clase una vez terminada la obra, cuando ésta se suspenda por más de dos (2) meses, o cuando sea necesario por seguridad de la misma.</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19. Exigir a quienes trabajan y visitan la obra, el uso de cascos e implementos de seguridad industrial y contar con el equipo necesario para prevenir y controlar incendios o atender emergencias de acuerdo con esta ley.</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20. Tomar las medidas necesarias para evitar la emisión de partículas en suspensión, provenientes de materiales de construcción, demolición o desecho, de conformidad con las leyes vigentes.</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21. Aislar completamente las obras de construcción que se desarrollen aledañas a canales o fuentes de agua, para evitar la contaminación del agua con materiales e implementar las acciones de prevención y mitigación que disponga la autoridad ambiental respectiva</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22. Reparar los daños o averías que en razón de la obra se realicen en el andén, las vías, espacios y redes de servicios públicos.</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23. Reparar los daños, averías o perjuicios causados a bienes colindantes o cercanos.</w:t>
      </w:r>
    </w:p>
    <w:p w:rsidR="00DD54E9" w:rsidRPr="00DD54E9" w:rsidRDefault="00DD54E9" w:rsidP="00DD54E9">
      <w:pPr>
        <w:shd w:val="clear" w:color="auto" w:fill="FFFFFF"/>
        <w:spacing w:before="280" w:after="280"/>
        <w:ind w:firstLine="10"/>
        <w:jc w:val="both"/>
        <w:rPr>
          <w:rFonts w:asciiTheme="majorHAnsi" w:hAnsiTheme="majorHAnsi"/>
          <w:sz w:val="24"/>
          <w:szCs w:val="24"/>
        </w:rPr>
      </w:pPr>
      <w:r w:rsidRPr="00DD54E9">
        <w:rPr>
          <w:rFonts w:asciiTheme="majorHAnsi" w:hAnsiTheme="majorHAnsi"/>
          <w:sz w:val="24"/>
          <w:szCs w:val="24"/>
        </w:rPr>
        <w:t>24. Demoler, construir o reparar obras en el horario comprendido entre las 6 de la tarde y las 8 de la mañana, como también los días festivos, en zonas residenciales. (…)</w:t>
      </w:r>
    </w:p>
    <w:p w:rsidR="00DD54E9" w:rsidRPr="00DD54E9" w:rsidRDefault="00DD54E9" w:rsidP="00DD54E9">
      <w:pPr>
        <w:jc w:val="both"/>
        <w:rPr>
          <w:rFonts w:asciiTheme="majorHAnsi" w:hAnsiTheme="majorHAnsi"/>
          <w:sz w:val="24"/>
          <w:szCs w:val="24"/>
        </w:rPr>
      </w:pPr>
    </w:p>
    <w:p w:rsidR="00DD54E9" w:rsidRPr="00DD54E9" w:rsidRDefault="00DD54E9" w:rsidP="00DD54E9">
      <w:pPr>
        <w:ind w:firstLine="10"/>
        <w:jc w:val="both"/>
        <w:rPr>
          <w:rFonts w:asciiTheme="majorHAnsi" w:hAnsiTheme="majorHAnsi"/>
          <w:sz w:val="24"/>
          <w:szCs w:val="24"/>
        </w:rPr>
      </w:pPr>
      <w:r w:rsidRPr="00DD54E9">
        <w:rPr>
          <w:rFonts w:asciiTheme="majorHAnsi" w:hAnsiTheme="majorHAnsi"/>
          <w:b/>
          <w:sz w:val="24"/>
          <w:szCs w:val="24"/>
        </w:rPr>
        <w:t>ARTÍCULO 3.</w:t>
      </w:r>
      <w:r w:rsidRPr="00DD54E9">
        <w:rPr>
          <w:rFonts w:asciiTheme="majorHAnsi" w:hAnsiTheme="majorHAnsi"/>
          <w:sz w:val="24"/>
          <w:szCs w:val="24"/>
        </w:rPr>
        <w:t xml:space="preserve"> Adiciónese un parágrafo al artículo 140 de la Ley 1801 de 2016, el cual quedará así:</w:t>
      </w:r>
    </w:p>
    <w:p w:rsidR="00DD54E9" w:rsidRPr="00DD54E9" w:rsidRDefault="00DD54E9" w:rsidP="00DD54E9">
      <w:pPr>
        <w:ind w:firstLine="10"/>
        <w:jc w:val="both"/>
        <w:rPr>
          <w:rFonts w:asciiTheme="majorHAnsi" w:hAnsiTheme="majorHAnsi"/>
          <w:i/>
          <w:sz w:val="24"/>
          <w:szCs w:val="24"/>
        </w:rPr>
      </w:pPr>
      <w:r w:rsidRPr="00DD54E9">
        <w:rPr>
          <w:rFonts w:asciiTheme="majorHAnsi" w:hAnsiTheme="majorHAnsi"/>
          <w:i/>
          <w:sz w:val="24"/>
          <w:szCs w:val="24"/>
        </w:rPr>
        <w:t>(…)</w:t>
      </w:r>
    </w:p>
    <w:p w:rsidR="00DD54E9" w:rsidRPr="00DD54E9" w:rsidRDefault="00DD54E9" w:rsidP="00DD54E9">
      <w:pPr>
        <w:ind w:firstLine="10"/>
        <w:jc w:val="both"/>
        <w:rPr>
          <w:rFonts w:asciiTheme="majorHAnsi" w:hAnsiTheme="majorHAnsi"/>
          <w:b/>
          <w:sz w:val="24"/>
          <w:szCs w:val="24"/>
          <w:u w:val="single"/>
        </w:rPr>
      </w:pPr>
      <w:r w:rsidRPr="00DD54E9">
        <w:rPr>
          <w:rFonts w:asciiTheme="majorHAnsi" w:hAnsiTheme="majorHAnsi"/>
          <w:b/>
          <w:sz w:val="24"/>
          <w:szCs w:val="24"/>
        </w:rPr>
        <w:t>PARÁGRAFO 5.</w:t>
      </w:r>
      <w:r w:rsidRPr="00DD54E9">
        <w:rPr>
          <w:rFonts w:asciiTheme="majorHAnsi" w:hAnsiTheme="majorHAnsi"/>
          <w:sz w:val="24"/>
          <w:szCs w:val="24"/>
        </w:rPr>
        <w:t xml:space="preserve"> Los concejos municipales y distritales podrán </w:t>
      </w:r>
      <w:r w:rsidRPr="00DD54E9">
        <w:rPr>
          <w:rFonts w:asciiTheme="majorHAnsi" w:hAnsiTheme="majorHAnsi"/>
          <w:sz w:val="24"/>
          <w:szCs w:val="24"/>
        </w:rPr>
        <w:t xml:space="preserve">modificar, actualizar o </w:t>
      </w:r>
      <w:r w:rsidRPr="00DD54E9">
        <w:rPr>
          <w:rFonts w:asciiTheme="majorHAnsi" w:hAnsiTheme="majorHAnsi"/>
          <w:sz w:val="24"/>
          <w:szCs w:val="24"/>
        </w:rPr>
        <w:t>adoptar</w:t>
      </w:r>
      <w:r w:rsidRPr="00DD54E9">
        <w:rPr>
          <w:rFonts w:asciiTheme="majorHAnsi" w:hAnsiTheme="majorHAnsi"/>
          <w:sz w:val="24"/>
          <w:szCs w:val="24"/>
        </w:rPr>
        <w:t xml:space="preserve"> medidas para </w:t>
      </w:r>
      <w:r w:rsidRPr="00DD54E9">
        <w:rPr>
          <w:rFonts w:asciiTheme="majorHAnsi" w:hAnsiTheme="majorHAnsi"/>
          <w:sz w:val="24"/>
          <w:szCs w:val="24"/>
        </w:rPr>
        <w:t>el aprovechamiento económico del espacio público, para que los alcaldes puedan por medio de acto administrativo, autorizar excepcionalmente el uso de mobiliario exterior en espacio público por parte de establecimientos de comercio</w:t>
      </w:r>
      <w:r w:rsidRPr="00DD54E9">
        <w:rPr>
          <w:rFonts w:asciiTheme="majorHAnsi" w:hAnsiTheme="majorHAnsi"/>
          <w:sz w:val="24"/>
          <w:szCs w:val="24"/>
        </w:rPr>
        <w:t xml:space="preserve"> y miembros de las economías populares</w:t>
      </w:r>
      <w:r w:rsidRPr="00DD54E9">
        <w:rPr>
          <w:rFonts w:asciiTheme="majorHAnsi" w:hAnsiTheme="majorHAnsi"/>
          <w:sz w:val="24"/>
          <w:szCs w:val="24"/>
        </w:rPr>
        <w:t xml:space="preserve">, siempre y cuando se garantice una franja mínima libre para la circulación peatonal en los andenes y antejardines y se cumplan las normas vigentes en materia de espacio público, urbanismo y medioambiente. </w:t>
      </w:r>
    </w:p>
    <w:p w:rsidR="00DD54E9" w:rsidRPr="00DD54E9" w:rsidRDefault="00DD54E9" w:rsidP="00DD54E9">
      <w:pPr>
        <w:ind w:firstLine="10"/>
        <w:jc w:val="both"/>
        <w:rPr>
          <w:rFonts w:asciiTheme="majorHAnsi" w:hAnsiTheme="majorHAnsi"/>
          <w:sz w:val="24"/>
          <w:szCs w:val="24"/>
        </w:rPr>
      </w:pPr>
      <w:r w:rsidRPr="00DD54E9">
        <w:rPr>
          <w:rFonts w:asciiTheme="majorHAnsi" w:hAnsiTheme="majorHAnsi"/>
          <w:sz w:val="24"/>
          <w:szCs w:val="24"/>
        </w:rPr>
        <w:lastRenderedPageBreak/>
        <w:t>Los actos administrativos deberán delimitar las zonas, áreas, días, horarios y condiciones en que se permitirá dicho uso del espacio público."</w:t>
      </w:r>
    </w:p>
    <w:p w:rsidR="00DD54E9" w:rsidRPr="00DD54E9" w:rsidRDefault="00DD54E9" w:rsidP="00DD54E9">
      <w:pPr>
        <w:ind w:firstLine="10"/>
        <w:jc w:val="both"/>
        <w:rPr>
          <w:rFonts w:asciiTheme="majorHAnsi" w:hAnsiTheme="majorHAnsi"/>
          <w:sz w:val="24"/>
          <w:szCs w:val="24"/>
        </w:rPr>
      </w:pPr>
    </w:p>
    <w:p w:rsidR="00DD54E9" w:rsidRPr="00DD54E9" w:rsidRDefault="00DD54E9" w:rsidP="00DD54E9">
      <w:pPr>
        <w:ind w:firstLine="10"/>
        <w:jc w:val="both"/>
        <w:rPr>
          <w:rFonts w:asciiTheme="majorHAnsi" w:hAnsiTheme="majorHAnsi"/>
          <w:sz w:val="24"/>
          <w:szCs w:val="24"/>
        </w:rPr>
      </w:pPr>
      <w:r w:rsidRPr="00DD54E9">
        <w:rPr>
          <w:rFonts w:asciiTheme="majorHAnsi" w:hAnsiTheme="majorHAnsi"/>
          <w:b/>
          <w:sz w:val="24"/>
          <w:szCs w:val="24"/>
        </w:rPr>
        <w:t>ARTÍCULO 4.</w:t>
      </w:r>
      <w:r w:rsidRPr="00DD54E9">
        <w:rPr>
          <w:rFonts w:asciiTheme="majorHAnsi" w:hAnsiTheme="majorHAnsi"/>
          <w:sz w:val="24"/>
          <w:szCs w:val="24"/>
        </w:rPr>
        <w:t xml:space="preserve"> Adiciónese un parágrafo al artículo 92 de la Ley 1801 de 2016, el cual quedará así:</w:t>
      </w:r>
    </w:p>
    <w:p w:rsidR="00DD54E9" w:rsidRPr="00DD54E9" w:rsidRDefault="00DD54E9" w:rsidP="00DD54E9">
      <w:pPr>
        <w:ind w:firstLine="10"/>
        <w:jc w:val="both"/>
        <w:rPr>
          <w:rFonts w:asciiTheme="majorHAnsi" w:hAnsiTheme="majorHAnsi"/>
          <w:sz w:val="24"/>
          <w:szCs w:val="24"/>
        </w:rPr>
      </w:pPr>
      <w:r w:rsidRPr="00DD54E9">
        <w:rPr>
          <w:rFonts w:asciiTheme="majorHAnsi" w:hAnsiTheme="majorHAnsi"/>
          <w:b/>
          <w:sz w:val="24"/>
          <w:szCs w:val="24"/>
        </w:rPr>
        <w:t>PARÁGRAFO 8.</w:t>
      </w:r>
      <w:r w:rsidRPr="00DD54E9">
        <w:rPr>
          <w:rFonts w:asciiTheme="majorHAnsi" w:hAnsiTheme="majorHAnsi"/>
          <w:sz w:val="24"/>
          <w:szCs w:val="24"/>
        </w:rPr>
        <w:t xml:space="preserve"> Para la aplicación de las medidas correctivas de suspensión temporal o definitiva de actividad económica por incurrir en los comportamientos descritos en los numerales 5, 6, 12 y 16 de este artículo, los uniformados de policía o autoridades de policía que tuvieren conocimiento de la presunta infracción deberán allegar informe escrito al Inspector de Policía o autoridad competente que haga sus veces, dentro de los tres (3) días siguientes. El Inspector de Policía, una vez recibido el informe, citará al presunto infractor dentro de los diez (10) días siguientes para escucharlo en versión libre y práctica de pruebas, y decidirá mediante resolución motivada la imposición de la medida correctiva que corresponda de acuerdo con las reglas de la sana crítica. Contra esta decisión procederá el recurso de reposición y en subsidio el de apelación.</w:t>
      </w:r>
    </w:p>
    <w:p w:rsidR="00DD54E9" w:rsidRPr="00DD54E9" w:rsidRDefault="00DD54E9" w:rsidP="00DD54E9">
      <w:pPr>
        <w:ind w:firstLine="10"/>
        <w:jc w:val="both"/>
        <w:rPr>
          <w:rFonts w:asciiTheme="majorHAnsi" w:hAnsiTheme="majorHAnsi"/>
          <w:sz w:val="24"/>
          <w:szCs w:val="24"/>
        </w:rPr>
      </w:pPr>
    </w:p>
    <w:p w:rsidR="00DD54E9" w:rsidRPr="00DD54E9" w:rsidRDefault="00DD54E9" w:rsidP="00DD54E9">
      <w:pPr>
        <w:ind w:firstLine="10"/>
        <w:jc w:val="both"/>
        <w:rPr>
          <w:rFonts w:asciiTheme="majorHAnsi" w:hAnsiTheme="majorHAnsi"/>
          <w:sz w:val="24"/>
          <w:szCs w:val="24"/>
        </w:rPr>
      </w:pPr>
      <w:r w:rsidRPr="00DD54E9">
        <w:rPr>
          <w:rFonts w:asciiTheme="majorHAnsi" w:hAnsiTheme="majorHAnsi"/>
          <w:b/>
          <w:sz w:val="24"/>
          <w:szCs w:val="24"/>
        </w:rPr>
        <w:t>ARTÍCULO 5.</w:t>
      </w:r>
      <w:r w:rsidRPr="00DD54E9">
        <w:rPr>
          <w:rFonts w:asciiTheme="majorHAnsi" w:hAnsiTheme="majorHAnsi"/>
          <w:sz w:val="24"/>
          <w:szCs w:val="24"/>
        </w:rPr>
        <w:t xml:space="preserve"> Vigencia y derogatorias. La presente Ley rige a partir de su aprobación y deroga todas las disposiciones que le sean contrarias.</w:t>
      </w:r>
    </w:p>
    <w:p w:rsidR="00210E09" w:rsidRPr="00DD54E9" w:rsidRDefault="00210E09" w:rsidP="00DD54E9">
      <w:pPr>
        <w:spacing w:after="0" w:line="240" w:lineRule="auto"/>
        <w:jc w:val="both"/>
        <w:rPr>
          <w:rFonts w:asciiTheme="majorHAnsi" w:hAnsiTheme="majorHAnsi" w:cs="Arial"/>
          <w:b/>
          <w:sz w:val="24"/>
          <w:szCs w:val="24"/>
          <w:lang w:bidi="es-CO"/>
        </w:rPr>
      </w:pPr>
    </w:p>
    <w:p w:rsidR="00C7658D" w:rsidRPr="00DD54E9" w:rsidRDefault="00210E09" w:rsidP="00DD54E9">
      <w:pPr>
        <w:tabs>
          <w:tab w:val="left" w:pos="4820"/>
        </w:tabs>
        <w:spacing w:after="0" w:line="240" w:lineRule="auto"/>
        <w:jc w:val="both"/>
        <w:rPr>
          <w:rFonts w:asciiTheme="majorHAnsi" w:eastAsia="Century Gothic" w:hAnsiTheme="majorHAnsi" w:cs="Arial"/>
          <w:sz w:val="24"/>
          <w:szCs w:val="24"/>
          <w:highlight w:val="white"/>
        </w:rPr>
      </w:pPr>
      <w:r w:rsidRPr="00DD54E9">
        <w:rPr>
          <w:rFonts w:asciiTheme="majorHAnsi" w:eastAsia="Century Gothic" w:hAnsiTheme="majorHAnsi" w:cs="Arial"/>
          <w:sz w:val="24"/>
          <w:szCs w:val="24"/>
          <w:highlight w:val="white"/>
        </w:rPr>
        <w:t>E</w:t>
      </w:r>
      <w:r w:rsidR="00C7658D" w:rsidRPr="00DD54E9">
        <w:rPr>
          <w:rFonts w:asciiTheme="majorHAnsi" w:eastAsia="Century Gothic" w:hAnsiTheme="majorHAnsi" w:cs="Arial"/>
          <w:sz w:val="24"/>
          <w:szCs w:val="24"/>
          <w:highlight w:val="white"/>
        </w:rPr>
        <w:t xml:space="preserve">n los anteriores términos fue aprobado </w:t>
      </w:r>
      <w:r w:rsidR="00D06595" w:rsidRPr="00DD54E9">
        <w:rPr>
          <w:rFonts w:asciiTheme="majorHAnsi" w:eastAsia="Century Gothic" w:hAnsiTheme="majorHAnsi" w:cs="Arial"/>
          <w:sz w:val="24"/>
          <w:szCs w:val="24"/>
          <w:highlight w:val="white"/>
        </w:rPr>
        <w:t>co</w:t>
      </w:r>
      <w:r w:rsidR="00C7658D" w:rsidRPr="00DD54E9">
        <w:rPr>
          <w:rFonts w:asciiTheme="majorHAnsi" w:eastAsia="Century Gothic" w:hAnsiTheme="majorHAnsi" w:cs="Arial"/>
          <w:sz w:val="24"/>
          <w:szCs w:val="24"/>
          <w:highlight w:val="white"/>
        </w:rPr>
        <w:t xml:space="preserve">n modificaciones en primer debate el presente Proyecto de Ley, según consta en el Acta No. </w:t>
      </w:r>
      <w:r w:rsidR="006E3F60" w:rsidRPr="00DD54E9">
        <w:rPr>
          <w:rFonts w:asciiTheme="majorHAnsi" w:eastAsia="Century Gothic" w:hAnsiTheme="majorHAnsi" w:cs="Arial"/>
          <w:sz w:val="24"/>
          <w:szCs w:val="24"/>
          <w:highlight w:val="white"/>
        </w:rPr>
        <w:t>32 de sesión del 26</w:t>
      </w:r>
      <w:r w:rsidR="00C7658D" w:rsidRPr="00DD54E9">
        <w:rPr>
          <w:rFonts w:asciiTheme="majorHAnsi" w:eastAsia="Century Gothic" w:hAnsiTheme="majorHAnsi" w:cs="Arial"/>
          <w:sz w:val="24"/>
          <w:szCs w:val="24"/>
          <w:highlight w:val="white"/>
        </w:rPr>
        <w:t xml:space="preserve"> de </w:t>
      </w:r>
      <w:r w:rsidR="008C5463" w:rsidRPr="00DD54E9">
        <w:rPr>
          <w:rFonts w:asciiTheme="majorHAnsi" w:eastAsia="Century Gothic" w:hAnsiTheme="majorHAnsi" w:cs="Arial"/>
          <w:sz w:val="24"/>
          <w:szCs w:val="24"/>
          <w:highlight w:val="white"/>
        </w:rPr>
        <w:t xml:space="preserve">febrero </w:t>
      </w:r>
      <w:r w:rsidR="00C7658D" w:rsidRPr="00DD54E9">
        <w:rPr>
          <w:rFonts w:asciiTheme="majorHAnsi" w:eastAsia="Century Gothic" w:hAnsiTheme="majorHAnsi" w:cs="Arial"/>
          <w:sz w:val="24"/>
          <w:szCs w:val="24"/>
          <w:highlight w:val="white"/>
        </w:rPr>
        <w:t>de 202</w:t>
      </w:r>
      <w:r w:rsidR="008C5463" w:rsidRPr="00DD54E9">
        <w:rPr>
          <w:rFonts w:asciiTheme="majorHAnsi" w:eastAsia="Century Gothic" w:hAnsiTheme="majorHAnsi" w:cs="Arial"/>
          <w:sz w:val="24"/>
          <w:szCs w:val="24"/>
          <w:highlight w:val="white"/>
        </w:rPr>
        <w:t>5</w:t>
      </w:r>
      <w:r w:rsidR="00C7658D" w:rsidRPr="00DD54E9">
        <w:rPr>
          <w:rFonts w:asciiTheme="majorHAnsi" w:eastAsia="Century Gothic" w:hAnsiTheme="majorHAnsi" w:cs="Arial"/>
          <w:sz w:val="24"/>
          <w:szCs w:val="24"/>
          <w:highlight w:val="white"/>
        </w:rPr>
        <w:t>. Así mismo fue anunc</w:t>
      </w:r>
      <w:r w:rsidR="006E3F60" w:rsidRPr="00DD54E9">
        <w:rPr>
          <w:rFonts w:asciiTheme="majorHAnsi" w:eastAsia="Century Gothic" w:hAnsiTheme="majorHAnsi" w:cs="Arial"/>
          <w:sz w:val="24"/>
          <w:szCs w:val="24"/>
          <w:highlight w:val="white"/>
        </w:rPr>
        <w:t>iado entre otras fechas el día 25</w:t>
      </w:r>
      <w:r w:rsidR="00C7658D" w:rsidRPr="00DD54E9">
        <w:rPr>
          <w:rFonts w:asciiTheme="majorHAnsi" w:eastAsia="Century Gothic" w:hAnsiTheme="majorHAnsi" w:cs="Arial"/>
          <w:sz w:val="24"/>
          <w:szCs w:val="24"/>
          <w:highlight w:val="white"/>
        </w:rPr>
        <w:t xml:space="preserve"> de </w:t>
      </w:r>
      <w:r w:rsidR="008C5463" w:rsidRPr="00DD54E9">
        <w:rPr>
          <w:rFonts w:asciiTheme="majorHAnsi" w:eastAsia="Century Gothic" w:hAnsiTheme="majorHAnsi" w:cs="Arial"/>
          <w:sz w:val="24"/>
          <w:szCs w:val="24"/>
          <w:highlight w:val="white"/>
        </w:rPr>
        <w:t xml:space="preserve">febrero </w:t>
      </w:r>
      <w:r w:rsidR="00C7658D" w:rsidRPr="00DD54E9">
        <w:rPr>
          <w:rFonts w:asciiTheme="majorHAnsi" w:eastAsia="Century Gothic" w:hAnsiTheme="majorHAnsi" w:cs="Arial"/>
          <w:sz w:val="24"/>
          <w:szCs w:val="24"/>
          <w:highlight w:val="white"/>
        </w:rPr>
        <w:t>de 202</w:t>
      </w:r>
      <w:r w:rsidR="008C5463" w:rsidRPr="00DD54E9">
        <w:rPr>
          <w:rFonts w:asciiTheme="majorHAnsi" w:eastAsia="Century Gothic" w:hAnsiTheme="majorHAnsi" w:cs="Arial"/>
          <w:sz w:val="24"/>
          <w:szCs w:val="24"/>
          <w:highlight w:val="white"/>
        </w:rPr>
        <w:t>5</w:t>
      </w:r>
      <w:r w:rsidR="00C7658D" w:rsidRPr="00DD54E9">
        <w:rPr>
          <w:rFonts w:asciiTheme="majorHAnsi" w:eastAsia="Century Gothic" w:hAnsiTheme="majorHAnsi" w:cs="Arial"/>
          <w:sz w:val="24"/>
          <w:szCs w:val="24"/>
          <w:highlight w:val="white"/>
        </w:rPr>
        <w:t xml:space="preserve">, según consta en el Acta </w:t>
      </w:r>
      <w:r w:rsidR="006E3F60" w:rsidRPr="00DD54E9">
        <w:rPr>
          <w:rFonts w:asciiTheme="majorHAnsi" w:eastAsia="Century Gothic" w:hAnsiTheme="majorHAnsi" w:cs="Arial"/>
          <w:sz w:val="24"/>
          <w:szCs w:val="24"/>
          <w:highlight w:val="white"/>
        </w:rPr>
        <w:t>31</w:t>
      </w:r>
      <w:r w:rsidR="00C7658D" w:rsidRPr="00DD54E9">
        <w:rPr>
          <w:rFonts w:asciiTheme="majorHAnsi" w:eastAsia="Century Gothic" w:hAnsiTheme="majorHAnsi" w:cs="Arial"/>
          <w:sz w:val="24"/>
          <w:szCs w:val="24"/>
          <w:highlight w:val="white"/>
        </w:rPr>
        <w:t xml:space="preserve"> de Sesión de esa misma fecha.</w:t>
      </w:r>
    </w:p>
    <w:p w:rsidR="00E90D44" w:rsidRPr="00DD54E9" w:rsidRDefault="00E90D44" w:rsidP="00DD54E9">
      <w:pPr>
        <w:tabs>
          <w:tab w:val="left" w:pos="4678"/>
          <w:tab w:val="left" w:pos="5103"/>
        </w:tabs>
        <w:spacing w:after="0" w:line="240" w:lineRule="auto"/>
        <w:jc w:val="both"/>
        <w:rPr>
          <w:rFonts w:asciiTheme="majorHAnsi" w:eastAsia="Century Gothic" w:hAnsiTheme="majorHAnsi" w:cs="Arial"/>
          <w:b/>
          <w:sz w:val="24"/>
          <w:szCs w:val="24"/>
          <w:highlight w:val="white"/>
        </w:rPr>
      </w:pPr>
    </w:p>
    <w:p w:rsidR="00A92BE9" w:rsidRDefault="00A92BE9" w:rsidP="00C7658D">
      <w:pPr>
        <w:tabs>
          <w:tab w:val="left" w:pos="4678"/>
          <w:tab w:val="left" w:pos="5103"/>
        </w:tabs>
        <w:spacing w:after="0" w:line="240" w:lineRule="auto"/>
        <w:rPr>
          <w:rFonts w:asciiTheme="majorHAnsi" w:eastAsia="Century Gothic" w:hAnsiTheme="majorHAnsi" w:cs="Arial"/>
          <w:b/>
          <w:sz w:val="24"/>
          <w:szCs w:val="24"/>
          <w:highlight w:val="white"/>
        </w:rPr>
      </w:pPr>
    </w:p>
    <w:p w:rsidR="00A92BE9" w:rsidRDefault="00A92BE9" w:rsidP="00C7658D">
      <w:pPr>
        <w:tabs>
          <w:tab w:val="left" w:pos="4678"/>
          <w:tab w:val="left" w:pos="5103"/>
        </w:tabs>
        <w:spacing w:after="0" w:line="240" w:lineRule="auto"/>
        <w:rPr>
          <w:rFonts w:asciiTheme="majorHAnsi" w:eastAsia="Century Gothic" w:hAnsiTheme="majorHAnsi" w:cs="Arial"/>
          <w:b/>
          <w:sz w:val="24"/>
          <w:szCs w:val="24"/>
          <w:highlight w:val="white"/>
        </w:rPr>
      </w:pPr>
    </w:p>
    <w:p w:rsidR="00C7658D" w:rsidRPr="00DD54E9" w:rsidRDefault="00A92BE9" w:rsidP="00C7658D">
      <w:pPr>
        <w:tabs>
          <w:tab w:val="left" w:pos="4678"/>
          <w:tab w:val="left" w:pos="5103"/>
        </w:tabs>
        <w:spacing w:after="0" w:line="240" w:lineRule="auto"/>
        <w:rPr>
          <w:rFonts w:asciiTheme="majorHAnsi" w:eastAsia="Century Gothic" w:hAnsiTheme="majorHAnsi" w:cs="Arial"/>
          <w:b/>
          <w:sz w:val="24"/>
          <w:szCs w:val="24"/>
          <w:highlight w:val="white"/>
        </w:rPr>
      </w:pPr>
      <w:r>
        <w:rPr>
          <w:rFonts w:asciiTheme="majorHAnsi" w:eastAsia="Century Gothic" w:hAnsiTheme="majorHAnsi" w:cs="Arial"/>
          <w:b/>
          <w:sz w:val="24"/>
          <w:szCs w:val="24"/>
          <w:highlight w:val="white"/>
        </w:rPr>
        <w:t>EDUARD G. SARMIENTO HIDALGO</w:t>
      </w:r>
      <w:r w:rsidR="00C7658D" w:rsidRPr="00DD54E9">
        <w:rPr>
          <w:rFonts w:asciiTheme="majorHAnsi" w:eastAsia="Century Gothic" w:hAnsiTheme="majorHAnsi" w:cs="Arial"/>
          <w:b/>
          <w:sz w:val="24"/>
          <w:szCs w:val="24"/>
          <w:highlight w:val="white"/>
        </w:rPr>
        <w:tab/>
        <w:t>ANA PAOLA GARCÍA SOTO</w:t>
      </w:r>
    </w:p>
    <w:p w:rsidR="00C7658D" w:rsidRPr="00DD54E9" w:rsidRDefault="00A92BE9" w:rsidP="00C7658D">
      <w:pPr>
        <w:tabs>
          <w:tab w:val="left" w:pos="4678"/>
          <w:tab w:val="left" w:pos="5103"/>
        </w:tabs>
        <w:spacing w:after="0" w:line="240" w:lineRule="auto"/>
        <w:rPr>
          <w:rFonts w:asciiTheme="majorHAnsi" w:eastAsia="Century Gothic" w:hAnsiTheme="majorHAnsi" w:cs="Arial"/>
          <w:sz w:val="24"/>
          <w:szCs w:val="24"/>
          <w:highlight w:val="white"/>
        </w:rPr>
      </w:pPr>
      <w:r>
        <w:rPr>
          <w:rFonts w:asciiTheme="majorHAnsi" w:eastAsia="Century Gothic" w:hAnsiTheme="majorHAnsi" w:cs="Arial"/>
          <w:sz w:val="24"/>
          <w:szCs w:val="24"/>
          <w:highlight w:val="white"/>
        </w:rPr>
        <w:t>Ponente Coordinador</w:t>
      </w:r>
      <w:r>
        <w:rPr>
          <w:rFonts w:asciiTheme="majorHAnsi" w:eastAsia="Century Gothic" w:hAnsiTheme="majorHAnsi" w:cs="Arial"/>
          <w:sz w:val="24"/>
          <w:szCs w:val="24"/>
          <w:highlight w:val="white"/>
        </w:rPr>
        <w:tab/>
        <w:t>Ponente Coordinadora</w:t>
      </w:r>
      <w:r w:rsidR="00C7658D" w:rsidRPr="00DD54E9">
        <w:rPr>
          <w:rFonts w:asciiTheme="majorHAnsi" w:eastAsia="Century Gothic" w:hAnsiTheme="majorHAnsi" w:cs="Arial"/>
          <w:sz w:val="24"/>
          <w:szCs w:val="24"/>
          <w:highlight w:val="white"/>
        </w:rPr>
        <w:t xml:space="preserve"> </w:t>
      </w:r>
    </w:p>
    <w:p w:rsidR="00A92BE9" w:rsidRDefault="00A92BE9" w:rsidP="00A92BE9">
      <w:pPr>
        <w:tabs>
          <w:tab w:val="left" w:pos="4678"/>
          <w:tab w:val="left" w:pos="5103"/>
        </w:tabs>
        <w:spacing w:after="0" w:line="240" w:lineRule="auto"/>
        <w:rPr>
          <w:rFonts w:asciiTheme="majorHAnsi" w:eastAsia="Century Gothic" w:hAnsiTheme="majorHAnsi" w:cs="Arial"/>
          <w:sz w:val="24"/>
          <w:szCs w:val="24"/>
        </w:rPr>
      </w:pPr>
    </w:p>
    <w:p w:rsidR="00A92BE9" w:rsidRDefault="00A92BE9" w:rsidP="00A92BE9">
      <w:pPr>
        <w:tabs>
          <w:tab w:val="left" w:pos="4678"/>
          <w:tab w:val="left" w:pos="5103"/>
        </w:tabs>
        <w:spacing w:after="0" w:line="240" w:lineRule="auto"/>
        <w:rPr>
          <w:rFonts w:asciiTheme="majorHAnsi" w:eastAsia="Century Gothic" w:hAnsiTheme="majorHAnsi" w:cs="Arial"/>
          <w:sz w:val="24"/>
          <w:szCs w:val="24"/>
        </w:rPr>
      </w:pPr>
    </w:p>
    <w:p w:rsidR="00A92BE9" w:rsidRDefault="00A92BE9" w:rsidP="00A92BE9">
      <w:pPr>
        <w:tabs>
          <w:tab w:val="left" w:pos="4678"/>
          <w:tab w:val="left" w:pos="5103"/>
        </w:tabs>
        <w:spacing w:after="0" w:line="240" w:lineRule="auto"/>
        <w:rPr>
          <w:rFonts w:asciiTheme="majorHAnsi" w:eastAsia="Century Gothic" w:hAnsiTheme="majorHAnsi" w:cs="Arial"/>
          <w:sz w:val="24"/>
          <w:szCs w:val="24"/>
        </w:rPr>
      </w:pPr>
    </w:p>
    <w:p w:rsidR="00C7658D" w:rsidRPr="00DD54E9" w:rsidRDefault="00A92BE9" w:rsidP="00A92BE9">
      <w:pPr>
        <w:tabs>
          <w:tab w:val="left" w:pos="4678"/>
          <w:tab w:val="left" w:pos="5103"/>
        </w:tabs>
        <w:spacing w:after="0" w:line="240" w:lineRule="auto"/>
        <w:rPr>
          <w:rFonts w:asciiTheme="majorHAnsi" w:eastAsia="Century Gothic" w:hAnsiTheme="majorHAnsi" w:cs="Arial"/>
          <w:b/>
          <w:sz w:val="24"/>
          <w:szCs w:val="24"/>
        </w:rPr>
      </w:pPr>
      <w:r w:rsidRPr="00A92BE9">
        <w:rPr>
          <w:rFonts w:asciiTheme="majorHAnsi" w:eastAsia="Century Gothic" w:hAnsiTheme="majorHAnsi" w:cs="Arial"/>
          <w:b/>
          <w:sz w:val="24"/>
          <w:szCs w:val="24"/>
        </w:rPr>
        <w:t>JUAN SEBASTIÁN GOMEZ GONZALES</w:t>
      </w:r>
      <w:r>
        <w:rPr>
          <w:rFonts w:asciiTheme="majorHAnsi" w:eastAsia="Century Gothic" w:hAnsiTheme="majorHAnsi" w:cs="Arial"/>
          <w:b/>
          <w:sz w:val="24"/>
          <w:szCs w:val="24"/>
        </w:rPr>
        <w:tab/>
      </w:r>
      <w:r w:rsidR="00C7658D" w:rsidRPr="00DD54E9">
        <w:rPr>
          <w:rFonts w:asciiTheme="majorHAnsi" w:eastAsia="Century Gothic" w:hAnsiTheme="majorHAnsi" w:cs="Arial"/>
          <w:b/>
          <w:sz w:val="24"/>
          <w:szCs w:val="24"/>
        </w:rPr>
        <w:t>AMPARO YANETH CALDERON PERDOMO</w:t>
      </w:r>
    </w:p>
    <w:p w:rsidR="008C485F" w:rsidRPr="00DD54E9" w:rsidRDefault="00A92BE9" w:rsidP="00A92BE9">
      <w:pPr>
        <w:tabs>
          <w:tab w:val="left" w:pos="4678"/>
          <w:tab w:val="left" w:pos="5103"/>
        </w:tabs>
        <w:spacing w:after="0" w:line="240" w:lineRule="auto"/>
        <w:rPr>
          <w:rFonts w:asciiTheme="majorHAnsi" w:eastAsia="Arial Narrow" w:hAnsiTheme="majorHAnsi" w:cs="Arial"/>
          <w:color w:val="000000"/>
          <w:sz w:val="24"/>
          <w:szCs w:val="24"/>
        </w:rPr>
      </w:pPr>
      <w:bookmarkStart w:id="0" w:name="_GoBack"/>
      <w:bookmarkEnd w:id="0"/>
      <w:r>
        <w:rPr>
          <w:rFonts w:asciiTheme="majorHAnsi" w:eastAsia="Century Gothic" w:hAnsiTheme="majorHAnsi" w:cs="Arial"/>
          <w:sz w:val="24"/>
          <w:szCs w:val="24"/>
          <w:highlight w:val="white"/>
        </w:rPr>
        <w:t>Vicepresidente</w:t>
      </w:r>
      <w:r>
        <w:rPr>
          <w:rFonts w:asciiTheme="majorHAnsi" w:eastAsia="Century Gothic" w:hAnsiTheme="majorHAnsi" w:cs="Arial"/>
          <w:sz w:val="24"/>
          <w:szCs w:val="24"/>
          <w:highlight w:val="white"/>
        </w:rPr>
        <w:tab/>
      </w:r>
      <w:r w:rsidR="00C7658D" w:rsidRPr="00DD54E9">
        <w:rPr>
          <w:rFonts w:asciiTheme="majorHAnsi" w:eastAsia="Century Gothic" w:hAnsiTheme="majorHAnsi" w:cs="Arial"/>
          <w:sz w:val="24"/>
          <w:szCs w:val="24"/>
          <w:highlight w:val="white"/>
        </w:rPr>
        <w:t>Secretaria</w:t>
      </w:r>
    </w:p>
    <w:sectPr w:rsidR="008C485F" w:rsidRPr="00DD54E9"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33F" w:rsidRDefault="006A433F" w:rsidP="002B77F9">
      <w:pPr>
        <w:spacing w:after="0" w:line="240" w:lineRule="auto"/>
      </w:pPr>
      <w:r>
        <w:separator/>
      </w:r>
    </w:p>
  </w:endnote>
  <w:endnote w:type="continuationSeparator" w:id="0">
    <w:p w:rsidR="006A433F" w:rsidRDefault="006A433F"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7D2B23" w:rsidRPr="00F31B05" w:rsidRDefault="007D2B23"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7D2B23" w:rsidRPr="00CA7BFC" w:rsidRDefault="007D2B23"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7D2B23" w:rsidRDefault="007D2B23"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33F" w:rsidRDefault="006A433F" w:rsidP="002B77F9">
      <w:pPr>
        <w:spacing w:after="0" w:line="240" w:lineRule="auto"/>
      </w:pPr>
      <w:r>
        <w:separator/>
      </w:r>
    </w:p>
  </w:footnote>
  <w:footnote w:type="continuationSeparator" w:id="0">
    <w:p w:rsidR="006A433F" w:rsidRDefault="006A433F"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B23" w:rsidRDefault="006A433F" w:rsidP="00C72FDB">
    <w:pPr>
      <w:pStyle w:val="Encabezado"/>
      <w:jc w:val="center"/>
    </w:pPr>
    <w:sdt>
      <w:sdtPr>
        <w:id w:val="1036773030"/>
        <w:docPartObj>
          <w:docPartGallery w:val="Page Numbers (Margins)"/>
          <w:docPartUnique/>
        </w:docPartObj>
      </w:sdtPr>
      <w:sdtEndPr/>
      <w:sdtContent>
        <w:r w:rsidR="007D2B23">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B23" w:rsidRDefault="007D2B23">
                              <w:pPr>
                                <w:pBdr>
                                  <w:bottom w:val="single" w:sz="4" w:space="1" w:color="auto"/>
                                </w:pBdr>
                              </w:pPr>
                              <w:r>
                                <w:fldChar w:fldCharType="begin"/>
                              </w:r>
                              <w:r>
                                <w:instrText>PAGE   \* MERGEFORMAT</w:instrText>
                              </w:r>
                              <w:r>
                                <w:fldChar w:fldCharType="separate"/>
                              </w:r>
                              <w:r w:rsidR="00740FC1" w:rsidRPr="00740FC1">
                                <w:rPr>
                                  <w:noProof/>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7D2B23" w:rsidRDefault="007D2B23">
                        <w:pPr>
                          <w:pBdr>
                            <w:bottom w:val="single" w:sz="4" w:space="1" w:color="auto"/>
                          </w:pBdr>
                        </w:pPr>
                        <w:r>
                          <w:fldChar w:fldCharType="begin"/>
                        </w:r>
                        <w:r>
                          <w:instrText>PAGE   \* MERGEFORMAT</w:instrText>
                        </w:r>
                        <w:r>
                          <w:fldChar w:fldCharType="separate"/>
                        </w:r>
                        <w:r w:rsidR="00740FC1" w:rsidRPr="00740FC1">
                          <w:rPr>
                            <w:noProof/>
                            <w:lang w:val="es-ES"/>
                          </w:rPr>
                          <w:t>2</w:t>
                        </w:r>
                        <w:r>
                          <w:fldChar w:fldCharType="end"/>
                        </w:r>
                      </w:p>
                    </w:txbxContent>
                  </v:textbox>
                  <w10:wrap anchorx="margin" anchory="margin"/>
                </v:rect>
              </w:pict>
            </mc:Fallback>
          </mc:AlternateContent>
        </w:r>
      </w:sdtContent>
    </w:sdt>
    <w:r w:rsidR="007D2B23">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7D2B23" w:rsidRDefault="007D2B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653D3"/>
    <w:multiLevelType w:val="multilevel"/>
    <w:tmpl w:val="39165556"/>
    <w:lvl w:ilvl="0">
      <w:start w:val="1"/>
      <w:numFmt w:val="decimal"/>
      <w:lvlText w:val="%1."/>
      <w:lvlJc w:val="left"/>
      <w:pPr>
        <w:ind w:left="720" w:hanging="360"/>
      </w:pPr>
      <w:rPr>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87D5EAD"/>
    <w:multiLevelType w:val="multilevel"/>
    <w:tmpl w:val="C84A5B8E"/>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1"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462EA8"/>
    <w:multiLevelType w:val="multilevel"/>
    <w:tmpl w:val="2C0AFA8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4"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5" w15:restartNumberingAfterBreak="0">
    <w:nsid w:val="71231DD1"/>
    <w:multiLevelType w:val="multilevel"/>
    <w:tmpl w:val="1994BCBC"/>
    <w:lvl w:ilvl="0">
      <w:start w:val="1"/>
      <w:numFmt w:val="lowerLetter"/>
      <w:lvlText w:val="%1."/>
      <w:lvlJc w:val="left"/>
      <w:pPr>
        <w:ind w:left="709" w:hanging="359"/>
      </w:pPr>
      <w:rPr>
        <w:rFonts w:ascii="Calibri" w:eastAsia="Calibri" w:hAnsi="Calibri" w:cs="Calibri"/>
        <w:b/>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26"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8"/>
  </w:num>
  <w:num w:numId="3">
    <w:abstractNumId w:val="12"/>
  </w:num>
  <w:num w:numId="4">
    <w:abstractNumId w:val="1"/>
  </w:num>
  <w:num w:numId="5">
    <w:abstractNumId w:val="2"/>
  </w:num>
  <w:num w:numId="6">
    <w:abstractNumId w:val="7"/>
  </w:num>
  <w:num w:numId="7">
    <w:abstractNumId w:val="0"/>
  </w:num>
  <w:num w:numId="8">
    <w:abstractNumId w:val="17"/>
  </w:num>
  <w:num w:numId="9">
    <w:abstractNumId w:val="9"/>
  </w:num>
  <w:num w:numId="10">
    <w:abstractNumId w:val="13"/>
  </w:num>
  <w:num w:numId="11">
    <w:abstractNumId w:val="28"/>
  </w:num>
  <w:num w:numId="12">
    <w:abstractNumId w:val="20"/>
  </w:num>
  <w:num w:numId="13">
    <w:abstractNumId w:val="27"/>
  </w:num>
  <w:num w:numId="14">
    <w:abstractNumId w:val="18"/>
  </w:num>
  <w:num w:numId="15">
    <w:abstractNumId w:val="16"/>
  </w:num>
  <w:num w:numId="16">
    <w:abstractNumId w:val="23"/>
  </w:num>
  <w:num w:numId="17">
    <w:abstractNumId w:val="15"/>
  </w:num>
  <w:num w:numId="18">
    <w:abstractNumId w:val="3"/>
  </w:num>
  <w:num w:numId="19">
    <w:abstractNumId w:val="4"/>
  </w:num>
  <w:num w:numId="20">
    <w:abstractNumId w:val="24"/>
  </w:num>
  <w:num w:numId="21">
    <w:abstractNumId w:val="21"/>
  </w:num>
  <w:num w:numId="22">
    <w:abstractNumId w:val="19"/>
  </w:num>
  <w:num w:numId="23">
    <w:abstractNumId w:val="14"/>
  </w:num>
  <w:num w:numId="24">
    <w:abstractNumId w:val="26"/>
  </w:num>
  <w:num w:numId="25">
    <w:abstractNumId w:val="11"/>
  </w:num>
  <w:num w:numId="26">
    <w:abstractNumId w:val="22"/>
  </w:num>
  <w:num w:numId="27">
    <w:abstractNumId w:val="6"/>
  </w:num>
  <w:num w:numId="28">
    <w:abstractNumId w:val="25"/>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60965"/>
    <w:rsid w:val="00071BE2"/>
    <w:rsid w:val="00072389"/>
    <w:rsid w:val="000B2703"/>
    <w:rsid w:val="000B431C"/>
    <w:rsid w:val="001066C3"/>
    <w:rsid w:val="0019687F"/>
    <w:rsid w:val="001A730E"/>
    <w:rsid w:val="001B59F5"/>
    <w:rsid w:val="001C02DA"/>
    <w:rsid w:val="001D46E7"/>
    <w:rsid w:val="001F1108"/>
    <w:rsid w:val="001F2372"/>
    <w:rsid w:val="001F4B8D"/>
    <w:rsid w:val="00205249"/>
    <w:rsid w:val="00210E09"/>
    <w:rsid w:val="002227A1"/>
    <w:rsid w:val="00234747"/>
    <w:rsid w:val="00234FE5"/>
    <w:rsid w:val="002502B4"/>
    <w:rsid w:val="00255D5C"/>
    <w:rsid w:val="00260D6F"/>
    <w:rsid w:val="002743DF"/>
    <w:rsid w:val="00286D4E"/>
    <w:rsid w:val="002A00E2"/>
    <w:rsid w:val="002A3EA0"/>
    <w:rsid w:val="002B541B"/>
    <w:rsid w:val="002B6AF6"/>
    <w:rsid w:val="002B77F9"/>
    <w:rsid w:val="002D7DBF"/>
    <w:rsid w:val="002E25CA"/>
    <w:rsid w:val="002F02B3"/>
    <w:rsid w:val="002F539C"/>
    <w:rsid w:val="00311769"/>
    <w:rsid w:val="00321326"/>
    <w:rsid w:val="00335045"/>
    <w:rsid w:val="00342B29"/>
    <w:rsid w:val="00355892"/>
    <w:rsid w:val="003604D0"/>
    <w:rsid w:val="00376F05"/>
    <w:rsid w:val="003873C2"/>
    <w:rsid w:val="00387BD8"/>
    <w:rsid w:val="00393CA3"/>
    <w:rsid w:val="00394EAC"/>
    <w:rsid w:val="003B0401"/>
    <w:rsid w:val="003C4239"/>
    <w:rsid w:val="003F126E"/>
    <w:rsid w:val="003F5C5D"/>
    <w:rsid w:val="003F7B98"/>
    <w:rsid w:val="003F7F52"/>
    <w:rsid w:val="0043525D"/>
    <w:rsid w:val="00436F33"/>
    <w:rsid w:val="00463B62"/>
    <w:rsid w:val="00464F6C"/>
    <w:rsid w:val="00485F9F"/>
    <w:rsid w:val="0049097B"/>
    <w:rsid w:val="004C0174"/>
    <w:rsid w:val="004C05B3"/>
    <w:rsid w:val="004C57E9"/>
    <w:rsid w:val="004C5D69"/>
    <w:rsid w:val="004D4AE0"/>
    <w:rsid w:val="004D759E"/>
    <w:rsid w:val="00511ED4"/>
    <w:rsid w:val="00514173"/>
    <w:rsid w:val="00520C0E"/>
    <w:rsid w:val="00531BD8"/>
    <w:rsid w:val="0054460A"/>
    <w:rsid w:val="00546013"/>
    <w:rsid w:val="0054784F"/>
    <w:rsid w:val="00554A09"/>
    <w:rsid w:val="005648D5"/>
    <w:rsid w:val="00566713"/>
    <w:rsid w:val="0057315F"/>
    <w:rsid w:val="00592B55"/>
    <w:rsid w:val="005A2CA1"/>
    <w:rsid w:val="005B4CE4"/>
    <w:rsid w:val="005C604F"/>
    <w:rsid w:val="005D4583"/>
    <w:rsid w:val="005D4CF6"/>
    <w:rsid w:val="005E17D9"/>
    <w:rsid w:val="00615662"/>
    <w:rsid w:val="00617D5F"/>
    <w:rsid w:val="006263B1"/>
    <w:rsid w:val="006466D3"/>
    <w:rsid w:val="00651F09"/>
    <w:rsid w:val="00657E26"/>
    <w:rsid w:val="006842AA"/>
    <w:rsid w:val="006A433F"/>
    <w:rsid w:val="006A6080"/>
    <w:rsid w:val="006C2025"/>
    <w:rsid w:val="006E3F60"/>
    <w:rsid w:val="006F5535"/>
    <w:rsid w:val="007118F9"/>
    <w:rsid w:val="00740FC1"/>
    <w:rsid w:val="00741F4B"/>
    <w:rsid w:val="007523F7"/>
    <w:rsid w:val="00762CE9"/>
    <w:rsid w:val="00767102"/>
    <w:rsid w:val="00770A1E"/>
    <w:rsid w:val="00784634"/>
    <w:rsid w:val="00791199"/>
    <w:rsid w:val="007A27BF"/>
    <w:rsid w:val="007A64EA"/>
    <w:rsid w:val="007C1176"/>
    <w:rsid w:val="007C2835"/>
    <w:rsid w:val="007C791A"/>
    <w:rsid w:val="007D2B23"/>
    <w:rsid w:val="007F02A1"/>
    <w:rsid w:val="0081409F"/>
    <w:rsid w:val="00820746"/>
    <w:rsid w:val="00820AC5"/>
    <w:rsid w:val="008214EF"/>
    <w:rsid w:val="0083563E"/>
    <w:rsid w:val="008356FB"/>
    <w:rsid w:val="00836D1A"/>
    <w:rsid w:val="00864666"/>
    <w:rsid w:val="00864E81"/>
    <w:rsid w:val="008948A9"/>
    <w:rsid w:val="008C0270"/>
    <w:rsid w:val="008C485F"/>
    <w:rsid w:val="008C4F3D"/>
    <w:rsid w:val="008C5463"/>
    <w:rsid w:val="008C5C63"/>
    <w:rsid w:val="008D5251"/>
    <w:rsid w:val="008D78C3"/>
    <w:rsid w:val="008F3182"/>
    <w:rsid w:val="009230CE"/>
    <w:rsid w:val="00923E69"/>
    <w:rsid w:val="00930B4E"/>
    <w:rsid w:val="0093261F"/>
    <w:rsid w:val="009338BD"/>
    <w:rsid w:val="00971B33"/>
    <w:rsid w:val="00980BCD"/>
    <w:rsid w:val="00986396"/>
    <w:rsid w:val="009927DB"/>
    <w:rsid w:val="00993253"/>
    <w:rsid w:val="0099350E"/>
    <w:rsid w:val="00993DA6"/>
    <w:rsid w:val="009A138B"/>
    <w:rsid w:val="009A58FC"/>
    <w:rsid w:val="009B67AC"/>
    <w:rsid w:val="009C12A5"/>
    <w:rsid w:val="009F327E"/>
    <w:rsid w:val="009F5598"/>
    <w:rsid w:val="00A25E23"/>
    <w:rsid w:val="00A43CC7"/>
    <w:rsid w:val="00A45EAE"/>
    <w:rsid w:val="00A46D79"/>
    <w:rsid w:val="00A75B7B"/>
    <w:rsid w:val="00A75CDA"/>
    <w:rsid w:val="00A872C8"/>
    <w:rsid w:val="00A92BE9"/>
    <w:rsid w:val="00A952CD"/>
    <w:rsid w:val="00A95D13"/>
    <w:rsid w:val="00AA243C"/>
    <w:rsid w:val="00AB14CD"/>
    <w:rsid w:val="00AD3B2D"/>
    <w:rsid w:val="00AE692D"/>
    <w:rsid w:val="00AF36DE"/>
    <w:rsid w:val="00AF7024"/>
    <w:rsid w:val="00AF764F"/>
    <w:rsid w:val="00B01CAB"/>
    <w:rsid w:val="00B17EFD"/>
    <w:rsid w:val="00B445A7"/>
    <w:rsid w:val="00B45F28"/>
    <w:rsid w:val="00B60DFC"/>
    <w:rsid w:val="00BB52F2"/>
    <w:rsid w:val="00BC47DE"/>
    <w:rsid w:val="00BD4141"/>
    <w:rsid w:val="00BD5A9F"/>
    <w:rsid w:val="00C0765C"/>
    <w:rsid w:val="00C14E17"/>
    <w:rsid w:val="00C41881"/>
    <w:rsid w:val="00C421C4"/>
    <w:rsid w:val="00C5586A"/>
    <w:rsid w:val="00C72FDB"/>
    <w:rsid w:val="00C74091"/>
    <w:rsid w:val="00C74871"/>
    <w:rsid w:val="00C7658D"/>
    <w:rsid w:val="00C81DC9"/>
    <w:rsid w:val="00C90D70"/>
    <w:rsid w:val="00C91D4B"/>
    <w:rsid w:val="00CA1400"/>
    <w:rsid w:val="00CF4523"/>
    <w:rsid w:val="00CF6F6C"/>
    <w:rsid w:val="00D012A0"/>
    <w:rsid w:val="00D06595"/>
    <w:rsid w:val="00D25E1A"/>
    <w:rsid w:val="00D33DBE"/>
    <w:rsid w:val="00D365ED"/>
    <w:rsid w:val="00D42340"/>
    <w:rsid w:val="00D87E48"/>
    <w:rsid w:val="00D911EB"/>
    <w:rsid w:val="00DB30E5"/>
    <w:rsid w:val="00DB4E51"/>
    <w:rsid w:val="00DC15B5"/>
    <w:rsid w:val="00DC757E"/>
    <w:rsid w:val="00DD54E9"/>
    <w:rsid w:val="00DE5B04"/>
    <w:rsid w:val="00DF01CA"/>
    <w:rsid w:val="00DF1873"/>
    <w:rsid w:val="00DF48FD"/>
    <w:rsid w:val="00DF514E"/>
    <w:rsid w:val="00E00980"/>
    <w:rsid w:val="00E0796D"/>
    <w:rsid w:val="00E20DB4"/>
    <w:rsid w:val="00E2117A"/>
    <w:rsid w:val="00E31547"/>
    <w:rsid w:val="00E35FD6"/>
    <w:rsid w:val="00E50203"/>
    <w:rsid w:val="00E56423"/>
    <w:rsid w:val="00E61EC5"/>
    <w:rsid w:val="00E66A69"/>
    <w:rsid w:val="00E7734E"/>
    <w:rsid w:val="00E81991"/>
    <w:rsid w:val="00E90D44"/>
    <w:rsid w:val="00ED1DD7"/>
    <w:rsid w:val="00F003FA"/>
    <w:rsid w:val="00F076AA"/>
    <w:rsid w:val="00F1201D"/>
    <w:rsid w:val="00F13684"/>
    <w:rsid w:val="00F20DA4"/>
    <w:rsid w:val="00F22E0C"/>
    <w:rsid w:val="00F27207"/>
    <w:rsid w:val="00F3400C"/>
    <w:rsid w:val="00F418EE"/>
    <w:rsid w:val="00F43BBF"/>
    <w:rsid w:val="00F5565A"/>
    <w:rsid w:val="00F82B12"/>
    <w:rsid w:val="00FA7F82"/>
    <w:rsid w:val="00FB07C2"/>
    <w:rsid w:val="00FC0521"/>
    <w:rsid w:val="00FE7D52"/>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D52E2"/>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E8F8-E779-46D4-8DEF-D5B4DD49F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1159</Words>
  <Characters>6376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4</cp:revision>
  <cp:lastPrinted>2025-02-27T16:18:00Z</cp:lastPrinted>
  <dcterms:created xsi:type="dcterms:W3CDTF">2025-02-27T16:01:00Z</dcterms:created>
  <dcterms:modified xsi:type="dcterms:W3CDTF">2025-02-27T16:23:00Z</dcterms:modified>
</cp:coreProperties>
</file>