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886D" w14:textId="77777777" w:rsidR="00993B3B" w:rsidRPr="005D1195" w:rsidRDefault="00993B3B" w:rsidP="001F2372">
      <w:pPr>
        <w:spacing w:after="0" w:line="240" w:lineRule="auto"/>
        <w:jc w:val="center"/>
        <w:rPr>
          <w:rFonts w:ascii="Constantia" w:hAnsi="Constantia" w:cs="Arial"/>
          <w:b/>
          <w:i/>
          <w:iCs/>
          <w:sz w:val="24"/>
          <w:szCs w:val="24"/>
        </w:rPr>
      </w:pPr>
    </w:p>
    <w:p w14:paraId="784A38E1" w14:textId="32ED3659" w:rsidR="005D1195" w:rsidRPr="005D1195" w:rsidRDefault="005D1195" w:rsidP="005D1195">
      <w:pPr>
        <w:spacing w:after="0" w:line="240" w:lineRule="auto"/>
        <w:jc w:val="center"/>
        <w:rPr>
          <w:rFonts w:ascii="Constantia" w:eastAsia="Times New Roman" w:hAnsi="Constantia" w:cstheme="majorHAnsi"/>
          <w:b/>
          <w:i/>
          <w:iCs/>
          <w:color w:val="000000"/>
          <w:sz w:val="24"/>
          <w:szCs w:val="24"/>
          <w:lang w:eastAsia="es-CO"/>
        </w:rPr>
      </w:pPr>
      <w:r w:rsidRPr="005D1195">
        <w:rPr>
          <w:rFonts w:ascii="Constantia" w:hAnsi="Constantia" w:cstheme="majorHAnsi"/>
          <w:b/>
          <w:i/>
          <w:iCs/>
          <w:color w:val="000000"/>
          <w:sz w:val="24"/>
          <w:szCs w:val="24"/>
        </w:rPr>
        <w:t xml:space="preserve">TEXTO APROBADO EN LA COMISIÓN PRIMERA DE LA HONORABLE CÁMARA DE REPRESENTANTES EN PRIMER DEBATE PRIMERA VUELTA AL </w:t>
      </w:r>
      <w:r w:rsidRPr="005D1195">
        <w:rPr>
          <w:rFonts w:ascii="Constantia" w:eastAsia="Times New Roman" w:hAnsi="Constantia" w:cstheme="majorHAnsi"/>
          <w:b/>
          <w:i/>
          <w:iCs/>
          <w:color w:val="000000"/>
          <w:sz w:val="24"/>
          <w:szCs w:val="24"/>
          <w:lang w:eastAsia="es-CO"/>
        </w:rPr>
        <w:t xml:space="preserve">PROYECTO DE ACTO LEGISLATIVO No. </w:t>
      </w:r>
      <w:r w:rsidRPr="005D1195">
        <w:rPr>
          <w:rFonts w:ascii="Constantia" w:eastAsia="Constantia" w:hAnsi="Constantia" w:cs="Constantia"/>
          <w:b/>
          <w:i/>
          <w:iCs/>
          <w:sz w:val="24"/>
          <w:szCs w:val="24"/>
        </w:rPr>
        <w:t>003 DE 2025 CÁMARA</w:t>
      </w:r>
    </w:p>
    <w:p w14:paraId="705BBD6F" w14:textId="7C906E0E" w:rsidR="005D1195" w:rsidRPr="005D1195" w:rsidRDefault="005D1195" w:rsidP="005D1195">
      <w:pPr>
        <w:spacing w:after="0" w:line="240" w:lineRule="auto"/>
        <w:jc w:val="center"/>
        <w:rPr>
          <w:rFonts w:ascii="Constantia" w:eastAsia="Constantia" w:hAnsi="Constantia" w:cs="Constantia"/>
          <w:b/>
          <w:i/>
          <w:iCs/>
          <w:sz w:val="24"/>
          <w:szCs w:val="24"/>
        </w:rPr>
      </w:pPr>
      <w:r w:rsidRPr="005D1195">
        <w:rPr>
          <w:rFonts w:ascii="Constantia" w:eastAsia="Constantia" w:hAnsi="Constantia" w:cs="Constantia"/>
          <w:b/>
          <w:i/>
          <w:iCs/>
          <w:sz w:val="24"/>
          <w:szCs w:val="24"/>
        </w:rPr>
        <w:t>“POR MEDIO DEL CUAL SE MODIFICA EL ARTÍCULO 49 DE LA CONSTITUCIÓN POLÍTICA DE COLOMBIA, SE REGULARIZA EL CANNABIS DE USO ADULTO Y SE DICTAN OTRAS DISPOSICIONES”</w:t>
      </w:r>
    </w:p>
    <w:p w14:paraId="0A7F4C0E" w14:textId="77777777" w:rsidR="005D1195" w:rsidRPr="005D1195" w:rsidRDefault="005D1195" w:rsidP="005D1195">
      <w:pPr>
        <w:spacing w:line="240" w:lineRule="auto"/>
        <w:rPr>
          <w:rFonts w:ascii="Constantia" w:eastAsia="Constantia" w:hAnsi="Constantia" w:cs="Constantia"/>
          <w:b/>
          <w:i/>
          <w:iCs/>
          <w:sz w:val="24"/>
          <w:szCs w:val="24"/>
        </w:rPr>
      </w:pPr>
    </w:p>
    <w:p w14:paraId="50956AF5" w14:textId="2CDB07BC" w:rsidR="005D1195" w:rsidRPr="005D1195" w:rsidRDefault="005D1195" w:rsidP="005D1195">
      <w:pPr>
        <w:spacing w:line="240" w:lineRule="auto"/>
        <w:jc w:val="center"/>
        <w:rPr>
          <w:rFonts w:ascii="Constantia" w:eastAsia="Constantia" w:hAnsi="Constantia" w:cs="Constantia"/>
          <w:b/>
          <w:i/>
          <w:iCs/>
          <w:sz w:val="24"/>
          <w:szCs w:val="24"/>
        </w:rPr>
      </w:pPr>
      <w:r w:rsidRPr="005D1195">
        <w:rPr>
          <w:rFonts w:ascii="Constantia" w:eastAsia="Constantia" w:hAnsi="Constantia" w:cs="Constantia"/>
          <w:b/>
          <w:i/>
          <w:iCs/>
          <w:sz w:val="24"/>
          <w:szCs w:val="24"/>
        </w:rPr>
        <w:t>EL CONGRESO DE COLOMBIA</w:t>
      </w:r>
    </w:p>
    <w:p w14:paraId="0F3529D9" w14:textId="77777777" w:rsidR="005D1195" w:rsidRPr="005D1195" w:rsidRDefault="005D1195" w:rsidP="005D1195">
      <w:pPr>
        <w:spacing w:line="240" w:lineRule="auto"/>
        <w:jc w:val="center"/>
        <w:rPr>
          <w:rFonts w:ascii="Constantia" w:eastAsia="Constantia" w:hAnsi="Constantia" w:cs="Constantia"/>
          <w:b/>
          <w:i/>
          <w:iCs/>
          <w:sz w:val="24"/>
          <w:szCs w:val="24"/>
        </w:rPr>
      </w:pPr>
    </w:p>
    <w:p w14:paraId="05933271" w14:textId="313808F9" w:rsidR="005D1195" w:rsidRPr="005D1195" w:rsidRDefault="005D1195" w:rsidP="005D1195">
      <w:pPr>
        <w:spacing w:line="240" w:lineRule="auto"/>
        <w:jc w:val="center"/>
        <w:rPr>
          <w:rFonts w:ascii="Constantia" w:eastAsia="Constantia" w:hAnsi="Constantia" w:cs="Constantia"/>
          <w:b/>
          <w:i/>
          <w:iCs/>
          <w:sz w:val="24"/>
          <w:szCs w:val="24"/>
        </w:rPr>
      </w:pPr>
      <w:r w:rsidRPr="005D1195">
        <w:rPr>
          <w:rFonts w:ascii="Constantia" w:eastAsia="Constantia" w:hAnsi="Constantia" w:cs="Constantia"/>
          <w:b/>
          <w:i/>
          <w:iCs/>
          <w:sz w:val="24"/>
          <w:szCs w:val="24"/>
        </w:rPr>
        <w:t>DECRETA:</w:t>
      </w:r>
    </w:p>
    <w:p w14:paraId="7B02CCE6" w14:textId="77777777" w:rsidR="005D1195" w:rsidRDefault="005D1195" w:rsidP="005D1195">
      <w:pPr>
        <w:spacing w:line="240" w:lineRule="auto"/>
        <w:jc w:val="center"/>
        <w:rPr>
          <w:rFonts w:ascii="Constantia" w:eastAsia="Constantia" w:hAnsi="Constantia" w:cs="Constantia"/>
          <w:b/>
          <w:sz w:val="24"/>
          <w:szCs w:val="24"/>
        </w:rPr>
      </w:pPr>
    </w:p>
    <w:p w14:paraId="357B8812" w14:textId="77777777" w:rsidR="005D1195" w:rsidRDefault="005D1195" w:rsidP="005D1195">
      <w:pPr>
        <w:spacing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ARTÍCULO 1º. </w:t>
      </w:r>
      <w:r>
        <w:rPr>
          <w:rFonts w:ascii="Constantia" w:eastAsia="Constantia" w:hAnsi="Constantia" w:cs="Constantia"/>
          <w:sz w:val="24"/>
          <w:szCs w:val="24"/>
        </w:rPr>
        <w:t>El artículo 49 de la Constitución Política quedará así:</w:t>
      </w:r>
      <w:r>
        <w:rPr>
          <w:rFonts w:ascii="Constantia" w:eastAsia="Constantia" w:hAnsi="Constantia" w:cs="Constantia"/>
          <w:b/>
          <w:sz w:val="24"/>
          <w:szCs w:val="24"/>
        </w:rPr>
        <w:t xml:space="preserve"> </w:t>
      </w:r>
    </w:p>
    <w:p w14:paraId="5F1FDF66" w14:textId="77777777" w:rsidR="005D1195" w:rsidRDefault="005D1195" w:rsidP="005D1195">
      <w:pPr>
        <w:spacing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</w:p>
    <w:p w14:paraId="64CA231F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ARTÍCULO 49o. </w:t>
      </w:r>
      <w:r>
        <w:rPr>
          <w:rFonts w:ascii="Constantia" w:eastAsia="Constantia" w:hAnsi="Constantia" w:cs="Constantia"/>
          <w:sz w:val="24"/>
          <w:szCs w:val="24"/>
        </w:rPr>
        <w:t>La atención de la salud y el saneamiento ambiental son servicios públicos a cargo del Estado. Se garantiza a todas las personas el acceso a los servicios de promoción, protección y recuperación de la salud.</w:t>
      </w:r>
    </w:p>
    <w:p w14:paraId="39B238A6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053410B9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Corresponde al Estado organizar, dirigir y reglamentar la prestación de servicios de salud a los habitantes y de saneamiento ambiental conforme a los principios de eficiencia, universalidad y solidaridad. También, establecer las políticas para la prestación de servicios de salud por entidades privadas, y ejercer su vigilancia y control. Así mismo, establecer las competencias de la Nación, las entidades territoriales y los particulares y determinar los aportes a su cargo en los términos y las condiciones señalados en la ley.</w:t>
      </w:r>
    </w:p>
    <w:p w14:paraId="39724992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707D4100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Los servicios de salud se organizarán en forma descentralizada, por niveles de atención y con participación de la comunidad.</w:t>
      </w:r>
    </w:p>
    <w:p w14:paraId="10338A79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245405F9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La ley señalará los términos en los cuales la atención básica para todos los habitantes será gratuita y obligatoria.</w:t>
      </w:r>
    </w:p>
    <w:p w14:paraId="4675D5E8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319C04D1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Toda persona tiene el deber de procurar el cuidado integral de su salud y de su comunidad.</w:t>
      </w:r>
    </w:p>
    <w:p w14:paraId="4971901B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24B22EE8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El porte y el consumo de sustancias psicoactivas está prohibido, salvo con fines médicos y científicos. </w:t>
      </w:r>
    </w:p>
    <w:p w14:paraId="62BE3E9D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3775000D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La prohibición prevista en el inciso anterior no aplicará para el porte y consumo del cannabis y sus derivados por parte de mayores de edad. Tampoco aplicará para la producción, distribución, venta y comercialización de esta sustancia con fines de uso adulto siempre y cuando se cuente con las licencias y/o autorizaciones otorgadas por la autoridad competente, sin perjuicio del autocultivo autorizado por la ley.</w:t>
      </w:r>
    </w:p>
    <w:p w14:paraId="1E8FC599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0C9C2E04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Están prohibidas las actividades de promoción y publicidad relacionadas con el cannabis de uso adulto, salvo la realización de campañas dirigidas a la prevención del consumo y aquellas de carácter informativo y educativo en medios restringidos, dirigidos a audiencias mayores de edad.</w:t>
      </w:r>
    </w:p>
    <w:p w14:paraId="5E9E021A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b/>
          <w:sz w:val="24"/>
          <w:szCs w:val="24"/>
        </w:rPr>
      </w:pPr>
    </w:p>
    <w:p w14:paraId="6EC3978E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Parágrafo 1</w:t>
      </w:r>
      <w:r>
        <w:rPr>
          <w:rFonts w:ascii="Constantia" w:eastAsia="Constantia" w:hAnsi="Constantia" w:cs="Constantia"/>
          <w:sz w:val="24"/>
          <w:szCs w:val="24"/>
        </w:rPr>
        <w:t xml:space="preserve">. Se prohíbe el consumo y la comercialización del cannabis y sus derivados en los entornos de las instituciones educativas, en espacios deportivos, en parques, en centros de atención a la primera infancia, en los demás ambientes en los que se encuentra prohibido el consumo de tabaco y en los espacios que establezca la ley. </w:t>
      </w:r>
    </w:p>
    <w:p w14:paraId="609A02F1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b/>
          <w:sz w:val="24"/>
          <w:szCs w:val="24"/>
        </w:rPr>
      </w:pPr>
    </w:p>
    <w:p w14:paraId="0F6FC82C" w14:textId="29DEDC88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Parágrafo 2. </w:t>
      </w:r>
      <w:r>
        <w:rPr>
          <w:rFonts w:ascii="Constantia" w:eastAsia="Constantia" w:hAnsi="Constantia" w:cs="Constantia"/>
          <w:sz w:val="24"/>
          <w:szCs w:val="24"/>
        </w:rPr>
        <w:t>La ley establecerá medidas de control del consumo de cannabis y sus efectos, para proteger y prevenir de manera integral a la niñez, la adolescencia, las madres gestantes y lactantes y a la población en general. Dichas medidas incluirán estrategias de prevención, educación y sensibilización pública; protocolos de atención diferencial para grupos vulnerables.</w:t>
      </w:r>
    </w:p>
    <w:p w14:paraId="4E5EF3AF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2BB76727" w14:textId="175472F0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 xml:space="preserve">Con fines </w:t>
      </w:r>
      <w:r w:rsidR="00E4238B">
        <w:rPr>
          <w:rFonts w:ascii="Constantia" w:eastAsia="Constantia" w:hAnsi="Constantia" w:cs="Constantia"/>
          <w:sz w:val="24"/>
          <w:szCs w:val="24"/>
        </w:rPr>
        <w:t xml:space="preserve">de prevención y rehabilitación </w:t>
      </w:r>
      <w:r>
        <w:rPr>
          <w:rFonts w:ascii="Constantia" w:eastAsia="Constantia" w:hAnsi="Constantia" w:cs="Constantia"/>
          <w:sz w:val="24"/>
          <w:szCs w:val="24"/>
        </w:rPr>
        <w:t>la ley establecerá medidas y tratamientos pedagógico</w:t>
      </w:r>
      <w:r w:rsidR="00E4238B">
        <w:rPr>
          <w:rFonts w:ascii="Constantia" w:eastAsia="Constantia" w:hAnsi="Constantia" w:cs="Constantia"/>
          <w:sz w:val="24"/>
          <w:szCs w:val="24"/>
        </w:rPr>
        <w:t>s</w:t>
      </w:r>
      <w:r>
        <w:rPr>
          <w:rFonts w:ascii="Constantia" w:eastAsia="Constantia" w:hAnsi="Constantia" w:cs="Constantia"/>
          <w:sz w:val="24"/>
          <w:szCs w:val="24"/>
        </w:rPr>
        <w:t>, profiláctico</w:t>
      </w:r>
      <w:r w:rsidR="00E4238B">
        <w:rPr>
          <w:rFonts w:ascii="Constantia" w:eastAsia="Constantia" w:hAnsi="Constantia" w:cs="Constantia"/>
          <w:sz w:val="24"/>
          <w:szCs w:val="24"/>
        </w:rPr>
        <w:t>s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  <w:r w:rsidR="00E4238B">
        <w:rPr>
          <w:rFonts w:ascii="Constantia" w:eastAsia="Constantia" w:hAnsi="Constantia" w:cs="Constantia"/>
          <w:sz w:val="24"/>
          <w:szCs w:val="24"/>
        </w:rPr>
        <w:t>y/</w:t>
      </w:r>
      <w:r>
        <w:rPr>
          <w:rFonts w:ascii="Constantia" w:eastAsia="Constantia" w:hAnsi="Constantia" w:cs="Constantia"/>
          <w:sz w:val="24"/>
          <w:szCs w:val="24"/>
        </w:rPr>
        <w:t xml:space="preserve">o </w:t>
      </w:r>
      <w:r w:rsidR="00E4238B">
        <w:rPr>
          <w:rFonts w:ascii="Constantia" w:eastAsia="Constantia" w:hAnsi="Constantia" w:cs="Constantia"/>
          <w:sz w:val="24"/>
          <w:szCs w:val="24"/>
        </w:rPr>
        <w:t xml:space="preserve">atención </w:t>
      </w:r>
      <w:r>
        <w:rPr>
          <w:rFonts w:ascii="Constantia" w:eastAsia="Constantia" w:hAnsi="Constantia" w:cs="Constantia"/>
          <w:sz w:val="24"/>
          <w:szCs w:val="24"/>
        </w:rPr>
        <w:t>terapéutic</w:t>
      </w:r>
      <w:r w:rsidR="00E4238B">
        <w:rPr>
          <w:rFonts w:ascii="Constantia" w:eastAsia="Constantia" w:hAnsi="Constantia" w:cs="Constantia"/>
          <w:sz w:val="24"/>
          <w:szCs w:val="24"/>
        </w:rPr>
        <w:t xml:space="preserve">a dirigidas a la población en general y de manera prioritaria a </w:t>
      </w:r>
      <w:r>
        <w:rPr>
          <w:rFonts w:ascii="Constantia" w:eastAsia="Constantia" w:hAnsi="Constantia" w:cs="Constantia"/>
          <w:sz w:val="24"/>
          <w:szCs w:val="24"/>
        </w:rPr>
        <w:t xml:space="preserve">las personas que consuman sustancias psicoactivas, su familia y/o redes de apoyo. El acceso a esas medidas y tratamientos </w:t>
      </w:r>
      <w:r w:rsidR="00E4238B">
        <w:rPr>
          <w:rFonts w:ascii="Constantia" w:eastAsia="Constantia" w:hAnsi="Constantia" w:cs="Constantia"/>
          <w:sz w:val="24"/>
          <w:szCs w:val="24"/>
        </w:rPr>
        <w:t>se realizará únicamente con el consentimiento libre, previo e informado de la persona consumidora.</w:t>
      </w:r>
      <w:r>
        <w:rPr>
          <w:rFonts w:ascii="Constantia" w:eastAsia="Constantia" w:hAnsi="Constantia" w:cs="Constantia"/>
          <w:sz w:val="24"/>
          <w:szCs w:val="24"/>
        </w:rPr>
        <w:t xml:space="preserve"> </w:t>
      </w:r>
    </w:p>
    <w:p w14:paraId="35FD1032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48631D83" w14:textId="3B8E1EB9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lastRenderedPageBreak/>
        <w:t>El Estado</w:t>
      </w:r>
      <w:r w:rsidR="00E4238B">
        <w:rPr>
          <w:rFonts w:ascii="Constantia" w:eastAsia="Constantia" w:hAnsi="Constantia" w:cs="Constantia"/>
          <w:sz w:val="24"/>
          <w:szCs w:val="24"/>
        </w:rPr>
        <w:t xml:space="preserve">, bajo un enfoque de derechos humanos y de salud pública, atenderá de manera intersectorial a toda la población para garantizar el cuidado integral de la salud. Para ello adoptará de forma permanente medidas de promoción de la salud; estrategias de prevención del consumo de sustancias psicoactivas, incluido el consumo pasivo o secundario, con especial énfasis en la niñez, la adolescencia y en las mujeres gestantes y lactantes; programas de apoyo para la cesación del consumo; y acciones </w:t>
      </w:r>
      <w:r w:rsidR="00D41DF1">
        <w:rPr>
          <w:rFonts w:ascii="Constantia" w:eastAsia="Constantia" w:hAnsi="Constantia" w:cs="Constantia"/>
          <w:sz w:val="24"/>
          <w:szCs w:val="24"/>
        </w:rPr>
        <w:t>de</w:t>
      </w:r>
      <w:r w:rsidR="00E4238B">
        <w:rPr>
          <w:rFonts w:ascii="Constantia" w:eastAsia="Constantia" w:hAnsi="Constantia" w:cs="Constantia"/>
          <w:sz w:val="24"/>
          <w:szCs w:val="24"/>
        </w:rPr>
        <w:t xml:space="preserve"> reducción de riesgos y daños asociados.</w:t>
      </w:r>
    </w:p>
    <w:p w14:paraId="1D701225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6F74C9F7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Parágrafo 3. </w:t>
      </w:r>
      <w:r>
        <w:rPr>
          <w:rFonts w:ascii="Constantia" w:eastAsia="Constantia" w:hAnsi="Constantia" w:cs="Constantia"/>
          <w:sz w:val="24"/>
          <w:szCs w:val="24"/>
        </w:rPr>
        <w:t>Las entidades que conforman el Sistema General de Seguridad Social en Salud y sus prestadores garantizarán la aplicación e incorporación de lo establecido en este artículo de forma obligatoria.</w:t>
      </w:r>
    </w:p>
    <w:p w14:paraId="6E74EF3B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170A96DC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 xml:space="preserve">Parágrafo 4. </w:t>
      </w:r>
      <w:r>
        <w:rPr>
          <w:rFonts w:ascii="Constantia" w:eastAsia="Constantia" w:hAnsi="Constantia" w:cs="Constantia"/>
          <w:sz w:val="24"/>
          <w:szCs w:val="24"/>
        </w:rPr>
        <w:t>La ley regulará autorizaciones especiales para comunidades étnicas y campesinas como medida diferencial para garantizar su participación efectiva en el acceso a la producción, distribución y venta del cannabis de uso adulto.</w:t>
      </w:r>
    </w:p>
    <w:p w14:paraId="0C4A231B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b/>
          <w:sz w:val="24"/>
          <w:szCs w:val="24"/>
        </w:rPr>
      </w:pPr>
    </w:p>
    <w:p w14:paraId="13318A98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Parágrafo transitorio 1.</w:t>
      </w:r>
      <w:r>
        <w:rPr>
          <w:rFonts w:ascii="Constantia" w:eastAsia="Constantia" w:hAnsi="Constantia" w:cs="Constantia"/>
          <w:sz w:val="24"/>
          <w:szCs w:val="24"/>
        </w:rPr>
        <w:t xml:space="preserve"> El Ministerio de Salud y Protección Social tendrá un plazo de seis (6) meses, contados a partir de la promulgación del presente Acto Legislativo, para formular, divulgar e implementar una política pública estricta en torno a la prevención, atención y efectos nocivos del consumo del cannabis, dicha política debe estar acompañada con una estrategia educativa nacional integral que tenga como objetivo la prevención del consumo.</w:t>
      </w:r>
    </w:p>
    <w:p w14:paraId="6E9E9D24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b/>
          <w:sz w:val="24"/>
          <w:szCs w:val="24"/>
          <w:u w:val="single"/>
        </w:rPr>
      </w:pPr>
    </w:p>
    <w:p w14:paraId="55FF698F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Parágrafo transitorio 2.</w:t>
      </w:r>
      <w:r>
        <w:rPr>
          <w:rFonts w:ascii="Constantia" w:eastAsia="Constantia" w:hAnsi="Constantia" w:cs="Constantia"/>
          <w:sz w:val="24"/>
          <w:szCs w:val="24"/>
        </w:rPr>
        <w:t xml:space="preserve"> Sin perjuicio de los tributos nacionales, los departamentos, distritos y municipios podrán establecer, recaudar y administrar de forma exclusiva los tributos causados por las actividades relativas a la distribución, consumo o venta de cannabis para uso de adultos, de conformidad con lo dispuesto en la ley. Los tributos que se refieran a estas actividades tendrán como destinación los sistemas de salud y educación. </w:t>
      </w:r>
    </w:p>
    <w:p w14:paraId="428179FA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7C313C4A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t>La ley regulará los elementos básicos de los impuestos que podrán decretar los distritos y municipios a su favor, previa aprobación de los concejos distritales y municipales, por el uso de inmuebles en actividades relativas al cannabis de uso para adultos.</w:t>
      </w:r>
    </w:p>
    <w:p w14:paraId="07E2E63C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</w:p>
    <w:p w14:paraId="26A74F4F" w14:textId="77777777" w:rsidR="005D1195" w:rsidRDefault="005D1195" w:rsidP="005D1195">
      <w:pPr>
        <w:spacing w:line="240" w:lineRule="auto"/>
        <w:ind w:left="425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sz w:val="24"/>
          <w:szCs w:val="24"/>
        </w:rPr>
        <w:lastRenderedPageBreak/>
        <w:t>El Congreso de la República expedirá la ley que reglamenta y autoriza a las entidades territoriales la imposición de los tributos señalados en el presente parágrafo.</w:t>
      </w:r>
    </w:p>
    <w:p w14:paraId="7B9A566C" w14:textId="77777777" w:rsidR="005D1195" w:rsidRDefault="005D1195" w:rsidP="005D1195">
      <w:pPr>
        <w:spacing w:line="240" w:lineRule="auto"/>
        <w:jc w:val="both"/>
        <w:rPr>
          <w:rFonts w:ascii="Constantia" w:eastAsia="Constantia" w:hAnsi="Constantia" w:cs="Constantia"/>
          <w:b/>
          <w:sz w:val="24"/>
          <w:szCs w:val="24"/>
        </w:rPr>
      </w:pPr>
    </w:p>
    <w:p w14:paraId="6AF26D6F" w14:textId="77777777" w:rsidR="005D1195" w:rsidRDefault="005D1195" w:rsidP="005D1195">
      <w:pPr>
        <w:spacing w:line="240" w:lineRule="auto"/>
        <w:jc w:val="both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sz w:val="24"/>
          <w:szCs w:val="24"/>
        </w:rPr>
        <w:t>ARTÍCULO 2°. VIGENCIA.</w:t>
      </w:r>
      <w:r>
        <w:rPr>
          <w:rFonts w:ascii="Constantia" w:eastAsia="Constantia" w:hAnsi="Constantia" w:cs="Constantia"/>
          <w:sz w:val="24"/>
          <w:szCs w:val="24"/>
        </w:rPr>
        <w:t> El presente Acto Legislativo entrará en vigencia seis (6) meses después de la promulgación de este Acto Legislativo.</w:t>
      </w:r>
    </w:p>
    <w:p w14:paraId="40B00F54" w14:textId="3D48D26C" w:rsidR="00A5464C" w:rsidRDefault="00A5464C" w:rsidP="00A5464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894B1" w14:textId="77777777" w:rsidR="00993B3B" w:rsidRPr="007B5EDC" w:rsidRDefault="00993B3B" w:rsidP="00DD54E9">
      <w:pPr>
        <w:tabs>
          <w:tab w:val="left" w:pos="4820"/>
        </w:tabs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  <w:highlight w:val="white"/>
        </w:rPr>
      </w:pPr>
    </w:p>
    <w:p w14:paraId="33FFD8ED" w14:textId="77777777" w:rsidR="00993B3B" w:rsidRPr="007B5EDC" w:rsidRDefault="00993B3B" w:rsidP="00DD54E9">
      <w:pPr>
        <w:tabs>
          <w:tab w:val="left" w:pos="4820"/>
        </w:tabs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  <w:highlight w:val="white"/>
        </w:rPr>
      </w:pPr>
    </w:p>
    <w:p w14:paraId="7931BFAE" w14:textId="753C9202" w:rsidR="00C7658D" w:rsidRPr="005D1195" w:rsidRDefault="00210E09" w:rsidP="00DD54E9">
      <w:pPr>
        <w:tabs>
          <w:tab w:val="left" w:pos="4820"/>
        </w:tabs>
        <w:spacing w:after="0" w:line="240" w:lineRule="auto"/>
        <w:jc w:val="both"/>
        <w:rPr>
          <w:rFonts w:ascii="Constantia" w:eastAsia="Century Gothic" w:hAnsi="Constantia" w:cs="Times New Roman"/>
          <w:sz w:val="24"/>
          <w:szCs w:val="24"/>
          <w:highlight w:val="white"/>
        </w:rPr>
      </w:pPr>
      <w:r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E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n los anteriores términos fue aprobado </w:t>
      </w:r>
      <w:r w:rsidR="00D06595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co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n modificaciones en primer debate</w:t>
      </w:r>
      <w:r w:rsidR="007D43D2">
        <w:rPr>
          <w:rFonts w:ascii="Constantia" w:eastAsia="Century Gothic" w:hAnsi="Constantia" w:cs="Times New Roman"/>
          <w:sz w:val="24"/>
          <w:szCs w:val="24"/>
          <w:highlight w:val="white"/>
        </w:rPr>
        <w:t>, primera vuelta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el presente Proyecto de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Acto Legislativo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, según consta en el Acta No.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05</w:t>
      </w:r>
      <w:r w:rsidR="006E3F60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de sesión del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20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de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agosto</w:t>
      </w:r>
      <w:r w:rsidR="005952E1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de 202</w:t>
      </w:r>
      <w:r w:rsidR="008C5463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5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. Así mismo fue anunc</w:t>
      </w:r>
      <w:r w:rsidR="007B5ED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iado entre otras fechas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,</w:t>
      </w:r>
      <w:r w:rsidR="007B5ED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el día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19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de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agosto</w:t>
      </w:r>
      <w:r w:rsidR="008C5463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de 202</w:t>
      </w:r>
      <w:r w:rsidR="008C5463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5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, según consta en el Acta 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04</w:t>
      </w:r>
      <w:r w:rsidR="00C7658D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de Sesión de esa misma fecha.</w:t>
      </w:r>
    </w:p>
    <w:p w14:paraId="04937046" w14:textId="77777777" w:rsidR="00E90D44" w:rsidRPr="005D1195" w:rsidRDefault="00E90D44" w:rsidP="00DD54E9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Constantia" w:eastAsia="Century Gothic" w:hAnsi="Constantia" w:cs="Times New Roman"/>
          <w:b/>
          <w:sz w:val="24"/>
          <w:szCs w:val="24"/>
          <w:highlight w:val="white"/>
        </w:rPr>
      </w:pPr>
    </w:p>
    <w:p w14:paraId="6493BCEF" w14:textId="77777777" w:rsidR="005952E1" w:rsidRPr="005D1195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b/>
          <w:sz w:val="24"/>
          <w:szCs w:val="24"/>
          <w:highlight w:val="white"/>
        </w:rPr>
      </w:pPr>
    </w:p>
    <w:p w14:paraId="12C414F0" w14:textId="77777777" w:rsidR="005952E1" w:rsidRPr="005D1195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b/>
          <w:sz w:val="24"/>
          <w:szCs w:val="24"/>
          <w:highlight w:val="white"/>
        </w:rPr>
      </w:pPr>
    </w:p>
    <w:p w14:paraId="0763F530" w14:textId="77777777" w:rsidR="005952E1" w:rsidRPr="005D1195" w:rsidRDefault="005952E1" w:rsidP="00C7658D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b/>
          <w:sz w:val="24"/>
          <w:szCs w:val="24"/>
          <w:highlight w:val="white"/>
        </w:rPr>
      </w:pPr>
    </w:p>
    <w:p w14:paraId="20C1D62E" w14:textId="0D468B92" w:rsidR="00C7658D" w:rsidRPr="005D1195" w:rsidRDefault="005239BE" w:rsidP="00C7658D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b/>
          <w:sz w:val="24"/>
          <w:szCs w:val="24"/>
          <w:highlight w:val="white"/>
        </w:rPr>
      </w:pPr>
      <w:r w:rsidRPr="005D1195">
        <w:rPr>
          <w:rFonts w:ascii="Constantia" w:eastAsia="Century Gothic" w:hAnsi="Constantia" w:cs="Times New Roman"/>
          <w:b/>
          <w:sz w:val="24"/>
          <w:szCs w:val="24"/>
          <w:highlight w:val="white"/>
        </w:rPr>
        <w:t xml:space="preserve">CARLOS </w:t>
      </w:r>
      <w:r w:rsidR="00A5464C" w:rsidRPr="005D1195">
        <w:rPr>
          <w:rFonts w:ascii="Constantia" w:eastAsia="Century Gothic" w:hAnsi="Constantia" w:cs="Times New Roman"/>
          <w:b/>
          <w:sz w:val="24"/>
          <w:szCs w:val="24"/>
          <w:highlight w:val="white"/>
        </w:rPr>
        <w:t>ADOLFO ARDILA ESPINOSA</w:t>
      </w:r>
      <w:r w:rsidR="00A55B17" w:rsidRPr="005D1195">
        <w:rPr>
          <w:rFonts w:ascii="Constantia" w:eastAsia="Century Gothic" w:hAnsi="Constantia" w:cs="Times New Roman"/>
          <w:b/>
          <w:sz w:val="24"/>
          <w:szCs w:val="24"/>
          <w:highlight w:val="white"/>
        </w:rPr>
        <w:t xml:space="preserve">        </w:t>
      </w:r>
      <w:r w:rsidRPr="005D1195">
        <w:rPr>
          <w:rFonts w:ascii="Constantia" w:eastAsia="Century Gothic" w:hAnsi="Constantia" w:cs="Times New Roman"/>
          <w:b/>
          <w:sz w:val="24"/>
          <w:szCs w:val="24"/>
          <w:highlight w:val="white"/>
        </w:rPr>
        <w:tab/>
      </w:r>
      <w:r w:rsidR="00A5464C" w:rsidRPr="005D1195">
        <w:rPr>
          <w:rFonts w:ascii="Constantia" w:eastAsia="Century Gothic" w:hAnsi="Constantia" w:cs="Times New Roman"/>
          <w:b/>
          <w:sz w:val="24"/>
          <w:szCs w:val="24"/>
          <w:highlight w:val="white"/>
        </w:rPr>
        <w:t>GABRIEL BECERRA YAÑEZ</w:t>
      </w:r>
    </w:p>
    <w:p w14:paraId="47426ED7" w14:textId="4DF848A5" w:rsidR="00C7658D" w:rsidRPr="005D1195" w:rsidRDefault="00A55B17" w:rsidP="00C7658D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  <w:highlight w:val="white"/>
        </w:rPr>
      </w:pPr>
      <w:r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Ponente Coordinador                                     </w:t>
      </w:r>
      <w:r w:rsidR="005239BE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ab/>
      </w:r>
      <w:r w:rsidR="005239BE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ab/>
        <w:t>President</w:t>
      </w:r>
      <w:r w:rsidR="00A5464C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e</w:t>
      </w:r>
    </w:p>
    <w:p w14:paraId="5AA2F68F" w14:textId="77777777" w:rsidR="00A92BE9" w:rsidRPr="005D1195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</w:rPr>
      </w:pPr>
    </w:p>
    <w:p w14:paraId="38D9BE97" w14:textId="77777777" w:rsidR="00A92BE9" w:rsidRPr="005D1195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</w:rPr>
      </w:pPr>
    </w:p>
    <w:p w14:paraId="14717D40" w14:textId="77777777" w:rsidR="00A92BE9" w:rsidRPr="005D1195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</w:rPr>
      </w:pPr>
    </w:p>
    <w:p w14:paraId="60DEC449" w14:textId="77777777" w:rsidR="005952E1" w:rsidRPr="005D1195" w:rsidRDefault="005952E1" w:rsidP="00A92BE9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</w:rPr>
      </w:pPr>
    </w:p>
    <w:p w14:paraId="3F45D209" w14:textId="77777777" w:rsidR="005239BE" w:rsidRPr="005D1195" w:rsidRDefault="005239BE" w:rsidP="005239BE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sz w:val="24"/>
          <w:szCs w:val="24"/>
          <w:highlight w:val="white"/>
        </w:rPr>
      </w:pPr>
      <w:r w:rsidRPr="005D1195">
        <w:rPr>
          <w:rFonts w:ascii="Constantia" w:eastAsia="Century Gothic" w:hAnsi="Constantia" w:cs="Times New Roman"/>
          <w:b/>
          <w:sz w:val="24"/>
          <w:szCs w:val="24"/>
        </w:rPr>
        <w:t xml:space="preserve">       </w:t>
      </w:r>
      <w:r w:rsidR="00A55B17" w:rsidRPr="005D1195">
        <w:rPr>
          <w:rFonts w:ascii="Constantia" w:eastAsia="Century Gothic" w:hAnsi="Constantia" w:cs="Times New Roman"/>
          <w:b/>
          <w:sz w:val="24"/>
          <w:szCs w:val="24"/>
        </w:rPr>
        <w:t xml:space="preserve">                     AMPARO YANETH CALDERON PERDOMO</w:t>
      </w:r>
      <w:r w:rsidR="005952E1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 </w:t>
      </w:r>
    </w:p>
    <w:p w14:paraId="3BEF65C0" w14:textId="3B62D2C4" w:rsidR="008C485F" w:rsidRPr="005D1195" w:rsidRDefault="005239BE" w:rsidP="005239BE">
      <w:pPr>
        <w:tabs>
          <w:tab w:val="left" w:pos="4678"/>
          <w:tab w:val="left" w:pos="5103"/>
        </w:tabs>
        <w:spacing w:after="0" w:line="240" w:lineRule="auto"/>
        <w:rPr>
          <w:rFonts w:ascii="Constantia" w:eastAsia="Century Gothic" w:hAnsi="Constantia" w:cs="Times New Roman"/>
          <w:b/>
          <w:sz w:val="24"/>
          <w:szCs w:val="24"/>
        </w:rPr>
      </w:pPr>
      <w:r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                                                </w:t>
      </w:r>
      <w:r w:rsidR="007F2F46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         </w:t>
      </w:r>
      <w:r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>Secretaria</w:t>
      </w:r>
      <w:r w:rsidR="005952E1"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                                                  </w:t>
      </w:r>
      <w:r w:rsidRPr="005D1195">
        <w:rPr>
          <w:rFonts w:ascii="Constantia" w:eastAsia="Century Gothic" w:hAnsi="Constantia" w:cs="Times New Roman"/>
          <w:sz w:val="24"/>
          <w:szCs w:val="24"/>
          <w:highlight w:val="white"/>
        </w:rPr>
        <w:t xml:space="preserve">                      </w:t>
      </w:r>
      <w:r w:rsidRPr="005D1195">
        <w:rPr>
          <w:rFonts w:ascii="Constantia" w:eastAsia="Century Gothic" w:hAnsi="Constantia" w:cs="Times New Roman"/>
          <w:sz w:val="24"/>
          <w:szCs w:val="24"/>
        </w:rPr>
        <w:t xml:space="preserve">                </w:t>
      </w:r>
    </w:p>
    <w:sectPr w:rsidR="008C485F" w:rsidRPr="005D1195" w:rsidSect="00E66A69">
      <w:headerReference w:type="default" r:id="rId8"/>
      <w:footerReference w:type="default" r:id="rId9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A765" w14:textId="77777777" w:rsidR="00C02C78" w:rsidRDefault="00C02C78" w:rsidP="002B77F9">
      <w:pPr>
        <w:spacing w:after="0" w:line="240" w:lineRule="auto"/>
      </w:pPr>
      <w:r>
        <w:separator/>
      </w:r>
    </w:p>
  </w:endnote>
  <w:endnote w:type="continuationSeparator" w:id="0">
    <w:p w14:paraId="53A47672" w14:textId="77777777" w:rsidR="00C02C78" w:rsidRDefault="00C02C78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0197"/>
      <w:docPartObj>
        <w:docPartGallery w:val="Page Numbers (Bottom of Page)"/>
        <w:docPartUnique/>
      </w:docPartObj>
    </w:sdtPr>
    <w:sdtEndPr/>
    <w:sdtContent>
      <w:p w14:paraId="52B82B2D" w14:textId="77777777" w:rsidR="00EB7C62" w:rsidRPr="00F31B05" w:rsidRDefault="00EB7C62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14:paraId="7E5D445F" w14:textId="77777777" w:rsidR="00EB7C62" w:rsidRPr="00CA7BFC" w:rsidRDefault="00EB7C62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14:paraId="5B14E759" w14:textId="77777777" w:rsidR="00EB7C62" w:rsidRPr="00A5464C" w:rsidRDefault="00EB7C62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  <w:rPr>
            <w:lang w:val="en-US"/>
          </w:rPr>
        </w:pPr>
        <w:r w:rsidRPr="00A5464C">
          <w:rPr>
            <w:rFonts w:ascii="Aparajita" w:eastAsia="Times New Roman" w:hAnsi="Aparajita" w:cs="Aparajita"/>
            <w:color w:val="595959" w:themeColor="text1" w:themeTint="A6"/>
            <w:szCs w:val="24"/>
            <w:lang w:val="en-U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E0C3" w14:textId="77777777" w:rsidR="00C02C78" w:rsidRDefault="00C02C78" w:rsidP="002B77F9">
      <w:pPr>
        <w:spacing w:after="0" w:line="240" w:lineRule="auto"/>
      </w:pPr>
      <w:r>
        <w:separator/>
      </w:r>
    </w:p>
  </w:footnote>
  <w:footnote w:type="continuationSeparator" w:id="0">
    <w:p w14:paraId="712E65B3" w14:textId="77777777" w:rsidR="00C02C78" w:rsidRDefault="00C02C78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26A0" w14:textId="77777777" w:rsidR="00EB7C62" w:rsidRDefault="00C02C78" w:rsidP="00C72FDB">
    <w:pPr>
      <w:pStyle w:val="Encabezado"/>
      <w:jc w:val="center"/>
    </w:pPr>
    <w:sdt>
      <w:sdtPr>
        <w:id w:val="1036773030"/>
        <w:docPartObj>
          <w:docPartGallery w:val="Page Numbers (Margins)"/>
          <w:docPartUnique/>
        </w:docPartObj>
      </w:sdtPr>
      <w:sdtEndPr/>
      <w:sdtContent>
        <w:r w:rsidR="00EB7C62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C3919C" wp14:editId="4DB5EC6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27657" w14:textId="3853610C" w:rsidR="00EB7C62" w:rsidRDefault="00EB7C6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08D2" w:rsidRPr="006C08D2">
                                <w:rPr>
                                  <w:noProof/>
                                  <w:lang w:val="es-ES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C3919C" id="Rectángulo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7ghQIAAAcFAAAOAAAAZHJzL2Uyb0RvYy54bWysVNuO0zAQfUfiHyy/d3MhvSTadLUXipAW&#10;WLHwAa7tJBaObWy36YL4GL6FH2PstN0u8IAQeXA89vj4zJwZn1/seom23DqhVY2zsxQjrqhmQrU1&#10;/vhhNVlg5DxRjEiteI0fuMMXy+fPzgdT8Vx3WjJuEYAoVw2mxp33pkoSRzveE3emDVew2WjbEw+m&#10;bRNmyQDovUzyNJ0lg7bMWE25c7B6M27iZcRvGk79u6Zx3CNZY+Dm42jjuA5jsjwnVWuJ6QTd0yD/&#10;wKInQsGlR6gb4gnaWPEbVC+o1U43/ozqPtFNIyiPMUA0WfpLNPcdMTzGAslx5pgm9/9g6dvtnUWC&#10;gXYYKdKDRO8haT++q3YjNcpCggbjKvC7N3c2hOjMraafHFL6uiOq5ZfW6qHjhAGt6J88ORAMB0fR&#10;enijGeCTjdcxV7vG9gEQsoB2UZKHoyR85xGFxXk+n2cgHIWtF3k5nU0Do4RUh8PGOv+K6x6FSY0t&#10;kI/gZHvr/Oh6cInktRRsJaSMhm3X19KiLYHqWMVvj+5O3aQKzkqHYyPiuAIc4Y6wF9hGtb+WWV6k&#10;V3k5Wc0W80mxKqaTcp4uJmlWXpWztCiLm9W3QDArqk4wxtWtUPxQeVnxd8rue2CsmVh7aKhxOc2n&#10;MfYn7N1pkGn8/hRkLzw0ohR9jRdHJ1IFXV8qBmGTyhMhx3nylH4UBHJw+MesxCoIwo8F5HfrHaCE&#10;alhr9gD1YDXoBdLC6wGTTtsvGA3QiTV2nzfEcozkawU1VWZFEVo3GsV0noNhT3fWpztEUYCqscdo&#10;nF77sd03xoq2g5uymCOlL6EOGxFr5JEVhBAM6LYYzP5lCO18akevx/dr+RM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YTRO&#10;4IUCAAAH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14:paraId="42F27657" w14:textId="3853610C" w:rsidR="00EB7C62" w:rsidRDefault="00EB7C6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08D2" w:rsidRPr="006C08D2">
                          <w:rPr>
                            <w:noProof/>
                            <w:lang w:val="es-ES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B7C62">
      <w:rPr>
        <w:noProof/>
        <w:lang w:eastAsia="es-CO"/>
      </w:rPr>
      <w:drawing>
        <wp:inline distT="0" distB="0" distL="0" distR="0" wp14:anchorId="573A35DB" wp14:editId="6F30EC9F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EB645" w14:textId="77777777" w:rsidR="00EB7C62" w:rsidRDefault="00EB7C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AF"/>
    <w:multiLevelType w:val="multilevel"/>
    <w:tmpl w:val="D93EA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08B"/>
    <w:multiLevelType w:val="multilevel"/>
    <w:tmpl w:val="225CA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4EDC"/>
    <w:multiLevelType w:val="multilevel"/>
    <w:tmpl w:val="33C0B9C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F15"/>
    <w:multiLevelType w:val="hybridMultilevel"/>
    <w:tmpl w:val="5D8A0D3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04AFC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0AF7"/>
    <w:multiLevelType w:val="hybridMultilevel"/>
    <w:tmpl w:val="8910AC64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8C5"/>
    <w:multiLevelType w:val="hybridMultilevel"/>
    <w:tmpl w:val="3C12092A"/>
    <w:lvl w:ilvl="0" w:tplc="EC96FC9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3D3"/>
    <w:multiLevelType w:val="multilevel"/>
    <w:tmpl w:val="3916555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EF1243"/>
    <w:multiLevelType w:val="multilevel"/>
    <w:tmpl w:val="90A4645E"/>
    <w:lvl w:ilvl="0">
      <w:start w:val="1"/>
      <w:numFmt w:val="lowerLetter"/>
      <w:lvlText w:val="%1."/>
      <w:lvlJc w:val="left"/>
      <w:pPr>
        <w:ind w:left="36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F6181"/>
    <w:multiLevelType w:val="multilevel"/>
    <w:tmpl w:val="9BB62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B71341"/>
    <w:multiLevelType w:val="hybridMultilevel"/>
    <w:tmpl w:val="C33EAF28"/>
    <w:lvl w:ilvl="0" w:tplc="134C92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6C29"/>
    <w:multiLevelType w:val="multilevel"/>
    <w:tmpl w:val="685866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D5EAD"/>
    <w:multiLevelType w:val="multilevel"/>
    <w:tmpl w:val="C84A5B8E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3DC6198B"/>
    <w:multiLevelType w:val="multilevel"/>
    <w:tmpl w:val="62FCBA0A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2673934"/>
    <w:multiLevelType w:val="multilevel"/>
    <w:tmpl w:val="533EDF1A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471113D1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6150A"/>
    <w:multiLevelType w:val="multilevel"/>
    <w:tmpl w:val="A27AB53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847A78"/>
    <w:multiLevelType w:val="multilevel"/>
    <w:tmpl w:val="B894AE6E"/>
    <w:lvl w:ilvl="0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CC41A2"/>
    <w:multiLevelType w:val="hybridMultilevel"/>
    <w:tmpl w:val="717E5354"/>
    <w:lvl w:ilvl="0" w:tplc="3FB6825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2E3876"/>
    <w:multiLevelType w:val="hybridMultilevel"/>
    <w:tmpl w:val="82E2B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01C27"/>
    <w:multiLevelType w:val="multilevel"/>
    <w:tmpl w:val="70BEAC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44C3B"/>
    <w:multiLevelType w:val="multilevel"/>
    <w:tmpl w:val="D72ADF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F36BB8"/>
    <w:multiLevelType w:val="multilevel"/>
    <w:tmpl w:val="B894AE6E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510CC"/>
    <w:multiLevelType w:val="multilevel"/>
    <w:tmpl w:val="3460AE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65B75"/>
    <w:multiLevelType w:val="hybridMultilevel"/>
    <w:tmpl w:val="D7427768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2EA8"/>
    <w:multiLevelType w:val="multilevel"/>
    <w:tmpl w:val="2C0A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5A95F36"/>
    <w:multiLevelType w:val="hybridMultilevel"/>
    <w:tmpl w:val="8A9E365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B71B0C"/>
    <w:multiLevelType w:val="hybridMultilevel"/>
    <w:tmpl w:val="89AE421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1231DD1"/>
    <w:multiLevelType w:val="multilevel"/>
    <w:tmpl w:val="1994BCBC"/>
    <w:lvl w:ilvl="0">
      <w:start w:val="1"/>
      <w:numFmt w:val="lowerLetter"/>
      <w:lvlText w:val="%1."/>
      <w:lvlJc w:val="left"/>
      <w:pPr>
        <w:ind w:left="709" w:hanging="359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16C0F7D"/>
    <w:multiLevelType w:val="multilevel"/>
    <w:tmpl w:val="E006F98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B2852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95690E"/>
    <w:multiLevelType w:val="multilevel"/>
    <w:tmpl w:val="2940C32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E3A30"/>
    <w:multiLevelType w:val="multilevel"/>
    <w:tmpl w:val="A35EFB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20"/>
  </w:num>
  <w:num w:numId="9">
    <w:abstractNumId w:val="11"/>
  </w:num>
  <w:num w:numId="10">
    <w:abstractNumId w:val="16"/>
  </w:num>
  <w:num w:numId="11">
    <w:abstractNumId w:val="31"/>
  </w:num>
  <w:num w:numId="12">
    <w:abstractNumId w:val="23"/>
  </w:num>
  <w:num w:numId="13">
    <w:abstractNumId w:val="30"/>
  </w:num>
  <w:num w:numId="14">
    <w:abstractNumId w:val="21"/>
  </w:num>
  <w:num w:numId="15">
    <w:abstractNumId w:val="19"/>
  </w:num>
  <w:num w:numId="16">
    <w:abstractNumId w:val="26"/>
  </w:num>
  <w:num w:numId="17">
    <w:abstractNumId w:val="18"/>
  </w:num>
  <w:num w:numId="18">
    <w:abstractNumId w:val="3"/>
  </w:num>
  <w:num w:numId="19">
    <w:abstractNumId w:val="4"/>
  </w:num>
  <w:num w:numId="20">
    <w:abstractNumId w:val="27"/>
  </w:num>
  <w:num w:numId="21">
    <w:abstractNumId w:val="24"/>
  </w:num>
  <w:num w:numId="22">
    <w:abstractNumId w:val="22"/>
  </w:num>
  <w:num w:numId="23">
    <w:abstractNumId w:val="17"/>
  </w:num>
  <w:num w:numId="24">
    <w:abstractNumId w:val="29"/>
  </w:num>
  <w:num w:numId="25">
    <w:abstractNumId w:val="13"/>
  </w:num>
  <w:num w:numId="26">
    <w:abstractNumId w:val="25"/>
  </w:num>
  <w:num w:numId="27">
    <w:abstractNumId w:val="7"/>
  </w:num>
  <w:num w:numId="28">
    <w:abstractNumId w:val="28"/>
  </w:num>
  <w:num w:numId="29">
    <w:abstractNumId w:val="12"/>
  </w:num>
  <w:num w:numId="30">
    <w:abstractNumId w:val="10"/>
  </w:num>
  <w:num w:numId="31">
    <w:abstractNumId w:val="6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F9"/>
    <w:rsid w:val="000022B6"/>
    <w:rsid w:val="00007515"/>
    <w:rsid w:val="0002239B"/>
    <w:rsid w:val="000264C6"/>
    <w:rsid w:val="00060965"/>
    <w:rsid w:val="00071BE2"/>
    <w:rsid w:val="00072389"/>
    <w:rsid w:val="000B2703"/>
    <w:rsid w:val="000B3972"/>
    <w:rsid w:val="000B431C"/>
    <w:rsid w:val="000F6909"/>
    <w:rsid w:val="00100360"/>
    <w:rsid w:val="001066C3"/>
    <w:rsid w:val="001112E1"/>
    <w:rsid w:val="00151C43"/>
    <w:rsid w:val="001719A3"/>
    <w:rsid w:val="0019687F"/>
    <w:rsid w:val="001A730E"/>
    <w:rsid w:val="001B59F5"/>
    <w:rsid w:val="001C02DA"/>
    <w:rsid w:val="001D1005"/>
    <w:rsid w:val="001D46E7"/>
    <w:rsid w:val="001F1108"/>
    <w:rsid w:val="001F2372"/>
    <w:rsid w:val="001F4B8D"/>
    <w:rsid w:val="00205249"/>
    <w:rsid w:val="00210E09"/>
    <w:rsid w:val="002227A1"/>
    <w:rsid w:val="00234747"/>
    <w:rsid w:val="00234FE5"/>
    <w:rsid w:val="002502B4"/>
    <w:rsid w:val="00255D5C"/>
    <w:rsid w:val="00260D6F"/>
    <w:rsid w:val="002743DF"/>
    <w:rsid w:val="00286D4E"/>
    <w:rsid w:val="002A00E2"/>
    <w:rsid w:val="002A3EA0"/>
    <w:rsid w:val="002B541B"/>
    <w:rsid w:val="002B6AF6"/>
    <w:rsid w:val="002B77F9"/>
    <w:rsid w:val="002D7DBF"/>
    <w:rsid w:val="002E25CA"/>
    <w:rsid w:val="002F02B3"/>
    <w:rsid w:val="002F539C"/>
    <w:rsid w:val="00311769"/>
    <w:rsid w:val="00321326"/>
    <w:rsid w:val="00335045"/>
    <w:rsid w:val="00342B29"/>
    <w:rsid w:val="00355892"/>
    <w:rsid w:val="003604D0"/>
    <w:rsid w:val="00376F05"/>
    <w:rsid w:val="003873C2"/>
    <w:rsid w:val="00387BD8"/>
    <w:rsid w:val="00393CA3"/>
    <w:rsid w:val="00394EAC"/>
    <w:rsid w:val="003B0401"/>
    <w:rsid w:val="003B764C"/>
    <w:rsid w:val="003C4239"/>
    <w:rsid w:val="003F126E"/>
    <w:rsid w:val="003F5C5D"/>
    <w:rsid w:val="003F7B98"/>
    <w:rsid w:val="003F7F52"/>
    <w:rsid w:val="0043525D"/>
    <w:rsid w:val="00436F33"/>
    <w:rsid w:val="00444BF4"/>
    <w:rsid w:val="00462577"/>
    <w:rsid w:val="00463B62"/>
    <w:rsid w:val="00464F6C"/>
    <w:rsid w:val="00485F9F"/>
    <w:rsid w:val="0049097B"/>
    <w:rsid w:val="004C0174"/>
    <w:rsid w:val="004C05B3"/>
    <w:rsid w:val="004C57E9"/>
    <w:rsid w:val="004C5D69"/>
    <w:rsid w:val="004D4AE0"/>
    <w:rsid w:val="004D759E"/>
    <w:rsid w:val="005074FD"/>
    <w:rsid w:val="00511ED4"/>
    <w:rsid w:val="00514173"/>
    <w:rsid w:val="00520C0E"/>
    <w:rsid w:val="005239BE"/>
    <w:rsid w:val="00531BD8"/>
    <w:rsid w:val="0054460A"/>
    <w:rsid w:val="00546013"/>
    <w:rsid w:val="0054784F"/>
    <w:rsid w:val="00554A09"/>
    <w:rsid w:val="005648D5"/>
    <w:rsid w:val="00566713"/>
    <w:rsid w:val="0057315F"/>
    <w:rsid w:val="00592B55"/>
    <w:rsid w:val="005952E1"/>
    <w:rsid w:val="005A2CA1"/>
    <w:rsid w:val="005B4CE4"/>
    <w:rsid w:val="005C604F"/>
    <w:rsid w:val="005D1195"/>
    <w:rsid w:val="005D4583"/>
    <w:rsid w:val="005D4CF6"/>
    <w:rsid w:val="005D5BC3"/>
    <w:rsid w:val="005E17D9"/>
    <w:rsid w:val="00615662"/>
    <w:rsid w:val="00617D5F"/>
    <w:rsid w:val="006215A8"/>
    <w:rsid w:val="006263B1"/>
    <w:rsid w:val="006466D3"/>
    <w:rsid w:val="00651F09"/>
    <w:rsid w:val="00657E26"/>
    <w:rsid w:val="006842AA"/>
    <w:rsid w:val="006963CA"/>
    <w:rsid w:val="006A433F"/>
    <w:rsid w:val="006A6080"/>
    <w:rsid w:val="006C08D2"/>
    <w:rsid w:val="006C2025"/>
    <w:rsid w:val="006E3F60"/>
    <w:rsid w:val="006F5535"/>
    <w:rsid w:val="007118F9"/>
    <w:rsid w:val="0073336F"/>
    <w:rsid w:val="00740FC1"/>
    <w:rsid w:val="00741F4B"/>
    <w:rsid w:val="007523F7"/>
    <w:rsid w:val="00762CE9"/>
    <w:rsid w:val="00767102"/>
    <w:rsid w:val="0076787A"/>
    <w:rsid w:val="00770A1E"/>
    <w:rsid w:val="00781CE7"/>
    <w:rsid w:val="00784634"/>
    <w:rsid w:val="00791199"/>
    <w:rsid w:val="007A27BF"/>
    <w:rsid w:val="007A64EA"/>
    <w:rsid w:val="007B19FE"/>
    <w:rsid w:val="007B5EDC"/>
    <w:rsid w:val="007C1176"/>
    <w:rsid w:val="007C2835"/>
    <w:rsid w:val="007C791A"/>
    <w:rsid w:val="007D2B23"/>
    <w:rsid w:val="007D43D2"/>
    <w:rsid w:val="007F02A1"/>
    <w:rsid w:val="007F2F46"/>
    <w:rsid w:val="0081409F"/>
    <w:rsid w:val="00820746"/>
    <w:rsid w:val="00820AC5"/>
    <w:rsid w:val="008214EF"/>
    <w:rsid w:val="0083563E"/>
    <w:rsid w:val="008356FB"/>
    <w:rsid w:val="00836D1A"/>
    <w:rsid w:val="00864666"/>
    <w:rsid w:val="00864E81"/>
    <w:rsid w:val="008948A9"/>
    <w:rsid w:val="008C0270"/>
    <w:rsid w:val="008C485F"/>
    <w:rsid w:val="008C4F3D"/>
    <w:rsid w:val="008C5463"/>
    <w:rsid w:val="008C5C63"/>
    <w:rsid w:val="008D5251"/>
    <w:rsid w:val="008D78C3"/>
    <w:rsid w:val="008F3182"/>
    <w:rsid w:val="009156A8"/>
    <w:rsid w:val="009230CE"/>
    <w:rsid w:val="00923E69"/>
    <w:rsid w:val="00930B4E"/>
    <w:rsid w:val="0093261F"/>
    <w:rsid w:val="009338BD"/>
    <w:rsid w:val="00971B33"/>
    <w:rsid w:val="00980BCD"/>
    <w:rsid w:val="00986396"/>
    <w:rsid w:val="009927DB"/>
    <w:rsid w:val="00993253"/>
    <w:rsid w:val="0099350E"/>
    <w:rsid w:val="00993B3B"/>
    <w:rsid w:val="00993DA6"/>
    <w:rsid w:val="009A138B"/>
    <w:rsid w:val="009A4C8E"/>
    <w:rsid w:val="009A58FC"/>
    <w:rsid w:val="009B67AC"/>
    <w:rsid w:val="009C090D"/>
    <w:rsid w:val="009C12A5"/>
    <w:rsid w:val="009E203C"/>
    <w:rsid w:val="009F327E"/>
    <w:rsid w:val="009F5598"/>
    <w:rsid w:val="00A25E23"/>
    <w:rsid w:val="00A43CC7"/>
    <w:rsid w:val="00A45EAE"/>
    <w:rsid w:val="00A46D79"/>
    <w:rsid w:val="00A5464C"/>
    <w:rsid w:val="00A55B17"/>
    <w:rsid w:val="00A75B7B"/>
    <w:rsid w:val="00A75CDA"/>
    <w:rsid w:val="00A872C8"/>
    <w:rsid w:val="00A92BE9"/>
    <w:rsid w:val="00A952CD"/>
    <w:rsid w:val="00A95D13"/>
    <w:rsid w:val="00AA243C"/>
    <w:rsid w:val="00AB14CD"/>
    <w:rsid w:val="00AD3B2D"/>
    <w:rsid w:val="00AE692D"/>
    <w:rsid w:val="00AF36DE"/>
    <w:rsid w:val="00AF7024"/>
    <w:rsid w:val="00AF764F"/>
    <w:rsid w:val="00B01CAB"/>
    <w:rsid w:val="00B13D27"/>
    <w:rsid w:val="00B17EFD"/>
    <w:rsid w:val="00B445A7"/>
    <w:rsid w:val="00B45F28"/>
    <w:rsid w:val="00B53425"/>
    <w:rsid w:val="00B60DFC"/>
    <w:rsid w:val="00BA447D"/>
    <w:rsid w:val="00BB52F2"/>
    <w:rsid w:val="00BB7957"/>
    <w:rsid w:val="00BC47DE"/>
    <w:rsid w:val="00BD4141"/>
    <w:rsid w:val="00BD5A9F"/>
    <w:rsid w:val="00C02C78"/>
    <w:rsid w:val="00C0765C"/>
    <w:rsid w:val="00C14E17"/>
    <w:rsid w:val="00C41881"/>
    <w:rsid w:val="00C421C4"/>
    <w:rsid w:val="00C5586A"/>
    <w:rsid w:val="00C72FDB"/>
    <w:rsid w:val="00C74091"/>
    <w:rsid w:val="00C74871"/>
    <w:rsid w:val="00C7658D"/>
    <w:rsid w:val="00C81DC9"/>
    <w:rsid w:val="00C90D70"/>
    <w:rsid w:val="00C91D4B"/>
    <w:rsid w:val="00CA1400"/>
    <w:rsid w:val="00CB5D4C"/>
    <w:rsid w:val="00CF4523"/>
    <w:rsid w:val="00CF6F6C"/>
    <w:rsid w:val="00D012A0"/>
    <w:rsid w:val="00D06595"/>
    <w:rsid w:val="00D21770"/>
    <w:rsid w:val="00D25E1A"/>
    <w:rsid w:val="00D31644"/>
    <w:rsid w:val="00D33DBE"/>
    <w:rsid w:val="00D365ED"/>
    <w:rsid w:val="00D41DF1"/>
    <w:rsid w:val="00D42340"/>
    <w:rsid w:val="00D87E48"/>
    <w:rsid w:val="00D911EB"/>
    <w:rsid w:val="00DB30E5"/>
    <w:rsid w:val="00DB4E51"/>
    <w:rsid w:val="00DC15B5"/>
    <w:rsid w:val="00DC2002"/>
    <w:rsid w:val="00DC757E"/>
    <w:rsid w:val="00DD54E9"/>
    <w:rsid w:val="00DE5B04"/>
    <w:rsid w:val="00DF01CA"/>
    <w:rsid w:val="00DF0309"/>
    <w:rsid w:val="00DF1873"/>
    <w:rsid w:val="00DF24C5"/>
    <w:rsid w:val="00DF48FD"/>
    <w:rsid w:val="00DF514E"/>
    <w:rsid w:val="00E00980"/>
    <w:rsid w:val="00E03260"/>
    <w:rsid w:val="00E0796D"/>
    <w:rsid w:val="00E20DB4"/>
    <w:rsid w:val="00E2117A"/>
    <w:rsid w:val="00E25514"/>
    <w:rsid w:val="00E31547"/>
    <w:rsid w:val="00E35FD6"/>
    <w:rsid w:val="00E4238B"/>
    <w:rsid w:val="00E50203"/>
    <w:rsid w:val="00E51AB5"/>
    <w:rsid w:val="00E56423"/>
    <w:rsid w:val="00E61EC5"/>
    <w:rsid w:val="00E66A69"/>
    <w:rsid w:val="00E7734E"/>
    <w:rsid w:val="00E81991"/>
    <w:rsid w:val="00E90D44"/>
    <w:rsid w:val="00EB7C62"/>
    <w:rsid w:val="00ED1DD7"/>
    <w:rsid w:val="00F003FA"/>
    <w:rsid w:val="00F076AA"/>
    <w:rsid w:val="00F1201D"/>
    <w:rsid w:val="00F13684"/>
    <w:rsid w:val="00F20DA4"/>
    <w:rsid w:val="00F22E0C"/>
    <w:rsid w:val="00F27207"/>
    <w:rsid w:val="00F32F21"/>
    <w:rsid w:val="00F3400C"/>
    <w:rsid w:val="00F418EE"/>
    <w:rsid w:val="00F43BBF"/>
    <w:rsid w:val="00F5565A"/>
    <w:rsid w:val="00F82B12"/>
    <w:rsid w:val="00FA7F82"/>
    <w:rsid w:val="00FB07C2"/>
    <w:rsid w:val="00FC0521"/>
    <w:rsid w:val="00FD56C6"/>
    <w:rsid w:val="00FD6F61"/>
    <w:rsid w:val="00FE7D52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C5573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5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4239"/>
  </w:style>
  <w:style w:type="paragraph" w:styleId="Prrafodelista">
    <w:name w:val="List Paragraph"/>
    <w:basedOn w:val="Normal"/>
    <w:uiPriority w:val="34"/>
    <w:qFormat/>
    <w:rsid w:val="000609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75B7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C485F"/>
    <w:rPr>
      <w:rFonts w:ascii="Arial" w:eastAsia="Arial" w:hAnsi="Arial" w:cs="Arial"/>
      <w:sz w:val="40"/>
      <w:szCs w:val="40"/>
      <w:lang w:eastAsia="es-CO"/>
    </w:rPr>
  </w:style>
  <w:style w:type="table" w:styleId="Tablaconcuadrcula">
    <w:name w:val="Table Grid"/>
    <w:basedOn w:val="Tablanormal"/>
    <w:uiPriority w:val="39"/>
    <w:rsid w:val="00007515"/>
    <w:pPr>
      <w:spacing w:after="0" w:line="240" w:lineRule="auto"/>
    </w:pPr>
    <w:rPr>
      <w:rFonts w:ascii="Calibri" w:eastAsia="Calibri" w:hAnsi="Calibri" w:cs="Calibr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B5E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5EDC"/>
    <w:pPr>
      <w:spacing w:after="200" w:line="240" w:lineRule="auto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5EDC"/>
    <w:rPr>
      <w:rFonts w:ascii="Calibri" w:eastAsia="Calibri" w:hAnsi="Calibri" w:cs="Calibri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B584-A2C4-4423-9AB3-67BA1A96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7</cp:revision>
  <cp:lastPrinted>2025-08-21T14:43:00Z</cp:lastPrinted>
  <dcterms:created xsi:type="dcterms:W3CDTF">2025-08-21T14:25:00Z</dcterms:created>
  <dcterms:modified xsi:type="dcterms:W3CDTF">2025-08-21T21:19:00Z</dcterms:modified>
</cp:coreProperties>
</file>