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3540" w14:textId="77777777" w:rsidR="00535F81" w:rsidRPr="00432F0D" w:rsidRDefault="00535F81" w:rsidP="00535F81">
      <w:pPr>
        <w:rPr>
          <w:rFonts w:asciiTheme="majorHAnsi" w:eastAsia="Arial" w:hAnsiTheme="majorHAnsi" w:cs="Arial"/>
          <w:sz w:val="28"/>
          <w:szCs w:val="28"/>
        </w:rPr>
      </w:pPr>
    </w:p>
    <w:p w14:paraId="780988E0" w14:textId="3A79D71C" w:rsidR="00535F81" w:rsidRPr="00432F0D" w:rsidRDefault="00535F81" w:rsidP="00535F81">
      <w:pPr>
        <w:jc w:val="center"/>
        <w:rPr>
          <w:rFonts w:asciiTheme="majorHAnsi" w:hAnsiTheme="majorHAnsi" w:cs="Arial"/>
          <w:sz w:val="28"/>
          <w:szCs w:val="28"/>
        </w:rPr>
      </w:pPr>
      <w:r w:rsidRPr="00432F0D">
        <w:rPr>
          <w:rFonts w:asciiTheme="majorHAnsi" w:eastAsia="Arial" w:hAnsiTheme="majorHAnsi" w:cs="Arial"/>
          <w:b/>
          <w:sz w:val="28"/>
          <w:szCs w:val="28"/>
          <w:u w:val="single"/>
        </w:rPr>
        <w:t xml:space="preserve">INFORME DE PONENCIA PARA PRIMER DEBATE DEL </w:t>
      </w:r>
      <w:r w:rsidRPr="00432F0D">
        <w:rPr>
          <w:rFonts w:asciiTheme="majorHAnsi" w:eastAsia="Times New Roman" w:hAnsiTheme="majorHAnsi" w:cs="Arial"/>
          <w:b/>
          <w:sz w:val="28"/>
          <w:szCs w:val="28"/>
          <w:u w:val="single"/>
        </w:rPr>
        <w:t>PROYECTO DE LEY</w:t>
      </w:r>
      <w:r w:rsidR="00822D8D" w:rsidRPr="00432F0D">
        <w:rPr>
          <w:rFonts w:asciiTheme="majorHAnsi" w:eastAsia="Times New Roman" w:hAnsiTheme="majorHAnsi" w:cs="Arial"/>
          <w:b/>
          <w:sz w:val="28"/>
          <w:szCs w:val="28"/>
          <w:u w:val="single"/>
        </w:rPr>
        <w:t xml:space="preserve"> </w:t>
      </w:r>
      <w:r w:rsidR="006A71B9">
        <w:rPr>
          <w:rFonts w:asciiTheme="majorHAnsi" w:eastAsia="Times New Roman" w:hAnsiTheme="majorHAnsi" w:cs="Arial"/>
          <w:b/>
          <w:sz w:val="28"/>
          <w:szCs w:val="28"/>
          <w:u w:val="single"/>
        </w:rPr>
        <w:t xml:space="preserve">ESTATUTARIA </w:t>
      </w:r>
      <w:r w:rsidR="00822D8D" w:rsidRPr="00432F0D">
        <w:rPr>
          <w:rFonts w:asciiTheme="majorHAnsi" w:eastAsia="Times New Roman" w:hAnsiTheme="majorHAnsi" w:cs="Arial"/>
          <w:b/>
          <w:sz w:val="28"/>
          <w:szCs w:val="28"/>
          <w:u w:val="single"/>
        </w:rPr>
        <w:t>086 de 2025</w:t>
      </w:r>
      <w:r w:rsidRPr="00432F0D">
        <w:rPr>
          <w:rFonts w:asciiTheme="majorHAnsi" w:eastAsia="Times New Roman" w:hAnsiTheme="majorHAnsi" w:cs="Arial"/>
          <w:b/>
          <w:sz w:val="28"/>
          <w:szCs w:val="28"/>
          <w:u w:val="single"/>
        </w:rPr>
        <w:t xml:space="preserve"> CÁMARA “POR MEDIO DEL CUAL SE MODIFICA LA LEY 1475 DE 2011 EN RELACIÓN A LA DOBLE MILITANCIA Y SE DICTAN OTRAS DISPOSICIONES”</w:t>
      </w:r>
    </w:p>
    <w:p w14:paraId="20D4F529" w14:textId="77777777" w:rsidR="00535F81" w:rsidRPr="00432F0D" w:rsidRDefault="00535F81" w:rsidP="00535F81">
      <w:pPr>
        <w:widowControl w:val="0"/>
        <w:pBdr>
          <w:top w:val="nil"/>
          <w:left w:val="nil"/>
          <w:bottom w:val="nil"/>
          <w:right w:val="nil"/>
          <w:between w:val="nil"/>
        </w:pBdr>
        <w:spacing w:after="0"/>
        <w:rPr>
          <w:rFonts w:asciiTheme="majorHAnsi" w:hAnsiTheme="majorHAnsi" w:cs="Arial"/>
          <w:sz w:val="28"/>
          <w:szCs w:val="28"/>
        </w:rPr>
      </w:pPr>
    </w:p>
    <w:p w14:paraId="24CDDC12" w14:textId="77777777" w:rsidR="00432F0D" w:rsidRPr="00432F0D" w:rsidRDefault="00432F0D" w:rsidP="00535F81">
      <w:pPr>
        <w:jc w:val="both"/>
        <w:rPr>
          <w:rFonts w:asciiTheme="majorHAnsi" w:eastAsia="Times New Roman" w:hAnsiTheme="majorHAnsi" w:cs="Arial"/>
          <w:sz w:val="28"/>
          <w:szCs w:val="28"/>
        </w:rPr>
      </w:pPr>
    </w:p>
    <w:p w14:paraId="08805E88"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Bogotá., </w:t>
      </w:r>
      <w:r w:rsidR="00822D8D" w:rsidRPr="00432F0D">
        <w:rPr>
          <w:rFonts w:asciiTheme="majorHAnsi" w:eastAsia="Times New Roman" w:hAnsiTheme="majorHAnsi" w:cs="Arial"/>
          <w:sz w:val="28"/>
          <w:szCs w:val="28"/>
        </w:rPr>
        <w:t>2 de septiembre de 2025</w:t>
      </w:r>
      <w:r w:rsidRPr="00432F0D">
        <w:rPr>
          <w:rFonts w:asciiTheme="majorHAnsi" w:eastAsia="Times New Roman" w:hAnsiTheme="majorHAnsi" w:cs="Arial"/>
          <w:sz w:val="28"/>
          <w:szCs w:val="28"/>
        </w:rPr>
        <w:t>.</w:t>
      </w:r>
    </w:p>
    <w:p w14:paraId="3FB73F87" w14:textId="77777777" w:rsidR="00822D8D" w:rsidRPr="00432F0D" w:rsidRDefault="00822D8D" w:rsidP="00535F81">
      <w:pPr>
        <w:jc w:val="both"/>
        <w:rPr>
          <w:rFonts w:asciiTheme="majorHAnsi" w:eastAsia="Times New Roman" w:hAnsiTheme="majorHAnsi" w:cs="Arial"/>
          <w:sz w:val="28"/>
          <w:szCs w:val="28"/>
        </w:rPr>
      </w:pPr>
    </w:p>
    <w:p w14:paraId="740CF9C1" w14:textId="77777777" w:rsidR="00535F81" w:rsidRPr="00432F0D" w:rsidRDefault="00535F81" w:rsidP="00535F81">
      <w:pPr>
        <w:pStyle w:val="Sinespaciado"/>
        <w:rPr>
          <w:rFonts w:asciiTheme="majorHAnsi" w:hAnsiTheme="majorHAnsi" w:cs="Arial"/>
          <w:sz w:val="28"/>
          <w:szCs w:val="28"/>
        </w:rPr>
      </w:pPr>
      <w:r w:rsidRPr="00432F0D">
        <w:rPr>
          <w:rFonts w:asciiTheme="majorHAnsi" w:hAnsiTheme="majorHAnsi" w:cs="Arial"/>
          <w:sz w:val="28"/>
          <w:szCs w:val="28"/>
        </w:rPr>
        <w:t>Doctora:</w:t>
      </w:r>
    </w:p>
    <w:p w14:paraId="30D6478B" w14:textId="77777777" w:rsidR="00535F81" w:rsidRPr="00432F0D" w:rsidRDefault="00535F81" w:rsidP="00535F81">
      <w:pPr>
        <w:pStyle w:val="Sinespaciado"/>
        <w:rPr>
          <w:rFonts w:asciiTheme="majorHAnsi" w:hAnsiTheme="majorHAnsi" w:cs="Arial"/>
          <w:b/>
          <w:sz w:val="28"/>
          <w:szCs w:val="28"/>
        </w:rPr>
      </w:pPr>
      <w:r w:rsidRPr="00432F0D">
        <w:rPr>
          <w:rFonts w:asciiTheme="majorHAnsi" w:hAnsiTheme="majorHAnsi" w:cs="Arial"/>
          <w:b/>
          <w:sz w:val="28"/>
          <w:szCs w:val="28"/>
        </w:rPr>
        <w:t xml:space="preserve">AMPARO YANETH CALDERON PERDOMO </w:t>
      </w:r>
    </w:p>
    <w:p w14:paraId="27835EAA" w14:textId="77777777" w:rsidR="00535F81" w:rsidRPr="00432F0D" w:rsidRDefault="00535F81" w:rsidP="00535F81">
      <w:pPr>
        <w:pStyle w:val="Sinespaciado"/>
        <w:rPr>
          <w:rFonts w:asciiTheme="majorHAnsi" w:hAnsiTheme="majorHAnsi" w:cs="Arial"/>
          <w:sz w:val="28"/>
          <w:szCs w:val="28"/>
        </w:rPr>
      </w:pPr>
      <w:r w:rsidRPr="00432F0D">
        <w:rPr>
          <w:rFonts w:asciiTheme="majorHAnsi" w:hAnsiTheme="majorHAnsi" w:cs="Arial"/>
          <w:sz w:val="28"/>
          <w:szCs w:val="28"/>
        </w:rPr>
        <w:t xml:space="preserve">Secretaria </w:t>
      </w:r>
    </w:p>
    <w:p w14:paraId="75D357F3" w14:textId="77777777" w:rsidR="00535F81" w:rsidRPr="00432F0D" w:rsidRDefault="00535F81" w:rsidP="00535F81">
      <w:pPr>
        <w:pStyle w:val="Sinespaciado"/>
        <w:rPr>
          <w:rFonts w:asciiTheme="majorHAnsi" w:hAnsiTheme="majorHAnsi" w:cs="Arial"/>
          <w:sz w:val="28"/>
          <w:szCs w:val="28"/>
        </w:rPr>
      </w:pPr>
      <w:r w:rsidRPr="00432F0D">
        <w:rPr>
          <w:rFonts w:asciiTheme="majorHAnsi" w:hAnsiTheme="majorHAnsi" w:cs="Arial"/>
          <w:sz w:val="28"/>
          <w:szCs w:val="28"/>
        </w:rPr>
        <w:t>Cámara de Representantes</w:t>
      </w:r>
    </w:p>
    <w:p w14:paraId="47E20E52" w14:textId="77777777" w:rsidR="00535F81" w:rsidRPr="00432F0D" w:rsidRDefault="00535F81" w:rsidP="00535F81">
      <w:pPr>
        <w:pStyle w:val="Sinespaciado"/>
        <w:rPr>
          <w:rFonts w:asciiTheme="majorHAnsi" w:hAnsiTheme="majorHAnsi" w:cs="Arial"/>
          <w:sz w:val="28"/>
          <w:szCs w:val="28"/>
        </w:rPr>
      </w:pPr>
      <w:r w:rsidRPr="00432F0D">
        <w:rPr>
          <w:rFonts w:asciiTheme="majorHAnsi" w:hAnsiTheme="majorHAnsi" w:cs="Arial"/>
          <w:sz w:val="28"/>
          <w:szCs w:val="28"/>
        </w:rPr>
        <w:t>Ciudad.</w:t>
      </w:r>
    </w:p>
    <w:p w14:paraId="464C422B" w14:textId="77777777" w:rsidR="00535F81" w:rsidRPr="00432F0D" w:rsidRDefault="00535F81" w:rsidP="00535F81">
      <w:pPr>
        <w:pStyle w:val="Sinespaciado"/>
        <w:rPr>
          <w:rFonts w:asciiTheme="majorHAnsi" w:hAnsiTheme="majorHAnsi" w:cs="Arial"/>
          <w:sz w:val="28"/>
          <w:szCs w:val="28"/>
        </w:rPr>
      </w:pPr>
    </w:p>
    <w:p w14:paraId="7693586A" w14:textId="77777777" w:rsidR="00535F81" w:rsidRPr="00432F0D" w:rsidRDefault="00535F81" w:rsidP="00535F81">
      <w:pPr>
        <w:pStyle w:val="Sinespaciado"/>
        <w:rPr>
          <w:rFonts w:asciiTheme="majorHAnsi" w:hAnsiTheme="majorHAnsi" w:cs="Arial"/>
          <w:b/>
          <w:sz w:val="28"/>
          <w:szCs w:val="28"/>
        </w:rPr>
      </w:pPr>
    </w:p>
    <w:p w14:paraId="0DB3D0D3" w14:textId="2C009C63" w:rsidR="00535F81" w:rsidRPr="00432F0D" w:rsidRDefault="00535F81" w:rsidP="00535F81">
      <w:pPr>
        <w:pStyle w:val="Sinespaciado"/>
        <w:jc w:val="right"/>
        <w:rPr>
          <w:rFonts w:asciiTheme="majorHAnsi" w:eastAsia="Arial" w:hAnsiTheme="majorHAnsi" w:cs="Arial"/>
          <w:b/>
          <w:i/>
          <w:sz w:val="28"/>
          <w:szCs w:val="28"/>
        </w:rPr>
      </w:pPr>
      <w:r w:rsidRPr="00432F0D">
        <w:rPr>
          <w:rFonts w:asciiTheme="majorHAnsi" w:hAnsiTheme="majorHAnsi" w:cs="Arial"/>
          <w:b/>
          <w:sz w:val="28"/>
          <w:szCs w:val="28"/>
        </w:rPr>
        <w:t xml:space="preserve">Asunto. </w:t>
      </w:r>
      <w:r w:rsidRPr="00432F0D">
        <w:rPr>
          <w:rFonts w:asciiTheme="majorHAnsi" w:hAnsiTheme="majorHAnsi" w:cs="Arial"/>
          <w:sz w:val="28"/>
          <w:szCs w:val="28"/>
        </w:rPr>
        <w:t>Informe de ponencia para primer debate del proyecto</w:t>
      </w:r>
      <w:r w:rsidRPr="00432F0D">
        <w:rPr>
          <w:rFonts w:asciiTheme="majorHAnsi" w:eastAsia="Times New Roman" w:hAnsiTheme="majorHAnsi" w:cs="Arial"/>
          <w:sz w:val="28"/>
          <w:szCs w:val="28"/>
        </w:rPr>
        <w:t xml:space="preserve"> de ley </w:t>
      </w:r>
      <w:r w:rsidR="006A71B9">
        <w:rPr>
          <w:rFonts w:asciiTheme="majorHAnsi" w:eastAsia="Times New Roman" w:hAnsiTheme="majorHAnsi" w:cs="Arial"/>
          <w:sz w:val="28"/>
          <w:szCs w:val="28"/>
        </w:rPr>
        <w:t xml:space="preserve">Estatutaria </w:t>
      </w:r>
      <w:r w:rsidRPr="00432F0D">
        <w:rPr>
          <w:rFonts w:asciiTheme="majorHAnsi" w:eastAsia="Times New Roman" w:hAnsiTheme="majorHAnsi" w:cs="Arial"/>
          <w:sz w:val="28"/>
          <w:szCs w:val="28"/>
        </w:rPr>
        <w:t>No.</w:t>
      </w:r>
      <w:r w:rsidR="00822D8D" w:rsidRPr="00432F0D">
        <w:rPr>
          <w:rFonts w:asciiTheme="majorHAnsi" w:eastAsia="Times New Roman" w:hAnsiTheme="majorHAnsi" w:cs="Arial"/>
          <w:sz w:val="28"/>
          <w:szCs w:val="28"/>
        </w:rPr>
        <w:t>086</w:t>
      </w:r>
      <w:r w:rsidR="006A71B9">
        <w:rPr>
          <w:rFonts w:asciiTheme="majorHAnsi" w:eastAsia="Times New Roman" w:hAnsiTheme="majorHAnsi" w:cs="Arial"/>
          <w:sz w:val="28"/>
          <w:szCs w:val="28"/>
        </w:rPr>
        <w:t xml:space="preserve"> de 2025 </w:t>
      </w:r>
      <w:r w:rsidRPr="00432F0D">
        <w:rPr>
          <w:rFonts w:asciiTheme="majorHAnsi" w:eastAsia="Times New Roman" w:hAnsiTheme="majorHAnsi" w:cs="Arial"/>
          <w:sz w:val="28"/>
          <w:szCs w:val="28"/>
        </w:rPr>
        <w:t>Cámara “</w:t>
      </w:r>
      <w:r w:rsidRPr="00432F0D">
        <w:rPr>
          <w:rFonts w:asciiTheme="majorHAnsi" w:eastAsia="Times New Roman" w:hAnsiTheme="majorHAnsi" w:cs="Arial"/>
          <w:b/>
          <w:sz w:val="28"/>
          <w:szCs w:val="28"/>
        </w:rPr>
        <w:t>Por medio del cual se modifica la ley 1475 de 2011 en relación a la doble militancia y se dictan otras disposiciones”</w:t>
      </w:r>
    </w:p>
    <w:p w14:paraId="465EDAEF" w14:textId="77777777" w:rsidR="00432F0D" w:rsidRPr="00432F0D" w:rsidRDefault="00432F0D" w:rsidP="00535F81">
      <w:pPr>
        <w:rPr>
          <w:rFonts w:asciiTheme="majorHAnsi" w:eastAsia="Arial" w:hAnsiTheme="majorHAnsi" w:cs="Arial"/>
          <w:b/>
          <w:sz w:val="28"/>
          <w:szCs w:val="28"/>
        </w:rPr>
      </w:pPr>
    </w:p>
    <w:p w14:paraId="4001EA13" w14:textId="77777777" w:rsidR="00535F81" w:rsidRPr="00432F0D" w:rsidRDefault="00535F81" w:rsidP="00535F81">
      <w:pPr>
        <w:rPr>
          <w:rFonts w:asciiTheme="majorHAnsi" w:eastAsia="Arial" w:hAnsiTheme="majorHAnsi" w:cs="Arial"/>
          <w:b/>
          <w:sz w:val="28"/>
          <w:szCs w:val="28"/>
        </w:rPr>
      </w:pPr>
      <w:r w:rsidRPr="00432F0D">
        <w:rPr>
          <w:rFonts w:asciiTheme="majorHAnsi" w:eastAsia="Arial" w:hAnsiTheme="majorHAnsi" w:cs="Arial"/>
          <w:b/>
          <w:sz w:val="28"/>
          <w:szCs w:val="28"/>
        </w:rPr>
        <w:t>Secretaria:</w:t>
      </w:r>
    </w:p>
    <w:p w14:paraId="247DC048" w14:textId="33139D73" w:rsidR="00535F81" w:rsidRPr="00432F0D" w:rsidRDefault="00535F81" w:rsidP="00535F81">
      <w:pPr>
        <w:jc w:val="both"/>
        <w:rPr>
          <w:rFonts w:asciiTheme="majorHAnsi" w:eastAsia="Arial" w:hAnsiTheme="majorHAnsi" w:cs="Arial"/>
          <w:b/>
          <w:i/>
          <w:sz w:val="28"/>
          <w:szCs w:val="28"/>
        </w:rPr>
      </w:pPr>
      <w:r w:rsidRPr="00432F0D">
        <w:rPr>
          <w:rFonts w:asciiTheme="majorHAnsi" w:eastAsia="Arial" w:hAnsiTheme="majorHAnsi" w:cs="Arial"/>
          <w:sz w:val="28"/>
          <w:szCs w:val="28"/>
        </w:rPr>
        <w:t xml:space="preserve">De conformidad con el encargo conferido por la Honorable Mesa Directiva de la Comisión Primera Constitucional de la Cámara de Representantes del Congreso de la República y en consonancia con lo prescrito en el artículo 156 de la Ley 5ª de 1992, nos permitimos presentar </w:t>
      </w:r>
      <w:r w:rsidRPr="00432F0D">
        <w:rPr>
          <w:rFonts w:asciiTheme="majorHAnsi" w:hAnsiTheme="majorHAnsi" w:cs="Arial"/>
          <w:sz w:val="28"/>
          <w:szCs w:val="28"/>
        </w:rPr>
        <w:t>Informe de ponencia para primer debate del proyecto</w:t>
      </w:r>
      <w:r w:rsidRPr="00432F0D">
        <w:rPr>
          <w:rFonts w:asciiTheme="majorHAnsi" w:eastAsia="Times New Roman" w:hAnsiTheme="majorHAnsi" w:cs="Arial"/>
          <w:sz w:val="28"/>
          <w:szCs w:val="28"/>
        </w:rPr>
        <w:t xml:space="preserve"> de ley </w:t>
      </w:r>
      <w:r w:rsidR="006A71B9">
        <w:rPr>
          <w:rFonts w:asciiTheme="majorHAnsi" w:eastAsia="Times New Roman" w:hAnsiTheme="majorHAnsi" w:cs="Arial"/>
          <w:sz w:val="28"/>
          <w:szCs w:val="28"/>
        </w:rPr>
        <w:t>estatutaria</w:t>
      </w:r>
      <w:r w:rsidR="00822D8D" w:rsidRPr="00432F0D">
        <w:rPr>
          <w:rFonts w:asciiTheme="majorHAnsi" w:eastAsia="Times New Roman" w:hAnsiTheme="majorHAnsi" w:cs="Arial"/>
          <w:sz w:val="28"/>
          <w:szCs w:val="28"/>
        </w:rPr>
        <w:t xml:space="preserve"> No 086 de 2025</w:t>
      </w:r>
      <w:r w:rsidRPr="00432F0D">
        <w:rPr>
          <w:rFonts w:asciiTheme="majorHAnsi" w:eastAsia="Times New Roman" w:hAnsiTheme="majorHAnsi" w:cs="Arial"/>
          <w:sz w:val="28"/>
          <w:szCs w:val="28"/>
        </w:rPr>
        <w:t xml:space="preserve"> Cámara </w:t>
      </w:r>
      <w:r w:rsidRPr="00432F0D">
        <w:rPr>
          <w:rFonts w:asciiTheme="majorHAnsi" w:eastAsia="Times New Roman" w:hAnsiTheme="majorHAnsi" w:cs="Arial"/>
          <w:b/>
          <w:sz w:val="28"/>
          <w:szCs w:val="28"/>
        </w:rPr>
        <w:t>“</w:t>
      </w:r>
      <w:r w:rsidRPr="00432F0D">
        <w:rPr>
          <w:rFonts w:asciiTheme="majorHAnsi" w:eastAsia="Times New Roman" w:hAnsiTheme="majorHAnsi" w:cs="Arial"/>
          <w:b/>
          <w:i/>
          <w:sz w:val="28"/>
          <w:szCs w:val="28"/>
        </w:rPr>
        <w:t>Por medio del cual se modifica la ley 1475 de 2011 en relación a la doble militancia y se dictan otras disposiciones</w:t>
      </w:r>
      <w:r w:rsidRPr="00432F0D">
        <w:rPr>
          <w:rFonts w:asciiTheme="majorHAnsi" w:eastAsia="Times New Roman" w:hAnsiTheme="majorHAnsi" w:cs="Arial"/>
          <w:b/>
          <w:sz w:val="28"/>
          <w:szCs w:val="28"/>
        </w:rPr>
        <w:t>”</w:t>
      </w:r>
      <w:r w:rsidRPr="00432F0D">
        <w:rPr>
          <w:rFonts w:asciiTheme="majorHAnsi" w:eastAsia="Arial" w:hAnsiTheme="majorHAnsi" w:cs="Arial"/>
          <w:b/>
          <w:i/>
          <w:sz w:val="28"/>
          <w:szCs w:val="28"/>
        </w:rPr>
        <w:t xml:space="preserve">, </w:t>
      </w:r>
      <w:r w:rsidRPr="00432F0D">
        <w:rPr>
          <w:rFonts w:asciiTheme="majorHAnsi" w:eastAsia="Arial" w:hAnsiTheme="majorHAnsi" w:cs="Arial"/>
          <w:sz w:val="28"/>
          <w:szCs w:val="28"/>
        </w:rPr>
        <w:t xml:space="preserve">con base en las siguientes consideraciones: </w:t>
      </w:r>
    </w:p>
    <w:p w14:paraId="07465AC8" w14:textId="77777777" w:rsidR="00535F81" w:rsidRPr="00432F0D" w:rsidRDefault="00535F81" w:rsidP="00535F81">
      <w:pPr>
        <w:pStyle w:val="Sinespaciado"/>
        <w:rPr>
          <w:rFonts w:asciiTheme="majorHAnsi" w:hAnsiTheme="majorHAnsi" w:cs="Arial"/>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654"/>
      </w:tblGrid>
      <w:tr w:rsidR="00535F81" w:rsidRPr="00432F0D" w14:paraId="422EDEA4" w14:textId="77777777" w:rsidTr="00822D8D">
        <w:tc>
          <w:tcPr>
            <w:tcW w:w="1985" w:type="dxa"/>
          </w:tcPr>
          <w:p w14:paraId="31156F38" w14:textId="77777777" w:rsidR="00535F81" w:rsidRPr="00432F0D" w:rsidRDefault="00535F81" w:rsidP="00822D8D">
            <w:pPr>
              <w:spacing w:after="3" w:line="248" w:lineRule="auto"/>
              <w:ind w:left="10" w:right="3" w:firstLine="10"/>
              <w:jc w:val="both"/>
              <w:rPr>
                <w:rFonts w:asciiTheme="majorHAnsi" w:eastAsia="Arial" w:hAnsiTheme="majorHAnsi" w:cs="Arial"/>
                <w:b/>
                <w:sz w:val="28"/>
                <w:szCs w:val="28"/>
              </w:rPr>
            </w:pPr>
            <w:r w:rsidRPr="00432F0D">
              <w:rPr>
                <w:rFonts w:asciiTheme="majorHAnsi" w:eastAsia="Arial" w:hAnsiTheme="majorHAnsi" w:cs="Arial"/>
                <w:b/>
                <w:sz w:val="28"/>
                <w:szCs w:val="28"/>
              </w:rPr>
              <w:t>Número de Proyecto de Ley</w:t>
            </w:r>
          </w:p>
        </w:tc>
        <w:tc>
          <w:tcPr>
            <w:tcW w:w="7654" w:type="dxa"/>
            <w:vAlign w:val="center"/>
          </w:tcPr>
          <w:p w14:paraId="1E58728A" w14:textId="77777777" w:rsidR="00535F81" w:rsidRPr="00432F0D" w:rsidRDefault="00822D8D" w:rsidP="00822D8D">
            <w:pPr>
              <w:jc w:val="center"/>
              <w:rPr>
                <w:rFonts w:asciiTheme="majorHAnsi" w:eastAsia="Arial" w:hAnsiTheme="majorHAnsi" w:cs="Arial"/>
                <w:b/>
                <w:sz w:val="28"/>
                <w:szCs w:val="28"/>
              </w:rPr>
            </w:pPr>
            <w:r w:rsidRPr="00432F0D">
              <w:rPr>
                <w:rFonts w:asciiTheme="majorHAnsi" w:eastAsia="Arial" w:hAnsiTheme="majorHAnsi" w:cs="Arial"/>
                <w:b/>
                <w:sz w:val="28"/>
                <w:szCs w:val="28"/>
              </w:rPr>
              <w:t>086 de 2025</w:t>
            </w:r>
            <w:r w:rsidR="00535F81" w:rsidRPr="00432F0D">
              <w:rPr>
                <w:rFonts w:asciiTheme="majorHAnsi" w:eastAsia="Arial" w:hAnsiTheme="majorHAnsi" w:cs="Arial"/>
                <w:b/>
                <w:sz w:val="28"/>
                <w:szCs w:val="28"/>
              </w:rPr>
              <w:t xml:space="preserve"> Cámara</w:t>
            </w:r>
          </w:p>
        </w:tc>
      </w:tr>
      <w:tr w:rsidR="00535F81" w:rsidRPr="00432F0D" w14:paraId="1774A927" w14:textId="77777777" w:rsidTr="00822D8D">
        <w:tc>
          <w:tcPr>
            <w:tcW w:w="1985" w:type="dxa"/>
          </w:tcPr>
          <w:p w14:paraId="1B20107F" w14:textId="77777777" w:rsidR="00535F81" w:rsidRPr="00432F0D" w:rsidRDefault="00535F81" w:rsidP="00822D8D">
            <w:pPr>
              <w:spacing w:after="3" w:line="248" w:lineRule="auto"/>
              <w:ind w:left="10" w:right="3" w:firstLine="10"/>
              <w:jc w:val="both"/>
              <w:rPr>
                <w:rFonts w:asciiTheme="majorHAnsi" w:eastAsia="Arial" w:hAnsiTheme="majorHAnsi" w:cs="Arial"/>
                <w:b/>
                <w:sz w:val="28"/>
                <w:szCs w:val="28"/>
              </w:rPr>
            </w:pPr>
            <w:r w:rsidRPr="00432F0D">
              <w:rPr>
                <w:rFonts w:asciiTheme="majorHAnsi" w:eastAsia="Arial" w:hAnsiTheme="majorHAnsi" w:cs="Arial"/>
                <w:b/>
                <w:sz w:val="28"/>
                <w:szCs w:val="28"/>
              </w:rPr>
              <w:lastRenderedPageBreak/>
              <w:t>Título</w:t>
            </w:r>
          </w:p>
        </w:tc>
        <w:tc>
          <w:tcPr>
            <w:tcW w:w="7654" w:type="dxa"/>
          </w:tcPr>
          <w:p w14:paraId="3825A696" w14:textId="77777777" w:rsidR="00535F81" w:rsidRPr="00432F0D" w:rsidRDefault="00535F81" w:rsidP="00822D8D">
            <w:pPr>
              <w:spacing w:after="3" w:line="248" w:lineRule="auto"/>
              <w:ind w:right="3"/>
              <w:jc w:val="both"/>
              <w:rPr>
                <w:rFonts w:asciiTheme="majorHAnsi" w:eastAsia="Arial" w:hAnsiTheme="majorHAnsi" w:cs="Arial"/>
                <w:sz w:val="28"/>
                <w:szCs w:val="28"/>
              </w:rPr>
            </w:pPr>
            <w:r w:rsidRPr="00432F0D">
              <w:rPr>
                <w:rFonts w:asciiTheme="majorHAnsi" w:eastAsia="Times New Roman" w:hAnsiTheme="majorHAnsi" w:cs="Arial"/>
                <w:b/>
                <w:sz w:val="28"/>
                <w:szCs w:val="28"/>
              </w:rPr>
              <w:t>“Por medio del cual se modifica la ley 1475 de 2011 en relación a la doble militancia y se dictan otras disposiciones”</w:t>
            </w:r>
          </w:p>
        </w:tc>
      </w:tr>
      <w:tr w:rsidR="00535F81" w:rsidRPr="00432F0D" w14:paraId="7C2997AB" w14:textId="77777777" w:rsidTr="00822D8D">
        <w:tc>
          <w:tcPr>
            <w:tcW w:w="1985" w:type="dxa"/>
          </w:tcPr>
          <w:p w14:paraId="7189FCC8" w14:textId="77777777" w:rsidR="00535F81" w:rsidRPr="00432F0D" w:rsidRDefault="00535F81" w:rsidP="00822D8D">
            <w:pPr>
              <w:spacing w:after="3" w:line="248" w:lineRule="auto"/>
              <w:ind w:left="10" w:right="3" w:firstLine="10"/>
              <w:jc w:val="both"/>
              <w:rPr>
                <w:rFonts w:asciiTheme="majorHAnsi" w:eastAsia="Arial" w:hAnsiTheme="majorHAnsi" w:cs="Arial"/>
                <w:b/>
                <w:sz w:val="28"/>
                <w:szCs w:val="28"/>
              </w:rPr>
            </w:pPr>
          </w:p>
          <w:p w14:paraId="55B366A9" w14:textId="77777777" w:rsidR="00535F81" w:rsidRPr="00432F0D" w:rsidRDefault="00535F81" w:rsidP="00822D8D">
            <w:pPr>
              <w:spacing w:after="3" w:line="248" w:lineRule="auto"/>
              <w:ind w:left="10" w:right="3" w:firstLine="10"/>
              <w:jc w:val="both"/>
              <w:rPr>
                <w:rFonts w:asciiTheme="majorHAnsi" w:eastAsia="Arial" w:hAnsiTheme="majorHAnsi" w:cs="Arial"/>
                <w:b/>
                <w:sz w:val="28"/>
                <w:szCs w:val="28"/>
              </w:rPr>
            </w:pPr>
            <w:r w:rsidRPr="00432F0D">
              <w:rPr>
                <w:rFonts w:asciiTheme="majorHAnsi" w:eastAsia="Arial" w:hAnsiTheme="majorHAnsi" w:cs="Arial"/>
                <w:b/>
                <w:sz w:val="28"/>
                <w:szCs w:val="28"/>
              </w:rPr>
              <w:t>Autores</w:t>
            </w:r>
          </w:p>
        </w:tc>
        <w:tc>
          <w:tcPr>
            <w:tcW w:w="7654" w:type="dxa"/>
          </w:tcPr>
          <w:p w14:paraId="5E7651B6" w14:textId="30A12559" w:rsidR="00535F81" w:rsidRPr="00432F0D" w:rsidRDefault="00822D8D" w:rsidP="00822D8D">
            <w:pPr>
              <w:spacing w:after="3" w:line="248" w:lineRule="auto"/>
              <w:ind w:left="10" w:right="3" w:firstLine="10"/>
              <w:jc w:val="both"/>
              <w:rPr>
                <w:rFonts w:asciiTheme="majorHAnsi" w:eastAsia="Arial" w:hAnsiTheme="majorHAnsi" w:cs="Arial"/>
                <w:sz w:val="28"/>
                <w:szCs w:val="28"/>
              </w:rPr>
            </w:pPr>
            <w:r w:rsidRPr="00432F0D">
              <w:rPr>
                <w:rFonts w:asciiTheme="majorHAnsi" w:eastAsia="Arial" w:hAnsiTheme="majorHAnsi" w:cs="Arial"/>
                <w:sz w:val="28"/>
                <w:szCs w:val="28"/>
              </w:rPr>
              <w:t>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Oscar Hernán Sánchez León,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Carlos Felipe Quintero Ovalle,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 xml:space="preserve">Álvaro Leonel Rueda </w:t>
            </w:r>
            <w:r w:rsidR="0071419D">
              <w:rPr>
                <w:rFonts w:asciiTheme="majorHAnsi" w:eastAsia="Arial" w:hAnsiTheme="majorHAnsi" w:cs="Arial"/>
                <w:sz w:val="28"/>
                <w:szCs w:val="28"/>
              </w:rPr>
              <w:t>C</w:t>
            </w:r>
            <w:r w:rsidRPr="00432F0D">
              <w:rPr>
                <w:rFonts w:asciiTheme="majorHAnsi" w:eastAsia="Arial" w:hAnsiTheme="majorHAnsi" w:cs="Arial"/>
                <w:sz w:val="28"/>
                <w:szCs w:val="28"/>
              </w:rPr>
              <w:t>aballero,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 xml:space="preserve">Juan Daniel Peñuela </w:t>
            </w:r>
            <w:proofErr w:type="spellStart"/>
            <w:r w:rsidRPr="00432F0D">
              <w:rPr>
                <w:rFonts w:asciiTheme="majorHAnsi" w:eastAsia="Arial" w:hAnsiTheme="majorHAnsi" w:cs="Arial"/>
                <w:sz w:val="28"/>
                <w:szCs w:val="28"/>
              </w:rPr>
              <w:t>Calvache</w:t>
            </w:r>
            <w:proofErr w:type="spellEnd"/>
            <w:r w:rsidRPr="00432F0D">
              <w:rPr>
                <w:rFonts w:asciiTheme="majorHAnsi" w:eastAsia="Arial" w:hAnsiTheme="majorHAnsi" w:cs="Arial"/>
                <w:sz w:val="28"/>
                <w:szCs w:val="28"/>
              </w:rPr>
              <w:t>,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James Hermenegildo Mosquera Torres ,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Jorge Eliécer Tamayo Marulanda , H.R.</w:t>
            </w:r>
            <w:r w:rsidR="0071419D">
              <w:rPr>
                <w:rFonts w:asciiTheme="majorHAnsi" w:eastAsia="Arial" w:hAnsiTheme="majorHAnsi" w:cs="Arial"/>
                <w:sz w:val="28"/>
                <w:szCs w:val="28"/>
              </w:rPr>
              <w:t xml:space="preserve"> </w:t>
            </w:r>
            <w:proofErr w:type="spellStart"/>
            <w:r w:rsidRPr="00432F0D">
              <w:rPr>
                <w:rFonts w:asciiTheme="majorHAnsi" w:eastAsia="Arial" w:hAnsiTheme="majorHAnsi" w:cs="Arial"/>
                <w:sz w:val="28"/>
                <w:szCs w:val="28"/>
              </w:rPr>
              <w:t>Karyme</w:t>
            </w:r>
            <w:proofErr w:type="spellEnd"/>
            <w:r w:rsidRPr="00432F0D">
              <w:rPr>
                <w:rFonts w:asciiTheme="majorHAnsi" w:eastAsia="Arial" w:hAnsiTheme="majorHAnsi" w:cs="Arial"/>
                <w:sz w:val="28"/>
                <w:szCs w:val="28"/>
              </w:rPr>
              <w:t xml:space="preserve"> </w:t>
            </w:r>
            <w:proofErr w:type="spellStart"/>
            <w:r w:rsidRPr="00432F0D">
              <w:rPr>
                <w:rFonts w:asciiTheme="majorHAnsi" w:eastAsia="Arial" w:hAnsiTheme="majorHAnsi" w:cs="Arial"/>
                <w:sz w:val="28"/>
                <w:szCs w:val="28"/>
              </w:rPr>
              <w:t>Adrana</w:t>
            </w:r>
            <w:proofErr w:type="spellEnd"/>
            <w:r w:rsidRPr="00432F0D">
              <w:rPr>
                <w:rFonts w:asciiTheme="majorHAnsi" w:eastAsia="Arial" w:hAnsiTheme="majorHAnsi" w:cs="Arial"/>
                <w:sz w:val="28"/>
                <w:szCs w:val="28"/>
              </w:rPr>
              <w:t xml:space="preserve"> Cotes Martínez ,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 xml:space="preserve">Juan Carlos </w:t>
            </w:r>
            <w:proofErr w:type="spellStart"/>
            <w:r w:rsidRPr="00432F0D">
              <w:rPr>
                <w:rFonts w:asciiTheme="majorHAnsi" w:eastAsia="Arial" w:hAnsiTheme="majorHAnsi" w:cs="Arial"/>
                <w:sz w:val="28"/>
                <w:szCs w:val="28"/>
              </w:rPr>
              <w:t>Wills</w:t>
            </w:r>
            <w:proofErr w:type="spellEnd"/>
            <w:r w:rsidRPr="00432F0D">
              <w:rPr>
                <w:rFonts w:asciiTheme="majorHAnsi" w:eastAsia="Arial" w:hAnsiTheme="majorHAnsi" w:cs="Arial"/>
                <w:sz w:val="28"/>
                <w:szCs w:val="28"/>
              </w:rPr>
              <w:t xml:space="preserve"> Ospina ,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Juan Manuel Cortés Dueñas , H.R.</w:t>
            </w:r>
            <w:r w:rsidR="0071419D">
              <w:rPr>
                <w:rFonts w:asciiTheme="majorHAnsi" w:eastAsia="Arial" w:hAnsiTheme="majorHAnsi" w:cs="Arial"/>
                <w:sz w:val="28"/>
                <w:szCs w:val="28"/>
              </w:rPr>
              <w:t xml:space="preserve"> </w:t>
            </w:r>
            <w:r w:rsidRPr="00432F0D">
              <w:rPr>
                <w:rFonts w:asciiTheme="majorHAnsi" w:eastAsia="Arial" w:hAnsiTheme="majorHAnsi" w:cs="Arial"/>
                <w:sz w:val="28"/>
                <w:szCs w:val="28"/>
              </w:rPr>
              <w:t>Mónica Karina Bocanegra Pantoja</w:t>
            </w:r>
          </w:p>
        </w:tc>
      </w:tr>
      <w:tr w:rsidR="00535F81" w:rsidRPr="00432F0D" w14:paraId="3AAF1141" w14:textId="77777777" w:rsidTr="00822D8D">
        <w:tc>
          <w:tcPr>
            <w:tcW w:w="1985" w:type="dxa"/>
          </w:tcPr>
          <w:p w14:paraId="62AC722E" w14:textId="77777777" w:rsidR="00535F81" w:rsidRPr="00432F0D" w:rsidRDefault="00535F81" w:rsidP="00822D8D">
            <w:pPr>
              <w:spacing w:after="3" w:line="248" w:lineRule="auto"/>
              <w:ind w:right="3"/>
              <w:jc w:val="both"/>
              <w:rPr>
                <w:rFonts w:asciiTheme="majorHAnsi" w:eastAsia="Arial" w:hAnsiTheme="majorHAnsi" w:cs="Arial"/>
                <w:b/>
                <w:sz w:val="28"/>
                <w:szCs w:val="28"/>
              </w:rPr>
            </w:pPr>
            <w:r w:rsidRPr="00432F0D">
              <w:rPr>
                <w:rFonts w:asciiTheme="majorHAnsi" w:eastAsia="Arial" w:hAnsiTheme="majorHAnsi" w:cs="Arial"/>
                <w:b/>
                <w:sz w:val="28"/>
                <w:szCs w:val="28"/>
              </w:rPr>
              <w:t>Ponentes</w:t>
            </w:r>
          </w:p>
        </w:tc>
        <w:tc>
          <w:tcPr>
            <w:tcW w:w="7654" w:type="dxa"/>
          </w:tcPr>
          <w:p w14:paraId="0CA540AE" w14:textId="77777777" w:rsidR="00535F81" w:rsidRPr="00432F0D" w:rsidRDefault="00535F81" w:rsidP="00822D8D">
            <w:pPr>
              <w:spacing w:after="3" w:line="248" w:lineRule="auto"/>
              <w:ind w:left="10" w:right="3" w:firstLine="10"/>
              <w:jc w:val="both"/>
              <w:rPr>
                <w:rFonts w:asciiTheme="majorHAnsi" w:eastAsia="Arial" w:hAnsiTheme="majorHAnsi" w:cs="Arial"/>
                <w:sz w:val="28"/>
                <w:szCs w:val="28"/>
              </w:rPr>
            </w:pPr>
            <w:r w:rsidRPr="00432F0D">
              <w:rPr>
                <w:rFonts w:asciiTheme="majorHAnsi" w:eastAsia="Arial" w:hAnsiTheme="majorHAnsi" w:cs="Arial"/>
                <w:sz w:val="28"/>
                <w:szCs w:val="28"/>
                <w:u w:val="single"/>
              </w:rPr>
              <w:t>H.R. Oscar Hernán Sánchez León</w:t>
            </w:r>
            <w:r w:rsidRPr="00432F0D">
              <w:rPr>
                <w:rFonts w:asciiTheme="majorHAnsi" w:eastAsia="Arial" w:hAnsiTheme="majorHAnsi" w:cs="Arial"/>
                <w:sz w:val="28"/>
                <w:szCs w:val="28"/>
              </w:rPr>
              <w:t xml:space="preserve">, </w:t>
            </w:r>
          </w:p>
        </w:tc>
      </w:tr>
      <w:tr w:rsidR="00535F81" w:rsidRPr="00432F0D" w14:paraId="4CEA09A1" w14:textId="77777777" w:rsidTr="00822D8D">
        <w:trPr>
          <w:trHeight w:val="190"/>
        </w:trPr>
        <w:tc>
          <w:tcPr>
            <w:tcW w:w="1985" w:type="dxa"/>
          </w:tcPr>
          <w:p w14:paraId="6935AD5F" w14:textId="77777777" w:rsidR="00535F81" w:rsidRPr="00432F0D" w:rsidRDefault="00535F81" w:rsidP="00822D8D">
            <w:pPr>
              <w:spacing w:after="3" w:line="248" w:lineRule="auto"/>
              <w:ind w:left="10" w:right="3" w:firstLine="10"/>
              <w:jc w:val="both"/>
              <w:rPr>
                <w:rFonts w:asciiTheme="majorHAnsi" w:eastAsia="Arial" w:hAnsiTheme="majorHAnsi" w:cs="Arial"/>
                <w:b/>
                <w:sz w:val="28"/>
                <w:szCs w:val="28"/>
              </w:rPr>
            </w:pPr>
            <w:r w:rsidRPr="00432F0D">
              <w:rPr>
                <w:rFonts w:asciiTheme="majorHAnsi" w:eastAsia="Arial" w:hAnsiTheme="majorHAnsi" w:cs="Arial"/>
                <w:b/>
                <w:sz w:val="28"/>
                <w:szCs w:val="28"/>
              </w:rPr>
              <w:t>Ponencia</w:t>
            </w:r>
          </w:p>
        </w:tc>
        <w:tc>
          <w:tcPr>
            <w:tcW w:w="7654" w:type="dxa"/>
          </w:tcPr>
          <w:p w14:paraId="4B490FA5" w14:textId="77777777" w:rsidR="00535F81" w:rsidRPr="00432F0D" w:rsidRDefault="00535F81" w:rsidP="00D96236">
            <w:pPr>
              <w:spacing w:after="3" w:line="248" w:lineRule="auto"/>
              <w:ind w:left="10" w:right="3" w:firstLine="10"/>
              <w:jc w:val="both"/>
              <w:rPr>
                <w:rFonts w:asciiTheme="majorHAnsi" w:eastAsia="Arial" w:hAnsiTheme="majorHAnsi" w:cs="Arial"/>
                <w:sz w:val="28"/>
                <w:szCs w:val="28"/>
              </w:rPr>
            </w:pPr>
            <w:r w:rsidRPr="00432F0D">
              <w:rPr>
                <w:rFonts w:asciiTheme="majorHAnsi" w:eastAsia="Arial" w:hAnsiTheme="majorHAnsi" w:cs="Arial"/>
                <w:sz w:val="28"/>
                <w:szCs w:val="28"/>
              </w:rPr>
              <w:t xml:space="preserve">Positiva </w:t>
            </w:r>
          </w:p>
        </w:tc>
      </w:tr>
    </w:tbl>
    <w:p w14:paraId="4980336A"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w:t>
      </w:r>
    </w:p>
    <w:p w14:paraId="56413FC0" w14:textId="77777777" w:rsidR="00535F81" w:rsidRPr="00432F0D" w:rsidRDefault="00535F81" w:rsidP="00535F81">
      <w:pPr>
        <w:jc w:val="both"/>
        <w:rPr>
          <w:rFonts w:asciiTheme="majorHAnsi" w:eastAsia="Times New Roman" w:hAnsiTheme="majorHAnsi" w:cs="Arial"/>
          <w:sz w:val="28"/>
          <w:szCs w:val="28"/>
        </w:rPr>
      </w:pPr>
    </w:p>
    <w:p w14:paraId="20378537" w14:textId="77777777" w:rsidR="00535F81" w:rsidRPr="00432F0D" w:rsidRDefault="00535F81" w:rsidP="00535F81">
      <w:pPr>
        <w:jc w:val="both"/>
        <w:rPr>
          <w:rFonts w:asciiTheme="majorHAnsi" w:eastAsia="Times New Roman" w:hAnsiTheme="majorHAnsi" w:cs="Arial"/>
          <w:sz w:val="28"/>
          <w:szCs w:val="28"/>
        </w:rPr>
      </w:pPr>
    </w:p>
    <w:p w14:paraId="0CFE4801" w14:textId="77777777" w:rsidR="00822D8D" w:rsidRPr="00432F0D" w:rsidRDefault="00822D8D" w:rsidP="00822D8D">
      <w:pPr>
        <w:pStyle w:val="Sinespaciado"/>
        <w:jc w:val="both"/>
        <w:rPr>
          <w:rFonts w:asciiTheme="majorHAnsi" w:eastAsia="Arial" w:hAnsiTheme="majorHAnsi" w:cs="Calibri Light"/>
          <w:sz w:val="28"/>
          <w:szCs w:val="28"/>
        </w:rPr>
      </w:pPr>
      <w:r w:rsidRPr="00432F0D">
        <w:rPr>
          <w:rFonts w:asciiTheme="majorHAnsi" w:eastAsia="Arial" w:hAnsiTheme="majorHAnsi" w:cs="Calibri Light"/>
          <w:sz w:val="28"/>
          <w:szCs w:val="28"/>
        </w:rPr>
        <w:t>Atentamente;</w:t>
      </w:r>
    </w:p>
    <w:p w14:paraId="121D0A9C" w14:textId="77777777" w:rsidR="00822D8D" w:rsidRPr="00432F0D" w:rsidRDefault="00822D8D" w:rsidP="00822D8D">
      <w:pPr>
        <w:pStyle w:val="Sinespaciado"/>
        <w:ind w:left="-284"/>
        <w:jc w:val="both"/>
        <w:rPr>
          <w:rFonts w:asciiTheme="majorHAnsi" w:eastAsia="Arial" w:hAnsiTheme="majorHAnsi" w:cs="Calibri Light"/>
          <w:sz w:val="28"/>
          <w:szCs w:val="28"/>
        </w:rPr>
      </w:pPr>
    </w:p>
    <w:tbl>
      <w:tblPr>
        <w:tblW w:w="9818" w:type="dxa"/>
        <w:tblLayout w:type="fixed"/>
        <w:tblLook w:val="0400" w:firstRow="0" w:lastRow="0" w:firstColumn="0" w:lastColumn="0" w:noHBand="0" w:noVBand="1"/>
      </w:tblPr>
      <w:tblGrid>
        <w:gridCol w:w="4909"/>
        <w:gridCol w:w="4909"/>
      </w:tblGrid>
      <w:tr w:rsidR="00822D8D" w:rsidRPr="00432F0D" w14:paraId="240A7244" w14:textId="77777777" w:rsidTr="00822D8D">
        <w:trPr>
          <w:trHeight w:val="2029"/>
        </w:trPr>
        <w:tc>
          <w:tcPr>
            <w:tcW w:w="4909" w:type="dxa"/>
          </w:tcPr>
          <w:p w14:paraId="7F2CB7A5" w14:textId="77777777" w:rsidR="00822D8D" w:rsidRPr="00432F0D" w:rsidRDefault="00822D8D" w:rsidP="00822D8D">
            <w:pPr>
              <w:ind w:left="5760"/>
              <w:jc w:val="both"/>
              <w:rPr>
                <w:rFonts w:asciiTheme="majorHAnsi" w:eastAsia="Times New Roman" w:hAnsiTheme="majorHAnsi" w:cs="Calibri Light"/>
                <w:b/>
                <w:sz w:val="28"/>
                <w:szCs w:val="28"/>
              </w:rPr>
            </w:pPr>
            <w:r w:rsidRPr="00432F0D">
              <w:rPr>
                <w:rFonts w:asciiTheme="majorHAnsi" w:eastAsia="Times New Roman" w:hAnsiTheme="majorHAnsi" w:cs="Calibri Light"/>
                <w:b/>
                <w:sz w:val="28"/>
                <w:szCs w:val="28"/>
              </w:rPr>
              <w:t>.</w:t>
            </w:r>
          </w:p>
          <w:p w14:paraId="718E1EE3" w14:textId="77777777" w:rsidR="00822D8D" w:rsidRPr="00432F0D" w:rsidRDefault="00822D8D" w:rsidP="00822D8D">
            <w:pPr>
              <w:pStyle w:val="Sinespaciado"/>
              <w:rPr>
                <w:rFonts w:asciiTheme="majorHAnsi" w:hAnsiTheme="majorHAnsi" w:cs="Calibri Light"/>
                <w:b/>
                <w:sz w:val="28"/>
                <w:szCs w:val="28"/>
              </w:rPr>
            </w:pPr>
            <w:r w:rsidRPr="00432F0D">
              <w:rPr>
                <w:rFonts w:asciiTheme="majorHAnsi" w:hAnsiTheme="majorHAnsi" w:cs="Calibri Light"/>
                <w:b/>
                <w:sz w:val="28"/>
                <w:szCs w:val="28"/>
              </w:rPr>
              <w:t>_________________________</w:t>
            </w:r>
          </w:p>
          <w:p w14:paraId="7443E4AC" w14:textId="77777777" w:rsidR="00822D8D" w:rsidRPr="00432F0D" w:rsidRDefault="00822D8D" w:rsidP="00822D8D">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Oscar Sánchez León </w:t>
            </w:r>
          </w:p>
          <w:p w14:paraId="6BA87E36" w14:textId="77777777" w:rsidR="00822D8D" w:rsidRPr="00432F0D" w:rsidRDefault="00822D8D" w:rsidP="00822D8D">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Representante a la Cámara </w:t>
            </w:r>
          </w:p>
          <w:p w14:paraId="39FED4D4" w14:textId="77777777" w:rsidR="00822D8D" w:rsidRPr="00432F0D" w:rsidRDefault="00822D8D" w:rsidP="00822D8D">
            <w:pPr>
              <w:spacing w:line="276" w:lineRule="auto"/>
              <w:ind w:right="49"/>
              <w:jc w:val="both"/>
              <w:rPr>
                <w:rFonts w:asciiTheme="majorHAnsi" w:eastAsia="Times New Roman" w:hAnsiTheme="majorHAnsi" w:cs="Calibri Light"/>
                <w:b/>
                <w:color w:val="000000"/>
                <w:sz w:val="28"/>
                <w:szCs w:val="28"/>
              </w:rPr>
            </w:pPr>
          </w:p>
        </w:tc>
        <w:tc>
          <w:tcPr>
            <w:tcW w:w="4909" w:type="dxa"/>
          </w:tcPr>
          <w:p w14:paraId="0037A28F" w14:textId="77777777" w:rsidR="00822D8D" w:rsidRPr="00432F0D" w:rsidRDefault="00822D8D" w:rsidP="00822D8D">
            <w:pPr>
              <w:jc w:val="both"/>
              <w:rPr>
                <w:rFonts w:asciiTheme="majorHAnsi" w:eastAsia="Times New Roman" w:hAnsiTheme="majorHAnsi" w:cs="Calibri Light"/>
                <w:b/>
                <w:sz w:val="28"/>
                <w:szCs w:val="28"/>
              </w:rPr>
            </w:pPr>
          </w:p>
          <w:p w14:paraId="7163FDBF" w14:textId="77777777" w:rsidR="00822D8D" w:rsidRPr="00432F0D" w:rsidRDefault="00822D8D" w:rsidP="00822D8D">
            <w:pPr>
              <w:pStyle w:val="Sinespaciado"/>
              <w:rPr>
                <w:rFonts w:asciiTheme="majorHAnsi" w:hAnsiTheme="majorHAnsi" w:cs="Calibri Light"/>
                <w:b/>
                <w:color w:val="000000"/>
                <w:sz w:val="28"/>
                <w:szCs w:val="28"/>
              </w:rPr>
            </w:pPr>
          </w:p>
        </w:tc>
      </w:tr>
    </w:tbl>
    <w:p w14:paraId="3FCE4F87" w14:textId="77777777" w:rsidR="00535F81" w:rsidRPr="00432F0D" w:rsidRDefault="00535F81" w:rsidP="00535F81">
      <w:pPr>
        <w:jc w:val="both"/>
        <w:rPr>
          <w:rFonts w:asciiTheme="majorHAnsi" w:eastAsia="Times New Roman" w:hAnsiTheme="majorHAnsi" w:cs="Arial"/>
          <w:sz w:val="28"/>
          <w:szCs w:val="28"/>
        </w:rPr>
      </w:pPr>
    </w:p>
    <w:p w14:paraId="68CDCA0E" w14:textId="77777777" w:rsidR="00535F81" w:rsidRPr="00432F0D" w:rsidRDefault="00535F81" w:rsidP="00535F81">
      <w:pPr>
        <w:jc w:val="both"/>
        <w:rPr>
          <w:rFonts w:asciiTheme="majorHAnsi" w:eastAsia="Times New Roman" w:hAnsiTheme="majorHAnsi" w:cs="Arial"/>
          <w:sz w:val="28"/>
          <w:szCs w:val="28"/>
        </w:rPr>
      </w:pPr>
    </w:p>
    <w:p w14:paraId="39CD5706" w14:textId="77777777" w:rsidR="00535F81" w:rsidRPr="00432F0D" w:rsidRDefault="00535F81" w:rsidP="00535F81">
      <w:pPr>
        <w:jc w:val="both"/>
        <w:rPr>
          <w:rFonts w:asciiTheme="majorHAnsi" w:eastAsia="Times New Roman" w:hAnsiTheme="majorHAnsi" w:cs="Arial"/>
          <w:sz w:val="28"/>
          <w:szCs w:val="28"/>
        </w:rPr>
      </w:pPr>
    </w:p>
    <w:p w14:paraId="15905627" w14:textId="77777777" w:rsidR="00535F81" w:rsidRPr="00432F0D" w:rsidRDefault="00535F81" w:rsidP="00535F81">
      <w:pPr>
        <w:jc w:val="both"/>
        <w:rPr>
          <w:rFonts w:asciiTheme="majorHAnsi" w:eastAsia="Times New Roman" w:hAnsiTheme="majorHAnsi" w:cs="Arial"/>
          <w:sz w:val="28"/>
          <w:szCs w:val="28"/>
        </w:rPr>
      </w:pPr>
    </w:p>
    <w:p w14:paraId="5D45C8E5" w14:textId="77777777" w:rsidR="00535F81" w:rsidRPr="00432F0D" w:rsidRDefault="00535F81" w:rsidP="00535F81">
      <w:pPr>
        <w:jc w:val="both"/>
        <w:rPr>
          <w:rFonts w:asciiTheme="majorHAnsi" w:eastAsia="Times New Roman" w:hAnsiTheme="majorHAnsi" w:cs="Arial"/>
          <w:sz w:val="28"/>
          <w:szCs w:val="28"/>
        </w:rPr>
      </w:pPr>
    </w:p>
    <w:p w14:paraId="5938D1E8" w14:textId="77777777" w:rsidR="00535F81" w:rsidRPr="00432F0D" w:rsidRDefault="00535F81" w:rsidP="00535F81">
      <w:pPr>
        <w:jc w:val="both"/>
        <w:rPr>
          <w:rFonts w:asciiTheme="majorHAnsi" w:eastAsia="Times New Roman" w:hAnsiTheme="majorHAnsi" w:cs="Arial"/>
          <w:sz w:val="28"/>
          <w:szCs w:val="28"/>
        </w:rPr>
      </w:pPr>
    </w:p>
    <w:p w14:paraId="73D98D84" w14:textId="77777777" w:rsidR="00535F81" w:rsidRPr="00432F0D" w:rsidRDefault="00535F81" w:rsidP="00535F81">
      <w:pPr>
        <w:jc w:val="both"/>
        <w:rPr>
          <w:rFonts w:asciiTheme="majorHAnsi" w:eastAsia="Times New Roman" w:hAnsiTheme="majorHAnsi" w:cs="Arial"/>
          <w:sz w:val="28"/>
          <w:szCs w:val="28"/>
        </w:rPr>
      </w:pPr>
    </w:p>
    <w:p w14:paraId="7C16F1CB" w14:textId="77777777" w:rsidR="00535F81" w:rsidRPr="00432F0D" w:rsidRDefault="00535F81" w:rsidP="00535F81">
      <w:pPr>
        <w:jc w:val="both"/>
        <w:rPr>
          <w:rFonts w:asciiTheme="majorHAnsi" w:eastAsia="Times New Roman" w:hAnsiTheme="majorHAnsi" w:cs="Arial"/>
          <w:sz w:val="28"/>
          <w:szCs w:val="28"/>
        </w:rPr>
      </w:pPr>
    </w:p>
    <w:p w14:paraId="1746E7DE" w14:textId="77777777" w:rsidR="00535F81" w:rsidRPr="00432F0D" w:rsidRDefault="00535F81" w:rsidP="00535F81">
      <w:pPr>
        <w:jc w:val="both"/>
        <w:rPr>
          <w:rFonts w:asciiTheme="majorHAnsi" w:eastAsia="Times New Roman" w:hAnsiTheme="majorHAnsi" w:cs="Arial"/>
          <w:sz w:val="28"/>
          <w:szCs w:val="28"/>
        </w:rPr>
      </w:pPr>
    </w:p>
    <w:p w14:paraId="1639F183" w14:textId="77777777" w:rsidR="00535F81" w:rsidRPr="00432F0D" w:rsidRDefault="00535F81" w:rsidP="00535F81">
      <w:pPr>
        <w:jc w:val="both"/>
        <w:rPr>
          <w:rFonts w:asciiTheme="majorHAnsi" w:eastAsia="Times New Roman" w:hAnsiTheme="majorHAnsi" w:cs="Arial"/>
          <w:sz w:val="28"/>
          <w:szCs w:val="28"/>
        </w:rPr>
      </w:pPr>
    </w:p>
    <w:p w14:paraId="47F2FB77" w14:textId="710571B4" w:rsidR="00535F81" w:rsidRPr="00432F0D" w:rsidRDefault="00535F81" w:rsidP="00535F81">
      <w:pPr>
        <w:jc w:val="center"/>
        <w:rPr>
          <w:rFonts w:asciiTheme="majorHAnsi" w:hAnsiTheme="majorHAnsi" w:cs="Arial"/>
          <w:sz w:val="28"/>
          <w:szCs w:val="28"/>
        </w:rPr>
      </w:pPr>
      <w:r w:rsidRPr="00432F0D">
        <w:rPr>
          <w:rFonts w:asciiTheme="majorHAnsi" w:eastAsia="Times New Roman" w:hAnsiTheme="majorHAnsi" w:cs="Arial"/>
          <w:sz w:val="28"/>
          <w:szCs w:val="28"/>
        </w:rPr>
        <w:t xml:space="preserve"> </w:t>
      </w:r>
      <w:r w:rsidRPr="00432F0D">
        <w:rPr>
          <w:rFonts w:asciiTheme="majorHAnsi" w:eastAsia="Arial" w:hAnsiTheme="majorHAnsi" w:cs="Arial"/>
          <w:b/>
          <w:sz w:val="28"/>
          <w:szCs w:val="28"/>
          <w:u w:val="single"/>
        </w:rPr>
        <w:t xml:space="preserve">INFORME DE PONENCIA PARA PRIMER DEBATE DEL </w:t>
      </w:r>
      <w:r w:rsidR="00432F0D">
        <w:rPr>
          <w:rFonts w:asciiTheme="majorHAnsi" w:eastAsia="Times New Roman" w:hAnsiTheme="majorHAnsi" w:cs="Arial"/>
          <w:b/>
          <w:sz w:val="28"/>
          <w:szCs w:val="28"/>
          <w:u w:val="single"/>
        </w:rPr>
        <w:t>PROYECTO DE LEY</w:t>
      </w:r>
      <w:r w:rsidR="006A71B9">
        <w:rPr>
          <w:rFonts w:asciiTheme="majorHAnsi" w:eastAsia="Times New Roman" w:hAnsiTheme="majorHAnsi" w:cs="Arial"/>
          <w:b/>
          <w:sz w:val="28"/>
          <w:szCs w:val="28"/>
          <w:u w:val="single"/>
        </w:rPr>
        <w:t xml:space="preserve"> ESTATUTARIA No</w:t>
      </w:r>
      <w:r w:rsidR="00432F0D">
        <w:rPr>
          <w:rFonts w:asciiTheme="majorHAnsi" w:eastAsia="Times New Roman" w:hAnsiTheme="majorHAnsi" w:cs="Arial"/>
          <w:b/>
          <w:sz w:val="28"/>
          <w:szCs w:val="28"/>
          <w:u w:val="single"/>
        </w:rPr>
        <w:t xml:space="preserve"> 086 de 2025 </w:t>
      </w:r>
      <w:r w:rsidRPr="00432F0D">
        <w:rPr>
          <w:rFonts w:asciiTheme="majorHAnsi" w:eastAsia="Times New Roman" w:hAnsiTheme="majorHAnsi" w:cs="Arial"/>
          <w:b/>
          <w:sz w:val="28"/>
          <w:szCs w:val="28"/>
          <w:u w:val="single"/>
        </w:rPr>
        <w:t>CAMARA “POR MEDIO DEL CUAL SE MODIFICA LA LEY 1475 DE 2011 EN RELACIÓN A LA DOBLE MILITANCIA Y SE DICTAN OTRAS DISPOSICIONES”</w:t>
      </w:r>
    </w:p>
    <w:p w14:paraId="4FA5EC01" w14:textId="77777777" w:rsidR="00535F81" w:rsidRPr="00432F0D" w:rsidRDefault="00535F81" w:rsidP="00535F81">
      <w:pPr>
        <w:rPr>
          <w:rFonts w:asciiTheme="majorHAnsi" w:eastAsia="Times New Roman" w:hAnsiTheme="majorHAnsi" w:cs="Arial"/>
          <w:sz w:val="28"/>
          <w:szCs w:val="28"/>
        </w:rPr>
      </w:pPr>
    </w:p>
    <w:p w14:paraId="2B5BD228" w14:textId="77777777" w:rsidR="00535F81" w:rsidRPr="00432F0D" w:rsidRDefault="00535F81" w:rsidP="00535F81">
      <w:pPr>
        <w:pBdr>
          <w:top w:val="nil"/>
          <w:left w:val="nil"/>
          <w:bottom w:val="nil"/>
          <w:right w:val="nil"/>
          <w:between w:val="nil"/>
        </w:pBdr>
        <w:spacing w:after="0" w:line="240" w:lineRule="auto"/>
        <w:jc w:val="center"/>
        <w:rPr>
          <w:rFonts w:asciiTheme="majorHAnsi" w:eastAsia="Arial" w:hAnsiTheme="majorHAnsi" w:cs="Arial"/>
          <w:b/>
          <w:sz w:val="28"/>
          <w:szCs w:val="28"/>
        </w:rPr>
      </w:pPr>
      <w:r w:rsidRPr="00432F0D">
        <w:rPr>
          <w:rFonts w:asciiTheme="majorHAnsi" w:eastAsia="Arial" w:hAnsiTheme="majorHAnsi" w:cs="Arial"/>
          <w:b/>
          <w:sz w:val="28"/>
          <w:szCs w:val="28"/>
        </w:rPr>
        <w:t>TABLA DE CONTENIDO.</w:t>
      </w:r>
    </w:p>
    <w:p w14:paraId="7C9A22AB" w14:textId="77777777" w:rsidR="00535F81" w:rsidRPr="00432F0D" w:rsidRDefault="00535F81" w:rsidP="00432F0D">
      <w:pPr>
        <w:pStyle w:val="Sinespaciado"/>
        <w:rPr>
          <w:rFonts w:asciiTheme="majorHAnsi" w:hAnsiTheme="majorHAnsi"/>
          <w:sz w:val="28"/>
          <w:szCs w:val="28"/>
        </w:rPr>
      </w:pPr>
    </w:p>
    <w:p w14:paraId="4030E7AB" w14:textId="77777777" w:rsidR="00535F81" w:rsidRPr="00432F0D" w:rsidRDefault="00535F81" w:rsidP="00432F0D">
      <w:pPr>
        <w:pStyle w:val="Sinespaciado"/>
        <w:rPr>
          <w:rFonts w:asciiTheme="majorHAnsi" w:eastAsia="Times New Roman" w:hAnsiTheme="majorHAnsi"/>
          <w:sz w:val="28"/>
          <w:szCs w:val="28"/>
        </w:rPr>
      </w:pPr>
      <w:r w:rsidRPr="00432F0D">
        <w:rPr>
          <w:rFonts w:asciiTheme="majorHAnsi" w:eastAsia="Times New Roman" w:hAnsiTheme="majorHAnsi"/>
          <w:sz w:val="28"/>
          <w:szCs w:val="28"/>
        </w:rPr>
        <w:t>OBJETO</w:t>
      </w:r>
      <w:r w:rsidRPr="00432F0D">
        <w:rPr>
          <w:rFonts w:asciiTheme="majorHAnsi" w:hAnsiTheme="majorHAnsi"/>
          <w:sz w:val="28"/>
          <w:szCs w:val="28"/>
        </w:rPr>
        <w:t>…………………………………………………………………………………</w:t>
      </w:r>
      <w:r w:rsidR="00432F0D">
        <w:rPr>
          <w:rFonts w:asciiTheme="majorHAnsi" w:hAnsiTheme="majorHAnsi"/>
          <w:sz w:val="28"/>
          <w:szCs w:val="28"/>
        </w:rPr>
        <w:t>…</w:t>
      </w:r>
      <w:r w:rsidRPr="00432F0D">
        <w:rPr>
          <w:rFonts w:asciiTheme="majorHAnsi" w:hAnsiTheme="majorHAnsi"/>
          <w:sz w:val="28"/>
          <w:szCs w:val="28"/>
        </w:rPr>
        <w:t>I</w:t>
      </w:r>
    </w:p>
    <w:p w14:paraId="2F34542D"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ANTECEDENTES…………………………………………………………………</w:t>
      </w:r>
      <w:proofErr w:type="gramStart"/>
      <w:r w:rsidRPr="00432F0D">
        <w:rPr>
          <w:rFonts w:asciiTheme="majorHAnsi" w:hAnsiTheme="majorHAnsi"/>
          <w:sz w:val="28"/>
          <w:szCs w:val="28"/>
        </w:rPr>
        <w:t>……</w:t>
      </w:r>
      <w:r w:rsidR="00432F0D">
        <w:rPr>
          <w:rFonts w:asciiTheme="majorHAnsi" w:hAnsiTheme="majorHAnsi"/>
          <w:sz w:val="28"/>
          <w:szCs w:val="28"/>
        </w:rPr>
        <w:t>.</w:t>
      </w:r>
      <w:proofErr w:type="gramEnd"/>
      <w:r w:rsidRPr="00432F0D">
        <w:rPr>
          <w:rFonts w:asciiTheme="majorHAnsi" w:hAnsiTheme="majorHAnsi"/>
          <w:sz w:val="28"/>
          <w:szCs w:val="28"/>
        </w:rPr>
        <w:t>II</w:t>
      </w:r>
    </w:p>
    <w:p w14:paraId="058E2003"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JUSTIFICA</w:t>
      </w:r>
      <w:r w:rsidR="00432F0D">
        <w:rPr>
          <w:rFonts w:asciiTheme="majorHAnsi" w:hAnsiTheme="majorHAnsi"/>
          <w:sz w:val="28"/>
          <w:szCs w:val="28"/>
        </w:rPr>
        <w:t>CIÓN…………………………………………………………………</w:t>
      </w:r>
      <w:proofErr w:type="gramStart"/>
      <w:r w:rsidR="00432F0D">
        <w:rPr>
          <w:rFonts w:asciiTheme="majorHAnsi" w:hAnsiTheme="majorHAnsi"/>
          <w:sz w:val="28"/>
          <w:szCs w:val="28"/>
        </w:rPr>
        <w:t>……</w:t>
      </w:r>
      <w:r w:rsidRPr="00432F0D">
        <w:rPr>
          <w:rFonts w:asciiTheme="majorHAnsi" w:hAnsiTheme="majorHAnsi"/>
          <w:sz w:val="28"/>
          <w:szCs w:val="28"/>
        </w:rPr>
        <w:t>.</w:t>
      </w:r>
      <w:proofErr w:type="gramEnd"/>
      <w:r w:rsidR="00432F0D">
        <w:rPr>
          <w:rFonts w:asciiTheme="majorHAnsi" w:hAnsiTheme="majorHAnsi"/>
          <w:sz w:val="28"/>
          <w:szCs w:val="28"/>
        </w:rPr>
        <w:t>.</w:t>
      </w:r>
      <w:r w:rsidRPr="00432F0D">
        <w:rPr>
          <w:rFonts w:asciiTheme="majorHAnsi" w:hAnsiTheme="majorHAnsi"/>
          <w:sz w:val="28"/>
          <w:szCs w:val="28"/>
        </w:rPr>
        <w:t>III</w:t>
      </w:r>
    </w:p>
    <w:p w14:paraId="386EC884"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FUNDAMENTO JU</w:t>
      </w:r>
      <w:r w:rsidR="00432F0D">
        <w:rPr>
          <w:rFonts w:asciiTheme="majorHAnsi" w:hAnsiTheme="majorHAnsi"/>
          <w:sz w:val="28"/>
          <w:szCs w:val="28"/>
        </w:rPr>
        <w:t>RÍDICO……………………………………………</w:t>
      </w:r>
      <w:proofErr w:type="gramStart"/>
      <w:r w:rsidR="00432F0D">
        <w:rPr>
          <w:rFonts w:asciiTheme="majorHAnsi" w:hAnsiTheme="majorHAnsi"/>
          <w:sz w:val="28"/>
          <w:szCs w:val="28"/>
        </w:rPr>
        <w:t>…….</w:t>
      </w:r>
      <w:proofErr w:type="gramEnd"/>
      <w:r w:rsidR="00432F0D">
        <w:rPr>
          <w:rFonts w:asciiTheme="majorHAnsi" w:hAnsiTheme="majorHAnsi"/>
          <w:sz w:val="28"/>
          <w:szCs w:val="28"/>
        </w:rPr>
        <w:t>……</w:t>
      </w:r>
      <w:r w:rsidRPr="00432F0D">
        <w:rPr>
          <w:rFonts w:asciiTheme="majorHAnsi" w:hAnsiTheme="majorHAnsi"/>
          <w:sz w:val="28"/>
          <w:szCs w:val="28"/>
        </w:rPr>
        <w:t>.IV</w:t>
      </w:r>
    </w:p>
    <w:p w14:paraId="0D0F36FD"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IMPACTO F</w:t>
      </w:r>
      <w:r w:rsidR="00432F0D">
        <w:rPr>
          <w:rFonts w:asciiTheme="majorHAnsi" w:hAnsiTheme="majorHAnsi"/>
          <w:sz w:val="28"/>
          <w:szCs w:val="28"/>
        </w:rPr>
        <w:t>ISCAL………………………………………………………………</w:t>
      </w:r>
      <w:proofErr w:type="gramStart"/>
      <w:r w:rsidR="00432F0D">
        <w:rPr>
          <w:rFonts w:asciiTheme="majorHAnsi" w:hAnsiTheme="majorHAnsi"/>
          <w:sz w:val="28"/>
          <w:szCs w:val="28"/>
        </w:rPr>
        <w:t>…….</w:t>
      </w:r>
      <w:proofErr w:type="gramEnd"/>
      <w:r w:rsidR="00432F0D">
        <w:rPr>
          <w:rFonts w:asciiTheme="majorHAnsi" w:hAnsiTheme="majorHAnsi"/>
          <w:sz w:val="28"/>
          <w:szCs w:val="28"/>
        </w:rPr>
        <w:t>.</w:t>
      </w:r>
      <w:r w:rsidRPr="00432F0D">
        <w:rPr>
          <w:rFonts w:asciiTheme="majorHAnsi" w:hAnsiTheme="majorHAnsi"/>
          <w:sz w:val="28"/>
          <w:szCs w:val="28"/>
        </w:rPr>
        <w:t>V</w:t>
      </w:r>
    </w:p>
    <w:p w14:paraId="1BBD42E2"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CONFLICTO DE INTE</w:t>
      </w:r>
      <w:r w:rsidR="00432F0D">
        <w:rPr>
          <w:rFonts w:asciiTheme="majorHAnsi" w:hAnsiTheme="majorHAnsi"/>
          <w:sz w:val="28"/>
          <w:szCs w:val="28"/>
        </w:rPr>
        <w:t>RESES…………………………………………………</w:t>
      </w:r>
      <w:proofErr w:type="gramStart"/>
      <w:r w:rsidR="00432F0D">
        <w:rPr>
          <w:rFonts w:asciiTheme="majorHAnsi" w:hAnsiTheme="majorHAnsi"/>
          <w:sz w:val="28"/>
          <w:szCs w:val="28"/>
        </w:rPr>
        <w:t>...….</w:t>
      </w:r>
      <w:proofErr w:type="gramEnd"/>
      <w:r w:rsidRPr="00432F0D">
        <w:rPr>
          <w:rFonts w:asciiTheme="majorHAnsi" w:hAnsiTheme="majorHAnsi"/>
          <w:sz w:val="28"/>
          <w:szCs w:val="28"/>
        </w:rPr>
        <w:t>VI</w:t>
      </w:r>
    </w:p>
    <w:p w14:paraId="46BB89B4"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CONVENIENCIA DE LA</w:t>
      </w:r>
      <w:r w:rsidR="00432F0D">
        <w:rPr>
          <w:rFonts w:asciiTheme="majorHAnsi" w:hAnsiTheme="majorHAnsi"/>
          <w:sz w:val="28"/>
          <w:szCs w:val="28"/>
        </w:rPr>
        <w:t xml:space="preserve"> INICIATIVA ……………………………………………</w:t>
      </w:r>
      <w:r w:rsidRPr="00432F0D">
        <w:rPr>
          <w:rFonts w:asciiTheme="majorHAnsi" w:hAnsiTheme="majorHAnsi"/>
          <w:sz w:val="28"/>
          <w:szCs w:val="28"/>
        </w:rPr>
        <w:t>VII</w:t>
      </w:r>
    </w:p>
    <w:p w14:paraId="239EA1AC"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PROPOSICIÓN……………………………………………………………………</w:t>
      </w:r>
      <w:proofErr w:type="gramStart"/>
      <w:r w:rsidRPr="00432F0D">
        <w:rPr>
          <w:rFonts w:asciiTheme="majorHAnsi" w:hAnsiTheme="majorHAnsi"/>
          <w:sz w:val="28"/>
          <w:szCs w:val="28"/>
        </w:rPr>
        <w:t>...….</w:t>
      </w:r>
      <w:proofErr w:type="gramEnd"/>
      <w:r w:rsidRPr="00432F0D">
        <w:rPr>
          <w:rFonts w:asciiTheme="majorHAnsi" w:hAnsiTheme="majorHAnsi"/>
          <w:sz w:val="28"/>
          <w:szCs w:val="28"/>
        </w:rPr>
        <w:t>.IX</w:t>
      </w:r>
    </w:p>
    <w:p w14:paraId="17AD10D0" w14:textId="77777777" w:rsidR="00535F81" w:rsidRPr="00432F0D" w:rsidRDefault="00535F81" w:rsidP="00432F0D">
      <w:pPr>
        <w:pStyle w:val="Sinespaciado"/>
        <w:rPr>
          <w:rFonts w:asciiTheme="majorHAnsi" w:hAnsiTheme="majorHAnsi"/>
          <w:sz w:val="28"/>
          <w:szCs w:val="28"/>
        </w:rPr>
      </w:pPr>
      <w:r w:rsidRPr="00432F0D">
        <w:rPr>
          <w:rFonts w:asciiTheme="majorHAnsi" w:hAnsiTheme="majorHAnsi"/>
          <w:sz w:val="28"/>
          <w:szCs w:val="28"/>
        </w:rPr>
        <w:t>ARTÍCULADO…………………………………………………………………...…</w:t>
      </w:r>
      <w:proofErr w:type="gramStart"/>
      <w:r w:rsidRPr="00432F0D">
        <w:rPr>
          <w:rFonts w:asciiTheme="majorHAnsi" w:hAnsiTheme="majorHAnsi"/>
          <w:sz w:val="28"/>
          <w:szCs w:val="28"/>
        </w:rPr>
        <w:t>...…</w:t>
      </w:r>
      <w:r w:rsidR="00432F0D">
        <w:rPr>
          <w:rFonts w:asciiTheme="majorHAnsi" w:hAnsiTheme="majorHAnsi"/>
          <w:sz w:val="28"/>
          <w:szCs w:val="28"/>
        </w:rPr>
        <w:t>.</w:t>
      </w:r>
      <w:proofErr w:type="gramEnd"/>
      <w:r w:rsidRPr="00432F0D">
        <w:rPr>
          <w:rFonts w:asciiTheme="majorHAnsi" w:hAnsiTheme="majorHAnsi"/>
          <w:sz w:val="28"/>
          <w:szCs w:val="28"/>
        </w:rPr>
        <w:t>X</w:t>
      </w:r>
    </w:p>
    <w:p w14:paraId="656AC06B" w14:textId="77777777" w:rsidR="00535F81" w:rsidRPr="00432F0D" w:rsidRDefault="00535F81" w:rsidP="00535F81">
      <w:pPr>
        <w:rPr>
          <w:rFonts w:asciiTheme="majorHAnsi" w:eastAsia="Times New Roman" w:hAnsiTheme="majorHAnsi" w:cs="Arial"/>
          <w:sz w:val="28"/>
          <w:szCs w:val="28"/>
        </w:rPr>
      </w:pPr>
    </w:p>
    <w:p w14:paraId="4B64C64D" w14:textId="77777777" w:rsidR="00535F81" w:rsidRPr="00432F0D" w:rsidRDefault="00535F81" w:rsidP="00535F81">
      <w:pPr>
        <w:rPr>
          <w:rFonts w:asciiTheme="majorHAnsi" w:eastAsia="Times New Roman" w:hAnsiTheme="majorHAnsi" w:cs="Arial"/>
          <w:sz w:val="28"/>
          <w:szCs w:val="28"/>
        </w:rPr>
      </w:pPr>
      <w:r w:rsidRPr="00432F0D">
        <w:rPr>
          <w:rFonts w:asciiTheme="majorHAnsi" w:eastAsia="Times New Roman" w:hAnsiTheme="majorHAnsi" w:cs="Arial"/>
          <w:sz w:val="28"/>
          <w:szCs w:val="28"/>
        </w:rPr>
        <w:t>_____________________________________________________________</w:t>
      </w:r>
    </w:p>
    <w:p w14:paraId="7418545B" w14:textId="77777777" w:rsidR="00535F81" w:rsidRPr="00432F0D" w:rsidRDefault="00535F81" w:rsidP="00535F81">
      <w:pPr>
        <w:numPr>
          <w:ilvl w:val="0"/>
          <w:numId w:val="27"/>
        </w:numPr>
        <w:pBdr>
          <w:top w:val="nil"/>
          <w:left w:val="nil"/>
          <w:bottom w:val="nil"/>
          <w:right w:val="nil"/>
          <w:between w:val="nil"/>
        </w:pBdr>
        <w:spacing w:after="0" w:line="276" w:lineRule="auto"/>
        <w:ind w:left="0" w:right="49" w:firstLine="0"/>
        <w:rPr>
          <w:rFonts w:asciiTheme="majorHAnsi" w:eastAsia="Times New Roman" w:hAnsiTheme="majorHAnsi" w:cs="Arial"/>
          <w:b/>
          <w:sz w:val="28"/>
          <w:szCs w:val="28"/>
        </w:rPr>
      </w:pPr>
      <w:r w:rsidRPr="00432F0D">
        <w:rPr>
          <w:rFonts w:asciiTheme="majorHAnsi" w:eastAsia="Times New Roman" w:hAnsiTheme="majorHAnsi" w:cs="Arial"/>
          <w:b/>
          <w:sz w:val="28"/>
          <w:szCs w:val="28"/>
        </w:rPr>
        <w:t>OBJETO.</w:t>
      </w:r>
    </w:p>
    <w:p w14:paraId="646925D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p>
    <w:p w14:paraId="30DD697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presente proyecto tiene por objetivo desarrollar y fortalecer el marco normativo que regula la prohibición de la doble militancia en Colombia, ajustando y complementando las disposiciones en la ley 1475 de 20011.</w:t>
      </w:r>
      <w:r w:rsidRPr="00432F0D">
        <w:rPr>
          <w:rFonts w:asciiTheme="majorHAnsi" w:hAnsiTheme="majorHAnsi" w:cs="Arial"/>
          <w:sz w:val="28"/>
          <w:szCs w:val="28"/>
        </w:rPr>
        <w:t xml:space="preserve"> </w:t>
      </w:r>
      <w:r w:rsidRPr="00432F0D">
        <w:rPr>
          <w:rFonts w:asciiTheme="majorHAnsi" w:eastAsia="Times New Roman" w:hAnsiTheme="majorHAnsi" w:cs="Arial"/>
          <w:sz w:val="28"/>
          <w:szCs w:val="28"/>
        </w:rPr>
        <w:t xml:space="preserve">En términos generales, este proyecto de ley tiene como objetivo principal reforzar los mecanismos de sanción y control frente a la doble militancia, definiendo de manera más clara las conductas, los sujetos, elementos objetivos de imputación y el elemento temporal. </w:t>
      </w:r>
    </w:p>
    <w:p w14:paraId="3923FB8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propósito central es garantizar la coherencia y disciplina interna de los partidos y movimientos políticos, promoviendo la lealtad de sus miembros y evitando que ciudadanos, electos o no, participen en actividades de otras colectividades políticas sin renunciar formalmente a su militancia original, desde un marco de participación que incluya el manejo y aplicabilidad de los acuerdos en coalición.  De este modo, se protege la transparencia en los procesos electorales y se refuerza la confianza del electorado en el sistema democrático colombiano.</w:t>
      </w:r>
    </w:p>
    <w:p w14:paraId="3476640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Al precisar las conductas prohibidas y establecer reglas claras sobre el apoyo a candidatos de otros partidos, se busca evitar confusiones entre los votantes y fortalecer la responsabilidad política de los representantes. Con ello, el proyecto promueve una democracia más transparente y participativa, en la que los ciudadanos puedan confiar en la coherencia ideológica de los partidos y en la lealta</w:t>
      </w:r>
      <w:r w:rsidR="00432F0D">
        <w:rPr>
          <w:rFonts w:asciiTheme="majorHAnsi" w:eastAsia="Times New Roman" w:hAnsiTheme="majorHAnsi" w:cs="Arial"/>
          <w:sz w:val="28"/>
          <w:szCs w:val="28"/>
        </w:rPr>
        <w:t>d de los candidatos que apoyan.</w:t>
      </w:r>
    </w:p>
    <w:p w14:paraId="3CE95563" w14:textId="77777777" w:rsidR="00535F81" w:rsidRPr="00432F0D" w:rsidRDefault="00535F81" w:rsidP="00535F81">
      <w:pPr>
        <w:pStyle w:val="Prrafodelista"/>
        <w:numPr>
          <w:ilvl w:val="0"/>
          <w:numId w:val="27"/>
        </w:num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Arial" w:hAnsiTheme="majorHAnsi" w:cs="Arial"/>
          <w:b/>
          <w:sz w:val="28"/>
          <w:szCs w:val="28"/>
        </w:rPr>
        <w:t>ANTECEDENTES.</w:t>
      </w:r>
    </w:p>
    <w:p w14:paraId="5E7D8ACF" w14:textId="397DF808" w:rsidR="00432F0D" w:rsidRPr="00432F0D" w:rsidRDefault="00432F0D" w:rsidP="00432F0D">
      <w:pPr>
        <w:pBdr>
          <w:top w:val="nil"/>
          <w:left w:val="nil"/>
          <w:bottom w:val="nil"/>
          <w:right w:val="nil"/>
          <w:between w:val="nil"/>
        </w:pBdr>
        <w:ind w:right="49"/>
        <w:jc w:val="both"/>
        <w:rPr>
          <w:rFonts w:asciiTheme="majorHAnsi" w:eastAsia="Times New Roman" w:hAnsiTheme="majorHAnsi" w:cs="Arial"/>
          <w:sz w:val="28"/>
          <w:szCs w:val="28"/>
          <w:lang w:eastAsia="es-CO"/>
        </w:rPr>
      </w:pPr>
      <w:r w:rsidRPr="00432F0D">
        <w:rPr>
          <w:rFonts w:asciiTheme="majorHAnsi" w:eastAsia="Times New Roman" w:hAnsiTheme="majorHAnsi" w:cs="Arial"/>
          <w:sz w:val="28"/>
          <w:szCs w:val="28"/>
          <w:lang w:eastAsia="es-CO"/>
        </w:rPr>
        <w:t xml:space="preserve">El 30 de octubre de 2024 se radicó en la Cámara de Representantes el Proyecto de Ley 414 de 2024 Cámara, “Por medio del cual se modifica la Ley 1475 de 2011 en relación con la doble militancia y se dictan otras disposiciones”. La iniciativa fue presentada por los Honorables Representantes: Óscar Hernán Sánchez León, Carlos Felipe Quintero Ovalle, Álvaro Leonel Rueda Caballero, </w:t>
      </w:r>
      <w:proofErr w:type="spellStart"/>
      <w:r w:rsidRPr="00432F0D">
        <w:rPr>
          <w:rFonts w:asciiTheme="majorHAnsi" w:eastAsia="Times New Roman" w:hAnsiTheme="majorHAnsi" w:cs="Arial"/>
          <w:sz w:val="28"/>
          <w:szCs w:val="28"/>
          <w:lang w:eastAsia="es-CO"/>
        </w:rPr>
        <w:t>Dolcey</w:t>
      </w:r>
      <w:proofErr w:type="spellEnd"/>
      <w:r w:rsidRPr="00432F0D">
        <w:rPr>
          <w:rFonts w:asciiTheme="majorHAnsi" w:eastAsia="Times New Roman" w:hAnsiTheme="majorHAnsi" w:cs="Arial"/>
          <w:sz w:val="28"/>
          <w:szCs w:val="28"/>
          <w:lang w:eastAsia="es-CO"/>
        </w:rPr>
        <w:t xml:space="preserve"> Óscar Torres Romero, Juan Daniel Peñuela </w:t>
      </w:r>
      <w:proofErr w:type="spellStart"/>
      <w:r w:rsidRPr="00432F0D">
        <w:rPr>
          <w:rFonts w:asciiTheme="majorHAnsi" w:eastAsia="Times New Roman" w:hAnsiTheme="majorHAnsi" w:cs="Arial"/>
          <w:sz w:val="28"/>
          <w:szCs w:val="28"/>
          <w:lang w:eastAsia="es-CO"/>
        </w:rPr>
        <w:t>Calvache</w:t>
      </w:r>
      <w:proofErr w:type="spellEnd"/>
      <w:r w:rsidRPr="00432F0D">
        <w:rPr>
          <w:rFonts w:asciiTheme="majorHAnsi" w:eastAsia="Times New Roman" w:hAnsiTheme="majorHAnsi" w:cs="Arial"/>
          <w:sz w:val="28"/>
          <w:szCs w:val="28"/>
          <w:lang w:eastAsia="es-CO"/>
        </w:rPr>
        <w:t xml:space="preserve">, </w:t>
      </w:r>
      <w:proofErr w:type="spellStart"/>
      <w:r w:rsidRPr="00432F0D">
        <w:rPr>
          <w:rFonts w:asciiTheme="majorHAnsi" w:eastAsia="Times New Roman" w:hAnsiTheme="majorHAnsi" w:cs="Arial"/>
          <w:sz w:val="28"/>
          <w:szCs w:val="28"/>
          <w:lang w:eastAsia="es-CO"/>
        </w:rPr>
        <w:t>Jezmi</w:t>
      </w:r>
      <w:proofErr w:type="spellEnd"/>
      <w:r w:rsidRPr="00432F0D">
        <w:rPr>
          <w:rFonts w:asciiTheme="majorHAnsi" w:eastAsia="Times New Roman" w:hAnsiTheme="majorHAnsi" w:cs="Arial"/>
          <w:sz w:val="28"/>
          <w:szCs w:val="28"/>
          <w:lang w:eastAsia="es-CO"/>
        </w:rPr>
        <w:t xml:space="preserve"> </w:t>
      </w:r>
      <w:proofErr w:type="spellStart"/>
      <w:r w:rsidRPr="00432F0D">
        <w:rPr>
          <w:rFonts w:asciiTheme="majorHAnsi" w:eastAsia="Times New Roman" w:hAnsiTheme="majorHAnsi" w:cs="Arial"/>
          <w:sz w:val="28"/>
          <w:szCs w:val="28"/>
          <w:lang w:eastAsia="es-CO"/>
        </w:rPr>
        <w:t>Lizeth</w:t>
      </w:r>
      <w:proofErr w:type="spellEnd"/>
      <w:r w:rsidRPr="00432F0D">
        <w:rPr>
          <w:rFonts w:asciiTheme="majorHAnsi" w:eastAsia="Times New Roman" w:hAnsiTheme="majorHAnsi" w:cs="Arial"/>
          <w:sz w:val="28"/>
          <w:szCs w:val="28"/>
          <w:lang w:eastAsia="es-CO"/>
        </w:rPr>
        <w:t xml:space="preserve"> Barraza </w:t>
      </w:r>
      <w:proofErr w:type="spellStart"/>
      <w:r w:rsidRPr="00432F0D">
        <w:rPr>
          <w:rFonts w:asciiTheme="majorHAnsi" w:eastAsia="Times New Roman" w:hAnsiTheme="majorHAnsi" w:cs="Arial"/>
          <w:sz w:val="28"/>
          <w:szCs w:val="28"/>
          <w:lang w:eastAsia="es-CO"/>
        </w:rPr>
        <w:t>Arraut</w:t>
      </w:r>
      <w:proofErr w:type="spellEnd"/>
      <w:r w:rsidRPr="00432F0D">
        <w:rPr>
          <w:rFonts w:asciiTheme="majorHAnsi" w:eastAsia="Times New Roman" w:hAnsiTheme="majorHAnsi" w:cs="Arial"/>
          <w:sz w:val="28"/>
          <w:szCs w:val="28"/>
          <w:lang w:eastAsia="es-CO"/>
        </w:rPr>
        <w:t xml:space="preserve">, Piedad Correal Rubiano, Gilma Díaz Arias, </w:t>
      </w:r>
      <w:proofErr w:type="spellStart"/>
      <w:r w:rsidRPr="00432F0D">
        <w:rPr>
          <w:rFonts w:asciiTheme="majorHAnsi" w:eastAsia="Times New Roman" w:hAnsiTheme="majorHAnsi" w:cs="Arial"/>
          <w:sz w:val="28"/>
          <w:szCs w:val="28"/>
          <w:lang w:eastAsia="es-CO"/>
        </w:rPr>
        <w:t>Karyme</w:t>
      </w:r>
      <w:proofErr w:type="spellEnd"/>
      <w:r w:rsidRPr="00432F0D">
        <w:rPr>
          <w:rFonts w:asciiTheme="majorHAnsi" w:eastAsia="Times New Roman" w:hAnsiTheme="majorHAnsi" w:cs="Arial"/>
          <w:sz w:val="28"/>
          <w:szCs w:val="28"/>
          <w:lang w:eastAsia="es-CO"/>
        </w:rPr>
        <w:t xml:space="preserve"> Adriana Cotes Martínez, Diógenes Quintero Amaya, William Ferney </w:t>
      </w:r>
      <w:proofErr w:type="spellStart"/>
      <w:r w:rsidRPr="00432F0D">
        <w:rPr>
          <w:rFonts w:asciiTheme="majorHAnsi" w:eastAsia="Times New Roman" w:hAnsiTheme="majorHAnsi" w:cs="Arial"/>
          <w:sz w:val="28"/>
          <w:szCs w:val="28"/>
          <w:lang w:eastAsia="es-CO"/>
        </w:rPr>
        <w:t>Aljure</w:t>
      </w:r>
      <w:proofErr w:type="spellEnd"/>
      <w:r w:rsidRPr="00432F0D">
        <w:rPr>
          <w:rFonts w:asciiTheme="majorHAnsi" w:eastAsia="Times New Roman" w:hAnsiTheme="majorHAnsi" w:cs="Arial"/>
          <w:sz w:val="28"/>
          <w:szCs w:val="28"/>
          <w:lang w:eastAsia="es-CO"/>
        </w:rPr>
        <w:t xml:space="preserve"> Martínez, Mónica Karina Bocanegra Pantoja, Juan Carlos </w:t>
      </w:r>
      <w:proofErr w:type="spellStart"/>
      <w:r w:rsidRPr="00432F0D">
        <w:rPr>
          <w:rFonts w:asciiTheme="majorHAnsi" w:eastAsia="Times New Roman" w:hAnsiTheme="majorHAnsi" w:cs="Arial"/>
          <w:sz w:val="28"/>
          <w:szCs w:val="28"/>
          <w:lang w:eastAsia="es-CO"/>
        </w:rPr>
        <w:t>Wills</w:t>
      </w:r>
      <w:proofErr w:type="spellEnd"/>
      <w:r w:rsidRPr="00432F0D">
        <w:rPr>
          <w:rFonts w:asciiTheme="majorHAnsi" w:eastAsia="Times New Roman" w:hAnsiTheme="majorHAnsi" w:cs="Arial"/>
          <w:sz w:val="28"/>
          <w:szCs w:val="28"/>
          <w:lang w:eastAsia="es-CO"/>
        </w:rPr>
        <w:t xml:space="preserve"> Ospina, Julián Peinado Ramírez</w:t>
      </w:r>
      <w:r>
        <w:rPr>
          <w:rFonts w:asciiTheme="majorHAnsi" w:eastAsia="Times New Roman" w:hAnsiTheme="majorHAnsi" w:cs="Arial"/>
          <w:sz w:val="28"/>
          <w:szCs w:val="28"/>
          <w:lang w:eastAsia="es-CO"/>
        </w:rPr>
        <w:t xml:space="preserve"> y </w:t>
      </w:r>
      <w:proofErr w:type="spellStart"/>
      <w:r>
        <w:rPr>
          <w:rFonts w:asciiTheme="majorHAnsi" w:eastAsia="Times New Roman" w:hAnsiTheme="majorHAnsi" w:cs="Arial"/>
          <w:sz w:val="28"/>
          <w:szCs w:val="28"/>
          <w:lang w:eastAsia="es-CO"/>
        </w:rPr>
        <w:t>Jhon</w:t>
      </w:r>
      <w:proofErr w:type="spellEnd"/>
      <w:r>
        <w:rPr>
          <w:rFonts w:asciiTheme="majorHAnsi" w:eastAsia="Times New Roman" w:hAnsiTheme="majorHAnsi" w:cs="Arial"/>
          <w:sz w:val="28"/>
          <w:szCs w:val="28"/>
          <w:lang w:eastAsia="es-CO"/>
        </w:rPr>
        <w:t xml:space="preserve"> </w:t>
      </w:r>
      <w:proofErr w:type="spellStart"/>
      <w:r>
        <w:rPr>
          <w:rFonts w:asciiTheme="majorHAnsi" w:eastAsia="Times New Roman" w:hAnsiTheme="majorHAnsi" w:cs="Arial"/>
          <w:sz w:val="28"/>
          <w:szCs w:val="28"/>
          <w:lang w:eastAsia="es-CO"/>
        </w:rPr>
        <w:t>Fredi</w:t>
      </w:r>
      <w:proofErr w:type="spellEnd"/>
      <w:r>
        <w:rPr>
          <w:rFonts w:asciiTheme="majorHAnsi" w:eastAsia="Times New Roman" w:hAnsiTheme="majorHAnsi" w:cs="Arial"/>
          <w:sz w:val="28"/>
          <w:szCs w:val="28"/>
          <w:lang w:eastAsia="es-CO"/>
        </w:rPr>
        <w:t xml:space="preserve"> Valencia Caicedo</w:t>
      </w:r>
      <w:r w:rsidR="004F478D">
        <w:rPr>
          <w:rFonts w:asciiTheme="majorHAnsi" w:eastAsia="Times New Roman" w:hAnsiTheme="majorHAnsi" w:cs="Arial"/>
          <w:sz w:val="28"/>
          <w:szCs w:val="28"/>
          <w:lang w:eastAsia="es-CO"/>
        </w:rPr>
        <w:t xml:space="preserve"> </w:t>
      </w:r>
      <w:r w:rsidRPr="00432F0D">
        <w:rPr>
          <w:rFonts w:asciiTheme="majorHAnsi" w:eastAsia="Times New Roman" w:hAnsiTheme="majorHAnsi" w:cs="Arial"/>
          <w:sz w:val="28"/>
          <w:szCs w:val="28"/>
          <w:lang w:eastAsia="es-CO"/>
        </w:rPr>
        <w:t>Posteriormente, mediante el oficio CPCP31-0722-2024 del 26 de noviembre de 2024, la Mesa Directiva de la Cámara de Representantes designó como ponentes a los Representantes: Óscar Hernán Sánchez León, Luis Alberto Albán Urbano, Óscar Rodrigo Campo Hurtado, Jorge Eliécer Tamayo Marulanda, Juan Manuel Cortés, David Ricardo Racero, Santiago Osorio Marín, Hernán Darío Cadavid y Dióg</w:t>
      </w:r>
      <w:r>
        <w:rPr>
          <w:rFonts w:asciiTheme="majorHAnsi" w:eastAsia="Times New Roman" w:hAnsiTheme="majorHAnsi" w:cs="Arial"/>
          <w:sz w:val="28"/>
          <w:szCs w:val="28"/>
          <w:lang w:eastAsia="es-CO"/>
        </w:rPr>
        <w:t>enes Quintero Amaya.</w:t>
      </w:r>
    </w:p>
    <w:p w14:paraId="11430ADB" w14:textId="77777777" w:rsidR="00432F0D" w:rsidRPr="00432F0D" w:rsidRDefault="00432F0D" w:rsidP="00432F0D">
      <w:pPr>
        <w:pBdr>
          <w:top w:val="nil"/>
          <w:left w:val="nil"/>
          <w:bottom w:val="nil"/>
          <w:right w:val="nil"/>
          <w:between w:val="nil"/>
        </w:pBdr>
        <w:ind w:right="49"/>
        <w:jc w:val="both"/>
        <w:rPr>
          <w:rFonts w:asciiTheme="majorHAnsi" w:eastAsia="Times New Roman" w:hAnsiTheme="majorHAnsi" w:cs="Arial"/>
          <w:sz w:val="28"/>
          <w:szCs w:val="28"/>
          <w:lang w:eastAsia="es-CO"/>
        </w:rPr>
      </w:pPr>
      <w:r w:rsidRPr="00432F0D">
        <w:rPr>
          <w:rFonts w:asciiTheme="majorHAnsi" w:eastAsia="Times New Roman" w:hAnsiTheme="majorHAnsi" w:cs="Arial"/>
          <w:sz w:val="28"/>
          <w:szCs w:val="28"/>
          <w:lang w:eastAsia="es-CO"/>
        </w:rPr>
        <w:t>No obstante, en cumplimiento del artículo 153 de la Constitución Política y el artículo 190 de la Ley 5ª de 1992, la iniciativa fue archivada el 24 de junio de 2025 al finalizar la legislatura.</w:t>
      </w:r>
    </w:p>
    <w:p w14:paraId="54043D5D" w14:textId="77777777" w:rsidR="00432F0D" w:rsidRPr="00432F0D" w:rsidRDefault="00432F0D" w:rsidP="00432F0D">
      <w:pPr>
        <w:pBdr>
          <w:top w:val="nil"/>
          <w:left w:val="nil"/>
          <w:bottom w:val="nil"/>
          <w:right w:val="nil"/>
          <w:between w:val="nil"/>
        </w:pBdr>
        <w:ind w:right="49"/>
        <w:jc w:val="both"/>
        <w:rPr>
          <w:rFonts w:asciiTheme="majorHAnsi" w:eastAsia="Times New Roman" w:hAnsiTheme="majorHAnsi" w:cs="Arial"/>
          <w:sz w:val="28"/>
          <w:szCs w:val="28"/>
          <w:lang w:eastAsia="es-CO"/>
        </w:rPr>
      </w:pPr>
    </w:p>
    <w:p w14:paraId="41B2EF67" w14:textId="77777777" w:rsidR="00432F0D" w:rsidRPr="00432F0D" w:rsidRDefault="00432F0D" w:rsidP="00432F0D">
      <w:pPr>
        <w:pBdr>
          <w:top w:val="nil"/>
          <w:left w:val="nil"/>
          <w:bottom w:val="nil"/>
          <w:right w:val="nil"/>
          <w:between w:val="nil"/>
        </w:pBdr>
        <w:ind w:right="49"/>
        <w:jc w:val="both"/>
        <w:rPr>
          <w:rFonts w:asciiTheme="majorHAnsi" w:eastAsia="Times New Roman" w:hAnsiTheme="majorHAnsi" w:cs="Arial"/>
          <w:sz w:val="28"/>
          <w:szCs w:val="28"/>
          <w:lang w:eastAsia="es-CO"/>
        </w:rPr>
      </w:pPr>
      <w:r w:rsidRPr="00432F0D">
        <w:rPr>
          <w:rFonts w:asciiTheme="majorHAnsi" w:eastAsia="Times New Roman" w:hAnsiTheme="majorHAnsi" w:cs="Arial"/>
          <w:sz w:val="28"/>
          <w:szCs w:val="28"/>
          <w:lang w:eastAsia="es-CO"/>
        </w:rPr>
        <w:t xml:space="preserve">Consciente de la importancia del tema, el 29 de julio de 2025 la propuesta fue radicada nuevamente en la Cámara de Representantes, esta vez bajo el número Proyecto de Ley 086 de 2025 Cámara, con el mismo objeto de reformar la Ley 1475 de 2011 en materia de doble militancia. En esta ocasión, sus autores fueron los Honorables Representantes: Óscar Hernán Sánchez León, Carlos Felipe Quintero Ovalle, Álvaro Leonel Rueda Caballero, Juan Daniel Peñuela </w:t>
      </w:r>
      <w:proofErr w:type="spellStart"/>
      <w:r w:rsidRPr="00432F0D">
        <w:rPr>
          <w:rFonts w:asciiTheme="majorHAnsi" w:eastAsia="Times New Roman" w:hAnsiTheme="majorHAnsi" w:cs="Arial"/>
          <w:sz w:val="28"/>
          <w:szCs w:val="28"/>
          <w:lang w:eastAsia="es-CO"/>
        </w:rPr>
        <w:t>Calvache</w:t>
      </w:r>
      <w:proofErr w:type="spellEnd"/>
      <w:r w:rsidRPr="00432F0D">
        <w:rPr>
          <w:rFonts w:asciiTheme="majorHAnsi" w:eastAsia="Times New Roman" w:hAnsiTheme="majorHAnsi" w:cs="Arial"/>
          <w:sz w:val="28"/>
          <w:szCs w:val="28"/>
          <w:lang w:eastAsia="es-CO"/>
        </w:rPr>
        <w:t xml:space="preserve">, James Hermenegildo Mosquera Torres, Jorge Eliécer Tamayo Marulanda, </w:t>
      </w:r>
      <w:proofErr w:type="spellStart"/>
      <w:r w:rsidRPr="00432F0D">
        <w:rPr>
          <w:rFonts w:asciiTheme="majorHAnsi" w:eastAsia="Times New Roman" w:hAnsiTheme="majorHAnsi" w:cs="Arial"/>
          <w:sz w:val="28"/>
          <w:szCs w:val="28"/>
          <w:lang w:eastAsia="es-CO"/>
        </w:rPr>
        <w:t>Karyme</w:t>
      </w:r>
      <w:proofErr w:type="spellEnd"/>
      <w:r w:rsidRPr="00432F0D">
        <w:rPr>
          <w:rFonts w:asciiTheme="majorHAnsi" w:eastAsia="Times New Roman" w:hAnsiTheme="majorHAnsi" w:cs="Arial"/>
          <w:sz w:val="28"/>
          <w:szCs w:val="28"/>
          <w:lang w:eastAsia="es-CO"/>
        </w:rPr>
        <w:t xml:space="preserve"> Adriana Cotes Martínez, Juan Carlos </w:t>
      </w:r>
      <w:proofErr w:type="spellStart"/>
      <w:r w:rsidRPr="00432F0D">
        <w:rPr>
          <w:rFonts w:asciiTheme="majorHAnsi" w:eastAsia="Times New Roman" w:hAnsiTheme="majorHAnsi" w:cs="Arial"/>
          <w:sz w:val="28"/>
          <w:szCs w:val="28"/>
          <w:lang w:eastAsia="es-CO"/>
        </w:rPr>
        <w:t>Wills</w:t>
      </w:r>
      <w:proofErr w:type="spellEnd"/>
      <w:r w:rsidRPr="00432F0D">
        <w:rPr>
          <w:rFonts w:asciiTheme="majorHAnsi" w:eastAsia="Times New Roman" w:hAnsiTheme="majorHAnsi" w:cs="Arial"/>
          <w:sz w:val="28"/>
          <w:szCs w:val="28"/>
          <w:lang w:eastAsia="es-CO"/>
        </w:rPr>
        <w:t xml:space="preserve"> Ospina, Juan Manuel Cortés Dueñas y M</w:t>
      </w:r>
      <w:r w:rsidR="0007068A">
        <w:rPr>
          <w:rFonts w:asciiTheme="majorHAnsi" w:eastAsia="Times New Roman" w:hAnsiTheme="majorHAnsi" w:cs="Arial"/>
          <w:sz w:val="28"/>
          <w:szCs w:val="28"/>
          <w:lang w:eastAsia="es-CO"/>
        </w:rPr>
        <w:t>ónica Karina Bocanegra Pantoja.</w:t>
      </w:r>
    </w:p>
    <w:p w14:paraId="08971B5D" w14:textId="77777777" w:rsidR="00432F0D" w:rsidRPr="00432F0D" w:rsidRDefault="00432F0D" w:rsidP="00432F0D">
      <w:pPr>
        <w:pBdr>
          <w:top w:val="nil"/>
          <w:left w:val="nil"/>
          <w:bottom w:val="nil"/>
          <w:right w:val="nil"/>
          <w:between w:val="nil"/>
        </w:pBdr>
        <w:ind w:right="49"/>
        <w:jc w:val="both"/>
        <w:rPr>
          <w:rFonts w:asciiTheme="majorHAnsi" w:eastAsia="Times New Roman" w:hAnsiTheme="majorHAnsi" w:cs="Arial"/>
          <w:sz w:val="28"/>
          <w:szCs w:val="28"/>
          <w:lang w:eastAsia="es-CO"/>
        </w:rPr>
      </w:pPr>
      <w:r w:rsidRPr="00432F0D">
        <w:rPr>
          <w:rFonts w:asciiTheme="majorHAnsi" w:eastAsia="Times New Roman" w:hAnsiTheme="majorHAnsi" w:cs="Arial"/>
          <w:sz w:val="28"/>
          <w:szCs w:val="28"/>
          <w:lang w:eastAsia="es-CO"/>
        </w:rPr>
        <w:t xml:space="preserve">Finalmente, mediante el oficio CPCP31-0130-2025 del 27 de agosto de 2025, la Mesa Directiva de la Cámara de Representantes designó como ponente </w:t>
      </w:r>
      <w:r w:rsidR="0007068A">
        <w:rPr>
          <w:rFonts w:asciiTheme="majorHAnsi" w:eastAsia="Times New Roman" w:hAnsiTheme="majorHAnsi" w:cs="Arial"/>
          <w:sz w:val="28"/>
          <w:szCs w:val="28"/>
          <w:lang w:eastAsia="es-CO"/>
        </w:rPr>
        <w:t xml:space="preserve">único </w:t>
      </w:r>
      <w:r w:rsidRPr="00432F0D">
        <w:rPr>
          <w:rFonts w:asciiTheme="majorHAnsi" w:eastAsia="Times New Roman" w:hAnsiTheme="majorHAnsi" w:cs="Arial"/>
          <w:sz w:val="28"/>
          <w:szCs w:val="28"/>
          <w:lang w:eastAsia="es-CO"/>
        </w:rPr>
        <w:t>al Representante Óscar Hernán Sánchez León, quien hoy presenta la respectiva ponencia para primer debate.</w:t>
      </w:r>
    </w:p>
    <w:p w14:paraId="28016334" w14:textId="77777777" w:rsidR="00535F81" w:rsidRPr="00432F0D" w:rsidRDefault="00535F81" w:rsidP="00535F81">
      <w:pPr>
        <w:pStyle w:val="Prrafodelista"/>
        <w:numPr>
          <w:ilvl w:val="0"/>
          <w:numId w:val="27"/>
        </w:numPr>
        <w:pBdr>
          <w:top w:val="nil"/>
          <w:left w:val="nil"/>
          <w:bottom w:val="nil"/>
          <w:right w:val="nil"/>
          <w:between w:val="nil"/>
        </w:pBdr>
        <w:spacing w:line="276" w:lineRule="auto"/>
        <w:ind w:right="49"/>
        <w:rPr>
          <w:rFonts w:asciiTheme="majorHAnsi" w:eastAsia="Times New Roman" w:hAnsiTheme="majorHAnsi" w:cs="Arial"/>
          <w:b/>
          <w:sz w:val="28"/>
          <w:szCs w:val="28"/>
        </w:rPr>
      </w:pPr>
      <w:r w:rsidRPr="00432F0D">
        <w:rPr>
          <w:rFonts w:asciiTheme="majorHAnsi" w:eastAsia="Times New Roman" w:hAnsiTheme="majorHAnsi" w:cs="Arial"/>
          <w:b/>
          <w:sz w:val="28"/>
          <w:szCs w:val="28"/>
        </w:rPr>
        <w:t>JUSTIFICACIÓN.</w:t>
      </w:r>
    </w:p>
    <w:p w14:paraId="58478001" w14:textId="77777777" w:rsidR="00535F81" w:rsidRPr="00432F0D" w:rsidRDefault="00535F81" w:rsidP="00535F81">
      <w:pPr>
        <w:pStyle w:val="Prrafodelista"/>
        <w:pBdr>
          <w:top w:val="nil"/>
          <w:left w:val="nil"/>
          <w:bottom w:val="nil"/>
          <w:right w:val="nil"/>
          <w:between w:val="nil"/>
        </w:pBdr>
        <w:spacing w:line="276" w:lineRule="auto"/>
        <w:ind w:left="1080" w:right="49"/>
        <w:rPr>
          <w:rFonts w:asciiTheme="majorHAnsi" w:eastAsia="Times New Roman" w:hAnsiTheme="majorHAnsi" w:cs="Arial"/>
          <w:b/>
          <w:sz w:val="28"/>
          <w:szCs w:val="28"/>
        </w:rPr>
      </w:pPr>
    </w:p>
    <w:p w14:paraId="4A069675"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CONCEPTO Y EVOLUCION DE LA PROHIBICION DE DOBLE MILITANCIA.</w:t>
      </w:r>
    </w:p>
    <w:p w14:paraId="79C6D62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el marco del ordenamiento jurídico colombiano, la figura de la doble militancia surgió con la Reforma Política establecida por el Acto Legislativo 01 de 2003, cuyo objetivo principal fue fortalecer los partidos políticos, consolidándolos como uno de los pilares fundamentales del sistema democrático. Esta reforma buscaba fomentar un establecimiento ideológico que facilitara la identificación de los ciudadanos con una colectividad política específica. En su ejercicio, la reforma reconoció diversas deficiencias en el sistema electoral, lo que llevó a la propuesta de medidas correctivas orientadas a optimizar el funcionamiento del mismo y a garantizar la estabilidad y transparencia del proceso político en el país.</w:t>
      </w:r>
    </w:p>
    <w:p w14:paraId="5C12733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Entre las medidas más relevantes de la reforma, además de la prohibición de la doble militancia para los ciudadanos, se establecieron requisitos más rigurosos para la creación de partidos políticos, con el fin de fortalecer su estructura y representatividad. Asimismo, se implementó el umbral electoral como un mecanismo para garantizar la viabilidad de las opciones políticas en el proceso democrático. Se introdujeron restricciones al derecho de postularse, estableciendo un número máximo de candidatos o listas por partido, y se otorgó al legislador la facultad de imponer requisitos adicionales para la inscripción de candidaturas o listas, con el objetivo de asegurar un sistema electoral más ordenado y representativo.</w:t>
      </w:r>
    </w:p>
    <w:p w14:paraId="4ADB68FD"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relación con la doble militancia, el informe de ponencia para el primer debate del Senado del 30 de septiembre de 2002 mencionaba lo siguiente:</w:t>
      </w:r>
    </w:p>
    <w:p w14:paraId="5E57817C"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proyectos proponen además que se establezcan limitantes a la posibilidad de pertenecer simultáneamente a más de un partido o movimiento político, pero con una diferencia. Mientras que en el Proyecto 01 la prohibición se aplica a todos los ciudadanos, en el Proyecto 03 la limitación se aplica sólo a los candidatos o elegidos. La mayoría de los ponentes considera que el objetivo de fortalecer los partidos se alcanza de mejor manera por la vía propuesta en el Proyecto 01, en el entendido de que, en todo caso, no es obligatorio pertenecer a ningún partido. No obstante, una vez decidida autónomamente la militancia por parte del ciudadano, esta debe implicar responsabilidades y compromisos, que garantizaría mejor la prohibición a la doble militancia para todos los ciudadanos y no sólo para los candidatos o elegidos</w:t>
      </w:r>
      <w:r w:rsidRPr="00432F0D">
        <w:rPr>
          <w:rStyle w:val="Refdenotaalpie"/>
          <w:rFonts w:asciiTheme="majorHAnsi" w:hAnsiTheme="majorHAnsi" w:cs="Arial"/>
          <w:sz w:val="28"/>
          <w:szCs w:val="28"/>
        </w:rPr>
        <w:footnoteReference w:id="1"/>
      </w:r>
    </w:p>
    <w:p w14:paraId="5E0F482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agosto de 2008, con el propósito de fortalecer la democratización interna de los partidos políticos, garantizar su responsabilidad política y promover la transparencia en las relaciones entre los poderes públicos, se presentó un proyecto de reforma constitucional. Este también buscaba proteger el sistema democrático frente a la influencia de organizaciones criminales y actores ilegales, con el fin de preservar la integridad y estabilidad del proceso político. Dicho proyecto fue aprobado y promulgado el 14 de julio de 2009, consolidándose como el Acto Legislativo 01 de 2009. Este acto no solo ratificó las prohibiciones previamente establecidas en relación con la doble militancia, sino que introdujo nuevas disposiciones fundamentales. Entre las más relevantes, se dispuso que los miembros de corporaciones públicas que desearan postularse por un partido diferente en la siguiente elección debían renunciar a su curul al menos doce (12) meses antes del primer día de inscripciones. Además, se reforzó la responsabilidad de los partidos políticos en la concesión de avales, implementando medidas para consolidar la coherencia interna y la integridad de las colectividades políticas, con el objetivo de fortalecer el marco democrático colombiano.</w:t>
      </w:r>
    </w:p>
    <w:p w14:paraId="0B4F5B9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parágrafo 2º del artículo 1º del Acto Legislativo estableció que el legislador, a través de la ley estatutaria, desarrollaría este aspecto. Tras la reforma constitucional de 2009, la jurisprudencia de la Sección Electoral mantuvo la prohibición de doble militancia, considerando que la norma permaneció intacta. Así, se reafirmó que el Constituyente derivado, en sus reformas posteriores, ha incrementado la disciplina de las agrupaciones políticas para fortalecer el sistema de bancadas. El artículo 107 de la Constitución, modificado por el Acto Legislativo 01 de 2009, conserva la prohibición desde 2003, que establece: i) "En ningún caso se permitirá a los ciudadanos pertenecer simultáneamente a más de un partido o movimiento político con personería jurídica"; y ii) "Quien participe en las consultas de un partido o movimiento político o en consultas interpartidistas, no podrá inscribirse por otro en el mismo proceso electoral."</w:t>
      </w:r>
    </w:p>
    <w:p w14:paraId="7E7A0A9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restricción constitucional sobre la doble militancia fue desarrollada por la Ley 1475 de 2011, que definió el alcance de esta prohibición y sus modalidades en su artículo 2º. En dicha ley se establece que en ningún caso se permitirá la pertenencia simultánea a más de un partido o movimiento político. La militancia o pertenencia a una organización política se define por la inscripción del ciudadano ante la respectiva entidad, conforme al sistema de identificación y registro adoptado, el cual debe cumplir con las leyes de protección de datos. También se precisa que quienes desempeñen cargos de dirección, gobierno, administración o control en partidos o movimientos políticos, o aspiren a ser elegidos en cargos de elección popular, no podrán apoyar a candidatos de otros partidos. Además, los candidatos electos deberán permanecer en el partido que los inscribió mientras ostenten el cargo, y si deciden postularse nuevamente por otro partido, deberán renunciar a su curul al menos doce (12) meses antes de las inscripciones.</w:t>
      </w:r>
    </w:p>
    <w:p w14:paraId="2AF464E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directivos de partidos que deseen postularse por otro partido o grupo significativo de ciudadanos deberán renunciar a su cargo con al menos doce (12) meses de antelación. El incumplimiento de estas disposiciones será sancionado con la revocatoria de la inscripción en el caso de los candidatos.</w:t>
      </w:r>
    </w:p>
    <w:p w14:paraId="7CCF87B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parágrafo de la ley establece que los miembros de partidos o movimientos disueltos por decisión de sus miembros o que pierdan la personería jurídica por causas distintas a las sanciones previstas, podrán inscribirse en otro partido con personería jurídica sin incurrir en doble militancia.</w:t>
      </w:r>
    </w:p>
    <w:p w14:paraId="4096989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norma estatutaria desarrolló la prohibición de doble militancia, replicando aspectos esenciales de las reformas constitucionales, como la simultaneidad partidista y la obligación de renunciar a la curul para quienes deseen postularse por un partido diferente. Además, introdujo dos conductas que constituyen doble militancia: una, relacionada con los miembros de organizaciones políticas en cargos de dirección, gobierno, administración o control, que deben abstenerse de apoyar candidatos de partidos distintos, y otra, que obliga a los directivos de partidos a renunciar a sus cargos si desean postularse o aceptar un nuevo cargo en un partido diferente.</w:t>
      </w:r>
    </w:p>
    <w:p w14:paraId="6C682D9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Corte Constitucional, al revisar la reforma, señaló que el legislador estatutario tiene la facultad de incorporar regulaciones más estrictas respecto a la prohibición de doble militancia, extendiéndola incluso a las agrupaciones políticas sin personería jurídica. En conclusión, tanto las agrupaciones políticas con personería jurídica como las que carecen de ella están facultadas para presentar candidatos, y dado que ambas pueden presentar candidaturas, y que uno de los fundamentos constitucionales de la restricción de la doble militancia es la preservación del principio democrático representativo, no tiene justificación que esta restricción se aplique solo a las primeras.</w:t>
      </w:r>
    </w:p>
    <w:p w14:paraId="73AB0E0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tanto, se puede evidenciar que desde el desarrollo del constituyente y legislativo, se desarrollan y categorizan</w:t>
      </w:r>
      <w:r w:rsidRPr="00432F0D">
        <w:rPr>
          <w:rFonts w:asciiTheme="majorHAnsi" w:hAnsiTheme="majorHAnsi" w:cs="Arial"/>
          <w:sz w:val="28"/>
          <w:szCs w:val="28"/>
        </w:rPr>
        <w:t xml:space="preserve"> las acciones doble militancias, de la siguiente manera:</w:t>
      </w:r>
    </w:p>
    <w:tbl>
      <w:tblPr>
        <w:tblStyle w:val="Tablaconcuadrcula"/>
        <w:tblW w:w="9918" w:type="dxa"/>
        <w:tblLook w:val="04A0" w:firstRow="1" w:lastRow="0" w:firstColumn="1" w:lastColumn="0" w:noHBand="0" w:noVBand="1"/>
      </w:tblPr>
      <w:tblGrid>
        <w:gridCol w:w="2547"/>
        <w:gridCol w:w="3338"/>
        <w:gridCol w:w="4033"/>
      </w:tblGrid>
      <w:tr w:rsidR="00535F81" w:rsidRPr="0007068A" w14:paraId="22CFE853" w14:textId="77777777" w:rsidTr="0007068A">
        <w:tc>
          <w:tcPr>
            <w:tcW w:w="2547" w:type="dxa"/>
            <w:shd w:val="clear" w:color="auto" w:fill="D0CECE" w:themeFill="background2" w:themeFillShade="E6"/>
          </w:tcPr>
          <w:p w14:paraId="0445A6F8" w14:textId="77777777" w:rsidR="00535F81" w:rsidRPr="0007068A" w:rsidRDefault="00535F81" w:rsidP="00822D8D">
            <w:pPr>
              <w:spacing w:line="276" w:lineRule="auto"/>
              <w:ind w:right="49"/>
              <w:jc w:val="center"/>
              <w:rPr>
                <w:rFonts w:asciiTheme="majorHAnsi" w:eastAsia="Times New Roman" w:hAnsiTheme="majorHAnsi" w:cs="Arial"/>
                <w:b/>
              </w:rPr>
            </w:pPr>
          </w:p>
          <w:p w14:paraId="7F2320C7" w14:textId="77777777" w:rsidR="00535F81" w:rsidRPr="0007068A" w:rsidRDefault="00535F81" w:rsidP="00822D8D">
            <w:pPr>
              <w:spacing w:line="276" w:lineRule="auto"/>
              <w:ind w:right="49"/>
              <w:jc w:val="center"/>
              <w:rPr>
                <w:rFonts w:asciiTheme="majorHAnsi" w:eastAsia="Times New Roman" w:hAnsiTheme="majorHAnsi" w:cs="Arial"/>
                <w:b/>
              </w:rPr>
            </w:pPr>
            <w:r w:rsidRPr="0007068A">
              <w:rPr>
                <w:rFonts w:asciiTheme="majorHAnsi" w:eastAsia="Times New Roman" w:hAnsiTheme="majorHAnsi" w:cs="Arial"/>
                <w:b/>
              </w:rPr>
              <w:t>SUJETO</w:t>
            </w:r>
          </w:p>
          <w:p w14:paraId="01AD6457" w14:textId="77777777" w:rsidR="00535F81" w:rsidRPr="0007068A" w:rsidRDefault="00535F81" w:rsidP="00822D8D">
            <w:pPr>
              <w:spacing w:line="276" w:lineRule="auto"/>
              <w:ind w:right="49"/>
              <w:jc w:val="center"/>
              <w:rPr>
                <w:rFonts w:asciiTheme="majorHAnsi" w:eastAsia="Times New Roman" w:hAnsiTheme="majorHAnsi" w:cs="Arial"/>
                <w:b/>
              </w:rPr>
            </w:pPr>
          </w:p>
        </w:tc>
        <w:tc>
          <w:tcPr>
            <w:tcW w:w="3338" w:type="dxa"/>
            <w:shd w:val="clear" w:color="auto" w:fill="D0CECE" w:themeFill="background2" w:themeFillShade="E6"/>
          </w:tcPr>
          <w:p w14:paraId="73EEFC66" w14:textId="77777777" w:rsidR="00535F81" w:rsidRPr="0007068A" w:rsidRDefault="00535F81" w:rsidP="00822D8D">
            <w:pPr>
              <w:spacing w:line="276" w:lineRule="auto"/>
              <w:ind w:right="49"/>
              <w:jc w:val="center"/>
              <w:rPr>
                <w:rFonts w:asciiTheme="majorHAnsi" w:eastAsia="Times New Roman" w:hAnsiTheme="majorHAnsi" w:cs="Arial"/>
                <w:b/>
              </w:rPr>
            </w:pPr>
          </w:p>
          <w:p w14:paraId="3255C800" w14:textId="77777777" w:rsidR="00535F81" w:rsidRPr="0007068A" w:rsidRDefault="00535F81" w:rsidP="00822D8D">
            <w:pPr>
              <w:spacing w:line="276" w:lineRule="auto"/>
              <w:ind w:right="49"/>
              <w:jc w:val="center"/>
              <w:rPr>
                <w:rFonts w:asciiTheme="majorHAnsi" w:eastAsia="Times New Roman" w:hAnsiTheme="majorHAnsi" w:cs="Arial"/>
                <w:b/>
              </w:rPr>
            </w:pPr>
            <w:r w:rsidRPr="0007068A">
              <w:rPr>
                <w:rFonts w:asciiTheme="majorHAnsi" w:eastAsia="Times New Roman" w:hAnsiTheme="majorHAnsi" w:cs="Arial"/>
                <w:b/>
              </w:rPr>
              <w:t>CONDUCTA</w:t>
            </w:r>
          </w:p>
        </w:tc>
        <w:tc>
          <w:tcPr>
            <w:tcW w:w="4033" w:type="dxa"/>
            <w:shd w:val="clear" w:color="auto" w:fill="D0CECE" w:themeFill="background2" w:themeFillShade="E6"/>
          </w:tcPr>
          <w:p w14:paraId="1FE6649F" w14:textId="77777777" w:rsidR="00535F81" w:rsidRPr="0007068A" w:rsidRDefault="00535F81" w:rsidP="00822D8D">
            <w:pPr>
              <w:spacing w:line="276" w:lineRule="auto"/>
              <w:ind w:right="49"/>
              <w:jc w:val="center"/>
              <w:rPr>
                <w:rFonts w:asciiTheme="majorHAnsi" w:eastAsia="Times New Roman" w:hAnsiTheme="majorHAnsi" w:cs="Arial"/>
                <w:b/>
              </w:rPr>
            </w:pPr>
          </w:p>
          <w:p w14:paraId="64AED936" w14:textId="77777777" w:rsidR="00535F81" w:rsidRPr="0007068A" w:rsidRDefault="00535F81" w:rsidP="00822D8D">
            <w:pPr>
              <w:spacing w:line="276" w:lineRule="auto"/>
              <w:ind w:right="49"/>
              <w:jc w:val="center"/>
              <w:rPr>
                <w:rFonts w:asciiTheme="majorHAnsi" w:eastAsia="Times New Roman" w:hAnsiTheme="majorHAnsi" w:cs="Arial"/>
                <w:b/>
              </w:rPr>
            </w:pPr>
            <w:r w:rsidRPr="0007068A">
              <w:rPr>
                <w:rFonts w:asciiTheme="majorHAnsi" w:eastAsia="Times New Roman" w:hAnsiTheme="majorHAnsi" w:cs="Arial"/>
                <w:b/>
              </w:rPr>
              <w:t>INSTRUMENTO LEGAL</w:t>
            </w:r>
          </w:p>
        </w:tc>
      </w:tr>
      <w:tr w:rsidR="00535F81" w:rsidRPr="0007068A" w14:paraId="59EAAA01" w14:textId="77777777" w:rsidTr="0007068A">
        <w:tc>
          <w:tcPr>
            <w:tcW w:w="2547" w:type="dxa"/>
          </w:tcPr>
          <w:p w14:paraId="1D108DB9"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Los ciudadanos</w:t>
            </w:r>
          </w:p>
        </w:tc>
        <w:tc>
          <w:tcPr>
            <w:tcW w:w="3338" w:type="dxa"/>
          </w:tcPr>
          <w:p w14:paraId="1F19B652" w14:textId="77777777" w:rsidR="00535F81" w:rsidRPr="0007068A" w:rsidRDefault="0007068A" w:rsidP="00822D8D">
            <w:pPr>
              <w:spacing w:line="276" w:lineRule="auto"/>
              <w:ind w:right="49"/>
              <w:jc w:val="both"/>
              <w:rPr>
                <w:rFonts w:asciiTheme="majorHAnsi" w:eastAsia="Times New Roman" w:hAnsiTheme="majorHAnsi" w:cs="Arial"/>
              </w:rPr>
            </w:pPr>
            <w:r>
              <w:rPr>
                <w:rFonts w:asciiTheme="majorHAnsi" w:eastAsia="Times New Roman" w:hAnsiTheme="majorHAnsi" w:cs="Arial"/>
              </w:rPr>
              <w:t xml:space="preserve">Pertenecer simultáneamente a más de un partido o movimiento </w:t>
            </w:r>
            <w:r w:rsidR="00535F81" w:rsidRPr="0007068A">
              <w:rPr>
                <w:rFonts w:asciiTheme="majorHAnsi" w:eastAsia="Times New Roman" w:hAnsiTheme="majorHAnsi" w:cs="Arial"/>
              </w:rPr>
              <w:t>político.</w:t>
            </w:r>
          </w:p>
        </w:tc>
        <w:tc>
          <w:tcPr>
            <w:tcW w:w="4033" w:type="dxa"/>
          </w:tcPr>
          <w:p w14:paraId="38741F89"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Acto Legislativo 01 de 2003</w:t>
            </w:r>
          </w:p>
        </w:tc>
      </w:tr>
      <w:tr w:rsidR="00535F81" w:rsidRPr="0007068A" w14:paraId="0C5DE69B" w14:textId="77777777" w:rsidTr="0007068A">
        <w:tc>
          <w:tcPr>
            <w:tcW w:w="2547" w:type="dxa"/>
          </w:tcPr>
          <w:p w14:paraId="1A88BD09"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Quienes participen en</w:t>
            </w:r>
          </w:p>
          <w:p w14:paraId="0AC8BF7D"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consultas internas o</w:t>
            </w:r>
          </w:p>
          <w:p w14:paraId="5266E13F"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interpartidistas</w:t>
            </w:r>
          </w:p>
        </w:tc>
        <w:tc>
          <w:tcPr>
            <w:tcW w:w="3338" w:type="dxa"/>
          </w:tcPr>
          <w:p w14:paraId="4FDC08A0" w14:textId="77777777" w:rsidR="00535F81" w:rsidRPr="0007068A" w:rsidRDefault="0007068A" w:rsidP="00822D8D">
            <w:pPr>
              <w:spacing w:line="276" w:lineRule="auto"/>
              <w:ind w:right="49"/>
              <w:jc w:val="both"/>
              <w:rPr>
                <w:rFonts w:asciiTheme="majorHAnsi" w:eastAsia="Times New Roman" w:hAnsiTheme="majorHAnsi" w:cs="Arial"/>
              </w:rPr>
            </w:pPr>
            <w:r>
              <w:rPr>
                <w:rFonts w:asciiTheme="majorHAnsi" w:eastAsia="Times New Roman" w:hAnsiTheme="majorHAnsi" w:cs="Arial"/>
              </w:rPr>
              <w:t xml:space="preserve">Inscribirse por otro partido o movimiento político en el mismo </w:t>
            </w:r>
            <w:r w:rsidR="00535F81" w:rsidRPr="0007068A">
              <w:rPr>
                <w:rFonts w:asciiTheme="majorHAnsi" w:eastAsia="Times New Roman" w:hAnsiTheme="majorHAnsi" w:cs="Arial"/>
              </w:rPr>
              <w:t>proceso electoral.</w:t>
            </w:r>
          </w:p>
        </w:tc>
        <w:tc>
          <w:tcPr>
            <w:tcW w:w="4033" w:type="dxa"/>
          </w:tcPr>
          <w:p w14:paraId="4743BAB1"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Inciso 5 artículo 107</w:t>
            </w:r>
            <w:r w:rsidRPr="0007068A">
              <w:rPr>
                <w:rFonts w:asciiTheme="majorHAnsi" w:hAnsiTheme="majorHAnsi" w:cs="Arial"/>
              </w:rPr>
              <w:t xml:space="preserve"> </w:t>
            </w:r>
            <w:r w:rsidRPr="0007068A">
              <w:rPr>
                <w:rFonts w:asciiTheme="majorHAnsi" w:eastAsia="Times New Roman" w:hAnsiTheme="majorHAnsi" w:cs="Arial"/>
              </w:rPr>
              <w:t>de la Constitución Política.</w:t>
            </w:r>
          </w:p>
        </w:tc>
      </w:tr>
      <w:tr w:rsidR="00535F81" w:rsidRPr="0007068A" w14:paraId="7921107B" w14:textId="77777777" w:rsidTr="0007068A">
        <w:tc>
          <w:tcPr>
            <w:tcW w:w="2547" w:type="dxa"/>
          </w:tcPr>
          <w:p w14:paraId="096474AB"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Miembros de una</w:t>
            </w:r>
          </w:p>
          <w:p w14:paraId="6DDC8BFA"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corporación pública</w:t>
            </w:r>
          </w:p>
        </w:tc>
        <w:tc>
          <w:tcPr>
            <w:tcW w:w="3338" w:type="dxa"/>
          </w:tcPr>
          <w:p w14:paraId="40F2D714" w14:textId="77777777" w:rsidR="00535F81" w:rsidRPr="0007068A" w:rsidRDefault="0007068A" w:rsidP="00822D8D">
            <w:pPr>
              <w:spacing w:line="276" w:lineRule="auto"/>
              <w:ind w:right="49"/>
              <w:jc w:val="both"/>
              <w:rPr>
                <w:rFonts w:asciiTheme="majorHAnsi" w:eastAsia="Times New Roman" w:hAnsiTheme="majorHAnsi" w:cs="Arial"/>
              </w:rPr>
            </w:pPr>
            <w:r>
              <w:rPr>
                <w:rFonts w:asciiTheme="majorHAnsi" w:eastAsia="Times New Roman" w:hAnsiTheme="majorHAnsi" w:cs="Arial"/>
              </w:rPr>
              <w:t xml:space="preserve">Inscribirse a una colectividad distinta a la </w:t>
            </w:r>
            <w:r w:rsidR="00535F81" w:rsidRPr="0007068A">
              <w:rPr>
                <w:rFonts w:asciiTheme="majorHAnsi" w:eastAsia="Times New Roman" w:hAnsiTheme="majorHAnsi" w:cs="Arial"/>
              </w:rPr>
              <w:t>que</w:t>
            </w:r>
            <w:r>
              <w:rPr>
                <w:rFonts w:asciiTheme="majorHAnsi" w:eastAsia="Times New Roman" w:hAnsiTheme="majorHAnsi" w:cs="Arial"/>
              </w:rPr>
              <w:t xml:space="preserve"> los apoyó sin </w:t>
            </w:r>
            <w:r w:rsidR="00535F81" w:rsidRPr="0007068A">
              <w:rPr>
                <w:rFonts w:asciiTheme="majorHAnsi" w:eastAsia="Times New Roman" w:hAnsiTheme="majorHAnsi" w:cs="Arial"/>
              </w:rPr>
              <w:t>renunciar a esta.</w:t>
            </w:r>
          </w:p>
        </w:tc>
        <w:tc>
          <w:tcPr>
            <w:tcW w:w="4033" w:type="dxa"/>
          </w:tcPr>
          <w:p w14:paraId="3F31EB6A"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 xml:space="preserve">Inciso 12 del artículo 107 </w:t>
            </w:r>
          </w:p>
        </w:tc>
      </w:tr>
      <w:tr w:rsidR="00535F81" w:rsidRPr="0007068A" w14:paraId="7328DEBE" w14:textId="77777777" w:rsidTr="0007068A">
        <w:tc>
          <w:tcPr>
            <w:tcW w:w="2547" w:type="dxa"/>
          </w:tcPr>
          <w:p w14:paraId="048229C3"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Quienes ostenten cargos de dirección, gobierno, administración o control o hayan sido o aspiren ser elegidos en cargos o corporaciones de elección popular</w:t>
            </w:r>
          </w:p>
        </w:tc>
        <w:tc>
          <w:tcPr>
            <w:tcW w:w="3338" w:type="dxa"/>
          </w:tcPr>
          <w:p w14:paraId="1088C0AF"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Apoyar candidatos distintos a los inscritos por el partido o movimiento político al cual se encuentren afiliados.</w:t>
            </w:r>
          </w:p>
        </w:tc>
        <w:tc>
          <w:tcPr>
            <w:tcW w:w="4033" w:type="dxa"/>
          </w:tcPr>
          <w:p w14:paraId="6954BECE"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hAnsiTheme="majorHAnsi" w:cs="Arial"/>
              </w:rPr>
              <w:t>Inciso 2° del artículo 2° de la Ley 1475 de 2011</w:t>
            </w:r>
          </w:p>
        </w:tc>
      </w:tr>
      <w:tr w:rsidR="00535F81" w:rsidRPr="0007068A" w14:paraId="5EE491A6" w14:textId="77777777" w:rsidTr="0007068A">
        <w:tc>
          <w:tcPr>
            <w:tcW w:w="2547" w:type="dxa"/>
          </w:tcPr>
          <w:p w14:paraId="01F60D2C"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Directivos de las organizaciones políticas</w:t>
            </w:r>
          </w:p>
        </w:tc>
        <w:tc>
          <w:tcPr>
            <w:tcW w:w="3338" w:type="dxa"/>
          </w:tcPr>
          <w:p w14:paraId="5764050F"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Aspirar a un cargo de elección popular o formar parte de los órganos directivos de otra organización política.</w:t>
            </w:r>
          </w:p>
        </w:tc>
        <w:tc>
          <w:tcPr>
            <w:tcW w:w="4033" w:type="dxa"/>
          </w:tcPr>
          <w:p w14:paraId="3322F382" w14:textId="77777777" w:rsidR="00535F81" w:rsidRPr="0007068A" w:rsidRDefault="00535F81" w:rsidP="00822D8D">
            <w:pPr>
              <w:spacing w:line="276" w:lineRule="auto"/>
              <w:ind w:right="49"/>
              <w:jc w:val="both"/>
              <w:rPr>
                <w:rFonts w:asciiTheme="majorHAnsi" w:eastAsia="Times New Roman" w:hAnsiTheme="majorHAnsi" w:cs="Arial"/>
              </w:rPr>
            </w:pPr>
            <w:r w:rsidRPr="0007068A">
              <w:rPr>
                <w:rFonts w:asciiTheme="majorHAnsi" w:eastAsia="Times New Roman" w:hAnsiTheme="majorHAnsi" w:cs="Arial"/>
              </w:rPr>
              <w:t>Inciso 3° del artículo 2° de la Ley 1475 de 2011</w:t>
            </w:r>
          </w:p>
        </w:tc>
      </w:tr>
    </w:tbl>
    <w:p w14:paraId="01B47BD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03FF246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Sin embargo, de esta categorización se observa que en los diferentes preceptos constitucionales y legales no se consideraron estrictamente a los candidatos de las coaliciones electorales como destinatarios de las conductas allí descritas, constitutivas de doble militancia. No obstante, vía jurisprudencia del Consejo de Estado, la modalidad de apoyo y sus efectos han sido extendidos a las candidaturas que emergen en el marco de una coalición electoral, razón por la cual, es necesario garantizar la creación de normas objetivas que permitan encuadrar dichas conductas al marco normativo, dándole tranquilidad al candidato y al juzgador.</w:t>
      </w:r>
    </w:p>
    <w:p w14:paraId="6E2503BF" w14:textId="77777777" w:rsidR="00535F81" w:rsidRPr="0007068A"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COALICIONES ELECTORALES</w:t>
      </w:r>
    </w:p>
    <w:p w14:paraId="1D0DB64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De manera paralela a las acciones destinadas a fortalecer los partidos políticos, el artículo 29 de la Ley 1475 de 2011 establece la posibilidad de que los movimientos políticos se coaliguen entre sí o con partidos políticos para inscribir candidatos. Según Cruz y </w:t>
      </w:r>
      <w:proofErr w:type="spellStart"/>
      <w:r w:rsidRPr="00432F0D">
        <w:rPr>
          <w:rFonts w:asciiTheme="majorHAnsi" w:eastAsia="Times New Roman" w:hAnsiTheme="majorHAnsi" w:cs="Arial"/>
          <w:sz w:val="28"/>
          <w:szCs w:val="28"/>
        </w:rPr>
        <w:t>Goyburu</w:t>
      </w:r>
      <w:proofErr w:type="spellEnd"/>
      <w:r w:rsidRPr="00432F0D">
        <w:rPr>
          <w:rFonts w:asciiTheme="majorHAnsi" w:eastAsia="Times New Roman" w:hAnsiTheme="majorHAnsi" w:cs="Arial"/>
          <w:sz w:val="28"/>
          <w:szCs w:val="28"/>
        </w:rPr>
        <w:t xml:space="preserve">, las coaliciones electorales se entienden como un acuerdo político entre dos o más partidos con el objetivo de acceder a cargos de elección popular, ya sea a nivel nacional o </w:t>
      </w:r>
      <w:proofErr w:type="spellStart"/>
      <w:r w:rsidRPr="00432F0D">
        <w:rPr>
          <w:rFonts w:asciiTheme="majorHAnsi" w:eastAsia="Times New Roman" w:hAnsiTheme="majorHAnsi" w:cs="Arial"/>
          <w:sz w:val="28"/>
          <w:szCs w:val="28"/>
        </w:rPr>
        <w:t>subnacional</w:t>
      </w:r>
      <w:proofErr w:type="spellEnd"/>
      <w:r w:rsidRPr="00432F0D">
        <w:rPr>
          <w:rFonts w:asciiTheme="majorHAnsi" w:eastAsia="Times New Roman" w:hAnsiTheme="majorHAnsi" w:cs="Arial"/>
          <w:sz w:val="28"/>
          <w:szCs w:val="28"/>
        </w:rPr>
        <w:t xml:space="preserve">. Estas coaliciones se distinguen por compartir una ideología política común. Por su parte, </w:t>
      </w:r>
      <w:proofErr w:type="spellStart"/>
      <w:r w:rsidRPr="00432F0D">
        <w:rPr>
          <w:rFonts w:asciiTheme="majorHAnsi" w:eastAsia="Times New Roman" w:hAnsiTheme="majorHAnsi" w:cs="Arial"/>
          <w:sz w:val="28"/>
          <w:szCs w:val="28"/>
        </w:rPr>
        <w:t>Reniu</w:t>
      </w:r>
      <w:proofErr w:type="spellEnd"/>
      <w:r w:rsidRPr="00432F0D">
        <w:rPr>
          <w:rFonts w:asciiTheme="majorHAnsi" w:eastAsia="Times New Roman" w:hAnsiTheme="majorHAnsi" w:cs="Arial"/>
          <w:sz w:val="28"/>
          <w:szCs w:val="28"/>
        </w:rPr>
        <w:t xml:space="preserve"> (2001) argumenta que tal conformación puede ser transitoria, culminando con el proceso electoral, aunque también puede evolucionar hacia una coalición de gobierno.</w:t>
      </w:r>
    </w:p>
    <w:p w14:paraId="3216B51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Esta facultad es especialmente relevante en sistemas electorales fragmentados o con un enfoque territorial, permitiendo que partidos más pequeños superen la barrera electoral y logren representación efectiva. Además, los acuerdos de coalición simplifican el proceso electoral en contextos con una amplia oferta partidista. De este modo, las coaliciones no implican la modificación de los estatutos de los partidos ni su pérdida de formalidad; por el contrario, refuerzan la representatividad del elector.</w:t>
      </w:r>
    </w:p>
    <w:p w14:paraId="2C2EBB8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Este enfoque adquiere gran relevancia, ya que demuestra que las coaliciones no solo han surgido como un instrumento para acceder al poder, sino también como una respuesta a la proliferación excesiva de partidos que contribuyen a la fragmentación del sistema electoral. Este fenómeno, a su vez, afecta directamente la interpretación de la militancia y, por ende, la normativa que rige este aspecto.</w:t>
      </w:r>
    </w:p>
    <w:p w14:paraId="17DDFBE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Según cifras de la MOE (2022)</w:t>
      </w:r>
      <w:r w:rsidRPr="00432F0D">
        <w:rPr>
          <w:rStyle w:val="Refdenotaalpie"/>
          <w:rFonts w:asciiTheme="majorHAnsi" w:hAnsiTheme="majorHAnsi" w:cs="Arial"/>
          <w:sz w:val="28"/>
          <w:szCs w:val="28"/>
        </w:rPr>
        <w:footnoteReference w:id="2"/>
      </w:r>
      <w:r w:rsidRPr="00432F0D">
        <w:rPr>
          <w:rFonts w:asciiTheme="majorHAnsi" w:eastAsia="Times New Roman" w:hAnsiTheme="majorHAnsi" w:cs="Arial"/>
          <w:sz w:val="28"/>
          <w:szCs w:val="28"/>
        </w:rPr>
        <w:t>, en las elecciones para la Cámara de Representantes del año 2018 se inscribieron 89 candidaturas mediante coalición, mientras que en 2022 esa cifra ascendió a 412 candidatos, lo que representa un aumento porcentual del 362,9%. De manera similar, en el caso del Senado de la República, durante el primer periodo se presentaron 83 candidaturas por coalición, y para el segundo periodo de referencia el número subió a 233, lo que implica un incremento del 180,7%.</w:t>
      </w:r>
    </w:p>
    <w:p w14:paraId="3A155AB5" w14:textId="77777777" w:rsidR="00535F81" w:rsidRPr="00432F0D" w:rsidRDefault="0007068A"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noProof/>
          <w:sz w:val="28"/>
          <w:szCs w:val="28"/>
          <w:lang w:eastAsia="es-CO"/>
        </w:rPr>
        <w:drawing>
          <wp:anchor distT="0" distB="0" distL="114300" distR="114300" simplePos="0" relativeHeight="251659264" behindDoc="1" locked="0" layoutInCell="1" allowOverlap="1" wp14:anchorId="19732790" wp14:editId="71C17987">
            <wp:simplePos x="0" y="0"/>
            <wp:positionH relativeFrom="column">
              <wp:posOffset>17780</wp:posOffset>
            </wp:positionH>
            <wp:positionV relativeFrom="paragraph">
              <wp:posOffset>54610</wp:posOffset>
            </wp:positionV>
            <wp:extent cx="6124575" cy="1884045"/>
            <wp:effectExtent l="0" t="0" r="9525"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4575" cy="1884045"/>
                    </a:xfrm>
                    <a:prstGeom prst="rect">
                      <a:avLst/>
                    </a:prstGeom>
                  </pic:spPr>
                </pic:pic>
              </a:graphicData>
            </a:graphic>
            <wp14:sizeRelH relativeFrom="page">
              <wp14:pctWidth>0</wp14:pctWidth>
            </wp14:sizeRelH>
            <wp14:sizeRelV relativeFrom="page">
              <wp14:pctHeight>0</wp14:pctHeight>
            </wp14:sizeRelV>
          </wp:anchor>
        </w:drawing>
      </w:r>
    </w:p>
    <w:p w14:paraId="6045956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6881DE2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59350F9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63A3998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16468892"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2AF2146B"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sz w:val="18"/>
          <w:szCs w:val="18"/>
        </w:rPr>
      </w:pPr>
      <w:r w:rsidRPr="0007068A">
        <w:rPr>
          <w:rFonts w:asciiTheme="majorHAnsi" w:eastAsia="Times New Roman" w:hAnsiTheme="majorHAnsi" w:cs="Arial"/>
          <w:b/>
          <w:sz w:val="18"/>
          <w:szCs w:val="18"/>
        </w:rPr>
        <w:t>Fuente:</w:t>
      </w:r>
      <w:r w:rsidRPr="0007068A">
        <w:rPr>
          <w:rFonts w:asciiTheme="majorHAnsi" w:eastAsia="Times New Roman" w:hAnsiTheme="majorHAnsi" w:cs="Arial"/>
          <w:sz w:val="18"/>
          <w:szCs w:val="18"/>
        </w:rPr>
        <w:t xml:space="preserve"> </w:t>
      </w:r>
      <w:r w:rsidRPr="0007068A">
        <w:rPr>
          <w:rFonts w:asciiTheme="majorHAnsi" w:hAnsiTheme="majorHAnsi" w:cs="Arial"/>
          <w:sz w:val="18"/>
          <w:szCs w:val="18"/>
        </w:rPr>
        <w:t xml:space="preserve">Observatorio Político Electoral de la Democracia &amp; Misión de Observación Electoral-MOE. (2022). Resultados Electorales Congreso 2022. </w:t>
      </w:r>
      <w:hyperlink r:id="rId9" w:history="1">
        <w:r w:rsidRPr="0007068A">
          <w:rPr>
            <w:rStyle w:val="Hipervnculo"/>
            <w:rFonts w:asciiTheme="majorHAnsi" w:hAnsiTheme="majorHAnsi" w:cs="Arial"/>
            <w:sz w:val="18"/>
            <w:szCs w:val="18"/>
          </w:rPr>
          <w:t>https://bit.ly/3v8zLA3</w:t>
        </w:r>
      </w:hyperlink>
      <w:r w:rsidRPr="0007068A">
        <w:rPr>
          <w:rFonts w:asciiTheme="majorHAnsi" w:hAnsiTheme="majorHAnsi" w:cs="Arial"/>
          <w:sz w:val="18"/>
          <w:szCs w:val="18"/>
        </w:rPr>
        <w:t xml:space="preserve">. </w:t>
      </w:r>
      <w:r w:rsidRPr="0007068A">
        <w:rPr>
          <w:rFonts w:asciiTheme="majorHAnsi" w:eastAsia="Times New Roman" w:hAnsiTheme="majorHAnsi" w:cs="Arial"/>
          <w:sz w:val="18"/>
          <w:szCs w:val="18"/>
        </w:rPr>
        <w:t xml:space="preserve"> – Cuadro- Elaboración propia. </w:t>
      </w:r>
    </w:p>
    <w:p w14:paraId="24061C5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p>
    <w:p w14:paraId="197B37A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otro lado, las candidaturas respaldadas exclusivamente por un partido o movimiento político mostraron una tendencia a la baja. En las elecciones más recientes, la variación en la Cámara de Representantes fue del -41,2%, y para el Senado de la República del -35,6% en comparaci</w:t>
      </w:r>
      <w:r w:rsidR="0007068A">
        <w:rPr>
          <w:rFonts w:asciiTheme="majorHAnsi" w:eastAsia="Times New Roman" w:hAnsiTheme="majorHAnsi" w:cs="Arial"/>
          <w:sz w:val="28"/>
          <w:szCs w:val="28"/>
        </w:rPr>
        <w:t>ón con los comicios anteriores.</w:t>
      </w:r>
    </w:p>
    <w:p w14:paraId="27123ADD"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noProof/>
          <w:sz w:val="28"/>
          <w:szCs w:val="28"/>
          <w:lang w:eastAsia="es-CO"/>
        </w:rPr>
      </w:pPr>
      <w:r w:rsidRPr="00432F0D">
        <w:rPr>
          <w:rFonts w:asciiTheme="majorHAnsi" w:eastAsia="Times New Roman" w:hAnsiTheme="majorHAnsi" w:cs="Arial"/>
          <w:b/>
          <w:noProof/>
          <w:sz w:val="28"/>
          <w:szCs w:val="28"/>
          <w:lang w:eastAsia="es-CO"/>
        </w:rPr>
        <w:drawing>
          <wp:inline distT="0" distB="0" distL="0" distR="0" wp14:anchorId="2660356B" wp14:editId="53EE09A2">
            <wp:extent cx="6096000" cy="15786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1578610"/>
                    </a:xfrm>
                    <a:prstGeom prst="rect">
                      <a:avLst/>
                    </a:prstGeom>
                  </pic:spPr>
                </pic:pic>
              </a:graphicData>
            </a:graphic>
          </wp:inline>
        </w:drawing>
      </w:r>
    </w:p>
    <w:p w14:paraId="0168F12D"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sz w:val="18"/>
          <w:szCs w:val="18"/>
        </w:rPr>
      </w:pPr>
      <w:r w:rsidRPr="0007068A">
        <w:rPr>
          <w:rFonts w:asciiTheme="majorHAnsi" w:eastAsia="Times New Roman" w:hAnsiTheme="majorHAnsi" w:cs="Arial"/>
          <w:b/>
          <w:sz w:val="18"/>
          <w:szCs w:val="18"/>
        </w:rPr>
        <w:t>Fuente:</w:t>
      </w:r>
      <w:r w:rsidRPr="0007068A">
        <w:rPr>
          <w:rFonts w:asciiTheme="majorHAnsi" w:eastAsia="Times New Roman" w:hAnsiTheme="majorHAnsi" w:cs="Arial"/>
          <w:sz w:val="18"/>
          <w:szCs w:val="18"/>
        </w:rPr>
        <w:t xml:space="preserve"> </w:t>
      </w:r>
      <w:r w:rsidRPr="0007068A">
        <w:rPr>
          <w:rFonts w:asciiTheme="majorHAnsi" w:hAnsiTheme="majorHAnsi" w:cs="Arial"/>
          <w:sz w:val="18"/>
          <w:szCs w:val="18"/>
        </w:rPr>
        <w:t xml:space="preserve">Observatorio Político Electoral de la Democracia &amp; Misión de Observación Electoral-MOE. (2022). Resultados Electorales Congreso 2022. </w:t>
      </w:r>
      <w:hyperlink r:id="rId11" w:history="1">
        <w:r w:rsidRPr="0007068A">
          <w:rPr>
            <w:rStyle w:val="Hipervnculo"/>
            <w:rFonts w:asciiTheme="majorHAnsi" w:hAnsiTheme="majorHAnsi" w:cs="Arial"/>
            <w:sz w:val="18"/>
            <w:szCs w:val="18"/>
          </w:rPr>
          <w:t>https://bit.ly/3v8zLA3</w:t>
        </w:r>
      </w:hyperlink>
      <w:r w:rsidRPr="0007068A">
        <w:rPr>
          <w:rFonts w:asciiTheme="majorHAnsi" w:hAnsiTheme="majorHAnsi" w:cs="Arial"/>
          <w:sz w:val="18"/>
          <w:szCs w:val="18"/>
        </w:rPr>
        <w:t xml:space="preserve">. </w:t>
      </w:r>
      <w:r w:rsidR="0007068A" w:rsidRPr="0007068A">
        <w:rPr>
          <w:rFonts w:asciiTheme="majorHAnsi" w:eastAsia="Times New Roman" w:hAnsiTheme="majorHAnsi" w:cs="Arial"/>
          <w:sz w:val="18"/>
          <w:szCs w:val="18"/>
        </w:rPr>
        <w:t xml:space="preserve"> </w:t>
      </w:r>
      <w:proofErr w:type="gramStart"/>
      <w:r w:rsidR="0007068A" w:rsidRPr="0007068A">
        <w:rPr>
          <w:rFonts w:asciiTheme="majorHAnsi" w:eastAsia="Times New Roman" w:hAnsiTheme="majorHAnsi" w:cs="Arial"/>
          <w:sz w:val="18"/>
          <w:szCs w:val="18"/>
        </w:rPr>
        <w:t>Cuadro :</w:t>
      </w:r>
      <w:proofErr w:type="gramEnd"/>
      <w:r w:rsidR="0007068A" w:rsidRPr="0007068A">
        <w:rPr>
          <w:rFonts w:asciiTheme="majorHAnsi" w:eastAsia="Times New Roman" w:hAnsiTheme="majorHAnsi" w:cs="Arial"/>
          <w:sz w:val="18"/>
          <w:szCs w:val="18"/>
        </w:rPr>
        <w:t xml:space="preserve"> Elaboración propia.</w:t>
      </w:r>
    </w:p>
    <w:p w14:paraId="31F90A5D"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p>
    <w:p w14:paraId="3A0F6269"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IMPACTO DE LAS COALICIONES EN LA FRAGMENTACIÓN PARTIDARIA</w:t>
      </w:r>
    </w:p>
    <w:p w14:paraId="7B3F263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Quince años después de la modificación constitucional, se puede sostener que la reforma no produjo el impacto esperado en el fortalecimiento de la militancia partidista. Según Duque (2012), tan solo el 25% de los colombianos manifestaban alguna afinidad con un partido político específico, y para 2018 esa cifra descendió al 21%. Ante este escenario de fragmentación política, con la presencia de más de 30 partidos políticos, como señala Cruz (2019), "En un contexto de fragmentación partidaria, el desafío para los partidos políticos radica en acordar, construir y mantener coaliciones electorales. Es como construir un castillo de naipes que les permita alcanzar sus propios objetivos políticos, tanto individuales como compartidos". Este fenómeno resalta la necesidad urgente de que los partidos políticos establezcan apoyos y acuerdos ideológicos y programáticos, no solo para ampliar su base electoral, sino también para fortalecer y consolidar su identidad e ideología ante el electorado, garantizando así la estabilidad y la coherencia del sistema político.</w:t>
      </w:r>
    </w:p>
    <w:p w14:paraId="40A98922"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De igual forma las coaliciones electorales, impactan en todos los partidos políticos puesto que como destaca el trabajo de maestría de Daniel Felipe Bernal Suárez titulado “</w:t>
      </w:r>
      <w:r w:rsidRPr="00432F0D">
        <w:rPr>
          <w:rFonts w:asciiTheme="majorHAnsi" w:hAnsiTheme="majorHAnsi" w:cs="Arial"/>
          <w:sz w:val="28"/>
          <w:szCs w:val="28"/>
        </w:rPr>
        <w:t>Análisis político y constitucional de las coaliciones electorales en Colombia: a propósito de la prohibición de doble militancia” en medio de un estudio jurídico político al señalar que:</w:t>
      </w:r>
    </w:p>
    <w:p w14:paraId="42FEBB16"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la conformación de coaliciones electorales no solo impacta positivamente a los partidos de vieja data en el reto de permanecer vigentes, sino también a los partidos políticos más recientes que aún no cuentan con suficiente popularidad para acceder a cargos de elección, les permite superar esa brecha y lograr el umbral requerido coordinándose ideológica y programáticamente con un partido político que se alinee con sus intereses. A modo de ejemplo, en las pasadas elecciones al Congreso de la República en el año 2022, el candidato con la quinta votación más alta al Senado, pese a obtener más de 170.000 votos, no consiguió alcanzar un escaño en esta corporación debido a que su organización política no superó el umbral requerido. Tal vez si esa candidatura hubiese estado avalada por otro partido además del suyo, en el marco de un acuerdo para conformar una coalición electoral, dicho candidato sería a la fecha parte de la rama legislativa representando a su considerable número de electores. Así las cosas, no se puede perder de vista que la búsqueda de afinidades ideológicas y programáticas conlleva la conformación de coaliciones (Alvear, 2012, p. 34) y, desde luego, coadyuvan a superar la fragmentación y crisis de representación política. </w:t>
      </w:r>
    </w:p>
    <w:p w14:paraId="415C1DBF"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
          <w:sz w:val="28"/>
          <w:szCs w:val="28"/>
        </w:rPr>
      </w:pPr>
      <w:r w:rsidRPr="00432F0D">
        <w:rPr>
          <w:rFonts w:asciiTheme="majorHAnsi" w:eastAsia="Times New Roman" w:hAnsiTheme="majorHAnsi" w:cs="Arial"/>
          <w:sz w:val="28"/>
          <w:szCs w:val="28"/>
        </w:rPr>
        <w:t>En este contexto, extender los efectos de la doble militancia en su modalidad de apoyo a candidaturas que hacen parte de una misma coalición, puede conllevar el debilitamiento de los partidos políticos y su fragmentación. Así, si el propósito de la Constitución era evitar la atomización de los partidos políticos, los requisitos excesivos en materia de doble militancia a las coaliciones, derivará en su atomización. En efecto, al ser un nuevo intento de reorganización política eficiente, la consecuencia podría ser una nueva disgregación electoral con nuevos actores políticos y, por lo tanto, una disminución en términos de representación política. A pesar de ello podría plantearse, como contrargumento, que las coaliciones podrían unirse como partido. Sin embargo, esto no sería posible por dos razones principalmente: en primer lugar, las coaliciones no tienen la vocación de permanencia que tienen los partidos y, en segundo lugar, el partido político tiene carácter nacional, por lo que, dependiendo de la realidad regional, en un lugar pueden existir coaliciones que integren partidos políticos que sean rivales en otro lugar, sin que por esta razón se violente el acuerdo suscrito por cada una de ellas</w:t>
      </w:r>
      <w:r w:rsidRPr="00432F0D">
        <w:rPr>
          <w:rStyle w:val="Refdenotaalpie"/>
          <w:rFonts w:asciiTheme="majorHAnsi" w:hAnsiTheme="majorHAnsi" w:cs="Arial"/>
          <w:sz w:val="28"/>
          <w:szCs w:val="28"/>
        </w:rPr>
        <w:footnoteReference w:id="3"/>
      </w:r>
    </w:p>
    <w:p w14:paraId="05EE11AA"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ULTIMOS PRONUNCIAMIENTOS CONSEJO DE ESTADO EN RELACION A DOBLE MILITANCIA EN COALICIONES</w:t>
      </w:r>
    </w:p>
    <w:p w14:paraId="1928621B" w14:textId="77777777" w:rsidR="00535F81" w:rsidRPr="00432F0D" w:rsidRDefault="00535F81" w:rsidP="00535F81">
      <w:pPr>
        <w:pStyle w:val="Prrafodelista"/>
        <w:pBdr>
          <w:top w:val="nil"/>
          <w:left w:val="nil"/>
          <w:bottom w:val="nil"/>
          <w:right w:val="nil"/>
          <w:between w:val="nil"/>
        </w:pBdr>
        <w:ind w:right="49"/>
        <w:jc w:val="both"/>
        <w:rPr>
          <w:rFonts w:asciiTheme="majorHAnsi" w:eastAsia="Times New Roman" w:hAnsiTheme="majorHAnsi" w:cs="Arial"/>
          <w:b/>
          <w:sz w:val="28"/>
          <w:szCs w:val="28"/>
        </w:rPr>
      </w:pPr>
    </w:p>
    <w:p w14:paraId="3D4853E4" w14:textId="77777777" w:rsidR="00535F81" w:rsidRPr="00432F0D" w:rsidRDefault="00535F81" w:rsidP="00535F81">
      <w:pPr>
        <w:pStyle w:val="Prrafodelista"/>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MODALIDADES DE LA DOBLE MILITANCIA</w:t>
      </w:r>
      <w:r w:rsidRPr="00432F0D">
        <w:rPr>
          <w:rStyle w:val="Refdenotaalpie"/>
          <w:rFonts w:asciiTheme="majorHAnsi" w:hAnsiTheme="majorHAnsi" w:cs="Arial"/>
          <w:sz w:val="28"/>
          <w:szCs w:val="28"/>
        </w:rPr>
        <w:footnoteReference w:id="4"/>
      </w:r>
      <w:r w:rsidRPr="00432F0D">
        <w:rPr>
          <w:rFonts w:asciiTheme="majorHAnsi" w:eastAsia="Times New Roman" w:hAnsiTheme="majorHAnsi" w:cs="Arial"/>
          <w:b/>
          <w:sz w:val="28"/>
          <w:szCs w:val="28"/>
        </w:rPr>
        <w:t>:</w:t>
      </w:r>
    </w:p>
    <w:p w14:paraId="1AC7208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A partir del marco normativo que la regula, la jurisprudencia de la Sección Quinta de Consejo de Estado ha esquematizado de forma reiterada se puede ver entre otras: Consejo de Estado, Sección Quinta, y pacífica las modalidades en las que se manifiesta la doble militancia política, según sus destinatarios y las conductas proscritas</w:t>
      </w:r>
    </w:p>
    <w:p w14:paraId="6436C410" w14:textId="77777777" w:rsidR="00535F81" w:rsidRPr="00432F0D"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Ciudadanos: pertenencia simultánea a más de un partido, movimiento político o grupos significativo de ciudadanos. </w:t>
      </w:r>
    </w:p>
    <w:p w14:paraId="240C736E" w14:textId="77777777" w:rsidR="00535F81" w:rsidRPr="00432F0D"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Candidatos en consultas: inscripción por una organización política distinta, en el mismo proceso electoral. </w:t>
      </w:r>
    </w:p>
    <w:p w14:paraId="0CB4FFBB" w14:textId="77777777" w:rsidR="00535F81" w:rsidRPr="00432F0D"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Miembros de corporaciones públicas de elección popular: inscripción como candidato para la siguiente elección por un partido o movimiento político distinto de aquel que lo avaló, con dos excepciones, primera, que renuncie a la curul antes de los 12 meses que preceden al primer día de inscripciones y segunda, que la colectividad sea disuelta o pierda la personería jurídica por causas diferentes a una sanción. </w:t>
      </w:r>
    </w:p>
    <w:p w14:paraId="16C36853" w14:textId="77777777" w:rsidR="00535F81" w:rsidRPr="00432F0D"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Directivos de organizaciones políticas, candidatos y elegidos: apoyar a candidatos de organizaciones políticas diferentes a la que pertenecen y les otorgó aval, según el caso, salvo que la respectiva organización no esté participando con aspirantes para la correspondiente elección ni haya manifestado su apoyo expreso a determinada campaña de otro partido o movimiento. </w:t>
      </w:r>
    </w:p>
    <w:p w14:paraId="61860540" w14:textId="77777777" w:rsidR="00535F81" w:rsidRPr="00432F0D"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Directivos de partido o movimiento político: inscripción como candidatos o designación como directivos de organizaciones políticas diferentes, salvo que medie renuncia a la respectiva dignidad 12 meses antes de uno u otro hecho. </w:t>
      </w:r>
    </w:p>
    <w:p w14:paraId="6D8464E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En un pronunciamiento de tutela que fue dirigido en contra de una providencia proferida por esta Sección Electoral, la Corte Constitucional insistió respecto a la doble militancia en que: </w:t>
      </w:r>
    </w:p>
    <w:p w14:paraId="0B20E1E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En este punto, también es pertinente establecer que, en las reformas constitucionales del artículo 107 superior, no se evidencia la intención del Legislador de excluir alguna situación de la prohibición general de doble militancia. </w:t>
      </w:r>
    </w:p>
    <w:p w14:paraId="0786C32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Además, es claro que</w:t>
      </w:r>
    </w:p>
    <w:p w14:paraId="57FA0C35"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 (…) la Carta Política no la contempla y de conformidad con las reglas generales de interpretación no es viable hacer excepciones donde la Constitución no lo ha previsto.</w:t>
      </w:r>
    </w:p>
    <w:p w14:paraId="2EB320F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En cuanto a las excepciones a la prohibición de doble militancia, el legislador especificó en la norma estatutaria que los miembros de partidos y movimientos políticos disueltos por decisión de sus integrantes, o que pierdan su personería jurídica por causas distintas a las sanciones establecidas en la ley, podrán inscribirse en un partido con personería jurídica sin que ello conlleve consecuencias jurídicas. En particular, la doble militancia en la modalidad de apoyo a un candidato inscrito por un partido diferente al de la propia afiliación, prevista en el literal d) mencionado anteriormente, está regulada en el artículo 2º de la Ley 1475 de 2011, que establece lo siguiente: "Quienes desempeñen cargos de dirección, gobierno, administración o control dentro de los partidos y movimientos políticos, o hayan sido o aspiren a ser elegidos en cargos de elección popular, no podrán apoyar candidatos distintos a los inscritos por el partido o movimiento político al cual se encuentren afiliados".</w:t>
      </w:r>
    </w:p>
    <w:p w14:paraId="2903DFF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p>
    <w:p w14:paraId="14B50BB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
          <w:sz w:val="28"/>
          <w:szCs w:val="28"/>
        </w:rPr>
        <w:t>ELEMENTOS PARA LA CONFIGURACIÓN DE LOS APOYOS PROHIBIDOS</w:t>
      </w:r>
    </w:p>
    <w:p w14:paraId="008E0E72" w14:textId="77777777" w:rsidR="00535F81" w:rsidRPr="00432F0D" w:rsidRDefault="00535F81" w:rsidP="00535F81">
      <w:pPr>
        <w:pStyle w:val="Prrafodelista"/>
        <w:pBdr>
          <w:top w:val="nil"/>
          <w:left w:val="nil"/>
          <w:bottom w:val="nil"/>
          <w:right w:val="nil"/>
          <w:between w:val="nil"/>
        </w:pBdr>
        <w:ind w:right="49"/>
        <w:jc w:val="both"/>
        <w:rPr>
          <w:rFonts w:asciiTheme="majorHAnsi" w:eastAsia="Times New Roman" w:hAnsiTheme="majorHAnsi" w:cs="Arial"/>
          <w:b/>
          <w:sz w:val="28"/>
          <w:szCs w:val="28"/>
        </w:rPr>
      </w:pPr>
    </w:p>
    <w:p w14:paraId="64CCE508" w14:textId="77777777" w:rsidR="00535F81" w:rsidRPr="00432F0D" w:rsidRDefault="00535F81" w:rsidP="00535F81">
      <w:pPr>
        <w:pStyle w:val="Prrafodelista"/>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Elemento Objetivo</w:t>
      </w:r>
    </w:p>
    <w:p w14:paraId="237B57E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el concepto de apoyo ha sido caracterizado por esta Sala Electoral como </w:t>
      </w:r>
      <w:r w:rsidRPr="00432F0D">
        <w:rPr>
          <w:rFonts w:asciiTheme="majorHAnsi" w:hAnsiTheme="majorHAnsi" w:cs="Arial"/>
          <w:sz w:val="28"/>
          <w:szCs w:val="28"/>
        </w:rPr>
        <w:t>l</w:t>
      </w:r>
      <w:r w:rsidRPr="00432F0D">
        <w:rPr>
          <w:rFonts w:asciiTheme="majorHAnsi" w:eastAsia="Times New Roman" w:hAnsiTheme="majorHAnsi" w:cs="Arial"/>
          <w:bCs/>
          <w:sz w:val="28"/>
          <w:szCs w:val="28"/>
        </w:rPr>
        <w:t>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w:t>
      </w:r>
      <w:r w:rsidRPr="00432F0D">
        <w:rPr>
          <w:rStyle w:val="Refdenotaalpie"/>
          <w:rFonts w:asciiTheme="majorHAnsi" w:hAnsiTheme="majorHAnsi" w:cs="Arial"/>
          <w:sz w:val="28"/>
          <w:szCs w:val="28"/>
        </w:rPr>
        <w:footnoteReference w:id="5"/>
      </w:r>
      <w:r w:rsidRPr="00432F0D">
        <w:rPr>
          <w:rFonts w:asciiTheme="majorHAnsi" w:eastAsia="Times New Roman" w:hAnsiTheme="majorHAnsi" w:cs="Arial"/>
          <w:bCs/>
          <w:sz w:val="28"/>
          <w:szCs w:val="28"/>
        </w:rPr>
        <w:t>.</w:t>
      </w:r>
    </w:p>
    <w:p w14:paraId="4DE7D86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Sin embargo, la generalidad de esta noción ha sido precisada por la Sección en el tratamiento jurisprudencial que durante los años ha procurado a esta modalidad de doble militancia, en el sentido de delimitar, no solo la naturaleza de los actos que pueden revelar la existencia del respaldo sancionado, sino a la vez el grado de convicción que debe derivarse de las pruebas para acreditar la presencia del apoyo ilegal.</w:t>
      </w:r>
    </w:p>
    <w:p w14:paraId="526532E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En lo que refiere a la naturaleza del apoyo, el Consejo de Estado ha reconocido que la asistencia censurada debe ser el resultado de la ejecución de actos positivos y concretos que demuestren el favorecimiento político al candidato de otra organización. En ese orden, en decisión de 31 de octubre de 2018, M.P. Carlos Enrique Moreno Rubio, esta Judicatura explicó al respecto: </w:t>
      </w:r>
    </w:p>
    <w:p w14:paraId="0F5E485F"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Sobre el primer aspecto, realmente no existe controversia pues de tiempo atrás la Sala mantiene el criterio según el cual la estructuración de dicha prohibición exige necesariamente la ejecución de actos positivos y concretos de apoyo en favor del candidato perteneciente a otro partido político.</w:t>
      </w:r>
    </w:p>
    <w:p w14:paraId="2F0B1B6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De conformidad con ello, el entendimiento de la ayuda prohibida ha tenido como sustento la unión de dos tipos de presupuestos, relacionados con la puesta en marcha de acciones presupuesto modal que buscan el patrocinio de una candidatura ajena a la organización política que acompaña al demandado – presupuesto teleológico. </w:t>
      </w:r>
    </w:p>
    <w:p w14:paraId="582850A2"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Desde esta perspectiva, en providencia de 7 de diciembre de 2016, M.P. Carlos Enrique Moreno Rubio, señalo que:</w:t>
      </w:r>
    </w:p>
    <w:p w14:paraId="1DAA327E"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Lo que exige el texto de la norma es precisamente lo contrario: la ejecución de actos positivos de apoyo a un candidato diferente de aquel inscrito por el partido al cual pertenece el concejal demandado. (…) Entonces no resulta procedente extender sus alcances a otras situaciones no contempladas en la norma, diferentes de los actos de apoyo, como la decisión de llevar a cabo actos políticos sin el acompañamiento del candidato del partido, en este caso a la alcaldía, como señaló el actor.</w:t>
      </w:r>
      <w:r w:rsidRPr="00432F0D">
        <w:rPr>
          <w:rStyle w:val="Refdenotaalpie"/>
          <w:rFonts w:asciiTheme="majorHAnsi" w:hAnsiTheme="majorHAnsi" w:cs="Arial"/>
          <w:sz w:val="28"/>
          <w:szCs w:val="28"/>
        </w:rPr>
        <w:footnoteReference w:id="6"/>
      </w:r>
    </w:p>
    <w:p w14:paraId="255FC4D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Elemento temporal</w:t>
      </w:r>
    </w:p>
    <w:p w14:paraId="6610623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
          <w:sz w:val="28"/>
          <w:szCs w:val="28"/>
        </w:rPr>
        <w:t xml:space="preserve"> </w:t>
      </w:r>
      <w:r w:rsidRPr="00432F0D">
        <w:rPr>
          <w:rFonts w:asciiTheme="majorHAnsi" w:eastAsia="Times New Roman" w:hAnsiTheme="majorHAnsi" w:cs="Arial"/>
          <w:bCs/>
          <w:sz w:val="28"/>
          <w:szCs w:val="28"/>
        </w:rPr>
        <w:t>Para el Consejo de Estado el inciso 2° del artículo 2° de la Ley 1475 de 2011, aunque no menciona explícitamente un plazo específico para que se produzcan los apoyos, una interpretación sistemática y con efecto útil de la norma sugiere que la asistencia indebida debe ocurrir en el contexto de la campaña política. Esto se debe a que “solo durante ese lapso se puede hablar de candidatos en el sentido estricto de la palabra”</w:t>
      </w:r>
      <w:r w:rsidRPr="00432F0D">
        <w:rPr>
          <w:rStyle w:val="Refdenotaalpie"/>
          <w:rFonts w:asciiTheme="majorHAnsi" w:hAnsiTheme="majorHAnsi" w:cs="Arial"/>
          <w:sz w:val="28"/>
          <w:szCs w:val="28"/>
        </w:rPr>
        <w:footnoteReference w:id="7"/>
      </w:r>
      <w:r w:rsidRPr="00432F0D">
        <w:rPr>
          <w:rFonts w:asciiTheme="majorHAnsi" w:eastAsia="Times New Roman" w:hAnsiTheme="majorHAnsi" w:cs="Arial"/>
          <w:bCs/>
          <w:sz w:val="28"/>
          <w:szCs w:val="28"/>
        </w:rPr>
        <w:t>. Este periodo abarca desde la inscripción oficial de la candidatura por parte del ciudadano hasta la fecha de la elección.</w:t>
      </w:r>
    </w:p>
    <w:p w14:paraId="1D94FBED"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Este elemento resulta relevante respecto al resultado de la conducta, puesto que, la doble militancia persigue evitar la manipulación y confusión del electorado, siempre que esto se presente dentro del «contexto de la campaña política. Esta particularidad es muy importante para este asunto, pues lo que busca es respetar la disciplina partidista, de tal modo que el aspirante no afecte el criterio de los votantes en la contienda, para que ejerzan su voto por un aspirante de un movimiento distinto al que lo avaló, tal como lo señala la sala en sentencia del 1 de julio de 2021 al decir que</w:t>
      </w:r>
    </w:p>
    <w:p w14:paraId="7791770E"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En otros términos, el punto de inflexión para la configuración del apoyo se encuentra no tanto en la comparecencia del acusado en eventos políticos ajenos a los de su partido, o con integrantes y candidatos de corrientes distintas a las suya, sino de la acreditación de que con su asistencia promovió la campaña política de aspirantes extraños a los de su agrupación proselitista, motivando su apoyo, v. gr. mediante arengas que promuevan el favor ciudadano en beneficio del candidato inscrito por otro partido</w:t>
      </w:r>
      <w:r w:rsidRPr="00432F0D">
        <w:rPr>
          <w:rStyle w:val="Refdenotaalpie"/>
          <w:rFonts w:asciiTheme="majorHAnsi" w:hAnsiTheme="majorHAnsi" w:cs="Arial"/>
          <w:sz w:val="28"/>
          <w:szCs w:val="28"/>
        </w:rPr>
        <w:footnoteReference w:id="8"/>
      </w:r>
    </w:p>
    <w:p w14:paraId="22914AA0"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p>
    <w:p w14:paraId="3AE89D6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Elemento modal</w:t>
      </w:r>
      <w:r w:rsidRPr="00432F0D">
        <w:rPr>
          <w:rStyle w:val="Refdenotaalpie"/>
          <w:rFonts w:asciiTheme="majorHAnsi" w:hAnsiTheme="majorHAnsi" w:cs="Arial"/>
          <w:sz w:val="28"/>
          <w:szCs w:val="28"/>
        </w:rPr>
        <w:footnoteReference w:id="9"/>
      </w:r>
    </w:p>
    <w:p w14:paraId="08EAC0D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La infracción a la prohibición de doble militancia, en su modalidad de apoyo, exige que el partido o movimiento político que avaló la candidatura del acusado haya inscrito un candidato propio para el cargo en cuestión. Esto se debe a que solo en estos casos puede reprocharse la defraudación de la lealtad partidista exigida al candidato sometido al control de nulidad electoral. No obstante, la inscripción no es el único medio para acreditar este presupuesto. </w:t>
      </w:r>
    </w:p>
    <w:p w14:paraId="30F41AA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La jurisprudencia de Consejo de Estado ha admitido que el desconocimiento de apoyos expresos por parte de un partido o movimiento político a una causa proselitista distinta —aunque no haya una candidatura inscrita— puede igualmente constituir la causal de inelegibilidad prevista en el artículo 2.2 de la Ley 1475 de 2011. </w:t>
      </w:r>
    </w:p>
    <w:p w14:paraId="1FAFFEE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En la sentencia del 24 de noviembre de 2016, con ponencia del magistrado Alberto Yepes Barreiro, la Sala concluyó lo siguiente: la modalidad de doble militancia atribuida prohíbe el apoyo a un candidato distinto al inscrito o respaldado por una colectividad política, lo que implica que el partido o movimiento político haya inscrito un candidato propio o, en su defecto, haya decidido de manera expresa apoyar a un candidato de otra organización política.</w:t>
      </w:r>
    </w:p>
    <w:p w14:paraId="3DD34D52"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Elemento Territorial</w:t>
      </w:r>
      <w:r w:rsidRPr="00432F0D">
        <w:rPr>
          <w:rStyle w:val="Refdenotaalpie"/>
          <w:rFonts w:asciiTheme="majorHAnsi" w:hAnsiTheme="majorHAnsi" w:cs="Arial"/>
          <w:sz w:val="28"/>
          <w:szCs w:val="28"/>
        </w:rPr>
        <w:footnoteReference w:id="10"/>
      </w:r>
    </w:p>
    <w:p w14:paraId="6E4A155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El elemento territorial, señala que teniendo en cuenta los criterios señalados por el legislador estatutario, puede generarse reproche aun dentro de la misma circunscripción electoral, si se comprueba que a través de actos positivos y concretos las aspiraciones políticas de un candidato avalado por una organización distinta de la suya, fomentando sus posibilidades de acceso a un cargo de elección popular.</w:t>
      </w:r>
    </w:p>
    <w:p w14:paraId="2B224AB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Elemento Contextual</w:t>
      </w:r>
      <w:r w:rsidRPr="00432F0D">
        <w:rPr>
          <w:rStyle w:val="Refdenotaalpie"/>
          <w:rFonts w:asciiTheme="majorHAnsi" w:hAnsiTheme="majorHAnsi" w:cs="Arial"/>
          <w:sz w:val="28"/>
          <w:szCs w:val="28"/>
        </w:rPr>
        <w:footnoteReference w:id="11"/>
      </w:r>
    </w:p>
    <w:p w14:paraId="5D98C4F7"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El Consejo contexto en relación con la modalidad de apoyo ha determinado que el contexto es un aspecto de importancia para determinar si esta se configuró. Así lo ha dicho, al plantear las siguientes </w:t>
      </w:r>
      <w:proofErr w:type="spellStart"/>
      <w:r w:rsidRPr="00432F0D">
        <w:rPr>
          <w:rFonts w:asciiTheme="majorHAnsi" w:eastAsia="Times New Roman" w:hAnsiTheme="majorHAnsi" w:cs="Arial"/>
          <w:bCs/>
          <w:sz w:val="28"/>
          <w:szCs w:val="28"/>
        </w:rPr>
        <w:t>subreglas</w:t>
      </w:r>
      <w:proofErr w:type="spellEnd"/>
      <w:r w:rsidRPr="00432F0D">
        <w:rPr>
          <w:rFonts w:asciiTheme="majorHAnsi" w:eastAsia="Times New Roman" w:hAnsiTheme="majorHAnsi" w:cs="Arial"/>
          <w:bCs/>
          <w:sz w:val="28"/>
          <w:szCs w:val="28"/>
        </w:rPr>
        <w:t>:</w:t>
      </w:r>
    </w:p>
    <w:p w14:paraId="48C90EF2"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(i) la estructuración del apoyo exige necesariamente la ejecución de actos positivos y concretos en favor del candidato perteneciente a otro partido político. (ii)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(iii) El apoyo indebido se configura de manera independiente al resultado electoral obtenido por el candidato asistido. (iv) La probanza del comportamiento prohibido debe aflorar de manera evidente o de bulto, es decir, revistiendo al operador judicial de elementos de juicio que permitan superar toda duda razonable. (v) El actuar objeto de sanción se centra en el ofrecimiento de apoyos, y no en el recibimiento de respaldos por parte de un candidato</w:t>
      </w:r>
      <w:r w:rsidRPr="00432F0D">
        <w:rPr>
          <w:rStyle w:val="Refdenotaalpie"/>
          <w:rFonts w:asciiTheme="majorHAnsi" w:hAnsiTheme="majorHAnsi" w:cs="Arial"/>
          <w:sz w:val="28"/>
          <w:szCs w:val="28"/>
        </w:rPr>
        <w:footnoteReference w:id="12"/>
      </w:r>
    </w:p>
    <w:p w14:paraId="644F443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Inmerso en el desarrollo de este elemento, es destacable el concepto de apoyo público, puesto que según la sentencia con Rad. 05001-23-33-000-2023-01214-01, existe diferenciación respecto al reproche, en torno a si los actos fueron llevados a cabo en eventos públicos/proselitistas o privados, al decir que </w:t>
      </w:r>
    </w:p>
    <w:p w14:paraId="4FF9A855"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De acuerdo con lo que antecede, la Sala no evidencia, con plena certeza, la configuración de un acto positivo y concreto de apoyo, por parte del demandado, pues, a pesar de que, en una oportunidad, esta sección concluyó que 34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r w:rsidRPr="00432F0D">
        <w:rPr>
          <w:rStyle w:val="Refdenotaalpie"/>
          <w:rFonts w:asciiTheme="majorHAnsi" w:hAnsiTheme="majorHAnsi" w:cs="Arial"/>
          <w:sz w:val="28"/>
          <w:szCs w:val="28"/>
        </w:rPr>
        <w:footnoteReference w:id="13"/>
      </w:r>
    </w:p>
    <w:p w14:paraId="37BBAC5B"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ULTIMOS FALLOS PUBLICADOS Y DE ALTO CUBRIMIENTO MEDIATICO POR PARTE DE CONSEJO DE ESTADO</w:t>
      </w:r>
    </w:p>
    <w:p w14:paraId="35CFF2FB"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10 de agosto de 2023. Expediente 11001-03-28-000-2022-00198-00. M.P. Luis Alberto Álvarez.</w:t>
      </w:r>
    </w:p>
    <w:p w14:paraId="05A94B72"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Expediente perdido de investidura Senador Cesar </w:t>
      </w:r>
      <w:r w:rsidR="0007068A" w:rsidRPr="00432F0D">
        <w:rPr>
          <w:rFonts w:asciiTheme="majorHAnsi" w:eastAsia="Times New Roman" w:hAnsiTheme="majorHAnsi" w:cs="Arial"/>
          <w:b/>
          <w:sz w:val="28"/>
          <w:szCs w:val="28"/>
        </w:rPr>
        <w:t>Pachón</w:t>
      </w:r>
      <w:r w:rsidR="0007068A">
        <w:rPr>
          <w:rFonts w:asciiTheme="majorHAnsi" w:eastAsia="Times New Roman" w:hAnsiTheme="majorHAnsi" w:cs="Arial"/>
          <w:b/>
          <w:sz w:val="28"/>
          <w:szCs w:val="28"/>
        </w:rPr>
        <w:t>.</w:t>
      </w:r>
    </w:p>
    <w:p w14:paraId="4AC01A1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En particular, la doble militancia en la modalidad de apoyo que se brinda a un candidato inscrito por un partido distinto al de la propia afiliación14, relacionada en el literal d) anterior, está prevista en el artículo 2º de la Ley 1475 de 2011, se han identificado los siguientes elementos para su configuración15: </w:t>
      </w:r>
    </w:p>
    <w:p w14:paraId="46B60813"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1. Un elemento subjetivo (sujeto activo): que corresponde al directivo, candidato o elegido a quien se atribuyen los actos de apoyo político y electoral a un aspirante ajeno al partido, movimiento o grupo significativo de ciudadanos al que pertenecen. </w:t>
      </w:r>
    </w:p>
    <w:p w14:paraId="50609652"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2. Un elemento objetivo (conducta): reflejado en actos positivos, concretos e inequívocos, únicos o continuados, exitosos o no, que demuestren el respaldo a la campaña de un candidato inscrito por una organización política distinta a la de la propia militancia, en lugar de brindarlo a aquellos avalados o apoyados por esta. Dichas manifestaciones se traducen, por lo general, mas no exclusivamente, en expresiones de favorecimiento en reuniones, eventos o espacios con acceso a potenciales votantes, para persuadirlos de votar por determinada persona al cargo o la curul que aspira obtener, es decir, con el fin de pedir su voto en unas elecciones. </w:t>
      </w:r>
    </w:p>
    <w:p w14:paraId="2473A454"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3. Un elemento temporal: ubicado en el interregno de la campaña a un cargo o corporación de elección popular, que comienza con la inscripción del candidato y culmina el día de las votaciones. En tales condiciones, el acervo probatorio resulta ser determinante para establecer con certeza que durante el periodo señalado el demandado desplegó actos de respaldo a un candidato inscrito por una organización política diferente a aquella que lo avaló, pese a que esta colectividad también tenía aspirantes, inscritos o por adhesión a la campaña, para el respectivo cargo o corporación</w:t>
      </w:r>
    </w:p>
    <w:p w14:paraId="0373EA82"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 xml:space="preserve">Consejo de Estado, Sección Quinta. Sentencia del 8 de </w:t>
      </w:r>
      <w:proofErr w:type="gramStart"/>
      <w:r w:rsidRPr="0007068A">
        <w:rPr>
          <w:rFonts w:asciiTheme="majorHAnsi" w:eastAsia="Times New Roman" w:hAnsiTheme="majorHAnsi" w:cs="Arial"/>
          <w:b/>
          <w:sz w:val="28"/>
          <w:szCs w:val="28"/>
          <w:u w:val="single"/>
        </w:rPr>
        <w:t>Agosto</w:t>
      </w:r>
      <w:proofErr w:type="gramEnd"/>
      <w:r w:rsidRPr="0007068A">
        <w:rPr>
          <w:rFonts w:asciiTheme="majorHAnsi" w:eastAsia="Times New Roman" w:hAnsiTheme="majorHAnsi" w:cs="Arial"/>
          <w:b/>
          <w:sz w:val="28"/>
          <w:szCs w:val="28"/>
          <w:u w:val="single"/>
        </w:rPr>
        <w:t xml:space="preserve"> de 2024 Expediente 11001-03-28-000-2024-00046-00. M.P. Pedro Pablo Vanegas Gil</w:t>
      </w:r>
      <w:r w:rsidR="0007068A">
        <w:rPr>
          <w:rFonts w:asciiTheme="majorHAnsi" w:eastAsia="Times New Roman" w:hAnsiTheme="majorHAnsi" w:cs="Arial"/>
          <w:b/>
          <w:sz w:val="28"/>
          <w:szCs w:val="28"/>
          <w:u w:val="single"/>
        </w:rPr>
        <w:t>.</w:t>
      </w:r>
    </w:p>
    <w:p w14:paraId="10F8355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Expediente perdido de investidura Gobernadora Adriana Magali Matiz (Departamento del Tolima)</w:t>
      </w:r>
    </w:p>
    <w:p w14:paraId="1D23730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Al respecto, la Sección tuvo ocasión de pronunciarse en un asunto reciente y determinó que no se había configurado la doble militancia, ya que los presuntos actos de apoyo de ese caso se habían desarrollado en un evento privado mas no en uno público o proselitista. De ahí la relevancia del mencionado contexto en el que se analiza esta prohibición: </w:t>
      </w:r>
    </w:p>
    <w:p w14:paraId="7401536C"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De acuerdo con lo que antecede, la Sala no evidencia, con plena certeza, la configuración de un acto positivo y concreto de apoyo, por parte del demandado, pues, a pesar de que, en una oportunidad, esta sección concluyó que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w:t>
      </w:r>
    </w:p>
    <w:p w14:paraId="71EA3BAF"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p>
    <w:p w14:paraId="4200A6A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Precisamente, estas consideraciones son relevantes para el caso bajo estudio, pues la Sala debe analizar las circunstancias que rodearon la presunta conducta prohibitiva que se alega en este asunto. Es decir, es importante determinar si la alegada manifestación de apoyo se hizo en un contexto de campaña política con el fin de ofrecer el apoyo de manera general, para que el electorado se vea influenciado o si, por el contrario, se hizo en otro contexto, con un fin distinto.</w:t>
      </w:r>
    </w:p>
    <w:p w14:paraId="2E072FAA"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 xml:space="preserve">Consejo de Estado, Sección Quinta. Sentencia del 12 de septiembre de 2024 Expediente 11001-03-28-000-2022-00154-00. M.P. Luis Alberto </w:t>
      </w:r>
      <w:proofErr w:type="spellStart"/>
      <w:r w:rsidRPr="0007068A">
        <w:rPr>
          <w:rFonts w:asciiTheme="majorHAnsi" w:eastAsia="Times New Roman" w:hAnsiTheme="majorHAnsi" w:cs="Arial"/>
          <w:b/>
          <w:sz w:val="28"/>
          <w:szCs w:val="28"/>
          <w:u w:val="single"/>
        </w:rPr>
        <w:t>Alvarez</w:t>
      </w:r>
      <w:proofErr w:type="spellEnd"/>
      <w:r w:rsidR="0007068A" w:rsidRPr="0007068A">
        <w:rPr>
          <w:rFonts w:asciiTheme="majorHAnsi" w:eastAsia="Times New Roman" w:hAnsiTheme="majorHAnsi" w:cs="Arial"/>
          <w:b/>
          <w:sz w:val="28"/>
          <w:szCs w:val="28"/>
          <w:u w:val="single"/>
        </w:rPr>
        <w:t>.</w:t>
      </w:r>
    </w:p>
    <w:p w14:paraId="64BC470D"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Expediente perdido de investidura Senador Berner </w:t>
      </w:r>
      <w:r w:rsidR="0007068A" w:rsidRPr="00432F0D">
        <w:rPr>
          <w:rFonts w:asciiTheme="majorHAnsi" w:eastAsia="Times New Roman" w:hAnsiTheme="majorHAnsi" w:cs="Arial"/>
          <w:b/>
          <w:sz w:val="28"/>
          <w:szCs w:val="28"/>
        </w:rPr>
        <w:t>León</w:t>
      </w:r>
      <w:r w:rsidRPr="00432F0D">
        <w:rPr>
          <w:rFonts w:asciiTheme="majorHAnsi" w:eastAsia="Times New Roman" w:hAnsiTheme="majorHAnsi" w:cs="Arial"/>
          <w:b/>
          <w:sz w:val="28"/>
          <w:szCs w:val="28"/>
        </w:rPr>
        <w:t xml:space="preserve"> Zambrano</w:t>
      </w:r>
      <w:r w:rsidR="0007068A">
        <w:rPr>
          <w:rFonts w:asciiTheme="majorHAnsi" w:eastAsia="Times New Roman" w:hAnsiTheme="majorHAnsi" w:cs="Arial"/>
          <w:b/>
          <w:sz w:val="28"/>
          <w:szCs w:val="28"/>
        </w:rPr>
        <w:t>.</w:t>
      </w:r>
    </w:p>
    <w:p w14:paraId="25FEA3B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Así, la materialización del elemento modal de la conducta proscrita requiere demostrar que los candidatos involucrados están inscritos dentro de la estructura política a la que pertenece el accionado, o bien que existen manifestaciones explícitas que evidencian el compromiso de su partido con la candidatura postulada por un movimiento distinto. En tal caso, el demandado queda obligado a respetar las directrices de su colectividad, sin que sus intereses personales puedan prevalecer sobre los de esta.</w:t>
      </w:r>
    </w:p>
    <w:p w14:paraId="34DAEC0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En cuanto al elemento territorial, el análisis realizado por la Sección especializada en asuntos electorales del Consejo de Estado permite señalar que el respaldo cuestionado por el legislador estatutario de 2011 puede ocurrir dentro de una misma circunscripción electoral –por ejemplo, cuando un candidato al Concejo apoya la aspiración de un candidato a la alcaldía de la misma municipalidad–, pero también puede extenderse a circunscripciones territoriales diferentes. En este sentido, la parte actora debe acreditar que, independientemente de la coincidencia o no de las circunscripciones electorales, el acusado participó activamente en el respaldo de las aspiraciones políticas de un candidato respaldado por una organización distinta a la suya, favoreciendo así sus posibilidades de acceder a un cargo de elección popular.</w:t>
      </w:r>
    </w:p>
    <w:p w14:paraId="4D9DDF39"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 xml:space="preserve">Consejo de Estado, Sección Quinta. Sentencia del 12 de septiembre de 2024 Expediente 11001-03-28-000-2022-00154-00. M.P. Luis Alberto </w:t>
      </w:r>
      <w:proofErr w:type="spellStart"/>
      <w:r w:rsidRPr="0007068A">
        <w:rPr>
          <w:rFonts w:asciiTheme="majorHAnsi" w:eastAsia="Times New Roman" w:hAnsiTheme="majorHAnsi" w:cs="Arial"/>
          <w:b/>
          <w:sz w:val="28"/>
          <w:szCs w:val="28"/>
          <w:u w:val="single"/>
        </w:rPr>
        <w:t>Alvarez</w:t>
      </w:r>
      <w:proofErr w:type="spellEnd"/>
      <w:r w:rsidR="0007068A" w:rsidRPr="0007068A">
        <w:rPr>
          <w:rFonts w:asciiTheme="majorHAnsi" w:eastAsia="Times New Roman" w:hAnsiTheme="majorHAnsi" w:cs="Arial"/>
          <w:b/>
          <w:sz w:val="28"/>
          <w:szCs w:val="28"/>
          <w:u w:val="single"/>
        </w:rPr>
        <w:t>.</w:t>
      </w:r>
    </w:p>
    <w:p w14:paraId="3C89724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Expediente perdido de investidura Alcaldesa </w:t>
      </w:r>
      <w:proofErr w:type="spellStart"/>
      <w:r w:rsidRPr="00432F0D">
        <w:rPr>
          <w:rFonts w:asciiTheme="majorHAnsi" w:eastAsia="Times New Roman" w:hAnsiTheme="majorHAnsi" w:cs="Arial"/>
          <w:b/>
          <w:sz w:val="28"/>
          <w:szCs w:val="28"/>
        </w:rPr>
        <w:t>Yulieth</w:t>
      </w:r>
      <w:proofErr w:type="spellEnd"/>
      <w:r w:rsidRPr="00432F0D">
        <w:rPr>
          <w:rFonts w:asciiTheme="majorHAnsi" w:eastAsia="Times New Roman" w:hAnsiTheme="majorHAnsi" w:cs="Arial"/>
          <w:b/>
          <w:sz w:val="28"/>
          <w:szCs w:val="28"/>
        </w:rPr>
        <w:t xml:space="preserve"> Lorena González Ospina (Bello Antioquia)</w:t>
      </w:r>
      <w:r w:rsidR="0007068A">
        <w:rPr>
          <w:rFonts w:asciiTheme="majorHAnsi" w:eastAsia="Times New Roman" w:hAnsiTheme="majorHAnsi" w:cs="Arial"/>
          <w:b/>
          <w:sz w:val="28"/>
          <w:szCs w:val="28"/>
        </w:rPr>
        <w:t>.</w:t>
      </w:r>
    </w:p>
    <w:p w14:paraId="7FF1450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Al respecto resulta del caso precisar que al constituir las causales de doble militancia prohibiciones que pueden derivar en la nulidad de una elección, es decir, que pueden afectar los derechos políticos no solo a elegir sino también a ser elegido, su interpretación debe ser taxativa y restrictiva, por lo que se debe ajustar a la voluntad del constituyente y del legislador, para el caso concreto, sin que le sea dable al juez electoral extender las conductas prohibidas a otras y mucho menos, crear nuevas. </w:t>
      </w:r>
    </w:p>
    <w:p w14:paraId="65F25C2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Por lo tanto, se reitera, la conducta prohibida para los candidatos a cargos de elección popular es apoyar y en este asunto no está demostrado y ni siquiera insinuado que la demandada haya apoyado a candidatos inscritos por colectividades políticas diferentes a la suya, por lo que su comportamiento no se encuentra en la causal de doble militancia invocada como fundamento de la demanda.</w:t>
      </w:r>
    </w:p>
    <w:p w14:paraId="1DC66E5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Se debe reiterar que, recibir apoyo no configura la prohibición de doble militancia alegada por los recurrentes, pues así lo ha precisado esta Sala Electoral en múltiples oportunidades:</w:t>
      </w:r>
    </w:p>
    <w:p w14:paraId="608379C2" w14:textId="77777777" w:rsidR="00535F81" w:rsidRPr="00432F0D" w:rsidRDefault="00535F81" w:rsidP="00535F81">
      <w:pPr>
        <w:pBdr>
          <w:top w:val="nil"/>
          <w:left w:val="nil"/>
          <w:bottom w:val="nil"/>
          <w:right w:val="nil"/>
          <w:between w:val="nil"/>
        </w:pBdr>
        <w:ind w:left="720" w:right="680"/>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Al respecto, resulta del caso precisar que la conducta prohibida, en materia de doble militancia, consiste en apoyar candidatos distintos a los propios del partido o movimiento político al cual se encuentran afiliados, no recibir apoyo de agrupaciones políticas diferentes a la que inscribe a un aspirante a un cargo de elección popular. </w:t>
      </w:r>
    </w:p>
    <w:p w14:paraId="2EE3013D"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29 de agosto de 2024 Expediente 27001-23-33-000-2023-00129-01. M.P. Luis Alberto Álvarez</w:t>
      </w:r>
      <w:r w:rsidR="0007068A" w:rsidRPr="0007068A">
        <w:rPr>
          <w:rFonts w:asciiTheme="majorHAnsi" w:eastAsia="Times New Roman" w:hAnsiTheme="majorHAnsi" w:cs="Arial"/>
          <w:b/>
          <w:sz w:val="28"/>
          <w:szCs w:val="28"/>
          <w:u w:val="single"/>
        </w:rPr>
        <w:t>.</w:t>
      </w:r>
    </w:p>
    <w:p w14:paraId="55B33B0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Expediente perdido de investidura Diputado Daniel Trujillo Chaverra (Departamento del Choco)</w:t>
      </w:r>
    </w:p>
    <w:p w14:paraId="57EB77E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Como viene de explicarse en los antecedentes de esta providencia, la parte actora pretende que se declare la nulidad de la elección del señor Daniel Trujillo Chaverra, como diputado de la Asamblea Departamental del Chocó. Según el recurrente, el demandado incurrió en doble militancia, toda vez que respaldó la candidatura de la señora Nubia Carolina Córdoba </w:t>
      </w:r>
      <w:proofErr w:type="spellStart"/>
      <w:r w:rsidRPr="00432F0D">
        <w:rPr>
          <w:rFonts w:asciiTheme="majorHAnsi" w:eastAsia="Times New Roman" w:hAnsiTheme="majorHAnsi" w:cs="Arial"/>
          <w:bCs/>
          <w:sz w:val="28"/>
          <w:szCs w:val="28"/>
        </w:rPr>
        <w:t>Curi</w:t>
      </w:r>
      <w:proofErr w:type="spellEnd"/>
      <w:r w:rsidRPr="00432F0D">
        <w:rPr>
          <w:rFonts w:asciiTheme="majorHAnsi" w:eastAsia="Times New Roman" w:hAnsiTheme="majorHAnsi" w:cs="Arial"/>
          <w:bCs/>
          <w:sz w:val="28"/>
          <w:szCs w:val="28"/>
        </w:rPr>
        <w:t xml:space="preserve">, a la Gobernación del Chocó por el Partido Liberal Colombiano, pese a que su colectividad, esto es, el Partido Conservador Colombiano, se había adherido a la campaña de </w:t>
      </w:r>
      <w:proofErr w:type="spellStart"/>
      <w:r w:rsidRPr="00432F0D">
        <w:rPr>
          <w:rFonts w:asciiTheme="majorHAnsi" w:eastAsia="Times New Roman" w:hAnsiTheme="majorHAnsi" w:cs="Arial"/>
          <w:bCs/>
          <w:sz w:val="28"/>
          <w:szCs w:val="28"/>
        </w:rPr>
        <w:t>Gilder</w:t>
      </w:r>
      <w:proofErr w:type="spellEnd"/>
      <w:r w:rsidRPr="00432F0D">
        <w:rPr>
          <w:rFonts w:asciiTheme="majorHAnsi" w:eastAsia="Times New Roman" w:hAnsiTheme="majorHAnsi" w:cs="Arial"/>
          <w:bCs/>
          <w:sz w:val="28"/>
          <w:szCs w:val="28"/>
        </w:rPr>
        <w:t xml:space="preserve"> Palacios Mosquera por Cambio Radical, a la misma dignidad. </w:t>
      </w:r>
    </w:p>
    <w:p w14:paraId="7F63608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Asimismo, sostuvo que, pesar de que éste último renunció a sus aspiraciones, se alió con el candidato Patrocinio Sánchez Montes de Oca, el cual fue avalado por el partido Fuerza de la Paz. El tribunal de primera instancia negó las pretensiones de la demanda, al no encontrar acreditado el elemento modal de la prohibición alegada. Ello, en consideración a que la colectividad para la cual milita el demandado no tenía candidato inscrito para la Gobernación del Chocó; tampoco se advirtió que persistiera un acuerdo de coalición o adhesión a otra candidatura para ese cargo uninominal. Explicó que, si bien, en un principio, el Partido Conservador Colombiano se adhirió a la campaña del señor Palacios Mosquera, lo cierto es que él renunció y, su posterior alianza con el candidato Sánchez Montes de Oca, no involucró a la agrupación política del señor Daniel Trujillo Chaverra.</w:t>
      </w:r>
    </w:p>
    <w:p w14:paraId="227C3C05"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29 de agosto de 2024 Expediente 23001-23-33-000-2024-00016-01. M.P. Pedro Pablo Vanegas Gil</w:t>
      </w:r>
      <w:r w:rsidR="0007068A" w:rsidRPr="0007068A">
        <w:rPr>
          <w:rFonts w:asciiTheme="majorHAnsi" w:eastAsia="Times New Roman" w:hAnsiTheme="majorHAnsi" w:cs="Arial"/>
          <w:b/>
          <w:sz w:val="28"/>
          <w:szCs w:val="28"/>
          <w:u w:val="single"/>
        </w:rPr>
        <w:t>.</w:t>
      </w:r>
    </w:p>
    <w:p w14:paraId="13175F37" w14:textId="19F977E4" w:rsidR="00535F81" w:rsidRPr="00432F0D" w:rsidRDefault="0007068A"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Expediente perdido</w:t>
      </w:r>
      <w:r w:rsidR="00535F81" w:rsidRPr="00432F0D">
        <w:rPr>
          <w:rFonts w:asciiTheme="majorHAnsi" w:eastAsia="Times New Roman" w:hAnsiTheme="majorHAnsi" w:cs="Arial"/>
          <w:b/>
          <w:sz w:val="28"/>
          <w:szCs w:val="28"/>
        </w:rPr>
        <w:t xml:space="preserve"> de investidura Concejal </w:t>
      </w:r>
      <w:proofErr w:type="spellStart"/>
      <w:r w:rsidR="00535F81" w:rsidRPr="00432F0D">
        <w:rPr>
          <w:rFonts w:asciiTheme="majorHAnsi" w:eastAsia="Times New Roman" w:hAnsiTheme="majorHAnsi" w:cs="Arial"/>
          <w:b/>
          <w:sz w:val="28"/>
          <w:szCs w:val="28"/>
        </w:rPr>
        <w:t>Nairon</w:t>
      </w:r>
      <w:proofErr w:type="spellEnd"/>
      <w:r w:rsidR="00535F81" w:rsidRPr="00432F0D">
        <w:rPr>
          <w:rFonts w:asciiTheme="majorHAnsi" w:eastAsia="Times New Roman" w:hAnsiTheme="majorHAnsi" w:cs="Arial"/>
          <w:b/>
          <w:sz w:val="28"/>
          <w:szCs w:val="28"/>
        </w:rPr>
        <w:t xml:space="preserve"> </w:t>
      </w:r>
      <w:proofErr w:type="spellStart"/>
      <w:r w:rsidR="00535F81" w:rsidRPr="00432F0D">
        <w:rPr>
          <w:rFonts w:asciiTheme="majorHAnsi" w:eastAsia="Times New Roman" w:hAnsiTheme="majorHAnsi" w:cs="Arial"/>
          <w:b/>
          <w:sz w:val="28"/>
          <w:szCs w:val="28"/>
        </w:rPr>
        <w:t>Usta</w:t>
      </w:r>
      <w:proofErr w:type="spellEnd"/>
      <w:r w:rsidR="00535F81" w:rsidRPr="00432F0D">
        <w:rPr>
          <w:rFonts w:asciiTheme="majorHAnsi" w:eastAsia="Times New Roman" w:hAnsiTheme="majorHAnsi" w:cs="Arial"/>
          <w:b/>
          <w:sz w:val="28"/>
          <w:szCs w:val="28"/>
        </w:rPr>
        <w:t xml:space="preserve"> Ciénaga de oro (</w:t>
      </w:r>
      <w:r w:rsidR="004C6F03" w:rsidRPr="00432F0D">
        <w:rPr>
          <w:rFonts w:asciiTheme="majorHAnsi" w:eastAsia="Times New Roman" w:hAnsiTheme="majorHAnsi" w:cs="Arial"/>
          <w:b/>
          <w:sz w:val="28"/>
          <w:szCs w:val="28"/>
        </w:rPr>
        <w:t>Córdoba</w:t>
      </w:r>
      <w:r w:rsidR="00535F81" w:rsidRPr="00432F0D">
        <w:rPr>
          <w:rFonts w:asciiTheme="majorHAnsi" w:eastAsia="Times New Roman" w:hAnsiTheme="majorHAnsi" w:cs="Arial"/>
          <w:b/>
          <w:sz w:val="28"/>
          <w:szCs w:val="28"/>
        </w:rPr>
        <w:t>)</w:t>
      </w:r>
    </w:p>
    <w:p w14:paraId="02AC7AD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Frente a la acreditación del elemento objetivo, esta Sección se ha pronunciado en los siguientes términos: (…)</w:t>
      </w:r>
    </w:p>
    <w:p w14:paraId="2DF0D32F" w14:textId="77777777" w:rsidR="00535F81" w:rsidRPr="00432F0D"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la estructuración del apoyo exige necesariamente la ejecución de actos positivos y concretos en favor del candidato perteneciente a otro partido político.</w:t>
      </w:r>
    </w:p>
    <w:p w14:paraId="0AE28673" w14:textId="77777777" w:rsidR="00535F81" w:rsidRPr="00432F0D"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2F4CA220" w14:textId="77777777" w:rsidR="00535F81" w:rsidRPr="00432F0D"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El apoyo indebido se configura de manera independiente al resultado electoral obtenido por el candidato asistido. </w:t>
      </w:r>
    </w:p>
    <w:p w14:paraId="29F46FE1" w14:textId="77777777" w:rsidR="00535F81" w:rsidRPr="00432F0D"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La probanza del comportamiento prohibido debe aflorar de manera evidente o de bulto, es decir, revistiendo al operador judicial de elementos de juicio que permitan superar toda duda razonable. </w:t>
      </w:r>
    </w:p>
    <w:p w14:paraId="2174E4CE" w14:textId="77777777" w:rsidR="00535F81" w:rsidRPr="00432F0D"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El actuar objeto de sanción se centra en el ofrecimiento de apoyos, y no en el recibimiento de respaldos por parte de un candidato</w:t>
      </w:r>
    </w:p>
    <w:p w14:paraId="1C7A730D"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26 de septiembre de 2024 Expediente 11001-03-28-000-2023-0012</w:t>
      </w:r>
      <w:r w:rsidR="0007068A">
        <w:rPr>
          <w:rFonts w:asciiTheme="majorHAnsi" w:eastAsia="Times New Roman" w:hAnsiTheme="majorHAnsi" w:cs="Arial"/>
          <w:b/>
          <w:sz w:val="28"/>
          <w:szCs w:val="28"/>
          <w:u w:val="single"/>
        </w:rPr>
        <w:t>1-001. M.P. Pedro Pablo Vanegas.</w:t>
      </w:r>
    </w:p>
    <w:p w14:paraId="209C86C0" w14:textId="77777777" w:rsidR="00535F81" w:rsidRPr="00432F0D" w:rsidRDefault="0007068A"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Expediente perdido</w:t>
      </w:r>
      <w:r w:rsidR="00535F81" w:rsidRPr="00432F0D">
        <w:rPr>
          <w:rFonts w:asciiTheme="majorHAnsi" w:eastAsia="Times New Roman" w:hAnsiTheme="majorHAnsi" w:cs="Arial"/>
          <w:b/>
          <w:sz w:val="28"/>
          <w:szCs w:val="28"/>
        </w:rPr>
        <w:t xml:space="preserve"> de investidura Gobernador del putumayo, última sentencia publicada.</w:t>
      </w:r>
    </w:p>
    <w:p w14:paraId="2FEA431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Reiteración de los elementos señalados en la sentencia del Consejo de Estado, Sala de lo Contencioso Administrativo. Sección Quinta. Sentencia del 26 de enero del 2023, MP. Luis Alberto Álvarez Parra, Rad. 11001-03-28-000-2022-00196-00. con relación a la configuración de los elementos para que se configure la doble militancia en la modalidad de apoyo. Al señalar los 3 elementos</w:t>
      </w:r>
    </w:p>
    <w:p w14:paraId="491CFDA2"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a) Sujeto activo: los directivos de los partidos y los candidatos a cargos o curules en corporaciones de elección popular. </w:t>
      </w:r>
    </w:p>
    <w:p w14:paraId="783B0ABD"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 xml:space="preserve">b) Conducta prohibida: la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 </w:t>
      </w:r>
    </w:p>
    <w:p w14:paraId="0C17DB2A" w14:textId="77777777" w:rsidR="00535F81" w:rsidRPr="00432F0D" w:rsidRDefault="00535F81" w:rsidP="00535F81">
      <w:pPr>
        <w:pBdr>
          <w:top w:val="nil"/>
          <w:left w:val="nil"/>
          <w:bottom w:val="nil"/>
          <w:right w:val="nil"/>
          <w:between w:val="nil"/>
        </w:pBdr>
        <w:ind w:left="720" w:right="49"/>
        <w:jc w:val="both"/>
        <w:rPr>
          <w:rFonts w:asciiTheme="majorHAnsi" w:eastAsia="Times New Roman" w:hAnsiTheme="majorHAnsi" w:cs="Arial"/>
          <w:bCs/>
          <w:sz w:val="28"/>
          <w:szCs w:val="28"/>
        </w:rPr>
      </w:pPr>
      <w:r w:rsidRPr="00432F0D">
        <w:rPr>
          <w:rFonts w:asciiTheme="majorHAnsi" w:eastAsia="Times New Roman" w:hAnsiTheme="majorHAnsi" w:cs="Arial"/>
          <w:bCs/>
          <w:sz w:val="28"/>
          <w:szCs w:val="28"/>
        </w:rPr>
        <w:t>c) Elemento temporal: durante la campaña política, que parte del momento de la inscripción hasta el día de la elección.</w:t>
      </w:r>
    </w:p>
    <w:p w14:paraId="0A3FA052"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FALLOS DE CONSEJO DE ESTADO EN RELACION CON COALICIONES POLITICAS.</w:t>
      </w:r>
    </w:p>
    <w:p w14:paraId="45F616E5"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21 de julio de 2016. Expediente 05001-23- 33-000-2015-02451-01. M.P. Lucy Jeannette Bermúdez.</w:t>
      </w:r>
    </w:p>
    <w:p w14:paraId="0CD9365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En el ordenamiento jurídico colombiano a pesar de no estar definido el concepto como tal de coalición, existe mención de la figura en la legislación desde la promulgación de la Ley 130 de 1994 "Por la cual se dicta el estatuto básico de los partidos y movimientos políticos, se dictan normas sobre su financiación y la de las campañas electorales y se dictan otras disposiciones", que en cuanto a las reglas de financiación estatal de campañas, establece que para las coaliciones de partidos o movimientos se debe determinar previamente la forma de distribución de los aportes estatales a la campaña, (…)</w:t>
      </w:r>
    </w:p>
    <w:p w14:paraId="0407929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Así mismo, la jurisprudencia de esta Sección entendió como la definición de coalición, la consagrada, aunque no explícitamente, en el artículo 9º de la misma Ley 130 de 1994, cuando se refiere a las asociaciones de todo orden y textualmente al resolver sobre el reemplazo de un alcalde elegido por una coalición indicó: “Cuando varios partidos o movimientos políticos o sociales se unen para obtener mayores ventajas electorales, conformando las comúnmente denominadas coaliciones, estaremos en presencia de las " asociaciones de todo orden "que resuelvan constituirse en movimientos políticos, las cuales están autorizadas a presentar candidatos, de conformidad con el inciso tercero del artículo 9 de la Ley 130 de 1994, que dispone al efecto: "Las asociaciones de todo orden, (incluidos los partidos y movimientos políticos, como parece obvio) que por decisión de su Asamblea General resuelvan constituirse en movimientos u organismos sociales, y los grupos de ciudadanos … también podrán postular candidato. Para la Sala la norma transcrita regula, en forma más o menos explícita, el fenómeno de las coaliciones, por lo menos en cuanto a su conformación.</w:t>
      </w:r>
    </w:p>
    <w:p w14:paraId="318E4CB2" w14:textId="1279236C"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del Consejo de Estado, Sentencia del 25 de agosto de 2016 (</w:t>
      </w:r>
      <w:proofErr w:type="spellStart"/>
      <w:r w:rsidRPr="0007068A">
        <w:rPr>
          <w:rFonts w:asciiTheme="majorHAnsi" w:eastAsia="Times New Roman" w:hAnsiTheme="majorHAnsi" w:cs="Arial"/>
          <w:b/>
          <w:sz w:val="28"/>
          <w:szCs w:val="28"/>
          <w:u w:val="single"/>
        </w:rPr>
        <w:t>exp</w:t>
      </w:r>
      <w:r w:rsidR="004C6F03">
        <w:rPr>
          <w:rFonts w:asciiTheme="majorHAnsi" w:eastAsia="Times New Roman" w:hAnsiTheme="majorHAnsi" w:cs="Arial"/>
          <w:b/>
          <w:sz w:val="28"/>
          <w:szCs w:val="28"/>
          <w:u w:val="single"/>
        </w:rPr>
        <w:t>e</w:t>
      </w:r>
      <w:r w:rsidRPr="0007068A">
        <w:rPr>
          <w:rFonts w:asciiTheme="majorHAnsi" w:eastAsia="Times New Roman" w:hAnsiTheme="majorHAnsi" w:cs="Arial"/>
          <w:b/>
          <w:sz w:val="28"/>
          <w:szCs w:val="28"/>
          <w:u w:val="single"/>
        </w:rPr>
        <w:t>d</w:t>
      </w:r>
      <w:proofErr w:type="spellEnd"/>
      <w:r w:rsidRPr="0007068A">
        <w:rPr>
          <w:rFonts w:asciiTheme="majorHAnsi" w:eastAsia="Times New Roman" w:hAnsiTheme="majorHAnsi" w:cs="Arial"/>
          <w:b/>
          <w:sz w:val="28"/>
          <w:szCs w:val="28"/>
          <w:u w:val="single"/>
        </w:rPr>
        <w:t xml:space="preserve">. 05001233300020150257901), MP Rocío </w:t>
      </w:r>
      <w:proofErr w:type="spellStart"/>
      <w:r w:rsidRPr="0007068A">
        <w:rPr>
          <w:rFonts w:asciiTheme="majorHAnsi" w:eastAsia="Times New Roman" w:hAnsiTheme="majorHAnsi" w:cs="Arial"/>
          <w:b/>
          <w:sz w:val="28"/>
          <w:szCs w:val="28"/>
          <w:u w:val="single"/>
        </w:rPr>
        <w:t>Araújo</w:t>
      </w:r>
      <w:proofErr w:type="spellEnd"/>
      <w:r w:rsidRPr="0007068A">
        <w:rPr>
          <w:rFonts w:asciiTheme="majorHAnsi" w:eastAsia="Times New Roman" w:hAnsiTheme="majorHAnsi" w:cs="Arial"/>
          <w:b/>
          <w:sz w:val="28"/>
          <w:szCs w:val="28"/>
          <w:u w:val="single"/>
        </w:rPr>
        <w:t xml:space="preserve"> Oñate.</w:t>
      </w:r>
    </w:p>
    <w:p w14:paraId="3B210CD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De conformidad con el artículo 29 de la Ley 1475 de 2011, normativa que regula la inscripción de candidaturas en coalición, se tiene que los partidos y movimientos políticos con o sin personería jurídica, así como los grupos significativos de ciudadanos que pretendan inscribir candidatos en coalición deben tener en cuenta los siguientes requisitos: </w:t>
      </w:r>
    </w:p>
    <w:p w14:paraId="7DF6C5E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1. Que se trate de un cargo uninominal, esto es presidente, Gobernador o Alcalde. </w:t>
      </w:r>
    </w:p>
    <w:p w14:paraId="7F1356C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2. Como requisito previo a la inscripción la coalición debe haber determinado los siguientes aspectos; (i) mecanismo mediante el cual se efectúa la designación del candidato, (ii) el programa que va a presentar el candidato a gobernador o alcalde, (iii) el mecanismo mediante el cual se financiará la campaña y cómo se distribuirá entre los distintos partidos y movimientos que conforman la coalición la reposición estatal de los gastos, (iv) los sistemas de publicidad y auditoría interna, (v) deberán determinar el mecanismo mediante el cual formarán la terna en los casos en que hubiere lugar a reemplazar al elegido. </w:t>
      </w:r>
    </w:p>
    <w:p w14:paraId="23F4258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3. Al momento de la inscripción, en el formulario de inscripción (E-6), se debe dejar claro las agrupaciones políticas que integran la coalición y la filiación política del candidato.</w:t>
      </w:r>
    </w:p>
    <w:p w14:paraId="68503F7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4. La suscripción del acuerdo de coalición tiene carácter vinculante </w:t>
      </w:r>
      <w:proofErr w:type="gramStart"/>
      <w:r w:rsidRPr="00432F0D">
        <w:rPr>
          <w:rFonts w:asciiTheme="majorHAnsi" w:eastAsia="Times New Roman" w:hAnsiTheme="majorHAnsi" w:cs="Arial"/>
          <w:sz w:val="28"/>
          <w:szCs w:val="28"/>
        </w:rPr>
        <w:t>y</w:t>
      </w:r>
      <w:proofErr w:type="gramEnd"/>
      <w:r w:rsidRPr="00432F0D">
        <w:rPr>
          <w:rFonts w:asciiTheme="majorHAnsi" w:eastAsia="Times New Roman" w:hAnsiTheme="majorHAnsi" w:cs="Arial"/>
          <w:sz w:val="28"/>
          <w:szCs w:val="28"/>
        </w:rPr>
        <w:t xml:space="preserve"> por tanto, los partidos y movimientos políticos y sus directivos, y los promotores de los grupos significativos de ciudadanos no podrán inscribir, ni apoyar candidato distinto al que fue designado por la coalición. La inobservancia de este precepto, será causal de nulidad o revocatoria de la inscripción del candidato que se apoye, diferente al designado en la coalición.”</w:t>
      </w:r>
    </w:p>
    <w:p w14:paraId="699EFA56"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b/>
          <w:sz w:val="28"/>
          <w:szCs w:val="28"/>
          <w:u w:val="single"/>
        </w:rPr>
      </w:pPr>
      <w:r w:rsidRPr="0007068A">
        <w:rPr>
          <w:rFonts w:asciiTheme="majorHAnsi" w:eastAsia="Times New Roman" w:hAnsiTheme="majorHAnsi" w:cs="Arial"/>
          <w:b/>
          <w:sz w:val="28"/>
          <w:szCs w:val="28"/>
          <w:u w:val="single"/>
        </w:rPr>
        <w:t>Consejo de Estado, Sección Quinta, sentencia del 20 de agosto de 2020, M.P. Carlos Enrique Moreno Rubio, Rad. 11001-03-28-000-2019-00088-00.</w:t>
      </w:r>
    </w:p>
    <w:p w14:paraId="12F6B419"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Partiendo de la premisa de que la adhesión constituye una forma legítima de participación de los partidos y movimientos políticos en la contienda electoral, no puede sostenerse que tales pactos carezcan de relevancia ni que no deban ser analizados en el juicio de nulidad electoral. Como se indicó en la sentencia del 27 de octubre de 2021, "dependiendo de los supuestos de hecho planteados y los cargos formulados, estos pactos podrían desempeñar un papel crucial en el debate sobre la legalidad de las elecciones impugnadas, por ejemplo, en casos de doble militancia, en los cuales resulta determinante establecer los compromisos adquiridos por las agrupaciones políticas involucradas para verificar si el demandado respetó o no las directrices de su colectividad".</w:t>
      </w:r>
    </w:p>
    <w:p w14:paraId="1D67EA6B"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este contexto, en el juicio de nulidad electoral que ocupa la atención de la Sala, es claro que las directrices emanadas en la Resolución 007 de 2019 debían ser acatadas por todos los miembros de la colectividad, dado que la decisión de no permitir que sus integrantes apoyaran a candidatos de otras organizaciones tenía como uno de sus objetivos prevenir que sus miembros incurrieran en conductas constitutivas de doble militancia.</w:t>
      </w:r>
    </w:p>
    <w:p w14:paraId="3698BB5A"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Así las cosas, no es acertado el argumento de la sentencia apelada, que sostiene que la citada resolución, al fundamentarse en los acuerdos de adhesión o alianzas, creó una nueva causal de doble militancia en la modalidad de apoyo. Tal afirmación resulta incorrecta, ya que, en este caso, existió un compromiso previo por parte del Partido Alianza Verde de respaldar la candidatura de Carlos Caicedo Omar a la Gobernación del Magdalena. Es decir, la decisión de la agrupación fue tomar como propia dicha candidatura, lo que implicaba un deber para quienes recibieron el aval de respaldar esa campaña política y no otra, como una manifestación de lealtad y disciplina partidaria que debe prevalecer respecto a las decisiones de la colectividad.</w:t>
      </w:r>
    </w:p>
    <w:p w14:paraId="1C58332E"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este sentido, es necesario reiterar que el deber de los militantes se limita a no contradecir la aspiración política que la colectividad ha decidido apoyar. Esto implica que la prohibición no obliga a apoyar necesariamente a los candidatos del partido, sino que impone la obligación de abstenerse de manifestar apoyo a aspirantes de otras agrupaciones.</w:t>
      </w:r>
    </w:p>
    <w:p w14:paraId="7EB02A1F"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De este recuento jurisprudencial, pueden extraerse varias conclusiones relevantes para el caso que nos ocupa, destacándose las siguientes:</w:t>
      </w:r>
    </w:p>
    <w:p w14:paraId="474CF33A"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p>
    <w:p w14:paraId="6E1BDD98" w14:textId="77777777" w:rsidR="00535F81" w:rsidRPr="00432F0D" w:rsidRDefault="00535F81" w:rsidP="00535F81">
      <w:pPr>
        <w:pBdr>
          <w:top w:val="nil"/>
          <w:left w:val="nil"/>
          <w:bottom w:val="nil"/>
          <w:right w:val="nil"/>
          <w:between w:val="nil"/>
        </w:pBdr>
        <w:tabs>
          <w:tab w:val="left" w:pos="1635"/>
        </w:tabs>
        <w:ind w:right="49"/>
        <w:jc w:val="both"/>
        <w:rPr>
          <w:rFonts w:asciiTheme="majorHAnsi" w:eastAsia="Times New Roman" w:hAnsiTheme="majorHAnsi" w:cs="Arial"/>
          <w:sz w:val="28"/>
          <w:szCs w:val="28"/>
        </w:rPr>
      </w:pPr>
    </w:p>
    <w:p w14:paraId="3E111524" w14:textId="77777777" w:rsidR="00535F81" w:rsidRPr="00432F0D"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1. Respecto del candidato de coalición puede distinguirse, la colectividad de origen, esto es, en la que se encuentra afiliado, de aquellas que respaldan de manera coaligada su aspiración electoral para un cargo determinado. </w:t>
      </w:r>
    </w:p>
    <w:p w14:paraId="3064E8E9" w14:textId="77777777" w:rsidR="00535F81" w:rsidRPr="00432F0D"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2. En atención a que las coaliciones están permitidas por el ordenamiento jurídico, no constituye un hecho constitutivo de doble militancia, que una candidatura se inscriba con el respaldo de varias agrupaciones políticas. </w:t>
      </w:r>
    </w:p>
    <w:p w14:paraId="2A47FC87" w14:textId="77777777" w:rsidR="00535F81" w:rsidRPr="00432F0D"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3. La prohibición de doble militancia se predica sin distinción, sin excepción, respecto de quienes aspiren a ser elegidos en cualquier cargo de elección popular, incluidos los candidatos a la presidencia y vicepresidencia de la República, los que hicieron uso del derecho personal de que trata el artículo 112 Superior y los que en virtud de una coalición inscribieron su candidatura y adelantaron una campaña electoral.</w:t>
      </w:r>
    </w:p>
    <w:p w14:paraId="26AF7E44" w14:textId="77777777" w:rsidR="00535F81" w:rsidRPr="00432F0D"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4. La exigencia de no incurrir en alguna de las modalidades de la prohibición de doble militancia, que también es aplicable a los candidatos de coalición, deviene de la Constitución (art.107) y la ley (arts. 2 y 7 de la Ley 1475 de 2011), por lo que “el único facultado para estructurar las circunstancias especiales que limitan esta figura como causal de inelegibilidad es el legislador”, de manera tal que los pactos de las agrupaciones políticas tendientes a limitar o precisar su alcance carecen de validez. </w:t>
      </w:r>
    </w:p>
    <w:p w14:paraId="358BCB8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este contexto, es necesario enfatizar que, a los candidatos de coalición, entendidos tanto como ciudadanos que aspiran a ser elegidos en cargos de elección popular, les resulta plenamente aplicable el inciso 2° del artículo 107 de la Constitución Política, el cual establece de manera tajante que "en ningún caso se permitirá a los ciudadanos pertenecer simultáneamente a más de un partido o movimiento político". Esta norma fundamental es complementada y desarrollada por el artículo 2° de la Ley 1475 de 2011, que dispone que quienes aspiren a ser elegidos en cargos de elección popular no podrán apoyar a candidatos distintos a los inscritos por el partido o movimiento político al que pertenezcan. Dichas disposiciones deben interpretarse de manera armónica con el artículo 29 de la misma ley, el cual establece que los candidatos de coalición son, en primer lugar, de la agrupación política en la que militan, pero también de las demás colectividades que integran la coalición o que adhieren a su candidatura.</w:t>
      </w:r>
    </w:p>
    <w:p w14:paraId="4F0B9ED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esta razón, la jurisprudencia consolidada de la Sala Electoral del Consejo de Estado ha sido clara al no excluir a las coaliciones de la prohibición de la doble militancia. En consecuencia, se ha procedido al análisis exhaustivo de los casos presentados, con el objetivo de determinar si durante la campaña electoral se presentó el apoyo denunciado. En caso afirmativo, debe procederse con la nulidad del acto de elección; de lo contrario, se deben desestimar las pretensiones de la demanda.</w:t>
      </w:r>
    </w:p>
    <w:p w14:paraId="0BD93257"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A partir de la interpretación sistemática de los artículos 107 de la Constitución, 2 y 29 de la Ley 1475 de 2011, se concluye que un candidato de coalición, en primer lugar, debe su lealtad y apoyo a la organización política en la que milita, </w:t>
      </w:r>
      <w:proofErr w:type="gramStart"/>
      <w:r w:rsidRPr="00432F0D">
        <w:rPr>
          <w:rFonts w:asciiTheme="majorHAnsi" w:eastAsia="Times New Roman" w:hAnsiTheme="majorHAnsi" w:cs="Arial"/>
          <w:sz w:val="28"/>
          <w:szCs w:val="28"/>
        </w:rPr>
        <w:t>y</w:t>
      </w:r>
      <w:proofErr w:type="gramEnd"/>
      <w:r w:rsidRPr="00432F0D">
        <w:rPr>
          <w:rFonts w:asciiTheme="majorHAnsi" w:eastAsia="Times New Roman" w:hAnsiTheme="majorHAnsi" w:cs="Arial"/>
          <w:sz w:val="28"/>
          <w:szCs w:val="28"/>
        </w:rPr>
        <w:t xml:space="preserve"> en segundo lugar, a las colectividades que adhieren o respaldan su candidatura. Por tanto, en su capacidad de manifestar apoyo a otros candidatos, este debe hacerlo, en primer lugar, en favor de aquellos que pertenecen a la colectividad en la que se encuentra afiliado. En caso de que su partido no haya inscrito o respaldado un candidato para un cargo específico, podrá manifestar apoyo a los candidatos de la coalición o de las colectividades que adhieran o apoyen su campaña, sin que exista preferencia alguna entre unos y otros.</w:t>
      </w:r>
    </w:p>
    <w:p w14:paraId="266CE8B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conducta prohibida en el marco de la doble militancia, en la modalidad de apoyo, que también se aplica a los candidatos de coalición, consiste en brindar apoyo a candidatos que no pertenezcan al partido o movimiento político al cual el candidato está afiliado, así como en recibir apoyo de agrupaciones políticas diferentes a la que inscribe a un aspirante a u</w:t>
      </w:r>
      <w:r w:rsidR="0007068A">
        <w:rPr>
          <w:rFonts w:asciiTheme="majorHAnsi" w:eastAsia="Times New Roman" w:hAnsiTheme="majorHAnsi" w:cs="Arial"/>
          <w:sz w:val="28"/>
          <w:szCs w:val="28"/>
        </w:rPr>
        <w:t>n cargo de elección popular.</w:t>
      </w:r>
    </w:p>
    <w:p w14:paraId="3B291F75"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JURISPRUDENCIA CORTE CONSTITUCIONAL.</w:t>
      </w:r>
    </w:p>
    <w:p w14:paraId="33A896F5"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Sentencia de Constitucionalidad C 490 de 2011 M.P </w:t>
      </w:r>
      <w:r w:rsidR="0007068A" w:rsidRPr="00432F0D">
        <w:rPr>
          <w:rFonts w:asciiTheme="majorHAnsi" w:eastAsia="Times New Roman" w:hAnsiTheme="majorHAnsi" w:cs="Arial"/>
          <w:b/>
          <w:sz w:val="28"/>
          <w:szCs w:val="28"/>
        </w:rPr>
        <w:t>LUIS ERNESTO VARGAS SILVA</w:t>
      </w:r>
      <w:r w:rsidR="0007068A">
        <w:rPr>
          <w:rFonts w:asciiTheme="majorHAnsi" w:eastAsia="Times New Roman" w:hAnsiTheme="majorHAnsi" w:cs="Arial"/>
          <w:b/>
          <w:sz w:val="28"/>
          <w:szCs w:val="28"/>
        </w:rPr>
        <w:t>.</w:t>
      </w:r>
    </w:p>
    <w:p w14:paraId="65B40B7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doble militancia, en ese contexto, constituye una restricción de naturaleza constitucional al derecho político de los ciudadanos de formar libremente parte de partidos, movimientos y agrupaciones políticas, conforme al artículo 40, numeral 3 de la Constitución Política. Sin embargo, esta libertad debe ser armonizada con el principio democrático representativo, que exige que la confianza depositada por el elector en un determinado plan de acción política no sea frustrada por decisiones personalistas del elegido, tales como el abandono de la agrupación política a través de la cual accedió al cargo de elección popular o a la corporación pública.</w:t>
      </w:r>
    </w:p>
    <w:p w14:paraId="4728EBF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Este enfoque fue claramente expuesto por la Corte Constitucional, que, al examinar los antecedentes del Acto Legislativo 01 de 2003, así como el texto final aprobado y el funcionamiento de las bancadas, concluyó que la doble militancia está proscrita debido a los efectos perjudiciales que genera, tales como el falseamiento de la confianza del elector, la imposibilidad de cumplir el programa político al que se comprometió el elegido, el entorpecimiento de las corporaciones públicas y, en última instancia, la atomización de la actividad política en un número de partidos que no resultan ser representativos. Estos efectos son contrarios a los objetivos que inspiraron la reforma política.</w:t>
      </w:r>
    </w:p>
    <w:p w14:paraId="07F10F6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lo tanto, el ejercicio de los derechos políticos, como la libertad de afiliación y apoyo a partidos, no puede tener como resultado la desarticulación del sistema de bancadas ni la alteración del régimen representativo. En otras palabras, no se presenta una contradicción real entre el ejercicio de los derechos políticos y la prohibición de la doble militancia, sino que esta interdicción constitucional contribuye, en realidad, a la evolución ordenada y coherente del sistema político colombiano, dentro de unos parámetros que garantizan la estabilidad y representatividad de las agrupaciones políticas. (…)</w:t>
      </w:r>
    </w:p>
    <w:p w14:paraId="45E82CB2" w14:textId="77777777" w:rsidR="00535F81" w:rsidRPr="00432F0D" w:rsidRDefault="00535F81" w:rsidP="00535F81">
      <w:pPr>
        <w:pBdr>
          <w:top w:val="nil"/>
          <w:left w:val="nil"/>
          <w:bottom w:val="nil"/>
          <w:right w:val="nil"/>
          <w:between w:val="nil"/>
        </w:pBdr>
        <w:ind w:left="680" w:right="680"/>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Como se observa, el presupuesto para la imposición de la prohibición de la doble militancia es la posibilidad o ejercicio efectivo del mandato democrático representativo.  Esto implica que, aunque como se explicará más adelante, la vigencia de la citada prohibición es de carácter general y, por ende, se aplica a ciudadanos que no tienen ese mandato, son los servidores elegidos los destinatarios particulares de tal restricción. En consecuencia, la formulación constitucional debe ser comprendida como un mínimo, de modo que el legislador estatutario puede incorporar una regulación más exigente o extensiva respecto a la prohibición de doble militancia, a condición que esté dirigida a cumplir los propósitos constitucionales de esa figura, explicados en la presente decisión. A este respecto, la Corte ha señalado que “…son los integrantes de los partidos los destinatarios particulares de la prohibición de doble militancia, puesto que (i) una concepción diferente configuraría una interdicción desproporcionada al derecho político al voto libre; y (ii) son esos integrantes, en virtud del régimen jurídico que les es aplicable, quienes tienen un deber más específico y de mayor peso en lo que refiere a la disciplina de partido. Ello en el entendido que la vinculación con los objetivos programáticos, principios ideológicos y decisiones políticas internas democráticamente adoptadas, tiene una mayor vinculación para los servidores elegidos como parte de listas avaladas por partidos y movimientos políticos que se definen –y obtienen respaldo electoral entre los ciudadanos-, en razón de su adscripción a tales parámetros (…)</w:t>
      </w:r>
    </w:p>
    <w:p w14:paraId="7707796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74CA902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Sentencia de Constitucionalidad C 334 de 2014 M.P MAURICIO GONZÁLEZ CUERVO</w:t>
      </w:r>
      <w:r w:rsidR="0007068A">
        <w:rPr>
          <w:rFonts w:asciiTheme="majorHAnsi" w:eastAsia="Times New Roman" w:hAnsiTheme="majorHAnsi" w:cs="Arial"/>
          <w:b/>
          <w:sz w:val="28"/>
          <w:szCs w:val="28"/>
        </w:rPr>
        <w:t>.</w:t>
      </w:r>
    </w:p>
    <w:p w14:paraId="1A0A3477"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 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148B878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Estas premisas justifican plenamente la constitucionalidad de la extensión de los deberes propios de la prohibición de doble militancia a los directivos de partidos y movimientos políticos. De acuerdo con la Constitución, estos dignatarios cumplen un papel central en tales organizaciones, en tanto actúan en su nombre y, por ende, (i) son responsables del aval de sus candidatos a cargos y corporaciones públicas de elección popular (Art. 108, inc. 3); y (ii) son, en consecuencia, susceptibles de sanción de aquellos apoyos que se realicen en contravención de las reglas constitucionales, en especial aquellas que proscriben avalar candidatos condenados por determinados delitos. Sería un contrasentido afirmar, de un lado, que a los directivos de las agrupaciones políticas se les adscriben esas importantes responsabilidades y, del otro, que no están sometidos a la disciplina de partidos. Por ende, la decisión del legislador estatutario se encuentra ajustada al ordenamiento superior.</w:t>
      </w:r>
    </w:p>
    <w:p w14:paraId="47DB3F2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Sentencia de Unificación SU 209 de 2021. M.P CRISTINA PARDO SCHLESINGER</w:t>
      </w:r>
      <w:r w:rsidR="0007068A">
        <w:rPr>
          <w:rFonts w:asciiTheme="majorHAnsi" w:eastAsia="Times New Roman" w:hAnsiTheme="majorHAnsi" w:cs="Arial"/>
          <w:b/>
          <w:sz w:val="28"/>
          <w:szCs w:val="28"/>
        </w:rPr>
        <w:t>.</w:t>
      </w:r>
    </w:p>
    <w:p w14:paraId="41119CD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ese contexto, la Corte explicó que el artículo 2 de la Ley 1475 de 2011 contiene varias reglas legales estatutarias, a saber: «(i) existe un criterio objetivo para establecer la militancia a un partido o movimiento político y, por ende, para verificar la doble militancia; (ii) la regla sobre doble militancia es más estricta cuando se trata de directivos de los partidos o movimientos políticos, o quienes hayan sido elegidos o aspiren a ser elegidos a cargos o corporaciones de elección popular; (iii) tanto los directivos como los candidatos elegidos o que aspiren a serlo tienen el deber de pertenecer al partido o movimiento político mientras ostenten la investidura o cargo y, en caso de querer presentarse a la siguiente elección por otro partido o movimiento político deben renunciar a su curul al menos doce meses antes del primer día de inscripciones para el proceso electoral, o renunciar con la misma anticipación antes de postularse para ser directivos de otros partidos o aceptar la designación que se les haga como tales; (iv) en caso de incumplir con las anteriores reglas, la persona incurre en doble militancia y, por ende, será sancionada conforme a los estatutos del partido o movimiento político y, si es candidato a un cargo de elección popular, esta circunstancia será causal para la revocatoria de la inscripción».</w:t>
      </w:r>
    </w:p>
    <w:p w14:paraId="5BBAEBB9" w14:textId="77777777" w:rsidR="00535F81"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esa sentencia, la Corte estableció el momento en que se configura la doble militancia en elecciones populares (elemento relevante para resolver uno de los cargos propuestos en dicha oportunidad). Al respecto, indicó que, si bien la nulidad se solicita con posterioridad a la elección, ello no significa que el supuesto de hecho de la causal de anulación electoral no pueda configurarse con anterioridad a aquella. Por tanto, explicó que un candidato que participa en un proceso electoral incurre en doble militancia «cuando se configura el supuesto de hecho previsto en la segunda y en la tercera de las reglas constitucionales relevantes, a saber: inscribirse como candidato por un partido diferente de aquél con en cuya consulta interna participó o en nombre del cual participó en una consulta interpartidista, de cara a un mismo proceso electoral (art. 107, inc. 5 C.P.); e inscribirse como candidato por un partido diferente de aquél por el cual fue elegido miembro de una corporación pública, salvo que se renuncie a éste por lo menos doce meses antes del primer día de inscripciones (art. 107, inc. 12 C.P.). […] 4.4.7. Las anteriores reglas constitucionales relevantes, conforme a su desarrollo en la Ley Estatutaria 1475 de 2011, implican que hay un grado de exigencia especial respecto de los candidatos de los partidos políticos, quienes no pueden apoyar a candidatos distintos a los inscritos por el partido o movimiento político al cual están afiliados, tienen el deber de pertenecer al partido que los inscribió mientras ostentan la investidura o cargo y, si quieren presentarse en un proceso electoral como candidatos por otro partido, deben renunciar a su partido al menos doce meses antes del primer día de inscripciones (art. 2, inc. 2 de la Ley 1475 de 2011). […] En caso de no cumplir con lo previsto en las antedichas reglas, el directivo o el candidato, según sea el caso, incurren en doble militancia; al incurrir en doble militancia se sigue la sanción prevista por los estatutos del respectivo partido o movimiento político y, en el caso de los candidatos, esta circunstancia será causal para la revocatoria de la inscripción (art. 2, inc. 4 de la Ley 1475 de 2011)». (subraya fuera de texto).</w:t>
      </w:r>
    </w:p>
    <w:p w14:paraId="2CF20F92" w14:textId="77777777" w:rsidR="0007068A" w:rsidRPr="00432F0D" w:rsidRDefault="0007068A" w:rsidP="00535F81">
      <w:pPr>
        <w:pBdr>
          <w:top w:val="nil"/>
          <w:left w:val="nil"/>
          <w:bottom w:val="nil"/>
          <w:right w:val="nil"/>
          <w:between w:val="nil"/>
        </w:pBdr>
        <w:ind w:right="49"/>
        <w:jc w:val="both"/>
        <w:rPr>
          <w:rFonts w:asciiTheme="majorHAnsi" w:eastAsia="Times New Roman" w:hAnsiTheme="majorHAnsi" w:cs="Arial"/>
          <w:sz w:val="28"/>
          <w:szCs w:val="28"/>
        </w:rPr>
      </w:pPr>
    </w:p>
    <w:p w14:paraId="5D4C151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Sentencia de Unificación SU 213 de 2022. M.P CRISTINA PARDO SCHLESINGER</w:t>
      </w:r>
    </w:p>
    <w:p w14:paraId="4AD16D37"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i) como ya se advirtió, consolidar a los partidos y movimientos políticos, mediante el fortalecimiento del vínculo entre estos y el electorado; ii) impedir el transfuguismo político, el cual, por lo general, se funda en la obtención de avales para la elección correspondiente; iii) evitar la personalización de la política y la incursión de actores ilegales en el escenario político y iv) contrarrestar la indisciplina partidista.</w:t>
      </w:r>
    </w:p>
    <w:p w14:paraId="5F57C5B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Estas cuatro prácticas, usuales en la política tradicional, afectan seriamente los principios de soberanía popular, democracia participativa y participación democrática, los cuales «constituyen aspectos definitorios de la Constitución Política de 1991. En los términos de la Corte, esto ocurre porque tanto la doble militancia como el transfuguismo sustituyen el rol central que en la democracia deben ocupar los programas políticos, los partidos y las ideologías. En su lugar, otorgan un papel importante al favor clientelista</w:t>
      </w:r>
    </w:p>
    <w:p w14:paraId="454935E1" w14:textId="4CEBD85B"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esto la prohibición en comento es «un instrumento indispensable de garantía de la representatividad democrática de los elegidos»</w:t>
      </w:r>
      <w:r w:rsidR="004C6F03">
        <w:rPr>
          <w:rFonts w:asciiTheme="majorHAnsi" w:eastAsia="Times New Roman" w:hAnsiTheme="majorHAnsi" w:cs="Arial"/>
          <w:sz w:val="28"/>
          <w:szCs w:val="28"/>
        </w:rPr>
        <w:t xml:space="preserve"> </w:t>
      </w:r>
      <w:r w:rsidRPr="00432F0D">
        <w:rPr>
          <w:rFonts w:asciiTheme="majorHAnsi" w:eastAsia="Times New Roman" w:hAnsiTheme="majorHAnsi" w:cs="Arial"/>
          <w:sz w:val="28"/>
          <w:szCs w:val="28"/>
        </w:rPr>
        <w:t>que enfatiza en el «papel que cumplen los partidos y movimientos políticos en el proceso de canalización de la voluntad democrática. Con esto, la sanción de la doble militancia salvaguardia la confianza del elector, asegura la realización del programa político que el candidato se comprometió a cumplir</w:t>
      </w:r>
      <w:r w:rsidR="004C6F03">
        <w:rPr>
          <w:rFonts w:asciiTheme="majorHAnsi" w:eastAsia="Times New Roman" w:hAnsiTheme="majorHAnsi" w:cs="Arial"/>
          <w:sz w:val="28"/>
          <w:szCs w:val="28"/>
        </w:rPr>
        <w:t xml:space="preserve"> </w:t>
      </w:r>
      <w:r w:rsidRPr="00432F0D">
        <w:rPr>
          <w:rFonts w:asciiTheme="majorHAnsi" w:eastAsia="Times New Roman" w:hAnsiTheme="majorHAnsi" w:cs="Arial"/>
          <w:sz w:val="28"/>
          <w:szCs w:val="28"/>
        </w:rPr>
        <w:t>y «prioriza la importancia de las organizaciones políticas sobre el personalismo electoral</w:t>
      </w:r>
    </w:p>
    <w:p w14:paraId="24A4D34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consecuencia, la proscripción de doble militancia promueve que quienes son titulares de un cargo de elección popular representen y defiendan una determinada ideología y un programa político. En otras palabras, la referida interdicción busca evitar que «el representante ejerza activismo en defensa de los programas, idearios o ideologías de dos organizaciones políticas al mismo tiempo» Desde esta perspectiva, la prohibición en cuestión otorga claridad, probidad y lealtad en las relaciones entre, por un lado, los elegidos y los votantes, porque fortalece el vínculo que los une a través de las ideas; y, por otro lado, entre los miembros de las corporaciones públicas y las bancadas políticas, en la medida en que promueve la disciplina partidista y permite la identificación de las diferentes opciones ideológicas en el debate legislativo</w:t>
      </w:r>
    </w:p>
    <w:p w14:paraId="6249284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Así las cosas, el ordenamiento jurídico contiene una consecuencia jurídica clara cuando el candidato (miembro de una corporación pública o no) a un cargo de elección popular desconoce esta prohibición de doble militancia.  Causal que debe analizarse de manera armónica con lo dispuesto en los artículos 107 superior y 2 de la Ley 1475 de 2011</w:t>
      </w:r>
    </w:p>
    <w:p w14:paraId="2B9AE01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NECESIDAD DE ACTUALIZACION DE LA REGLAMENTACION ESTATUTARIA DE DOBLE MILITANCIA </w:t>
      </w:r>
    </w:p>
    <w:p w14:paraId="6F93CA5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proyecto de ley propuesto para modificar las condiciones de la doble militancia en Colombia responde a una necesidad fundamental del sistema democrático actual. A medida que las dinámicas políticas han evolucionado, el país ha experimentado un crecimiento significativo en la formación de coaliciones entre partidos y movimientos políticos. Este fenómeno, que busca unir fuerzas políticas bajo un programa común, plantea desafíos únicos para la normativa existente, en especial en lo relacionado con la doble militancia. El aumento de coaliciones ha evidenciado la necesidad de ajustar las regulaciones, a fin de asegurar que los acuerdos programáticos entre los partidos sean respetados, y de esta manera, garantizar una mayor representatividad de todas las fuerzas políticas involucradas.</w:t>
      </w:r>
    </w:p>
    <w:p w14:paraId="13C557D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Uno de los aspectos fundamentales que este proyecto de ley busca resolver es la contradicción inherente que existe entre las coaliciones y la normativa de doble militancia. Las coaliciones, por su naturaleza, permiten que diferentes partidos y movimientos políticos unan sus esfuerzos en torno a un candidato o un conjunto de candidaturas, con el fin de maximizar sus posibilidades electorales y responder a un proyecto político conjunto. Sin embargo, la regulación actual de la doble militancia no ha sido actualizada para reconocer de manera adecuada estas alianzas políticas, lo que genera confusión e incertidumbre tanto para los candidatos como para los votantes.</w:t>
      </w:r>
    </w:p>
    <w:p w14:paraId="14C7F22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 nivel práctico, la falta de claridad en la normativa ha generado un vacío que puede afectar negativamente la coherencia y transparencia del proceso electoral. Los partidos que forman parte de una coalición enfrentan el riesgo de que sus miembros sean acusados de doble militancia, aun cuando están respaldando a un candidato que es parte de su alianza para un cargo que participe en la misma fecha de elección. Este tipo de situaciones no solo desvirtúan el propósito de las coaliciones, sino que también comprometen la confianza del electorado en el sistema democrático. Por tanto, una reforma que permita que los miembros de las coaliciones puedan apoyar libremente a sus candidatos dentro del marco de los acuerdos programáticos es esencial para garantizar la legitimidad y coherencia de estos pactos.</w:t>
      </w:r>
    </w:p>
    <w:p w14:paraId="55A29A1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Además del vacío legal que afecta a las coaliciones, el proyecto de ley también aborda la necesidad de respetar los acuerdos programáticos que se establecen entre los partidos. Estos acuerdos representan un compromiso ideológico y programático que los partidos y movimientos asumen al formar una coalición. Sin embargo, sin una regulación clara sobre la doble militancia, existe el riesgo de que los candidatos elegidos bajo una coalición no respeten estos acuerdos, lo que puede generar tensiones y divisiones dentro de las alianzas.</w:t>
      </w:r>
    </w:p>
    <w:p w14:paraId="59FE33DA"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respeto a los acuerdos programáticos no solo fortalece la confianza entre los partidos que forman parte de una coalición, sino que también refuerza la representación de los votantes que han apoyado dichas alianzas. Cuando los partidos y movimientos políticos se comprometen con un programa común, los electores depositan su confianza en que los candidatos que apoyan defenderán esos principios y propuestas en los espacios de toma de decisiones. Si un candidato traiciona ese compromiso apoyando a un candidato ajeno a la coalición, no solo está rompiendo su lealtad a la alianza, sino que también está defraudando a los votantes que confiaron en esa plataforma programática.</w:t>
      </w:r>
    </w:p>
    <w:p w14:paraId="081827B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El crecimiento de las coaliciones como fue evidenciado de manera previa ha generado una serie de desafíos que el marco normativo actual sobre la doble militancia no aborda de manera adecuada. Las disposiciones legales que actualmente regulan la doble militancia en Colombia no contemplan las particularidades de las coaliciones políticas, lo que genera un vacío normativo que pone en riesgo la coherencia ideológica y programática que estas alianzas deben mantener para garantizar su efectividad. </w:t>
      </w:r>
    </w:p>
    <w:p w14:paraId="21B7373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Las coaliciones se conforman como una estrategia para unir a diferentes partidos o movimientos políticos con el fin de respaldar a un candidato en común, con base en un acuerdo programático que busca representar los intereses de todos los sectores involucrados. Sin embargo, la normativa vigente sobre doble militancia, que prohíbe la el apoyo a candidatos de partidos distintos al propio, no está diseñada para abordar adecuadamente las dinámicas de estas alianzas.</w:t>
      </w:r>
    </w:p>
    <w:p w14:paraId="0CCE469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Aplicar la regla de doble militancia de manera estricta y sin considerar las especificidades de las coaliciones puede resultar perjudicial para el uso de esta figura, que se ha vuelto fundamental en un sistema político cada vez más fragmentado. Al imponer que un candidato solo pueda apoyar al partido del cual hace parte formalmente, se desvirtúa la naturaleza inclusiva y colaborativa de las coaliciones. </w:t>
      </w:r>
    </w:p>
    <w:p w14:paraId="60771A9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Esto afecta directamente la capacidad del candidato de corresponder a los diversos sectores que lo respaldaron en su elección. En lugar de actuar en nombre de todos los partidos que participaron en el acuerdo programático, el candidato estaría obligado a limitarse a los intereses del partido que lo avaló formalmente, lo que genera una situación de desigualdad e inequidad para los demás partidos que </w:t>
      </w:r>
      <w:proofErr w:type="spellStart"/>
      <w:r w:rsidRPr="00432F0D">
        <w:rPr>
          <w:rFonts w:asciiTheme="majorHAnsi" w:eastAsia="Times New Roman" w:hAnsiTheme="majorHAnsi" w:cs="Arial"/>
          <w:sz w:val="28"/>
          <w:szCs w:val="28"/>
        </w:rPr>
        <w:t>coavalaron</w:t>
      </w:r>
      <w:proofErr w:type="spellEnd"/>
      <w:r w:rsidRPr="00432F0D">
        <w:rPr>
          <w:rFonts w:asciiTheme="majorHAnsi" w:eastAsia="Times New Roman" w:hAnsiTheme="majorHAnsi" w:cs="Arial"/>
          <w:sz w:val="28"/>
          <w:szCs w:val="28"/>
        </w:rPr>
        <w:t xml:space="preserve"> su candidatura.</w:t>
      </w:r>
    </w:p>
    <w:p w14:paraId="54443034"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Esta situación pone en desventaja a los movimientos políticos más pequeños que, debido a la fragmentación del sistema político, recurren a las coaliciones para aumentar sus posibilidades de representación. Al no poder exigir una representación equitativa por parte del candidato que ayudaron a elegir, estos partidos se encuentran en una posición de inferioridad frente a los partidos más grandes, que suelen dominar la coalición. En la práctica, esto socava la esencia misma de las coaliciones, que deberían ser un mecanismo para equilibrar el poder y garantizar que todos los sectores involucrados tengan una voz en las decisiones que toma el candidato electo.</w:t>
      </w:r>
    </w:p>
    <w:p w14:paraId="56FA25D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Además, la falta de flexibilidad en la normativa sobre doble militancia puede generar tensiones dentro de las coaliciones, afectando su cohesión y capacidad para trabajar de manera coordinada. Un candidato que no puede corresponder a todos los sectores que lo apoyaron se enfrenta al desafío de mantener el apoyo de sus aliados políticos durante su mandato, lo que puede llevar a la fragmentación de la coalición y, en consecuencia, a una menor eficacia en la implementación de las políticas acordadas. De esta manera, el marco normativo actual, lejos de promover la estabilidad política y la coherencia programática, contribuye a la fragmentación y al debilitamiento de las alianzas entre partidos.</w:t>
      </w:r>
    </w:p>
    <w:p w14:paraId="55897E1E"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Por tanto, es crucial reformar las disposiciones legales sobre doble militancia para adaptarlas a las realidades actuales del sistema político colombiano. Una normativa actualizada debe reconocer la legitimidad de las coaliciones y permitir que los candidatos electos en estos acuerdos programáticos puedan representar y corresponder a todos los partidos y movimientos que los avalaron, sin caer en una violación de las reglas de doble militancia. Esto no solo fortalecería la cohesión de las coaliciones, sino que también garantizaría una mayor representatividad y equidad para todos los actores involucrados.</w:t>
      </w:r>
    </w:p>
    <w:p w14:paraId="16B831C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resumen, la situación actual evidencia la urgencia de una modificación en las normas sobre doble militancia para evitar que estas se conviertan en un obstáculo para el buen funcionamiento de las coaliciones políticas. Una reforma que permita a los candidatos electos en coaliciones apoyar y corresponder de manera justa a todos los sectores que los respaldaron fortalecerá tanto la democracia como la transparencia en los procesos electorales. Al permitir una mayor flexibilidad en la aplicación de la normativa, se respetará la pluralidad de intereses que una coalición busca representar, garantizando que los acuerdos programáticos se cumplan de manera efectiva y equitativa para todas las partes.</w:t>
      </w:r>
    </w:p>
    <w:p w14:paraId="335A297C"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COMPETENCIA DEL LEGISLADOR ESTATUTARIO PARA LA DOBLE MILITANCIA.</w:t>
      </w:r>
    </w:p>
    <w:p w14:paraId="24F6488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Uno de los elementos más reiterados y consolidados en los precedentes tanto de la Corte Constitucional como del Consejo de Estado es que la interpretación de las sanciones por doble militancia debe ser realizada de manera armónica con lo dispuesto en los artículos 107 de la Constitución Política y el artículo 2 de la Ley 1475 de 2011. Este último, que se encuentra en el centro de las discusiones actuales, es precisamente el objeto de modificación en el presente proyecto de ley, y su reforma responde a la evolución del sistema electoral colombiano y a la necesidad urgente de aclarar los términos y condiciones en los que operan las coaliciones políticas.</w:t>
      </w:r>
    </w:p>
    <w:p w14:paraId="174810CC"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artículo 107 de la Constitución, en su esencia, establece que los ciudadanos tienen el derecho a formar parte de partidos y movimientos políticos, pero prohíbe de manera clara la pertenencia simultánea a más de uno de estos grupos. Este principio ha sido la base para la implementación de sanciones en casos de doble militancia. Sin embargo, la normativa actual sobre este tema no contempla de manera suficiente las complejidades que han surgido con el aumento de las coaliciones, donde múltiples partidos o movimientos políticos se agrupan temporalmente para presentar candidaturas comunes. En estos casos, las reglas sobre doble militancia, tal como están actualmente redactadas, se vuelven ambiguas y a menudo pueden llevar a interpretaciones confusas que perjudican el desarrollo legítimo de las coaliciones.</w:t>
      </w:r>
    </w:p>
    <w:p w14:paraId="42B921B9"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este contexto, el artículo 2 de la Ley 1475 de 2011, que define las modalidades de la doble militancia, se encuentra desfasado respecto a las nuevas realidades del sistema electoral colombiano. Las coaliciones han ganado terreno como una herramienta fundamental para asegurar la representación política en un escenario caracterizado por la fragmentación partidista. Sin embargo, la normativa vigente no proporciona reglas claras sobre cómo deben funcionar las coaliciones y cómo se deben interpretar las conductas de los actores que participan en ellas. Este vacío normativo ha generado una gran incertidumbre, tanto para los partidos que forman parte de una coalición como para los candidatos y electores.</w:t>
      </w:r>
    </w:p>
    <w:p w14:paraId="534F9836"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proyecto de ley propuesto busca precisamente solucionar este vacío, ofreciendo reglas claras y específicas que permitan una aplicación objetiva de la normativa. En primer lugar, al tratarse de un proceso cuyas consecuencias jurídicas incluyen la limitación de derechos fundamentales, como el derecho a ser elegido, es esencial que la regulación esté basada en normas precisas y detalladas que no dejen espacio para ambigüedades o interpretaciones subjetivas. La actual redacción de los artículos sobre doble militancia presenta un enfoque más cercano a principios generales que a normas específicas, lo que ha permitido múltiples interpretaciones judiciales que no siempre han sido coherentes ni justas en su aplicación.</w:t>
      </w:r>
    </w:p>
    <w:p w14:paraId="2F8F3FF0"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principio de interpretación restrictiva es fundamental en esta discusión. Dado que la doble militancia conlleva sanciones graves, es crucial que las conductas prohibidas estén claramente definidas y delimitadas, de modo que los actores políticos sepan exactamente cuáles son las acciones que pueden llevar a una sanción. En este sentido, el proyecto de ley busca establecer reglas inequívocas que eliminen cualquier ambigüedad en la interpretación de la doble militancia, especialmente en el contexto de las coaliciones políticas.</w:t>
      </w:r>
    </w:p>
    <w:p w14:paraId="25949861" w14:textId="77777777" w:rsidR="00535F81" w:rsidRPr="0007068A"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Además, esta reforma no solo pretende aclarar las conductas sancionables, sino también garantizar que todos los partidos políticos involucrados en una coalición tengan certeza sobre su rol y los límites de su actuación. De este modo, el proyecto de ley promueve una mayor transparencia y equidad dentro del proceso electoral, asegurando que las coaliciones puedan operar de manera efectiva y que los candidatos que resulten elegidos bajo estos acuerdos puedan actuar conforme a las expectativas de todos lo</w:t>
      </w:r>
      <w:r w:rsidR="0007068A">
        <w:rPr>
          <w:rFonts w:asciiTheme="majorHAnsi" w:eastAsia="Times New Roman" w:hAnsiTheme="majorHAnsi" w:cs="Arial"/>
          <w:sz w:val="28"/>
          <w:szCs w:val="28"/>
        </w:rPr>
        <w:t>s partidos que los respaldaron.</w:t>
      </w:r>
    </w:p>
    <w:p w14:paraId="50A691EF" w14:textId="77777777" w:rsidR="00535F81" w:rsidRPr="00432F0D"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ALCANCE DEL LEGISLADOR ESTATUTARIO PARA LA DOBLE MILITANCIA.</w:t>
      </w:r>
    </w:p>
    <w:p w14:paraId="21396FB8"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mandato del legislador estatutario no es solo formal, sino también sustantivo. En este contexto, su responsabilidad radica en asegurar que la normativa electoral responda de manera coherente y eficaz a las realidades políticas del país, y que lo haga respetando los principios constitucionales que garantizan la participación política en condiciones de igualdad. Al enfrentar la necesidad de actualizar las reglas sobre doble militancia, el legislador debe tener en cuenta que cualquier omisión o desactualización en la normativa podría generar consecuencias negativas para el sistema democrático en su conjunto.</w:t>
      </w:r>
    </w:p>
    <w:p w14:paraId="337F9CEB"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Una normativa desactualizada o inadecuada puede afectar directamente la participación política de los ciudadanos y los partidos políticos, lo que podría traducirse en una limitación de los derechos políticos fundamentales. La participación en coaliciones, que se ha vuelto una herramienta clave para garantizar una representación más amplia en un escenario político fragmentado, no puede estar sujeta a la inseguridad jurídica que se deriva de la falta de claridad en las reglas que regulan la doble militancia. Si no se lleva a cabo la modificación normativa, los partidos y candidatos que forman parte de una coalición podrían verse en una situación de incertidumbre legal, lo que afectaría su capacidad para actuar con libertad y seguridad dentro del marco legal.</w:t>
      </w:r>
    </w:p>
    <w:p w14:paraId="41B3AA41"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 aquí donde la labor del legislador se vuelve crucial. La adecuada regulación de la doble militancia, especialmente en el contexto de las coaliciones, no solo debe enfocarse en prevenir abusos o infracciones, sino también en proteger el derecho de los actores políticos a participar en el sistema democrático de manera equitativa y sin restricciones desproporcionadas. La Constitución Política de Colombia establece claramente el derecho de los ciudadanos a participar en la conformación, ejercicio y control del poder político, y este derecho no puede verse obstaculizado por normas ambiguas o mal diseñadas que no contemplen las nuevas dinámicas políticas.</w:t>
      </w:r>
    </w:p>
    <w:p w14:paraId="24975303"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 doble militancia, en su concepción original, fue diseñada para evitar que los ciudadanos participaran simultáneamente en más de un partido político, asegurando así la coherencia ideológica y la transparencia dentro del sistema de partidos. Sin embargo, las coaliciones políticas son una realidad diferente, y el marco normativo debe reconocer esta diferencia para evitar que se impongan restricciones que terminen limitando la representación política y el pluralismo.</w:t>
      </w:r>
      <w:r w:rsidRPr="00432F0D">
        <w:rPr>
          <w:rFonts w:asciiTheme="majorHAnsi" w:hAnsiTheme="majorHAnsi" w:cs="Arial"/>
          <w:sz w:val="28"/>
          <w:szCs w:val="28"/>
        </w:rPr>
        <w:t xml:space="preserve"> </w:t>
      </w:r>
      <w:r w:rsidRPr="00432F0D">
        <w:rPr>
          <w:rFonts w:asciiTheme="majorHAnsi" w:eastAsia="Times New Roman" w:hAnsiTheme="majorHAnsi" w:cs="Arial"/>
          <w:sz w:val="28"/>
          <w:szCs w:val="28"/>
        </w:rPr>
        <w:t>Es menester del legislador estatutario encontrar el equilibrio adecuado entre la necesidad de regular la doble militancia y la protección de los derechos de participación política, especialmente en el contexto de las coaliciones, donde varios partidos se agrupan para maximizar su impacto electoral.</w:t>
      </w:r>
    </w:p>
    <w:p w14:paraId="5C5853EF" w14:textId="77777777" w:rsidR="00535F81" w:rsidRPr="00432F0D" w:rsidRDefault="00535F81" w:rsidP="00535F81">
      <w:pPr>
        <w:pBdr>
          <w:top w:val="nil"/>
          <w:left w:val="nil"/>
          <w:bottom w:val="nil"/>
          <w:right w:val="nil"/>
          <w:between w:val="nil"/>
        </w:pBd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legislador estatutario tiene la responsabilidad de crear una normativa clara, precisa y adaptada a las realidades actuales del sistema electoral, que permita una aplicación equitativa y coherente de las reglas sobre doble militancia, sin poner en riesgo la participación democrática. Esta reforma no solo garantizaría que los actores políticos sepan con certeza cuáles son las reglas del juego, sino que también fortalecería la confianza de los ciudadanos en el sistema democrático, al asegurar que las coaliciones puedan ope</w:t>
      </w:r>
      <w:r w:rsidR="0007068A">
        <w:rPr>
          <w:rFonts w:asciiTheme="majorHAnsi" w:eastAsia="Times New Roman" w:hAnsiTheme="majorHAnsi" w:cs="Arial"/>
          <w:sz w:val="28"/>
          <w:szCs w:val="28"/>
        </w:rPr>
        <w:t>rar de manera efectiva y justa.</w:t>
      </w:r>
    </w:p>
    <w:p w14:paraId="4398DA5B" w14:textId="77777777" w:rsidR="00535F81" w:rsidRPr="00432F0D" w:rsidRDefault="00535F81" w:rsidP="00535F81">
      <w:pPr>
        <w:numPr>
          <w:ilvl w:val="0"/>
          <w:numId w:val="27"/>
        </w:numPr>
        <w:pBdr>
          <w:top w:val="nil"/>
          <w:left w:val="nil"/>
          <w:bottom w:val="nil"/>
          <w:right w:val="nil"/>
          <w:between w:val="nil"/>
        </w:pBdr>
        <w:shd w:val="clear" w:color="auto" w:fill="FFFFFF"/>
        <w:spacing w:after="0" w:line="276" w:lineRule="auto"/>
        <w:ind w:left="0" w:right="49" w:firstLine="0"/>
        <w:rPr>
          <w:rFonts w:asciiTheme="majorHAnsi" w:eastAsia="Times New Roman" w:hAnsiTheme="majorHAnsi" w:cs="Arial"/>
          <w:b/>
          <w:sz w:val="28"/>
          <w:szCs w:val="28"/>
        </w:rPr>
      </w:pPr>
      <w:r w:rsidRPr="00432F0D">
        <w:rPr>
          <w:rFonts w:asciiTheme="majorHAnsi" w:eastAsia="Times New Roman" w:hAnsiTheme="majorHAnsi" w:cs="Arial"/>
          <w:b/>
          <w:sz w:val="28"/>
          <w:szCs w:val="28"/>
        </w:rPr>
        <w:t>FUNDAMENTOS JURÍDICOS</w:t>
      </w:r>
    </w:p>
    <w:p w14:paraId="59FDA96D" w14:textId="77777777" w:rsidR="00535F81" w:rsidRPr="00432F0D" w:rsidRDefault="00535F81" w:rsidP="00535F81">
      <w:pPr>
        <w:pBdr>
          <w:top w:val="nil"/>
          <w:left w:val="nil"/>
          <w:bottom w:val="nil"/>
          <w:right w:val="nil"/>
          <w:between w:val="nil"/>
        </w:pBdr>
        <w:shd w:val="clear" w:color="auto" w:fill="FFFFFF"/>
        <w:ind w:right="49"/>
        <w:jc w:val="center"/>
        <w:rPr>
          <w:rFonts w:asciiTheme="majorHAnsi" w:eastAsia="Times New Roman" w:hAnsiTheme="majorHAnsi" w:cs="Arial"/>
          <w:b/>
          <w:sz w:val="28"/>
          <w:szCs w:val="28"/>
        </w:rPr>
      </w:pPr>
    </w:p>
    <w:p w14:paraId="7359A8AA" w14:textId="77777777" w:rsidR="00535F81" w:rsidRPr="00432F0D" w:rsidRDefault="00535F81" w:rsidP="00535F81">
      <w:pPr>
        <w:pBdr>
          <w:top w:val="nil"/>
          <w:left w:val="nil"/>
          <w:bottom w:val="nil"/>
          <w:right w:val="nil"/>
          <w:between w:val="nil"/>
        </w:pBdr>
        <w:shd w:val="clear" w:color="auto" w:fill="FFFFFF"/>
        <w:ind w:right="49"/>
        <w:jc w:val="center"/>
        <w:rPr>
          <w:rFonts w:asciiTheme="majorHAnsi" w:eastAsia="Times New Roman" w:hAnsiTheme="majorHAnsi" w:cs="Arial"/>
          <w:b/>
          <w:sz w:val="28"/>
          <w:szCs w:val="28"/>
        </w:rPr>
      </w:pPr>
      <w:r w:rsidRPr="00432F0D">
        <w:rPr>
          <w:rFonts w:asciiTheme="majorHAnsi" w:eastAsia="Times New Roman" w:hAnsiTheme="majorHAnsi" w:cs="Arial"/>
          <w:b/>
          <w:sz w:val="28"/>
          <w:szCs w:val="28"/>
        </w:rPr>
        <w:t>CONSTITUCIONALES</w:t>
      </w:r>
    </w:p>
    <w:p w14:paraId="51A87B71"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 xml:space="preserve">ARTICULO 1o. </w:t>
      </w:r>
      <w:r w:rsidRPr="00432F0D">
        <w:rPr>
          <w:rFonts w:asciiTheme="majorHAnsi" w:eastAsia="Times New Roman" w:hAnsiTheme="majorHAnsi" w:cs="Arial"/>
          <w:sz w:val="28"/>
          <w:szCs w:val="28"/>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4794774A" w14:textId="77777777" w:rsidR="00535F81" w:rsidRPr="00432F0D" w:rsidRDefault="00535F81" w:rsidP="00535F81">
      <w:pPr>
        <w:jc w:val="both"/>
        <w:rPr>
          <w:rFonts w:asciiTheme="majorHAnsi" w:eastAsia="Times New Roman" w:hAnsiTheme="majorHAnsi" w:cs="Arial"/>
          <w:sz w:val="28"/>
          <w:szCs w:val="28"/>
        </w:rPr>
      </w:pPr>
      <w:bookmarkStart w:id="0" w:name="2"/>
      <w:r w:rsidRPr="00432F0D">
        <w:rPr>
          <w:rFonts w:asciiTheme="majorHAnsi" w:eastAsia="Times New Roman" w:hAnsiTheme="majorHAnsi" w:cs="Arial"/>
          <w:b/>
          <w:bCs/>
          <w:sz w:val="28"/>
          <w:szCs w:val="28"/>
        </w:rPr>
        <w:t>ARTICULO 2o.</w:t>
      </w:r>
      <w:bookmarkEnd w:id="0"/>
      <w:r w:rsidRPr="00432F0D">
        <w:rPr>
          <w:rFonts w:asciiTheme="majorHAnsi" w:eastAsia="Times New Roman" w:hAnsiTheme="majorHAnsi" w:cs="Arial"/>
          <w:b/>
          <w:sz w:val="28"/>
          <w:szCs w:val="28"/>
        </w:rPr>
        <w:t> </w:t>
      </w:r>
      <w:r w:rsidRPr="00432F0D">
        <w:rPr>
          <w:rFonts w:asciiTheme="majorHAnsi" w:eastAsia="Times New Roman" w:hAnsiTheme="majorHAnsi" w:cs="Arial"/>
          <w:sz w:val="28"/>
          <w:szCs w:val="28"/>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5B13889"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AD2B3C4" w14:textId="77777777" w:rsidR="00535F81" w:rsidRPr="00432F0D" w:rsidRDefault="00535F81" w:rsidP="00535F81">
      <w:pPr>
        <w:jc w:val="both"/>
        <w:rPr>
          <w:rFonts w:asciiTheme="majorHAnsi" w:hAnsiTheme="majorHAnsi" w:cs="Arial"/>
          <w:sz w:val="28"/>
          <w:szCs w:val="28"/>
        </w:rPr>
      </w:pPr>
      <w:r w:rsidRPr="00432F0D">
        <w:rPr>
          <w:rFonts w:asciiTheme="majorHAnsi" w:hAnsiTheme="majorHAnsi" w:cs="Arial"/>
          <w:b/>
          <w:sz w:val="28"/>
          <w:szCs w:val="28"/>
        </w:rPr>
        <w:t>ARTÍCULO 40.</w:t>
      </w:r>
      <w:r w:rsidRPr="00432F0D">
        <w:rPr>
          <w:rFonts w:asciiTheme="majorHAnsi" w:hAnsiTheme="majorHAnsi" w:cs="Arial"/>
          <w:sz w:val="28"/>
          <w:szCs w:val="28"/>
        </w:rPr>
        <w:t xml:space="preserve"> Todo ciudadano tiene derecho a participar en la conformación, ejercicio y control del poder político. Para hacer efectivo este derecho puede: </w:t>
      </w:r>
    </w:p>
    <w:p w14:paraId="2047316F"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1. Elegir y ser elegido. </w:t>
      </w:r>
    </w:p>
    <w:p w14:paraId="664030E2"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2. Tomar parte en elecciones, plebiscitos, referendos, consultas populares y otras formas de participación democrática. </w:t>
      </w:r>
    </w:p>
    <w:p w14:paraId="47A04BD5"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3. Constituir partidos, movimientos y agrupaciones políticas sin limitación alguna; formar parte de ellos libremente y difundir sus ideas y programas.</w:t>
      </w:r>
    </w:p>
    <w:p w14:paraId="6B89FC46"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4. Revocar el mandato de los elegidos en los casos y en la forma que establecen la Constitución y la ley. </w:t>
      </w:r>
    </w:p>
    <w:p w14:paraId="279FF7BA"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5. Tener iniciativa en las corporaciones públicas. </w:t>
      </w:r>
    </w:p>
    <w:p w14:paraId="3EEF5C6F"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6. Interponer acciones públicas en defensa de la Constitución y de la ley. </w:t>
      </w:r>
    </w:p>
    <w:p w14:paraId="7FB9DB32" w14:textId="77777777" w:rsidR="00535F81" w:rsidRPr="00432F0D" w:rsidRDefault="00535F81" w:rsidP="00535F81">
      <w:pPr>
        <w:ind w:left="720"/>
        <w:jc w:val="both"/>
        <w:rPr>
          <w:rFonts w:asciiTheme="majorHAnsi" w:hAnsiTheme="majorHAnsi" w:cs="Arial"/>
          <w:sz w:val="28"/>
          <w:szCs w:val="28"/>
        </w:rPr>
      </w:pPr>
      <w:r w:rsidRPr="00432F0D">
        <w:rPr>
          <w:rFonts w:asciiTheme="majorHAnsi" w:hAnsiTheme="majorHAnsi" w:cs="Arial"/>
          <w:sz w:val="28"/>
          <w:szCs w:val="28"/>
        </w:rPr>
        <w:t xml:space="preserve">7. Acceder al desempeño de funciones y cargos públicos, salvo los colombianos, por nacimiento o por adopción, que tengan doble nacionalidad. La ley reglamentará esta excepción y determinará los casos a los cuales ha de aplicarse. </w:t>
      </w:r>
    </w:p>
    <w:p w14:paraId="181B1B4E" w14:textId="77777777" w:rsidR="00535F81" w:rsidRPr="00432F0D" w:rsidRDefault="00535F81" w:rsidP="00535F81">
      <w:pPr>
        <w:jc w:val="both"/>
        <w:rPr>
          <w:rFonts w:asciiTheme="majorHAnsi" w:eastAsia="Times New Roman" w:hAnsiTheme="majorHAnsi" w:cs="Arial"/>
          <w:b/>
          <w:sz w:val="28"/>
          <w:szCs w:val="28"/>
        </w:rPr>
      </w:pPr>
      <w:r w:rsidRPr="00432F0D">
        <w:rPr>
          <w:rFonts w:asciiTheme="majorHAnsi" w:hAnsiTheme="majorHAnsi" w:cs="Arial"/>
          <w:sz w:val="28"/>
          <w:szCs w:val="28"/>
        </w:rPr>
        <w:t>Las autoridades garantizarán la adecuada y efectiva participación de la mujer en los niveles decisorios de la Administración Pública.</w:t>
      </w:r>
    </w:p>
    <w:p w14:paraId="62F348D7" w14:textId="77777777" w:rsidR="00535F81" w:rsidRPr="00432F0D" w:rsidRDefault="00535F81" w:rsidP="00535F81">
      <w:pPr>
        <w:jc w:val="both"/>
        <w:rPr>
          <w:rFonts w:asciiTheme="majorHAnsi" w:eastAsia="Times New Roman" w:hAnsiTheme="majorHAnsi" w:cs="Arial"/>
          <w:b/>
          <w:sz w:val="28"/>
          <w:szCs w:val="28"/>
        </w:rPr>
      </w:pPr>
      <w:bookmarkStart w:id="1" w:name="83"/>
      <w:r w:rsidRPr="00432F0D">
        <w:rPr>
          <w:rFonts w:asciiTheme="majorHAnsi" w:eastAsia="Times New Roman" w:hAnsiTheme="majorHAnsi" w:cs="Arial"/>
          <w:b/>
          <w:bCs/>
          <w:sz w:val="28"/>
          <w:szCs w:val="28"/>
        </w:rPr>
        <w:t>ARTICULO 83. </w:t>
      </w:r>
      <w:bookmarkEnd w:id="1"/>
      <w:r w:rsidRPr="00432F0D">
        <w:rPr>
          <w:rFonts w:asciiTheme="majorHAnsi" w:eastAsia="Times New Roman" w:hAnsiTheme="majorHAnsi" w:cs="Arial"/>
          <w:sz w:val="28"/>
          <w:szCs w:val="28"/>
        </w:rPr>
        <w:t>Las actuaciones de los particulares y de las autoridades públicas deberán ceñirse a los postulados de la buena fe, la cual se presumirá en todas las gestiones que aquellos adelanten ante éstas.</w:t>
      </w:r>
    </w:p>
    <w:p w14:paraId="2A3E4137"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b/>
          <w:sz w:val="28"/>
          <w:szCs w:val="28"/>
        </w:rPr>
        <w:t xml:space="preserve">ARTICULO 107. </w:t>
      </w:r>
      <w:r w:rsidRPr="00432F0D">
        <w:rPr>
          <w:rFonts w:asciiTheme="majorHAnsi" w:eastAsia="Times New Roman" w:hAnsiTheme="majorHAnsi" w:cs="Arial"/>
          <w:sz w:val="28"/>
          <w:szCs w:val="28"/>
        </w:rPr>
        <w:t>Se garantiza a todos los ciudadanos el derecho a fundar, organizar y desarrollar partidos y movimientos políticos, y la libertad de afiliarse a ellos o de retirarse.</w:t>
      </w:r>
    </w:p>
    <w:p w14:paraId="31589E0B"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ningún caso se permitirá a los ciudadanos pertenecer simultáneamente a más de un partido o movimiento político con personería jurídica.</w:t>
      </w:r>
    </w:p>
    <w:p w14:paraId="2FB3D547"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Partidos y Movimientos Políticos se organizarán democráticamente y tendrán como principios rectores la transparencia, objetividad, moralidad, la equidad de género, y el deber de presentar y divulgar sus programas políticos.</w:t>
      </w:r>
    </w:p>
    <w:p w14:paraId="2109D0FF"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14:paraId="10A39610"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6EC0ABF7"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directivos de los Partidos y Movimientos Políticos deberán propiciar procesos de democratización interna y el fortalecimiento del régimen de bancadas.</w:t>
      </w:r>
    </w:p>
    <w:p w14:paraId="70921FDC"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30DD21F3"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432F0D">
        <w:rPr>
          <w:rFonts w:asciiTheme="majorHAnsi" w:eastAsia="Times New Roman" w:hAnsiTheme="majorHAnsi" w:cs="Arial"/>
          <w:sz w:val="28"/>
          <w:szCs w:val="28"/>
        </w:rPr>
        <w:t>candidatizó</w:t>
      </w:r>
      <w:proofErr w:type="spellEnd"/>
      <w:r w:rsidRPr="00432F0D">
        <w:rPr>
          <w:rFonts w:asciiTheme="majorHAnsi" w:eastAsia="Times New Roman" w:hAnsiTheme="majorHAnsi" w:cs="Arial"/>
          <w:sz w:val="28"/>
          <w:szCs w:val="28"/>
        </w:rPr>
        <w:t>, mediante sentencia ejecutoriada en Colombia o en el exterior por delitos relacionados con la vinculación a grupos armados ilegales y actividades del narcotráfico, cometidos con anterioridad a la expedición del aval correspondiente.</w:t>
      </w:r>
    </w:p>
    <w:p w14:paraId="2E6C37D4"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8A67D9C"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762D88FC"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También se garantiza a las organizaciones sociales el derecho a manifestarse y a participar en eventos políticos.</w:t>
      </w:r>
    </w:p>
    <w:p w14:paraId="4BED180B"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Quien siendo miembro de una corporación pública decida presentarse a la siguiente elección, por un partido distinto, deberá renunciar a la curul al menos doce (12) meses antes del primer día de inscripciones.</w:t>
      </w:r>
    </w:p>
    <w:p w14:paraId="61C0386F" w14:textId="0DF1EC32"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PARÁGRAFO TRANSITORIO 1o. Sin perjuicio de lo dispuesto por el artículo 134, dentro de los dos (2) meses siguientes a la entrada en vigencia del presente acto legislativo, </w:t>
      </w:r>
      <w:r w:rsidR="004C6F03" w:rsidRPr="00432F0D">
        <w:rPr>
          <w:rFonts w:asciiTheme="majorHAnsi" w:eastAsia="Times New Roman" w:hAnsiTheme="majorHAnsi" w:cs="Arial"/>
          <w:sz w:val="28"/>
          <w:szCs w:val="28"/>
        </w:rPr>
        <w:t>autorizase</w:t>
      </w:r>
      <w:r w:rsidRPr="00432F0D">
        <w:rPr>
          <w:rFonts w:asciiTheme="majorHAnsi" w:eastAsia="Times New Roman" w:hAnsiTheme="majorHAnsi" w:cs="Arial"/>
          <w:sz w:val="28"/>
          <w:szCs w:val="28"/>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2641DD62"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PARÁGRAFO TRANSITORIO 2o. El Gobierno Nacional o los miembros del Congreso presentarán, antes del 1o. de agosto de 2009, un Proyecto de Ley Estatutaria que desarrolle este artículo.</w:t>
      </w:r>
    </w:p>
    <w:p w14:paraId="47D6B106" w14:textId="77777777" w:rsidR="00535F81" w:rsidRPr="0007068A"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El Proyecto tendrá mensaje de urgencia y sesiones conjuntas y podrá ser objeto de mensaje de insistencia si fuere necesario. Se reducen a la mitad los términos para la revisión previa de </w:t>
      </w:r>
      <w:proofErr w:type="spellStart"/>
      <w:r w:rsidRPr="00432F0D">
        <w:rPr>
          <w:rFonts w:asciiTheme="majorHAnsi" w:eastAsia="Times New Roman" w:hAnsiTheme="majorHAnsi" w:cs="Arial"/>
          <w:sz w:val="28"/>
          <w:szCs w:val="28"/>
        </w:rPr>
        <w:t>exequibilidad</w:t>
      </w:r>
      <w:proofErr w:type="spellEnd"/>
      <w:r w:rsidRPr="00432F0D">
        <w:rPr>
          <w:rFonts w:asciiTheme="majorHAnsi" w:eastAsia="Times New Roman" w:hAnsiTheme="majorHAnsi" w:cs="Arial"/>
          <w:sz w:val="28"/>
          <w:szCs w:val="28"/>
        </w:rPr>
        <w:t xml:space="preserve"> del Proyecto de Ley Estatutaria, por pa</w:t>
      </w:r>
      <w:r w:rsidR="0007068A">
        <w:rPr>
          <w:rFonts w:asciiTheme="majorHAnsi" w:eastAsia="Times New Roman" w:hAnsiTheme="majorHAnsi" w:cs="Arial"/>
          <w:sz w:val="28"/>
          <w:szCs w:val="28"/>
        </w:rPr>
        <w:t>rte de la Corte Constitucional.</w:t>
      </w:r>
    </w:p>
    <w:p w14:paraId="12520468" w14:textId="77777777" w:rsidR="00535F81" w:rsidRPr="00432F0D" w:rsidRDefault="00535F81" w:rsidP="00535F81">
      <w:pPr>
        <w:jc w:val="center"/>
        <w:rPr>
          <w:rFonts w:asciiTheme="majorHAnsi" w:eastAsia="Times New Roman" w:hAnsiTheme="majorHAnsi" w:cs="Arial"/>
          <w:b/>
          <w:sz w:val="28"/>
          <w:szCs w:val="28"/>
          <w:u w:val="single"/>
        </w:rPr>
      </w:pPr>
      <w:r w:rsidRPr="00432F0D">
        <w:rPr>
          <w:rFonts w:asciiTheme="majorHAnsi" w:eastAsia="Times New Roman" w:hAnsiTheme="majorHAnsi" w:cs="Arial"/>
          <w:b/>
          <w:sz w:val="28"/>
          <w:szCs w:val="28"/>
          <w:u w:val="single"/>
        </w:rPr>
        <w:t>LEGALES</w:t>
      </w:r>
    </w:p>
    <w:p w14:paraId="6F7FB95C" w14:textId="77777777" w:rsidR="00535F81" w:rsidRPr="00432F0D" w:rsidRDefault="00535F81" w:rsidP="00535F81">
      <w:pPr>
        <w:pStyle w:val="Prrafodelista"/>
        <w:numPr>
          <w:ilvl w:val="0"/>
          <w:numId w:val="31"/>
        </w:numPr>
        <w:jc w:val="both"/>
        <w:rPr>
          <w:rFonts w:asciiTheme="majorHAnsi" w:eastAsia="Times New Roman" w:hAnsiTheme="majorHAnsi" w:cs="Arial"/>
          <w:b/>
          <w:sz w:val="28"/>
          <w:szCs w:val="28"/>
        </w:rPr>
      </w:pPr>
      <w:r w:rsidRPr="00432F0D">
        <w:rPr>
          <w:rFonts w:asciiTheme="majorHAnsi" w:eastAsia="Times New Roman" w:hAnsiTheme="majorHAnsi" w:cs="Arial"/>
          <w:b/>
          <w:sz w:val="28"/>
          <w:szCs w:val="28"/>
        </w:rPr>
        <w:t>LEY 1475 DE 2011</w:t>
      </w:r>
    </w:p>
    <w:p w14:paraId="11F6E560"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b/>
          <w:sz w:val="28"/>
          <w:szCs w:val="28"/>
        </w:rPr>
        <w:t xml:space="preserve">Artículo 2°. </w:t>
      </w:r>
      <w:r w:rsidRPr="00432F0D">
        <w:rPr>
          <w:rFonts w:asciiTheme="majorHAnsi" w:eastAsia="Times New Roman" w:hAnsiTheme="majorHAnsi" w:cs="Arial"/>
          <w:sz w:val="28"/>
          <w:szCs w:val="28"/>
        </w:rPr>
        <w:t>Prohibición de doble militancia. En ningún caso se permitirá a los ciudadanos pertenecer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w:t>
      </w:r>
    </w:p>
    <w:p w14:paraId="47CA5D88"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Quienes se desempeñen en cargos de dirección, gobierno, administración o control, dentro de los partidos y movimientos políticos, o hayan sido o aspiren ser elegidos en cargos o corporaciones de elección popular, no podrán apoyar candidatos distintos a los inscritos por el partido o movimiento político al cual se encuentren afiliados. Los candidatos que resulten electos, siempre que fueren inscritos por un mientras ostenten la investidura o cargo, y si deciden presentarse a la siguiente elección por un partido o movimiento político distinto, deberán renunciar a la curul al menos doce (12) meses antes del primer día de inscripciones.</w:t>
      </w:r>
    </w:p>
    <w:p w14:paraId="3972F316"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Los directivos de los partidos y movimientos políticos que aspiren ser elegidos en cargos o corporaciones de elección popular por otro partido o movimientos políticos o grupo significativo de ciudadanos, o formar parte de los órganos de dirección de estas, deben renunciar al cargo doce (12) meses antes de postularse o aceptar la nueva designación o ser inscritos cómo candidatos.</w:t>
      </w:r>
    </w:p>
    <w:p w14:paraId="09E4742E" w14:textId="77777777" w:rsidR="00535F81" w:rsidRPr="00432F0D" w:rsidRDefault="00535F81" w:rsidP="00535F81">
      <w:pPr>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El incumplimiento de estas reglas constituye doble militancia, que será sancionada de conformidad con los estatutos, y en el caso de los candidatos será causal para la revocatoria de la inscripción.</w:t>
      </w:r>
    </w:p>
    <w:p w14:paraId="1C49AC61" w14:textId="77777777" w:rsidR="00535F81" w:rsidRPr="00432F0D" w:rsidRDefault="00535F81" w:rsidP="00535F81">
      <w:pPr>
        <w:pBdr>
          <w:top w:val="nil"/>
          <w:left w:val="nil"/>
          <w:bottom w:val="nil"/>
          <w:right w:val="nil"/>
          <w:between w:val="nil"/>
        </w:pBdr>
        <w:shd w:val="clear" w:color="auto" w:fill="FFFFFF"/>
        <w:spacing w:after="20"/>
        <w:ind w:right="49"/>
        <w:jc w:val="both"/>
        <w:rPr>
          <w:rFonts w:asciiTheme="majorHAnsi" w:eastAsia="Times New Roman" w:hAnsiTheme="majorHAnsi" w:cs="Arial"/>
          <w:sz w:val="28"/>
          <w:szCs w:val="28"/>
        </w:rPr>
      </w:pPr>
    </w:p>
    <w:p w14:paraId="5166CA65" w14:textId="77777777" w:rsidR="00535F81" w:rsidRPr="00432F0D" w:rsidRDefault="00535F81" w:rsidP="00535F81">
      <w:pPr>
        <w:numPr>
          <w:ilvl w:val="0"/>
          <w:numId w:val="27"/>
        </w:numPr>
        <w:pBdr>
          <w:top w:val="nil"/>
          <w:left w:val="nil"/>
          <w:bottom w:val="nil"/>
          <w:right w:val="nil"/>
          <w:between w:val="nil"/>
        </w:pBdr>
        <w:shd w:val="clear" w:color="auto" w:fill="FFFFFF"/>
        <w:spacing w:before="40" w:after="20" w:line="276" w:lineRule="auto"/>
        <w:ind w:right="49"/>
        <w:rPr>
          <w:rFonts w:asciiTheme="majorHAnsi" w:eastAsia="Times New Roman" w:hAnsiTheme="majorHAnsi" w:cs="Arial"/>
          <w:b/>
          <w:sz w:val="28"/>
          <w:szCs w:val="28"/>
        </w:rPr>
      </w:pPr>
      <w:r w:rsidRPr="00432F0D">
        <w:rPr>
          <w:rFonts w:asciiTheme="majorHAnsi" w:eastAsia="Times New Roman" w:hAnsiTheme="majorHAnsi" w:cs="Arial"/>
          <w:b/>
          <w:sz w:val="28"/>
          <w:szCs w:val="28"/>
        </w:rPr>
        <w:t>IMPACTO FISCAL.</w:t>
      </w:r>
    </w:p>
    <w:p w14:paraId="6F6F77A1" w14:textId="77777777" w:rsidR="00535F81" w:rsidRPr="00432F0D" w:rsidRDefault="00535F81" w:rsidP="00535F81">
      <w:pPr>
        <w:pBdr>
          <w:top w:val="nil"/>
          <w:left w:val="nil"/>
          <w:bottom w:val="nil"/>
          <w:right w:val="nil"/>
          <w:between w:val="nil"/>
        </w:pBdr>
        <w:shd w:val="clear" w:color="auto" w:fill="FFFFFF"/>
        <w:spacing w:before="40" w:after="20" w:line="276" w:lineRule="auto"/>
        <w:ind w:left="1080" w:right="49"/>
        <w:rPr>
          <w:rFonts w:asciiTheme="majorHAnsi" w:eastAsia="Times New Roman" w:hAnsiTheme="majorHAnsi" w:cs="Arial"/>
          <w:b/>
          <w:sz w:val="28"/>
          <w:szCs w:val="28"/>
        </w:rPr>
      </w:pPr>
    </w:p>
    <w:p w14:paraId="224D4DC2" w14:textId="77777777" w:rsidR="00535F81" w:rsidRPr="00432F0D" w:rsidRDefault="00535F81" w:rsidP="00535F81">
      <w:pPr>
        <w:shd w:val="clear" w:color="auto" w:fill="FFFFFF"/>
        <w:spacing w:before="40" w:after="20"/>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Este proyecto no genera ningún impacto fiscal que suponga una modificación específica o puntual en el marco presupuestal, por lo que no exige un gasto adicional del Estado, ni cambios en las rentas nacionales del Presupuesto General de la Nación.</w:t>
      </w:r>
    </w:p>
    <w:p w14:paraId="0AACBF1B" w14:textId="77777777" w:rsidR="00535F81" w:rsidRPr="00432F0D" w:rsidRDefault="00535F81" w:rsidP="00535F81">
      <w:pPr>
        <w:shd w:val="clear" w:color="auto" w:fill="FFFFFF"/>
        <w:spacing w:before="40" w:after="20"/>
        <w:ind w:right="49"/>
        <w:jc w:val="both"/>
        <w:rPr>
          <w:rFonts w:asciiTheme="majorHAnsi" w:eastAsia="Times New Roman" w:hAnsiTheme="majorHAnsi" w:cs="Arial"/>
          <w:sz w:val="28"/>
          <w:szCs w:val="28"/>
        </w:rPr>
      </w:pPr>
    </w:p>
    <w:p w14:paraId="202C280E" w14:textId="77777777" w:rsidR="00535F81" w:rsidRPr="00432F0D" w:rsidRDefault="00535F81" w:rsidP="00535F81">
      <w:pPr>
        <w:numPr>
          <w:ilvl w:val="0"/>
          <w:numId w:val="27"/>
        </w:numPr>
        <w:pBdr>
          <w:top w:val="nil"/>
          <w:left w:val="nil"/>
          <w:bottom w:val="nil"/>
          <w:right w:val="nil"/>
          <w:between w:val="nil"/>
        </w:pBdr>
        <w:shd w:val="clear" w:color="auto" w:fill="FFFFFF"/>
        <w:spacing w:before="40" w:after="20" w:line="276" w:lineRule="auto"/>
        <w:ind w:right="49"/>
        <w:rPr>
          <w:rFonts w:asciiTheme="majorHAnsi" w:eastAsia="Times New Roman" w:hAnsiTheme="majorHAnsi" w:cs="Arial"/>
          <w:b/>
          <w:sz w:val="28"/>
          <w:szCs w:val="28"/>
        </w:rPr>
      </w:pPr>
      <w:r w:rsidRPr="00432F0D">
        <w:rPr>
          <w:rFonts w:asciiTheme="majorHAnsi" w:eastAsia="Times New Roman" w:hAnsiTheme="majorHAnsi" w:cs="Arial"/>
          <w:b/>
          <w:sz w:val="28"/>
          <w:szCs w:val="28"/>
        </w:rPr>
        <w:t>CONFLICTO DE INTERÉS</w:t>
      </w:r>
    </w:p>
    <w:p w14:paraId="5909723B" w14:textId="77777777" w:rsidR="00535F81" w:rsidRPr="00432F0D" w:rsidRDefault="00535F81" w:rsidP="00535F81">
      <w:pPr>
        <w:shd w:val="clear" w:color="auto" w:fill="FFFFFF"/>
        <w:spacing w:before="40" w:after="20"/>
        <w:ind w:right="49"/>
        <w:jc w:val="both"/>
        <w:rPr>
          <w:rFonts w:asciiTheme="majorHAnsi" w:eastAsia="Times New Roman" w:hAnsiTheme="majorHAnsi" w:cs="Arial"/>
          <w:b/>
          <w:sz w:val="28"/>
          <w:szCs w:val="28"/>
        </w:rPr>
      </w:pPr>
    </w:p>
    <w:p w14:paraId="5A7036C5"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DF20EA4"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432F0D">
        <w:rPr>
          <w:rFonts w:asciiTheme="majorHAnsi" w:eastAsia="Times New Roman" w:hAnsiTheme="majorHAnsi" w:cs="Arial"/>
          <w:sz w:val="28"/>
          <w:szCs w:val="28"/>
        </w:rPr>
        <w:t>congresional</w:t>
      </w:r>
      <w:proofErr w:type="spellEnd"/>
      <w:r w:rsidRPr="00432F0D">
        <w:rPr>
          <w:rFonts w:asciiTheme="majorHAnsi" w:eastAsia="Times New Roman" w:hAnsiTheme="majorHAnsi" w:cs="Arial"/>
          <w:sz w:val="28"/>
          <w:szCs w:val="28"/>
        </w:rPr>
        <w:t>, entre ellas la legislativa.</w:t>
      </w:r>
    </w:p>
    <w:p w14:paraId="6A2872B5"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“Artículo 1º. El artículo 286 de la Ley 5 de 1992 quedará así:</w:t>
      </w:r>
    </w:p>
    <w:p w14:paraId="2CC56E62"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D287D45"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b) Beneficio actual: aquel que efectivamente se configura en las circunstancias presentes y existentes al momento en el que el congresista participa de la decisión. </w:t>
      </w:r>
    </w:p>
    <w:p w14:paraId="055A877A"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c) Beneficio directo: aquel que se produzca de forma específica respecto del congresista, de su cónyuge, compañero o compañera permanente, o parientes dentro del segundo grado de consanguinidad, segundo de afinidad o primero civil. </w:t>
      </w:r>
    </w:p>
    <w:p w14:paraId="7D0C0AC4"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Para todos los efectos se entiende que no hay conflicto de interés en las siguientes circunstancias: </w:t>
      </w:r>
    </w:p>
    <w:p w14:paraId="5205EAED"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48126B53"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b) Cuando el beneficio podría o no configurarse para el congresista en el futuro. </w:t>
      </w:r>
    </w:p>
    <w:p w14:paraId="05AC3835"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3AF4EFB1"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619C3A1B"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16E11B9"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i/>
          <w:sz w:val="28"/>
          <w:szCs w:val="28"/>
        </w:rPr>
      </w:pPr>
      <w:r w:rsidRPr="00432F0D">
        <w:rPr>
          <w:rFonts w:asciiTheme="majorHAnsi" w:eastAsia="Times New Roman" w:hAnsiTheme="majorHAnsi" w:cs="Arial"/>
          <w:i/>
          <w:sz w:val="28"/>
          <w:szCs w:val="28"/>
        </w:rPr>
        <w:t xml:space="preserve"> f) Cuando el congresista participa en la elección de otros servidores públicos mediante el voto secreto. Se exceptúan los casos en que se presenten inhabilidades referidas al parentesco con los candidatos (...)”.</w:t>
      </w:r>
    </w:p>
    <w:p w14:paraId="36AABFF9"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F937E29"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En todo caso, se señala en el elemento temporal de doble militancia, desarrollado por parte del consejo de estado se adecua con el inicio formal de la campaña, y para el momento de la presentación del proyecto de ley, ninguno de los congresistas se encuentra inscrito o ha sido modificada su situación de elección. </w:t>
      </w:r>
    </w:p>
    <w:p w14:paraId="685BC867" w14:textId="77777777" w:rsidR="00535F81" w:rsidRPr="00432F0D"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En todo caso, es pertinente aclarar que los conflictos de interés son personales y corresponde</w:t>
      </w:r>
      <w:r w:rsidR="0007068A">
        <w:rPr>
          <w:rFonts w:asciiTheme="majorHAnsi" w:eastAsia="Times New Roman" w:hAnsiTheme="majorHAnsi" w:cs="Arial"/>
          <w:sz w:val="28"/>
          <w:szCs w:val="28"/>
        </w:rPr>
        <w:t xml:space="preserve"> a cada Congresista evaluarlos.</w:t>
      </w:r>
    </w:p>
    <w:p w14:paraId="24240BA2" w14:textId="77777777" w:rsidR="00535F81" w:rsidRPr="00432F0D" w:rsidRDefault="00535F81" w:rsidP="00535F81">
      <w:pPr>
        <w:numPr>
          <w:ilvl w:val="0"/>
          <w:numId w:val="27"/>
        </w:numPr>
        <w:pBdr>
          <w:top w:val="nil"/>
          <w:left w:val="nil"/>
          <w:bottom w:val="nil"/>
          <w:right w:val="nil"/>
          <w:between w:val="nil"/>
        </w:pBdr>
        <w:shd w:val="clear" w:color="auto" w:fill="FFFFFF"/>
        <w:spacing w:after="20" w:line="276" w:lineRule="auto"/>
        <w:ind w:left="0" w:right="49" w:firstLine="0"/>
        <w:rPr>
          <w:rFonts w:asciiTheme="majorHAnsi" w:eastAsia="Times New Roman" w:hAnsiTheme="majorHAnsi" w:cs="Arial"/>
          <w:b/>
          <w:sz w:val="28"/>
          <w:szCs w:val="28"/>
        </w:rPr>
      </w:pPr>
      <w:r w:rsidRPr="00432F0D">
        <w:rPr>
          <w:rFonts w:asciiTheme="majorHAnsi" w:eastAsia="Times New Roman" w:hAnsiTheme="majorHAnsi" w:cs="Arial"/>
          <w:b/>
          <w:sz w:val="28"/>
          <w:szCs w:val="28"/>
        </w:rPr>
        <w:t>CONVENIENCIA DE LA INICIATIVA</w:t>
      </w:r>
    </w:p>
    <w:p w14:paraId="15DF1521" w14:textId="77777777" w:rsidR="00535F81" w:rsidRPr="00432F0D" w:rsidRDefault="00535F81" w:rsidP="00535F81">
      <w:pPr>
        <w:ind w:right="49"/>
        <w:jc w:val="both"/>
        <w:rPr>
          <w:rFonts w:asciiTheme="majorHAnsi" w:eastAsia="Times New Roman" w:hAnsiTheme="majorHAnsi" w:cs="Arial"/>
          <w:sz w:val="28"/>
          <w:szCs w:val="28"/>
        </w:rPr>
      </w:pPr>
    </w:p>
    <w:p w14:paraId="2A3A4D36" w14:textId="77777777" w:rsidR="00535F81" w:rsidRPr="00432F0D" w:rsidRDefault="00535F81" w:rsidP="00535F81">
      <w:pPr>
        <w:ind w:right="49"/>
        <w:jc w:val="both"/>
        <w:rPr>
          <w:rFonts w:asciiTheme="majorHAnsi" w:eastAsia="Times New Roman" w:hAnsiTheme="majorHAnsi" w:cs="Arial"/>
          <w:sz w:val="28"/>
          <w:szCs w:val="28"/>
        </w:rPr>
      </w:pPr>
      <w:r w:rsidRPr="00432F0D">
        <w:rPr>
          <w:rFonts w:asciiTheme="majorHAnsi" w:eastAsia="Times New Roman" w:hAnsiTheme="majorHAnsi" w:cs="Arial"/>
          <w:sz w:val="28"/>
          <w:szCs w:val="28"/>
        </w:rPr>
        <w:t xml:space="preserve">Por las razones antes expuestas, dejamos a consideración de la Honorable Cámara de Representantes, el texto de este proyecto de ley estatutaria </w:t>
      </w:r>
      <w:r w:rsidRPr="00432F0D">
        <w:rPr>
          <w:rFonts w:asciiTheme="majorHAnsi" w:eastAsia="Times New Roman" w:hAnsiTheme="majorHAnsi" w:cs="Arial"/>
          <w:b/>
          <w:sz w:val="28"/>
          <w:szCs w:val="28"/>
        </w:rPr>
        <w:t>“Por medio del cual se modifica la ley 1475 de 2011 en relación a la doble militancia y se dictan otras disposiciones</w:t>
      </w:r>
      <w:r w:rsidRPr="00432F0D">
        <w:rPr>
          <w:rFonts w:asciiTheme="majorHAnsi" w:eastAsia="Times New Roman" w:hAnsiTheme="majorHAnsi" w:cs="Arial"/>
          <w:sz w:val="28"/>
          <w:szCs w:val="28"/>
        </w:rPr>
        <w:t>”</w:t>
      </w:r>
    </w:p>
    <w:p w14:paraId="19B0C944" w14:textId="77777777" w:rsidR="00535F81" w:rsidRPr="00432F0D" w:rsidRDefault="00535F81" w:rsidP="00535F81">
      <w:pPr>
        <w:tabs>
          <w:tab w:val="left" w:pos="4891"/>
        </w:tabs>
        <w:rPr>
          <w:rFonts w:asciiTheme="majorHAnsi" w:eastAsia="Times New Roman" w:hAnsiTheme="majorHAnsi" w:cs="Arial"/>
          <w:sz w:val="28"/>
          <w:szCs w:val="28"/>
        </w:rPr>
      </w:pPr>
      <w:r w:rsidRPr="00432F0D">
        <w:rPr>
          <w:rFonts w:asciiTheme="majorHAnsi" w:eastAsia="Times New Roman" w:hAnsiTheme="majorHAnsi" w:cs="Arial"/>
          <w:sz w:val="28"/>
          <w:szCs w:val="28"/>
        </w:rPr>
        <w:tab/>
      </w:r>
    </w:p>
    <w:p w14:paraId="2E25F578" w14:textId="77777777" w:rsidR="00535F81" w:rsidRPr="00432F0D" w:rsidRDefault="00535F81" w:rsidP="00535F81">
      <w:pPr>
        <w:rPr>
          <w:rFonts w:asciiTheme="majorHAnsi" w:eastAsia="Times New Roman" w:hAnsiTheme="majorHAnsi" w:cs="Arial"/>
          <w:sz w:val="28"/>
          <w:szCs w:val="28"/>
        </w:rPr>
      </w:pPr>
    </w:p>
    <w:p w14:paraId="0146C62D" w14:textId="77777777" w:rsidR="00535F81" w:rsidRPr="00432F0D" w:rsidRDefault="00535F81" w:rsidP="00535F81">
      <w:pPr>
        <w:rPr>
          <w:rFonts w:asciiTheme="majorHAnsi" w:eastAsia="Times New Roman" w:hAnsiTheme="majorHAnsi" w:cs="Arial"/>
          <w:sz w:val="28"/>
          <w:szCs w:val="28"/>
        </w:rPr>
      </w:pPr>
    </w:p>
    <w:p w14:paraId="132D6E10" w14:textId="77777777" w:rsidR="00535F81" w:rsidRPr="00432F0D" w:rsidRDefault="00535F81" w:rsidP="00535F81">
      <w:pPr>
        <w:rPr>
          <w:rFonts w:asciiTheme="majorHAnsi" w:eastAsia="Times New Roman" w:hAnsiTheme="majorHAnsi" w:cs="Arial"/>
          <w:sz w:val="28"/>
          <w:szCs w:val="28"/>
        </w:rPr>
      </w:pPr>
    </w:p>
    <w:p w14:paraId="50E41AC1" w14:textId="77777777" w:rsidR="00535F81" w:rsidRPr="00432F0D" w:rsidRDefault="00535F81" w:rsidP="00535F81">
      <w:pPr>
        <w:rPr>
          <w:rFonts w:asciiTheme="majorHAnsi" w:eastAsia="Times New Roman" w:hAnsiTheme="majorHAnsi" w:cs="Arial"/>
          <w:sz w:val="28"/>
          <w:szCs w:val="28"/>
        </w:rPr>
      </w:pPr>
    </w:p>
    <w:p w14:paraId="59E33345" w14:textId="77777777" w:rsidR="00535F81" w:rsidRPr="00432F0D" w:rsidRDefault="00535F81" w:rsidP="00535F81">
      <w:pPr>
        <w:rPr>
          <w:rFonts w:asciiTheme="majorHAnsi" w:eastAsia="Times New Roman" w:hAnsiTheme="majorHAnsi" w:cs="Arial"/>
          <w:sz w:val="28"/>
          <w:szCs w:val="28"/>
        </w:rPr>
      </w:pPr>
    </w:p>
    <w:p w14:paraId="7C32B56E" w14:textId="77777777" w:rsidR="00535F81" w:rsidRPr="00432F0D" w:rsidRDefault="00535F81" w:rsidP="00535F81">
      <w:pPr>
        <w:rPr>
          <w:rFonts w:asciiTheme="majorHAnsi" w:eastAsia="Times New Roman" w:hAnsiTheme="majorHAnsi" w:cs="Arial"/>
          <w:sz w:val="28"/>
          <w:szCs w:val="28"/>
        </w:rPr>
      </w:pPr>
    </w:p>
    <w:p w14:paraId="40673539" w14:textId="77777777" w:rsidR="00535F81" w:rsidRPr="00432F0D" w:rsidRDefault="00535F81" w:rsidP="00535F81">
      <w:pPr>
        <w:rPr>
          <w:rFonts w:asciiTheme="majorHAnsi" w:eastAsia="Times New Roman" w:hAnsiTheme="majorHAnsi" w:cs="Arial"/>
          <w:sz w:val="28"/>
          <w:szCs w:val="28"/>
        </w:rPr>
      </w:pPr>
    </w:p>
    <w:p w14:paraId="527193B6" w14:textId="77777777" w:rsidR="00535F81" w:rsidRPr="00432F0D" w:rsidRDefault="00535F81" w:rsidP="00535F81">
      <w:pPr>
        <w:rPr>
          <w:rFonts w:asciiTheme="majorHAnsi" w:eastAsia="Times New Roman" w:hAnsiTheme="majorHAnsi" w:cs="Arial"/>
          <w:sz w:val="28"/>
          <w:szCs w:val="28"/>
        </w:rPr>
      </w:pPr>
    </w:p>
    <w:p w14:paraId="6A3C9C4F" w14:textId="77777777" w:rsidR="00535F81" w:rsidRPr="00432F0D" w:rsidRDefault="00535F81" w:rsidP="00535F81">
      <w:pPr>
        <w:rPr>
          <w:rFonts w:asciiTheme="majorHAnsi" w:eastAsia="Times New Roman" w:hAnsiTheme="majorHAnsi" w:cs="Arial"/>
          <w:sz w:val="28"/>
          <w:szCs w:val="28"/>
        </w:rPr>
      </w:pPr>
    </w:p>
    <w:p w14:paraId="324571D2" w14:textId="77777777" w:rsidR="00535F81" w:rsidRDefault="00535F81" w:rsidP="00535F81">
      <w:pPr>
        <w:rPr>
          <w:rFonts w:asciiTheme="majorHAnsi" w:eastAsia="Times New Roman" w:hAnsiTheme="majorHAnsi" w:cs="Arial"/>
          <w:sz w:val="28"/>
          <w:szCs w:val="28"/>
        </w:rPr>
      </w:pPr>
    </w:p>
    <w:p w14:paraId="2D2C4714" w14:textId="77777777" w:rsidR="0021380F" w:rsidRPr="00432F0D" w:rsidRDefault="0021380F" w:rsidP="00535F81">
      <w:pPr>
        <w:rPr>
          <w:rFonts w:asciiTheme="majorHAnsi" w:eastAsia="Times New Roman" w:hAnsiTheme="majorHAnsi" w:cs="Arial"/>
          <w:sz w:val="28"/>
          <w:szCs w:val="28"/>
        </w:rPr>
      </w:pPr>
    </w:p>
    <w:p w14:paraId="16AF902D" w14:textId="77777777" w:rsidR="00535F81" w:rsidRPr="00432F0D" w:rsidRDefault="00535F81" w:rsidP="00535F81">
      <w:pPr>
        <w:pStyle w:val="Prrafodelista"/>
        <w:numPr>
          <w:ilvl w:val="0"/>
          <w:numId w:val="33"/>
        </w:numPr>
        <w:spacing w:before="240" w:after="240"/>
        <w:jc w:val="both"/>
        <w:rPr>
          <w:rFonts w:asciiTheme="majorHAnsi" w:eastAsia="Arial" w:hAnsiTheme="majorHAnsi" w:cs="Arial"/>
          <w:b/>
          <w:sz w:val="28"/>
          <w:szCs w:val="28"/>
        </w:rPr>
      </w:pPr>
      <w:r w:rsidRPr="00432F0D">
        <w:rPr>
          <w:rFonts w:asciiTheme="majorHAnsi" w:eastAsia="Arial" w:hAnsiTheme="majorHAnsi" w:cs="Arial"/>
          <w:b/>
          <w:sz w:val="28"/>
          <w:szCs w:val="28"/>
        </w:rPr>
        <w:t>PROPOSICIÓN.</w:t>
      </w:r>
    </w:p>
    <w:p w14:paraId="683AD3E1" w14:textId="77777777" w:rsidR="00535F81" w:rsidRPr="00432F0D" w:rsidRDefault="00535F81" w:rsidP="00535F81">
      <w:pPr>
        <w:spacing w:before="240" w:after="240"/>
        <w:jc w:val="both"/>
        <w:rPr>
          <w:rFonts w:asciiTheme="majorHAnsi" w:eastAsia="Arial" w:hAnsiTheme="majorHAnsi" w:cs="Arial"/>
          <w:i/>
          <w:iCs/>
          <w:sz w:val="28"/>
          <w:szCs w:val="28"/>
        </w:rPr>
      </w:pPr>
    </w:p>
    <w:p w14:paraId="33DF4E28" w14:textId="51A97913" w:rsidR="00535F81" w:rsidRPr="00432F0D" w:rsidRDefault="00535F81" w:rsidP="00535F81">
      <w:pPr>
        <w:pStyle w:val="Sinespaciado"/>
        <w:jc w:val="both"/>
        <w:rPr>
          <w:rFonts w:asciiTheme="majorHAnsi" w:eastAsia="Arial" w:hAnsiTheme="majorHAnsi" w:cs="Arial"/>
          <w:b/>
          <w:i/>
          <w:sz w:val="28"/>
          <w:szCs w:val="28"/>
        </w:rPr>
      </w:pPr>
      <w:r w:rsidRPr="00432F0D">
        <w:rPr>
          <w:rFonts w:asciiTheme="majorHAnsi" w:hAnsiTheme="majorHAnsi" w:cs="Arial"/>
          <w:sz w:val="28"/>
          <w:szCs w:val="28"/>
        </w:rPr>
        <w:t xml:space="preserve">Considerando los argumentos expuestos, presentamos </w:t>
      </w:r>
      <w:r w:rsidRPr="00432F0D">
        <w:rPr>
          <w:rFonts w:asciiTheme="majorHAnsi" w:hAnsiTheme="majorHAnsi" w:cs="Arial"/>
          <w:sz w:val="28"/>
          <w:szCs w:val="28"/>
          <w:u w:val="single"/>
        </w:rPr>
        <w:t>ponencia positiva</w:t>
      </w:r>
      <w:r w:rsidRPr="00432F0D">
        <w:rPr>
          <w:rFonts w:asciiTheme="majorHAnsi" w:hAnsiTheme="majorHAnsi" w:cs="Arial"/>
          <w:sz w:val="28"/>
          <w:szCs w:val="28"/>
        </w:rPr>
        <w:t xml:space="preserve"> y solicitamos a la Comisión de la Cámara de Representante dar primer debate al proyecto</w:t>
      </w:r>
      <w:r w:rsidR="0021380F">
        <w:rPr>
          <w:rFonts w:asciiTheme="majorHAnsi" w:eastAsia="Times New Roman" w:hAnsiTheme="majorHAnsi" w:cs="Arial"/>
          <w:sz w:val="28"/>
          <w:szCs w:val="28"/>
        </w:rPr>
        <w:t xml:space="preserve"> de ley</w:t>
      </w:r>
      <w:r w:rsidR="006A71B9">
        <w:rPr>
          <w:rFonts w:asciiTheme="majorHAnsi" w:eastAsia="Times New Roman" w:hAnsiTheme="majorHAnsi" w:cs="Arial"/>
          <w:sz w:val="28"/>
          <w:szCs w:val="28"/>
        </w:rPr>
        <w:t xml:space="preserve"> estatutaria No.</w:t>
      </w:r>
      <w:r w:rsidR="007D036D">
        <w:rPr>
          <w:rFonts w:asciiTheme="majorHAnsi" w:eastAsia="Times New Roman" w:hAnsiTheme="majorHAnsi" w:cs="Arial"/>
          <w:sz w:val="28"/>
          <w:szCs w:val="28"/>
        </w:rPr>
        <w:t xml:space="preserve"> </w:t>
      </w:r>
      <w:r w:rsidR="0021380F">
        <w:rPr>
          <w:rFonts w:asciiTheme="majorHAnsi" w:eastAsia="Times New Roman" w:hAnsiTheme="majorHAnsi" w:cs="Arial"/>
          <w:sz w:val="28"/>
          <w:szCs w:val="28"/>
        </w:rPr>
        <w:t>086</w:t>
      </w:r>
      <w:r w:rsidR="007D036D">
        <w:rPr>
          <w:rFonts w:asciiTheme="majorHAnsi" w:eastAsia="Times New Roman" w:hAnsiTheme="majorHAnsi" w:cs="Arial"/>
          <w:sz w:val="28"/>
          <w:szCs w:val="28"/>
        </w:rPr>
        <w:t xml:space="preserve"> de 2025</w:t>
      </w:r>
      <w:r w:rsidRPr="00432F0D">
        <w:rPr>
          <w:rFonts w:asciiTheme="majorHAnsi" w:eastAsia="Times New Roman" w:hAnsiTheme="majorHAnsi" w:cs="Arial"/>
          <w:sz w:val="28"/>
          <w:szCs w:val="28"/>
        </w:rPr>
        <w:t xml:space="preserve"> Cámara “</w:t>
      </w:r>
      <w:r w:rsidRPr="00432F0D">
        <w:rPr>
          <w:rFonts w:asciiTheme="majorHAnsi" w:eastAsia="Times New Roman" w:hAnsiTheme="majorHAnsi" w:cs="Arial"/>
          <w:b/>
          <w:i/>
          <w:sz w:val="28"/>
          <w:szCs w:val="28"/>
        </w:rPr>
        <w:t>Por medio del cual se modifica la ley 1475 de 2011 en relación a la doble militancia y se dictan otras disposiciones</w:t>
      </w:r>
      <w:r w:rsidRPr="00432F0D">
        <w:rPr>
          <w:rFonts w:asciiTheme="majorHAnsi" w:hAnsiTheme="majorHAnsi" w:cs="Arial"/>
          <w:b/>
          <w:i/>
          <w:sz w:val="28"/>
          <w:szCs w:val="28"/>
        </w:rPr>
        <w:t>”</w:t>
      </w:r>
      <w:r w:rsidRPr="00432F0D">
        <w:rPr>
          <w:rFonts w:asciiTheme="majorHAnsi" w:hAnsiTheme="majorHAnsi" w:cs="Arial"/>
          <w:sz w:val="28"/>
          <w:szCs w:val="28"/>
        </w:rPr>
        <w:t>, con modificaciones, conforme al texto propuesto.</w:t>
      </w:r>
    </w:p>
    <w:p w14:paraId="18C63232" w14:textId="77777777" w:rsidR="00535F81" w:rsidRPr="00432F0D" w:rsidRDefault="00535F81" w:rsidP="00535F81">
      <w:pPr>
        <w:rPr>
          <w:rFonts w:asciiTheme="majorHAnsi" w:eastAsia="Times New Roman" w:hAnsiTheme="majorHAnsi" w:cs="Arial"/>
          <w:sz w:val="28"/>
          <w:szCs w:val="28"/>
        </w:rPr>
      </w:pPr>
    </w:p>
    <w:p w14:paraId="06805D97" w14:textId="77777777" w:rsidR="00535F81" w:rsidRPr="00432F0D" w:rsidRDefault="00535F81" w:rsidP="00535F81">
      <w:pPr>
        <w:rPr>
          <w:rFonts w:asciiTheme="majorHAnsi" w:eastAsia="Times New Roman" w:hAnsiTheme="majorHAnsi" w:cs="Arial"/>
          <w:sz w:val="28"/>
          <w:szCs w:val="28"/>
        </w:rPr>
      </w:pPr>
    </w:p>
    <w:p w14:paraId="059330E4" w14:textId="77777777" w:rsidR="00535F81" w:rsidRPr="00432F0D" w:rsidRDefault="00535F81" w:rsidP="00535F81">
      <w:pPr>
        <w:rPr>
          <w:rFonts w:asciiTheme="majorHAnsi" w:eastAsia="Times New Roman" w:hAnsiTheme="majorHAnsi" w:cs="Arial"/>
          <w:sz w:val="28"/>
          <w:szCs w:val="28"/>
        </w:rPr>
      </w:pPr>
    </w:p>
    <w:p w14:paraId="7AC755CB" w14:textId="77777777" w:rsidR="0021380F" w:rsidRPr="00432F0D" w:rsidRDefault="0021380F" w:rsidP="0021380F">
      <w:pPr>
        <w:jc w:val="both"/>
        <w:rPr>
          <w:rFonts w:asciiTheme="majorHAnsi" w:eastAsia="Times New Roman" w:hAnsiTheme="majorHAnsi" w:cs="Arial"/>
          <w:sz w:val="28"/>
          <w:szCs w:val="28"/>
        </w:rPr>
      </w:pPr>
    </w:p>
    <w:p w14:paraId="4C334B13" w14:textId="77777777" w:rsidR="0021380F" w:rsidRPr="00432F0D" w:rsidRDefault="0021380F" w:rsidP="0021380F">
      <w:pPr>
        <w:pStyle w:val="Sinespaciado"/>
        <w:jc w:val="both"/>
        <w:rPr>
          <w:rFonts w:asciiTheme="majorHAnsi" w:eastAsia="Arial" w:hAnsiTheme="majorHAnsi" w:cs="Calibri Light"/>
          <w:sz w:val="28"/>
          <w:szCs w:val="28"/>
        </w:rPr>
      </w:pPr>
      <w:r w:rsidRPr="00432F0D">
        <w:rPr>
          <w:rFonts w:asciiTheme="majorHAnsi" w:eastAsia="Arial" w:hAnsiTheme="majorHAnsi" w:cs="Calibri Light"/>
          <w:sz w:val="28"/>
          <w:szCs w:val="28"/>
        </w:rPr>
        <w:t>Atentamente;</w:t>
      </w:r>
    </w:p>
    <w:p w14:paraId="66D3FB55" w14:textId="77777777" w:rsidR="0021380F" w:rsidRPr="00432F0D" w:rsidRDefault="0021380F" w:rsidP="0021380F">
      <w:pPr>
        <w:pStyle w:val="Sinespaciado"/>
        <w:ind w:left="-284"/>
        <w:jc w:val="both"/>
        <w:rPr>
          <w:rFonts w:asciiTheme="majorHAnsi" w:eastAsia="Arial" w:hAnsiTheme="majorHAnsi" w:cs="Calibri Light"/>
          <w:sz w:val="28"/>
          <w:szCs w:val="28"/>
        </w:rPr>
      </w:pPr>
    </w:p>
    <w:tbl>
      <w:tblPr>
        <w:tblW w:w="9818" w:type="dxa"/>
        <w:tblLayout w:type="fixed"/>
        <w:tblLook w:val="0400" w:firstRow="0" w:lastRow="0" w:firstColumn="0" w:lastColumn="0" w:noHBand="0" w:noVBand="1"/>
      </w:tblPr>
      <w:tblGrid>
        <w:gridCol w:w="4909"/>
        <w:gridCol w:w="4909"/>
      </w:tblGrid>
      <w:tr w:rsidR="0021380F" w:rsidRPr="00432F0D" w14:paraId="71354604" w14:textId="77777777" w:rsidTr="005A69F6">
        <w:trPr>
          <w:trHeight w:val="2029"/>
        </w:trPr>
        <w:tc>
          <w:tcPr>
            <w:tcW w:w="4909" w:type="dxa"/>
          </w:tcPr>
          <w:p w14:paraId="6D5DC724" w14:textId="77777777" w:rsidR="0021380F" w:rsidRPr="00432F0D" w:rsidRDefault="0021380F" w:rsidP="005A69F6">
            <w:pPr>
              <w:ind w:left="5760"/>
              <w:jc w:val="both"/>
              <w:rPr>
                <w:rFonts w:asciiTheme="majorHAnsi" w:eastAsia="Times New Roman" w:hAnsiTheme="majorHAnsi" w:cs="Calibri Light"/>
                <w:b/>
                <w:sz w:val="28"/>
                <w:szCs w:val="28"/>
              </w:rPr>
            </w:pPr>
            <w:r w:rsidRPr="00432F0D">
              <w:rPr>
                <w:rFonts w:asciiTheme="majorHAnsi" w:eastAsia="Times New Roman" w:hAnsiTheme="majorHAnsi" w:cs="Calibri Light"/>
                <w:b/>
                <w:sz w:val="28"/>
                <w:szCs w:val="28"/>
              </w:rPr>
              <w:t>.</w:t>
            </w:r>
          </w:p>
          <w:p w14:paraId="41AD930F" w14:textId="77777777" w:rsidR="0021380F" w:rsidRPr="00432F0D" w:rsidRDefault="0021380F" w:rsidP="005A69F6">
            <w:pPr>
              <w:pStyle w:val="Sinespaciado"/>
              <w:rPr>
                <w:rFonts w:asciiTheme="majorHAnsi" w:hAnsiTheme="majorHAnsi" w:cs="Calibri Light"/>
                <w:b/>
                <w:sz w:val="28"/>
                <w:szCs w:val="28"/>
              </w:rPr>
            </w:pPr>
            <w:r w:rsidRPr="00432F0D">
              <w:rPr>
                <w:rFonts w:asciiTheme="majorHAnsi" w:hAnsiTheme="majorHAnsi" w:cs="Calibri Light"/>
                <w:b/>
                <w:sz w:val="28"/>
                <w:szCs w:val="28"/>
              </w:rPr>
              <w:t>_________________________</w:t>
            </w:r>
          </w:p>
          <w:p w14:paraId="3AEF7E57" w14:textId="77777777" w:rsidR="0021380F" w:rsidRPr="00432F0D" w:rsidRDefault="0021380F" w:rsidP="005A69F6">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Oscar Sánchez León </w:t>
            </w:r>
          </w:p>
          <w:p w14:paraId="10CEABEC" w14:textId="77777777" w:rsidR="0021380F" w:rsidRPr="00432F0D" w:rsidRDefault="0021380F" w:rsidP="005A69F6">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Representante a la Cámara </w:t>
            </w:r>
          </w:p>
          <w:p w14:paraId="63A627D1" w14:textId="77777777" w:rsidR="0021380F" w:rsidRPr="00432F0D" w:rsidRDefault="0021380F" w:rsidP="005A69F6">
            <w:pPr>
              <w:spacing w:line="276" w:lineRule="auto"/>
              <w:ind w:right="49"/>
              <w:jc w:val="both"/>
              <w:rPr>
                <w:rFonts w:asciiTheme="majorHAnsi" w:eastAsia="Times New Roman" w:hAnsiTheme="majorHAnsi" w:cs="Calibri Light"/>
                <w:b/>
                <w:color w:val="000000"/>
                <w:sz w:val="28"/>
                <w:szCs w:val="28"/>
              </w:rPr>
            </w:pPr>
          </w:p>
        </w:tc>
        <w:tc>
          <w:tcPr>
            <w:tcW w:w="4909" w:type="dxa"/>
          </w:tcPr>
          <w:p w14:paraId="785267C5" w14:textId="77777777" w:rsidR="0021380F" w:rsidRPr="00432F0D" w:rsidRDefault="0021380F" w:rsidP="005A69F6">
            <w:pPr>
              <w:jc w:val="both"/>
              <w:rPr>
                <w:rFonts w:asciiTheme="majorHAnsi" w:eastAsia="Times New Roman" w:hAnsiTheme="majorHAnsi" w:cs="Calibri Light"/>
                <w:b/>
                <w:sz w:val="28"/>
                <w:szCs w:val="28"/>
              </w:rPr>
            </w:pPr>
          </w:p>
          <w:p w14:paraId="0C63F185" w14:textId="77777777" w:rsidR="0021380F" w:rsidRPr="00432F0D" w:rsidRDefault="0021380F" w:rsidP="005A69F6">
            <w:pPr>
              <w:pStyle w:val="Sinespaciado"/>
              <w:rPr>
                <w:rFonts w:asciiTheme="majorHAnsi" w:hAnsiTheme="majorHAnsi" w:cs="Calibri Light"/>
                <w:b/>
                <w:color w:val="000000"/>
                <w:sz w:val="28"/>
                <w:szCs w:val="28"/>
              </w:rPr>
            </w:pPr>
          </w:p>
        </w:tc>
      </w:tr>
    </w:tbl>
    <w:p w14:paraId="23CC0B54" w14:textId="77777777" w:rsidR="00535F81" w:rsidRPr="00432F0D" w:rsidRDefault="00535F81" w:rsidP="00535F81">
      <w:pPr>
        <w:rPr>
          <w:rFonts w:asciiTheme="majorHAnsi" w:eastAsia="Times New Roman" w:hAnsiTheme="majorHAnsi" w:cs="Arial"/>
          <w:sz w:val="28"/>
          <w:szCs w:val="28"/>
        </w:rPr>
      </w:pPr>
    </w:p>
    <w:p w14:paraId="65DB635D" w14:textId="77777777" w:rsidR="00535F81" w:rsidRPr="00432F0D" w:rsidRDefault="00535F81" w:rsidP="00535F81">
      <w:pPr>
        <w:rPr>
          <w:rFonts w:asciiTheme="majorHAnsi" w:eastAsia="Times New Roman" w:hAnsiTheme="majorHAnsi" w:cs="Arial"/>
          <w:sz w:val="28"/>
          <w:szCs w:val="28"/>
        </w:rPr>
      </w:pPr>
    </w:p>
    <w:p w14:paraId="2C7FDC6D" w14:textId="77777777" w:rsidR="00535F81" w:rsidRPr="00432F0D" w:rsidRDefault="00535F81" w:rsidP="00535F81">
      <w:pPr>
        <w:rPr>
          <w:rFonts w:asciiTheme="majorHAnsi" w:eastAsia="Times New Roman" w:hAnsiTheme="majorHAnsi" w:cs="Arial"/>
          <w:sz w:val="28"/>
          <w:szCs w:val="28"/>
        </w:rPr>
      </w:pPr>
    </w:p>
    <w:p w14:paraId="4037FBD1" w14:textId="77777777" w:rsidR="00535F81" w:rsidRPr="00432F0D" w:rsidRDefault="00535F81" w:rsidP="00535F81">
      <w:pPr>
        <w:rPr>
          <w:rFonts w:asciiTheme="majorHAnsi" w:eastAsia="Times New Roman" w:hAnsiTheme="majorHAnsi" w:cs="Arial"/>
          <w:sz w:val="28"/>
          <w:szCs w:val="28"/>
        </w:rPr>
      </w:pPr>
    </w:p>
    <w:p w14:paraId="3EC45FEF" w14:textId="77777777" w:rsidR="00535F81" w:rsidRPr="00432F0D" w:rsidRDefault="00535F81" w:rsidP="00535F81">
      <w:pPr>
        <w:rPr>
          <w:rFonts w:asciiTheme="majorHAnsi" w:eastAsia="Times New Roman" w:hAnsiTheme="majorHAnsi" w:cs="Arial"/>
          <w:sz w:val="28"/>
          <w:szCs w:val="28"/>
        </w:rPr>
      </w:pPr>
    </w:p>
    <w:p w14:paraId="0EA139F4" w14:textId="77777777" w:rsidR="00535F81" w:rsidRPr="00432F0D" w:rsidRDefault="00535F81" w:rsidP="00535F81">
      <w:pPr>
        <w:rPr>
          <w:rFonts w:asciiTheme="majorHAnsi" w:eastAsia="Times New Roman" w:hAnsiTheme="majorHAnsi" w:cs="Arial"/>
          <w:sz w:val="28"/>
          <w:szCs w:val="28"/>
        </w:rPr>
      </w:pPr>
    </w:p>
    <w:p w14:paraId="5A390F38" w14:textId="77777777" w:rsidR="00535F81" w:rsidRPr="00432F0D" w:rsidRDefault="00535F81" w:rsidP="00535F81">
      <w:pPr>
        <w:rPr>
          <w:rFonts w:asciiTheme="majorHAnsi" w:eastAsia="Times New Roman" w:hAnsiTheme="majorHAnsi" w:cs="Arial"/>
          <w:sz w:val="28"/>
          <w:szCs w:val="28"/>
        </w:rPr>
      </w:pPr>
    </w:p>
    <w:p w14:paraId="03B4D90F" w14:textId="68637B46" w:rsidR="004C6F03" w:rsidRDefault="00535F81" w:rsidP="00F150A8">
      <w:pPr>
        <w:pStyle w:val="Prrafodelista"/>
        <w:numPr>
          <w:ilvl w:val="0"/>
          <w:numId w:val="34"/>
        </w:numPr>
        <w:spacing w:after="200" w:line="276" w:lineRule="auto"/>
        <w:ind w:right="49"/>
        <w:rPr>
          <w:rFonts w:asciiTheme="majorHAnsi" w:eastAsia="Times New Roman" w:hAnsiTheme="majorHAnsi" w:cs="Arial"/>
          <w:b/>
          <w:sz w:val="28"/>
          <w:szCs w:val="28"/>
        </w:rPr>
      </w:pPr>
      <w:r w:rsidRPr="004C6F03">
        <w:rPr>
          <w:rFonts w:asciiTheme="majorHAnsi" w:eastAsia="Times New Roman" w:hAnsiTheme="majorHAnsi" w:cs="Arial"/>
          <w:b/>
          <w:sz w:val="28"/>
          <w:szCs w:val="28"/>
        </w:rPr>
        <w:t>ARTÍCULADO</w:t>
      </w:r>
      <w:r w:rsidR="004C6F03">
        <w:rPr>
          <w:rFonts w:asciiTheme="majorHAnsi" w:eastAsia="Times New Roman" w:hAnsiTheme="majorHAnsi" w:cs="Arial"/>
          <w:b/>
          <w:sz w:val="28"/>
          <w:szCs w:val="28"/>
        </w:rPr>
        <w:t xml:space="preserve">. </w:t>
      </w:r>
    </w:p>
    <w:p w14:paraId="4B7D2630" w14:textId="77777777" w:rsidR="00B01381" w:rsidRDefault="00B01381" w:rsidP="00B01381">
      <w:pPr>
        <w:pStyle w:val="Prrafodelista"/>
        <w:spacing w:after="200" w:line="276" w:lineRule="auto"/>
        <w:ind w:left="1080" w:right="49"/>
        <w:rPr>
          <w:rFonts w:asciiTheme="majorHAnsi" w:eastAsia="Times New Roman" w:hAnsiTheme="majorHAnsi" w:cs="Arial"/>
          <w:b/>
          <w:sz w:val="28"/>
          <w:szCs w:val="28"/>
        </w:rPr>
      </w:pPr>
    </w:p>
    <w:p w14:paraId="5EC1C51C" w14:textId="661D0E33" w:rsidR="00B01381" w:rsidRDefault="004C6F03" w:rsidP="00B01381">
      <w:pPr>
        <w:pStyle w:val="Prrafodelista"/>
        <w:spacing w:after="200" w:line="276" w:lineRule="auto"/>
        <w:ind w:left="1080" w:right="49"/>
        <w:jc w:val="center"/>
        <w:rPr>
          <w:rFonts w:ascii="Calibri Light" w:eastAsia="Times New Roman" w:hAnsi="Calibri Light" w:cs="Calibri Light"/>
          <w:b/>
          <w:sz w:val="28"/>
          <w:szCs w:val="28"/>
        </w:rPr>
      </w:pPr>
      <w:r>
        <w:rPr>
          <w:rFonts w:asciiTheme="majorHAnsi" w:eastAsia="Times New Roman" w:hAnsiTheme="majorHAnsi" w:cs="Arial"/>
          <w:b/>
          <w:sz w:val="28"/>
          <w:szCs w:val="28"/>
        </w:rPr>
        <w:t xml:space="preserve">TEXTO PROPUESTO PARA PRIMER DEBATE EN LA COMISION PRIMERA DE LA CAMARA DE REPRESENTANTES AL </w:t>
      </w:r>
      <w:r w:rsidR="00D96236">
        <w:rPr>
          <w:rFonts w:ascii="Calibri Light" w:eastAsia="Times New Roman" w:hAnsi="Calibri Light" w:cs="Calibri Light"/>
          <w:b/>
          <w:sz w:val="28"/>
          <w:szCs w:val="28"/>
        </w:rPr>
        <w:t xml:space="preserve">PROYECTO DE </w:t>
      </w:r>
      <w:bookmarkStart w:id="2" w:name="_GoBack"/>
      <w:bookmarkEnd w:id="2"/>
      <w:r w:rsidR="006A71B9">
        <w:rPr>
          <w:rFonts w:ascii="Calibri Light" w:eastAsia="Times New Roman" w:hAnsi="Calibri Light" w:cs="Calibri Light"/>
          <w:b/>
          <w:sz w:val="28"/>
          <w:szCs w:val="28"/>
        </w:rPr>
        <w:t xml:space="preserve">LEY ESTATUTARIA </w:t>
      </w:r>
      <w:r w:rsidR="00D96236">
        <w:rPr>
          <w:rFonts w:ascii="Calibri Light" w:eastAsia="Times New Roman" w:hAnsi="Calibri Light" w:cs="Calibri Light"/>
          <w:b/>
          <w:sz w:val="28"/>
          <w:szCs w:val="28"/>
        </w:rPr>
        <w:t>No 086 de 2025</w:t>
      </w:r>
      <w:r w:rsidR="00D96236" w:rsidRPr="001A7A19">
        <w:rPr>
          <w:rFonts w:ascii="Calibri Light" w:eastAsia="Times New Roman" w:hAnsi="Calibri Light" w:cs="Calibri Light"/>
          <w:b/>
          <w:sz w:val="28"/>
          <w:szCs w:val="28"/>
        </w:rPr>
        <w:t xml:space="preserve"> </w:t>
      </w:r>
      <w:bookmarkStart w:id="3" w:name="_heading=h.30j0zll" w:colFirst="0" w:colLast="0"/>
      <w:bookmarkEnd w:id="3"/>
      <w:r w:rsidR="00D96236" w:rsidRPr="001A7A19">
        <w:rPr>
          <w:rFonts w:ascii="Calibri Light" w:eastAsia="Times New Roman" w:hAnsi="Calibri Light" w:cs="Calibri Light"/>
          <w:b/>
          <w:sz w:val="28"/>
          <w:szCs w:val="28"/>
        </w:rPr>
        <w:t>CÁ</w:t>
      </w:r>
      <w:r>
        <w:rPr>
          <w:rFonts w:ascii="Calibri Light" w:eastAsia="Times New Roman" w:hAnsi="Calibri Light" w:cs="Calibri Light"/>
          <w:b/>
          <w:sz w:val="28"/>
          <w:szCs w:val="28"/>
        </w:rPr>
        <w:t>MARA</w:t>
      </w:r>
    </w:p>
    <w:p w14:paraId="5B2AF00B" w14:textId="6257D636" w:rsidR="00D96236" w:rsidRPr="001A7A19" w:rsidRDefault="00D96236" w:rsidP="00B01381">
      <w:pPr>
        <w:pStyle w:val="Prrafodelista"/>
        <w:spacing w:after="200" w:line="276" w:lineRule="auto"/>
        <w:ind w:left="1080" w:right="49"/>
        <w:jc w:val="center"/>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 xml:space="preserve"> “Por medio del cual se modifica la ley 1475 de 2011 en relación a la doble militancia y se dictan otras disposiciones”</w:t>
      </w:r>
    </w:p>
    <w:p w14:paraId="1947B72E" w14:textId="77777777" w:rsidR="00D96236" w:rsidRPr="001A7A19" w:rsidRDefault="00D96236" w:rsidP="00D96236">
      <w:pPr>
        <w:shd w:val="clear" w:color="auto" w:fill="FFFFFF"/>
        <w:spacing w:before="57"/>
        <w:ind w:right="49"/>
        <w:jc w:val="center"/>
        <w:rPr>
          <w:rFonts w:ascii="Calibri Light" w:eastAsia="Times New Roman" w:hAnsi="Calibri Light" w:cs="Calibri Light"/>
          <w:b/>
          <w:color w:val="000000"/>
          <w:sz w:val="28"/>
          <w:szCs w:val="28"/>
        </w:rPr>
      </w:pPr>
      <w:r w:rsidRPr="001A7A19">
        <w:rPr>
          <w:rFonts w:ascii="Calibri Light" w:eastAsia="Times New Roman" w:hAnsi="Calibri Light" w:cs="Calibri Light"/>
          <w:b/>
          <w:color w:val="000000"/>
          <w:sz w:val="28"/>
          <w:szCs w:val="28"/>
        </w:rPr>
        <w:t>El Congreso de Colombia</w:t>
      </w:r>
    </w:p>
    <w:p w14:paraId="6F4B29BD" w14:textId="4AB3A7CD" w:rsidR="00D96236" w:rsidRDefault="00D96236" w:rsidP="00D96236">
      <w:pPr>
        <w:shd w:val="clear" w:color="auto" w:fill="FFFFFF"/>
        <w:spacing w:before="57"/>
        <w:ind w:right="49"/>
        <w:jc w:val="center"/>
        <w:rPr>
          <w:rFonts w:ascii="Calibri Light" w:eastAsia="Times New Roman" w:hAnsi="Calibri Light" w:cs="Calibri Light"/>
          <w:b/>
          <w:sz w:val="28"/>
          <w:szCs w:val="28"/>
        </w:rPr>
      </w:pPr>
      <w:r w:rsidRPr="001A7A19">
        <w:rPr>
          <w:rFonts w:ascii="Calibri Light" w:eastAsia="Times New Roman" w:hAnsi="Calibri Light" w:cs="Calibri Light"/>
          <w:b/>
          <w:sz w:val="28"/>
          <w:szCs w:val="28"/>
        </w:rPr>
        <w:t>DECRETA:</w:t>
      </w:r>
    </w:p>
    <w:p w14:paraId="69393B23" w14:textId="77777777" w:rsidR="00B01381" w:rsidRPr="001A7A19" w:rsidRDefault="00B01381" w:rsidP="00D96236">
      <w:pPr>
        <w:shd w:val="clear" w:color="auto" w:fill="FFFFFF"/>
        <w:spacing w:before="57"/>
        <w:ind w:right="49"/>
        <w:jc w:val="center"/>
        <w:rPr>
          <w:rStyle w:val="Textoennegrita"/>
          <w:rFonts w:ascii="Calibri Light" w:eastAsia="Times New Roman" w:hAnsi="Calibri Light" w:cs="Calibri Light"/>
          <w:bCs w:val="0"/>
          <w:sz w:val="28"/>
          <w:szCs w:val="28"/>
        </w:rPr>
      </w:pPr>
    </w:p>
    <w:p w14:paraId="318D232F" w14:textId="539E9B7C" w:rsid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1 Objeto: </w:t>
      </w:r>
      <w:r w:rsidRPr="00D96236">
        <w:rPr>
          <w:rStyle w:val="Textoennegrita"/>
          <w:rFonts w:ascii="Calibri Light" w:hAnsi="Calibri Light" w:cs="Calibri Light"/>
          <w:b w:val="0"/>
          <w:color w:val="333333"/>
          <w:sz w:val="28"/>
          <w:szCs w:val="28"/>
        </w:rPr>
        <w:t>La presente ley tiene como objeto reglamentar las circunstancias y conductas que configuran la doble militancia, en cumplimiento de lo establecido en el artículo 107 de la Constitución Política de Colombia. Propendiendo por garantizar la coherencia y disciplina al interior de los partidos y movimientos políticos.</w:t>
      </w:r>
    </w:p>
    <w:p w14:paraId="06BFC1DC" w14:textId="77777777" w:rsidR="00B01381" w:rsidRPr="001A7A19" w:rsidRDefault="00B01381"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p>
    <w:p w14:paraId="0E8B8EBB" w14:textId="77777777" w:rsidR="00D96236" w:rsidRPr="001A7A19" w:rsidRDefault="00D96236" w:rsidP="00D96236">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2: Modifíquese el artículo 2 de la ley 1475 de 2011, el cual, quedará así:</w:t>
      </w:r>
    </w:p>
    <w:p w14:paraId="1AEF4872" w14:textId="77777777" w:rsidR="00D96236" w:rsidRP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Artículo 2°. Prohibición de doble militanci</w:t>
      </w:r>
      <w:r w:rsidRPr="00D96236">
        <w:rPr>
          <w:rStyle w:val="Textoennegrita"/>
          <w:rFonts w:ascii="Calibri Light" w:hAnsi="Calibri Light" w:cs="Calibri Light"/>
          <w:b w:val="0"/>
          <w:color w:val="333333"/>
          <w:sz w:val="28"/>
          <w:szCs w:val="28"/>
        </w:rPr>
        <w:t xml:space="preserve">a. En ningún caso se permitirá a los ciudadanos pertenecer o afiliarse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 </w:t>
      </w:r>
    </w:p>
    <w:p w14:paraId="68BAECD7" w14:textId="77777777" w:rsidR="00D96236" w:rsidRP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D96236">
        <w:rPr>
          <w:rStyle w:val="Textoennegrita"/>
          <w:rFonts w:ascii="Calibri Light" w:hAnsi="Calibri Light" w:cs="Calibri Light"/>
          <w:b w:val="0"/>
          <w:color w:val="333333"/>
          <w:sz w:val="28"/>
          <w:szCs w:val="28"/>
        </w:rPr>
        <w:t>En el caso de estar ejerciendo un cargo de elección popular y desee inscribirse por otro partido o movimiento político al que pertenece deberá renunciar como mínimo doce (12) meses antes a la fecha de inscripción; y se su reemplazo se realizará de conformidad con la normatividad vigente.</w:t>
      </w:r>
    </w:p>
    <w:p w14:paraId="661CF37B" w14:textId="77777777" w:rsidR="00D96236" w:rsidRP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D96236">
        <w:rPr>
          <w:rStyle w:val="Textoennegrita"/>
          <w:rFonts w:ascii="Calibri Light" w:hAnsi="Calibri Light" w:cs="Calibri Light"/>
          <w:b w:val="0"/>
          <w:color w:val="333333"/>
          <w:sz w:val="28"/>
          <w:szCs w:val="28"/>
        </w:rPr>
        <w:t>La militancia en un partido político, para la inscripción a cargos uninominales o a corporaciones públicas, deberá ser de al menos seis (6) meses de permanencia.</w:t>
      </w:r>
    </w:p>
    <w:p w14:paraId="7FB5ADCA" w14:textId="77777777" w:rsidR="00D96236" w:rsidRP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D96236">
        <w:rPr>
          <w:rStyle w:val="Textoennegrita"/>
          <w:rFonts w:ascii="Calibri Light" w:hAnsi="Calibri Light" w:cs="Calibri Light"/>
          <w:b w:val="0"/>
          <w:color w:val="333333"/>
          <w:sz w:val="28"/>
          <w:szCs w:val="28"/>
        </w:rPr>
        <w:t xml:space="preserve">En caso de que se presente la renuncia antes de cumplir con este plazo, se entenderá como aceptada a partir del día siguiente de haber transcurrido los seis (6) meses de militancia. </w:t>
      </w:r>
    </w:p>
    <w:p w14:paraId="77D9251A" w14:textId="057CD849" w:rsid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Parágrafo: </w:t>
      </w:r>
      <w:r w:rsidRPr="00D96236">
        <w:rPr>
          <w:rStyle w:val="Textoennegrita"/>
          <w:rFonts w:ascii="Calibri Light" w:hAnsi="Calibri Light" w:cs="Calibri Light"/>
          <w:b w:val="0"/>
          <w:color w:val="333333"/>
          <w:sz w:val="28"/>
          <w:szCs w:val="28"/>
        </w:rPr>
        <w:t>Los partidos o movimientos políticos deberán actualizar la base de datos de afiliados o militantes dentro de los treinta (30) días siguientes a la aceptación de afiliación o de renuncia. En caso que no se haya efectuado la actualización correspondiente en la base de datos, se entenderá que la militancia ha sido aceptada o ha cesado de pleno derecho después de trascurrido este término.</w:t>
      </w:r>
    </w:p>
    <w:p w14:paraId="21822750" w14:textId="77777777" w:rsidR="00B01381" w:rsidRPr="001A7A19" w:rsidRDefault="00B01381"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p>
    <w:p w14:paraId="60714710" w14:textId="77777777" w:rsidR="00D96236" w:rsidRPr="001A7A19" w:rsidRDefault="00D96236" w:rsidP="00D96236">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3: Adiciónese un artículo nuevo 2A de la ley 1475 de 2011, el cual, quedará así:</w:t>
      </w:r>
    </w:p>
    <w:p w14:paraId="74C00AF3" w14:textId="77777777" w:rsidR="00D96236" w:rsidRPr="001A7A19"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Artículo 2A: Conductas que generan doble militancia: Se entenderá las siguientes conductas como causal de doble militancia.</w:t>
      </w:r>
    </w:p>
    <w:p w14:paraId="0670F9D4" w14:textId="77777777" w:rsidR="00D96236" w:rsidRPr="001A7A19" w:rsidRDefault="00D96236" w:rsidP="00D96236">
      <w:pPr>
        <w:numPr>
          <w:ilvl w:val="0"/>
          <w:numId w:val="3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Pertenecer simultáneamente a más de un partido o movimiento político.   </w:t>
      </w:r>
    </w:p>
    <w:p w14:paraId="372CDCB5" w14:textId="77777777" w:rsidR="00D96236" w:rsidRPr="001A7A19" w:rsidRDefault="00D96236" w:rsidP="00D96236">
      <w:pPr>
        <w:numPr>
          <w:ilvl w:val="0"/>
          <w:numId w:val="3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Quienes participen en consultas internas o interpartidistas y se inscribiesen por otro partido o movimiento político en el mismo proceso electoral. </w:t>
      </w:r>
    </w:p>
    <w:p w14:paraId="4F1BE96A"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7CD6634B"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desde el inicio de la etapa de inscripción de candidatos hasta el día de elecciones.</w:t>
      </w:r>
    </w:p>
    <w:p w14:paraId="47AC21A4"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319371E9" w14:textId="77777777" w:rsidR="00D96236" w:rsidRPr="001A7A19" w:rsidRDefault="00D96236" w:rsidP="00D96236">
      <w:pPr>
        <w:numPr>
          <w:ilvl w:val="0"/>
          <w:numId w:val="3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Quienes siendo miembros de una corporación pública se inscribiesen a una colectividad distinta a la que los apoyó sin renunciar a esta.</w:t>
      </w:r>
    </w:p>
    <w:p w14:paraId="0085CF9D"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287A76F4"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durante los 12 meses antes del primer día del periodo de inscripciones a la siguiente elección por un partido o movimiento político distinto.</w:t>
      </w:r>
    </w:p>
    <w:p w14:paraId="7D323BF7"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0B336975" w14:textId="77777777" w:rsidR="00D96236" w:rsidRPr="001A7A19" w:rsidRDefault="00D96236" w:rsidP="00D96236">
      <w:pPr>
        <w:numPr>
          <w:ilvl w:val="0"/>
          <w:numId w:val="3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Quienes apoyen candidatos distintos a los inscritos por el partido o movimiento político al cual se encuentren afiliados: La prohibición de doble militancia en esta causal está sujeta a las siguientes reglas especiales según el sujeto de la conducta:</w:t>
      </w:r>
    </w:p>
    <w:p w14:paraId="4E616CF8"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0A9E3A2B" w14:textId="77777777" w:rsidR="00D96236" w:rsidRPr="001A7A19" w:rsidRDefault="00D96236" w:rsidP="00D96236">
      <w:pPr>
        <w:numPr>
          <w:ilvl w:val="1"/>
          <w:numId w:val="3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se desempeñen en cargos de dirección, gobierno, administración o control dentro de los partidos y movimientos políticos no podrán apoyar candidatos distintos a los inscritos por el partido o movimiento político al cual se encuentren afiliados.</w:t>
      </w:r>
    </w:p>
    <w:p w14:paraId="732A2F74" w14:textId="77777777" w:rsidR="00D96236" w:rsidRPr="001A7A19" w:rsidRDefault="00D96236" w:rsidP="00D96236">
      <w:pPr>
        <w:numPr>
          <w:ilvl w:val="1"/>
          <w:numId w:val="3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hayan sido o aspiren ser elegidos en cargos o corporaciones de elección popular de carácter uninominales se regirán bajo las siguientes reglas:</w:t>
      </w:r>
    </w:p>
    <w:p w14:paraId="346B58F2"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154013A8"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4.2.1</w:t>
      </w:r>
      <w:r w:rsidRPr="001A7A19">
        <w:rPr>
          <w:rFonts w:ascii="Calibri Light" w:eastAsia="Arial" w:hAnsi="Calibri Light" w:cs="Calibri Light"/>
          <w:sz w:val="28"/>
          <w:szCs w:val="28"/>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563EE268"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p>
    <w:p w14:paraId="45808978"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4.2.2</w:t>
      </w:r>
      <w:r w:rsidRPr="001A7A19">
        <w:rPr>
          <w:rFonts w:ascii="Calibri Light" w:eastAsia="Arial" w:hAnsi="Calibri Light" w:cs="Calibri Light"/>
          <w:sz w:val="28"/>
          <w:szCs w:val="28"/>
        </w:rPr>
        <w:tab/>
        <w:t>En caso de existir un acuerdo de coalición formalmente constituido o acuerdos programáticos, los candidatos podrán apoyar libremente las listas o candidatos de cualquiera de los partidos o movimientos políticos que hagan parte del acuerdo de coalición para cualquier elección a celebrarse en la misma fecha.</w:t>
      </w:r>
    </w:p>
    <w:p w14:paraId="6F26AAB1"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o acuerdo programático; cualquier acto de apoyo previo a esta suscripción se considerará como doble militancia.</w:t>
      </w:r>
    </w:p>
    <w:p w14:paraId="396F29EF"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78A8835F" w14:textId="77777777" w:rsidR="00D96236" w:rsidRPr="001A7A19" w:rsidRDefault="00D96236" w:rsidP="00D96236">
      <w:pPr>
        <w:numPr>
          <w:ilvl w:val="1"/>
          <w:numId w:val="37"/>
        </w:numPr>
        <w:pBdr>
          <w:top w:val="nil"/>
          <w:left w:val="nil"/>
          <w:bottom w:val="nil"/>
          <w:right w:val="nil"/>
          <w:between w:val="nil"/>
        </w:pBdr>
        <w:spacing w:after="0" w:line="240" w:lineRule="auto"/>
        <w:ind w:left="1701"/>
        <w:jc w:val="both"/>
        <w:rPr>
          <w:rFonts w:ascii="Calibri Light" w:eastAsia="Arial" w:hAnsi="Calibri Light" w:cs="Calibri Light"/>
          <w:sz w:val="28"/>
          <w:szCs w:val="28"/>
        </w:rPr>
      </w:pPr>
      <w:r w:rsidRPr="001A7A19">
        <w:rPr>
          <w:rFonts w:ascii="Calibri Light" w:eastAsia="Arial" w:hAnsi="Calibri Light" w:cs="Calibri Light"/>
          <w:color w:val="000000"/>
          <w:sz w:val="28"/>
          <w:szCs w:val="28"/>
        </w:rPr>
        <w:t>Quienes hayan sido o aspiren ser elegidos en cargos o corporaciones de elección popular de carácter plurinominal, se regirán bajo las siguientes reglas:</w:t>
      </w:r>
    </w:p>
    <w:p w14:paraId="73C4D3A3"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60F8056E"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4.3.1</w:t>
      </w:r>
      <w:r w:rsidRPr="001A7A19">
        <w:rPr>
          <w:rFonts w:ascii="Calibri Light" w:eastAsia="Arial" w:hAnsi="Calibri Light" w:cs="Calibri Light"/>
          <w:sz w:val="28"/>
          <w:szCs w:val="28"/>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25F5387C"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p>
    <w:p w14:paraId="4B84B9A0"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4.3.2</w:t>
      </w:r>
      <w:r w:rsidRPr="001A7A19">
        <w:rPr>
          <w:rFonts w:ascii="Calibri Light" w:eastAsia="Arial" w:hAnsi="Calibri Light" w:cs="Calibri Light"/>
          <w:sz w:val="28"/>
          <w:szCs w:val="28"/>
        </w:rPr>
        <w:tab/>
        <w:t>En caso de hacer parte de una lista de circunscripción nacional en donde confluyan mediante acuerdo de coalición diferentes partidos o movimientos políticos, sin existir coalición de carácter territorial del partido político al cual se encuentre afiliado, el miembro podrá apoyar libremente las listas o candidatos de cualquiera de los partidos o movimientos políticos que formen parte del acuerdo de coalición para cualquier elección que se realice en la misma fecha.</w:t>
      </w:r>
    </w:p>
    <w:p w14:paraId="3DD1FB07"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p>
    <w:p w14:paraId="3B981575"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cualquier acto de apoyo previo a esta suscripción se considerará como doble militancia.</w:t>
      </w:r>
    </w:p>
    <w:p w14:paraId="547C0225"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p>
    <w:p w14:paraId="346B1AB6"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b/>
          <w:sz w:val="28"/>
          <w:szCs w:val="28"/>
        </w:rPr>
        <w:t>4.3.3</w:t>
      </w:r>
      <w:r w:rsidRPr="001A7A19">
        <w:rPr>
          <w:rFonts w:ascii="Calibri Light" w:eastAsia="Arial" w:hAnsi="Calibri Light" w:cs="Calibri Light"/>
          <w:sz w:val="28"/>
          <w:szCs w:val="28"/>
        </w:rPr>
        <w:tab/>
        <w:t>En caso de que un miembro integre una lista de circunscripción territorial en donde confluyan diferentes partidos y movimientos políticos mediante un acuerdo de coalición, y dicho acuerdo tenga carácter territorial que incluya al partido o movimiento al cual está afiliado, el miembro podrá apoyar libremente las listas o candidatos de cualquiera de los partidos o movimientos políticos que formen parte del acuerdo de coalición para cualquier elección que se realice en la misma fecha.</w:t>
      </w:r>
    </w:p>
    <w:p w14:paraId="0BEC86B8"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p>
    <w:p w14:paraId="0BF90914" w14:textId="77777777" w:rsidR="00D96236" w:rsidRPr="001A7A19" w:rsidRDefault="00D96236" w:rsidP="00D96236">
      <w:pPr>
        <w:spacing w:after="0" w:line="240" w:lineRule="auto"/>
        <w:ind w:left="1985"/>
        <w:jc w:val="both"/>
        <w:rPr>
          <w:rFonts w:ascii="Calibri Light" w:eastAsia="Arial" w:hAnsi="Calibri Light" w:cs="Calibri Light"/>
          <w:sz w:val="28"/>
          <w:szCs w:val="28"/>
        </w:rPr>
      </w:pPr>
      <w:r w:rsidRPr="001A7A19">
        <w:rPr>
          <w:rFonts w:ascii="Calibri Light" w:eastAsia="Arial" w:hAnsi="Calibri Light" w:cs="Calibri Light"/>
          <w:sz w:val="28"/>
          <w:szCs w:val="28"/>
        </w:rPr>
        <w:t>El apoyo a candidaturas de partidos o movimientos políticos distintos únicamente podrá realizarse una vez formalizado el acuerdo de coalición; cualquier acto de apoyo previo a esta suscripción se considerará como doble militancia.</w:t>
      </w:r>
    </w:p>
    <w:p w14:paraId="6BDDFBA3" w14:textId="77777777" w:rsidR="00D96236" w:rsidRPr="001A7A19" w:rsidRDefault="00D96236" w:rsidP="00D96236">
      <w:pPr>
        <w:spacing w:after="0" w:line="240" w:lineRule="auto"/>
        <w:jc w:val="both"/>
        <w:rPr>
          <w:rFonts w:ascii="Calibri Light" w:eastAsia="Arial" w:hAnsi="Calibri Light" w:cs="Calibri Light"/>
          <w:sz w:val="28"/>
          <w:szCs w:val="28"/>
        </w:rPr>
      </w:pPr>
    </w:p>
    <w:p w14:paraId="3E0B7EF9" w14:textId="77777777" w:rsidR="00D96236" w:rsidRPr="001A7A19" w:rsidRDefault="00D96236" w:rsidP="00D96236">
      <w:pPr>
        <w:numPr>
          <w:ilvl w:val="0"/>
          <w:numId w:val="37"/>
        </w:numPr>
        <w:pBdr>
          <w:top w:val="nil"/>
          <w:left w:val="nil"/>
          <w:bottom w:val="nil"/>
          <w:right w:val="nil"/>
          <w:between w:val="nil"/>
        </w:pBdr>
        <w:spacing w:after="0" w:line="240" w:lineRule="auto"/>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 xml:space="preserve"> Quienes ostenten cargos de dirección, gobierno, administración o control, dentro de los partidos y movimientos políticos aspiren a un cargo de elección popular o formar parte de los órganos directivos de otra organización política.</w:t>
      </w:r>
    </w:p>
    <w:p w14:paraId="5A12D984"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p>
    <w:p w14:paraId="202F8C99" w14:textId="77777777" w:rsidR="00D96236" w:rsidRPr="001A7A19" w:rsidRDefault="00D96236" w:rsidP="00D96236">
      <w:pPr>
        <w:pBdr>
          <w:top w:val="nil"/>
          <w:left w:val="nil"/>
          <w:bottom w:val="nil"/>
          <w:right w:val="nil"/>
          <w:between w:val="nil"/>
        </w:pBdr>
        <w:spacing w:after="0" w:line="240" w:lineRule="auto"/>
        <w:ind w:left="720"/>
        <w:jc w:val="both"/>
        <w:rPr>
          <w:rFonts w:ascii="Calibri Light" w:eastAsia="Arial" w:hAnsi="Calibri Light" w:cs="Calibri Light"/>
          <w:color w:val="000000"/>
          <w:sz w:val="28"/>
          <w:szCs w:val="28"/>
        </w:rPr>
      </w:pPr>
      <w:r w:rsidRPr="001A7A19">
        <w:rPr>
          <w:rFonts w:ascii="Calibri Light" w:eastAsia="Arial" w:hAnsi="Calibri Light" w:cs="Calibri Light"/>
          <w:color w:val="000000"/>
          <w:sz w:val="28"/>
          <w:szCs w:val="28"/>
        </w:rPr>
        <w:t>El elemento temporal de esta conducta aplica durante los 12 meses antes de la postulación, aceptación de la nueva designación en órganos de dirección o ser inscrito como candidato por otro partido o movimiento político.</w:t>
      </w:r>
    </w:p>
    <w:p w14:paraId="5B3195C8" w14:textId="192AE3C8" w:rsidR="00D96236"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Parágrafo. </w:t>
      </w:r>
      <w:r w:rsidRPr="00D96236">
        <w:rPr>
          <w:rStyle w:val="Textoennegrita"/>
          <w:rFonts w:ascii="Calibri Light" w:hAnsi="Calibri Light" w:cs="Calibri Light"/>
          <w:b w:val="0"/>
          <w:color w:val="333333"/>
          <w:sz w:val="28"/>
          <w:szCs w:val="28"/>
        </w:rPr>
        <w:t>Las restricciones previstas en esta disposición no se aplicarán a los miembros de los partidos y movimientos políticos que sean disueltos por decisión de sus miembros o pierdan la personería jurídica por causas distintas a las sanciones previstas en esta ley,</w:t>
      </w:r>
      <w:r w:rsidRPr="001A7A19">
        <w:rPr>
          <w:rStyle w:val="Textoennegrita"/>
          <w:rFonts w:ascii="Calibri Light" w:hAnsi="Calibri Light" w:cs="Calibri Light"/>
          <w:color w:val="333333"/>
          <w:sz w:val="28"/>
          <w:szCs w:val="28"/>
        </w:rPr>
        <w:t xml:space="preserve"> </w:t>
      </w:r>
      <w:r w:rsidRPr="00D96236">
        <w:rPr>
          <w:rStyle w:val="Textoennegrita"/>
          <w:rFonts w:ascii="Calibri Light" w:hAnsi="Calibri Light" w:cs="Calibri Light"/>
          <w:b w:val="0"/>
          <w:color w:val="333333"/>
          <w:sz w:val="28"/>
          <w:szCs w:val="28"/>
        </w:rPr>
        <w:t>casos en los cuales podrán inscribirse en uno distinto con personería jurídica sin incurrir en doble militancia.</w:t>
      </w:r>
    </w:p>
    <w:p w14:paraId="1D714095" w14:textId="77777777" w:rsidR="00B01381" w:rsidRPr="00D96236" w:rsidRDefault="00B01381"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p>
    <w:p w14:paraId="184C0F72" w14:textId="77777777" w:rsidR="00D96236" w:rsidRPr="001A7A19" w:rsidRDefault="00D96236" w:rsidP="00D96236">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Artículo 4: Adiciónese un artículo nuevo 2B de la ley 1475 de 2011, el cual, quedará así:</w:t>
      </w:r>
    </w:p>
    <w:p w14:paraId="38F95092" w14:textId="77777777" w:rsidR="00D96236" w:rsidRPr="001A7A19"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2B: </w:t>
      </w:r>
      <w:r w:rsidRPr="00FA78E3">
        <w:rPr>
          <w:rStyle w:val="Textoennegrita"/>
          <w:rFonts w:ascii="Calibri Light" w:hAnsi="Calibri Light" w:cs="Calibri Light"/>
          <w:sz w:val="28"/>
          <w:szCs w:val="28"/>
        </w:rPr>
        <w:t xml:space="preserve">Manifestación de Apoyo: </w:t>
      </w:r>
      <w:r w:rsidRPr="00D96236">
        <w:rPr>
          <w:rStyle w:val="Textoennegrita"/>
          <w:rFonts w:ascii="Calibri Light" w:hAnsi="Calibri Light" w:cs="Calibri Light"/>
          <w:b w:val="0"/>
          <w:sz w:val="28"/>
          <w:szCs w:val="28"/>
        </w:rPr>
        <w:t xml:space="preserve">La estructuración del apoyo exige necesariamente la ejecución de actos positivos y concretos </w:t>
      </w:r>
      <w:r w:rsidRPr="00D96236">
        <w:rPr>
          <w:rStyle w:val="Textoennegrita"/>
          <w:rFonts w:ascii="Calibri Light" w:hAnsi="Calibri Light" w:cs="Calibri Light"/>
          <w:b w:val="0"/>
          <w:color w:val="333333"/>
          <w:sz w:val="28"/>
          <w:szCs w:val="28"/>
        </w:rPr>
        <w:t>en favor del candidato perteneciente a otro partido o movimiento político, el cual, pueda generar marcos de manipulación o confusión al electorado dentro del contexto de la campaña política. Son elementos de la manifestación de apoyo:</w:t>
      </w:r>
    </w:p>
    <w:p w14:paraId="4F94C7CE" w14:textId="77777777" w:rsidR="00D96236" w:rsidRPr="001A7A19" w:rsidRDefault="00D96236" w:rsidP="00D96236">
      <w:pPr>
        <w:pStyle w:val="NormalWeb"/>
        <w:shd w:val="clear" w:color="auto" w:fill="FFFFFF"/>
        <w:spacing w:line="276" w:lineRule="auto"/>
        <w:ind w:left="720"/>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1.</w:t>
      </w:r>
      <w:r w:rsidRPr="00D96236">
        <w:rPr>
          <w:rStyle w:val="Textoennegrita"/>
          <w:rFonts w:ascii="Calibri Light" w:hAnsi="Calibri Light" w:cs="Calibri Light"/>
          <w:b w:val="0"/>
          <w:color w:val="333333"/>
          <w:sz w:val="28"/>
          <w:szCs w:val="28"/>
        </w:rPr>
        <w:t>Los actos de apoyo político no requieren ser actos de tracto sucesivo o continuo, sino instantáneos, de donde se colige que la configuración de la situación de inelegibilidad puede probarse a través de una sola manifestación de apoyo en el contexto de la campaña política.</w:t>
      </w:r>
      <w:r w:rsidRPr="001A7A19">
        <w:rPr>
          <w:rStyle w:val="Textoennegrita"/>
          <w:rFonts w:ascii="Calibri Light" w:hAnsi="Calibri Light" w:cs="Calibri Light"/>
          <w:color w:val="333333"/>
          <w:sz w:val="28"/>
          <w:szCs w:val="28"/>
        </w:rPr>
        <w:t xml:space="preserve"> </w:t>
      </w:r>
    </w:p>
    <w:p w14:paraId="19C210B7" w14:textId="77777777" w:rsidR="00D96236" w:rsidRPr="001A7A19" w:rsidRDefault="00D96236" w:rsidP="00D96236">
      <w:pPr>
        <w:pStyle w:val="NormalWeb"/>
        <w:shd w:val="clear" w:color="auto" w:fill="FFFFFF"/>
        <w:spacing w:line="276" w:lineRule="auto"/>
        <w:ind w:left="720"/>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2.</w:t>
      </w:r>
      <w:r w:rsidRPr="00D96236">
        <w:rPr>
          <w:rStyle w:val="Textoennegrita"/>
          <w:rFonts w:ascii="Calibri Light" w:hAnsi="Calibri Light" w:cs="Calibri Light"/>
          <w:b w:val="0"/>
          <w:color w:val="333333"/>
          <w:sz w:val="28"/>
          <w:szCs w:val="28"/>
        </w:rPr>
        <w:t>El apoyo indebido se configura de manera independiente al resultado electoral obtenido por el candidato asistido.</w:t>
      </w:r>
      <w:r w:rsidRPr="001A7A19">
        <w:rPr>
          <w:rStyle w:val="Textoennegrita"/>
          <w:rFonts w:ascii="Calibri Light" w:hAnsi="Calibri Light" w:cs="Calibri Light"/>
          <w:color w:val="333333"/>
          <w:sz w:val="28"/>
          <w:szCs w:val="28"/>
        </w:rPr>
        <w:t xml:space="preserve"> </w:t>
      </w:r>
    </w:p>
    <w:p w14:paraId="4507FF04" w14:textId="77777777" w:rsidR="00D96236" w:rsidRPr="001A7A19" w:rsidRDefault="00D96236" w:rsidP="00D96236">
      <w:pPr>
        <w:pStyle w:val="NormalWeb"/>
        <w:shd w:val="clear" w:color="auto" w:fill="FFFFFF"/>
        <w:spacing w:line="276" w:lineRule="auto"/>
        <w:ind w:left="720"/>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3.</w:t>
      </w:r>
      <w:r w:rsidRPr="00D96236">
        <w:rPr>
          <w:rStyle w:val="Textoennegrita"/>
          <w:rFonts w:ascii="Calibri Light" w:hAnsi="Calibri Light" w:cs="Calibri Light"/>
          <w:b w:val="0"/>
          <w:color w:val="333333"/>
          <w:sz w:val="28"/>
          <w:szCs w:val="28"/>
        </w:rPr>
        <w:t>La probanza del comportamiento prohibido debe aflorar de manera evidente, es decir, revistiendo elementos de juicio que permitan superar toda duda razonable.</w:t>
      </w:r>
    </w:p>
    <w:p w14:paraId="5ECF21AE" w14:textId="77777777" w:rsidR="00D96236" w:rsidRDefault="00D96236" w:rsidP="00D96236">
      <w:pPr>
        <w:pStyle w:val="NormalWeb"/>
        <w:shd w:val="clear" w:color="auto" w:fill="FFFFFF"/>
        <w:spacing w:line="276" w:lineRule="auto"/>
        <w:ind w:left="720"/>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4.</w:t>
      </w:r>
      <w:r w:rsidRPr="00D96236">
        <w:rPr>
          <w:rStyle w:val="Textoennegrita"/>
          <w:rFonts w:ascii="Calibri Light" w:hAnsi="Calibri Light" w:cs="Calibri Light"/>
          <w:b w:val="0"/>
          <w:color w:val="333333"/>
          <w:sz w:val="28"/>
          <w:szCs w:val="28"/>
        </w:rPr>
        <w:t>El actuar objeto de sanción se centra en el ofrecimiento de apoyos, y no en el recibimiento de respaldos por parte de un candidato.</w:t>
      </w:r>
    </w:p>
    <w:p w14:paraId="4B4BF943" w14:textId="77777777" w:rsidR="00D96236" w:rsidRPr="00D96236" w:rsidRDefault="00D96236" w:rsidP="00D96236">
      <w:pPr>
        <w:pStyle w:val="NormalWeb"/>
        <w:shd w:val="clear" w:color="auto" w:fill="FFFFFF"/>
        <w:spacing w:line="276" w:lineRule="auto"/>
        <w:ind w:left="720"/>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5. </w:t>
      </w:r>
      <w:r w:rsidRPr="00D96236">
        <w:rPr>
          <w:rStyle w:val="Textoennegrita"/>
          <w:rFonts w:ascii="Calibri Light" w:hAnsi="Calibri Light" w:cs="Calibri Light"/>
          <w:b w:val="0"/>
          <w:color w:val="333333"/>
          <w:sz w:val="28"/>
          <w:szCs w:val="28"/>
        </w:rPr>
        <w:t>Los actos de apoyo deben ser en sitios públicos y pueden realizarse de manera física o a través de redes sociales o contenido virtual del candidato</w:t>
      </w:r>
    </w:p>
    <w:p w14:paraId="5CFF29B6" w14:textId="77777777" w:rsidR="00B01381" w:rsidRDefault="00D96236" w:rsidP="00D96236">
      <w:pPr>
        <w:pStyle w:val="NormalWeb"/>
        <w:shd w:val="clear" w:color="auto" w:fill="FFFFFF"/>
        <w:spacing w:line="276" w:lineRule="auto"/>
        <w:jc w:val="both"/>
        <w:rPr>
          <w:rStyle w:val="Textoennegrita"/>
          <w:rFonts w:ascii="Calibri Light" w:hAnsi="Calibri Light" w:cs="Calibri Light"/>
          <w:color w:val="333333"/>
          <w:sz w:val="28"/>
          <w:szCs w:val="28"/>
        </w:rPr>
      </w:pPr>
      <w:r w:rsidRPr="001A7A19">
        <w:rPr>
          <w:rStyle w:val="Textoennegrita"/>
          <w:rFonts w:ascii="Calibri Light" w:hAnsi="Calibri Light" w:cs="Calibri Light"/>
          <w:color w:val="333333"/>
          <w:sz w:val="28"/>
          <w:szCs w:val="28"/>
        </w:rPr>
        <w:t xml:space="preserve"> </w:t>
      </w:r>
    </w:p>
    <w:p w14:paraId="3CA64C24" w14:textId="00FF4B7A" w:rsidR="00D96236" w:rsidRPr="001A7A19" w:rsidRDefault="00D96236" w:rsidP="00D96236">
      <w:pPr>
        <w:pStyle w:val="NormalWeb"/>
        <w:shd w:val="clear" w:color="auto" w:fill="FFFFFF"/>
        <w:spacing w:line="276" w:lineRule="auto"/>
        <w:jc w:val="both"/>
        <w:rPr>
          <w:rStyle w:val="Textoennegrita"/>
          <w:rFonts w:ascii="Calibri Light" w:hAnsi="Calibri Light" w:cs="Calibri Light"/>
          <w:b w:val="0"/>
          <w:color w:val="333333"/>
          <w:sz w:val="28"/>
          <w:szCs w:val="28"/>
        </w:rPr>
      </w:pPr>
      <w:r w:rsidRPr="001A7A19">
        <w:rPr>
          <w:rStyle w:val="Textoennegrita"/>
          <w:rFonts w:ascii="Calibri Light" w:hAnsi="Calibri Light" w:cs="Calibri Light"/>
          <w:color w:val="333333"/>
          <w:sz w:val="28"/>
          <w:szCs w:val="28"/>
        </w:rPr>
        <w:t xml:space="preserve">Artículo 5:  Vigencia: </w:t>
      </w:r>
      <w:r w:rsidRPr="00D96236">
        <w:rPr>
          <w:rStyle w:val="Textoennegrita"/>
          <w:rFonts w:ascii="Calibri Light" w:hAnsi="Calibri Light" w:cs="Calibri Light"/>
          <w:b w:val="0"/>
          <w:color w:val="333333"/>
          <w:sz w:val="28"/>
          <w:szCs w:val="28"/>
        </w:rPr>
        <w:t>La presente ley rige a partir de la fecha de su sanción.</w:t>
      </w:r>
    </w:p>
    <w:p w14:paraId="4E865141" w14:textId="6A029AF3" w:rsidR="004C6F03" w:rsidRPr="00432F0D" w:rsidRDefault="004C6F03" w:rsidP="004C6F03">
      <w:pPr>
        <w:jc w:val="both"/>
        <w:rPr>
          <w:rFonts w:asciiTheme="majorHAnsi" w:eastAsia="Times New Roman" w:hAnsiTheme="majorHAnsi" w:cs="Arial"/>
          <w:sz w:val="28"/>
          <w:szCs w:val="28"/>
        </w:rPr>
      </w:pPr>
    </w:p>
    <w:p w14:paraId="11E80C3F" w14:textId="77777777" w:rsidR="004C6F03" w:rsidRPr="00432F0D" w:rsidRDefault="004C6F03" w:rsidP="004C6F03">
      <w:pPr>
        <w:pStyle w:val="Sinespaciado"/>
        <w:jc w:val="both"/>
        <w:rPr>
          <w:rFonts w:asciiTheme="majorHAnsi" w:eastAsia="Arial" w:hAnsiTheme="majorHAnsi" w:cs="Calibri Light"/>
          <w:sz w:val="28"/>
          <w:szCs w:val="28"/>
        </w:rPr>
      </w:pPr>
      <w:r w:rsidRPr="00432F0D">
        <w:rPr>
          <w:rFonts w:asciiTheme="majorHAnsi" w:eastAsia="Arial" w:hAnsiTheme="majorHAnsi" w:cs="Calibri Light"/>
          <w:sz w:val="28"/>
          <w:szCs w:val="28"/>
        </w:rPr>
        <w:t>Atentamente;</w:t>
      </w:r>
    </w:p>
    <w:p w14:paraId="0E2A9A5E" w14:textId="77777777" w:rsidR="004C6F03" w:rsidRPr="00432F0D" w:rsidRDefault="004C6F03" w:rsidP="004C6F03">
      <w:pPr>
        <w:pStyle w:val="Sinespaciado"/>
        <w:ind w:left="-284"/>
        <w:jc w:val="both"/>
        <w:rPr>
          <w:rFonts w:asciiTheme="majorHAnsi" w:eastAsia="Arial" w:hAnsiTheme="majorHAnsi" w:cs="Calibri Light"/>
          <w:sz w:val="28"/>
          <w:szCs w:val="28"/>
        </w:rPr>
      </w:pPr>
    </w:p>
    <w:tbl>
      <w:tblPr>
        <w:tblW w:w="9818" w:type="dxa"/>
        <w:tblLayout w:type="fixed"/>
        <w:tblLook w:val="0400" w:firstRow="0" w:lastRow="0" w:firstColumn="0" w:lastColumn="0" w:noHBand="0" w:noVBand="1"/>
      </w:tblPr>
      <w:tblGrid>
        <w:gridCol w:w="4909"/>
        <w:gridCol w:w="4909"/>
      </w:tblGrid>
      <w:tr w:rsidR="004C6F03" w:rsidRPr="00432F0D" w14:paraId="22ED132B" w14:textId="77777777" w:rsidTr="00801AF8">
        <w:trPr>
          <w:trHeight w:val="2029"/>
        </w:trPr>
        <w:tc>
          <w:tcPr>
            <w:tcW w:w="4909" w:type="dxa"/>
          </w:tcPr>
          <w:p w14:paraId="1370B495" w14:textId="77777777" w:rsidR="004C6F03" w:rsidRPr="00432F0D" w:rsidRDefault="004C6F03" w:rsidP="00801AF8">
            <w:pPr>
              <w:ind w:left="5760"/>
              <w:jc w:val="both"/>
              <w:rPr>
                <w:rFonts w:asciiTheme="majorHAnsi" w:eastAsia="Times New Roman" w:hAnsiTheme="majorHAnsi" w:cs="Calibri Light"/>
                <w:b/>
                <w:sz w:val="28"/>
                <w:szCs w:val="28"/>
              </w:rPr>
            </w:pPr>
            <w:r w:rsidRPr="00432F0D">
              <w:rPr>
                <w:rFonts w:asciiTheme="majorHAnsi" w:eastAsia="Times New Roman" w:hAnsiTheme="majorHAnsi" w:cs="Calibri Light"/>
                <w:b/>
                <w:sz w:val="28"/>
                <w:szCs w:val="28"/>
              </w:rPr>
              <w:t>.</w:t>
            </w:r>
          </w:p>
          <w:p w14:paraId="65CC86F4" w14:textId="77777777" w:rsidR="004C6F03" w:rsidRPr="00432F0D" w:rsidRDefault="004C6F03" w:rsidP="00801AF8">
            <w:pPr>
              <w:pStyle w:val="Sinespaciado"/>
              <w:rPr>
                <w:rFonts w:asciiTheme="majorHAnsi" w:hAnsiTheme="majorHAnsi" w:cs="Calibri Light"/>
                <w:b/>
                <w:sz w:val="28"/>
                <w:szCs w:val="28"/>
              </w:rPr>
            </w:pPr>
            <w:r w:rsidRPr="00432F0D">
              <w:rPr>
                <w:rFonts w:asciiTheme="majorHAnsi" w:hAnsiTheme="majorHAnsi" w:cs="Calibri Light"/>
                <w:b/>
                <w:sz w:val="28"/>
                <w:szCs w:val="28"/>
              </w:rPr>
              <w:t>_________________________</w:t>
            </w:r>
          </w:p>
          <w:p w14:paraId="72621BC6" w14:textId="77777777" w:rsidR="004C6F03" w:rsidRPr="00432F0D" w:rsidRDefault="004C6F03" w:rsidP="00801AF8">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Oscar Sánchez León </w:t>
            </w:r>
          </w:p>
          <w:p w14:paraId="38D072AA" w14:textId="77777777" w:rsidR="004C6F03" w:rsidRPr="00432F0D" w:rsidRDefault="004C6F03" w:rsidP="00801AF8">
            <w:pPr>
              <w:pStyle w:val="Sinespaciado"/>
              <w:rPr>
                <w:rFonts w:asciiTheme="majorHAnsi" w:hAnsiTheme="majorHAnsi" w:cs="Calibri Light"/>
                <w:b/>
                <w:sz w:val="28"/>
                <w:szCs w:val="28"/>
              </w:rPr>
            </w:pPr>
            <w:r w:rsidRPr="00432F0D">
              <w:rPr>
                <w:rFonts w:asciiTheme="majorHAnsi" w:hAnsiTheme="majorHAnsi" w:cs="Calibri Light"/>
                <w:b/>
                <w:sz w:val="28"/>
                <w:szCs w:val="28"/>
              </w:rPr>
              <w:t xml:space="preserve">Representante a la Cámara </w:t>
            </w:r>
          </w:p>
          <w:p w14:paraId="2FCBC7CA" w14:textId="77777777" w:rsidR="004C6F03" w:rsidRPr="00432F0D" w:rsidRDefault="004C6F03" w:rsidP="00801AF8">
            <w:pPr>
              <w:spacing w:line="276" w:lineRule="auto"/>
              <w:ind w:right="49"/>
              <w:jc w:val="both"/>
              <w:rPr>
                <w:rFonts w:asciiTheme="majorHAnsi" w:eastAsia="Times New Roman" w:hAnsiTheme="majorHAnsi" w:cs="Calibri Light"/>
                <w:b/>
                <w:color w:val="000000"/>
                <w:sz w:val="28"/>
                <w:szCs w:val="28"/>
              </w:rPr>
            </w:pPr>
          </w:p>
        </w:tc>
        <w:tc>
          <w:tcPr>
            <w:tcW w:w="4909" w:type="dxa"/>
          </w:tcPr>
          <w:p w14:paraId="37BC56AB" w14:textId="77777777" w:rsidR="004C6F03" w:rsidRPr="00432F0D" w:rsidRDefault="004C6F03" w:rsidP="00801AF8">
            <w:pPr>
              <w:jc w:val="both"/>
              <w:rPr>
                <w:rFonts w:asciiTheme="majorHAnsi" w:eastAsia="Times New Roman" w:hAnsiTheme="majorHAnsi" w:cs="Calibri Light"/>
                <w:b/>
                <w:sz w:val="28"/>
                <w:szCs w:val="28"/>
              </w:rPr>
            </w:pPr>
          </w:p>
          <w:p w14:paraId="4F55A022" w14:textId="77777777" w:rsidR="004C6F03" w:rsidRPr="00432F0D" w:rsidRDefault="004C6F03" w:rsidP="00801AF8">
            <w:pPr>
              <w:pStyle w:val="Sinespaciado"/>
              <w:rPr>
                <w:rFonts w:asciiTheme="majorHAnsi" w:hAnsiTheme="majorHAnsi" w:cs="Calibri Light"/>
                <w:b/>
                <w:color w:val="000000"/>
                <w:sz w:val="28"/>
                <w:szCs w:val="28"/>
              </w:rPr>
            </w:pPr>
          </w:p>
        </w:tc>
      </w:tr>
    </w:tbl>
    <w:p w14:paraId="7C0511CA" w14:textId="77777777" w:rsidR="004C6F03" w:rsidRPr="00432F0D" w:rsidRDefault="004C6F03" w:rsidP="004C6F03">
      <w:pPr>
        <w:rPr>
          <w:rFonts w:asciiTheme="majorHAnsi" w:eastAsia="Times New Roman" w:hAnsiTheme="majorHAnsi" w:cs="Arial"/>
          <w:sz w:val="28"/>
          <w:szCs w:val="28"/>
        </w:rPr>
      </w:pPr>
    </w:p>
    <w:p w14:paraId="698862EC" w14:textId="77777777" w:rsidR="004C6F03" w:rsidRPr="00432F0D" w:rsidRDefault="004C6F03" w:rsidP="004C6F03">
      <w:pPr>
        <w:rPr>
          <w:rFonts w:asciiTheme="majorHAnsi" w:eastAsia="Times New Roman" w:hAnsiTheme="majorHAnsi" w:cs="Arial"/>
          <w:sz w:val="28"/>
          <w:szCs w:val="28"/>
        </w:rPr>
      </w:pPr>
    </w:p>
    <w:p w14:paraId="1D723D0D" w14:textId="77777777" w:rsidR="00535F81" w:rsidRPr="00432F0D" w:rsidRDefault="00535F81" w:rsidP="00535F81">
      <w:pPr>
        <w:ind w:right="49"/>
        <w:jc w:val="both"/>
        <w:rPr>
          <w:rFonts w:asciiTheme="majorHAnsi" w:eastAsia="Times New Roman" w:hAnsiTheme="majorHAnsi" w:cs="Arial"/>
          <w:sz w:val="28"/>
          <w:szCs w:val="28"/>
        </w:rPr>
      </w:pPr>
    </w:p>
    <w:p w14:paraId="429CD2DF" w14:textId="77777777" w:rsidR="00535F81" w:rsidRPr="00432F0D" w:rsidRDefault="00535F81" w:rsidP="00535F81">
      <w:pPr>
        <w:rPr>
          <w:rFonts w:asciiTheme="majorHAnsi" w:hAnsiTheme="majorHAnsi" w:cs="Arial"/>
          <w:sz w:val="28"/>
          <w:szCs w:val="28"/>
        </w:rPr>
      </w:pPr>
    </w:p>
    <w:p w14:paraId="155282DD" w14:textId="77777777" w:rsidR="003F6B60" w:rsidRPr="00432F0D" w:rsidRDefault="003F6B60" w:rsidP="00535F81">
      <w:pPr>
        <w:rPr>
          <w:rFonts w:asciiTheme="majorHAnsi" w:hAnsiTheme="majorHAnsi"/>
          <w:sz w:val="28"/>
          <w:szCs w:val="28"/>
        </w:rPr>
      </w:pPr>
    </w:p>
    <w:sectPr w:rsidR="003F6B60" w:rsidRPr="00432F0D" w:rsidSect="00A815E5">
      <w:headerReference w:type="default" r:id="rId12"/>
      <w:pgSz w:w="12240" w:h="15840"/>
      <w:pgMar w:top="2268"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6BF48" w14:textId="77777777" w:rsidR="00EF2950" w:rsidRDefault="00EF2950" w:rsidP="006F4BC0">
      <w:pPr>
        <w:spacing w:after="0" w:line="240" w:lineRule="auto"/>
      </w:pPr>
      <w:r>
        <w:separator/>
      </w:r>
    </w:p>
  </w:endnote>
  <w:endnote w:type="continuationSeparator" w:id="0">
    <w:p w14:paraId="77717156" w14:textId="77777777" w:rsidR="00EF2950" w:rsidRDefault="00EF2950" w:rsidP="006F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47F2" w14:textId="77777777" w:rsidR="00EF2950" w:rsidRDefault="00EF2950" w:rsidP="006F4BC0">
      <w:pPr>
        <w:spacing w:after="0" w:line="240" w:lineRule="auto"/>
      </w:pPr>
      <w:r>
        <w:separator/>
      </w:r>
    </w:p>
  </w:footnote>
  <w:footnote w:type="continuationSeparator" w:id="0">
    <w:p w14:paraId="6EEDFA58" w14:textId="77777777" w:rsidR="00EF2950" w:rsidRDefault="00EF2950" w:rsidP="006F4BC0">
      <w:pPr>
        <w:spacing w:after="0" w:line="240" w:lineRule="auto"/>
      </w:pPr>
      <w:r>
        <w:continuationSeparator/>
      </w:r>
    </w:p>
  </w:footnote>
  <w:footnote w:id="1">
    <w:p w14:paraId="6E5225C9" w14:textId="77777777" w:rsidR="00822D8D" w:rsidRPr="00CA364B" w:rsidRDefault="00822D8D" w:rsidP="00535F81">
      <w:pPr>
        <w:pStyle w:val="Textonotapie"/>
        <w:jc w:val="both"/>
        <w:rPr>
          <w:lang w:val="es-MX"/>
        </w:rPr>
      </w:pPr>
      <w:r>
        <w:rPr>
          <w:rStyle w:val="Refdenotaalpie"/>
        </w:rPr>
        <w:footnoteRef/>
      </w:r>
      <w:r>
        <w:t xml:space="preserve"> Ponencia para primer debate al Proyecto de Acto Legislativo número 01 de 2002, por el cual se adopta una Reforma Política Constitucional y se dictan otras disposiciones, acumulado con el Proyecto de Acto Legislativo número 03 de 2002, por el cual se adopta una Reforma Política Constitucional y el 07 de 2002, por medio del cual se reforman los artículos 107, 109, 112, 113, 134, 171, 176, 258, 264, 266 y 281 de la Constitución Política de Colombia</w:t>
      </w:r>
    </w:p>
  </w:footnote>
  <w:footnote w:id="2">
    <w:p w14:paraId="60807911" w14:textId="77777777" w:rsidR="00822D8D" w:rsidRDefault="00822D8D" w:rsidP="00535F81">
      <w:pPr>
        <w:pStyle w:val="Textonotapie"/>
        <w:jc w:val="both"/>
      </w:pPr>
      <w:r>
        <w:rPr>
          <w:rStyle w:val="Refdenotaalpie"/>
        </w:rPr>
        <w:footnoteRef/>
      </w:r>
      <w:r>
        <w:t xml:space="preserve"> Observatorio Político Electoral de la Democracia &amp; Misión de Observación Electoral-MOE. (2022). Resultados Electorales Congreso 2022. https://bit.ly/3v8zLA3</w:t>
      </w:r>
    </w:p>
  </w:footnote>
  <w:footnote w:id="3">
    <w:p w14:paraId="3BB1747E" w14:textId="77777777" w:rsidR="00822D8D" w:rsidRDefault="00822D8D" w:rsidP="00535F81">
      <w:pPr>
        <w:pStyle w:val="Textonotapie"/>
      </w:pPr>
      <w:r>
        <w:rPr>
          <w:rStyle w:val="Refdenotaalpie"/>
        </w:rPr>
        <w:footnoteRef/>
      </w:r>
      <w:r>
        <w:t xml:space="preserve"> </w:t>
      </w:r>
      <w:r w:rsidRPr="001E2EAD">
        <w:t xml:space="preserve">BERNAL SUÁREZ, Daniel. Análisis político y constitucional de las coaliciones electorales en Colombia: a propósito de la prohibición de doble militancia. [en línea]. Universidad de los Andes, 202474 páginas  </w:t>
      </w:r>
    </w:p>
  </w:footnote>
  <w:footnote w:id="4">
    <w:p w14:paraId="21CECE28" w14:textId="77777777" w:rsidR="00822D8D" w:rsidRPr="0027607D" w:rsidRDefault="00822D8D" w:rsidP="00535F81">
      <w:pPr>
        <w:pStyle w:val="Textonotapie"/>
        <w:jc w:val="both"/>
        <w:rPr>
          <w:lang w:val="es-MX"/>
        </w:rPr>
      </w:pPr>
      <w:r>
        <w:rPr>
          <w:rStyle w:val="Refdenotaalpie"/>
        </w:rPr>
        <w:footnoteRef/>
      </w:r>
      <w:r>
        <w:t xml:space="preserve"> </w:t>
      </w:r>
      <w:r w:rsidRPr="0027607D">
        <w:t>Sobre las modalidades de doble militancia, ver, entre otras: Consejo de Estado, Sección Quinta, sentencia de 21 de octubre de 2021, Rad. 47001-23-33-000-2020-00075-01, MP. Carlos Enrique Moreno Rubio. Sentencia de 14 de octubre de 2021, Rad. 47001-23-33-000-2019-00807-01, MP. Pedro Pablo Vanegas Gil. Sentencia de 26 de agosto de 2021, Rad. 05001-23-33-000-2019-02946-01(</w:t>
      </w:r>
      <w:proofErr w:type="spellStart"/>
      <w:r w:rsidRPr="0027607D">
        <w:t>Acum</w:t>
      </w:r>
      <w:proofErr w:type="spellEnd"/>
      <w:r w:rsidRPr="0027607D">
        <w:t xml:space="preserve">), MP. Rocío </w:t>
      </w:r>
      <w:proofErr w:type="spellStart"/>
      <w:r w:rsidRPr="0027607D">
        <w:t>Araújo</w:t>
      </w:r>
      <w:proofErr w:type="spellEnd"/>
      <w:r w:rsidRPr="0027607D">
        <w:t>. Oñate. Sentencia de 19 de agosto de 2021, Rad. 47001-23-33-000-2019-00808-02.</w:t>
      </w:r>
    </w:p>
  </w:footnote>
  <w:footnote w:id="5">
    <w:p w14:paraId="15C799D8" w14:textId="77777777" w:rsidR="00822D8D" w:rsidRPr="0027607D" w:rsidRDefault="00822D8D" w:rsidP="00535F81">
      <w:pPr>
        <w:pStyle w:val="Textonotapie"/>
        <w:rPr>
          <w:lang w:val="es-MX"/>
        </w:rPr>
      </w:pPr>
      <w:r>
        <w:rPr>
          <w:rStyle w:val="Refdenotaalpie"/>
        </w:rPr>
        <w:footnoteRef/>
      </w:r>
      <w:r>
        <w:t xml:space="preserve"> </w:t>
      </w:r>
      <w:r w:rsidRPr="0027607D">
        <w:t>Consejo de Estado. Sala de lo Contencioso Administrativo. Sección Quinta. Rad. 11001-03-28-000-2018-00032-00. M.P. Carlos Enrique Moreno Rubio. Sentencia de 31 de octubre de 2018.</w:t>
      </w:r>
    </w:p>
  </w:footnote>
  <w:footnote w:id="6">
    <w:p w14:paraId="2565A79F" w14:textId="77777777" w:rsidR="00822D8D" w:rsidRPr="0027607D" w:rsidRDefault="00822D8D" w:rsidP="00535F81">
      <w:pPr>
        <w:pStyle w:val="Textonotapie"/>
        <w:rPr>
          <w:lang w:val="es-MX"/>
        </w:rPr>
      </w:pPr>
      <w:r>
        <w:rPr>
          <w:rStyle w:val="Refdenotaalpie"/>
        </w:rPr>
        <w:footnoteRef/>
      </w:r>
      <w:r>
        <w:t xml:space="preserve"> </w:t>
      </w:r>
    </w:p>
  </w:footnote>
  <w:footnote w:id="7">
    <w:p w14:paraId="47DC426C" w14:textId="77777777" w:rsidR="00822D8D" w:rsidRPr="000217CC" w:rsidRDefault="00822D8D" w:rsidP="00535F81">
      <w:pPr>
        <w:pStyle w:val="Textonotapie"/>
        <w:rPr>
          <w:lang w:val="es-MX"/>
        </w:rPr>
      </w:pPr>
      <w:r>
        <w:rPr>
          <w:rStyle w:val="Refdenotaalpie"/>
        </w:rPr>
        <w:footnoteRef/>
      </w:r>
      <w:r>
        <w:t xml:space="preserve"> </w:t>
      </w:r>
      <w:r w:rsidRPr="000217CC">
        <w:t>Consejo de Estado. Sala de lo Contencioso Administrativo. Sección Quinta. Rad. 52001-23-33-000-2015-00841-01. M.P. Alberto Yepes Barreiro. Sentencia de 24 de noviembre de 2016</w:t>
      </w:r>
    </w:p>
  </w:footnote>
  <w:footnote w:id="8">
    <w:p w14:paraId="67ED03E5" w14:textId="77777777" w:rsidR="00822D8D" w:rsidRPr="00A546A0" w:rsidRDefault="00822D8D" w:rsidP="00535F81">
      <w:pPr>
        <w:pStyle w:val="Textonotapie"/>
        <w:rPr>
          <w:lang w:val="es-MX"/>
        </w:rPr>
      </w:pPr>
      <w:r>
        <w:rPr>
          <w:rStyle w:val="Refdenotaalpie"/>
        </w:rPr>
        <w:footnoteRef/>
      </w:r>
      <w:r>
        <w:t xml:space="preserve"> </w:t>
      </w:r>
      <w:r w:rsidRPr="002A74F8">
        <w:t>Consejo de Estado. Sala de lo Contencioso Administrativo. Sección Quinta.</w:t>
      </w:r>
      <w:r>
        <w:t xml:space="preserve"> Rad 05001-23-33-000-2020-00006-01. MP. Rocío </w:t>
      </w:r>
      <w:proofErr w:type="spellStart"/>
      <w:r>
        <w:t>Araújo</w:t>
      </w:r>
      <w:proofErr w:type="spellEnd"/>
      <w:r>
        <w:t xml:space="preserve"> Oñate, </w:t>
      </w:r>
      <w:r w:rsidRPr="00A546A0">
        <w:t>sentencia del 1° de julio del 2021</w:t>
      </w:r>
      <w:r>
        <w:t>.</w:t>
      </w:r>
    </w:p>
  </w:footnote>
  <w:footnote w:id="9">
    <w:p w14:paraId="0ABB6028" w14:textId="77777777" w:rsidR="00822D8D" w:rsidRPr="002A74F8" w:rsidRDefault="00822D8D" w:rsidP="00535F81">
      <w:pPr>
        <w:pStyle w:val="Textonotapie"/>
        <w:rPr>
          <w:lang w:val="es-MX"/>
        </w:rPr>
      </w:pPr>
      <w:r>
        <w:rPr>
          <w:rStyle w:val="Refdenotaalpie"/>
        </w:rPr>
        <w:footnoteRef/>
      </w:r>
      <w:r>
        <w:t xml:space="preserve"> </w:t>
      </w:r>
      <w:r w:rsidRPr="002A74F8">
        <w:t>Consejo de Estado. Sala de lo Contencioso Administrativo. Sección Quinta. Rad. 52001-23-33- 000-2015-00841-01. M.P. Alberto Yepes Barreiro. Sentencia de 24 de noviembre de 2016.</w:t>
      </w:r>
      <w:r>
        <w:t xml:space="preserve"> </w:t>
      </w:r>
    </w:p>
  </w:footnote>
  <w:footnote w:id="10">
    <w:p w14:paraId="51648A97" w14:textId="77777777" w:rsidR="00822D8D" w:rsidRPr="002A74F8" w:rsidRDefault="00822D8D" w:rsidP="00535F81">
      <w:pPr>
        <w:pStyle w:val="Textonotapie"/>
        <w:rPr>
          <w:lang w:val="es-MX"/>
        </w:rPr>
      </w:pPr>
      <w:r>
        <w:rPr>
          <w:rStyle w:val="Refdenotaalpie"/>
        </w:rPr>
        <w:footnoteRef/>
      </w:r>
      <w:r>
        <w:t xml:space="preserve"> </w:t>
      </w:r>
      <w:r w:rsidRPr="002A74F8">
        <w:t>Consejo de Estado. Sala de lo Contencioso Administrativo. Sección Quinta. Rad. 11001-03-28-000-2018-00032-00. M.P. Carlos Enrique Moreno Rubio. Sentencia de 31 de octubre de 2018.</w:t>
      </w:r>
      <w:r>
        <w:t xml:space="preserve"> </w:t>
      </w:r>
    </w:p>
  </w:footnote>
  <w:footnote w:id="11">
    <w:p w14:paraId="19259534" w14:textId="77777777" w:rsidR="00822D8D" w:rsidRPr="002A74F8" w:rsidRDefault="00822D8D" w:rsidP="00535F81">
      <w:pPr>
        <w:pStyle w:val="Textonotapie"/>
        <w:rPr>
          <w:lang w:val="es-MX"/>
        </w:rPr>
      </w:pPr>
      <w:r>
        <w:rPr>
          <w:rStyle w:val="Refdenotaalpie"/>
        </w:rPr>
        <w:footnoteRef/>
      </w:r>
      <w:r>
        <w:t xml:space="preserve"> </w:t>
      </w:r>
    </w:p>
  </w:footnote>
  <w:footnote w:id="12">
    <w:p w14:paraId="51D9B745" w14:textId="77777777" w:rsidR="00822D8D" w:rsidRPr="002A74F8" w:rsidRDefault="00822D8D" w:rsidP="00535F81">
      <w:pPr>
        <w:pStyle w:val="Textonotapie"/>
        <w:rPr>
          <w:lang w:val="es-MX"/>
        </w:rPr>
      </w:pPr>
      <w:r>
        <w:rPr>
          <w:rStyle w:val="Refdenotaalpie"/>
        </w:rPr>
        <w:footnoteRef/>
      </w:r>
      <w:r>
        <w:t xml:space="preserve"> </w:t>
      </w:r>
      <w:r w:rsidRPr="002A74F8">
        <w:t>Consejo de Estado. Sala de lo Contencioso Administrativo. Sección Quinta. Auto del 2 de junio de 2022. M.P. Luis Alberto Álvarez Parra. Rad. 11001-03-28-000-2022-00057-00.</w:t>
      </w:r>
    </w:p>
  </w:footnote>
  <w:footnote w:id="13">
    <w:p w14:paraId="2858A191" w14:textId="77777777" w:rsidR="00822D8D" w:rsidRPr="008745D3" w:rsidRDefault="00822D8D" w:rsidP="00535F81">
      <w:pPr>
        <w:pStyle w:val="Textonotapie"/>
        <w:rPr>
          <w:lang w:val="es-MX"/>
        </w:rPr>
      </w:pPr>
      <w:r>
        <w:rPr>
          <w:rStyle w:val="Refdenotaalpie"/>
        </w:rPr>
        <w:footnoteRef/>
      </w:r>
      <w:r>
        <w:t xml:space="preserve"> </w:t>
      </w:r>
      <w:r w:rsidRPr="008745D3">
        <w:t>Consejo de Estado, Sala de lo Contencioso Administrativo. Sección Quinta. Sentencia del 20 de junio del 2024. Rad. 05001-23-33-000-2023-01214-01. MP. Pedro Pablo Vanegas Gil.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F82C" w14:textId="77777777" w:rsidR="00822D8D" w:rsidRDefault="00822D8D">
    <w:pPr>
      <w:pStyle w:val="Encabezado"/>
    </w:pPr>
    <w:r>
      <w:rPr>
        <w:noProof/>
        <w:lang w:eastAsia="es-CO"/>
      </w:rPr>
      <w:drawing>
        <wp:anchor distT="0" distB="0" distL="0" distR="0" simplePos="0" relativeHeight="251659264" behindDoc="1" locked="0" layoutInCell="1" hidden="0" allowOverlap="1" wp14:anchorId="7B0BF48A" wp14:editId="14B13BDC">
          <wp:simplePos x="0" y="0"/>
          <wp:positionH relativeFrom="page">
            <wp:align>right</wp:align>
          </wp:positionH>
          <wp:positionV relativeFrom="paragraph">
            <wp:posOffset>-448310</wp:posOffset>
          </wp:positionV>
          <wp:extent cx="7772400" cy="1006140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6140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F39"/>
    <w:multiLevelType w:val="hybridMultilevel"/>
    <w:tmpl w:val="B1B02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D5127"/>
    <w:multiLevelType w:val="hybridMultilevel"/>
    <w:tmpl w:val="0F56D7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9467B"/>
    <w:multiLevelType w:val="multilevel"/>
    <w:tmpl w:val="DFD8DAB0"/>
    <w:lvl w:ilvl="0">
      <w:start w:val="1"/>
      <w:numFmt w:val="decimal"/>
      <w:lvlText w:val="%1."/>
      <w:lvlJc w:val="left"/>
      <w:pPr>
        <w:ind w:left="720" w:hanging="360"/>
      </w:pPr>
      <w:rPr>
        <w:b/>
      </w:rPr>
    </w:lvl>
    <w:lvl w:ilvl="1">
      <w:start w:val="1"/>
      <w:numFmt w:val="decimal"/>
      <w:lvlText w:val="%1.%2."/>
      <w:lvlJc w:val="left"/>
      <w:pPr>
        <w:ind w:left="2160" w:hanging="720"/>
      </w:pPr>
      <w:rPr>
        <w:b/>
        <w:strike w:val="0"/>
        <w:color w:val="000000"/>
      </w:rPr>
    </w:lvl>
    <w:lvl w:ilvl="2">
      <w:start w:val="1"/>
      <w:numFmt w:val="decimal"/>
      <w:lvlText w:val="%1.%2.%3."/>
      <w:lvlJc w:val="left"/>
      <w:pPr>
        <w:ind w:left="3240" w:hanging="720"/>
      </w:pPr>
      <w:rPr>
        <w:color w:val="000000"/>
      </w:rPr>
    </w:lvl>
    <w:lvl w:ilvl="3">
      <w:start w:val="1"/>
      <w:numFmt w:val="decimal"/>
      <w:lvlText w:val="%1.%2.%3.%4."/>
      <w:lvlJc w:val="left"/>
      <w:pPr>
        <w:ind w:left="4680" w:hanging="1080"/>
      </w:pPr>
      <w:rPr>
        <w:color w:val="000000"/>
      </w:rPr>
    </w:lvl>
    <w:lvl w:ilvl="4">
      <w:start w:val="1"/>
      <w:numFmt w:val="decimal"/>
      <w:lvlText w:val="%1.%2.%3.%4.%5."/>
      <w:lvlJc w:val="left"/>
      <w:pPr>
        <w:ind w:left="5760" w:hanging="1080"/>
      </w:pPr>
      <w:rPr>
        <w:color w:val="000000"/>
      </w:rPr>
    </w:lvl>
    <w:lvl w:ilvl="5">
      <w:start w:val="1"/>
      <w:numFmt w:val="decimal"/>
      <w:lvlText w:val="%1.%2.%3.%4.%5.%6."/>
      <w:lvlJc w:val="left"/>
      <w:pPr>
        <w:ind w:left="7200" w:hanging="144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720" w:hanging="1800"/>
      </w:pPr>
      <w:rPr>
        <w:color w:val="000000"/>
      </w:rPr>
    </w:lvl>
    <w:lvl w:ilvl="8">
      <w:start w:val="1"/>
      <w:numFmt w:val="decimal"/>
      <w:lvlText w:val="%1.%2.%3.%4.%5.%6.%7.%8.%9."/>
      <w:lvlJc w:val="left"/>
      <w:pPr>
        <w:ind w:left="11160" w:hanging="2160"/>
      </w:pPr>
      <w:rPr>
        <w:color w:val="000000"/>
      </w:rPr>
    </w:lvl>
  </w:abstractNum>
  <w:abstractNum w:abstractNumId="3" w15:restartNumberingAfterBreak="0">
    <w:nsid w:val="0ECA0E61"/>
    <w:multiLevelType w:val="multilevel"/>
    <w:tmpl w:val="C0389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D48D5"/>
    <w:multiLevelType w:val="hybridMultilevel"/>
    <w:tmpl w:val="99FC083A"/>
    <w:lvl w:ilvl="0" w:tplc="0DDE6E4E">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37233DA"/>
    <w:multiLevelType w:val="multilevel"/>
    <w:tmpl w:val="184C6D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81E87"/>
    <w:multiLevelType w:val="hybridMultilevel"/>
    <w:tmpl w:val="977C0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9C7968"/>
    <w:multiLevelType w:val="hybridMultilevel"/>
    <w:tmpl w:val="C944AF98"/>
    <w:lvl w:ilvl="0" w:tplc="3D7E90B6">
      <w:start w:val="10"/>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EC30E7"/>
    <w:multiLevelType w:val="hybridMultilevel"/>
    <w:tmpl w:val="8CC04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D3505"/>
    <w:multiLevelType w:val="hybridMultilevel"/>
    <w:tmpl w:val="C4C8C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D93FFB"/>
    <w:multiLevelType w:val="multilevel"/>
    <w:tmpl w:val="023C1562"/>
    <w:lvl w:ilvl="0">
      <w:start w:val="5"/>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DC93C15"/>
    <w:multiLevelType w:val="multilevel"/>
    <w:tmpl w:val="EAAA2B02"/>
    <w:lvl w:ilvl="0">
      <w:start w:val="1"/>
      <w:numFmt w:val="decimal"/>
      <w:lvlText w:val="%1."/>
      <w:lvlJc w:val="left"/>
      <w:pPr>
        <w:ind w:left="720" w:hanging="360"/>
      </w:pPr>
    </w:lvl>
    <w:lvl w:ilvl="1">
      <w:start w:val="1"/>
      <w:numFmt w:val="decimal"/>
      <w:isLgl/>
      <w:lvlText w:val="%1.%2."/>
      <w:lvlJc w:val="left"/>
      <w:pPr>
        <w:ind w:left="2160" w:hanging="720"/>
      </w:pPr>
      <w:rPr>
        <w:rFonts w:hint="default"/>
        <w:strike w:val="0"/>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1160" w:hanging="2160"/>
      </w:pPr>
      <w:rPr>
        <w:rFonts w:hint="default"/>
        <w:color w:val="auto"/>
      </w:rPr>
    </w:lvl>
  </w:abstractNum>
  <w:abstractNum w:abstractNumId="13" w15:restartNumberingAfterBreak="0">
    <w:nsid w:val="30932FD3"/>
    <w:multiLevelType w:val="hybridMultilevel"/>
    <w:tmpl w:val="BD40ED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3098C"/>
    <w:multiLevelType w:val="hybridMultilevel"/>
    <w:tmpl w:val="CB24A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5D392D"/>
    <w:multiLevelType w:val="hybridMultilevel"/>
    <w:tmpl w:val="772C52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C12C6E"/>
    <w:multiLevelType w:val="multilevel"/>
    <w:tmpl w:val="66CAB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71172"/>
    <w:multiLevelType w:val="multilevel"/>
    <w:tmpl w:val="5518F7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A1E84"/>
    <w:multiLevelType w:val="multilevel"/>
    <w:tmpl w:val="8926E7CC"/>
    <w:lvl w:ilvl="0">
      <w:start w:val="2"/>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9" w15:restartNumberingAfterBreak="0">
    <w:nsid w:val="44B34A68"/>
    <w:multiLevelType w:val="hybridMultilevel"/>
    <w:tmpl w:val="17D0F66A"/>
    <w:lvl w:ilvl="0" w:tplc="0D28042C">
      <w:start w:val="1"/>
      <w:numFmt w:val="decimal"/>
      <w:lvlText w:val="%1."/>
      <w:lvlJc w:val="left"/>
      <w:pPr>
        <w:ind w:left="720" w:hanging="360"/>
      </w:pPr>
      <w:rPr>
        <w:rFonts w:hint="default"/>
        <w:b/>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D1715C"/>
    <w:multiLevelType w:val="multilevel"/>
    <w:tmpl w:val="3BD60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9DA723D"/>
    <w:multiLevelType w:val="hybridMultilevel"/>
    <w:tmpl w:val="3A6C8BB0"/>
    <w:lvl w:ilvl="0" w:tplc="4718EA6C">
      <w:start w:val="10"/>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157FC8"/>
    <w:multiLevelType w:val="multilevel"/>
    <w:tmpl w:val="F67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44228"/>
    <w:multiLevelType w:val="hybridMultilevel"/>
    <w:tmpl w:val="B9CAFE2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06113D"/>
    <w:multiLevelType w:val="hybridMultilevel"/>
    <w:tmpl w:val="7F7405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112E92"/>
    <w:multiLevelType w:val="multilevel"/>
    <w:tmpl w:val="DC265FB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070B8"/>
    <w:multiLevelType w:val="multilevel"/>
    <w:tmpl w:val="1BEA5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F060EE"/>
    <w:multiLevelType w:val="hybridMultilevel"/>
    <w:tmpl w:val="5FB88CF8"/>
    <w:lvl w:ilvl="0" w:tplc="C4DE24DC">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B884057"/>
    <w:multiLevelType w:val="multilevel"/>
    <w:tmpl w:val="0F78C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FE06C8"/>
    <w:multiLevelType w:val="hybridMultilevel"/>
    <w:tmpl w:val="563499E0"/>
    <w:lvl w:ilvl="0" w:tplc="263C14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993AAC"/>
    <w:multiLevelType w:val="multilevel"/>
    <w:tmpl w:val="4AD2B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74710"/>
    <w:multiLevelType w:val="multilevel"/>
    <w:tmpl w:val="CC30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D16390"/>
    <w:multiLevelType w:val="multilevel"/>
    <w:tmpl w:val="26F4AD9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C1632"/>
    <w:multiLevelType w:val="multilevel"/>
    <w:tmpl w:val="3E92C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C02C9B"/>
    <w:multiLevelType w:val="hybridMultilevel"/>
    <w:tmpl w:val="BBB22030"/>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A2C48"/>
    <w:multiLevelType w:val="multilevel"/>
    <w:tmpl w:val="DEF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E10F7"/>
    <w:multiLevelType w:val="multilevel"/>
    <w:tmpl w:val="17D0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6"/>
  </w:num>
  <w:num w:numId="3">
    <w:abstractNumId w:val="3"/>
  </w:num>
  <w:num w:numId="4">
    <w:abstractNumId w:val="33"/>
  </w:num>
  <w:num w:numId="5">
    <w:abstractNumId w:val="25"/>
  </w:num>
  <w:num w:numId="6">
    <w:abstractNumId w:val="26"/>
  </w:num>
  <w:num w:numId="7">
    <w:abstractNumId w:val="30"/>
  </w:num>
  <w:num w:numId="8">
    <w:abstractNumId w:val="16"/>
  </w:num>
  <w:num w:numId="9">
    <w:abstractNumId w:val="28"/>
  </w:num>
  <w:num w:numId="10">
    <w:abstractNumId w:val="15"/>
  </w:num>
  <w:num w:numId="11">
    <w:abstractNumId w:val="1"/>
  </w:num>
  <w:num w:numId="12">
    <w:abstractNumId w:val="22"/>
  </w:num>
  <w:num w:numId="13">
    <w:abstractNumId w:val="32"/>
  </w:num>
  <w:num w:numId="14">
    <w:abstractNumId w:val="35"/>
  </w:num>
  <w:num w:numId="15">
    <w:abstractNumId w:val="0"/>
  </w:num>
  <w:num w:numId="16">
    <w:abstractNumId w:val="14"/>
  </w:num>
  <w:num w:numId="17">
    <w:abstractNumId w:val="9"/>
  </w:num>
  <w:num w:numId="18">
    <w:abstractNumId w:val="11"/>
  </w:num>
  <w:num w:numId="19">
    <w:abstractNumId w:val="5"/>
  </w:num>
  <w:num w:numId="20">
    <w:abstractNumId w:val="23"/>
  </w:num>
  <w:num w:numId="21">
    <w:abstractNumId w:val="7"/>
  </w:num>
  <w:num w:numId="22">
    <w:abstractNumId w:val="8"/>
  </w:num>
  <w:num w:numId="23">
    <w:abstractNumId w:val="19"/>
  </w:num>
  <w:num w:numId="24">
    <w:abstractNumId w:val="18"/>
  </w:num>
  <w:num w:numId="25">
    <w:abstractNumId w:val="29"/>
  </w:num>
  <w:num w:numId="26">
    <w:abstractNumId w:val="10"/>
  </w:num>
  <w:num w:numId="27">
    <w:abstractNumId w:val="17"/>
  </w:num>
  <w:num w:numId="28">
    <w:abstractNumId w:val="4"/>
  </w:num>
  <w:num w:numId="29">
    <w:abstractNumId w:val="24"/>
  </w:num>
  <w:num w:numId="30">
    <w:abstractNumId w:val="34"/>
  </w:num>
  <w:num w:numId="31">
    <w:abstractNumId w:val="6"/>
  </w:num>
  <w:num w:numId="32">
    <w:abstractNumId w:val="20"/>
  </w:num>
  <w:num w:numId="33">
    <w:abstractNumId w:val="27"/>
  </w:num>
  <w:num w:numId="34">
    <w:abstractNumId w:val="21"/>
  </w:num>
  <w:num w:numId="35">
    <w:abstractNumId w:val="12"/>
  </w:num>
  <w:num w:numId="36">
    <w:abstractNumId w:val="1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E1"/>
    <w:rsid w:val="00001999"/>
    <w:rsid w:val="00012087"/>
    <w:rsid w:val="000210A1"/>
    <w:rsid w:val="00036909"/>
    <w:rsid w:val="00046AC4"/>
    <w:rsid w:val="0006026D"/>
    <w:rsid w:val="0006255F"/>
    <w:rsid w:val="00067702"/>
    <w:rsid w:val="0007068A"/>
    <w:rsid w:val="00121EE5"/>
    <w:rsid w:val="00135A61"/>
    <w:rsid w:val="001614D1"/>
    <w:rsid w:val="00190787"/>
    <w:rsid w:val="00192B09"/>
    <w:rsid w:val="001C3216"/>
    <w:rsid w:val="001D11C2"/>
    <w:rsid w:val="001D47BA"/>
    <w:rsid w:val="0021380F"/>
    <w:rsid w:val="002977D3"/>
    <w:rsid w:val="002A4BB4"/>
    <w:rsid w:val="002A76B6"/>
    <w:rsid w:val="002D406A"/>
    <w:rsid w:val="00350916"/>
    <w:rsid w:val="00381332"/>
    <w:rsid w:val="003B0340"/>
    <w:rsid w:val="003C5964"/>
    <w:rsid w:val="003D5C02"/>
    <w:rsid w:val="003F6B60"/>
    <w:rsid w:val="00403EF9"/>
    <w:rsid w:val="00415EC2"/>
    <w:rsid w:val="00432F0D"/>
    <w:rsid w:val="00447DEC"/>
    <w:rsid w:val="004851E1"/>
    <w:rsid w:val="004C6F03"/>
    <w:rsid w:val="004E3F83"/>
    <w:rsid w:val="004F478D"/>
    <w:rsid w:val="0050762E"/>
    <w:rsid w:val="00535F81"/>
    <w:rsid w:val="00536B48"/>
    <w:rsid w:val="00582B43"/>
    <w:rsid w:val="00601332"/>
    <w:rsid w:val="00630FE5"/>
    <w:rsid w:val="0065591B"/>
    <w:rsid w:val="006A08CA"/>
    <w:rsid w:val="006A71B9"/>
    <w:rsid w:val="006B6AC9"/>
    <w:rsid w:val="006C2523"/>
    <w:rsid w:val="006F4BC0"/>
    <w:rsid w:val="0071419D"/>
    <w:rsid w:val="00762603"/>
    <w:rsid w:val="007C59E2"/>
    <w:rsid w:val="007D036D"/>
    <w:rsid w:val="007F33EF"/>
    <w:rsid w:val="007F6118"/>
    <w:rsid w:val="00822D8D"/>
    <w:rsid w:val="0083751E"/>
    <w:rsid w:val="0086023E"/>
    <w:rsid w:val="008A6B07"/>
    <w:rsid w:val="008A731C"/>
    <w:rsid w:val="008C5E5E"/>
    <w:rsid w:val="00932BD4"/>
    <w:rsid w:val="0093758D"/>
    <w:rsid w:val="00977DD6"/>
    <w:rsid w:val="009922E9"/>
    <w:rsid w:val="00992AAF"/>
    <w:rsid w:val="009D5945"/>
    <w:rsid w:val="00A45B19"/>
    <w:rsid w:val="00A539BD"/>
    <w:rsid w:val="00A5575F"/>
    <w:rsid w:val="00A70AF3"/>
    <w:rsid w:val="00A7655A"/>
    <w:rsid w:val="00A815E5"/>
    <w:rsid w:val="00A81BB3"/>
    <w:rsid w:val="00AD3892"/>
    <w:rsid w:val="00AD53B0"/>
    <w:rsid w:val="00AE1464"/>
    <w:rsid w:val="00AE20E2"/>
    <w:rsid w:val="00AF2CDA"/>
    <w:rsid w:val="00AF5CA2"/>
    <w:rsid w:val="00AF7F6C"/>
    <w:rsid w:val="00B01381"/>
    <w:rsid w:val="00B14CE5"/>
    <w:rsid w:val="00B7411D"/>
    <w:rsid w:val="00B80ED7"/>
    <w:rsid w:val="00B814DA"/>
    <w:rsid w:val="00B8633B"/>
    <w:rsid w:val="00BB5182"/>
    <w:rsid w:val="00C2123D"/>
    <w:rsid w:val="00C57021"/>
    <w:rsid w:val="00C61684"/>
    <w:rsid w:val="00C9018C"/>
    <w:rsid w:val="00CB3C95"/>
    <w:rsid w:val="00D039D8"/>
    <w:rsid w:val="00D17417"/>
    <w:rsid w:val="00D633AD"/>
    <w:rsid w:val="00D96236"/>
    <w:rsid w:val="00DA468C"/>
    <w:rsid w:val="00DC1DBD"/>
    <w:rsid w:val="00DC7A20"/>
    <w:rsid w:val="00DE1BBD"/>
    <w:rsid w:val="00DF0F9D"/>
    <w:rsid w:val="00E1515E"/>
    <w:rsid w:val="00E92931"/>
    <w:rsid w:val="00E978C7"/>
    <w:rsid w:val="00EE5903"/>
    <w:rsid w:val="00EF2950"/>
    <w:rsid w:val="00F06CDE"/>
    <w:rsid w:val="00F54DAB"/>
    <w:rsid w:val="00FA68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9B3A"/>
  <w15:chartTrackingRefBased/>
  <w15:docId w15:val="{B55196EE-2AF1-4F05-BECE-46C4EAF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81"/>
    <w:rPr>
      <w:kern w:val="2"/>
      <w14:ligatures w14:val="standardContextual"/>
    </w:rPr>
  </w:style>
  <w:style w:type="paragraph" w:styleId="Ttulo2">
    <w:name w:val="heading 2"/>
    <w:basedOn w:val="Normal"/>
    <w:next w:val="Normal"/>
    <w:link w:val="Ttulo2Car"/>
    <w:uiPriority w:val="9"/>
    <w:unhideWhenUsed/>
    <w:qFormat/>
    <w:rsid w:val="00AD53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9922E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51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851E1"/>
    <w:rPr>
      <w:b/>
      <w:bCs/>
    </w:rPr>
  </w:style>
  <w:style w:type="character" w:styleId="Hipervnculo">
    <w:name w:val="Hyperlink"/>
    <w:basedOn w:val="Fuentedeprrafopredeter"/>
    <w:uiPriority w:val="99"/>
    <w:unhideWhenUsed/>
    <w:rsid w:val="004851E1"/>
    <w:rPr>
      <w:color w:val="0000FF"/>
      <w:u w:val="single"/>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4851E1"/>
    <w:pPr>
      <w:ind w:left="720"/>
      <w:contextualSpacing/>
    </w:pPr>
  </w:style>
  <w:style w:type="character" w:styleId="nfasis">
    <w:name w:val="Emphasis"/>
    <w:basedOn w:val="Fuentedeprrafopredeter"/>
    <w:uiPriority w:val="20"/>
    <w:qFormat/>
    <w:rsid w:val="006C2523"/>
    <w:rPr>
      <w:i/>
      <w:iCs/>
    </w:rPr>
  </w:style>
  <w:style w:type="paragraph" w:styleId="Encabezado">
    <w:name w:val="header"/>
    <w:basedOn w:val="Normal"/>
    <w:link w:val="EncabezadoCar"/>
    <w:uiPriority w:val="99"/>
    <w:unhideWhenUsed/>
    <w:rsid w:val="006F4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BC0"/>
  </w:style>
  <w:style w:type="paragraph" w:styleId="Piedepgina">
    <w:name w:val="footer"/>
    <w:basedOn w:val="Normal"/>
    <w:link w:val="PiedepginaCar"/>
    <w:uiPriority w:val="99"/>
    <w:unhideWhenUsed/>
    <w:rsid w:val="006F4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BC0"/>
  </w:style>
  <w:style w:type="paragraph" w:styleId="Textonotapie">
    <w:name w:val="footnote text"/>
    <w:basedOn w:val="Normal"/>
    <w:link w:val="TextonotapieCar"/>
    <w:uiPriority w:val="99"/>
    <w:semiHidden/>
    <w:unhideWhenUsed/>
    <w:rsid w:val="002A4B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4BB4"/>
    <w:rPr>
      <w:sz w:val="20"/>
      <w:szCs w:val="20"/>
    </w:rPr>
  </w:style>
  <w:style w:type="character" w:styleId="Refdenotaalpie">
    <w:name w:val="footnote reference"/>
    <w:basedOn w:val="Fuentedeprrafopredeter"/>
    <w:uiPriority w:val="99"/>
    <w:semiHidden/>
    <w:unhideWhenUsed/>
    <w:rsid w:val="002A4BB4"/>
    <w:rPr>
      <w:vertAlign w:val="superscript"/>
    </w:rPr>
  </w:style>
  <w:style w:type="table" w:styleId="Tablaconcuadrcula">
    <w:name w:val="Table Grid"/>
    <w:basedOn w:val="Tablanormal"/>
    <w:uiPriority w:val="39"/>
    <w:rsid w:val="007F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922E9"/>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rsid w:val="00AD53B0"/>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unhideWhenUsed/>
    <w:rsid w:val="008A6B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A6B07"/>
    <w:rPr>
      <w:rFonts w:ascii="Segoe UI" w:hAnsi="Segoe UI" w:cs="Segoe UI"/>
      <w:sz w:val="18"/>
      <w:szCs w:val="18"/>
    </w:rPr>
  </w:style>
  <w:style w:type="paragraph" w:styleId="Sinespaciado">
    <w:name w:val="No Spacing"/>
    <w:uiPriority w:val="1"/>
    <w:qFormat/>
    <w:rsid w:val="00A815E5"/>
    <w:pPr>
      <w:spacing w:after="0" w:line="240" w:lineRule="auto"/>
    </w:pPr>
    <w:rPr>
      <w:rFonts w:ascii="Calibri" w:eastAsia="Calibri" w:hAnsi="Calibri" w:cs="Calibri"/>
      <w:lang w:eastAsia="es-CO"/>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53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5835">
      <w:bodyDiv w:val="1"/>
      <w:marLeft w:val="0"/>
      <w:marRight w:val="0"/>
      <w:marTop w:val="0"/>
      <w:marBottom w:val="0"/>
      <w:divBdr>
        <w:top w:val="none" w:sz="0" w:space="0" w:color="auto"/>
        <w:left w:val="none" w:sz="0" w:space="0" w:color="auto"/>
        <w:bottom w:val="none" w:sz="0" w:space="0" w:color="auto"/>
        <w:right w:val="none" w:sz="0" w:space="0" w:color="auto"/>
      </w:divBdr>
    </w:div>
    <w:div w:id="119227584">
      <w:bodyDiv w:val="1"/>
      <w:marLeft w:val="0"/>
      <w:marRight w:val="0"/>
      <w:marTop w:val="0"/>
      <w:marBottom w:val="0"/>
      <w:divBdr>
        <w:top w:val="none" w:sz="0" w:space="0" w:color="auto"/>
        <w:left w:val="none" w:sz="0" w:space="0" w:color="auto"/>
        <w:bottom w:val="none" w:sz="0" w:space="0" w:color="auto"/>
        <w:right w:val="none" w:sz="0" w:space="0" w:color="auto"/>
      </w:divBdr>
      <w:divsChild>
        <w:div w:id="166100848">
          <w:marLeft w:val="0"/>
          <w:marRight w:val="0"/>
          <w:marTop w:val="0"/>
          <w:marBottom w:val="0"/>
          <w:divBdr>
            <w:top w:val="none" w:sz="0" w:space="0" w:color="auto"/>
            <w:left w:val="none" w:sz="0" w:space="0" w:color="auto"/>
            <w:bottom w:val="none" w:sz="0" w:space="0" w:color="auto"/>
            <w:right w:val="none" w:sz="0" w:space="0" w:color="auto"/>
          </w:divBdr>
        </w:div>
        <w:div w:id="1258520125">
          <w:marLeft w:val="0"/>
          <w:marRight w:val="0"/>
          <w:marTop w:val="0"/>
          <w:marBottom w:val="0"/>
          <w:divBdr>
            <w:top w:val="none" w:sz="0" w:space="0" w:color="auto"/>
            <w:left w:val="none" w:sz="0" w:space="0" w:color="auto"/>
            <w:bottom w:val="none" w:sz="0" w:space="0" w:color="auto"/>
            <w:right w:val="none" w:sz="0" w:space="0" w:color="auto"/>
          </w:divBdr>
          <w:divsChild>
            <w:div w:id="1489976049">
              <w:marLeft w:val="0"/>
              <w:marRight w:val="0"/>
              <w:marTop w:val="0"/>
              <w:marBottom w:val="0"/>
              <w:divBdr>
                <w:top w:val="none" w:sz="0" w:space="0" w:color="auto"/>
                <w:left w:val="none" w:sz="0" w:space="0" w:color="auto"/>
                <w:bottom w:val="none" w:sz="0" w:space="0" w:color="auto"/>
                <w:right w:val="none" w:sz="0" w:space="0" w:color="auto"/>
              </w:divBdr>
              <w:divsChild>
                <w:div w:id="4191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4902">
      <w:bodyDiv w:val="1"/>
      <w:marLeft w:val="0"/>
      <w:marRight w:val="0"/>
      <w:marTop w:val="0"/>
      <w:marBottom w:val="0"/>
      <w:divBdr>
        <w:top w:val="none" w:sz="0" w:space="0" w:color="auto"/>
        <w:left w:val="none" w:sz="0" w:space="0" w:color="auto"/>
        <w:bottom w:val="none" w:sz="0" w:space="0" w:color="auto"/>
        <w:right w:val="none" w:sz="0" w:space="0" w:color="auto"/>
      </w:divBdr>
    </w:div>
    <w:div w:id="220290824">
      <w:bodyDiv w:val="1"/>
      <w:marLeft w:val="0"/>
      <w:marRight w:val="0"/>
      <w:marTop w:val="0"/>
      <w:marBottom w:val="0"/>
      <w:divBdr>
        <w:top w:val="none" w:sz="0" w:space="0" w:color="auto"/>
        <w:left w:val="none" w:sz="0" w:space="0" w:color="auto"/>
        <w:bottom w:val="none" w:sz="0" w:space="0" w:color="auto"/>
        <w:right w:val="none" w:sz="0" w:space="0" w:color="auto"/>
      </w:divBdr>
    </w:div>
    <w:div w:id="252477066">
      <w:bodyDiv w:val="1"/>
      <w:marLeft w:val="0"/>
      <w:marRight w:val="0"/>
      <w:marTop w:val="0"/>
      <w:marBottom w:val="0"/>
      <w:divBdr>
        <w:top w:val="none" w:sz="0" w:space="0" w:color="auto"/>
        <w:left w:val="none" w:sz="0" w:space="0" w:color="auto"/>
        <w:bottom w:val="none" w:sz="0" w:space="0" w:color="auto"/>
        <w:right w:val="none" w:sz="0" w:space="0" w:color="auto"/>
      </w:divBdr>
    </w:div>
    <w:div w:id="283968745">
      <w:bodyDiv w:val="1"/>
      <w:marLeft w:val="0"/>
      <w:marRight w:val="0"/>
      <w:marTop w:val="0"/>
      <w:marBottom w:val="0"/>
      <w:divBdr>
        <w:top w:val="none" w:sz="0" w:space="0" w:color="auto"/>
        <w:left w:val="none" w:sz="0" w:space="0" w:color="auto"/>
        <w:bottom w:val="none" w:sz="0" w:space="0" w:color="auto"/>
        <w:right w:val="none" w:sz="0" w:space="0" w:color="auto"/>
      </w:divBdr>
    </w:div>
    <w:div w:id="300238006">
      <w:bodyDiv w:val="1"/>
      <w:marLeft w:val="0"/>
      <w:marRight w:val="0"/>
      <w:marTop w:val="0"/>
      <w:marBottom w:val="0"/>
      <w:divBdr>
        <w:top w:val="none" w:sz="0" w:space="0" w:color="auto"/>
        <w:left w:val="none" w:sz="0" w:space="0" w:color="auto"/>
        <w:bottom w:val="none" w:sz="0" w:space="0" w:color="auto"/>
        <w:right w:val="none" w:sz="0" w:space="0" w:color="auto"/>
      </w:divBdr>
    </w:div>
    <w:div w:id="757285950">
      <w:bodyDiv w:val="1"/>
      <w:marLeft w:val="0"/>
      <w:marRight w:val="0"/>
      <w:marTop w:val="0"/>
      <w:marBottom w:val="0"/>
      <w:divBdr>
        <w:top w:val="none" w:sz="0" w:space="0" w:color="auto"/>
        <w:left w:val="none" w:sz="0" w:space="0" w:color="auto"/>
        <w:bottom w:val="none" w:sz="0" w:space="0" w:color="auto"/>
        <w:right w:val="none" w:sz="0" w:space="0" w:color="auto"/>
      </w:divBdr>
    </w:div>
    <w:div w:id="1015035082">
      <w:bodyDiv w:val="1"/>
      <w:marLeft w:val="0"/>
      <w:marRight w:val="0"/>
      <w:marTop w:val="0"/>
      <w:marBottom w:val="0"/>
      <w:divBdr>
        <w:top w:val="none" w:sz="0" w:space="0" w:color="auto"/>
        <w:left w:val="none" w:sz="0" w:space="0" w:color="auto"/>
        <w:bottom w:val="none" w:sz="0" w:space="0" w:color="auto"/>
        <w:right w:val="none" w:sz="0" w:space="0" w:color="auto"/>
      </w:divBdr>
    </w:div>
    <w:div w:id="1030568868">
      <w:bodyDiv w:val="1"/>
      <w:marLeft w:val="0"/>
      <w:marRight w:val="0"/>
      <w:marTop w:val="0"/>
      <w:marBottom w:val="0"/>
      <w:divBdr>
        <w:top w:val="none" w:sz="0" w:space="0" w:color="auto"/>
        <w:left w:val="none" w:sz="0" w:space="0" w:color="auto"/>
        <w:bottom w:val="none" w:sz="0" w:space="0" w:color="auto"/>
        <w:right w:val="none" w:sz="0" w:space="0" w:color="auto"/>
      </w:divBdr>
    </w:div>
    <w:div w:id="1184829141">
      <w:bodyDiv w:val="1"/>
      <w:marLeft w:val="0"/>
      <w:marRight w:val="0"/>
      <w:marTop w:val="0"/>
      <w:marBottom w:val="0"/>
      <w:divBdr>
        <w:top w:val="none" w:sz="0" w:space="0" w:color="auto"/>
        <w:left w:val="none" w:sz="0" w:space="0" w:color="auto"/>
        <w:bottom w:val="none" w:sz="0" w:space="0" w:color="auto"/>
        <w:right w:val="none" w:sz="0" w:space="0" w:color="auto"/>
      </w:divBdr>
    </w:div>
    <w:div w:id="1205099498">
      <w:bodyDiv w:val="1"/>
      <w:marLeft w:val="0"/>
      <w:marRight w:val="0"/>
      <w:marTop w:val="0"/>
      <w:marBottom w:val="0"/>
      <w:divBdr>
        <w:top w:val="none" w:sz="0" w:space="0" w:color="auto"/>
        <w:left w:val="none" w:sz="0" w:space="0" w:color="auto"/>
        <w:bottom w:val="none" w:sz="0" w:space="0" w:color="auto"/>
        <w:right w:val="none" w:sz="0" w:space="0" w:color="auto"/>
      </w:divBdr>
    </w:div>
    <w:div w:id="1269432907">
      <w:bodyDiv w:val="1"/>
      <w:marLeft w:val="0"/>
      <w:marRight w:val="0"/>
      <w:marTop w:val="0"/>
      <w:marBottom w:val="0"/>
      <w:divBdr>
        <w:top w:val="none" w:sz="0" w:space="0" w:color="auto"/>
        <w:left w:val="none" w:sz="0" w:space="0" w:color="auto"/>
        <w:bottom w:val="none" w:sz="0" w:space="0" w:color="auto"/>
        <w:right w:val="none" w:sz="0" w:space="0" w:color="auto"/>
      </w:divBdr>
    </w:div>
    <w:div w:id="1352535612">
      <w:bodyDiv w:val="1"/>
      <w:marLeft w:val="0"/>
      <w:marRight w:val="0"/>
      <w:marTop w:val="0"/>
      <w:marBottom w:val="0"/>
      <w:divBdr>
        <w:top w:val="none" w:sz="0" w:space="0" w:color="auto"/>
        <w:left w:val="none" w:sz="0" w:space="0" w:color="auto"/>
        <w:bottom w:val="none" w:sz="0" w:space="0" w:color="auto"/>
        <w:right w:val="none" w:sz="0" w:space="0" w:color="auto"/>
      </w:divBdr>
    </w:div>
    <w:div w:id="1413241521">
      <w:bodyDiv w:val="1"/>
      <w:marLeft w:val="0"/>
      <w:marRight w:val="0"/>
      <w:marTop w:val="0"/>
      <w:marBottom w:val="0"/>
      <w:divBdr>
        <w:top w:val="none" w:sz="0" w:space="0" w:color="auto"/>
        <w:left w:val="none" w:sz="0" w:space="0" w:color="auto"/>
        <w:bottom w:val="none" w:sz="0" w:space="0" w:color="auto"/>
        <w:right w:val="none" w:sz="0" w:space="0" w:color="auto"/>
      </w:divBdr>
    </w:div>
    <w:div w:id="1488671539">
      <w:bodyDiv w:val="1"/>
      <w:marLeft w:val="0"/>
      <w:marRight w:val="0"/>
      <w:marTop w:val="0"/>
      <w:marBottom w:val="0"/>
      <w:divBdr>
        <w:top w:val="none" w:sz="0" w:space="0" w:color="auto"/>
        <w:left w:val="none" w:sz="0" w:space="0" w:color="auto"/>
        <w:bottom w:val="none" w:sz="0" w:space="0" w:color="auto"/>
        <w:right w:val="none" w:sz="0" w:space="0" w:color="auto"/>
      </w:divBdr>
    </w:div>
    <w:div w:id="1574579614">
      <w:bodyDiv w:val="1"/>
      <w:marLeft w:val="0"/>
      <w:marRight w:val="0"/>
      <w:marTop w:val="0"/>
      <w:marBottom w:val="0"/>
      <w:divBdr>
        <w:top w:val="none" w:sz="0" w:space="0" w:color="auto"/>
        <w:left w:val="none" w:sz="0" w:space="0" w:color="auto"/>
        <w:bottom w:val="none" w:sz="0" w:space="0" w:color="auto"/>
        <w:right w:val="none" w:sz="0" w:space="0" w:color="auto"/>
      </w:divBdr>
    </w:div>
    <w:div w:id="1723285403">
      <w:bodyDiv w:val="1"/>
      <w:marLeft w:val="0"/>
      <w:marRight w:val="0"/>
      <w:marTop w:val="0"/>
      <w:marBottom w:val="0"/>
      <w:divBdr>
        <w:top w:val="none" w:sz="0" w:space="0" w:color="auto"/>
        <w:left w:val="none" w:sz="0" w:space="0" w:color="auto"/>
        <w:bottom w:val="none" w:sz="0" w:space="0" w:color="auto"/>
        <w:right w:val="none" w:sz="0" w:space="0" w:color="auto"/>
      </w:divBdr>
      <w:divsChild>
        <w:div w:id="1523784662">
          <w:marLeft w:val="0"/>
          <w:marRight w:val="0"/>
          <w:marTop w:val="0"/>
          <w:marBottom w:val="0"/>
          <w:divBdr>
            <w:top w:val="none" w:sz="0" w:space="0" w:color="auto"/>
            <w:left w:val="none" w:sz="0" w:space="0" w:color="auto"/>
            <w:bottom w:val="none" w:sz="0" w:space="0" w:color="auto"/>
            <w:right w:val="none" w:sz="0" w:space="0" w:color="auto"/>
          </w:divBdr>
          <w:divsChild>
            <w:div w:id="418405752">
              <w:marLeft w:val="0"/>
              <w:marRight w:val="0"/>
              <w:marTop w:val="0"/>
              <w:marBottom w:val="0"/>
              <w:divBdr>
                <w:top w:val="none" w:sz="0" w:space="0" w:color="auto"/>
                <w:left w:val="none" w:sz="0" w:space="0" w:color="auto"/>
                <w:bottom w:val="none" w:sz="0" w:space="0" w:color="auto"/>
                <w:right w:val="none" w:sz="0" w:space="0" w:color="auto"/>
              </w:divBdr>
              <w:divsChild>
                <w:div w:id="824515910">
                  <w:marLeft w:val="0"/>
                  <w:marRight w:val="0"/>
                  <w:marTop w:val="0"/>
                  <w:marBottom w:val="0"/>
                  <w:divBdr>
                    <w:top w:val="none" w:sz="0" w:space="0" w:color="auto"/>
                    <w:left w:val="none" w:sz="0" w:space="0" w:color="auto"/>
                    <w:bottom w:val="none" w:sz="0" w:space="0" w:color="auto"/>
                    <w:right w:val="none" w:sz="0" w:space="0" w:color="auto"/>
                  </w:divBdr>
                  <w:divsChild>
                    <w:div w:id="1642660979">
                      <w:marLeft w:val="0"/>
                      <w:marRight w:val="0"/>
                      <w:marTop w:val="0"/>
                      <w:marBottom w:val="0"/>
                      <w:divBdr>
                        <w:top w:val="none" w:sz="0" w:space="0" w:color="auto"/>
                        <w:left w:val="none" w:sz="0" w:space="0" w:color="auto"/>
                        <w:bottom w:val="none" w:sz="0" w:space="0" w:color="auto"/>
                        <w:right w:val="none" w:sz="0" w:space="0" w:color="auto"/>
                      </w:divBdr>
                      <w:divsChild>
                        <w:div w:id="1511289079">
                          <w:marLeft w:val="0"/>
                          <w:marRight w:val="0"/>
                          <w:marTop w:val="0"/>
                          <w:marBottom w:val="0"/>
                          <w:divBdr>
                            <w:top w:val="none" w:sz="0" w:space="0" w:color="auto"/>
                            <w:left w:val="none" w:sz="0" w:space="0" w:color="auto"/>
                            <w:bottom w:val="none" w:sz="0" w:space="0" w:color="auto"/>
                            <w:right w:val="none" w:sz="0" w:space="0" w:color="auto"/>
                          </w:divBdr>
                          <w:divsChild>
                            <w:div w:id="777220260">
                              <w:marLeft w:val="0"/>
                              <w:marRight w:val="0"/>
                              <w:marTop w:val="0"/>
                              <w:marBottom w:val="0"/>
                              <w:divBdr>
                                <w:top w:val="none" w:sz="0" w:space="0" w:color="auto"/>
                                <w:left w:val="none" w:sz="0" w:space="0" w:color="auto"/>
                                <w:bottom w:val="none" w:sz="0" w:space="0" w:color="auto"/>
                                <w:right w:val="none" w:sz="0" w:space="0" w:color="auto"/>
                              </w:divBdr>
                              <w:divsChild>
                                <w:div w:id="1932661636">
                                  <w:marLeft w:val="0"/>
                                  <w:marRight w:val="0"/>
                                  <w:marTop w:val="0"/>
                                  <w:marBottom w:val="0"/>
                                  <w:divBdr>
                                    <w:top w:val="none" w:sz="0" w:space="0" w:color="auto"/>
                                    <w:left w:val="none" w:sz="0" w:space="0" w:color="auto"/>
                                    <w:bottom w:val="none" w:sz="0" w:space="0" w:color="auto"/>
                                    <w:right w:val="none" w:sz="0" w:space="0" w:color="auto"/>
                                  </w:divBdr>
                                  <w:divsChild>
                                    <w:div w:id="7191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22933">
      <w:bodyDiv w:val="1"/>
      <w:marLeft w:val="0"/>
      <w:marRight w:val="0"/>
      <w:marTop w:val="0"/>
      <w:marBottom w:val="0"/>
      <w:divBdr>
        <w:top w:val="none" w:sz="0" w:space="0" w:color="auto"/>
        <w:left w:val="none" w:sz="0" w:space="0" w:color="auto"/>
        <w:bottom w:val="none" w:sz="0" w:space="0" w:color="auto"/>
        <w:right w:val="none" w:sz="0" w:space="0" w:color="auto"/>
      </w:divBdr>
    </w:div>
    <w:div w:id="1772696404">
      <w:bodyDiv w:val="1"/>
      <w:marLeft w:val="0"/>
      <w:marRight w:val="0"/>
      <w:marTop w:val="0"/>
      <w:marBottom w:val="0"/>
      <w:divBdr>
        <w:top w:val="none" w:sz="0" w:space="0" w:color="auto"/>
        <w:left w:val="none" w:sz="0" w:space="0" w:color="auto"/>
        <w:bottom w:val="none" w:sz="0" w:space="0" w:color="auto"/>
        <w:right w:val="none" w:sz="0" w:space="0" w:color="auto"/>
      </w:divBdr>
    </w:div>
    <w:div w:id="1787192893">
      <w:bodyDiv w:val="1"/>
      <w:marLeft w:val="0"/>
      <w:marRight w:val="0"/>
      <w:marTop w:val="0"/>
      <w:marBottom w:val="0"/>
      <w:divBdr>
        <w:top w:val="none" w:sz="0" w:space="0" w:color="auto"/>
        <w:left w:val="none" w:sz="0" w:space="0" w:color="auto"/>
        <w:bottom w:val="none" w:sz="0" w:space="0" w:color="auto"/>
        <w:right w:val="none" w:sz="0" w:space="0" w:color="auto"/>
      </w:divBdr>
    </w:div>
    <w:div w:id="18553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v8zLA3"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it.ly/3v8zLA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546E-2079-4B92-A3ED-71212CB0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16681</Words>
  <Characters>91748</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Estefanía Vidales Prieto</dc:creator>
  <cp:keywords/>
  <dc:description/>
  <cp:lastModifiedBy>Katerine Estefanía Vidales Prieto</cp:lastModifiedBy>
  <cp:revision>2</cp:revision>
  <dcterms:created xsi:type="dcterms:W3CDTF">2025-09-03T17:27:00Z</dcterms:created>
  <dcterms:modified xsi:type="dcterms:W3CDTF">2025-09-03T17:27:00Z</dcterms:modified>
</cp:coreProperties>
</file>