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7C4EF2" w14:textId="5A8913C8" w:rsidR="002F27C6" w:rsidRPr="006A13F9" w:rsidRDefault="002F27C6" w:rsidP="002F27C6">
      <w:pPr>
        <w:spacing w:line="276" w:lineRule="auto"/>
        <w:jc w:val="both"/>
        <w:rPr>
          <w:rFonts w:ascii="Bookman Old Style" w:hAnsi="Bookman Old Style"/>
          <w:lang w:val="es-ES_tradnl"/>
        </w:rPr>
      </w:pPr>
      <w:bookmarkStart w:id="0" w:name="_Hlk105662342"/>
      <w:r w:rsidRPr="006A13F9">
        <w:rPr>
          <w:rFonts w:ascii="Bookman Old Style" w:hAnsi="Bookman Old Style"/>
          <w:lang w:val="es-ES_tradnl"/>
        </w:rPr>
        <w:t xml:space="preserve">Bogotá D.C., </w:t>
      </w:r>
      <w:r w:rsidR="005A5536">
        <w:rPr>
          <w:rFonts w:ascii="Bookman Old Style" w:hAnsi="Bookman Old Style"/>
          <w:lang w:val="es-ES_tradnl"/>
        </w:rPr>
        <w:t>septiembre</w:t>
      </w:r>
      <w:r w:rsidR="005B6E1D" w:rsidRPr="006A13F9">
        <w:rPr>
          <w:rFonts w:ascii="Bookman Old Style" w:hAnsi="Bookman Old Style"/>
          <w:lang w:val="es-ES_tradnl"/>
        </w:rPr>
        <w:t xml:space="preserve"> de</w:t>
      </w:r>
      <w:r w:rsidRPr="006A13F9">
        <w:rPr>
          <w:rFonts w:ascii="Bookman Old Style" w:hAnsi="Bookman Old Style"/>
          <w:lang w:val="es-ES_tradnl"/>
        </w:rPr>
        <w:t xml:space="preserve"> 2025</w:t>
      </w:r>
    </w:p>
    <w:p w14:paraId="73ED5302" w14:textId="77777777" w:rsidR="002F27C6" w:rsidRPr="006A13F9" w:rsidRDefault="002F27C6" w:rsidP="002F27C6">
      <w:pPr>
        <w:pStyle w:val="Normal0"/>
        <w:rPr>
          <w:rFonts w:ascii="Bookman Old Style" w:hAnsi="Bookman Old Style" w:cs="Calibri"/>
          <w:sz w:val="24"/>
          <w:szCs w:val="24"/>
        </w:rPr>
      </w:pPr>
    </w:p>
    <w:p w14:paraId="72965D4C" w14:textId="77777777" w:rsidR="002F27C6" w:rsidRPr="006A13F9" w:rsidRDefault="002F27C6" w:rsidP="002F27C6">
      <w:pPr>
        <w:pStyle w:val="Normal0"/>
        <w:rPr>
          <w:rFonts w:ascii="Bookman Old Style" w:hAnsi="Bookman Old Style" w:cs="Calibri"/>
          <w:sz w:val="24"/>
          <w:szCs w:val="24"/>
        </w:rPr>
      </w:pPr>
    </w:p>
    <w:p w14:paraId="0D862A44" w14:textId="77777777" w:rsidR="002F27C6" w:rsidRPr="006A13F9" w:rsidRDefault="002F27C6" w:rsidP="002F27C6">
      <w:pPr>
        <w:pStyle w:val="Normal0"/>
        <w:rPr>
          <w:rFonts w:ascii="Bookman Old Style" w:hAnsi="Bookman Old Style" w:cs="Calibri"/>
          <w:sz w:val="24"/>
          <w:szCs w:val="24"/>
        </w:rPr>
      </w:pPr>
      <w:r w:rsidRPr="006A13F9">
        <w:rPr>
          <w:rFonts w:ascii="Bookman Old Style" w:hAnsi="Bookman Old Style" w:cs="Calibri"/>
          <w:sz w:val="24"/>
          <w:szCs w:val="24"/>
        </w:rPr>
        <w:t>Doctora</w:t>
      </w:r>
    </w:p>
    <w:p w14:paraId="6F103DB4" w14:textId="77777777" w:rsidR="002F27C6" w:rsidRPr="006A13F9" w:rsidRDefault="002F27C6" w:rsidP="002F27C6">
      <w:pPr>
        <w:pStyle w:val="Normal0"/>
        <w:rPr>
          <w:rFonts w:ascii="Bookman Old Style" w:hAnsi="Bookman Old Style" w:cs="Calibri"/>
          <w:b/>
          <w:sz w:val="24"/>
          <w:szCs w:val="24"/>
        </w:rPr>
      </w:pPr>
      <w:r w:rsidRPr="006A13F9">
        <w:rPr>
          <w:rFonts w:ascii="Bookman Old Style" w:hAnsi="Bookman Old Style" w:cs="Calibri"/>
          <w:b/>
          <w:sz w:val="24"/>
          <w:szCs w:val="24"/>
        </w:rPr>
        <w:t>AMPARO CALDERÓN PERDOMO</w:t>
      </w:r>
    </w:p>
    <w:p w14:paraId="5D1C1BC6" w14:textId="77777777" w:rsidR="002F27C6" w:rsidRPr="006A13F9" w:rsidRDefault="002F27C6" w:rsidP="002F27C6">
      <w:pPr>
        <w:pStyle w:val="Normal0"/>
        <w:rPr>
          <w:rFonts w:ascii="Bookman Old Style" w:hAnsi="Bookman Old Style" w:cs="Calibri"/>
          <w:b/>
          <w:bCs/>
          <w:sz w:val="24"/>
          <w:szCs w:val="24"/>
        </w:rPr>
      </w:pPr>
      <w:r w:rsidRPr="006A13F9">
        <w:rPr>
          <w:rFonts w:ascii="Bookman Old Style" w:hAnsi="Bookman Old Style" w:cs="Calibri"/>
          <w:b/>
          <w:bCs/>
          <w:sz w:val="24"/>
          <w:szCs w:val="24"/>
        </w:rPr>
        <w:t xml:space="preserve">SECRETARIA GENERAL </w:t>
      </w:r>
    </w:p>
    <w:p w14:paraId="1A625EA9" w14:textId="77777777" w:rsidR="002F27C6" w:rsidRPr="006A13F9" w:rsidRDefault="002F27C6" w:rsidP="002F27C6">
      <w:pPr>
        <w:pStyle w:val="Normal0"/>
        <w:rPr>
          <w:rFonts w:ascii="Bookman Old Style" w:hAnsi="Bookman Old Style" w:cs="Calibri"/>
          <w:b/>
          <w:bCs/>
          <w:sz w:val="24"/>
          <w:szCs w:val="24"/>
        </w:rPr>
      </w:pPr>
      <w:r w:rsidRPr="006A13F9">
        <w:rPr>
          <w:rFonts w:ascii="Bookman Old Style" w:hAnsi="Bookman Old Style" w:cs="Calibri"/>
          <w:b/>
          <w:bCs/>
          <w:sz w:val="24"/>
          <w:szCs w:val="24"/>
        </w:rPr>
        <w:t xml:space="preserve">COMISIÓN PRIMERA, CONSTITUCIONAL PERMANENTE </w:t>
      </w:r>
    </w:p>
    <w:p w14:paraId="4AD64A2B" w14:textId="77777777" w:rsidR="002F27C6" w:rsidRPr="006A13F9" w:rsidRDefault="002F27C6" w:rsidP="002F27C6">
      <w:pPr>
        <w:pStyle w:val="Normal0"/>
        <w:rPr>
          <w:rFonts w:ascii="Bookman Old Style" w:hAnsi="Bookman Old Style" w:cs="Calibri"/>
          <w:b/>
          <w:bCs/>
          <w:sz w:val="24"/>
          <w:szCs w:val="24"/>
        </w:rPr>
      </w:pPr>
      <w:r w:rsidRPr="006A13F9">
        <w:rPr>
          <w:rFonts w:ascii="Bookman Old Style" w:hAnsi="Bookman Old Style" w:cs="Calibri"/>
          <w:b/>
          <w:bCs/>
          <w:sz w:val="24"/>
          <w:szCs w:val="24"/>
        </w:rPr>
        <w:t>CÁMARA DE REPRESENTANTES</w:t>
      </w:r>
    </w:p>
    <w:p w14:paraId="19E8261F" w14:textId="77777777" w:rsidR="002F27C6" w:rsidRPr="006A13F9" w:rsidRDefault="002F27C6" w:rsidP="002F27C6">
      <w:pPr>
        <w:pStyle w:val="Normal0"/>
        <w:rPr>
          <w:rFonts w:ascii="Bookman Old Style" w:hAnsi="Bookman Old Style" w:cs="Calibri"/>
          <w:sz w:val="24"/>
          <w:szCs w:val="24"/>
        </w:rPr>
      </w:pPr>
      <w:r w:rsidRPr="006A13F9">
        <w:rPr>
          <w:rFonts w:ascii="Bookman Old Style" w:hAnsi="Bookman Old Style" w:cs="Calibri"/>
          <w:sz w:val="24"/>
          <w:szCs w:val="24"/>
        </w:rPr>
        <w:t>Ciudad</w:t>
      </w:r>
      <w:r w:rsidRPr="006A13F9">
        <w:rPr>
          <w:rFonts w:ascii="Bookman Old Style" w:hAnsi="Bookman Old Style" w:cs="Calibri"/>
          <w:sz w:val="24"/>
          <w:szCs w:val="24"/>
        </w:rPr>
        <w:tab/>
      </w:r>
    </w:p>
    <w:p w14:paraId="7A0B2636" w14:textId="77777777" w:rsidR="002F27C6" w:rsidRPr="006A13F9" w:rsidRDefault="002F27C6" w:rsidP="002F27C6">
      <w:pPr>
        <w:pStyle w:val="Normal0"/>
        <w:rPr>
          <w:rFonts w:ascii="Bookman Old Style" w:hAnsi="Bookman Old Style" w:cs="Calibri"/>
          <w:sz w:val="24"/>
          <w:szCs w:val="24"/>
        </w:rPr>
      </w:pPr>
    </w:p>
    <w:p w14:paraId="18C5D33D" w14:textId="77777777" w:rsidR="002F27C6" w:rsidRPr="006A13F9" w:rsidRDefault="002F27C6" w:rsidP="002F27C6">
      <w:pPr>
        <w:shd w:val="clear" w:color="auto" w:fill="FFFFFF"/>
        <w:spacing w:line="276" w:lineRule="auto"/>
        <w:rPr>
          <w:rFonts w:ascii="Bookman Old Style" w:hAnsi="Bookman Old Style"/>
          <w:b/>
          <w:lang w:val="es-ES_tradnl"/>
        </w:rPr>
      </w:pPr>
    </w:p>
    <w:p w14:paraId="78459B1B" w14:textId="2F1821F7" w:rsidR="002F27C6" w:rsidRPr="006A13F9" w:rsidRDefault="002F27C6" w:rsidP="002F27C6">
      <w:pPr>
        <w:spacing w:before="1" w:line="276" w:lineRule="auto"/>
        <w:ind w:left="1416" w:right="59"/>
        <w:jc w:val="both"/>
        <w:rPr>
          <w:rFonts w:ascii="Bookman Old Style" w:eastAsia="Arial" w:hAnsi="Bookman Old Style"/>
          <w:b/>
        </w:rPr>
      </w:pPr>
      <w:r w:rsidRPr="006A13F9">
        <w:rPr>
          <w:rFonts w:ascii="Bookman Old Style" w:hAnsi="Bookman Old Style"/>
          <w:b/>
          <w:lang w:val="es-ES_tradnl"/>
        </w:rPr>
        <w:t>REF:</w:t>
      </w:r>
      <w:r w:rsidRPr="006A13F9">
        <w:rPr>
          <w:rFonts w:ascii="Bookman Old Style" w:hAnsi="Bookman Old Style"/>
          <w:lang w:val="pt-BR"/>
        </w:rPr>
        <w:t xml:space="preserve"> </w:t>
      </w:r>
      <w:r w:rsidRPr="006A13F9">
        <w:rPr>
          <w:rFonts w:ascii="Bookman Old Style" w:hAnsi="Bookman Old Style"/>
        </w:rPr>
        <w:t xml:space="preserve">Informe de ponencia para </w:t>
      </w:r>
      <w:r w:rsidR="005B6E1D" w:rsidRPr="006A13F9">
        <w:rPr>
          <w:rFonts w:ascii="Bookman Old Style" w:hAnsi="Bookman Old Style"/>
        </w:rPr>
        <w:t>primer debate</w:t>
      </w:r>
      <w:r w:rsidRPr="006A13F9">
        <w:rPr>
          <w:rFonts w:ascii="Bookman Old Style" w:hAnsi="Bookman Old Style"/>
        </w:rPr>
        <w:t xml:space="preserve"> en la Cámara de Representantes del Proyecto de Ley No. </w:t>
      </w:r>
      <w:r w:rsidR="005B6E1D" w:rsidRPr="006A13F9">
        <w:rPr>
          <w:rFonts w:ascii="Bookman Old Style" w:hAnsi="Bookman Old Style"/>
        </w:rPr>
        <w:t xml:space="preserve">200 </w:t>
      </w:r>
      <w:r w:rsidRPr="006A13F9">
        <w:rPr>
          <w:rFonts w:ascii="Bookman Old Style" w:hAnsi="Bookman Old Style"/>
        </w:rPr>
        <w:t>de 2025 Cámara</w:t>
      </w:r>
      <w:r w:rsidR="005B6E1D" w:rsidRPr="006A13F9">
        <w:rPr>
          <w:rFonts w:ascii="Bookman Old Style" w:hAnsi="Bookman Old Style"/>
        </w:rPr>
        <w:t>.</w:t>
      </w:r>
    </w:p>
    <w:p w14:paraId="215C53BF" w14:textId="77777777" w:rsidR="002F27C6" w:rsidRPr="006A13F9" w:rsidRDefault="002F27C6" w:rsidP="002F27C6">
      <w:pPr>
        <w:pStyle w:val="Prrafodelista"/>
        <w:spacing w:line="276" w:lineRule="auto"/>
        <w:ind w:left="0"/>
        <w:jc w:val="both"/>
        <w:rPr>
          <w:rFonts w:ascii="Bookman Old Style" w:hAnsi="Bookman Old Style"/>
          <w:sz w:val="24"/>
          <w:szCs w:val="24"/>
        </w:rPr>
      </w:pPr>
    </w:p>
    <w:p w14:paraId="6E058074" w14:textId="77777777" w:rsidR="002F27C6" w:rsidRPr="006A13F9" w:rsidRDefault="002F27C6" w:rsidP="002F27C6">
      <w:pPr>
        <w:pStyle w:val="Prrafodelista"/>
        <w:spacing w:line="276" w:lineRule="auto"/>
        <w:ind w:left="0"/>
        <w:jc w:val="both"/>
        <w:rPr>
          <w:rFonts w:ascii="Bookman Old Style" w:hAnsi="Bookman Old Style"/>
          <w:sz w:val="24"/>
          <w:szCs w:val="24"/>
        </w:rPr>
      </w:pPr>
      <w:r w:rsidRPr="006A13F9">
        <w:rPr>
          <w:rFonts w:ascii="Bookman Old Style" w:hAnsi="Bookman Old Style"/>
          <w:sz w:val="24"/>
          <w:szCs w:val="24"/>
        </w:rPr>
        <w:t xml:space="preserve">Cordial saludo. </w:t>
      </w:r>
    </w:p>
    <w:p w14:paraId="641DD993" w14:textId="77777777" w:rsidR="002F27C6" w:rsidRPr="006A13F9" w:rsidRDefault="002F27C6" w:rsidP="002F27C6">
      <w:pPr>
        <w:pStyle w:val="Prrafodelista"/>
        <w:spacing w:line="276" w:lineRule="auto"/>
        <w:ind w:left="0"/>
        <w:jc w:val="both"/>
        <w:rPr>
          <w:rFonts w:ascii="Bookman Old Style" w:hAnsi="Bookman Old Style"/>
          <w:sz w:val="24"/>
          <w:szCs w:val="24"/>
        </w:rPr>
      </w:pPr>
    </w:p>
    <w:p w14:paraId="6830CAEB" w14:textId="10C9D0A8" w:rsidR="002F27C6" w:rsidRPr="006A13F9" w:rsidRDefault="002F27C6" w:rsidP="002F27C6">
      <w:pPr>
        <w:pStyle w:val="Prrafodelista"/>
        <w:spacing w:line="276" w:lineRule="auto"/>
        <w:ind w:left="0"/>
        <w:jc w:val="both"/>
        <w:rPr>
          <w:rFonts w:ascii="Bookman Old Style" w:hAnsi="Bookman Old Style"/>
          <w:i/>
          <w:sz w:val="24"/>
          <w:szCs w:val="24"/>
        </w:rPr>
      </w:pPr>
      <w:r w:rsidRPr="006A13F9">
        <w:rPr>
          <w:rFonts w:ascii="Bookman Old Style" w:hAnsi="Bookman Old Style"/>
          <w:sz w:val="24"/>
          <w:szCs w:val="24"/>
        </w:rPr>
        <w:t xml:space="preserve">En cumplimiento del encargo realizado por la Mesa Directiva de la Comisión Primera de la Cámara de Representantes, mediante notificación </w:t>
      </w:r>
      <w:r w:rsidR="005B6E1D" w:rsidRPr="006A13F9">
        <w:rPr>
          <w:rFonts w:ascii="Bookman Old Style" w:hAnsi="Bookman Old Style"/>
          <w:sz w:val="24"/>
          <w:szCs w:val="24"/>
        </w:rPr>
        <w:t>del oficio C.P.C.P. 3.1 – 258 – 2025 del 18 de septiembre de 2025,</w:t>
      </w:r>
      <w:r w:rsidRPr="006A13F9">
        <w:rPr>
          <w:rFonts w:ascii="Bookman Old Style" w:hAnsi="Bookman Old Style"/>
          <w:sz w:val="24"/>
          <w:szCs w:val="24"/>
        </w:rPr>
        <w:t xml:space="preserve"> de manera atenta, present</w:t>
      </w:r>
      <w:r w:rsidR="005B6E1D" w:rsidRPr="006A13F9">
        <w:rPr>
          <w:rFonts w:ascii="Bookman Old Style" w:hAnsi="Bookman Old Style"/>
          <w:sz w:val="24"/>
          <w:szCs w:val="24"/>
        </w:rPr>
        <w:t>o</w:t>
      </w:r>
      <w:r w:rsidRPr="006A13F9">
        <w:rPr>
          <w:rFonts w:ascii="Bookman Old Style" w:hAnsi="Bookman Old Style"/>
          <w:sz w:val="24"/>
          <w:szCs w:val="24"/>
        </w:rPr>
        <w:t xml:space="preserve"> informe de ponencia positiva con modificaciones para </w:t>
      </w:r>
      <w:r w:rsidR="005B6E1D" w:rsidRPr="006A13F9">
        <w:rPr>
          <w:rFonts w:ascii="Bookman Old Style" w:hAnsi="Bookman Old Style"/>
          <w:sz w:val="24"/>
          <w:szCs w:val="24"/>
        </w:rPr>
        <w:t>primer</w:t>
      </w:r>
      <w:r w:rsidRPr="006A13F9">
        <w:rPr>
          <w:rFonts w:ascii="Bookman Old Style" w:hAnsi="Bookman Old Style"/>
          <w:sz w:val="24"/>
          <w:szCs w:val="24"/>
        </w:rPr>
        <w:t xml:space="preserve"> debate en la Cámara de Representantes, al proyecto de ley No. </w:t>
      </w:r>
      <w:r w:rsidR="005B6E1D" w:rsidRPr="006A13F9">
        <w:rPr>
          <w:rFonts w:ascii="Bookman Old Style" w:hAnsi="Bookman Old Style"/>
          <w:sz w:val="24"/>
          <w:szCs w:val="24"/>
        </w:rPr>
        <w:t>200/25</w:t>
      </w:r>
      <w:r w:rsidRPr="006A13F9">
        <w:rPr>
          <w:rFonts w:ascii="Bookman Old Style" w:hAnsi="Bookman Old Style"/>
          <w:sz w:val="24"/>
          <w:szCs w:val="24"/>
        </w:rPr>
        <w:t xml:space="preserve"> </w:t>
      </w:r>
      <w:r w:rsidRPr="006A13F9">
        <w:rPr>
          <w:rFonts w:ascii="Bookman Old Style" w:hAnsi="Bookman Old Style"/>
          <w:i/>
          <w:sz w:val="24"/>
          <w:szCs w:val="24"/>
        </w:rPr>
        <w:t xml:space="preserve">“Por medio de la cual se </w:t>
      </w:r>
      <w:r w:rsidR="005B6E1D" w:rsidRPr="006A13F9">
        <w:rPr>
          <w:rFonts w:ascii="Bookman Old Style" w:hAnsi="Bookman Old Style"/>
          <w:i/>
          <w:sz w:val="24"/>
          <w:szCs w:val="24"/>
        </w:rPr>
        <w:t>modifica la edad de</w:t>
      </w:r>
      <w:r w:rsidR="00C71132">
        <w:rPr>
          <w:rFonts w:ascii="Bookman Old Style" w:hAnsi="Bookman Old Style"/>
          <w:i/>
          <w:sz w:val="24"/>
          <w:szCs w:val="24"/>
        </w:rPr>
        <w:t>l</w:t>
      </w:r>
      <w:r w:rsidR="005B6E1D" w:rsidRPr="006A13F9">
        <w:rPr>
          <w:rFonts w:ascii="Bookman Old Style" w:hAnsi="Bookman Old Style"/>
          <w:i/>
          <w:sz w:val="24"/>
          <w:szCs w:val="24"/>
        </w:rPr>
        <w:t xml:space="preserve"> consentimiento sexual para menores de edad, se protege la libertad sexual de niños, niñas y adolescentes en Colombia y se dictan otras disposiciones”.</w:t>
      </w:r>
    </w:p>
    <w:p w14:paraId="32E59681" w14:textId="77777777" w:rsidR="002F27C6" w:rsidRPr="006A13F9" w:rsidRDefault="002F27C6" w:rsidP="002F27C6">
      <w:pPr>
        <w:pStyle w:val="Prrafodelista"/>
        <w:spacing w:line="276" w:lineRule="auto"/>
        <w:ind w:left="0"/>
        <w:jc w:val="both"/>
        <w:rPr>
          <w:rFonts w:ascii="Bookman Old Style" w:hAnsi="Bookman Old Style"/>
          <w:i/>
          <w:sz w:val="24"/>
          <w:szCs w:val="24"/>
        </w:rPr>
      </w:pPr>
    </w:p>
    <w:p w14:paraId="3A1E9425" w14:textId="77777777" w:rsidR="006A13F9" w:rsidRDefault="002F27C6" w:rsidP="006A13F9">
      <w:pPr>
        <w:pStyle w:val="Textoindependiente"/>
        <w:spacing w:line="276" w:lineRule="auto"/>
        <w:jc w:val="both"/>
        <w:rPr>
          <w:rFonts w:ascii="Bookman Old Style" w:hAnsi="Bookman Old Style" w:cs="Calibri"/>
          <w:lang w:val="es-CO"/>
        </w:rPr>
      </w:pPr>
      <w:r w:rsidRPr="006A13F9">
        <w:rPr>
          <w:rFonts w:ascii="Bookman Old Style" w:hAnsi="Bookman Old Style" w:cs="Calibri"/>
          <w:lang w:val="es-CO"/>
        </w:rPr>
        <w:t>Atentame</w:t>
      </w:r>
      <w:r w:rsidR="006A13F9">
        <w:rPr>
          <w:rFonts w:ascii="Bookman Old Style" w:hAnsi="Bookman Old Style" w:cs="Calibri"/>
          <w:lang w:val="es-CO"/>
        </w:rPr>
        <w:t>nte,</w:t>
      </w:r>
    </w:p>
    <w:p w14:paraId="4D639CD2" w14:textId="77777777" w:rsidR="006A13F9" w:rsidRDefault="006A13F9" w:rsidP="006A13F9">
      <w:pPr>
        <w:pStyle w:val="Textoindependiente"/>
        <w:spacing w:line="276" w:lineRule="auto"/>
        <w:jc w:val="both"/>
        <w:rPr>
          <w:rFonts w:ascii="Bookman Old Style" w:hAnsi="Bookman Old Style" w:cs="Calibri"/>
          <w:lang w:val="es-CO"/>
        </w:rPr>
      </w:pPr>
    </w:p>
    <w:p w14:paraId="3DC2004B" w14:textId="77777777" w:rsidR="006A13F9" w:rsidRDefault="006A13F9" w:rsidP="006A13F9">
      <w:pPr>
        <w:pStyle w:val="Textoindependiente"/>
        <w:spacing w:line="276" w:lineRule="auto"/>
        <w:jc w:val="both"/>
        <w:rPr>
          <w:rFonts w:ascii="Bookman Old Style" w:hAnsi="Bookman Old Style" w:cs="Calibri"/>
          <w:lang w:val="es-CO"/>
        </w:rPr>
      </w:pPr>
    </w:p>
    <w:p w14:paraId="3C53323A" w14:textId="77777777" w:rsidR="006A13F9" w:rsidRDefault="006A13F9" w:rsidP="006A13F9">
      <w:pPr>
        <w:pStyle w:val="Textoindependiente"/>
        <w:spacing w:line="276" w:lineRule="auto"/>
        <w:jc w:val="both"/>
        <w:rPr>
          <w:rFonts w:ascii="Bookman Old Style" w:hAnsi="Bookman Old Style" w:cs="Calibri"/>
          <w:lang w:val="es-CO"/>
        </w:rPr>
      </w:pPr>
    </w:p>
    <w:p w14:paraId="38CA0233" w14:textId="77777777" w:rsidR="006A13F9" w:rsidRDefault="006A13F9" w:rsidP="006A13F9">
      <w:pPr>
        <w:pStyle w:val="Textoindependiente"/>
        <w:spacing w:line="276" w:lineRule="auto"/>
        <w:jc w:val="both"/>
        <w:rPr>
          <w:rFonts w:ascii="Bookman Old Style" w:hAnsi="Bookman Old Style" w:cs="Calibri"/>
          <w:lang w:val="es-CO"/>
        </w:rPr>
      </w:pPr>
    </w:p>
    <w:p w14:paraId="353C5EEE" w14:textId="5EBAA147" w:rsidR="002F27C6" w:rsidRPr="006A13F9" w:rsidRDefault="002F27C6" w:rsidP="006A13F9">
      <w:pPr>
        <w:pStyle w:val="Textoindependiente"/>
        <w:spacing w:line="276" w:lineRule="auto"/>
        <w:jc w:val="both"/>
        <w:rPr>
          <w:rFonts w:ascii="Bookman Old Style" w:hAnsi="Bookman Old Style" w:cs="Calibri"/>
          <w:lang w:val="es-CO"/>
        </w:rPr>
      </w:pPr>
      <w:r w:rsidRPr="006A13F9">
        <w:rPr>
          <w:rFonts w:ascii="Bookman Old Style" w:hAnsi="Bookman Old Style"/>
          <w:b/>
          <w:bCs/>
        </w:rPr>
        <w:t>KARYME ADRANA COTES MARTÍNEZ</w:t>
      </w:r>
      <w:r w:rsidRPr="006A13F9">
        <w:rPr>
          <w:rFonts w:ascii="Bookman Old Style" w:hAnsi="Bookman Old Style"/>
          <w:b/>
          <w:bCs/>
        </w:rPr>
        <w:tab/>
      </w:r>
      <w:r w:rsidRPr="006A13F9">
        <w:rPr>
          <w:rFonts w:ascii="Bookman Old Style" w:hAnsi="Bookman Old Style"/>
          <w:b/>
          <w:bCs/>
        </w:rPr>
        <w:tab/>
      </w:r>
    </w:p>
    <w:p w14:paraId="0066C851" w14:textId="77777777" w:rsidR="006A13F9" w:rsidRDefault="002F27C6" w:rsidP="002F27C6">
      <w:pPr>
        <w:pStyle w:val="Sinespaciado"/>
        <w:spacing w:line="276" w:lineRule="auto"/>
        <w:rPr>
          <w:rFonts w:ascii="Bookman Old Style" w:hAnsi="Bookman Old Style"/>
          <w:b/>
          <w:bCs/>
        </w:rPr>
      </w:pPr>
      <w:r w:rsidRPr="006A13F9">
        <w:rPr>
          <w:rFonts w:ascii="Bookman Old Style" w:hAnsi="Bookman Old Style"/>
          <w:b/>
          <w:bCs/>
        </w:rPr>
        <w:t xml:space="preserve">Representante a la </w:t>
      </w:r>
      <w:r w:rsidR="006A13F9">
        <w:rPr>
          <w:rFonts w:ascii="Bookman Old Style" w:hAnsi="Bookman Old Style"/>
          <w:b/>
          <w:bCs/>
        </w:rPr>
        <w:t>Cámara</w:t>
      </w:r>
    </w:p>
    <w:p w14:paraId="3027719E" w14:textId="2BFAD2F1" w:rsidR="002F27C6" w:rsidRPr="006A13F9" w:rsidRDefault="002F27C6" w:rsidP="002F27C6">
      <w:pPr>
        <w:pStyle w:val="Sinespaciado"/>
        <w:spacing w:line="276" w:lineRule="auto"/>
        <w:rPr>
          <w:rFonts w:ascii="Bookman Old Style" w:hAnsi="Bookman Old Style"/>
          <w:b/>
          <w:bCs/>
        </w:rPr>
      </w:pPr>
      <w:r w:rsidRPr="006A13F9">
        <w:rPr>
          <w:rFonts w:ascii="Bookman Old Style" w:hAnsi="Bookman Old Style"/>
          <w:b/>
          <w:bCs/>
        </w:rPr>
        <w:t>Ponente</w:t>
      </w:r>
      <w:r w:rsidR="006A13F9">
        <w:rPr>
          <w:rFonts w:ascii="Bookman Old Style" w:hAnsi="Bookman Old Style"/>
          <w:b/>
          <w:bCs/>
        </w:rPr>
        <w:t xml:space="preserve"> única</w:t>
      </w:r>
    </w:p>
    <w:p w14:paraId="743E9429" w14:textId="77777777" w:rsidR="002F27C6" w:rsidRPr="006A13F9" w:rsidRDefault="002F27C6" w:rsidP="002F27C6">
      <w:pPr>
        <w:pStyle w:val="Sinespaciado"/>
        <w:spacing w:line="276" w:lineRule="auto"/>
        <w:rPr>
          <w:rFonts w:ascii="Bookman Old Style" w:hAnsi="Bookman Old Style"/>
          <w:b/>
          <w:bCs/>
        </w:rPr>
      </w:pPr>
    </w:p>
    <w:p w14:paraId="1FC6D9F7" w14:textId="77777777" w:rsidR="002F27C6" w:rsidRPr="006A13F9" w:rsidRDefault="002F27C6" w:rsidP="002F27C6">
      <w:pPr>
        <w:pStyle w:val="Sinespaciado"/>
        <w:spacing w:line="276" w:lineRule="auto"/>
        <w:rPr>
          <w:rFonts w:ascii="Bookman Old Style" w:hAnsi="Bookman Old Style"/>
          <w:b/>
          <w:bCs/>
        </w:rPr>
      </w:pPr>
    </w:p>
    <w:p w14:paraId="2AA48FF4" w14:textId="77777777" w:rsidR="002F27C6" w:rsidRPr="006A13F9" w:rsidRDefault="002F27C6" w:rsidP="002F27C6">
      <w:pPr>
        <w:pStyle w:val="Sinespaciado"/>
        <w:spacing w:line="276" w:lineRule="auto"/>
        <w:rPr>
          <w:rFonts w:ascii="Bookman Old Style" w:hAnsi="Bookman Old Style"/>
          <w:b/>
          <w:bCs/>
        </w:rPr>
      </w:pPr>
    </w:p>
    <w:p w14:paraId="1F8D82AD" w14:textId="77777777" w:rsidR="002F27C6" w:rsidRPr="006A13F9" w:rsidRDefault="002F27C6" w:rsidP="002F27C6">
      <w:pPr>
        <w:pStyle w:val="Sinespaciado"/>
        <w:spacing w:line="276" w:lineRule="auto"/>
        <w:jc w:val="both"/>
        <w:rPr>
          <w:rFonts w:ascii="Bookman Old Style" w:hAnsi="Bookman Old Style"/>
          <w:b/>
          <w:bCs/>
        </w:rPr>
      </w:pPr>
    </w:p>
    <w:p w14:paraId="12DAFB4C" w14:textId="40893897" w:rsidR="002F27C6" w:rsidRPr="006A13F9" w:rsidRDefault="002F27C6" w:rsidP="002F27C6">
      <w:pPr>
        <w:pStyle w:val="Sinespaciado"/>
        <w:spacing w:line="276" w:lineRule="auto"/>
        <w:jc w:val="center"/>
        <w:rPr>
          <w:rFonts w:ascii="Bookman Old Style" w:hAnsi="Bookman Old Style"/>
          <w:b/>
        </w:rPr>
      </w:pPr>
      <w:r w:rsidRPr="006A13F9">
        <w:rPr>
          <w:rFonts w:ascii="Bookman Old Style" w:hAnsi="Bookman Old Style"/>
          <w:b/>
        </w:rPr>
        <w:lastRenderedPageBreak/>
        <w:t xml:space="preserve">INFORME DE PONENCIA PARA </w:t>
      </w:r>
      <w:r w:rsidR="006A13F9">
        <w:rPr>
          <w:rFonts w:ascii="Bookman Old Style" w:hAnsi="Bookman Old Style"/>
          <w:b/>
        </w:rPr>
        <w:t>PRIMER</w:t>
      </w:r>
      <w:r w:rsidRPr="006A13F9">
        <w:rPr>
          <w:rFonts w:ascii="Bookman Old Style" w:hAnsi="Bookman Old Style"/>
          <w:b/>
        </w:rPr>
        <w:t xml:space="preserve"> DEBATE EN LA CÁMARA DE REPRESENTANTES DEL PROYECTO DE LEY No. </w:t>
      </w:r>
      <w:r w:rsidR="006A13F9">
        <w:rPr>
          <w:rFonts w:ascii="Bookman Old Style" w:hAnsi="Bookman Old Style"/>
          <w:b/>
        </w:rPr>
        <w:t>200/25</w:t>
      </w:r>
      <w:r w:rsidRPr="006A13F9">
        <w:rPr>
          <w:rFonts w:ascii="Bookman Old Style" w:hAnsi="Bookman Old Style"/>
          <w:b/>
        </w:rPr>
        <w:t xml:space="preserve"> CÁMARA</w:t>
      </w:r>
    </w:p>
    <w:p w14:paraId="75E73AEB" w14:textId="77777777" w:rsidR="002F27C6" w:rsidRPr="006A13F9" w:rsidRDefault="002F27C6" w:rsidP="002F27C6">
      <w:pPr>
        <w:pStyle w:val="Sinespaciado"/>
        <w:spacing w:line="276" w:lineRule="auto"/>
        <w:jc w:val="center"/>
        <w:rPr>
          <w:rFonts w:ascii="Bookman Old Style" w:hAnsi="Bookman Old Style"/>
        </w:rPr>
      </w:pPr>
    </w:p>
    <w:p w14:paraId="4497563D" w14:textId="295679CD" w:rsidR="006A13F9" w:rsidRPr="006A13F9" w:rsidRDefault="006A13F9" w:rsidP="006A13F9">
      <w:pPr>
        <w:pStyle w:val="Prrafodelista"/>
        <w:spacing w:line="276" w:lineRule="auto"/>
        <w:ind w:left="0"/>
        <w:jc w:val="center"/>
        <w:rPr>
          <w:rFonts w:ascii="Bookman Old Style" w:hAnsi="Bookman Old Style"/>
          <w:b/>
          <w:bCs/>
          <w:i/>
          <w:sz w:val="24"/>
          <w:szCs w:val="24"/>
        </w:rPr>
      </w:pPr>
      <w:r w:rsidRPr="006A13F9">
        <w:rPr>
          <w:rFonts w:ascii="Bookman Old Style" w:hAnsi="Bookman Old Style"/>
          <w:b/>
          <w:bCs/>
          <w:i/>
          <w:sz w:val="24"/>
          <w:szCs w:val="24"/>
        </w:rPr>
        <w:t>“Por medio de la cual se modifica la edad de</w:t>
      </w:r>
      <w:r w:rsidR="00C71132">
        <w:rPr>
          <w:rFonts w:ascii="Bookman Old Style" w:hAnsi="Bookman Old Style"/>
          <w:b/>
          <w:bCs/>
          <w:i/>
          <w:sz w:val="24"/>
          <w:szCs w:val="24"/>
        </w:rPr>
        <w:t>l</w:t>
      </w:r>
      <w:r w:rsidRPr="006A13F9">
        <w:rPr>
          <w:rFonts w:ascii="Bookman Old Style" w:hAnsi="Bookman Old Style"/>
          <w:b/>
          <w:bCs/>
          <w:i/>
          <w:sz w:val="24"/>
          <w:szCs w:val="24"/>
        </w:rPr>
        <w:t xml:space="preserve"> consentimiento sexual para menores de edad, se protege la libertad sexual de niños, niñas y adolescentes en Colombia y se dictan otras disposiciones”.</w:t>
      </w:r>
    </w:p>
    <w:p w14:paraId="30973084" w14:textId="77777777" w:rsidR="002F27C6" w:rsidRPr="006A13F9" w:rsidRDefault="002F27C6" w:rsidP="002F27C6">
      <w:pPr>
        <w:pStyle w:val="Sinespaciado"/>
        <w:spacing w:line="276" w:lineRule="auto"/>
        <w:jc w:val="center"/>
        <w:rPr>
          <w:rFonts w:ascii="Bookman Old Style" w:hAnsi="Bookman Old Style"/>
          <w:i/>
        </w:rPr>
      </w:pPr>
    </w:p>
    <w:p w14:paraId="5FC07091" w14:textId="08FA299E" w:rsidR="002F27C6" w:rsidRDefault="002F27C6" w:rsidP="002F27C6">
      <w:pPr>
        <w:pStyle w:val="Sinespaciado"/>
        <w:spacing w:line="276" w:lineRule="auto"/>
        <w:jc w:val="both"/>
        <w:rPr>
          <w:rFonts w:ascii="Bookman Old Style" w:hAnsi="Bookman Old Style"/>
          <w:iCs/>
        </w:rPr>
      </w:pPr>
      <w:r w:rsidRPr="006A13F9">
        <w:rPr>
          <w:rFonts w:ascii="Bookman Old Style" w:hAnsi="Bookman Old Style"/>
          <w:b/>
          <w:bCs/>
          <w:iCs/>
        </w:rPr>
        <w:t>Autores:</w:t>
      </w:r>
      <w:r w:rsidRPr="006A13F9">
        <w:rPr>
          <w:rFonts w:ascii="Bookman Old Style" w:hAnsi="Bookman Old Style"/>
          <w:iCs/>
        </w:rPr>
        <w:t xml:space="preserve"> </w:t>
      </w:r>
      <w:r w:rsidR="00D3277B" w:rsidRPr="00D3277B">
        <w:rPr>
          <w:rFonts w:ascii="Bookman Old Style" w:hAnsi="Bookman Old Style"/>
          <w:iCs/>
        </w:rPr>
        <w:t>H.R.</w:t>
      </w:r>
      <w:r w:rsidR="00D3277B">
        <w:rPr>
          <w:rFonts w:ascii="Bookman Old Style" w:hAnsi="Bookman Old Style"/>
          <w:iCs/>
        </w:rPr>
        <w:t xml:space="preserve"> </w:t>
      </w:r>
      <w:r w:rsidR="00D3277B" w:rsidRPr="00D3277B">
        <w:rPr>
          <w:rFonts w:ascii="Bookman Old Style" w:hAnsi="Bookman Old Style"/>
          <w:iCs/>
        </w:rPr>
        <w:t>Karyme Adrana Cotes Martínez, H.S.</w:t>
      </w:r>
      <w:r w:rsidR="00D3277B">
        <w:rPr>
          <w:rFonts w:ascii="Bookman Old Style" w:hAnsi="Bookman Old Style"/>
          <w:iCs/>
        </w:rPr>
        <w:t xml:space="preserve"> </w:t>
      </w:r>
      <w:r w:rsidR="00D3277B" w:rsidRPr="00D3277B">
        <w:rPr>
          <w:rFonts w:ascii="Bookman Old Style" w:hAnsi="Bookman Old Style"/>
          <w:iCs/>
        </w:rPr>
        <w:t xml:space="preserve">Soledad Tamayo </w:t>
      </w:r>
      <w:proofErr w:type="spellStart"/>
      <w:r w:rsidR="00D3277B" w:rsidRPr="00D3277B">
        <w:rPr>
          <w:rFonts w:ascii="Bookman Old Style" w:hAnsi="Bookman Old Style"/>
          <w:iCs/>
        </w:rPr>
        <w:t>Tamayo</w:t>
      </w:r>
      <w:proofErr w:type="spellEnd"/>
      <w:r w:rsidR="00D3277B" w:rsidRPr="00D3277B">
        <w:rPr>
          <w:rFonts w:ascii="Bookman Old Style" w:hAnsi="Bookman Old Style"/>
          <w:iCs/>
        </w:rPr>
        <w:t>, H.S.</w:t>
      </w:r>
      <w:r w:rsidR="00D3277B">
        <w:rPr>
          <w:rFonts w:ascii="Bookman Old Style" w:hAnsi="Bookman Old Style"/>
          <w:iCs/>
        </w:rPr>
        <w:t xml:space="preserve"> </w:t>
      </w:r>
      <w:proofErr w:type="spellStart"/>
      <w:r w:rsidR="00D3277B" w:rsidRPr="00D3277B">
        <w:rPr>
          <w:rFonts w:ascii="Bookman Old Style" w:hAnsi="Bookman Old Style"/>
          <w:iCs/>
        </w:rPr>
        <w:t>Beatr</w:t>
      </w:r>
      <w:r w:rsidR="00D3277B">
        <w:rPr>
          <w:rFonts w:ascii="Bookman Old Style" w:hAnsi="Bookman Old Style"/>
          <w:iCs/>
        </w:rPr>
        <w:t>í</w:t>
      </w:r>
      <w:r w:rsidR="00D3277B" w:rsidRPr="00D3277B">
        <w:rPr>
          <w:rFonts w:ascii="Bookman Old Style" w:hAnsi="Bookman Old Style"/>
          <w:iCs/>
        </w:rPr>
        <w:t>z</w:t>
      </w:r>
      <w:proofErr w:type="spellEnd"/>
      <w:r w:rsidR="00D3277B" w:rsidRPr="00D3277B">
        <w:rPr>
          <w:rFonts w:ascii="Bookman Old Style" w:hAnsi="Bookman Old Style"/>
          <w:iCs/>
        </w:rPr>
        <w:t xml:space="preserve"> Lorena Ríos Cuellar</w:t>
      </w:r>
      <w:r w:rsidR="00D3277B">
        <w:rPr>
          <w:rFonts w:ascii="Bookman Old Style" w:hAnsi="Bookman Old Style"/>
          <w:iCs/>
        </w:rPr>
        <w:t>,</w:t>
      </w:r>
      <w:r w:rsidR="00D3277B" w:rsidRPr="00D3277B">
        <w:rPr>
          <w:rFonts w:ascii="Bookman Old Style" w:hAnsi="Bookman Old Style"/>
          <w:iCs/>
        </w:rPr>
        <w:t xml:space="preserve"> H.R.</w:t>
      </w:r>
      <w:r w:rsidR="00D3277B">
        <w:rPr>
          <w:rFonts w:ascii="Bookman Old Style" w:hAnsi="Bookman Old Style"/>
          <w:iCs/>
        </w:rPr>
        <w:t xml:space="preserve"> </w:t>
      </w:r>
      <w:r w:rsidR="00D3277B" w:rsidRPr="00D3277B">
        <w:rPr>
          <w:rFonts w:ascii="Bookman Old Style" w:hAnsi="Bookman Old Style"/>
          <w:iCs/>
        </w:rPr>
        <w:t>Catherine Juvinao Clavijo, H.R.</w:t>
      </w:r>
      <w:r w:rsidR="00D3277B">
        <w:rPr>
          <w:rFonts w:ascii="Bookman Old Style" w:hAnsi="Bookman Old Style"/>
          <w:iCs/>
        </w:rPr>
        <w:t xml:space="preserve"> </w:t>
      </w:r>
      <w:r w:rsidR="00D3277B" w:rsidRPr="00D3277B">
        <w:rPr>
          <w:rFonts w:ascii="Bookman Old Style" w:hAnsi="Bookman Old Style"/>
          <w:iCs/>
        </w:rPr>
        <w:t>Erika Tatiana Sánchez Pinto, H.R.</w:t>
      </w:r>
      <w:r w:rsidR="00D3277B">
        <w:rPr>
          <w:rFonts w:ascii="Bookman Old Style" w:hAnsi="Bookman Old Style"/>
          <w:iCs/>
        </w:rPr>
        <w:t xml:space="preserve"> </w:t>
      </w:r>
      <w:r w:rsidR="00D3277B" w:rsidRPr="00D3277B">
        <w:rPr>
          <w:rFonts w:ascii="Bookman Old Style" w:hAnsi="Bookman Old Style"/>
          <w:iCs/>
        </w:rPr>
        <w:t>Juan Manuel Cortés Dueñas, H.R.</w:t>
      </w:r>
      <w:r w:rsidR="00D3277B">
        <w:rPr>
          <w:rFonts w:ascii="Bookman Old Style" w:hAnsi="Bookman Old Style"/>
          <w:iCs/>
        </w:rPr>
        <w:t xml:space="preserve"> </w:t>
      </w:r>
      <w:r w:rsidR="00D3277B" w:rsidRPr="00D3277B">
        <w:rPr>
          <w:rFonts w:ascii="Bookman Old Style" w:hAnsi="Bookman Old Style"/>
          <w:iCs/>
        </w:rPr>
        <w:t>Juan Sebastián Gómez Gonzáles, H.R.</w:t>
      </w:r>
      <w:r w:rsidR="00D3277B">
        <w:rPr>
          <w:rFonts w:ascii="Bookman Old Style" w:hAnsi="Bookman Old Style"/>
          <w:iCs/>
        </w:rPr>
        <w:t xml:space="preserve"> </w:t>
      </w:r>
      <w:r w:rsidR="00D3277B" w:rsidRPr="00D3277B">
        <w:rPr>
          <w:rFonts w:ascii="Bookman Old Style" w:hAnsi="Bookman Old Style"/>
          <w:iCs/>
        </w:rPr>
        <w:t>Juan Daniel Peñuela Calvache,</w:t>
      </w:r>
      <w:r w:rsidR="00D3277B">
        <w:rPr>
          <w:rFonts w:ascii="Bookman Old Style" w:hAnsi="Bookman Old Style"/>
          <w:iCs/>
        </w:rPr>
        <w:t xml:space="preserve"> y el </w:t>
      </w:r>
      <w:r w:rsidR="00D3277B" w:rsidRPr="00D3277B">
        <w:rPr>
          <w:rFonts w:ascii="Bookman Old Style" w:hAnsi="Bookman Old Style"/>
          <w:iCs/>
        </w:rPr>
        <w:t>H.R.</w:t>
      </w:r>
      <w:r w:rsidR="00D3277B">
        <w:rPr>
          <w:rFonts w:ascii="Bookman Old Style" w:hAnsi="Bookman Old Style"/>
          <w:iCs/>
        </w:rPr>
        <w:t xml:space="preserve"> </w:t>
      </w:r>
      <w:r w:rsidR="00D3277B" w:rsidRPr="00D3277B">
        <w:rPr>
          <w:rFonts w:ascii="Bookman Old Style" w:hAnsi="Bookman Old Style"/>
          <w:iCs/>
        </w:rPr>
        <w:t>Alirio Uribe Muñoz</w:t>
      </w:r>
      <w:r w:rsidR="00D3277B">
        <w:rPr>
          <w:rFonts w:ascii="Bookman Old Style" w:hAnsi="Bookman Old Style"/>
          <w:iCs/>
        </w:rPr>
        <w:t>.</w:t>
      </w:r>
    </w:p>
    <w:p w14:paraId="0220C1E7" w14:textId="77777777" w:rsidR="00D3277B" w:rsidRPr="006A13F9" w:rsidRDefault="00D3277B" w:rsidP="002F27C6">
      <w:pPr>
        <w:pStyle w:val="Sinespaciado"/>
        <w:spacing w:line="276" w:lineRule="auto"/>
        <w:jc w:val="both"/>
        <w:rPr>
          <w:rFonts w:ascii="Bookman Old Style" w:hAnsi="Bookman Old Style"/>
          <w:iCs/>
        </w:rPr>
      </w:pPr>
    </w:p>
    <w:p w14:paraId="74AB5E83" w14:textId="77777777" w:rsidR="002F27C6" w:rsidRPr="006A13F9" w:rsidRDefault="002F27C6" w:rsidP="002F27C6">
      <w:pPr>
        <w:pBdr>
          <w:top w:val="single" w:sz="4" w:space="1" w:color="auto"/>
          <w:left w:val="single" w:sz="4" w:space="4" w:color="auto"/>
          <w:bottom w:val="single" w:sz="4" w:space="1" w:color="auto"/>
          <w:right w:val="single" w:sz="4" w:space="0" w:color="auto"/>
        </w:pBdr>
        <w:spacing w:line="276" w:lineRule="auto"/>
        <w:contextualSpacing/>
        <w:jc w:val="center"/>
        <w:rPr>
          <w:rFonts w:ascii="Bookman Old Style" w:hAnsi="Bookman Old Style"/>
          <w:b/>
          <w:lang w:val="es-ES_tradnl"/>
        </w:rPr>
      </w:pPr>
      <w:r w:rsidRPr="006A13F9">
        <w:rPr>
          <w:rFonts w:ascii="Bookman Old Style" w:hAnsi="Bookman Old Style"/>
          <w:b/>
          <w:lang w:val="es-ES_tradnl"/>
        </w:rPr>
        <w:t>TRÁMITE DEL PROYECTO</w:t>
      </w:r>
    </w:p>
    <w:p w14:paraId="6D55C0BF" w14:textId="77777777" w:rsidR="002F27C6" w:rsidRPr="006A13F9" w:rsidRDefault="002F27C6" w:rsidP="002F27C6">
      <w:pPr>
        <w:spacing w:line="276" w:lineRule="auto"/>
        <w:jc w:val="both"/>
        <w:rPr>
          <w:rFonts w:ascii="Bookman Old Style" w:hAnsi="Bookman Old Style"/>
          <w:b/>
          <w:lang w:val="es-ES_tradnl"/>
        </w:rPr>
      </w:pPr>
    </w:p>
    <w:p w14:paraId="0DD054A7" w14:textId="0A0C5F4E" w:rsidR="002F27C6" w:rsidRPr="006A13F9" w:rsidRDefault="002F27C6" w:rsidP="002F27C6">
      <w:pPr>
        <w:spacing w:line="276" w:lineRule="auto"/>
        <w:jc w:val="both"/>
        <w:rPr>
          <w:rFonts w:ascii="Bookman Old Style" w:hAnsi="Bookman Old Style"/>
          <w:bCs/>
          <w:lang w:val="es-US"/>
        </w:rPr>
      </w:pPr>
      <w:r w:rsidRPr="006A13F9">
        <w:rPr>
          <w:rFonts w:ascii="Bookman Old Style" w:hAnsi="Bookman Old Style"/>
          <w:bCs/>
          <w:lang w:val="es-US"/>
        </w:rPr>
        <w:t xml:space="preserve">El proyecto de ley fue radicado el </w:t>
      </w:r>
      <w:r w:rsidR="00D3277B">
        <w:rPr>
          <w:rFonts w:ascii="Bookman Old Style" w:hAnsi="Bookman Old Style"/>
          <w:bCs/>
          <w:lang w:val="es-US"/>
        </w:rPr>
        <w:t xml:space="preserve">06 de agosto de </w:t>
      </w:r>
      <w:r w:rsidRPr="006A13F9">
        <w:rPr>
          <w:rFonts w:ascii="Bookman Old Style" w:hAnsi="Bookman Old Style"/>
          <w:bCs/>
          <w:lang w:val="es-US"/>
        </w:rPr>
        <w:t>2025 en la Secretaría General de</w:t>
      </w:r>
      <w:r w:rsidR="00D3277B">
        <w:rPr>
          <w:rFonts w:ascii="Bookman Old Style" w:hAnsi="Bookman Old Style"/>
          <w:bCs/>
          <w:lang w:val="es-US"/>
        </w:rPr>
        <w:t xml:space="preserve"> </w:t>
      </w:r>
      <w:r w:rsidRPr="006A13F9">
        <w:rPr>
          <w:rFonts w:ascii="Bookman Old Style" w:hAnsi="Bookman Old Style"/>
          <w:bCs/>
          <w:lang w:val="es-US"/>
        </w:rPr>
        <w:t>l</w:t>
      </w:r>
      <w:r w:rsidR="00D3277B">
        <w:rPr>
          <w:rFonts w:ascii="Bookman Old Style" w:hAnsi="Bookman Old Style"/>
          <w:bCs/>
          <w:lang w:val="es-US"/>
        </w:rPr>
        <w:t>a</w:t>
      </w:r>
      <w:r w:rsidRPr="006A13F9">
        <w:rPr>
          <w:rFonts w:ascii="Bookman Old Style" w:hAnsi="Bookman Old Style"/>
          <w:bCs/>
          <w:lang w:val="es-US"/>
        </w:rPr>
        <w:t xml:space="preserve"> </w:t>
      </w:r>
      <w:r w:rsidR="00D3277B">
        <w:rPr>
          <w:rFonts w:ascii="Bookman Old Style" w:hAnsi="Bookman Old Style"/>
          <w:bCs/>
          <w:lang w:val="es-US"/>
        </w:rPr>
        <w:t>Cámara de Representantes</w:t>
      </w:r>
      <w:r w:rsidRPr="006A13F9">
        <w:rPr>
          <w:rFonts w:ascii="Bookman Old Style" w:hAnsi="Bookman Old Style"/>
          <w:bCs/>
          <w:lang w:val="es-US"/>
        </w:rPr>
        <w:t xml:space="preserve">, siendo catalogado como proyecto de ley ordinario, publicado en la Gaceta del Congreso No. </w:t>
      </w:r>
      <w:r w:rsidR="00D3277B">
        <w:rPr>
          <w:rFonts w:ascii="Bookman Old Style" w:hAnsi="Bookman Old Style"/>
          <w:bCs/>
          <w:lang w:val="es-US"/>
        </w:rPr>
        <w:t xml:space="preserve">1435 </w:t>
      </w:r>
      <w:r w:rsidRPr="006A13F9">
        <w:rPr>
          <w:rFonts w:ascii="Bookman Old Style" w:hAnsi="Bookman Old Style"/>
          <w:bCs/>
          <w:lang w:val="es-US"/>
        </w:rPr>
        <w:t>de 2025 y repartido a la Comisión Primera Constitucional Permanente de</w:t>
      </w:r>
      <w:r w:rsidR="00D3277B">
        <w:rPr>
          <w:rFonts w:ascii="Bookman Old Style" w:hAnsi="Bookman Old Style"/>
          <w:bCs/>
          <w:lang w:val="es-US"/>
        </w:rPr>
        <w:t xml:space="preserve"> </w:t>
      </w:r>
      <w:r w:rsidRPr="006A13F9">
        <w:rPr>
          <w:rFonts w:ascii="Bookman Old Style" w:hAnsi="Bookman Old Style"/>
          <w:bCs/>
          <w:lang w:val="es-US"/>
        </w:rPr>
        <w:t>l</w:t>
      </w:r>
      <w:r w:rsidR="00D3277B">
        <w:rPr>
          <w:rFonts w:ascii="Bookman Old Style" w:hAnsi="Bookman Old Style"/>
          <w:bCs/>
          <w:lang w:val="es-US"/>
        </w:rPr>
        <w:t>a</w:t>
      </w:r>
      <w:r w:rsidRPr="006A13F9">
        <w:rPr>
          <w:rFonts w:ascii="Bookman Old Style" w:hAnsi="Bookman Old Style"/>
          <w:bCs/>
          <w:lang w:val="es-US"/>
        </w:rPr>
        <w:t xml:space="preserve"> </w:t>
      </w:r>
      <w:r w:rsidR="00D3277B">
        <w:rPr>
          <w:rFonts w:ascii="Bookman Old Style" w:hAnsi="Bookman Old Style"/>
          <w:bCs/>
          <w:lang w:val="es-US"/>
        </w:rPr>
        <w:t>Cámara de Representantes.</w:t>
      </w:r>
    </w:p>
    <w:p w14:paraId="0C4C487D" w14:textId="77777777" w:rsidR="002F27C6" w:rsidRPr="006A13F9" w:rsidRDefault="002F27C6" w:rsidP="002F27C6">
      <w:pPr>
        <w:spacing w:line="276" w:lineRule="auto"/>
        <w:jc w:val="both"/>
        <w:rPr>
          <w:rFonts w:ascii="Bookman Old Style" w:hAnsi="Bookman Old Style"/>
          <w:bCs/>
          <w:lang w:val="es-US"/>
        </w:rPr>
      </w:pPr>
    </w:p>
    <w:p w14:paraId="1E18B5A5" w14:textId="21713FFB" w:rsidR="002F27C6" w:rsidRDefault="002F27C6" w:rsidP="00D3277B">
      <w:pPr>
        <w:spacing w:line="276" w:lineRule="auto"/>
        <w:jc w:val="both"/>
        <w:rPr>
          <w:rFonts w:ascii="Bookman Old Style" w:hAnsi="Bookman Old Style"/>
          <w:spacing w:val="-2"/>
        </w:rPr>
      </w:pPr>
      <w:r w:rsidRPr="006A13F9">
        <w:rPr>
          <w:rFonts w:ascii="Bookman Old Style" w:hAnsi="Bookman Old Style"/>
          <w:bCs/>
          <w:lang w:val="es-US"/>
        </w:rPr>
        <w:t xml:space="preserve">Mediante </w:t>
      </w:r>
      <w:r w:rsidR="00D3277B">
        <w:rPr>
          <w:rFonts w:ascii="Bookman Old Style" w:hAnsi="Bookman Old Style"/>
          <w:bCs/>
          <w:lang w:val="es-US"/>
        </w:rPr>
        <w:t>Oficio No. C.P.C.P. 3.1 – 258 – 2025 del 18 de septiembre de 2025</w:t>
      </w:r>
      <w:r w:rsidRPr="006A13F9">
        <w:rPr>
          <w:rFonts w:ascii="Bookman Old Style" w:hAnsi="Bookman Old Style"/>
          <w:bCs/>
          <w:lang w:val="es-US"/>
        </w:rPr>
        <w:t>, se designó como ponente únic</w:t>
      </w:r>
      <w:r w:rsidR="00D3277B">
        <w:rPr>
          <w:rFonts w:ascii="Bookman Old Style" w:hAnsi="Bookman Old Style"/>
          <w:bCs/>
          <w:lang w:val="es-US"/>
        </w:rPr>
        <w:t>a</w:t>
      </w:r>
      <w:r w:rsidRPr="006A13F9">
        <w:rPr>
          <w:rFonts w:ascii="Bookman Old Style" w:hAnsi="Bookman Old Style"/>
          <w:bCs/>
          <w:lang w:val="es-US"/>
        </w:rPr>
        <w:t xml:space="preserve"> encargad</w:t>
      </w:r>
      <w:r w:rsidR="00D3277B">
        <w:rPr>
          <w:rFonts w:ascii="Bookman Old Style" w:hAnsi="Bookman Old Style"/>
          <w:bCs/>
          <w:lang w:val="es-US"/>
        </w:rPr>
        <w:t>a</w:t>
      </w:r>
      <w:r w:rsidRPr="006A13F9">
        <w:rPr>
          <w:rFonts w:ascii="Bookman Old Style" w:hAnsi="Bookman Old Style"/>
          <w:bCs/>
          <w:lang w:val="es-US"/>
        </w:rPr>
        <w:t xml:space="preserve"> de rendir informe de ponencia en es</w:t>
      </w:r>
      <w:r w:rsidR="00D3277B">
        <w:rPr>
          <w:rFonts w:ascii="Bookman Old Style" w:hAnsi="Bookman Old Style"/>
          <w:bCs/>
          <w:lang w:val="es-US"/>
        </w:rPr>
        <w:t>t</w:t>
      </w:r>
      <w:r w:rsidRPr="006A13F9">
        <w:rPr>
          <w:rFonts w:ascii="Bookman Old Style" w:hAnsi="Bookman Old Style"/>
          <w:bCs/>
          <w:lang w:val="es-US"/>
        </w:rPr>
        <w:t>a célula legislativa a</w:t>
      </w:r>
      <w:r w:rsidR="00D3277B">
        <w:rPr>
          <w:rFonts w:ascii="Bookman Old Style" w:hAnsi="Bookman Old Style"/>
          <w:bCs/>
          <w:lang w:val="es-US"/>
        </w:rPr>
        <w:t xml:space="preserve"> </w:t>
      </w:r>
      <w:r w:rsidRPr="006A13F9">
        <w:rPr>
          <w:rFonts w:ascii="Bookman Old Style" w:hAnsi="Bookman Old Style"/>
          <w:bCs/>
          <w:lang w:val="es-US"/>
        </w:rPr>
        <w:t>l</w:t>
      </w:r>
      <w:r w:rsidR="00D3277B">
        <w:rPr>
          <w:rFonts w:ascii="Bookman Old Style" w:hAnsi="Bookman Old Style"/>
          <w:bCs/>
          <w:lang w:val="es-US"/>
        </w:rPr>
        <w:t xml:space="preserve">a Autora Karyme Adrana Cotes Martínez. </w:t>
      </w:r>
    </w:p>
    <w:p w14:paraId="3E092762" w14:textId="2F8EDAD4" w:rsidR="006A13F9" w:rsidRDefault="006A13F9" w:rsidP="006A13F9">
      <w:pPr>
        <w:spacing w:line="276" w:lineRule="auto"/>
        <w:jc w:val="both"/>
        <w:rPr>
          <w:rFonts w:ascii="Bookman Old Style" w:hAnsi="Bookman Old Style"/>
          <w:spacing w:val="-2"/>
        </w:rPr>
      </w:pPr>
    </w:p>
    <w:p w14:paraId="166DC458" w14:textId="77777777" w:rsidR="00DB2281" w:rsidRPr="006A13F9" w:rsidRDefault="00DB2281" w:rsidP="006A13F9">
      <w:pPr>
        <w:spacing w:line="276" w:lineRule="auto"/>
        <w:jc w:val="both"/>
        <w:rPr>
          <w:rFonts w:ascii="Bookman Old Style" w:hAnsi="Bookman Old Style"/>
          <w:spacing w:val="-2"/>
        </w:rPr>
      </w:pPr>
    </w:p>
    <w:p w14:paraId="0038AC6D" w14:textId="3497C908" w:rsidR="006A13F9" w:rsidRPr="006A13F9" w:rsidRDefault="006A13F9" w:rsidP="006A13F9">
      <w:pPr>
        <w:pBdr>
          <w:top w:val="single" w:sz="4" w:space="1" w:color="auto"/>
          <w:left w:val="single" w:sz="4" w:space="4" w:color="auto"/>
          <w:bottom w:val="single" w:sz="4" w:space="1" w:color="auto"/>
          <w:right w:val="single" w:sz="4" w:space="4" w:color="auto"/>
        </w:pBdr>
        <w:spacing w:line="276" w:lineRule="auto"/>
        <w:contextualSpacing/>
        <w:jc w:val="center"/>
        <w:rPr>
          <w:rFonts w:ascii="Bookman Old Style" w:hAnsi="Bookman Old Style"/>
          <w:b/>
          <w:lang w:val="es-ES_tradnl"/>
        </w:rPr>
      </w:pPr>
      <w:r>
        <w:rPr>
          <w:rFonts w:ascii="Bookman Old Style" w:hAnsi="Bookman Old Style"/>
          <w:b/>
          <w:lang w:val="es-ES_tradnl"/>
        </w:rPr>
        <w:t>ANTECEDENTES DEL PROYECTO</w:t>
      </w:r>
    </w:p>
    <w:p w14:paraId="193B9290" w14:textId="77777777" w:rsidR="006A13F9" w:rsidRPr="006A13F9" w:rsidRDefault="006A13F9" w:rsidP="006A13F9">
      <w:pPr>
        <w:spacing w:line="276" w:lineRule="auto"/>
        <w:rPr>
          <w:rFonts w:ascii="Bookman Old Style" w:hAnsi="Bookman Old Style"/>
          <w:b/>
          <w:w w:val="85"/>
        </w:rPr>
      </w:pPr>
    </w:p>
    <w:p w14:paraId="4EAF0F89" w14:textId="26F5D8C1" w:rsidR="003B68CE" w:rsidRDefault="008C021A" w:rsidP="003B68CE">
      <w:pPr>
        <w:spacing w:line="276" w:lineRule="auto"/>
        <w:jc w:val="both"/>
        <w:rPr>
          <w:rFonts w:ascii="Bookman Old Style" w:hAnsi="Bookman Old Style"/>
          <w:spacing w:val="-2"/>
        </w:rPr>
      </w:pPr>
      <w:r>
        <w:rPr>
          <w:rFonts w:ascii="Bookman Old Style" w:hAnsi="Bookman Old Style"/>
          <w:spacing w:val="-2"/>
        </w:rPr>
        <w:t xml:space="preserve">EL presente proyecto de ley fue presentado </w:t>
      </w:r>
      <w:r w:rsidR="00DB2281">
        <w:rPr>
          <w:rFonts w:ascii="Bookman Old Style" w:hAnsi="Bookman Old Style"/>
          <w:spacing w:val="-2"/>
        </w:rPr>
        <w:t xml:space="preserve">el 30 de agosto de 2023, </w:t>
      </w:r>
      <w:r>
        <w:rPr>
          <w:rFonts w:ascii="Bookman Old Style" w:hAnsi="Bookman Old Style"/>
          <w:spacing w:val="-2"/>
        </w:rPr>
        <w:t>en la legislatura 2023-2024. En esa oportunidad se numeró bajo el consecutivo 182/2023 C</w:t>
      </w:r>
      <w:r w:rsidR="00DB2281">
        <w:rPr>
          <w:rFonts w:ascii="Bookman Old Style" w:hAnsi="Bookman Old Style"/>
          <w:spacing w:val="-2"/>
        </w:rPr>
        <w:t xml:space="preserve">. Los Honorables Representantes que firmaron como autores fueron </w:t>
      </w:r>
      <w:r w:rsidR="00DB2281" w:rsidRPr="00DB2281">
        <w:rPr>
          <w:rFonts w:ascii="Bookman Old Style" w:hAnsi="Bookman Old Style"/>
          <w:spacing w:val="-2"/>
        </w:rPr>
        <w:t>H.R.</w:t>
      </w:r>
      <w:r w:rsidR="00DB2281">
        <w:rPr>
          <w:rFonts w:ascii="Bookman Old Style" w:hAnsi="Bookman Old Style"/>
          <w:spacing w:val="-2"/>
        </w:rPr>
        <w:t xml:space="preserve"> </w:t>
      </w:r>
      <w:r w:rsidR="00DB2281" w:rsidRPr="00DB2281">
        <w:rPr>
          <w:rFonts w:ascii="Bookman Old Style" w:hAnsi="Bookman Old Style"/>
          <w:spacing w:val="-2"/>
        </w:rPr>
        <w:t>Karyme Adrana Cotes Martínez, H.R.</w:t>
      </w:r>
      <w:r w:rsidR="00DB2281">
        <w:rPr>
          <w:rFonts w:ascii="Bookman Old Style" w:hAnsi="Bookman Old Style"/>
          <w:spacing w:val="-2"/>
        </w:rPr>
        <w:t xml:space="preserve"> </w:t>
      </w:r>
      <w:r w:rsidR="00DB2281" w:rsidRPr="00DB2281">
        <w:rPr>
          <w:rFonts w:ascii="Bookman Old Style" w:hAnsi="Bookman Old Style"/>
          <w:spacing w:val="-2"/>
        </w:rPr>
        <w:t>Carlos Felipe Quintero Ovalle, H.R.</w:t>
      </w:r>
      <w:r w:rsidR="00DB2281">
        <w:rPr>
          <w:rFonts w:ascii="Bookman Old Style" w:hAnsi="Bookman Old Style"/>
          <w:spacing w:val="-2"/>
        </w:rPr>
        <w:t xml:space="preserve"> </w:t>
      </w:r>
      <w:r w:rsidR="00DB2281" w:rsidRPr="00DB2281">
        <w:rPr>
          <w:rFonts w:ascii="Bookman Old Style" w:hAnsi="Bookman Old Style"/>
          <w:spacing w:val="-2"/>
        </w:rPr>
        <w:t>Germán Rogelio Rozo Anís, H.R.</w:t>
      </w:r>
      <w:r w:rsidR="00DB2281">
        <w:rPr>
          <w:rFonts w:ascii="Bookman Old Style" w:hAnsi="Bookman Old Style"/>
          <w:spacing w:val="-2"/>
        </w:rPr>
        <w:t xml:space="preserve"> </w:t>
      </w:r>
      <w:r w:rsidR="00DB2281" w:rsidRPr="00DB2281">
        <w:rPr>
          <w:rFonts w:ascii="Bookman Old Style" w:hAnsi="Bookman Old Style"/>
          <w:spacing w:val="-2"/>
        </w:rPr>
        <w:t>Álvaro Leonel Rueda caballero, H.R.</w:t>
      </w:r>
      <w:r w:rsidR="00DB2281">
        <w:rPr>
          <w:rFonts w:ascii="Bookman Old Style" w:hAnsi="Bookman Old Style"/>
          <w:spacing w:val="-2"/>
        </w:rPr>
        <w:t xml:space="preserve"> </w:t>
      </w:r>
      <w:proofErr w:type="spellStart"/>
      <w:r w:rsidR="00DB2281" w:rsidRPr="00DB2281">
        <w:rPr>
          <w:rFonts w:ascii="Bookman Old Style" w:hAnsi="Bookman Old Style"/>
          <w:spacing w:val="-2"/>
        </w:rPr>
        <w:t>Jezmi</w:t>
      </w:r>
      <w:proofErr w:type="spellEnd"/>
      <w:r w:rsidR="00DB2281" w:rsidRPr="00DB2281">
        <w:rPr>
          <w:rFonts w:ascii="Bookman Old Style" w:hAnsi="Bookman Old Style"/>
          <w:spacing w:val="-2"/>
        </w:rPr>
        <w:t xml:space="preserve"> Lizeth Barraza </w:t>
      </w:r>
      <w:proofErr w:type="spellStart"/>
      <w:r w:rsidR="00DB2281" w:rsidRPr="00DB2281">
        <w:rPr>
          <w:rFonts w:ascii="Bookman Old Style" w:hAnsi="Bookman Old Style"/>
          <w:spacing w:val="-2"/>
        </w:rPr>
        <w:t>Arraut</w:t>
      </w:r>
      <w:proofErr w:type="spellEnd"/>
      <w:r w:rsidR="00DB2281" w:rsidRPr="00DB2281">
        <w:rPr>
          <w:rFonts w:ascii="Bookman Old Style" w:hAnsi="Bookman Old Style"/>
          <w:spacing w:val="-2"/>
        </w:rPr>
        <w:t>, H.R.</w:t>
      </w:r>
      <w:r w:rsidR="00DB2281">
        <w:rPr>
          <w:rFonts w:ascii="Bookman Old Style" w:hAnsi="Bookman Old Style"/>
          <w:spacing w:val="-2"/>
        </w:rPr>
        <w:t xml:space="preserve"> </w:t>
      </w:r>
      <w:r w:rsidR="00DB2281" w:rsidRPr="00DB2281">
        <w:rPr>
          <w:rFonts w:ascii="Bookman Old Style" w:hAnsi="Bookman Old Style"/>
          <w:spacing w:val="-2"/>
        </w:rPr>
        <w:t>Flora Perdomo Andrade, H.R.</w:t>
      </w:r>
      <w:r w:rsidR="00DB2281">
        <w:rPr>
          <w:rFonts w:ascii="Bookman Old Style" w:hAnsi="Bookman Old Style"/>
          <w:spacing w:val="-2"/>
        </w:rPr>
        <w:t xml:space="preserve"> </w:t>
      </w:r>
      <w:r w:rsidR="00DB2281" w:rsidRPr="00DB2281">
        <w:rPr>
          <w:rFonts w:ascii="Bookman Old Style" w:hAnsi="Bookman Old Style"/>
          <w:spacing w:val="-2"/>
        </w:rPr>
        <w:t>Elizabeth Jay-</w:t>
      </w:r>
      <w:proofErr w:type="spellStart"/>
      <w:r w:rsidR="00DB2281" w:rsidRPr="00DB2281">
        <w:rPr>
          <w:rFonts w:ascii="Bookman Old Style" w:hAnsi="Bookman Old Style"/>
          <w:spacing w:val="-2"/>
        </w:rPr>
        <w:t>Pang</w:t>
      </w:r>
      <w:proofErr w:type="spellEnd"/>
      <w:r w:rsidR="00DB2281" w:rsidRPr="00DB2281">
        <w:rPr>
          <w:rFonts w:ascii="Bookman Old Style" w:hAnsi="Bookman Old Style"/>
          <w:spacing w:val="-2"/>
        </w:rPr>
        <w:t xml:space="preserve"> Díaz, H.R.</w:t>
      </w:r>
      <w:r w:rsidR="00DB2281">
        <w:rPr>
          <w:rFonts w:ascii="Bookman Old Style" w:hAnsi="Bookman Old Style"/>
          <w:spacing w:val="-2"/>
        </w:rPr>
        <w:t xml:space="preserve"> </w:t>
      </w:r>
      <w:r w:rsidR="00DB2281" w:rsidRPr="00DB2281">
        <w:rPr>
          <w:rFonts w:ascii="Bookman Old Style" w:hAnsi="Bookman Old Style"/>
          <w:spacing w:val="-2"/>
        </w:rPr>
        <w:t>Olga Beatriz González Correa, H.R.</w:t>
      </w:r>
      <w:r w:rsidR="00DB2281">
        <w:rPr>
          <w:rFonts w:ascii="Bookman Old Style" w:hAnsi="Bookman Old Style"/>
          <w:spacing w:val="-2"/>
        </w:rPr>
        <w:t xml:space="preserve"> </w:t>
      </w:r>
      <w:r w:rsidR="00DB2281" w:rsidRPr="00DB2281">
        <w:rPr>
          <w:rFonts w:ascii="Bookman Old Style" w:hAnsi="Bookman Old Style"/>
          <w:spacing w:val="-2"/>
        </w:rPr>
        <w:t xml:space="preserve">Mónica Karina Bocanegra Pantoja, </w:t>
      </w:r>
      <w:r w:rsidR="00DB2281">
        <w:rPr>
          <w:rFonts w:ascii="Bookman Old Style" w:hAnsi="Bookman Old Style"/>
          <w:spacing w:val="-2"/>
        </w:rPr>
        <w:t xml:space="preserve">y el </w:t>
      </w:r>
      <w:r w:rsidR="00DB2281" w:rsidRPr="00DB2281">
        <w:rPr>
          <w:rFonts w:ascii="Bookman Old Style" w:hAnsi="Bookman Old Style"/>
          <w:spacing w:val="-2"/>
        </w:rPr>
        <w:t>H.R.</w:t>
      </w:r>
      <w:r w:rsidR="00DB2281">
        <w:rPr>
          <w:rFonts w:ascii="Bookman Old Style" w:hAnsi="Bookman Old Style"/>
          <w:spacing w:val="-2"/>
        </w:rPr>
        <w:t xml:space="preserve"> </w:t>
      </w:r>
      <w:r w:rsidR="00DB2281" w:rsidRPr="00DB2281">
        <w:rPr>
          <w:rFonts w:ascii="Bookman Old Style" w:hAnsi="Bookman Old Style"/>
          <w:spacing w:val="-2"/>
        </w:rPr>
        <w:t xml:space="preserve">Luis David </w:t>
      </w:r>
      <w:proofErr w:type="spellStart"/>
      <w:r w:rsidR="00DB2281" w:rsidRPr="00DB2281">
        <w:rPr>
          <w:rFonts w:ascii="Bookman Old Style" w:hAnsi="Bookman Old Style"/>
          <w:spacing w:val="-2"/>
        </w:rPr>
        <w:t>Súarez</w:t>
      </w:r>
      <w:proofErr w:type="spellEnd"/>
      <w:r w:rsidR="00DB2281" w:rsidRPr="00DB2281">
        <w:rPr>
          <w:rFonts w:ascii="Bookman Old Style" w:hAnsi="Bookman Old Style"/>
          <w:spacing w:val="-2"/>
        </w:rPr>
        <w:t xml:space="preserve"> </w:t>
      </w:r>
      <w:proofErr w:type="spellStart"/>
      <w:r w:rsidR="00DB2281" w:rsidRPr="00DB2281">
        <w:rPr>
          <w:rFonts w:ascii="Bookman Old Style" w:hAnsi="Bookman Old Style"/>
          <w:spacing w:val="-2"/>
        </w:rPr>
        <w:t>Chadid</w:t>
      </w:r>
      <w:proofErr w:type="spellEnd"/>
      <w:r w:rsidR="00DB2281">
        <w:rPr>
          <w:rFonts w:ascii="Bookman Old Style" w:hAnsi="Bookman Old Style"/>
          <w:spacing w:val="-2"/>
        </w:rPr>
        <w:t>.</w:t>
      </w:r>
    </w:p>
    <w:p w14:paraId="40891FD5" w14:textId="6796FF4D" w:rsidR="00DB2281" w:rsidRDefault="00DB2281" w:rsidP="003B68CE">
      <w:pPr>
        <w:spacing w:line="276" w:lineRule="auto"/>
        <w:jc w:val="both"/>
        <w:rPr>
          <w:rFonts w:ascii="Bookman Old Style" w:hAnsi="Bookman Old Style"/>
          <w:spacing w:val="-2"/>
        </w:rPr>
      </w:pPr>
    </w:p>
    <w:p w14:paraId="26CD0D68" w14:textId="59094049" w:rsidR="00DB2281" w:rsidRDefault="00DB2281" w:rsidP="003B68CE">
      <w:pPr>
        <w:spacing w:line="276" w:lineRule="auto"/>
        <w:jc w:val="both"/>
        <w:rPr>
          <w:rFonts w:ascii="Bookman Old Style" w:hAnsi="Bookman Old Style"/>
          <w:spacing w:val="-2"/>
        </w:rPr>
      </w:pPr>
      <w:r>
        <w:rPr>
          <w:rFonts w:ascii="Bookman Old Style" w:hAnsi="Bookman Old Style"/>
          <w:spacing w:val="-2"/>
        </w:rPr>
        <w:t>El proyecto fue discutido, votado y aprobado en sesión de la Comisión Primera Constitucional Permanente de la Cámara de Representantes el día 11 de junio de 2024. Fue archivado bajo los términos del artículo 190 de la ley 5 de 1992.</w:t>
      </w:r>
    </w:p>
    <w:p w14:paraId="52F40E8E" w14:textId="77DF35D9" w:rsidR="00DB2281" w:rsidRDefault="00DB2281" w:rsidP="003B68CE">
      <w:pPr>
        <w:spacing w:line="276" w:lineRule="auto"/>
        <w:jc w:val="both"/>
        <w:rPr>
          <w:rFonts w:ascii="Bookman Old Style" w:hAnsi="Bookman Old Style"/>
          <w:spacing w:val="-2"/>
        </w:rPr>
      </w:pPr>
    </w:p>
    <w:p w14:paraId="4921C4FC" w14:textId="77777777" w:rsidR="00DB2281" w:rsidRPr="006A13F9" w:rsidRDefault="00DB2281" w:rsidP="003B68CE">
      <w:pPr>
        <w:spacing w:line="276" w:lineRule="auto"/>
        <w:jc w:val="both"/>
        <w:rPr>
          <w:rFonts w:ascii="Bookman Old Style" w:hAnsi="Bookman Old Style"/>
          <w:spacing w:val="-2"/>
        </w:rPr>
      </w:pPr>
    </w:p>
    <w:p w14:paraId="2CF3DFC6" w14:textId="20344949" w:rsidR="003B68CE" w:rsidRPr="006A13F9" w:rsidRDefault="003B68CE" w:rsidP="003B68CE">
      <w:pPr>
        <w:pBdr>
          <w:top w:val="single" w:sz="4" w:space="1" w:color="auto"/>
          <w:left w:val="single" w:sz="4" w:space="4" w:color="auto"/>
          <w:bottom w:val="single" w:sz="4" w:space="1" w:color="auto"/>
          <w:right w:val="single" w:sz="4" w:space="4" w:color="auto"/>
        </w:pBdr>
        <w:spacing w:line="276" w:lineRule="auto"/>
        <w:contextualSpacing/>
        <w:jc w:val="center"/>
        <w:rPr>
          <w:rFonts w:ascii="Bookman Old Style" w:hAnsi="Bookman Old Style"/>
          <w:b/>
          <w:lang w:val="es-ES_tradnl"/>
        </w:rPr>
      </w:pPr>
      <w:r>
        <w:rPr>
          <w:rFonts w:ascii="Bookman Old Style" w:hAnsi="Bookman Old Style"/>
          <w:b/>
          <w:lang w:val="es-ES_tradnl"/>
        </w:rPr>
        <w:t>CONTENIDO DE LA INICIATIVA</w:t>
      </w:r>
    </w:p>
    <w:p w14:paraId="6EE50414" w14:textId="77777777" w:rsidR="002F27C6" w:rsidRPr="003B68CE" w:rsidRDefault="002F27C6" w:rsidP="002F27C6">
      <w:pPr>
        <w:pStyle w:val="TableParagraph"/>
        <w:spacing w:line="276" w:lineRule="auto"/>
        <w:rPr>
          <w:rFonts w:ascii="Bookman Old Style" w:hAnsi="Bookman Old Style" w:cs="Calibri"/>
          <w:iCs/>
          <w:sz w:val="24"/>
          <w:szCs w:val="24"/>
        </w:rPr>
      </w:pPr>
    </w:p>
    <w:p w14:paraId="62DA5FE9" w14:textId="3CD32AFB" w:rsidR="002F27C6" w:rsidRPr="006A13F9" w:rsidRDefault="002F27C6" w:rsidP="002F27C6">
      <w:pPr>
        <w:spacing w:line="276" w:lineRule="auto"/>
        <w:jc w:val="both"/>
        <w:rPr>
          <w:rFonts w:ascii="Bookman Old Style" w:hAnsi="Bookman Old Style"/>
          <w:w w:val="105"/>
        </w:rPr>
      </w:pPr>
      <w:r w:rsidRPr="006A13F9">
        <w:rPr>
          <w:rFonts w:ascii="Bookman Old Style" w:hAnsi="Bookman Old Style"/>
          <w:w w:val="105"/>
        </w:rPr>
        <w:t xml:space="preserve">La iniciativa consta de </w:t>
      </w:r>
      <w:r w:rsidR="00AC299D">
        <w:rPr>
          <w:rFonts w:ascii="Bookman Old Style" w:hAnsi="Bookman Old Style"/>
          <w:w w:val="105"/>
        </w:rPr>
        <w:t>7</w:t>
      </w:r>
      <w:r w:rsidRPr="006A13F9">
        <w:rPr>
          <w:rFonts w:ascii="Bookman Old Style" w:hAnsi="Bookman Old Style"/>
          <w:w w:val="105"/>
        </w:rPr>
        <w:t xml:space="preserve"> artículos</w:t>
      </w:r>
      <w:r w:rsidRPr="006A13F9">
        <w:rPr>
          <w:rFonts w:ascii="Bookman Old Style" w:hAnsi="Bookman Old Style"/>
          <w:spacing w:val="40"/>
          <w:w w:val="105"/>
        </w:rPr>
        <w:t xml:space="preserve"> </w:t>
      </w:r>
      <w:r w:rsidRPr="006A13F9">
        <w:rPr>
          <w:rFonts w:ascii="Bookman Old Style" w:hAnsi="Bookman Old Style"/>
          <w:w w:val="105"/>
        </w:rPr>
        <w:t>incluido el relativo a la vigencia.</w:t>
      </w:r>
    </w:p>
    <w:p w14:paraId="6E9E562B" w14:textId="77777777" w:rsidR="002F27C6" w:rsidRPr="006A13F9" w:rsidRDefault="002F27C6" w:rsidP="002F27C6">
      <w:pPr>
        <w:spacing w:line="276" w:lineRule="auto"/>
        <w:rPr>
          <w:rFonts w:ascii="Bookman Old Style" w:hAnsi="Bookman Old Style"/>
          <w:w w:val="105"/>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8"/>
        <w:gridCol w:w="4654"/>
      </w:tblGrid>
      <w:tr w:rsidR="002F27C6" w:rsidRPr="006A13F9" w14:paraId="4FED905E" w14:textId="77777777" w:rsidTr="00E53718">
        <w:trPr>
          <w:jc w:val="center"/>
        </w:trPr>
        <w:tc>
          <w:tcPr>
            <w:tcW w:w="3188" w:type="dxa"/>
            <w:shd w:val="clear" w:color="auto" w:fill="auto"/>
          </w:tcPr>
          <w:p w14:paraId="4B5C985F" w14:textId="77777777" w:rsidR="002F27C6" w:rsidRPr="006A13F9" w:rsidRDefault="002F27C6" w:rsidP="00E53718">
            <w:pPr>
              <w:spacing w:line="276" w:lineRule="auto"/>
              <w:jc w:val="both"/>
              <w:rPr>
                <w:rFonts w:ascii="Bookman Old Style" w:eastAsia="Tahoma" w:hAnsi="Bookman Old Style"/>
                <w:b/>
              </w:rPr>
            </w:pPr>
          </w:p>
          <w:p w14:paraId="3A4E4BF4" w14:textId="77777777" w:rsidR="002F27C6" w:rsidRPr="006A13F9" w:rsidRDefault="002F27C6" w:rsidP="00E53718">
            <w:pPr>
              <w:spacing w:line="276" w:lineRule="auto"/>
              <w:jc w:val="both"/>
              <w:rPr>
                <w:rFonts w:ascii="Bookman Old Style" w:eastAsia="Tahoma" w:hAnsi="Bookman Old Style"/>
                <w:b/>
              </w:rPr>
            </w:pPr>
            <w:r w:rsidRPr="006A13F9">
              <w:rPr>
                <w:rFonts w:ascii="Bookman Old Style" w:eastAsia="Tahoma" w:hAnsi="Bookman Old Style"/>
                <w:b/>
              </w:rPr>
              <w:t xml:space="preserve">Artículo 1°. </w:t>
            </w:r>
          </w:p>
          <w:p w14:paraId="68C4A881" w14:textId="77777777" w:rsidR="002F27C6" w:rsidRPr="006A13F9" w:rsidRDefault="002F27C6" w:rsidP="00E53718">
            <w:pPr>
              <w:spacing w:line="276" w:lineRule="auto"/>
              <w:jc w:val="both"/>
              <w:rPr>
                <w:rFonts w:ascii="Bookman Old Style" w:hAnsi="Bookman Old Style"/>
              </w:rPr>
            </w:pPr>
          </w:p>
        </w:tc>
        <w:tc>
          <w:tcPr>
            <w:tcW w:w="4654" w:type="dxa"/>
            <w:shd w:val="clear" w:color="auto" w:fill="auto"/>
          </w:tcPr>
          <w:p w14:paraId="344602B0" w14:textId="77777777" w:rsidR="002F27C6" w:rsidRDefault="002F27C6" w:rsidP="00E53718">
            <w:pPr>
              <w:spacing w:line="276" w:lineRule="auto"/>
              <w:jc w:val="both"/>
              <w:rPr>
                <w:rFonts w:ascii="Bookman Old Style" w:eastAsia="Tahoma" w:hAnsi="Bookman Old Style"/>
                <w:bCs/>
              </w:rPr>
            </w:pPr>
          </w:p>
          <w:p w14:paraId="098F0CE0" w14:textId="643EF7DB" w:rsidR="000E0802" w:rsidRPr="006A13F9" w:rsidRDefault="000E0802" w:rsidP="00E53718">
            <w:pPr>
              <w:spacing w:line="276" w:lineRule="auto"/>
              <w:jc w:val="both"/>
              <w:rPr>
                <w:rFonts w:ascii="Bookman Old Style" w:eastAsia="Tahoma" w:hAnsi="Bookman Old Style"/>
                <w:bCs/>
              </w:rPr>
            </w:pPr>
            <w:r>
              <w:rPr>
                <w:rFonts w:ascii="Bookman Old Style" w:eastAsia="Tahoma" w:hAnsi="Bookman Old Style"/>
                <w:bCs/>
              </w:rPr>
              <w:t>Objeto.</w:t>
            </w:r>
          </w:p>
        </w:tc>
      </w:tr>
      <w:tr w:rsidR="002F27C6" w:rsidRPr="006A13F9" w14:paraId="54C47769" w14:textId="77777777" w:rsidTr="00E53718">
        <w:trPr>
          <w:jc w:val="center"/>
        </w:trPr>
        <w:tc>
          <w:tcPr>
            <w:tcW w:w="3188" w:type="dxa"/>
            <w:shd w:val="clear" w:color="auto" w:fill="auto"/>
          </w:tcPr>
          <w:p w14:paraId="67C83951" w14:textId="77777777" w:rsidR="002F27C6" w:rsidRPr="006A13F9" w:rsidRDefault="002F27C6" w:rsidP="00E53718">
            <w:pPr>
              <w:spacing w:line="276" w:lineRule="auto"/>
              <w:jc w:val="both"/>
              <w:rPr>
                <w:rFonts w:ascii="Bookman Old Style" w:eastAsia="Tahoma" w:hAnsi="Bookman Old Style"/>
                <w:b/>
              </w:rPr>
            </w:pPr>
          </w:p>
          <w:p w14:paraId="074BCA19" w14:textId="77777777" w:rsidR="002F27C6" w:rsidRPr="006A13F9" w:rsidRDefault="002F27C6" w:rsidP="00E53718">
            <w:pPr>
              <w:spacing w:line="276" w:lineRule="auto"/>
              <w:jc w:val="both"/>
              <w:rPr>
                <w:rFonts w:ascii="Bookman Old Style" w:eastAsia="Tahoma" w:hAnsi="Bookman Old Style"/>
              </w:rPr>
            </w:pPr>
            <w:r w:rsidRPr="006A13F9">
              <w:rPr>
                <w:rFonts w:ascii="Bookman Old Style" w:eastAsia="Tahoma" w:hAnsi="Bookman Old Style"/>
                <w:b/>
              </w:rPr>
              <w:t>Artículo 2°.</w:t>
            </w:r>
            <w:r w:rsidRPr="006A13F9">
              <w:rPr>
                <w:rFonts w:ascii="Bookman Old Style" w:eastAsia="Tahoma" w:hAnsi="Bookman Old Style"/>
              </w:rPr>
              <w:t xml:space="preserve"> </w:t>
            </w:r>
          </w:p>
          <w:p w14:paraId="0194C341" w14:textId="77777777" w:rsidR="002F27C6" w:rsidRPr="006A13F9" w:rsidRDefault="002F27C6" w:rsidP="00E53718">
            <w:pPr>
              <w:spacing w:line="276" w:lineRule="auto"/>
              <w:jc w:val="both"/>
              <w:rPr>
                <w:rFonts w:ascii="Bookman Old Style" w:eastAsia="Tahoma" w:hAnsi="Bookman Old Style"/>
              </w:rPr>
            </w:pPr>
          </w:p>
        </w:tc>
        <w:tc>
          <w:tcPr>
            <w:tcW w:w="4654" w:type="dxa"/>
            <w:shd w:val="clear" w:color="auto" w:fill="auto"/>
          </w:tcPr>
          <w:p w14:paraId="3D2245C1" w14:textId="77777777" w:rsidR="002F27C6" w:rsidRDefault="002F27C6" w:rsidP="00E53718">
            <w:pPr>
              <w:spacing w:line="276" w:lineRule="auto"/>
              <w:jc w:val="both"/>
              <w:rPr>
                <w:rFonts w:ascii="Bookman Old Style" w:eastAsia="Tahoma" w:hAnsi="Bookman Old Style"/>
                <w:bCs/>
              </w:rPr>
            </w:pPr>
          </w:p>
          <w:p w14:paraId="4313417F" w14:textId="2CFB02AD" w:rsidR="000E0802" w:rsidRPr="006A13F9" w:rsidRDefault="000E0802" w:rsidP="00E53718">
            <w:pPr>
              <w:spacing w:line="276" w:lineRule="auto"/>
              <w:jc w:val="both"/>
              <w:rPr>
                <w:rFonts w:ascii="Bookman Old Style" w:eastAsia="Tahoma" w:hAnsi="Bookman Old Style"/>
                <w:bCs/>
              </w:rPr>
            </w:pPr>
            <w:r>
              <w:rPr>
                <w:rFonts w:ascii="Bookman Old Style" w:eastAsia="Tahoma" w:hAnsi="Bookman Old Style"/>
                <w:bCs/>
              </w:rPr>
              <w:t>Modifica el artículo 208 del código penal.</w:t>
            </w:r>
          </w:p>
        </w:tc>
      </w:tr>
      <w:tr w:rsidR="002F27C6" w:rsidRPr="006A13F9" w14:paraId="52396C6E" w14:textId="77777777" w:rsidTr="00E53718">
        <w:trPr>
          <w:jc w:val="center"/>
        </w:trPr>
        <w:tc>
          <w:tcPr>
            <w:tcW w:w="3188" w:type="dxa"/>
            <w:shd w:val="clear" w:color="auto" w:fill="auto"/>
          </w:tcPr>
          <w:p w14:paraId="1025C705" w14:textId="77777777" w:rsidR="002F27C6" w:rsidRPr="006A13F9" w:rsidRDefault="002F27C6" w:rsidP="00E53718">
            <w:pPr>
              <w:spacing w:line="276" w:lineRule="auto"/>
              <w:jc w:val="both"/>
              <w:rPr>
                <w:rFonts w:ascii="Bookman Old Style" w:eastAsia="Tahoma" w:hAnsi="Bookman Old Style"/>
                <w:b/>
              </w:rPr>
            </w:pPr>
          </w:p>
          <w:p w14:paraId="1450D66C" w14:textId="77777777" w:rsidR="002F27C6" w:rsidRPr="006A13F9" w:rsidRDefault="002F27C6" w:rsidP="00E53718">
            <w:pPr>
              <w:spacing w:line="276" w:lineRule="auto"/>
              <w:jc w:val="both"/>
              <w:rPr>
                <w:rFonts w:ascii="Bookman Old Style" w:eastAsia="Tahoma" w:hAnsi="Bookman Old Style"/>
                <w:b/>
              </w:rPr>
            </w:pPr>
          </w:p>
          <w:p w14:paraId="7C3EAB46" w14:textId="77777777" w:rsidR="002F27C6" w:rsidRPr="006A13F9" w:rsidRDefault="002F27C6" w:rsidP="00E53718">
            <w:pPr>
              <w:spacing w:line="276" w:lineRule="auto"/>
              <w:jc w:val="both"/>
              <w:rPr>
                <w:rFonts w:ascii="Bookman Old Style" w:hAnsi="Bookman Old Style"/>
              </w:rPr>
            </w:pPr>
            <w:r w:rsidRPr="006A13F9">
              <w:rPr>
                <w:rFonts w:ascii="Bookman Old Style" w:eastAsia="Tahoma" w:hAnsi="Bookman Old Style"/>
                <w:b/>
              </w:rPr>
              <w:t>Artículo 3°.</w:t>
            </w:r>
            <w:r w:rsidRPr="006A13F9">
              <w:rPr>
                <w:rFonts w:ascii="Bookman Old Style" w:eastAsia="Tahoma" w:hAnsi="Bookman Old Style"/>
              </w:rPr>
              <w:t xml:space="preserve"> </w:t>
            </w:r>
          </w:p>
        </w:tc>
        <w:tc>
          <w:tcPr>
            <w:tcW w:w="4654" w:type="dxa"/>
            <w:shd w:val="clear" w:color="auto" w:fill="auto"/>
          </w:tcPr>
          <w:p w14:paraId="56B1A552" w14:textId="77777777" w:rsidR="002F27C6" w:rsidRDefault="002F27C6" w:rsidP="00E53718">
            <w:pPr>
              <w:spacing w:line="276" w:lineRule="auto"/>
              <w:jc w:val="both"/>
              <w:rPr>
                <w:rFonts w:ascii="Bookman Old Style" w:eastAsia="Tahoma" w:hAnsi="Bookman Old Style"/>
                <w:bCs/>
              </w:rPr>
            </w:pPr>
          </w:p>
          <w:p w14:paraId="0B3D858F" w14:textId="629FD86D" w:rsidR="000E0802" w:rsidRPr="006A13F9" w:rsidRDefault="000E0802" w:rsidP="00E53718">
            <w:pPr>
              <w:spacing w:line="276" w:lineRule="auto"/>
              <w:jc w:val="both"/>
              <w:rPr>
                <w:rFonts w:ascii="Bookman Old Style" w:eastAsia="Tahoma" w:hAnsi="Bookman Old Style"/>
                <w:bCs/>
              </w:rPr>
            </w:pPr>
            <w:r>
              <w:rPr>
                <w:rFonts w:ascii="Bookman Old Style" w:eastAsia="Tahoma" w:hAnsi="Bookman Old Style"/>
                <w:bCs/>
              </w:rPr>
              <w:t>Modifica el artículo 209 del código penal.</w:t>
            </w:r>
          </w:p>
        </w:tc>
      </w:tr>
      <w:tr w:rsidR="002F27C6" w:rsidRPr="006A13F9" w14:paraId="08215508" w14:textId="77777777" w:rsidTr="00E53718">
        <w:trPr>
          <w:jc w:val="center"/>
        </w:trPr>
        <w:tc>
          <w:tcPr>
            <w:tcW w:w="3188" w:type="dxa"/>
            <w:shd w:val="clear" w:color="auto" w:fill="auto"/>
          </w:tcPr>
          <w:p w14:paraId="00019B9F" w14:textId="77777777" w:rsidR="002F27C6" w:rsidRPr="006A13F9" w:rsidRDefault="002F27C6" w:rsidP="00E53718">
            <w:pPr>
              <w:spacing w:line="276" w:lineRule="auto"/>
              <w:jc w:val="both"/>
              <w:rPr>
                <w:rFonts w:ascii="Bookman Old Style" w:eastAsia="Tahoma" w:hAnsi="Bookman Old Style"/>
              </w:rPr>
            </w:pPr>
          </w:p>
          <w:p w14:paraId="58BBC634" w14:textId="77777777" w:rsidR="002F27C6" w:rsidRPr="006A13F9" w:rsidRDefault="002F27C6" w:rsidP="00E53718">
            <w:pPr>
              <w:spacing w:line="276" w:lineRule="auto"/>
              <w:jc w:val="both"/>
              <w:rPr>
                <w:rFonts w:ascii="Bookman Old Style" w:eastAsia="Tahoma" w:hAnsi="Bookman Old Style"/>
              </w:rPr>
            </w:pPr>
            <w:r w:rsidRPr="006A13F9">
              <w:rPr>
                <w:rFonts w:ascii="Bookman Old Style" w:eastAsia="Tahoma" w:hAnsi="Bookman Old Style"/>
                <w:b/>
              </w:rPr>
              <w:t>Artículo 4°.</w:t>
            </w:r>
          </w:p>
        </w:tc>
        <w:tc>
          <w:tcPr>
            <w:tcW w:w="4654" w:type="dxa"/>
            <w:shd w:val="clear" w:color="auto" w:fill="auto"/>
          </w:tcPr>
          <w:p w14:paraId="7428F239" w14:textId="77777777" w:rsidR="002F27C6" w:rsidRDefault="002F27C6" w:rsidP="00E53718">
            <w:pPr>
              <w:spacing w:line="276" w:lineRule="auto"/>
              <w:jc w:val="both"/>
              <w:rPr>
                <w:rFonts w:ascii="Bookman Old Style" w:eastAsia="Tahoma" w:hAnsi="Bookman Old Style"/>
              </w:rPr>
            </w:pPr>
          </w:p>
          <w:p w14:paraId="0FF82788" w14:textId="758B6CDC" w:rsidR="000E0802" w:rsidRDefault="000E0802" w:rsidP="00E53718">
            <w:pPr>
              <w:spacing w:line="276" w:lineRule="auto"/>
              <w:jc w:val="both"/>
              <w:rPr>
                <w:rFonts w:ascii="Bookman Old Style" w:eastAsia="Tahoma" w:hAnsi="Bookman Old Style"/>
              </w:rPr>
            </w:pPr>
            <w:r>
              <w:rPr>
                <w:rFonts w:ascii="Bookman Old Style" w:eastAsia="Tahoma" w:hAnsi="Bookman Old Style"/>
              </w:rPr>
              <w:t>Armoniza las circunstancias de agravación punitiva con el aumento en la edad de</w:t>
            </w:r>
            <w:r w:rsidR="00C71132">
              <w:rPr>
                <w:rFonts w:ascii="Bookman Old Style" w:eastAsia="Tahoma" w:hAnsi="Bookman Old Style"/>
              </w:rPr>
              <w:t>l</w:t>
            </w:r>
            <w:r>
              <w:rPr>
                <w:rFonts w:ascii="Bookman Old Style" w:eastAsia="Tahoma" w:hAnsi="Bookman Old Style"/>
              </w:rPr>
              <w:t xml:space="preserve"> consentimiento propuesta.</w:t>
            </w:r>
          </w:p>
          <w:p w14:paraId="36AF8F83" w14:textId="3C75D84F" w:rsidR="000E0802" w:rsidRPr="006A13F9" w:rsidRDefault="000E0802" w:rsidP="00E53718">
            <w:pPr>
              <w:spacing w:line="276" w:lineRule="auto"/>
              <w:jc w:val="both"/>
              <w:rPr>
                <w:rFonts w:ascii="Bookman Old Style" w:eastAsia="Tahoma" w:hAnsi="Bookman Old Style"/>
              </w:rPr>
            </w:pPr>
          </w:p>
        </w:tc>
      </w:tr>
      <w:tr w:rsidR="002F27C6" w:rsidRPr="006A13F9" w14:paraId="1233D7EF" w14:textId="77777777" w:rsidTr="00E53718">
        <w:trPr>
          <w:jc w:val="center"/>
        </w:trPr>
        <w:tc>
          <w:tcPr>
            <w:tcW w:w="3188" w:type="dxa"/>
            <w:shd w:val="clear" w:color="auto" w:fill="auto"/>
          </w:tcPr>
          <w:p w14:paraId="01C7CF7A" w14:textId="77777777" w:rsidR="002F27C6" w:rsidRPr="006A13F9" w:rsidRDefault="002F27C6" w:rsidP="00E53718">
            <w:pPr>
              <w:spacing w:line="276" w:lineRule="auto"/>
              <w:jc w:val="both"/>
              <w:rPr>
                <w:rFonts w:ascii="Bookman Old Style" w:eastAsia="Tahoma" w:hAnsi="Bookman Old Style"/>
                <w:b/>
              </w:rPr>
            </w:pPr>
          </w:p>
          <w:p w14:paraId="696F3E4E" w14:textId="77777777" w:rsidR="002F27C6" w:rsidRPr="006A13F9" w:rsidRDefault="002F27C6" w:rsidP="00E53718">
            <w:pPr>
              <w:spacing w:line="276" w:lineRule="auto"/>
              <w:jc w:val="both"/>
              <w:rPr>
                <w:rFonts w:ascii="Bookman Old Style" w:eastAsia="Tahoma" w:hAnsi="Bookman Old Style"/>
              </w:rPr>
            </w:pPr>
            <w:r w:rsidRPr="006A13F9">
              <w:rPr>
                <w:rFonts w:ascii="Bookman Old Style" w:eastAsia="Tahoma" w:hAnsi="Bookman Old Style"/>
                <w:b/>
              </w:rPr>
              <w:t xml:space="preserve">Artículo 5°. </w:t>
            </w:r>
            <w:r w:rsidRPr="006A13F9">
              <w:rPr>
                <w:rFonts w:ascii="Bookman Old Style" w:eastAsia="Tahoma" w:hAnsi="Bookman Old Style"/>
              </w:rPr>
              <w:t xml:space="preserve"> </w:t>
            </w:r>
          </w:p>
          <w:p w14:paraId="6BB61F03" w14:textId="77777777" w:rsidR="002F27C6" w:rsidRPr="006A13F9" w:rsidRDefault="002F27C6" w:rsidP="00E53718">
            <w:pPr>
              <w:spacing w:line="276" w:lineRule="auto"/>
              <w:rPr>
                <w:rFonts w:ascii="Bookman Old Style" w:hAnsi="Bookman Old Style"/>
              </w:rPr>
            </w:pPr>
          </w:p>
        </w:tc>
        <w:tc>
          <w:tcPr>
            <w:tcW w:w="4654" w:type="dxa"/>
            <w:shd w:val="clear" w:color="auto" w:fill="auto"/>
          </w:tcPr>
          <w:p w14:paraId="2D5B69C8" w14:textId="77777777" w:rsidR="002F27C6" w:rsidRDefault="002F27C6" w:rsidP="00E53718">
            <w:pPr>
              <w:spacing w:line="276" w:lineRule="auto"/>
              <w:jc w:val="both"/>
              <w:rPr>
                <w:rFonts w:ascii="Bookman Old Style" w:eastAsia="Tahoma" w:hAnsi="Bookman Old Style"/>
                <w:bCs/>
              </w:rPr>
            </w:pPr>
          </w:p>
          <w:p w14:paraId="4374DC50" w14:textId="706D47F1" w:rsidR="00AC299D" w:rsidRDefault="00AC299D" w:rsidP="00AC299D">
            <w:pPr>
              <w:spacing w:line="276" w:lineRule="auto"/>
              <w:jc w:val="both"/>
              <w:rPr>
                <w:rFonts w:ascii="Bookman Old Style" w:eastAsia="Tahoma" w:hAnsi="Bookman Old Style"/>
                <w:bCs/>
              </w:rPr>
            </w:pPr>
            <w:r>
              <w:rPr>
                <w:rFonts w:ascii="Bookman Old Style" w:eastAsia="Tahoma" w:hAnsi="Bookman Old Style"/>
                <w:bCs/>
              </w:rPr>
              <w:t>Incorpora el diseño e implementación de una estrategia de promoción, prevención y sensibilización, dado que no solo se trata de tomar medidas punitivas, sino tomar acciones educativas previas.</w:t>
            </w:r>
          </w:p>
          <w:p w14:paraId="44D09D6A" w14:textId="704541DC" w:rsidR="000E0802" w:rsidRPr="006A13F9" w:rsidRDefault="000E0802" w:rsidP="00AC299D">
            <w:pPr>
              <w:spacing w:line="276" w:lineRule="auto"/>
              <w:jc w:val="both"/>
              <w:rPr>
                <w:rFonts w:ascii="Bookman Old Style" w:eastAsia="Tahoma" w:hAnsi="Bookman Old Style"/>
                <w:bCs/>
              </w:rPr>
            </w:pPr>
          </w:p>
        </w:tc>
      </w:tr>
      <w:tr w:rsidR="002F27C6" w:rsidRPr="006A13F9" w14:paraId="6C6FDEDE" w14:textId="77777777" w:rsidTr="00E53718">
        <w:trPr>
          <w:jc w:val="center"/>
        </w:trPr>
        <w:tc>
          <w:tcPr>
            <w:tcW w:w="3188" w:type="dxa"/>
            <w:shd w:val="clear" w:color="auto" w:fill="auto"/>
          </w:tcPr>
          <w:p w14:paraId="69EF98EE" w14:textId="77777777" w:rsidR="002F27C6" w:rsidRPr="006A13F9" w:rsidRDefault="002F27C6" w:rsidP="00E53718">
            <w:pPr>
              <w:spacing w:line="276" w:lineRule="auto"/>
              <w:jc w:val="both"/>
              <w:rPr>
                <w:rFonts w:ascii="Bookman Old Style" w:eastAsia="Tahoma" w:hAnsi="Bookman Old Style"/>
                <w:b/>
              </w:rPr>
            </w:pPr>
          </w:p>
          <w:p w14:paraId="27CAC9A4" w14:textId="06A9CCA0" w:rsidR="002F27C6" w:rsidRPr="006A13F9" w:rsidRDefault="002F27C6" w:rsidP="00E53718">
            <w:pPr>
              <w:spacing w:line="276" w:lineRule="auto"/>
              <w:jc w:val="both"/>
              <w:rPr>
                <w:rFonts w:ascii="Bookman Old Style" w:eastAsia="Tahoma" w:hAnsi="Bookman Old Style"/>
                <w:b/>
              </w:rPr>
            </w:pPr>
            <w:r w:rsidRPr="006A13F9">
              <w:rPr>
                <w:rFonts w:ascii="Bookman Old Style" w:eastAsia="Tahoma" w:hAnsi="Bookman Old Style"/>
                <w:b/>
              </w:rPr>
              <w:t xml:space="preserve">Artículo </w:t>
            </w:r>
            <w:r w:rsidR="00AC299D">
              <w:rPr>
                <w:rFonts w:ascii="Bookman Old Style" w:eastAsia="Tahoma" w:hAnsi="Bookman Old Style"/>
                <w:b/>
              </w:rPr>
              <w:t>6</w:t>
            </w:r>
            <w:r w:rsidRPr="006A13F9">
              <w:rPr>
                <w:rFonts w:ascii="Bookman Old Style" w:eastAsia="Tahoma" w:hAnsi="Bookman Old Style"/>
                <w:b/>
              </w:rPr>
              <w:t>°</w:t>
            </w:r>
          </w:p>
        </w:tc>
        <w:tc>
          <w:tcPr>
            <w:tcW w:w="4654" w:type="dxa"/>
            <w:shd w:val="clear" w:color="auto" w:fill="auto"/>
          </w:tcPr>
          <w:p w14:paraId="29A650A0" w14:textId="2F39EBE2" w:rsidR="000E0802" w:rsidRPr="006A13F9" w:rsidRDefault="00AC299D" w:rsidP="00AC299D">
            <w:pPr>
              <w:spacing w:line="276" w:lineRule="auto"/>
              <w:jc w:val="both"/>
              <w:rPr>
                <w:rFonts w:ascii="Bookman Old Style" w:eastAsia="Tahoma" w:hAnsi="Bookman Old Style"/>
                <w:bCs/>
              </w:rPr>
            </w:pPr>
            <w:r>
              <w:rPr>
                <w:rFonts w:ascii="Bookman Old Style" w:eastAsia="Tahoma" w:hAnsi="Bookman Old Style"/>
                <w:bCs/>
              </w:rPr>
              <w:t>Este artículo despenaliza las relaciones sexuales consentidas entre adolescentes cuya diferencia de edad no sea mayor a dos años.</w:t>
            </w:r>
          </w:p>
        </w:tc>
      </w:tr>
      <w:tr w:rsidR="002F27C6" w:rsidRPr="006A13F9" w14:paraId="68996B0A" w14:textId="77777777" w:rsidTr="00E53718">
        <w:trPr>
          <w:jc w:val="center"/>
        </w:trPr>
        <w:tc>
          <w:tcPr>
            <w:tcW w:w="3188" w:type="dxa"/>
            <w:shd w:val="clear" w:color="auto" w:fill="auto"/>
          </w:tcPr>
          <w:p w14:paraId="1AC5D533" w14:textId="77777777" w:rsidR="002F27C6" w:rsidRPr="006A13F9" w:rsidRDefault="002F27C6" w:rsidP="00E53718">
            <w:pPr>
              <w:spacing w:line="276" w:lineRule="auto"/>
              <w:jc w:val="both"/>
              <w:rPr>
                <w:rFonts w:ascii="Bookman Old Style" w:eastAsia="Tahoma" w:hAnsi="Bookman Old Style"/>
                <w:b/>
              </w:rPr>
            </w:pPr>
          </w:p>
          <w:p w14:paraId="3290C465" w14:textId="77777777" w:rsidR="002F27C6" w:rsidRPr="006A13F9" w:rsidRDefault="002F27C6" w:rsidP="00E53718">
            <w:pPr>
              <w:spacing w:line="276" w:lineRule="auto"/>
              <w:jc w:val="both"/>
              <w:rPr>
                <w:rFonts w:ascii="Bookman Old Style" w:eastAsia="Tahoma" w:hAnsi="Bookman Old Style"/>
                <w:b/>
              </w:rPr>
            </w:pPr>
            <w:r w:rsidRPr="006A13F9">
              <w:rPr>
                <w:rFonts w:ascii="Bookman Old Style" w:eastAsia="Tahoma" w:hAnsi="Bookman Old Style"/>
                <w:b/>
              </w:rPr>
              <w:t>Artículo 7°</w:t>
            </w:r>
          </w:p>
        </w:tc>
        <w:tc>
          <w:tcPr>
            <w:tcW w:w="4654" w:type="dxa"/>
            <w:shd w:val="clear" w:color="auto" w:fill="auto"/>
          </w:tcPr>
          <w:p w14:paraId="48D03975" w14:textId="451B3D45" w:rsidR="002F27C6" w:rsidRDefault="002F27C6" w:rsidP="00E53718">
            <w:pPr>
              <w:spacing w:line="276" w:lineRule="auto"/>
              <w:jc w:val="both"/>
              <w:rPr>
                <w:rFonts w:ascii="Bookman Old Style" w:eastAsia="Tahoma" w:hAnsi="Bookman Old Style"/>
                <w:bCs/>
              </w:rPr>
            </w:pPr>
          </w:p>
          <w:p w14:paraId="1E6B3450" w14:textId="77777777" w:rsidR="00AC299D" w:rsidRDefault="00AC299D" w:rsidP="00AC299D">
            <w:pPr>
              <w:spacing w:line="276" w:lineRule="auto"/>
              <w:jc w:val="both"/>
              <w:rPr>
                <w:rFonts w:ascii="Bookman Old Style" w:eastAsia="Tahoma" w:hAnsi="Bookman Old Style"/>
                <w:bCs/>
              </w:rPr>
            </w:pPr>
            <w:r>
              <w:rPr>
                <w:rFonts w:ascii="Bookman Old Style" w:eastAsia="Tahoma" w:hAnsi="Bookman Old Style"/>
                <w:bCs/>
              </w:rPr>
              <w:t>Vigencia y derogatorias.</w:t>
            </w:r>
          </w:p>
          <w:p w14:paraId="76CB1960" w14:textId="48C1AB2A" w:rsidR="000E0802" w:rsidRPr="006A13F9" w:rsidRDefault="000E0802" w:rsidP="00E53718">
            <w:pPr>
              <w:spacing w:line="276" w:lineRule="auto"/>
              <w:jc w:val="both"/>
              <w:rPr>
                <w:rFonts w:ascii="Bookman Old Style" w:eastAsia="Tahoma" w:hAnsi="Bookman Old Style"/>
                <w:bCs/>
              </w:rPr>
            </w:pPr>
          </w:p>
        </w:tc>
      </w:tr>
    </w:tbl>
    <w:p w14:paraId="171E6412" w14:textId="0A205F98" w:rsidR="002F27C6" w:rsidRDefault="002F27C6" w:rsidP="002F27C6">
      <w:pPr>
        <w:spacing w:line="276" w:lineRule="auto"/>
        <w:rPr>
          <w:rFonts w:ascii="Bookman Old Style" w:hAnsi="Bookman Old Style"/>
          <w:w w:val="105"/>
        </w:rPr>
      </w:pPr>
    </w:p>
    <w:p w14:paraId="462CE8BE" w14:textId="77777777" w:rsidR="003B68CE" w:rsidRPr="006A13F9" w:rsidRDefault="003B68CE" w:rsidP="003B68CE">
      <w:pPr>
        <w:spacing w:line="276" w:lineRule="auto"/>
        <w:jc w:val="both"/>
        <w:rPr>
          <w:rFonts w:ascii="Bookman Old Style" w:hAnsi="Bookman Old Style"/>
          <w:spacing w:val="-2"/>
        </w:rPr>
      </w:pPr>
    </w:p>
    <w:p w14:paraId="43E989EE" w14:textId="77777777" w:rsidR="003B68CE" w:rsidRPr="006A13F9" w:rsidRDefault="003B68CE" w:rsidP="003B68CE">
      <w:pPr>
        <w:pBdr>
          <w:top w:val="single" w:sz="4" w:space="1" w:color="auto"/>
          <w:left w:val="single" w:sz="4" w:space="4" w:color="auto"/>
          <w:bottom w:val="single" w:sz="4" w:space="1" w:color="auto"/>
          <w:right w:val="single" w:sz="4" w:space="4" w:color="auto"/>
        </w:pBdr>
        <w:spacing w:line="276" w:lineRule="auto"/>
        <w:contextualSpacing/>
        <w:jc w:val="center"/>
        <w:rPr>
          <w:rFonts w:ascii="Bookman Old Style" w:hAnsi="Bookman Old Style"/>
          <w:b/>
          <w:lang w:val="es-ES_tradnl"/>
        </w:rPr>
      </w:pPr>
      <w:r w:rsidRPr="006A13F9">
        <w:rPr>
          <w:rFonts w:ascii="Bookman Old Style" w:hAnsi="Bookman Old Style"/>
          <w:b/>
          <w:lang w:val="es-ES_tradnl"/>
        </w:rPr>
        <w:t>EXPOSICIÓN DE MOTIVOS</w:t>
      </w:r>
    </w:p>
    <w:p w14:paraId="715D3F2F" w14:textId="77777777" w:rsidR="003B68CE" w:rsidRPr="003B68CE" w:rsidRDefault="003B68CE" w:rsidP="003B68CE">
      <w:pPr>
        <w:spacing w:line="276" w:lineRule="auto"/>
        <w:rPr>
          <w:rFonts w:ascii="Bookman Old Style" w:hAnsi="Bookman Old Style"/>
          <w:b/>
          <w:w w:val="85"/>
        </w:rPr>
      </w:pPr>
    </w:p>
    <w:p w14:paraId="719C92D7" w14:textId="77777777" w:rsidR="006A13F9" w:rsidRPr="003B68CE" w:rsidRDefault="006A13F9" w:rsidP="006A13F9">
      <w:pPr>
        <w:rPr>
          <w:rFonts w:ascii="Bookman Old Style" w:eastAsia="Bookman Old Style" w:hAnsi="Bookman Old Style" w:cs="Arial"/>
          <w:b/>
          <w:color w:val="000000"/>
        </w:rPr>
      </w:pPr>
    </w:p>
    <w:p w14:paraId="1EBA3D24" w14:textId="77777777" w:rsidR="006A13F9" w:rsidRPr="003B68CE" w:rsidRDefault="006A13F9" w:rsidP="006A13F9">
      <w:pPr>
        <w:numPr>
          <w:ilvl w:val="0"/>
          <w:numId w:val="10"/>
        </w:numPr>
        <w:pBdr>
          <w:top w:val="nil"/>
          <w:left w:val="nil"/>
          <w:bottom w:val="nil"/>
          <w:right w:val="nil"/>
          <w:between w:val="nil"/>
        </w:pBdr>
        <w:spacing w:line="276" w:lineRule="auto"/>
        <w:rPr>
          <w:rFonts w:ascii="Bookman Old Style" w:eastAsia="Bookman Old Style" w:hAnsi="Bookman Old Style" w:cs="Arial"/>
          <w:b/>
          <w:color w:val="000000"/>
        </w:rPr>
      </w:pPr>
      <w:r w:rsidRPr="003B68CE">
        <w:rPr>
          <w:rFonts w:ascii="Bookman Old Style" w:eastAsia="Bookman Old Style" w:hAnsi="Bookman Old Style" w:cs="Arial"/>
          <w:b/>
          <w:color w:val="000000"/>
          <w:u w:val="single"/>
        </w:rPr>
        <w:t xml:space="preserve">INICIATIVAS LEGISLATIVAS. </w:t>
      </w:r>
    </w:p>
    <w:p w14:paraId="69C84B71" w14:textId="77777777" w:rsidR="006A13F9" w:rsidRPr="003B68CE" w:rsidRDefault="006A13F9" w:rsidP="006A13F9">
      <w:pPr>
        <w:spacing w:line="360" w:lineRule="auto"/>
        <w:jc w:val="both"/>
        <w:rPr>
          <w:rFonts w:ascii="Bookman Old Style" w:eastAsia="Bookman Old Style" w:hAnsi="Bookman Old Style" w:cs="Arial"/>
          <w:b/>
          <w:color w:val="000000"/>
          <w:u w:val="single"/>
        </w:rPr>
      </w:pPr>
    </w:p>
    <w:p w14:paraId="44032530" w14:textId="77777777" w:rsidR="006A13F9" w:rsidRPr="003B68CE" w:rsidRDefault="006A13F9" w:rsidP="006A13F9">
      <w:pPr>
        <w:spacing w:line="360" w:lineRule="auto"/>
        <w:jc w:val="both"/>
        <w:rPr>
          <w:rFonts w:ascii="Bookman Old Style" w:eastAsia="Bookman Old Style" w:hAnsi="Bookman Old Style" w:cs="Arial"/>
        </w:rPr>
      </w:pPr>
      <w:r w:rsidRPr="003B68CE">
        <w:rPr>
          <w:rFonts w:ascii="Bookman Old Style" w:eastAsia="Bookman Old Style" w:hAnsi="Bookman Old Style" w:cs="Arial"/>
        </w:rPr>
        <w:t>El artículo 150° de la Constitución Política establece:</w:t>
      </w:r>
    </w:p>
    <w:p w14:paraId="47B674EF" w14:textId="77777777" w:rsidR="006A13F9" w:rsidRPr="003B68CE" w:rsidRDefault="006A13F9" w:rsidP="006A13F9">
      <w:pPr>
        <w:pBdr>
          <w:top w:val="nil"/>
          <w:left w:val="nil"/>
          <w:bottom w:val="nil"/>
          <w:right w:val="nil"/>
          <w:between w:val="nil"/>
        </w:pBdr>
        <w:spacing w:after="200"/>
        <w:ind w:left="720" w:right="474"/>
        <w:jc w:val="both"/>
        <w:rPr>
          <w:rFonts w:ascii="Bookman Old Style" w:eastAsia="Bookman Old Style" w:hAnsi="Bookman Old Style" w:cs="Arial"/>
          <w:i/>
          <w:color w:val="000000"/>
        </w:rPr>
      </w:pPr>
      <w:r w:rsidRPr="003B68CE">
        <w:rPr>
          <w:rFonts w:ascii="Bookman Old Style" w:eastAsia="Bookman Old Style" w:hAnsi="Bookman Old Style" w:cs="Arial"/>
          <w:i/>
          <w:color w:val="000000"/>
        </w:rPr>
        <w:t>“Corresponde al Congreso hacer las leyes (…)”.</w:t>
      </w:r>
    </w:p>
    <w:p w14:paraId="3DB0CE24" w14:textId="77777777" w:rsidR="006A13F9" w:rsidRPr="003B68CE" w:rsidRDefault="006A13F9" w:rsidP="006A13F9">
      <w:pPr>
        <w:pBdr>
          <w:top w:val="nil"/>
          <w:left w:val="nil"/>
          <w:bottom w:val="nil"/>
          <w:right w:val="nil"/>
          <w:between w:val="nil"/>
        </w:pBdr>
        <w:spacing w:line="276" w:lineRule="auto"/>
        <w:rPr>
          <w:rFonts w:ascii="Bookman Old Style" w:eastAsia="Bookman Old Style" w:hAnsi="Bookman Old Style" w:cs="Arial"/>
          <w:color w:val="000000"/>
        </w:rPr>
      </w:pPr>
      <w:r w:rsidRPr="003B68CE">
        <w:rPr>
          <w:rFonts w:ascii="Bookman Old Style" w:eastAsia="Bookman Old Style" w:hAnsi="Bookman Old Style" w:cs="Arial"/>
          <w:color w:val="000000"/>
        </w:rPr>
        <w:t>Así mismo, el mismo texto constitucional consagra en su artículo 154° lo que sigue:</w:t>
      </w:r>
    </w:p>
    <w:p w14:paraId="42E10256" w14:textId="77777777" w:rsidR="006A13F9" w:rsidRPr="003B68CE" w:rsidRDefault="006A13F9" w:rsidP="006A13F9">
      <w:pPr>
        <w:pBdr>
          <w:top w:val="nil"/>
          <w:left w:val="nil"/>
          <w:bottom w:val="nil"/>
          <w:right w:val="nil"/>
          <w:between w:val="nil"/>
        </w:pBdr>
        <w:rPr>
          <w:rFonts w:ascii="Bookman Old Style" w:hAnsi="Bookman Old Style" w:cs="Arial"/>
          <w:color w:val="000000"/>
        </w:rPr>
      </w:pPr>
    </w:p>
    <w:p w14:paraId="4D236D1E" w14:textId="77777777" w:rsidR="006A13F9" w:rsidRPr="003B68CE" w:rsidRDefault="006A13F9" w:rsidP="006A13F9">
      <w:pPr>
        <w:pBdr>
          <w:top w:val="nil"/>
          <w:left w:val="nil"/>
          <w:bottom w:val="nil"/>
          <w:right w:val="nil"/>
          <w:between w:val="nil"/>
        </w:pBdr>
        <w:spacing w:after="200"/>
        <w:ind w:left="720" w:right="474"/>
        <w:jc w:val="both"/>
        <w:rPr>
          <w:rFonts w:ascii="Bookman Old Style" w:eastAsia="Bookman Old Style" w:hAnsi="Bookman Old Style" w:cs="Arial"/>
          <w:color w:val="000000"/>
        </w:rPr>
      </w:pPr>
      <w:r w:rsidRPr="003B68CE">
        <w:rPr>
          <w:rFonts w:ascii="Bookman Old Style" w:eastAsia="Bookman Old Style" w:hAnsi="Bookman Old Style" w:cs="Arial"/>
          <w:i/>
          <w:color w:val="000000"/>
        </w:rPr>
        <w:t xml:space="preserve">“Las leyes pueden tener origen en cualquiera de las Cámaras </w:t>
      </w:r>
      <w:r w:rsidRPr="003B68CE">
        <w:rPr>
          <w:rFonts w:ascii="Bookman Old Style" w:eastAsia="Bookman Old Style" w:hAnsi="Bookman Old Style" w:cs="Arial"/>
          <w:i/>
          <w:color w:val="000000"/>
          <w:u w:val="single"/>
        </w:rPr>
        <w:t>a propuesta de sus respectivos miembros,</w:t>
      </w:r>
      <w:r w:rsidRPr="003B68CE">
        <w:rPr>
          <w:rFonts w:ascii="Bookman Old Style" w:eastAsia="Bookman Old Style" w:hAnsi="Bookman Old Style" w:cs="Arial"/>
          <w:i/>
          <w:color w:val="000000"/>
        </w:rPr>
        <w:t xml:space="preserve"> del Gobierno Nacional, de las entidades señaladas en el artículo </w:t>
      </w:r>
      <w:hyperlink r:id="rId8" w:anchor="156">
        <w:r w:rsidRPr="003B68CE">
          <w:rPr>
            <w:rFonts w:ascii="Bookman Old Style" w:eastAsia="Bookman Old Style" w:hAnsi="Bookman Old Style" w:cs="Arial"/>
            <w:i/>
            <w:color w:val="000000"/>
          </w:rPr>
          <w:t>156</w:t>
        </w:r>
      </w:hyperlink>
      <w:r w:rsidRPr="003B68CE">
        <w:rPr>
          <w:rFonts w:ascii="Bookman Old Style" w:eastAsia="Bookman Old Style" w:hAnsi="Bookman Old Style" w:cs="Arial"/>
          <w:i/>
          <w:color w:val="000000"/>
        </w:rPr>
        <w:t xml:space="preserve">, o por iniciativa popular en los casos previstos en la Constitución (…).” </w:t>
      </w:r>
      <w:r w:rsidRPr="003B68CE">
        <w:rPr>
          <w:rFonts w:ascii="Bookman Old Style" w:eastAsia="Bookman Old Style" w:hAnsi="Bookman Old Style" w:cs="Arial"/>
          <w:color w:val="000000"/>
        </w:rPr>
        <w:t>(Subrayado fuera de texto).</w:t>
      </w:r>
    </w:p>
    <w:p w14:paraId="631DE380" w14:textId="77777777" w:rsidR="006A13F9" w:rsidRPr="003B68CE" w:rsidRDefault="006A13F9" w:rsidP="006A13F9">
      <w:pPr>
        <w:spacing w:line="276" w:lineRule="auto"/>
        <w:jc w:val="both"/>
        <w:rPr>
          <w:rFonts w:ascii="Bookman Old Style" w:eastAsia="Bookman Old Style" w:hAnsi="Bookman Old Style" w:cs="Arial"/>
        </w:rPr>
      </w:pPr>
      <w:r w:rsidRPr="003B68CE">
        <w:rPr>
          <w:rFonts w:ascii="Bookman Old Style" w:eastAsia="Bookman Old Style" w:hAnsi="Bookman Old Style" w:cs="Arial"/>
        </w:rPr>
        <w:t>En el desarrollo legal, la Ley 5ta de 1992 estableció en su artículo 140º, modificado por el artículo 13 de la Ley 974 de 2005, lo que a continuación se indica:</w:t>
      </w:r>
    </w:p>
    <w:p w14:paraId="0CAD89E8" w14:textId="77777777" w:rsidR="006A13F9" w:rsidRPr="003B68CE" w:rsidRDefault="006A13F9" w:rsidP="006A13F9">
      <w:pPr>
        <w:jc w:val="both"/>
        <w:rPr>
          <w:rFonts w:ascii="Bookman Old Style" w:eastAsia="Bookman Old Style" w:hAnsi="Bookman Old Style" w:cs="Arial"/>
        </w:rPr>
      </w:pPr>
    </w:p>
    <w:p w14:paraId="78904C0A" w14:textId="77777777" w:rsidR="006A13F9" w:rsidRPr="003B68CE" w:rsidRDefault="006A13F9" w:rsidP="006A13F9">
      <w:pPr>
        <w:pBdr>
          <w:top w:val="nil"/>
          <w:left w:val="nil"/>
          <w:bottom w:val="nil"/>
          <w:right w:val="nil"/>
          <w:between w:val="nil"/>
        </w:pBdr>
        <w:ind w:left="720" w:right="333"/>
        <w:rPr>
          <w:rFonts w:ascii="Bookman Old Style" w:eastAsia="Bookman Old Style" w:hAnsi="Bookman Old Style" w:cs="Arial"/>
          <w:i/>
          <w:color w:val="000000"/>
        </w:rPr>
      </w:pPr>
      <w:r w:rsidRPr="003B68CE">
        <w:rPr>
          <w:rFonts w:ascii="Bookman Old Style" w:eastAsia="Bookman Old Style" w:hAnsi="Bookman Old Style" w:cs="Arial"/>
          <w:i/>
          <w:color w:val="000000"/>
        </w:rPr>
        <w:t>Pueden presentar proyectos de ley:</w:t>
      </w:r>
    </w:p>
    <w:p w14:paraId="52C215C4" w14:textId="77777777" w:rsidR="006A13F9" w:rsidRPr="003B68CE" w:rsidRDefault="006A13F9" w:rsidP="006A13F9">
      <w:pPr>
        <w:pBdr>
          <w:top w:val="nil"/>
          <w:left w:val="nil"/>
          <w:bottom w:val="nil"/>
          <w:right w:val="nil"/>
          <w:between w:val="nil"/>
        </w:pBdr>
        <w:ind w:left="720" w:right="333"/>
        <w:rPr>
          <w:rFonts w:ascii="Bookman Old Style" w:eastAsia="Bookman Old Style" w:hAnsi="Bookman Old Style" w:cs="Arial"/>
          <w:i/>
          <w:color w:val="000000"/>
        </w:rPr>
      </w:pPr>
      <w:r w:rsidRPr="003B68CE">
        <w:rPr>
          <w:rFonts w:ascii="Bookman Old Style" w:eastAsia="Bookman Old Style" w:hAnsi="Bookman Old Style" w:cs="Arial"/>
          <w:i/>
          <w:color w:val="000000"/>
        </w:rPr>
        <w:t>1. Los Senadores y Representantes a la Cámara individualmente y a través de las bancadas.</w:t>
      </w:r>
    </w:p>
    <w:p w14:paraId="7AC9DD09" w14:textId="77777777" w:rsidR="006A13F9" w:rsidRPr="003B68CE" w:rsidRDefault="006A13F9" w:rsidP="006A13F9">
      <w:pPr>
        <w:pBdr>
          <w:top w:val="nil"/>
          <w:left w:val="nil"/>
          <w:bottom w:val="nil"/>
          <w:right w:val="nil"/>
          <w:between w:val="nil"/>
        </w:pBdr>
        <w:ind w:left="720" w:right="333"/>
        <w:rPr>
          <w:rFonts w:ascii="Bookman Old Style" w:eastAsia="Bookman Old Style" w:hAnsi="Bookman Old Style" w:cs="Arial"/>
          <w:i/>
          <w:color w:val="000000"/>
        </w:rPr>
      </w:pPr>
      <w:r w:rsidRPr="003B68CE">
        <w:rPr>
          <w:rFonts w:ascii="Bookman Old Style" w:eastAsia="Bookman Old Style" w:hAnsi="Bookman Old Style" w:cs="Arial"/>
          <w:i/>
          <w:color w:val="000000"/>
        </w:rPr>
        <w:t xml:space="preserve">2. El Gobierno Nacional, a través de los </w:t>
      </w:r>
      <w:proofErr w:type="gramStart"/>
      <w:r w:rsidRPr="003B68CE">
        <w:rPr>
          <w:rFonts w:ascii="Bookman Old Style" w:eastAsia="Bookman Old Style" w:hAnsi="Bookman Old Style" w:cs="Arial"/>
          <w:i/>
          <w:color w:val="000000"/>
        </w:rPr>
        <w:t>Ministros</w:t>
      </w:r>
      <w:proofErr w:type="gramEnd"/>
      <w:r w:rsidRPr="003B68CE">
        <w:rPr>
          <w:rFonts w:ascii="Bookman Old Style" w:eastAsia="Bookman Old Style" w:hAnsi="Bookman Old Style" w:cs="Arial"/>
          <w:i/>
          <w:color w:val="000000"/>
        </w:rPr>
        <w:t xml:space="preserve"> del Despacho.</w:t>
      </w:r>
    </w:p>
    <w:p w14:paraId="2D31A47F" w14:textId="77777777" w:rsidR="006A13F9" w:rsidRPr="003B68CE" w:rsidRDefault="006A13F9" w:rsidP="006A13F9">
      <w:pPr>
        <w:pBdr>
          <w:top w:val="nil"/>
          <w:left w:val="nil"/>
          <w:bottom w:val="nil"/>
          <w:right w:val="nil"/>
          <w:between w:val="nil"/>
        </w:pBdr>
        <w:ind w:left="720" w:right="333"/>
        <w:rPr>
          <w:rFonts w:ascii="Bookman Old Style" w:eastAsia="Bookman Old Style" w:hAnsi="Bookman Old Style" w:cs="Arial"/>
          <w:i/>
          <w:color w:val="000000"/>
        </w:rPr>
      </w:pPr>
      <w:r w:rsidRPr="003B68CE">
        <w:rPr>
          <w:rFonts w:ascii="Bookman Old Style" w:eastAsia="Bookman Old Style" w:hAnsi="Bookman Old Style" w:cs="Arial"/>
          <w:i/>
          <w:color w:val="000000"/>
        </w:rPr>
        <w:t>3. La Corte Constitucional.</w:t>
      </w:r>
    </w:p>
    <w:p w14:paraId="64806A49" w14:textId="77777777" w:rsidR="006A13F9" w:rsidRPr="003B68CE" w:rsidRDefault="006A13F9" w:rsidP="006A13F9">
      <w:pPr>
        <w:pBdr>
          <w:top w:val="nil"/>
          <w:left w:val="nil"/>
          <w:bottom w:val="nil"/>
          <w:right w:val="nil"/>
          <w:between w:val="nil"/>
        </w:pBdr>
        <w:ind w:left="720" w:right="333"/>
        <w:rPr>
          <w:rFonts w:ascii="Bookman Old Style" w:eastAsia="Bookman Old Style" w:hAnsi="Bookman Old Style" w:cs="Arial"/>
          <w:i/>
          <w:color w:val="000000"/>
        </w:rPr>
      </w:pPr>
      <w:r w:rsidRPr="003B68CE">
        <w:rPr>
          <w:rFonts w:ascii="Bookman Old Style" w:eastAsia="Bookman Old Style" w:hAnsi="Bookman Old Style" w:cs="Arial"/>
          <w:i/>
          <w:color w:val="000000"/>
        </w:rPr>
        <w:t>4. El Consejo Superior de la Judicatura.</w:t>
      </w:r>
    </w:p>
    <w:p w14:paraId="2D7A5DAB" w14:textId="77777777" w:rsidR="006A13F9" w:rsidRPr="003B68CE" w:rsidRDefault="006A13F9" w:rsidP="006A13F9">
      <w:pPr>
        <w:pBdr>
          <w:top w:val="nil"/>
          <w:left w:val="nil"/>
          <w:bottom w:val="nil"/>
          <w:right w:val="nil"/>
          <w:between w:val="nil"/>
        </w:pBdr>
        <w:ind w:left="720" w:right="333"/>
        <w:rPr>
          <w:rFonts w:ascii="Bookman Old Style" w:eastAsia="Bookman Old Style" w:hAnsi="Bookman Old Style" w:cs="Arial"/>
          <w:i/>
          <w:color w:val="000000"/>
        </w:rPr>
      </w:pPr>
      <w:r w:rsidRPr="003B68CE">
        <w:rPr>
          <w:rFonts w:ascii="Bookman Old Style" w:eastAsia="Bookman Old Style" w:hAnsi="Bookman Old Style" w:cs="Arial"/>
          <w:i/>
          <w:color w:val="000000"/>
        </w:rPr>
        <w:t>5. La Corte Suprema de Justicia.</w:t>
      </w:r>
    </w:p>
    <w:p w14:paraId="4A683938" w14:textId="77777777" w:rsidR="006A13F9" w:rsidRPr="003B68CE" w:rsidRDefault="006A13F9" w:rsidP="006A13F9">
      <w:pPr>
        <w:pBdr>
          <w:top w:val="nil"/>
          <w:left w:val="nil"/>
          <w:bottom w:val="nil"/>
          <w:right w:val="nil"/>
          <w:between w:val="nil"/>
        </w:pBdr>
        <w:ind w:left="720" w:right="333"/>
        <w:rPr>
          <w:rFonts w:ascii="Bookman Old Style" w:eastAsia="Bookman Old Style" w:hAnsi="Bookman Old Style" w:cs="Arial"/>
          <w:i/>
          <w:color w:val="000000"/>
        </w:rPr>
      </w:pPr>
      <w:r w:rsidRPr="003B68CE">
        <w:rPr>
          <w:rFonts w:ascii="Bookman Old Style" w:eastAsia="Bookman Old Style" w:hAnsi="Bookman Old Style" w:cs="Arial"/>
          <w:i/>
          <w:color w:val="000000"/>
        </w:rPr>
        <w:t>6. El Consejo de Estado.</w:t>
      </w:r>
    </w:p>
    <w:p w14:paraId="1B67F9DB" w14:textId="77777777" w:rsidR="006A13F9" w:rsidRPr="003B68CE" w:rsidRDefault="006A13F9" w:rsidP="006A13F9">
      <w:pPr>
        <w:pBdr>
          <w:top w:val="nil"/>
          <w:left w:val="nil"/>
          <w:bottom w:val="nil"/>
          <w:right w:val="nil"/>
          <w:between w:val="nil"/>
        </w:pBdr>
        <w:ind w:left="720" w:right="333"/>
        <w:rPr>
          <w:rFonts w:ascii="Bookman Old Style" w:eastAsia="Bookman Old Style" w:hAnsi="Bookman Old Style" w:cs="Arial"/>
          <w:i/>
          <w:color w:val="000000"/>
        </w:rPr>
      </w:pPr>
      <w:r w:rsidRPr="003B68CE">
        <w:rPr>
          <w:rFonts w:ascii="Bookman Old Style" w:eastAsia="Bookman Old Style" w:hAnsi="Bookman Old Style" w:cs="Arial"/>
          <w:i/>
          <w:color w:val="000000"/>
        </w:rPr>
        <w:t>7. El Consejo Nacional Electoral.</w:t>
      </w:r>
    </w:p>
    <w:p w14:paraId="7EE8F83C" w14:textId="77777777" w:rsidR="006A13F9" w:rsidRPr="003B68CE" w:rsidRDefault="006A13F9" w:rsidP="006A13F9">
      <w:pPr>
        <w:pBdr>
          <w:top w:val="nil"/>
          <w:left w:val="nil"/>
          <w:bottom w:val="nil"/>
          <w:right w:val="nil"/>
          <w:between w:val="nil"/>
        </w:pBdr>
        <w:ind w:left="720" w:right="333"/>
        <w:rPr>
          <w:rFonts w:ascii="Bookman Old Style" w:eastAsia="Bookman Old Style" w:hAnsi="Bookman Old Style" w:cs="Arial"/>
          <w:i/>
          <w:color w:val="000000"/>
        </w:rPr>
      </w:pPr>
      <w:r w:rsidRPr="003B68CE">
        <w:rPr>
          <w:rFonts w:ascii="Bookman Old Style" w:eastAsia="Bookman Old Style" w:hAnsi="Bookman Old Style" w:cs="Arial"/>
          <w:i/>
          <w:color w:val="000000"/>
        </w:rPr>
        <w:t>8. El Procurador General de la Nación.</w:t>
      </w:r>
    </w:p>
    <w:p w14:paraId="4A88000B" w14:textId="77777777" w:rsidR="006A13F9" w:rsidRPr="003B68CE" w:rsidRDefault="006A13F9" w:rsidP="006A13F9">
      <w:pPr>
        <w:pBdr>
          <w:top w:val="nil"/>
          <w:left w:val="nil"/>
          <w:bottom w:val="nil"/>
          <w:right w:val="nil"/>
          <w:between w:val="nil"/>
        </w:pBdr>
        <w:ind w:left="720" w:right="333"/>
        <w:rPr>
          <w:rFonts w:ascii="Bookman Old Style" w:eastAsia="Bookman Old Style" w:hAnsi="Bookman Old Style" w:cs="Arial"/>
          <w:i/>
          <w:color w:val="000000"/>
        </w:rPr>
      </w:pPr>
      <w:r w:rsidRPr="003B68CE">
        <w:rPr>
          <w:rFonts w:ascii="Bookman Old Style" w:eastAsia="Bookman Old Style" w:hAnsi="Bookman Old Style" w:cs="Arial"/>
          <w:i/>
          <w:color w:val="000000"/>
        </w:rPr>
        <w:t>9. El Contralor General de la República.</w:t>
      </w:r>
    </w:p>
    <w:p w14:paraId="5E7695B6" w14:textId="77777777" w:rsidR="006A13F9" w:rsidRPr="003B68CE" w:rsidRDefault="006A13F9" w:rsidP="006A13F9">
      <w:pPr>
        <w:pBdr>
          <w:top w:val="nil"/>
          <w:left w:val="nil"/>
          <w:bottom w:val="nil"/>
          <w:right w:val="nil"/>
          <w:between w:val="nil"/>
        </w:pBdr>
        <w:ind w:left="720" w:right="333"/>
        <w:rPr>
          <w:rFonts w:ascii="Bookman Old Style" w:eastAsia="Bookman Old Style" w:hAnsi="Bookman Old Style" w:cs="Arial"/>
          <w:i/>
          <w:color w:val="000000"/>
        </w:rPr>
      </w:pPr>
      <w:r w:rsidRPr="003B68CE">
        <w:rPr>
          <w:rFonts w:ascii="Bookman Old Style" w:eastAsia="Bookman Old Style" w:hAnsi="Bookman Old Style" w:cs="Arial"/>
          <w:i/>
          <w:color w:val="000000"/>
        </w:rPr>
        <w:t xml:space="preserve">10. El </w:t>
      </w:r>
      <w:proofErr w:type="gramStart"/>
      <w:r w:rsidRPr="003B68CE">
        <w:rPr>
          <w:rFonts w:ascii="Bookman Old Style" w:eastAsia="Bookman Old Style" w:hAnsi="Bookman Old Style" w:cs="Arial"/>
          <w:i/>
          <w:color w:val="000000"/>
        </w:rPr>
        <w:t>Fiscal General</w:t>
      </w:r>
      <w:proofErr w:type="gramEnd"/>
      <w:r w:rsidRPr="003B68CE">
        <w:rPr>
          <w:rFonts w:ascii="Bookman Old Style" w:eastAsia="Bookman Old Style" w:hAnsi="Bookman Old Style" w:cs="Arial"/>
          <w:i/>
          <w:color w:val="000000"/>
        </w:rPr>
        <w:t xml:space="preserve"> de la Nación.</w:t>
      </w:r>
    </w:p>
    <w:p w14:paraId="065A60A8" w14:textId="77777777" w:rsidR="006A13F9" w:rsidRPr="003B68CE" w:rsidRDefault="006A13F9" w:rsidP="006A13F9">
      <w:pPr>
        <w:pBdr>
          <w:top w:val="nil"/>
          <w:left w:val="nil"/>
          <w:bottom w:val="nil"/>
          <w:right w:val="nil"/>
          <w:between w:val="nil"/>
        </w:pBdr>
        <w:ind w:left="720" w:right="333"/>
        <w:rPr>
          <w:rFonts w:ascii="Bookman Old Style" w:eastAsia="Bookman Old Style" w:hAnsi="Bookman Old Style" w:cs="Arial"/>
          <w:i/>
          <w:color w:val="000000"/>
        </w:rPr>
      </w:pPr>
      <w:r w:rsidRPr="003B68CE">
        <w:rPr>
          <w:rFonts w:ascii="Bookman Old Style" w:eastAsia="Bookman Old Style" w:hAnsi="Bookman Old Style" w:cs="Arial"/>
          <w:i/>
          <w:color w:val="000000"/>
        </w:rPr>
        <w:t xml:space="preserve">11. El Defensor del Pueblo. </w:t>
      </w:r>
    </w:p>
    <w:p w14:paraId="543AB1F8" w14:textId="77777777" w:rsidR="006A13F9" w:rsidRPr="003B68CE" w:rsidRDefault="006A13F9" w:rsidP="006A13F9">
      <w:pPr>
        <w:pBdr>
          <w:top w:val="nil"/>
          <w:left w:val="nil"/>
          <w:bottom w:val="nil"/>
          <w:right w:val="nil"/>
          <w:between w:val="nil"/>
        </w:pBdr>
        <w:ind w:left="720" w:right="333"/>
        <w:rPr>
          <w:rFonts w:ascii="Bookman Old Style" w:eastAsia="Bookman Old Style" w:hAnsi="Bookman Old Style" w:cs="Arial"/>
          <w:i/>
          <w:color w:val="000000"/>
        </w:rPr>
      </w:pPr>
      <w:r w:rsidRPr="003B68CE">
        <w:rPr>
          <w:rFonts w:ascii="Bookman Old Style" w:eastAsia="Bookman Old Style" w:hAnsi="Bookman Old Style" w:cs="Arial"/>
          <w:i/>
          <w:color w:val="000000"/>
        </w:rPr>
        <w:t xml:space="preserve">     (Subrayado fuera de texto).</w:t>
      </w:r>
    </w:p>
    <w:p w14:paraId="6ACA65FC" w14:textId="77777777" w:rsidR="006A13F9" w:rsidRPr="003B68CE" w:rsidRDefault="006A13F9" w:rsidP="006A13F9">
      <w:pPr>
        <w:numPr>
          <w:ilvl w:val="0"/>
          <w:numId w:val="10"/>
        </w:numPr>
        <w:pBdr>
          <w:top w:val="nil"/>
          <w:left w:val="nil"/>
          <w:bottom w:val="nil"/>
          <w:right w:val="nil"/>
          <w:between w:val="nil"/>
        </w:pBdr>
        <w:spacing w:before="280" w:after="280"/>
        <w:rPr>
          <w:rFonts w:ascii="Bookman Old Style" w:eastAsia="Bookman Old Style" w:hAnsi="Bookman Old Style" w:cs="Arial"/>
          <w:color w:val="000000"/>
          <w:u w:val="single"/>
        </w:rPr>
      </w:pPr>
      <w:r w:rsidRPr="003B68CE">
        <w:rPr>
          <w:rFonts w:ascii="Bookman Old Style" w:eastAsia="Bookman Old Style" w:hAnsi="Bookman Old Style" w:cs="Arial"/>
          <w:b/>
          <w:color w:val="000000"/>
          <w:u w:val="single"/>
        </w:rPr>
        <w:lastRenderedPageBreak/>
        <w:t>OBJETO DE LA INICIATIVA</w:t>
      </w:r>
    </w:p>
    <w:p w14:paraId="71B76E27" w14:textId="77777777" w:rsidR="006A13F9" w:rsidRPr="003B68CE" w:rsidRDefault="006A13F9" w:rsidP="006A13F9">
      <w:pPr>
        <w:spacing w:line="276" w:lineRule="auto"/>
        <w:jc w:val="both"/>
        <w:rPr>
          <w:rFonts w:ascii="Bookman Old Style" w:eastAsia="Bookman Old Style" w:hAnsi="Bookman Old Style" w:cs="Arial"/>
          <w:i/>
          <w:color w:val="000000"/>
        </w:rPr>
      </w:pPr>
      <w:r w:rsidRPr="003B68CE">
        <w:rPr>
          <w:rFonts w:ascii="Bookman Old Style" w:eastAsia="Bookman Old Style" w:hAnsi="Bookman Old Style" w:cs="Arial"/>
          <w:color w:val="000000"/>
        </w:rPr>
        <w:t xml:space="preserve">En relación a los niños y niñas, es la misma Constitución Política en su artículo 44 la que establece y exige una defensa y una serie de acciones en busca de una especial protección. El constituyente, si bien habló de protección especial de los menores de edad, no dejó por fuera del amparo a los adolescentes, ello se confirma al leer lo consagrado en el artículo 45 </w:t>
      </w:r>
      <w:proofErr w:type="spellStart"/>
      <w:r w:rsidRPr="003B68CE">
        <w:rPr>
          <w:rFonts w:ascii="Bookman Old Style" w:eastAsia="Bookman Old Style" w:hAnsi="Bookman Old Style" w:cs="Arial"/>
          <w:color w:val="000000"/>
        </w:rPr>
        <w:t>ibídem</w:t>
      </w:r>
      <w:proofErr w:type="spellEnd"/>
      <w:r w:rsidRPr="003B68CE">
        <w:rPr>
          <w:rFonts w:ascii="Bookman Old Style" w:eastAsia="Bookman Old Style" w:hAnsi="Bookman Old Style" w:cs="Arial"/>
          <w:color w:val="000000"/>
        </w:rPr>
        <w:t xml:space="preserve"> en donde se observa que </w:t>
      </w:r>
      <w:r w:rsidRPr="003B68CE">
        <w:rPr>
          <w:rFonts w:ascii="Bookman Old Style" w:eastAsia="Bookman Old Style" w:hAnsi="Bookman Old Style" w:cs="Arial"/>
          <w:i/>
          <w:color w:val="000000"/>
        </w:rPr>
        <w:t>"el adolescente tiene derecho a la protección y a la formación integral".</w:t>
      </w:r>
    </w:p>
    <w:p w14:paraId="2509C6E1" w14:textId="77777777" w:rsidR="006A13F9" w:rsidRPr="003B68CE" w:rsidRDefault="006A13F9" w:rsidP="006A13F9">
      <w:pPr>
        <w:spacing w:line="276" w:lineRule="auto"/>
        <w:jc w:val="both"/>
        <w:rPr>
          <w:rFonts w:ascii="Bookman Old Style" w:eastAsia="Bookman Old Style" w:hAnsi="Bookman Old Style" w:cs="Arial"/>
          <w:i/>
          <w:color w:val="000000"/>
        </w:rPr>
      </w:pPr>
    </w:p>
    <w:p w14:paraId="031F7132" w14:textId="77777777" w:rsidR="006A13F9" w:rsidRPr="003B68CE" w:rsidRDefault="006A13F9" w:rsidP="006A13F9">
      <w:pPr>
        <w:spacing w:line="276" w:lineRule="auto"/>
        <w:jc w:val="both"/>
        <w:rPr>
          <w:rFonts w:ascii="Bookman Old Style" w:eastAsia="Bookman Old Style" w:hAnsi="Bookman Old Style" w:cs="Arial"/>
          <w:color w:val="000000"/>
        </w:rPr>
      </w:pPr>
      <w:r w:rsidRPr="003B68CE">
        <w:rPr>
          <w:rFonts w:ascii="Bookman Old Style" w:eastAsia="Bookman Old Style" w:hAnsi="Bookman Old Style" w:cs="Arial"/>
          <w:color w:val="000000"/>
        </w:rPr>
        <w:t>El abuso sexual infantil y los actos sexuales con niños, niñas y adolescentes no siempre ha sido una conducta penalizada, por el contrario, según Sáenz Martínez, solo a mediados del siglo XX los Estados comenzaron a preocuparse por los abusos sexuales a esta población y, con la entrada en vigor de la Carta de los Derechos del Niño en 1989, los gobiernos comienzan a cambiar la legislación y crear medios e instituciones para proteger a los menores</w:t>
      </w:r>
      <w:r w:rsidRPr="003B68CE">
        <w:rPr>
          <w:rFonts w:ascii="Bookman Old Style" w:eastAsia="Bookman Old Style" w:hAnsi="Bookman Old Style" w:cs="Arial"/>
          <w:color w:val="000000"/>
          <w:vertAlign w:val="superscript"/>
        </w:rPr>
        <w:footnoteReference w:id="1"/>
      </w:r>
      <w:r w:rsidRPr="003B68CE">
        <w:rPr>
          <w:rFonts w:ascii="Bookman Old Style" w:eastAsia="Bookman Old Style" w:hAnsi="Bookman Old Style" w:cs="Arial"/>
          <w:color w:val="000000"/>
        </w:rPr>
        <w:t>. En tiempos pasados era común, aceptado y poco rechazado el hecho de observar adultos relacionados sexualmente con menores de edad. Sin embargo, esa idea, con el paso de los tiempos, se ha modificado debido a los avances en el tema de los derechos de los niños, niñas y adolescentes y a los cambios en las concepciones relacionadas con la necesidad de protegerlos y brindarles espacios que les permitan crecer y formarse de manera integral.</w:t>
      </w:r>
    </w:p>
    <w:p w14:paraId="68463B44" w14:textId="77777777" w:rsidR="006A13F9" w:rsidRPr="003B68CE" w:rsidRDefault="006A13F9" w:rsidP="006A13F9">
      <w:pPr>
        <w:spacing w:line="276" w:lineRule="auto"/>
        <w:jc w:val="both"/>
        <w:rPr>
          <w:rFonts w:ascii="Bookman Old Style" w:eastAsia="Bookman Old Style" w:hAnsi="Bookman Old Style" w:cs="Arial"/>
          <w:color w:val="000000"/>
        </w:rPr>
      </w:pPr>
    </w:p>
    <w:p w14:paraId="695C9112" w14:textId="77777777" w:rsidR="006A13F9" w:rsidRPr="003B68CE" w:rsidRDefault="006A13F9" w:rsidP="006A13F9">
      <w:pPr>
        <w:spacing w:line="276" w:lineRule="auto"/>
        <w:jc w:val="both"/>
        <w:rPr>
          <w:rFonts w:ascii="Bookman Old Style" w:eastAsia="Bookman Old Style" w:hAnsi="Bookman Old Style" w:cs="Arial"/>
          <w:color w:val="000000"/>
        </w:rPr>
      </w:pPr>
      <w:r w:rsidRPr="003B68CE">
        <w:rPr>
          <w:rFonts w:ascii="Bookman Old Style" w:eastAsia="Bookman Old Style" w:hAnsi="Bookman Old Style" w:cs="Arial"/>
          <w:color w:val="000000"/>
        </w:rPr>
        <w:t>Se ha demostrado que la actividad sexual temprana en la adolescencia representa un problema de salud pública</w:t>
      </w:r>
      <w:r w:rsidRPr="003B68CE">
        <w:rPr>
          <w:rFonts w:ascii="Bookman Old Style" w:eastAsia="Bookman Old Style" w:hAnsi="Bookman Old Style" w:cs="Arial"/>
          <w:color w:val="000000"/>
          <w:vertAlign w:val="superscript"/>
        </w:rPr>
        <w:footnoteReference w:id="2"/>
      </w:r>
      <w:r w:rsidRPr="003B68CE">
        <w:rPr>
          <w:rFonts w:ascii="Bookman Old Style" w:eastAsia="Bookman Old Style" w:hAnsi="Bookman Old Style" w:cs="Arial"/>
          <w:color w:val="000000"/>
        </w:rPr>
        <w:t xml:space="preserve"> por cuanto es causa de otros flagelos como embarazo adolescente, </w:t>
      </w:r>
      <w:proofErr w:type="spellStart"/>
      <w:r w:rsidRPr="003B68CE">
        <w:rPr>
          <w:rFonts w:ascii="Bookman Old Style" w:eastAsia="Bookman Old Style" w:hAnsi="Bookman Old Style" w:cs="Arial"/>
          <w:color w:val="000000"/>
        </w:rPr>
        <w:t>enfermendades</w:t>
      </w:r>
      <w:proofErr w:type="spellEnd"/>
      <w:r w:rsidRPr="003B68CE">
        <w:rPr>
          <w:rFonts w:ascii="Bookman Old Style" w:eastAsia="Bookman Old Style" w:hAnsi="Bookman Old Style" w:cs="Arial"/>
          <w:color w:val="000000"/>
        </w:rPr>
        <w:t xml:space="preserve"> de transmisión sexual, problemas familiares, económicos y hasta sociales, en la medida en que un embarazo adolescente representa inevitablemente un retraso en la formación educativa de los niños, niñas y adolescentes y un aumento en las dificultades y complejidades en la toma de decisiones para la escogencia de su formación socio ocupacional. El hecho que un niño, niña o adolescente inicie su vida sexual de la que puedan surgir consecuencias de embarazos, enfermedades de transmisión sexual o el mismo cuidado de un hijo, puede llevar a un escenario del que dependerá su futuro, las oportunidades </w:t>
      </w:r>
      <w:r w:rsidRPr="003B68CE">
        <w:rPr>
          <w:rFonts w:ascii="Bookman Old Style" w:eastAsia="Bookman Old Style" w:hAnsi="Bookman Old Style" w:cs="Arial"/>
          <w:color w:val="000000"/>
        </w:rPr>
        <w:lastRenderedPageBreak/>
        <w:t>económicas de un futuro adulto, las posibilidades laborales o educativas, por mencionar solo algunas.</w:t>
      </w:r>
    </w:p>
    <w:p w14:paraId="1F364991" w14:textId="77777777" w:rsidR="006A13F9" w:rsidRPr="003B68CE" w:rsidRDefault="006A13F9" w:rsidP="006A13F9">
      <w:pPr>
        <w:spacing w:line="276" w:lineRule="auto"/>
        <w:jc w:val="both"/>
        <w:rPr>
          <w:rFonts w:ascii="Bookman Old Style" w:eastAsia="Bookman Old Style" w:hAnsi="Bookman Old Style" w:cs="Arial"/>
          <w:color w:val="000000"/>
        </w:rPr>
      </w:pPr>
    </w:p>
    <w:p w14:paraId="00B0F3FB" w14:textId="77777777" w:rsidR="006A13F9" w:rsidRPr="003B68CE" w:rsidRDefault="006A13F9" w:rsidP="006A13F9">
      <w:pPr>
        <w:spacing w:line="276" w:lineRule="auto"/>
        <w:jc w:val="both"/>
        <w:rPr>
          <w:rFonts w:ascii="Bookman Old Style" w:eastAsia="Bookman Old Style" w:hAnsi="Bookman Old Style" w:cs="Arial"/>
          <w:color w:val="000000"/>
        </w:rPr>
      </w:pPr>
      <w:r w:rsidRPr="003B68CE">
        <w:rPr>
          <w:rFonts w:ascii="Bookman Old Style" w:eastAsia="Bookman Old Style" w:hAnsi="Bookman Old Style" w:cs="Arial"/>
          <w:color w:val="000000"/>
        </w:rPr>
        <w:t xml:space="preserve">Si bien la escala de </w:t>
      </w:r>
      <w:proofErr w:type="spellStart"/>
      <w:r w:rsidRPr="003B68CE">
        <w:rPr>
          <w:rFonts w:ascii="Bookman Old Style" w:eastAsia="Bookman Old Style" w:hAnsi="Bookman Old Style" w:cs="Arial"/>
          <w:color w:val="000000"/>
        </w:rPr>
        <w:t>Tanner</w:t>
      </w:r>
      <w:proofErr w:type="spellEnd"/>
      <w:r w:rsidRPr="003B68CE">
        <w:rPr>
          <w:rFonts w:ascii="Bookman Old Style" w:eastAsia="Bookman Old Style" w:hAnsi="Bookman Old Style" w:cs="Arial"/>
          <w:color w:val="000000"/>
        </w:rPr>
        <w:t xml:space="preserve"> </w:t>
      </w:r>
      <w:r w:rsidRPr="003B68CE">
        <w:rPr>
          <w:rFonts w:ascii="Bookman Old Style" w:eastAsia="Bookman Old Style" w:hAnsi="Bookman Old Style" w:cs="Arial"/>
          <w:color w:val="000000"/>
          <w:vertAlign w:val="superscript"/>
        </w:rPr>
        <w:footnoteReference w:id="3"/>
      </w:r>
      <w:r w:rsidRPr="003B68CE">
        <w:rPr>
          <w:rFonts w:ascii="Bookman Old Style" w:eastAsia="Bookman Old Style" w:hAnsi="Bookman Old Style" w:cs="Arial"/>
          <w:color w:val="000000"/>
        </w:rPr>
        <w:t xml:space="preserve">muestra que, por lo general, antes de los catorce (14) años, los adolescentes alcanzan su desarrollo sexual, ello no es razón suficiente para afirmar que es esa misma edad la que se debe tener como aquella en la cual los niños, niñas y adolescentes tienen la capacidad y libertad para tener relaciones sexuales, más cuando el desarrollo biológico no es igual para todos sino que, por el contrario, puede variar debido a condiciones externas, genéticas o médica que llevan a que el mismo se pueda retrasar o desarrollarse de manera precoz. </w:t>
      </w:r>
    </w:p>
    <w:p w14:paraId="1F8C8F6B" w14:textId="77777777" w:rsidR="006A13F9" w:rsidRPr="003B68CE" w:rsidRDefault="006A13F9" w:rsidP="006A13F9">
      <w:pPr>
        <w:spacing w:line="276" w:lineRule="auto"/>
        <w:jc w:val="both"/>
        <w:rPr>
          <w:rFonts w:ascii="Bookman Old Style" w:eastAsia="Bookman Old Style" w:hAnsi="Bookman Old Style" w:cs="Arial"/>
          <w:color w:val="000000"/>
        </w:rPr>
      </w:pPr>
    </w:p>
    <w:p w14:paraId="6E66CE4A" w14:textId="77777777" w:rsidR="006A13F9" w:rsidRPr="003B68CE" w:rsidRDefault="006A13F9" w:rsidP="006A13F9">
      <w:pPr>
        <w:spacing w:line="276" w:lineRule="auto"/>
        <w:jc w:val="both"/>
        <w:rPr>
          <w:rFonts w:ascii="Bookman Old Style" w:eastAsia="Bookman Old Style" w:hAnsi="Bookman Old Style" w:cs="Arial"/>
          <w:color w:val="000000"/>
        </w:rPr>
      </w:pPr>
      <w:r w:rsidRPr="003B68CE">
        <w:rPr>
          <w:rFonts w:ascii="Bookman Old Style" w:eastAsia="Bookman Old Style" w:hAnsi="Bookman Old Style" w:cs="Arial"/>
          <w:color w:val="000000"/>
        </w:rPr>
        <w:t xml:space="preserve">La edad de catorce (14) años establecida por las normas actuales y vigentes como la edad para otorgar el consentimiento sexual ha demostrado ser incapaz de controlar el problema de la sexualidad en la niñez, de los embarazos adolescentes, con todas las consecuencias que ello trae, y así lo demuestran las cifras de estadísticas vitales compartidas por el Departamento Nacional de Estadísticas – DANE. </w:t>
      </w:r>
    </w:p>
    <w:p w14:paraId="7904F117" w14:textId="77777777" w:rsidR="006A13F9" w:rsidRPr="003B68CE" w:rsidRDefault="006A13F9" w:rsidP="006A13F9">
      <w:pPr>
        <w:spacing w:line="276" w:lineRule="auto"/>
        <w:jc w:val="both"/>
        <w:rPr>
          <w:rFonts w:ascii="Bookman Old Style" w:eastAsia="Bookman Old Style" w:hAnsi="Bookman Old Style" w:cs="Arial"/>
          <w:color w:val="000000"/>
        </w:rPr>
      </w:pPr>
    </w:p>
    <w:p w14:paraId="4DA1FFDB" w14:textId="77777777" w:rsidR="006A13F9" w:rsidRPr="003B68CE" w:rsidRDefault="006A13F9" w:rsidP="006A13F9">
      <w:pPr>
        <w:spacing w:line="276" w:lineRule="auto"/>
        <w:jc w:val="both"/>
        <w:rPr>
          <w:rFonts w:ascii="Bookman Old Style" w:eastAsia="Bookman Old Style" w:hAnsi="Bookman Old Style" w:cs="Arial"/>
          <w:color w:val="000000"/>
        </w:rPr>
      </w:pPr>
      <w:r w:rsidRPr="003B68CE">
        <w:rPr>
          <w:rFonts w:ascii="Bookman Old Style" w:eastAsia="Bookman Old Style" w:hAnsi="Bookman Old Style" w:cs="Arial"/>
          <w:color w:val="000000"/>
        </w:rPr>
        <w:t>Esta situación no se presenta solo en Colombia, son muchos los países, incluyendo a los que conforman la Unión Europea, los que han decidido aumentar la edad para que un menor manifieste su consentimiento para tener relaciones sexuales como estrategia de protección de los mismos.</w:t>
      </w:r>
    </w:p>
    <w:p w14:paraId="5AE1622D" w14:textId="77777777" w:rsidR="006A13F9" w:rsidRPr="003B68CE" w:rsidRDefault="006A13F9" w:rsidP="006A13F9">
      <w:pPr>
        <w:spacing w:line="276" w:lineRule="auto"/>
        <w:jc w:val="both"/>
        <w:rPr>
          <w:rFonts w:ascii="Bookman Old Style" w:eastAsia="Bookman Old Style" w:hAnsi="Bookman Old Style" w:cs="Arial"/>
          <w:color w:val="000000"/>
        </w:rPr>
      </w:pPr>
    </w:p>
    <w:p w14:paraId="13804E96" w14:textId="77777777" w:rsidR="006A13F9" w:rsidRPr="003B68CE" w:rsidRDefault="006A13F9" w:rsidP="006A13F9">
      <w:pPr>
        <w:spacing w:line="276" w:lineRule="auto"/>
        <w:jc w:val="both"/>
        <w:rPr>
          <w:rFonts w:ascii="Bookman Old Style" w:eastAsia="Bookman Old Style" w:hAnsi="Bookman Old Style" w:cs="Arial"/>
        </w:rPr>
      </w:pPr>
      <w:r w:rsidRPr="003B68CE">
        <w:rPr>
          <w:rFonts w:ascii="Bookman Old Style" w:eastAsia="Bookman Old Style" w:hAnsi="Bookman Old Style" w:cs="Arial"/>
          <w:color w:val="000000"/>
        </w:rPr>
        <w:t>La presente iniciativa pretende aumentar de catorce (14) a dieciséis (16) años la edad del consentimiento sexual de menores de edad, para lo cual se modifican algunos artículos del código penal.</w:t>
      </w:r>
    </w:p>
    <w:p w14:paraId="3C539C18" w14:textId="77777777" w:rsidR="006A13F9" w:rsidRPr="003B68CE" w:rsidRDefault="006A13F9" w:rsidP="006A13F9">
      <w:pPr>
        <w:jc w:val="both"/>
        <w:rPr>
          <w:rFonts w:ascii="Bookman Old Style" w:eastAsia="Bookman Old Style" w:hAnsi="Bookman Old Style" w:cs="Arial"/>
        </w:rPr>
      </w:pPr>
    </w:p>
    <w:p w14:paraId="5E6E7362" w14:textId="5E40E60F" w:rsidR="006A13F9" w:rsidRPr="00AC299D" w:rsidRDefault="006A13F9" w:rsidP="006A13F9">
      <w:pPr>
        <w:numPr>
          <w:ilvl w:val="0"/>
          <w:numId w:val="10"/>
        </w:numPr>
        <w:pBdr>
          <w:top w:val="nil"/>
          <w:left w:val="nil"/>
          <w:bottom w:val="nil"/>
          <w:right w:val="nil"/>
          <w:between w:val="nil"/>
        </w:pBdr>
        <w:spacing w:after="200" w:line="276" w:lineRule="auto"/>
        <w:rPr>
          <w:rFonts w:ascii="Bookman Old Style" w:eastAsia="Bookman Old Style" w:hAnsi="Bookman Old Style" w:cs="Arial"/>
          <w:b/>
          <w:color w:val="000000"/>
        </w:rPr>
      </w:pPr>
      <w:r w:rsidRPr="00AC299D">
        <w:rPr>
          <w:rFonts w:ascii="Bookman Old Style" w:eastAsia="Bookman Old Style" w:hAnsi="Bookman Old Style" w:cs="Arial"/>
          <w:b/>
          <w:u w:val="single"/>
        </w:rPr>
        <w:t>FUNDAMENTOS CONSTITUCIONALES</w:t>
      </w:r>
    </w:p>
    <w:p w14:paraId="4E4D70CF" w14:textId="77777777" w:rsidR="006A13F9" w:rsidRPr="003B68CE" w:rsidRDefault="006A13F9" w:rsidP="006A13F9">
      <w:pPr>
        <w:jc w:val="both"/>
        <w:rPr>
          <w:rFonts w:ascii="Bookman Old Style" w:eastAsia="Bookman Old Style" w:hAnsi="Bookman Old Style" w:cs="Arial"/>
        </w:rPr>
      </w:pPr>
    </w:p>
    <w:p w14:paraId="0BED98DB" w14:textId="77777777" w:rsidR="006A13F9" w:rsidRPr="003B68CE" w:rsidRDefault="006A13F9" w:rsidP="006A13F9">
      <w:pPr>
        <w:spacing w:line="276" w:lineRule="auto"/>
        <w:jc w:val="both"/>
        <w:rPr>
          <w:rFonts w:ascii="Bookman Old Style" w:eastAsia="Bookman Old Style" w:hAnsi="Bookman Old Style" w:cs="Arial"/>
        </w:rPr>
      </w:pPr>
      <w:r w:rsidRPr="003B68CE">
        <w:rPr>
          <w:rFonts w:ascii="Bookman Old Style" w:eastAsia="Bookman Old Style" w:hAnsi="Bookman Old Style" w:cs="Arial"/>
        </w:rPr>
        <w:t xml:space="preserve">El artículo 5° de la Constitución Política indica que el Estado reconoce, sin discriminación alguna, la primacía de los derechos inalienables de las personas. Uno de esos derechos inalienables está consagrado en el artículo 12 </w:t>
      </w:r>
      <w:proofErr w:type="spellStart"/>
      <w:r w:rsidRPr="003B68CE">
        <w:rPr>
          <w:rFonts w:ascii="Bookman Old Style" w:eastAsia="Bookman Old Style" w:hAnsi="Bookman Old Style" w:cs="Arial"/>
        </w:rPr>
        <w:t>ibídem</w:t>
      </w:r>
      <w:proofErr w:type="spellEnd"/>
      <w:r w:rsidRPr="003B68CE">
        <w:rPr>
          <w:rFonts w:ascii="Bookman Old Style" w:eastAsia="Bookman Old Style" w:hAnsi="Bookman Old Style" w:cs="Arial"/>
        </w:rPr>
        <w:t xml:space="preserve">, según el cual nadie será sometido a tratos degradantes.  Precisamente por lo anterior, sabemos que los actos sexuales y el acceso </w:t>
      </w:r>
      <w:r w:rsidRPr="003B68CE">
        <w:rPr>
          <w:rFonts w:ascii="Bookman Old Style" w:eastAsia="Bookman Old Style" w:hAnsi="Bookman Old Style" w:cs="Arial"/>
        </w:rPr>
        <w:lastRenderedPageBreak/>
        <w:t>carnal no tienen tal consideración cuando una persona mayor, enteramente dueña de su comportamiento, los lleve a cabo en forma voluntaria y libre; pero sí lo son, y en alto grado, cuando se obtienen de una persona cuya madurez psicológica y desarrollo físico todavía están en formación, como en el caso de los menores; su libertad no es plena, pues carecen de una cabal conciencia acerca de sus actos y las consecuencias que aparejan</w:t>
      </w:r>
      <w:r w:rsidRPr="003B68CE">
        <w:rPr>
          <w:rFonts w:ascii="Bookman Old Style" w:eastAsia="Bookman Old Style" w:hAnsi="Bookman Old Style" w:cs="Arial"/>
          <w:vertAlign w:val="superscript"/>
        </w:rPr>
        <w:footnoteReference w:id="4"/>
      </w:r>
      <w:r w:rsidRPr="003B68CE">
        <w:rPr>
          <w:rFonts w:ascii="Bookman Old Style" w:eastAsia="Bookman Old Style" w:hAnsi="Bookman Old Style" w:cs="Arial"/>
        </w:rPr>
        <w:t>.</w:t>
      </w:r>
    </w:p>
    <w:p w14:paraId="350DD35D" w14:textId="77777777" w:rsidR="006A13F9" w:rsidRPr="003B68CE" w:rsidRDefault="006A13F9" w:rsidP="006A13F9">
      <w:pPr>
        <w:spacing w:line="276" w:lineRule="auto"/>
        <w:jc w:val="both"/>
        <w:rPr>
          <w:rFonts w:ascii="Bookman Old Style" w:eastAsia="Bookman Old Style" w:hAnsi="Bookman Old Style" w:cs="Arial"/>
        </w:rPr>
      </w:pPr>
    </w:p>
    <w:p w14:paraId="6E726D66" w14:textId="77777777" w:rsidR="006A13F9" w:rsidRPr="003B68CE" w:rsidRDefault="006A13F9" w:rsidP="006A13F9">
      <w:pPr>
        <w:spacing w:line="276" w:lineRule="auto"/>
        <w:jc w:val="both"/>
        <w:rPr>
          <w:rFonts w:ascii="Bookman Old Style" w:eastAsia="Bookman Old Style" w:hAnsi="Bookman Old Style" w:cs="Arial"/>
          <w:i/>
        </w:rPr>
      </w:pPr>
      <w:r w:rsidRPr="003B68CE">
        <w:rPr>
          <w:rFonts w:ascii="Bookman Old Style" w:eastAsia="Bookman Old Style" w:hAnsi="Bookman Old Style" w:cs="Arial"/>
        </w:rPr>
        <w:t xml:space="preserve">El artículo 44 y 45 se concentran en la protección especial de los niños, niñas y adolescentes, quienes, tal como lo ha establecido la Corte Constitucional en varias de sus sentencias, </w:t>
      </w:r>
      <w:r w:rsidRPr="003B68CE">
        <w:rPr>
          <w:rFonts w:ascii="Bookman Old Style" w:eastAsia="Bookman Old Style" w:hAnsi="Bookman Old Style" w:cs="Arial"/>
          <w:i/>
        </w:rPr>
        <w:t xml:space="preserve">“… no gozan de una suficiente capacidad de comprensión respecto del acto carnal y, por tanto, aunque presten su consentimiento para realizarlo o para llevar a cabo prácticas sexuales diversas de él, no lo hacen en las mismas condiciones de dominio y </w:t>
      </w:r>
      <w:proofErr w:type="spellStart"/>
      <w:r w:rsidRPr="003B68CE">
        <w:rPr>
          <w:rFonts w:ascii="Bookman Old Style" w:eastAsia="Bookman Old Style" w:hAnsi="Bookman Old Style" w:cs="Arial"/>
          <w:i/>
        </w:rPr>
        <w:t>auto-control</w:t>
      </w:r>
      <w:proofErr w:type="spellEnd"/>
      <w:r w:rsidRPr="003B68CE">
        <w:rPr>
          <w:rFonts w:ascii="Bookman Old Style" w:eastAsia="Bookman Old Style" w:hAnsi="Bookman Old Style" w:cs="Arial"/>
          <w:i/>
        </w:rPr>
        <w:t xml:space="preserve"> propios de la persona mayor.”</w:t>
      </w:r>
    </w:p>
    <w:p w14:paraId="36DBE15C" w14:textId="77777777" w:rsidR="006A13F9" w:rsidRPr="003B68CE" w:rsidRDefault="006A13F9" w:rsidP="006A13F9">
      <w:pPr>
        <w:spacing w:line="276" w:lineRule="auto"/>
        <w:jc w:val="both"/>
        <w:rPr>
          <w:rFonts w:ascii="Bookman Old Style" w:eastAsia="Bookman Old Style" w:hAnsi="Bookman Old Style" w:cs="Arial"/>
          <w:i/>
        </w:rPr>
      </w:pPr>
    </w:p>
    <w:p w14:paraId="2C615147" w14:textId="77777777" w:rsidR="006A13F9" w:rsidRPr="003B68CE" w:rsidRDefault="006A13F9" w:rsidP="006A13F9">
      <w:pPr>
        <w:widowControl w:val="0"/>
        <w:pBdr>
          <w:top w:val="nil"/>
          <w:left w:val="nil"/>
          <w:bottom w:val="nil"/>
          <w:right w:val="nil"/>
          <w:between w:val="nil"/>
        </w:pBdr>
        <w:spacing w:line="276" w:lineRule="auto"/>
        <w:jc w:val="both"/>
        <w:rPr>
          <w:rFonts w:ascii="Bookman Old Style" w:eastAsia="Bookman Old Style" w:hAnsi="Bookman Old Style" w:cs="Arial"/>
          <w:i/>
          <w:color w:val="000000"/>
        </w:rPr>
      </w:pPr>
      <w:r w:rsidRPr="003B68CE">
        <w:rPr>
          <w:rFonts w:ascii="Bookman Old Style" w:eastAsia="Bookman Old Style" w:hAnsi="Bookman Old Style" w:cs="Arial"/>
          <w:color w:val="000000"/>
        </w:rPr>
        <w:t>La Gaceta Constitucional No. 85, P.7, en relación al derecho de los jóvenes, muestra en uno de sus apartes que</w:t>
      </w:r>
      <w:r w:rsidRPr="003B68CE">
        <w:rPr>
          <w:rFonts w:ascii="Bookman Old Style" w:eastAsia="Times New Roman" w:hAnsi="Bookman Old Style" w:cs="Arial"/>
          <w:color w:val="000000"/>
        </w:rPr>
        <w:t xml:space="preserve"> </w:t>
      </w:r>
      <w:r w:rsidRPr="003B68CE">
        <w:rPr>
          <w:rFonts w:ascii="Bookman Old Style" w:eastAsia="Bookman Old Style" w:hAnsi="Bookman Old Style" w:cs="Arial"/>
          <w:i/>
          <w:color w:val="000000"/>
        </w:rPr>
        <w:t>“la adolescencia es una fase de transición entre la niñez y la vida adulta independiente. Ella es el centro donde confluyen las alegrías y traumas de la infancia y el despertar de conciencia e inicio del camino hacia la vida adulta (…). Por tanto, el adolescente requiere un tratamiento especial y un lugar en la Constitución como máximo ordenamiento jurídico del país para que de ahí se desprendan políticas de desarrollo que lleven paulatinamente a la madurez. (…) Por esta razón, dentro del articulado se propone que el Estado y la sociedad le garanticen al joven un desarrollo integral que contemple los aspectos relativos a la formación física, social, intelectual y sexual.”</w:t>
      </w:r>
    </w:p>
    <w:p w14:paraId="2C77D5E1" w14:textId="77777777" w:rsidR="006A13F9" w:rsidRPr="003B68CE" w:rsidRDefault="006A13F9" w:rsidP="006A13F9">
      <w:pPr>
        <w:widowControl w:val="0"/>
        <w:pBdr>
          <w:top w:val="nil"/>
          <w:left w:val="nil"/>
          <w:bottom w:val="nil"/>
          <w:right w:val="nil"/>
          <w:between w:val="nil"/>
        </w:pBdr>
        <w:spacing w:line="276" w:lineRule="auto"/>
        <w:jc w:val="both"/>
        <w:rPr>
          <w:rFonts w:ascii="Bookman Old Style" w:eastAsia="Times New Roman" w:hAnsi="Bookman Old Style" w:cs="Arial"/>
          <w:color w:val="000000"/>
        </w:rPr>
      </w:pPr>
    </w:p>
    <w:p w14:paraId="0C54DE5A" w14:textId="6C03D607" w:rsidR="006A13F9" w:rsidRPr="00AC299D" w:rsidRDefault="006A13F9" w:rsidP="00AC299D">
      <w:pPr>
        <w:pStyle w:val="Prrafodelista"/>
        <w:numPr>
          <w:ilvl w:val="0"/>
          <w:numId w:val="10"/>
        </w:numPr>
        <w:jc w:val="both"/>
        <w:rPr>
          <w:rFonts w:ascii="Bookman Old Style" w:eastAsia="Bookman Old Style" w:hAnsi="Bookman Old Style" w:cs="Arial"/>
          <w:b/>
          <w:u w:val="single"/>
        </w:rPr>
      </w:pPr>
      <w:r w:rsidRPr="00AC299D">
        <w:rPr>
          <w:rFonts w:ascii="Bookman Old Style" w:eastAsia="Bookman Old Style" w:hAnsi="Bookman Old Style" w:cs="Arial"/>
          <w:b/>
        </w:rPr>
        <w:t xml:space="preserve"> </w:t>
      </w:r>
      <w:r w:rsidRPr="00AC299D">
        <w:rPr>
          <w:rFonts w:ascii="Bookman Old Style" w:eastAsia="Bookman Old Style" w:hAnsi="Bookman Old Style" w:cs="Arial"/>
          <w:b/>
          <w:u w:val="single"/>
        </w:rPr>
        <w:t>FUNDAMENTOS JURISPRUDENCIALES</w:t>
      </w:r>
    </w:p>
    <w:p w14:paraId="2EE2CC5B" w14:textId="77777777" w:rsidR="006A13F9" w:rsidRPr="003B68CE" w:rsidRDefault="006A13F9" w:rsidP="006A13F9">
      <w:pPr>
        <w:pBdr>
          <w:top w:val="nil"/>
          <w:left w:val="nil"/>
          <w:bottom w:val="nil"/>
          <w:right w:val="nil"/>
          <w:between w:val="nil"/>
        </w:pBdr>
        <w:jc w:val="both"/>
        <w:rPr>
          <w:rFonts w:ascii="Bookman Old Style" w:eastAsia="Bookman Old Style" w:hAnsi="Bookman Old Style" w:cs="Arial"/>
          <w:color w:val="000000"/>
        </w:rPr>
      </w:pPr>
    </w:p>
    <w:p w14:paraId="4DC69899" w14:textId="77777777" w:rsidR="006A13F9" w:rsidRPr="003B68CE" w:rsidRDefault="006A13F9" w:rsidP="006A13F9">
      <w:pPr>
        <w:pBdr>
          <w:top w:val="nil"/>
          <w:left w:val="nil"/>
          <w:bottom w:val="nil"/>
          <w:right w:val="nil"/>
          <w:between w:val="nil"/>
        </w:pBdr>
        <w:spacing w:line="276" w:lineRule="auto"/>
        <w:jc w:val="both"/>
        <w:rPr>
          <w:rFonts w:ascii="Bookman Old Style" w:eastAsia="Bookman Old Style" w:hAnsi="Bookman Old Style" w:cs="Arial"/>
          <w:color w:val="000000"/>
        </w:rPr>
      </w:pPr>
      <w:r w:rsidRPr="003B68CE">
        <w:rPr>
          <w:rFonts w:ascii="Bookman Old Style" w:eastAsia="Bookman Old Style" w:hAnsi="Bookman Old Style" w:cs="Arial"/>
          <w:color w:val="000000"/>
        </w:rPr>
        <w:t>La Corte Constitucional ha estudiado en muchas de sus sentencias el tema de la especial protección de los niños y niñas, de los adolescentes, el consentimiento para contraer matrimonio, la edad plena para la libertad del consentimiento sexual, entre otras temáticas relacionadas con el tema de la libertad sexual y protección de los menores de edad en Colombia.</w:t>
      </w:r>
    </w:p>
    <w:p w14:paraId="56D901BE" w14:textId="77777777" w:rsidR="006A13F9" w:rsidRPr="003B68CE" w:rsidRDefault="006A13F9" w:rsidP="006A13F9">
      <w:pPr>
        <w:pBdr>
          <w:top w:val="nil"/>
          <w:left w:val="nil"/>
          <w:bottom w:val="nil"/>
          <w:right w:val="nil"/>
          <w:between w:val="nil"/>
        </w:pBdr>
        <w:spacing w:line="276" w:lineRule="auto"/>
        <w:jc w:val="both"/>
        <w:rPr>
          <w:rFonts w:ascii="Bookman Old Style" w:eastAsia="Bookman Old Style" w:hAnsi="Bookman Old Style" w:cs="Arial"/>
          <w:color w:val="000000"/>
        </w:rPr>
      </w:pPr>
    </w:p>
    <w:p w14:paraId="5E24BFE5" w14:textId="77777777" w:rsidR="006A13F9" w:rsidRPr="003B68CE" w:rsidRDefault="006A13F9" w:rsidP="006A13F9">
      <w:pPr>
        <w:pBdr>
          <w:top w:val="nil"/>
          <w:left w:val="nil"/>
          <w:bottom w:val="nil"/>
          <w:right w:val="nil"/>
          <w:between w:val="nil"/>
        </w:pBdr>
        <w:spacing w:line="276" w:lineRule="auto"/>
        <w:jc w:val="both"/>
        <w:rPr>
          <w:rFonts w:ascii="Bookman Old Style" w:eastAsia="Bookman Old Style" w:hAnsi="Bookman Old Style" w:cs="Arial"/>
          <w:color w:val="000000"/>
        </w:rPr>
      </w:pPr>
      <w:r w:rsidRPr="003B68CE">
        <w:rPr>
          <w:rFonts w:ascii="Bookman Old Style" w:eastAsia="Bookman Old Style" w:hAnsi="Bookman Old Style" w:cs="Arial"/>
          <w:color w:val="000000"/>
        </w:rPr>
        <w:lastRenderedPageBreak/>
        <w:t>En cuanto a la protección de los niños, niñas y adolescentes, y la necesidad de la misma, en la Sentencia C-507 de 2004 la Corte nos indica:</w:t>
      </w:r>
    </w:p>
    <w:p w14:paraId="42E2A748" w14:textId="77777777" w:rsidR="006A13F9" w:rsidRPr="003B68CE" w:rsidRDefault="006A13F9" w:rsidP="006A13F9">
      <w:pPr>
        <w:pBdr>
          <w:top w:val="nil"/>
          <w:left w:val="nil"/>
          <w:bottom w:val="nil"/>
          <w:right w:val="nil"/>
          <w:between w:val="nil"/>
        </w:pBdr>
        <w:spacing w:line="276" w:lineRule="auto"/>
        <w:jc w:val="both"/>
        <w:rPr>
          <w:rFonts w:ascii="Bookman Old Style" w:eastAsia="Bookman Old Style" w:hAnsi="Bookman Old Style" w:cs="Arial"/>
          <w:color w:val="000000"/>
        </w:rPr>
      </w:pPr>
    </w:p>
    <w:p w14:paraId="0C384F00" w14:textId="77777777" w:rsidR="006A13F9" w:rsidRPr="003B68CE" w:rsidRDefault="006A13F9" w:rsidP="006A13F9">
      <w:pPr>
        <w:pBdr>
          <w:top w:val="nil"/>
          <w:left w:val="nil"/>
          <w:bottom w:val="nil"/>
          <w:right w:val="nil"/>
          <w:between w:val="nil"/>
        </w:pBdr>
        <w:spacing w:line="276" w:lineRule="auto"/>
        <w:jc w:val="both"/>
        <w:rPr>
          <w:rFonts w:ascii="Bookman Old Style" w:eastAsia="Bookman Old Style" w:hAnsi="Bookman Old Style" w:cs="Arial"/>
          <w:i/>
          <w:color w:val="000000"/>
        </w:rPr>
      </w:pPr>
      <w:r w:rsidRPr="003B68CE">
        <w:rPr>
          <w:rFonts w:ascii="Bookman Old Style" w:eastAsia="Bookman Old Style" w:hAnsi="Bookman Old Style" w:cs="Arial"/>
          <w:i/>
          <w:color w:val="000000"/>
        </w:rPr>
        <w:t xml:space="preserve">La Constitución de 1991 significó un cambio sustancial en la concepción que tenía el sistema jurídico sobre los niños. De ser sujetos incapaces con derechos restringidos y hondas limitaciones para poder ejercerlos pasaron a ser concebidos como personas libres y autónomas con plenitud de derechos, que de acuerdo a su edad y a su madurez pueden decidir sobre su propia vida y asumir responsabilidades. La condición de debilidad o vulnerabilidad en la que los menores se encuentran, la cual van abandonando a medida que crecen, ya no se entiende como razón para restringir sus derechos y su capacidad para ejercerlos. Ahora es la razón por la cual se les considera “sujetos de protección especial” constitucional. Es decir, la condición en la que se encuentra un menor no es razón para limitar sus derechos sino para protegerlo. Pero esta protección tiene una finalidad liberadora del menor y promotora de su dignidad. </w:t>
      </w:r>
    </w:p>
    <w:p w14:paraId="673B5E4E" w14:textId="77777777" w:rsidR="006A13F9" w:rsidRPr="003B68CE" w:rsidRDefault="006A13F9" w:rsidP="006A13F9">
      <w:pPr>
        <w:pBdr>
          <w:top w:val="nil"/>
          <w:left w:val="nil"/>
          <w:bottom w:val="nil"/>
          <w:right w:val="nil"/>
          <w:between w:val="nil"/>
        </w:pBdr>
        <w:spacing w:line="276" w:lineRule="auto"/>
        <w:jc w:val="both"/>
        <w:rPr>
          <w:rFonts w:ascii="Bookman Old Style" w:eastAsia="Bookman Old Style" w:hAnsi="Bookman Old Style" w:cs="Arial"/>
          <w:i/>
          <w:color w:val="000000"/>
        </w:rPr>
      </w:pPr>
    </w:p>
    <w:p w14:paraId="6B9DD616" w14:textId="77777777" w:rsidR="006A13F9" w:rsidRPr="003B68CE" w:rsidRDefault="006A13F9" w:rsidP="006A13F9">
      <w:pPr>
        <w:pBdr>
          <w:top w:val="nil"/>
          <w:left w:val="nil"/>
          <w:bottom w:val="nil"/>
          <w:right w:val="nil"/>
          <w:between w:val="nil"/>
        </w:pBdr>
        <w:spacing w:line="276" w:lineRule="auto"/>
        <w:jc w:val="both"/>
        <w:rPr>
          <w:rFonts w:ascii="Bookman Old Style" w:eastAsia="Bookman Old Style" w:hAnsi="Bookman Old Style" w:cs="Arial"/>
          <w:color w:val="000000"/>
        </w:rPr>
      </w:pPr>
      <w:r w:rsidRPr="003B68CE">
        <w:rPr>
          <w:rFonts w:ascii="Bookman Old Style" w:eastAsia="Bookman Old Style" w:hAnsi="Bookman Old Style" w:cs="Arial"/>
          <w:color w:val="000000"/>
        </w:rPr>
        <w:t xml:space="preserve">En esa misma sentencia, la Corte desarrolla en uno de sus apartes lo que ella misma denomina los “derechos de protección”, los cuales, a juicio del alto tribunal, </w:t>
      </w:r>
      <w:r w:rsidRPr="003B68CE">
        <w:rPr>
          <w:rFonts w:ascii="Bookman Old Style" w:eastAsia="Bookman Old Style" w:hAnsi="Bookman Old Style" w:cs="Arial"/>
          <w:i/>
          <w:color w:val="000000"/>
        </w:rPr>
        <w:t xml:space="preserve">“a diferencia de los derechos de libertad, garantizan a las personas que el Estado adopte medidas de carácter fáctico y medidas de carácter normativo para protegerlos. Dentro de las primeras se encuentran aquellas acciones de la administración que suponen movilización de recursos materiales y humanos para impedir, por ejemplo, que la frágil vida e integridad de un niño recién nacido sea maltratada. </w:t>
      </w:r>
      <w:r w:rsidRPr="003B68CE">
        <w:rPr>
          <w:rFonts w:ascii="Bookman Old Style" w:eastAsia="Bookman Old Style" w:hAnsi="Bookman Old Style" w:cs="Arial"/>
          <w:b/>
          <w:i/>
          <w:color w:val="000000"/>
          <w:u w:val="single"/>
        </w:rPr>
        <w:t>Dentro de las medidas de carácter normativo se encuentran, entre otras, las reglas de capacidad o las edades</w:t>
      </w:r>
      <w:r w:rsidRPr="003B68CE">
        <w:rPr>
          <w:rFonts w:ascii="Bookman Old Style" w:eastAsia="Bookman Old Style" w:hAnsi="Bookman Old Style" w:cs="Arial"/>
          <w:i/>
          <w:color w:val="000000"/>
        </w:rPr>
        <w:t xml:space="preserve"> a partir de las cuales se pueden realizar ciertas actividades como trabajar y las condiciones en que ello puede suceder.” </w:t>
      </w:r>
      <w:r w:rsidRPr="003B68CE">
        <w:rPr>
          <w:rFonts w:ascii="Bookman Old Style" w:eastAsia="Bookman Old Style" w:hAnsi="Bookman Old Style" w:cs="Arial"/>
          <w:color w:val="000000"/>
        </w:rPr>
        <w:t>(Subrayado fuera de texto).</w:t>
      </w:r>
    </w:p>
    <w:p w14:paraId="212AFE95" w14:textId="77777777" w:rsidR="006A13F9" w:rsidRPr="003B68CE" w:rsidRDefault="006A13F9" w:rsidP="006A13F9">
      <w:pPr>
        <w:pBdr>
          <w:top w:val="nil"/>
          <w:left w:val="nil"/>
          <w:bottom w:val="nil"/>
          <w:right w:val="nil"/>
          <w:between w:val="nil"/>
        </w:pBdr>
        <w:spacing w:line="276" w:lineRule="auto"/>
        <w:jc w:val="both"/>
        <w:rPr>
          <w:rFonts w:ascii="Bookman Old Style" w:eastAsia="Bookman Old Style" w:hAnsi="Bookman Old Style" w:cs="Arial"/>
          <w:color w:val="000000"/>
        </w:rPr>
      </w:pPr>
    </w:p>
    <w:p w14:paraId="097565E3" w14:textId="77777777" w:rsidR="006A13F9" w:rsidRPr="003B68CE" w:rsidRDefault="006A13F9" w:rsidP="006A13F9">
      <w:pPr>
        <w:pBdr>
          <w:top w:val="nil"/>
          <w:left w:val="nil"/>
          <w:bottom w:val="nil"/>
          <w:right w:val="nil"/>
          <w:between w:val="nil"/>
        </w:pBdr>
        <w:spacing w:line="276" w:lineRule="auto"/>
        <w:jc w:val="both"/>
        <w:rPr>
          <w:rFonts w:ascii="Bookman Old Style" w:eastAsia="Bookman Old Style" w:hAnsi="Bookman Old Style" w:cs="Arial"/>
          <w:color w:val="000000"/>
        </w:rPr>
      </w:pPr>
      <w:r w:rsidRPr="003B68CE">
        <w:rPr>
          <w:rFonts w:ascii="Bookman Old Style" w:eastAsia="Bookman Old Style" w:hAnsi="Bookman Old Style" w:cs="Arial"/>
          <w:color w:val="000000"/>
        </w:rPr>
        <w:t>En Sentencia C-146 de 1994, con ponencia del Magistrado José Gregorio Hernández, se resolvió declarar ajustados a la Constitución los delitos de acceso carnal abusivo con menor de catorce (14) años y corrupción que traía el Código Penal de 1980, entre otras razones, por considerar que los tipos penales acusados, en términos generales, no desconocían la libertad y autonomía de personas menores de 14 años, por cuanto se trata de conductas que</w:t>
      </w:r>
      <w:r w:rsidRPr="003B68CE">
        <w:rPr>
          <w:rFonts w:ascii="Bookman Old Style" w:hAnsi="Bookman Old Style" w:cs="Arial"/>
          <w:color w:val="000000"/>
        </w:rPr>
        <w:t xml:space="preserve"> </w:t>
      </w:r>
      <w:r w:rsidRPr="003B68CE">
        <w:rPr>
          <w:rFonts w:ascii="Bookman Old Style" w:eastAsia="Bookman Old Style" w:hAnsi="Bookman Old Style" w:cs="Arial"/>
          <w:i/>
          <w:color w:val="000000"/>
        </w:rPr>
        <w:t xml:space="preserve">“(…) atentan de modo directo y manifiesto contra la integridad </w:t>
      </w:r>
      <w:r w:rsidRPr="003B68CE">
        <w:rPr>
          <w:rFonts w:ascii="Bookman Old Style" w:eastAsia="Bookman Old Style" w:hAnsi="Bookman Old Style" w:cs="Arial"/>
          <w:i/>
          <w:color w:val="000000"/>
        </w:rPr>
        <w:lastRenderedPageBreak/>
        <w:t>moral y el desarrollo mental y social de los menores.”</w:t>
      </w:r>
      <w:r w:rsidRPr="003B68CE">
        <w:rPr>
          <w:rFonts w:ascii="Bookman Old Style" w:hAnsi="Bookman Old Style" w:cs="Arial"/>
          <w:color w:val="000000"/>
        </w:rPr>
        <w:t xml:space="preserve"> </w:t>
      </w:r>
      <w:r w:rsidRPr="003B68CE">
        <w:rPr>
          <w:rFonts w:ascii="Bookman Old Style" w:eastAsia="Bookman Old Style" w:hAnsi="Bookman Old Style" w:cs="Arial"/>
          <w:color w:val="000000"/>
        </w:rPr>
        <w:t xml:space="preserve">Para la Corte, los tipos penales no desconocían los derechos de los niños, por el contrario, los aseguraban y garantizaban, a la vez que permitían al país cumplir las normas internacionales de protección a los niños, en especial la Convención sobre los derechos de los niños. </w:t>
      </w:r>
    </w:p>
    <w:p w14:paraId="77D25B13" w14:textId="77777777" w:rsidR="006A13F9" w:rsidRPr="003B68CE" w:rsidRDefault="006A13F9" w:rsidP="006A13F9">
      <w:pPr>
        <w:pBdr>
          <w:top w:val="nil"/>
          <w:left w:val="nil"/>
          <w:bottom w:val="nil"/>
          <w:right w:val="nil"/>
          <w:between w:val="nil"/>
        </w:pBdr>
        <w:spacing w:line="276" w:lineRule="auto"/>
        <w:jc w:val="both"/>
        <w:rPr>
          <w:rFonts w:ascii="Bookman Old Style" w:eastAsia="Bookman Old Style" w:hAnsi="Bookman Old Style" w:cs="Arial"/>
          <w:color w:val="000000"/>
        </w:rPr>
      </w:pPr>
    </w:p>
    <w:p w14:paraId="5BFCEF26" w14:textId="77777777" w:rsidR="006A13F9" w:rsidRPr="003B68CE" w:rsidRDefault="006A13F9" w:rsidP="006A13F9">
      <w:pPr>
        <w:pBdr>
          <w:top w:val="nil"/>
          <w:left w:val="nil"/>
          <w:bottom w:val="nil"/>
          <w:right w:val="nil"/>
          <w:between w:val="nil"/>
        </w:pBdr>
        <w:spacing w:line="276" w:lineRule="auto"/>
        <w:jc w:val="both"/>
        <w:rPr>
          <w:rFonts w:ascii="Bookman Old Style" w:eastAsia="Bookman Old Style" w:hAnsi="Bookman Old Style" w:cs="Arial"/>
          <w:color w:val="000000"/>
        </w:rPr>
      </w:pPr>
      <w:r w:rsidRPr="003B68CE">
        <w:rPr>
          <w:rFonts w:ascii="Bookman Old Style" w:eastAsia="Bookman Old Style" w:hAnsi="Bookman Old Style" w:cs="Arial"/>
          <w:color w:val="000000"/>
        </w:rPr>
        <w:t xml:space="preserve">La anterior decisión fue reiterada por la Corte en Sentencia C-1095 de 2003, Magistrado Ponente Marco Gerardo Monroy Cabra, pero esta vez en relación a los delitos que traen los artículos 208 y 209 de la Ley 599 del año 2000 (Acto sexual abusivo con menor de catorce años y acto sexual con menor de catorce años). </w:t>
      </w:r>
    </w:p>
    <w:p w14:paraId="116F5967" w14:textId="77777777" w:rsidR="006A13F9" w:rsidRPr="003B68CE" w:rsidRDefault="006A13F9" w:rsidP="006A13F9">
      <w:pPr>
        <w:pBdr>
          <w:top w:val="nil"/>
          <w:left w:val="nil"/>
          <w:bottom w:val="nil"/>
          <w:right w:val="nil"/>
          <w:between w:val="nil"/>
        </w:pBdr>
        <w:spacing w:line="276" w:lineRule="auto"/>
        <w:jc w:val="both"/>
        <w:rPr>
          <w:rFonts w:ascii="Bookman Old Style" w:eastAsia="Bookman Old Style" w:hAnsi="Bookman Old Style" w:cs="Arial"/>
          <w:color w:val="000000"/>
        </w:rPr>
      </w:pPr>
    </w:p>
    <w:p w14:paraId="77C57AAA" w14:textId="77777777" w:rsidR="006A13F9" w:rsidRPr="003B68CE" w:rsidRDefault="006A13F9" w:rsidP="006A13F9">
      <w:pPr>
        <w:pBdr>
          <w:top w:val="nil"/>
          <w:left w:val="nil"/>
          <w:bottom w:val="nil"/>
          <w:right w:val="nil"/>
          <w:between w:val="nil"/>
        </w:pBdr>
        <w:spacing w:line="276" w:lineRule="auto"/>
        <w:jc w:val="both"/>
        <w:rPr>
          <w:rFonts w:ascii="Bookman Old Style" w:eastAsia="Bookman Old Style" w:hAnsi="Bookman Old Style" w:cs="Arial"/>
          <w:i/>
          <w:color w:val="000000"/>
        </w:rPr>
      </w:pPr>
      <w:r w:rsidRPr="003B68CE">
        <w:rPr>
          <w:rFonts w:ascii="Bookman Old Style" w:eastAsia="Bookman Old Style" w:hAnsi="Bookman Old Style" w:cs="Arial"/>
          <w:color w:val="000000"/>
        </w:rPr>
        <w:t xml:space="preserve">La Sentencia C-876 de 2011, en la cual se volvió a estudiar la edad en los delitos sexuales contra niños, niñas y adolescentes, la Corte afirmó que </w:t>
      </w:r>
      <w:r w:rsidRPr="003B68CE">
        <w:rPr>
          <w:rFonts w:ascii="Bookman Old Style" w:eastAsia="Bookman Old Style" w:hAnsi="Bookman Old Style" w:cs="Arial"/>
          <w:i/>
          <w:color w:val="000000"/>
        </w:rPr>
        <w:t>“El carácter abusivo de estos actos deriva de la circunstancia de ser realizados con persona que físicamente aún no ha llegado a la plenitud de su desarrollo corporal y, especialmente, por tratarse de seres humanos que no han desplegado su madurez volitiva y sexual, prestándose para el aprovechamiento de personas que los aventajan en lo corporal e intelectual y precipitándolos precozmente a unas experiencias para los que no están adecuadamente preparados, con consecuencias indeseadas como el embarazo prematuro y la asunción de responsabilidades que exceden sus capacidades de desempeño social.”</w:t>
      </w:r>
    </w:p>
    <w:p w14:paraId="6DFFB913" w14:textId="77777777" w:rsidR="006A13F9" w:rsidRPr="003B68CE" w:rsidRDefault="006A13F9" w:rsidP="006A13F9">
      <w:pPr>
        <w:pBdr>
          <w:top w:val="nil"/>
          <w:left w:val="nil"/>
          <w:bottom w:val="nil"/>
          <w:right w:val="nil"/>
          <w:between w:val="nil"/>
        </w:pBdr>
        <w:spacing w:line="276" w:lineRule="auto"/>
        <w:jc w:val="both"/>
        <w:rPr>
          <w:rFonts w:ascii="Bookman Old Style" w:eastAsia="Bookman Old Style" w:hAnsi="Bookman Old Style" w:cs="Arial"/>
          <w:color w:val="000000"/>
          <w:u w:val="single"/>
        </w:rPr>
      </w:pPr>
    </w:p>
    <w:p w14:paraId="066C0EB5" w14:textId="31443455" w:rsidR="006A13F9" w:rsidRPr="00AC299D" w:rsidRDefault="006A13F9" w:rsidP="00AC299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Arial"/>
          <w:b/>
          <w:u w:val="single"/>
        </w:rPr>
      </w:pPr>
      <w:r w:rsidRPr="00AC299D">
        <w:rPr>
          <w:rFonts w:ascii="Bookman Old Style" w:eastAsia="Bookman Old Style" w:hAnsi="Bookman Old Style" w:cs="Arial"/>
          <w:b/>
          <w:u w:val="single"/>
        </w:rPr>
        <w:t xml:space="preserve"> PROXIMIDAD DE EDAD O CONSENTIMIENTO ENTRE PARES</w:t>
      </w:r>
    </w:p>
    <w:p w14:paraId="7A7CF284" w14:textId="77777777" w:rsidR="006A13F9" w:rsidRPr="003B68CE" w:rsidRDefault="006A13F9" w:rsidP="006A13F9">
      <w:pPr>
        <w:pBdr>
          <w:top w:val="nil"/>
          <w:left w:val="nil"/>
          <w:bottom w:val="nil"/>
          <w:right w:val="nil"/>
          <w:between w:val="nil"/>
        </w:pBdr>
        <w:spacing w:line="276" w:lineRule="auto"/>
        <w:jc w:val="both"/>
        <w:rPr>
          <w:rFonts w:ascii="Bookman Old Style" w:eastAsia="Bookman Old Style" w:hAnsi="Bookman Old Style" w:cs="Arial"/>
          <w:b/>
          <w:u w:val="single"/>
        </w:rPr>
      </w:pPr>
    </w:p>
    <w:p w14:paraId="2670BE12" w14:textId="77777777" w:rsidR="006A13F9" w:rsidRPr="003B68CE" w:rsidRDefault="006A13F9" w:rsidP="006A13F9">
      <w:pPr>
        <w:pBdr>
          <w:top w:val="nil"/>
          <w:left w:val="nil"/>
          <w:bottom w:val="nil"/>
          <w:right w:val="nil"/>
          <w:between w:val="nil"/>
        </w:pBdr>
        <w:spacing w:line="276" w:lineRule="auto"/>
        <w:jc w:val="both"/>
        <w:rPr>
          <w:rFonts w:ascii="Bookman Old Style" w:eastAsia="Bookman Old Style" w:hAnsi="Bookman Old Style" w:cs="Arial"/>
        </w:rPr>
      </w:pPr>
      <w:r w:rsidRPr="003B68CE">
        <w:rPr>
          <w:rFonts w:ascii="Bookman Old Style" w:eastAsia="Bookman Old Style" w:hAnsi="Bookman Old Style" w:cs="Arial"/>
        </w:rPr>
        <w:t xml:space="preserve">Ahora, frente a las relaciones sexuales </w:t>
      </w:r>
      <w:r w:rsidRPr="003B68CE">
        <w:rPr>
          <w:rFonts w:ascii="Bookman Old Style" w:eastAsia="Bookman Old Style" w:hAnsi="Bookman Old Style" w:cs="Arial"/>
          <w:i/>
        </w:rPr>
        <w:t>consentidas entre adolescentes</w:t>
      </w:r>
      <w:r w:rsidRPr="003B68CE">
        <w:rPr>
          <w:rFonts w:ascii="Bookman Old Style" w:eastAsia="Bookman Old Style" w:hAnsi="Bookman Old Style" w:cs="Arial"/>
        </w:rPr>
        <w:t xml:space="preserve"> (no un adolescente o una adolescente con una persona mayor de edad), por debajo de la edad límite vigente o la que se propone en este proyecto de ley, la Corte Constitucional ha determinado que en cada caso, el juez debe hacer un test de proporcionalidad, siempre observando que para ellos no aplica la responsabilidad penal plena como para una persona mayor de edad, y por lo tanto, las penas privativas de la libertad contenidas en los artículos 208 y 209 no les aplicaría, sino otro tipo de sanciones contenidas en el sistema de responsabilidad penal para adolescentes.</w:t>
      </w:r>
    </w:p>
    <w:p w14:paraId="4E3885CA" w14:textId="77777777" w:rsidR="006A13F9" w:rsidRPr="003B68CE" w:rsidRDefault="006A13F9" w:rsidP="006A13F9">
      <w:pPr>
        <w:pBdr>
          <w:top w:val="nil"/>
          <w:left w:val="nil"/>
          <w:bottom w:val="nil"/>
          <w:right w:val="nil"/>
          <w:between w:val="nil"/>
        </w:pBdr>
        <w:spacing w:line="276" w:lineRule="auto"/>
        <w:jc w:val="both"/>
        <w:rPr>
          <w:rFonts w:ascii="Bookman Old Style" w:eastAsia="Bookman Old Style" w:hAnsi="Bookman Old Style" w:cs="Arial"/>
        </w:rPr>
      </w:pPr>
    </w:p>
    <w:p w14:paraId="69717AA2" w14:textId="77777777" w:rsidR="006A13F9" w:rsidRPr="003B68CE" w:rsidRDefault="006A13F9" w:rsidP="006A13F9">
      <w:pPr>
        <w:pBdr>
          <w:top w:val="nil"/>
          <w:left w:val="nil"/>
          <w:bottom w:val="nil"/>
          <w:right w:val="nil"/>
          <w:between w:val="nil"/>
        </w:pBdr>
        <w:spacing w:line="276" w:lineRule="auto"/>
        <w:jc w:val="both"/>
        <w:rPr>
          <w:rFonts w:ascii="Bookman Old Style" w:eastAsia="Bookman Old Style" w:hAnsi="Bookman Old Style" w:cs="Arial"/>
        </w:rPr>
      </w:pPr>
      <w:r w:rsidRPr="003B68CE">
        <w:rPr>
          <w:rFonts w:ascii="Bookman Old Style" w:eastAsia="Bookman Old Style" w:hAnsi="Bookman Old Style" w:cs="Arial"/>
        </w:rPr>
        <w:t xml:space="preserve">En palabras del Alto Tribunal: </w:t>
      </w:r>
    </w:p>
    <w:p w14:paraId="417A9A67" w14:textId="77777777" w:rsidR="006A13F9" w:rsidRPr="003B68CE" w:rsidRDefault="006A13F9" w:rsidP="006A13F9">
      <w:pPr>
        <w:pBdr>
          <w:top w:val="nil"/>
          <w:left w:val="nil"/>
          <w:bottom w:val="nil"/>
          <w:right w:val="nil"/>
          <w:between w:val="nil"/>
        </w:pBdr>
        <w:spacing w:line="276" w:lineRule="auto"/>
        <w:jc w:val="both"/>
        <w:rPr>
          <w:rFonts w:ascii="Bookman Old Style" w:eastAsia="Bookman Old Style" w:hAnsi="Bookman Old Style" w:cs="Arial"/>
        </w:rPr>
      </w:pPr>
    </w:p>
    <w:p w14:paraId="17823D6F" w14:textId="77777777" w:rsidR="006A13F9" w:rsidRPr="003B68CE" w:rsidRDefault="006A13F9" w:rsidP="006A13F9">
      <w:pPr>
        <w:pBdr>
          <w:top w:val="nil"/>
          <w:left w:val="nil"/>
          <w:bottom w:val="nil"/>
          <w:right w:val="nil"/>
          <w:between w:val="nil"/>
        </w:pBdr>
        <w:spacing w:line="276" w:lineRule="auto"/>
        <w:jc w:val="both"/>
        <w:rPr>
          <w:rFonts w:ascii="Bookman Old Style" w:eastAsia="Bookman Old Style" w:hAnsi="Bookman Old Style" w:cs="Arial"/>
          <w:i/>
        </w:rPr>
      </w:pPr>
      <w:r w:rsidRPr="003B68CE">
        <w:rPr>
          <w:rFonts w:ascii="Bookman Old Style" w:eastAsia="Bookman Old Style" w:hAnsi="Bookman Old Style" w:cs="Arial"/>
          <w:i/>
        </w:rPr>
        <w:t xml:space="preserve">Teniendo en cuenta que la prohibición expresa de la aplicación del principio de oportunidad en el Sistema de Responsabilidad Penal para Adolescentes relativa a cuando se agrede la libertad, integridad y formación sexual de niños, niñas y adolescentes restringe de manera intensa el principio de prevalencia de los derechos de los mismos </w:t>
      </w:r>
      <w:r w:rsidRPr="003B68CE">
        <w:rPr>
          <w:rFonts w:ascii="Bookman Old Style" w:eastAsia="Bookman Old Style" w:hAnsi="Bookman Old Style" w:cs="Arial"/>
          <w:b/>
          <w:i/>
          <w:u w:val="single"/>
        </w:rPr>
        <w:t>cuando el agresor es un menor de edad y puede conducirlo a resultar incluso privado de la libertad, esta Sala desarrollará para el caso sub judice un test estricto de proporcionalidad de la medida</w:t>
      </w:r>
      <w:r w:rsidRPr="003B68CE">
        <w:rPr>
          <w:rFonts w:ascii="Bookman Old Style" w:eastAsia="Bookman Old Style" w:hAnsi="Bookman Old Style" w:cs="Arial"/>
          <w:i/>
        </w:rPr>
        <w:t xml:space="preserve"> respecto de las particularidades del caso expuestas por el accionante. Lo anterior, para determinar si la aplicación del precitado principio es constitucionalmente admisible o, por el contrario, constituye una restricción inconstitucional de los derechos del menor agresor.</w:t>
      </w:r>
    </w:p>
    <w:p w14:paraId="7A7B80E5" w14:textId="77777777" w:rsidR="006A13F9" w:rsidRPr="003B68CE" w:rsidRDefault="006A13F9" w:rsidP="006A13F9">
      <w:pPr>
        <w:pBdr>
          <w:top w:val="nil"/>
          <w:left w:val="nil"/>
          <w:bottom w:val="nil"/>
          <w:right w:val="nil"/>
          <w:between w:val="nil"/>
        </w:pBdr>
        <w:spacing w:line="276" w:lineRule="auto"/>
        <w:jc w:val="both"/>
        <w:rPr>
          <w:rFonts w:ascii="Bookman Old Style" w:eastAsia="Bookman Old Style" w:hAnsi="Bookman Old Style" w:cs="Arial"/>
        </w:rPr>
      </w:pPr>
      <w:r w:rsidRPr="003B68CE">
        <w:rPr>
          <w:rFonts w:ascii="Bookman Old Style" w:eastAsia="Bookman Old Style" w:hAnsi="Bookman Old Style" w:cs="Arial"/>
        </w:rPr>
        <w:t>(Subrayado fuera de texto).</w:t>
      </w:r>
    </w:p>
    <w:p w14:paraId="6F0CCC85" w14:textId="77777777" w:rsidR="006A13F9" w:rsidRPr="003B68CE" w:rsidRDefault="006A13F9" w:rsidP="006A13F9">
      <w:pPr>
        <w:pBdr>
          <w:top w:val="nil"/>
          <w:left w:val="nil"/>
          <w:bottom w:val="nil"/>
          <w:right w:val="nil"/>
          <w:between w:val="nil"/>
        </w:pBdr>
        <w:spacing w:line="276" w:lineRule="auto"/>
        <w:jc w:val="both"/>
        <w:rPr>
          <w:rFonts w:ascii="Bookman Old Style" w:eastAsia="Bookman Old Style" w:hAnsi="Bookman Old Style" w:cs="Arial"/>
        </w:rPr>
      </w:pPr>
      <w:r w:rsidRPr="003B68CE">
        <w:rPr>
          <w:rFonts w:ascii="Bookman Old Style" w:eastAsia="Bookman Old Style" w:hAnsi="Bookman Old Style" w:cs="Arial"/>
        </w:rPr>
        <w:t>(…)</w:t>
      </w:r>
    </w:p>
    <w:p w14:paraId="590F09EB" w14:textId="77777777" w:rsidR="006A13F9" w:rsidRPr="003B68CE" w:rsidRDefault="006A13F9" w:rsidP="006A13F9">
      <w:pPr>
        <w:pBdr>
          <w:top w:val="nil"/>
          <w:left w:val="nil"/>
          <w:bottom w:val="nil"/>
          <w:right w:val="nil"/>
          <w:between w:val="nil"/>
        </w:pBdr>
        <w:spacing w:line="276" w:lineRule="auto"/>
        <w:jc w:val="both"/>
        <w:rPr>
          <w:rFonts w:ascii="Bookman Old Style" w:eastAsia="Bookman Old Style" w:hAnsi="Bookman Old Style" w:cs="Arial"/>
        </w:rPr>
      </w:pPr>
    </w:p>
    <w:p w14:paraId="30FC6319" w14:textId="77777777" w:rsidR="006A13F9" w:rsidRPr="003B68CE" w:rsidRDefault="006A13F9" w:rsidP="006A13F9">
      <w:pPr>
        <w:pBdr>
          <w:top w:val="nil"/>
          <w:left w:val="nil"/>
          <w:bottom w:val="nil"/>
          <w:right w:val="nil"/>
          <w:between w:val="nil"/>
        </w:pBdr>
        <w:spacing w:line="276" w:lineRule="auto"/>
        <w:jc w:val="both"/>
        <w:rPr>
          <w:rFonts w:ascii="Bookman Old Style" w:eastAsia="Bookman Old Style" w:hAnsi="Bookman Old Style" w:cs="Arial"/>
          <w:b/>
          <w:i/>
          <w:u w:val="single"/>
        </w:rPr>
      </w:pPr>
      <w:r w:rsidRPr="003B68CE">
        <w:rPr>
          <w:rFonts w:ascii="Bookman Old Style" w:eastAsia="Bookman Old Style" w:hAnsi="Bookman Old Style" w:cs="Arial"/>
          <w:i/>
        </w:rPr>
        <w:t xml:space="preserve">El accionante consideró que la aplicación del principio de oportunidad en el caso bajo revisión, constituía una afectación al derecho fundamental al debido proceso y a la protección del principio de la prevalencia de los derechos de la menor de edad. Por su parte, el apoderado judicial del joven M.A.L.P. aduce que la aplicación del principio de oportunidad no desconoce la prevalencia de los derechos de los menores, así como tampoco vulnera el debido proceso, habida cuenta de que su aplicación es acorde con la finalidad del Código de Infancia y Adolescencia, </w:t>
      </w:r>
      <w:r w:rsidRPr="003B68CE">
        <w:rPr>
          <w:rFonts w:ascii="Bookman Old Style" w:eastAsia="Bookman Old Style" w:hAnsi="Bookman Old Style" w:cs="Arial"/>
          <w:b/>
          <w:i/>
          <w:u w:val="single"/>
        </w:rPr>
        <w:t>que la relación sexual fue consentida, que no existe afectación a la integridad de la joven y que tanto ella, como su familia, no tienen interés en la persecución penal del asunto.</w:t>
      </w:r>
    </w:p>
    <w:p w14:paraId="5D72910B" w14:textId="77777777" w:rsidR="006A13F9" w:rsidRPr="003B68CE" w:rsidRDefault="006A13F9" w:rsidP="006A13F9">
      <w:pPr>
        <w:pBdr>
          <w:top w:val="nil"/>
          <w:left w:val="nil"/>
          <w:bottom w:val="nil"/>
          <w:right w:val="nil"/>
          <w:between w:val="nil"/>
        </w:pBdr>
        <w:spacing w:line="276" w:lineRule="auto"/>
        <w:jc w:val="both"/>
        <w:rPr>
          <w:rFonts w:ascii="Bookman Old Style" w:eastAsia="Bookman Old Style" w:hAnsi="Bookman Old Style" w:cs="Arial"/>
          <w:i/>
        </w:rPr>
      </w:pPr>
      <w:r w:rsidRPr="003B68CE">
        <w:rPr>
          <w:rFonts w:ascii="Bookman Old Style" w:eastAsia="Bookman Old Style" w:hAnsi="Bookman Old Style" w:cs="Arial"/>
        </w:rPr>
        <w:t>(Subrayado fuera de texto).</w:t>
      </w:r>
    </w:p>
    <w:p w14:paraId="0F334078" w14:textId="77777777" w:rsidR="006A13F9" w:rsidRPr="003B68CE" w:rsidRDefault="006A13F9" w:rsidP="006A13F9">
      <w:pPr>
        <w:pBdr>
          <w:top w:val="nil"/>
          <w:left w:val="nil"/>
          <w:bottom w:val="nil"/>
          <w:right w:val="nil"/>
          <w:between w:val="nil"/>
        </w:pBdr>
        <w:spacing w:line="276" w:lineRule="auto"/>
        <w:jc w:val="both"/>
        <w:rPr>
          <w:rFonts w:ascii="Bookman Old Style" w:eastAsia="Bookman Old Style" w:hAnsi="Bookman Old Style" w:cs="Arial"/>
          <w:i/>
        </w:rPr>
      </w:pPr>
      <w:r w:rsidRPr="003B68CE">
        <w:rPr>
          <w:rFonts w:ascii="Bookman Old Style" w:eastAsia="Bookman Old Style" w:hAnsi="Bookman Old Style" w:cs="Arial"/>
          <w:i/>
        </w:rPr>
        <w:t>(…)</w:t>
      </w:r>
    </w:p>
    <w:p w14:paraId="3C3CFD88" w14:textId="77777777" w:rsidR="006A13F9" w:rsidRPr="003B68CE" w:rsidRDefault="006A13F9" w:rsidP="006A13F9">
      <w:pPr>
        <w:pBdr>
          <w:top w:val="nil"/>
          <w:left w:val="nil"/>
          <w:bottom w:val="nil"/>
          <w:right w:val="nil"/>
          <w:between w:val="nil"/>
        </w:pBdr>
        <w:spacing w:line="276" w:lineRule="auto"/>
        <w:jc w:val="both"/>
        <w:rPr>
          <w:rFonts w:ascii="Bookman Old Style" w:eastAsia="Bookman Old Style" w:hAnsi="Bookman Old Style" w:cs="Arial"/>
          <w:i/>
        </w:rPr>
      </w:pPr>
    </w:p>
    <w:p w14:paraId="0AD71E41" w14:textId="77777777" w:rsidR="006A13F9" w:rsidRPr="003B68CE" w:rsidRDefault="006A13F9" w:rsidP="006A13F9">
      <w:pPr>
        <w:pBdr>
          <w:top w:val="nil"/>
          <w:left w:val="nil"/>
          <w:bottom w:val="nil"/>
          <w:right w:val="nil"/>
          <w:between w:val="nil"/>
        </w:pBdr>
        <w:spacing w:line="276" w:lineRule="auto"/>
        <w:jc w:val="both"/>
        <w:rPr>
          <w:rFonts w:ascii="Bookman Old Style" w:eastAsia="Bookman Old Style" w:hAnsi="Bookman Old Style" w:cs="Arial"/>
          <w:b/>
          <w:i/>
          <w:u w:val="single"/>
        </w:rPr>
      </w:pPr>
      <w:r w:rsidRPr="003B68CE">
        <w:rPr>
          <w:rFonts w:ascii="Bookman Old Style" w:eastAsia="Bookman Old Style" w:hAnsi="Bookman Old Style" w:cs="Arial"/>
          <w:i/>
        </w:rPr>
        <w:t xml:space="preserve">A juicio de la Sala, la finalidad común, tanto de la prohibición de aplicación del principio de oportunidad, como su aplicación al caso concreto, pretenden garantizar el pleno desarrollo y crecimiento de los menores establecida en el Código de Infancia y Adolescencia, lo que tiene fundamento en disposiciones constitucionales y persigue una finalidad constitucional imperiosa e inaplazable, ya que la Constitución determina que la familia, la sociedad y el Estado tienen la obligación de proteger al niño. En tal sentido, la prohibición de aplicación del principio de oportunidad es plenamente válida y constitucionalmente imperiosa, a la luz de las normas constitucionales, pero </w:t>
      </w:r>
      <w:r w:rsidRPr="003B68CE">
        <w:rPr>
          <w:rFonts w:ascii="Bookman Old Style" w:eastAsia="Bookman Old Style" w:hAnsi="Bookman Old Style" w:cs="Arial"/>
          <w:i/>
        </w:rPr>
        <w:lastRenderedPageBreak/>
        <w:t xml:space="preserve">lo mismo también resulta predicable de </w:t>
      </w:r>
      <w:r w:rsidRPr="003B68CE">
        <w:rPr>
          <w:rFonts w:ascii="Bookman Old Style" w:eastAsia="Bookman Old Style" w:hAnsi="Bookman Old Style" w:cs="Arial"/>
          <w:b/>
          <w:i/>
          <w:u w:val="single"/>
        </w:rPr>
        <w:t>la decisión de abandonar la persecución penal de un menor de edad, con el fin de evitar restricciones considerables de sus derechos y, en ese sentido, garantizar la finalidad pedagógica del Sistema de Responsabilidad Penal para Adolescentes, en consideración de su particular situación en este caso concreto.</w:t>
      </w:r>
    </w:p>
    <w:p w14:paraId="79B060E7" w14:textId="77777777" w:rsidR="006A13F9" w:rsidRPr="003B68CE" w:rsidRDefault="006A13F9" w:rsidP="006A13F9">
      <w:pPr>
        <w:pBdr>
          <w:top w:val="nil"/>
          <w:left w:val="nil"/>
          <w:bottom w:val="nil"/>
          <w:right w:val="nil"/>
          <w:between w:val="nil"/>
        </w:pBdr>
        <w:spacing w:line="276" w:lineRule="auto"/>
        <w:jc w:val="both"/>
        <w:rPr>
          <w:rFonts w:ascii="Bookman Old Style" w:eastAsia="Bookman Old Style" w:hAnsi="Bookman Old Style" w:cs="Arial"/>
          <w:i/>
        </w:rPr>
      </w:pPr>
      <w:r w:rsidRPr="003B68CE">
        <w:rPr>
          <w:rFonts w:ascii="Bookman Old Style" w:eastAsia="Bookman Old Style" w:hAnsi="Bookman Old Style" w:cs="Arial"/>
          <w:i/>
        </w:rPr>
        <w:t> </w:t>
      </w:r>
    </w:p>
    <w:p w14:paraId="7E826E15" w14:textId="77777777" w:rsidR="006A13F9" w:rsidRPr="003B68CE" w:rsidRDefault="006A13F9" w:rsidP="006A13F9">
      <w:pPr>
        <w:pBdr>
          <w:top w:val="nil"/>
          <w:left w:val="nil"/>
          <w:bottom w:val="nil"/>
          <w:right w:val="nil"/>
          <w:between w:val="nil"/>
        </w:pBdr>
        <w:spacing w:line="276" w:lineRule="auto"/>
        <w:jc w:val="both"/>
        <w:rPr>
          <w:rFonts w:ascii="Bookman Old Style" w:eastAsia="Bookman Old Style" w:hAnsi="Bookman Old Style" w:cs="Arial"/>
          <w:i/>
          <w:u w:val="single"/>
        </w:rPr>
      </w:pPr>
      <w:r w:rsidRPr="003B68CE">
        <w:rPr>
          <w:rFonts w:ascii="Bookman Old Style" w:eastAsia="Bookman Old Style" w:hAnsi="Bookman Old Style" w:cs="Arial"/>
          <w:i/>
          <w:u w:val="single"/>
        </w:rPr>
        <w:t>Idoneidad</w:t>
      </w:r>
    </w:p>
    <w:p w14:paraId="6CC618AF" w14:textId="77777777" w:rsidR="006A13F9" w:rsidRPr="003B68CE" w:rsidRDefault="006A13F9" w:rsidP="006A13F9">
      <w:pPr>
        <w:pBdr>
          <w:top w:val="nil"/>
          <w:left w:val="nil"/>
          <w:bottom w:val="nil"/>
          <w:right w:val="nil"/>
          <w:between w:val="nil"/>
        </w:pBdr>
        <w:spacing w:line="276" w:lineRule="auto"/>
        <w:jc w:val="both"/>
        <w:rPr>
          <w:rFonts w:ascii="Bookman Old Style" w:eastAsia="Bookman Old Style" w:hAnsi="Bookman Old Style" w:cs="Arial"/>
          <w:i/>
        </w:rPr>
      </w:pPr>
      <w:r w:rsidRPr="003B68CE">
        <w:rPr>
          <w:rFonts w:ascii="Bookman Old Style" w:eastAsia="Bookman Old Style" w:hAnsi="Bookman Old Style" w:cs="Arial"/>
          <w:i/>
        </w:rPr>
        <w:t> </w:t>
      </w:r>
    </w:p>
    <w:p w14:paraId="06ADD190" w14:textId="77777777" w:rsidR="006A13F9" w:rsidRPr="003B68CE" w:rsidRDefault="006A13F9" w:rsidP="006A13F9">
      <w:pPr>
        <w:pBdr>
          <w:top w:val="nil"/>
          <w:left w:val="nil"/>
          <w:bottom w:val="nil"/>
          <w:right w:val="nil"/>
          <w:between w:val="nil"/>
        </w:pBdr>
        <w:spacing w:line="276" w:lineRule="auto"/>
        <w:jc w:val="both"/>
        <w:rPr>
          <w:rFonts w:ascii="Bookman Old Style" w:eastAsia="Bookman Old Style" w:hAnsi="Bookman Old Style" w:cs="Arial"/>
          <w:i/>
        </w:rPr>
      </w:pPr>
      <w:r w:rsidRPr="003B68CE">
        <w:rPr>
          <w:rFonts w:ascii="Bookman Old Style" w:eastAsia="Bookman Old Style" w:hAnsi="Bookman Old Style" w:cs="Arial"/>
          <w:i/>
        </w:rPr>
        <w:t xml:space="preserve">118. Para la Sala, la prohibición de aplicación del principio de oportunidad es una medida inidónea para alcanzar la finalidad de protección y prevalencia de los derechos de los niños, cuando el rigor en su aplicación trae como consecuencia, como en el caso concreto, la afectación de los derechos del menor de edad que está siendo acusado de la conducta punible. </w:t>
      </w:r>
      <w:r w:rsidRPr="003B68CE">
        <w:rPr>
          <w:rFonts w:ascii="Bookman Old Style" w:eastAsia="Bookman Old Style" w:hAnsi="Bookman Old Style" w:cs="Arial"/>
          <w:b/>
          <w:i/>
          <w:u w:val="single"/>
        </w:rPr>
        <w:t>En efecto, en el caso bajo estudio, a pesar de que jurídicamente se presume que la menor de 14 años no dispone de capacidad jurídica para consentir la realización de actos sexuales, la consecuencia atribuible por parte del sistema penal no necesariamente debe ser la aplicación con rigor de la sanción penal.</w:t>
      </w:r>
      <w:r w:rsidRPr="003B68CE">
        <w:rPr>
          <w:rFonts w:ascii="Bookman Old Style" w:eastAsia="Bookman Old Style" w:hAnsi="Bookman Old Style" w:cs="Arial"/>
          <w:i/>
        </w:rPr>
        <w:t xml:space="preserve"> Lo anterior, teniendo en cuenta que la búsqueda sistemática de la prevalencia de los derechos de los niños, niñas y adolescentes puede generar, con estricto análisis de las circunstancias del caso, la inaplicación de la prohibición de recurso al principio de oportunidad para permitir el funcionamiento de mecanismos de alternatividad penal.</w:t>
      </w:r>
    </w:p>
    <w:p w14:paraId="554D28A6" w14:textId="77777777" w:rsidR="006A13F9" w:rsidRPr="003B68CE" w:rsidRDefault="006A13F9" w:rsidP="006A13F9">
      <w:pPr>
        <w:pBdr>
          <w:top w:val="nil"/>
          <w:left w:val="nil"/>
          <w:bottom w:val="nil"/>
          <w:right w:val="nil"/>
          <w:between w:val="nil"/>
        </w:pBdr>
        <w:spacing w:line="276" w:lineRule="auto"/>
        <w:jc w:val="both"/>
        <w:rPr>
          <w:rFonts w:ascii="Bookman Old Style" w:eastAsia="Bookman Old Style" w:hAnsi="Bookman Old Style" w:cs="Arial"/>
          <w:i/>
        </w:rPr>
      </w:pPr>
      <w:r w:rsidRPr="003B68CE">
        <w:rPr>
          <w:rFonts w:ascii="Bookman Old Style" w:eastAsia="Bookman Old Style" w:hAnsi="Bookman Old Style" w:cs="Arial"/>
          <w:i/>
        </w:rPr>
        <w:t> </w:t>
      </w:r>
    </w:p>
    <w:p w14:paraId="0C1D5002" w14:textId="77777777" w:rsidR="006A13F9" w:rsidRPr="003B68CE" w:rsidRDefault="006A13F9" w:rsidP="006A13F9">
      <w:pPr>
        <w:pBdr>
          <w:top w:val="nil"/>
          <w:left w:val="nil"/>
          <w:bottom w:val="nil"/>
          <w:right w:val="nil"/>
          <w:between w:val="nil"/>
        </w:pBdr>
        <w:spacing w:line="276" w:lineRule="auto"/>
        <w:jc w:val="both"/>
        <w:rPr>
          <w:rFonts w:ascii="Bookman Old Style" w:eastAsia="Bookman Old Style" w:hAnsi="Bookman Old Style" w:cs="Arial"/>
          <w:i/>
        </w:rPr>
      </w:pPr>
      <w:bookmarkStart w:id="1" w:name="_heading=h.cqvidrroqt7m" w:colFirst="0" w:colLast="0"/>
      <w:bookmarkEnd w:id="1"/>
      <w:r w:rsidRPr="003B68CE">
        <w:rPr>
          <w:rFonts w:ascii="Bookman Old Style" w:eastAsia="Bookman Old Style" w:hAnsi="Bookman Old Style" w:cs="Arial"/>
          <w:i/>
        </w:rPr>
        <w:t>119. De acuerdo con los hechos del caso bajo revisión y de conformidad con los conceptos recaudados por la Corte Constitucional, esta Sala pudo verificar que, en este caso, </w:t>
      </w:r>
      <w:r w:rsidRPr="003B68CE">
        <w:rPr>
          <w:rFonts w:ascii="Bookman Old Style" w:eastAsia="Bookman Old Style" w:hAnsi="Bookman Old Style" w:cs="Arial"/>
          <w:b/>
          <w:i/>
          <w:u w:val="single"/>
        </w:rPr>
        <w:t>se cumplió la finalidad pedagógica del proceso adelantado en el Sistema de Responsabilidad Penal para Adolescentes a través de otras medidas, se restablecieron plenamente los derechos de la víctima del delito y existió una adecuada participación de la víctima en todo el proceso penal,</w:t>
      </w:r>
      <w:r w:rsidRPr="003B68CE">
        <w:rPr>
          <w:rFonts w:ascii="Bookman Old Style" w:eastAsia="Bookman Old Style" w:hAnsi="Bookman Old Style" w:cs="Arial"/>
          <w:i/>
        </w:rPr>
        <w:t xml:space="preserve"> incluyendo en la decisión de solicitar la aplicación del principio de oportunidad.</w:t>
      </w:r>
    </w:p>
    <w:p w14:paraId="5B931F30" w14:textId="77777777" w:rsidR="006A13F9" w:rsidRPr="003B68CE" w:rsidRDefault="006A13F9" w:rsidP="006A13F9">
      <w:pPr>
        <w:pBdr>
          <w:top w:val="nil"/>
          <w:left w:val="nil"/>
          <w:bottom w:val="nil"/>
          <w:right w:val="nil"/>
          <w:between w:val="nil"/>
        </w:pBdr>
        <w:spacing w:line="276" w:lineRule="auto"/>
        <w:jc w:val="both"/>
        <w:rPr>
          <w:rFonts w:ascii="Bookman Old Style" w:eastAsia="Bookman Old Style" w:hAnsi="Bookman Old Style" w:cs="Arial"/>
          <w:i/>
        </w:rPr>
      </w:pPr>
      <w:r w:rsidRPr="003B68CE">
        <w:rPr>
          <w:rFonts w:ascii="Bookman Old Style" w:eastAsia="Bookman Old Style" w:hAnsi="Bookman Old Style" w:cs="Arial"/>
          <w:i/>
        </w:rPr>
        <w:t> </w:t>
      </w:r>
    </w:p>
    <w:p w14:paraId="362052B3" w14:textId="77777777" w:rsidR="006A13F9" w:rsidRPr="003B68CE" w:rsidRDefault="006A13F9" w:rsidP="006A13F9">
      <w:pPr>
        <w:pBdr>
          <w:top w:val="nil"/>
          <w:left w:val="nil"/>
          <w:bottom w:val="nil"/>
          <w:right w:val="nil"/>
          <w:between w:val="nil"/>
        </w:pBdr>
        <w:spacing w:line="276" w:lineRule="auto"/>
        <w:jc w:val="both"/>
        <w:rPr>
          <w:rFonts w:ascii="Bookman Old Style" w:eastAsia="Bookman Old Style" w:hAnsi="Bookman Old Style" w:cs="Arial"/>
          <w:i/>
        </w:rPr>
      </w:pPr>
      <w:r w:rsidRPr="003B68CE">
        <w:rPr>
          <w:rFonts w:ascii="Bookman Old Style" w:eastAsia="Bookman Old Style" w:hAnsi="Bookman Old Style" w:cs="Arial"/>
          <w:i/>
        </w:rPr>
        <w:t>(…)</w:t>
      </w:r>
    </w:p>
    <w:p w14:paraId="111163D6" w14:textId="77777777" w:rsidR="006A13F9" w:rsidRPr="003B68CE" w:rsidRDefault="006A13F9" w:rsidP="006A13F9">
      <w:pPr>
        <w:pBdr>
          <w:top w:val="nil"/>
          <w:left w:val="nil"/>
          <w:bottom w:val="nil"/>
          <w:right w:val="nil"/>
          <w:between w:val="nil"/>
        </w:pBdr>
        <w:spacing w:line="276" w:lineRule="auto"/>
        <w:jc w:val="both"/>
        <w:rPr>
          <w:rFonts w:ascii="Bookman Old Style" w:eastAsia="Bookman Old Style" w:hAnsi="Bookman Old Style" w:cs="Arial"/>
          <w:i/>
        </w:rPr>
      </w:pPr>
    </w:p>
    <w:p w14:paraId="632FD52B" w14:textId="77777777" w:rsidR="006A13F9" w:rsidRPr="003B68CE" w:rsidRDefault="006A13F9" w:rsidP="006A13F9">
      <w:pPr>
        <w:pBdr>
          <w:top w:val="nil"/>
          <w:left w:val="nil"/>
          <w:bottom w:val="nil"/>
          <w:right w:val="nil"/>
          <w:between w:val="nil"/>
        </w:pBdr>
        <w:spacing w:line="276" w:lineRule="auto"/>
        <w:jc w:val="both"/>
        <w:rPr>
          <w:rFonts w:ascii="Bookman Old Style" w:eastAsia="Bookman Old Style" w:hAnsi="Bookman Old Style" w:cs="Arial"/>
          <w:i/>
        </w:rPr>
      </w:pPr>
      <w:r w:rsidRPr="003B68CE">
        <w:rPr>
          <w:rFonts w:ascii="Bookman Old Style" w:eastAsia="Bookman Old Style" w:hAnsi="Bookman Old Style" w:cs="Arial"/>
          <w:i/>
        </w:rPr>
        <w:t>En el caso sub examine </w:t>
      </w:r>
      <w:r w:rsidRPr="003B68CE">
        <w:rPr>
          <w:rFonts w:ascii="Bookman Old Style" w:eastAsia="Bookman Old Style" w:hAnsi="Bookman Old Style" w:cs="Arial"/>
          <w:b/>
          <w:i/>
          <w:u w:val="single"/>
        </w:rPr>
        <w:t xml:space="preserve">la Sala concluye que según los principios orientadores del Sistema de Responsabilidad Penal para Adolescentes </w:t>
      </w:r>
      <w:r w:rsidRPr="003B68CE">
        <w:rPr>
          <w:rFonts w:ascii="Bookman Old Style" w:eastAsia="Bookman Old Style" w:hAnsi="Bookman Old Style" w:cs="Arial"/>
          <w:b/>
          <w:i/>
          <w:u w:val="single"/>
        </w:rPr>
        <w:lastRenderedPageBreak/>
        <w:t>la imposición de una medida de detención no resulta necesaria para el joven acusado de la conducta punible</w:t>
      </w:r>
      <w:r w:rsidRPr="003B68CE">
        <w:rPr>
          <w:rFonts w:ascii="Bookman Old Style" w:eastAsia="Bookman Old Style" w:hAnsi="Bookman Old Style" w:cs="Arial"/>
          <w:i/>
        </w:rPr>
        <w:t>. Lo anterior, teniendo en cuenta que, como se ha dicho, este proceso tiene una finalidad “protectora, educativa y restaurativa” en el cual se busca, mediante la adopción de medidas diferenciadas respecto del proceso ordinario para adultos, la mínima intervención en la libertad de los menores. </w:t>
      </w:r>
    </w:p>
    <w:p w14:paraId="3D11B6F3" w14:textId="77777777" w:rsidR="006A13F9" w:rsidRPr="003B68CE" w:rsidRDefault="006A13F9" w:rsidP="006A13F9">
      <w:pPr>
        <w:pBdr>
          <w:top w:val="nil"/>
          <w:left w:val="nil"/>
          <w:bottom w:val="nil"/>
          <w:right w:val="nil"/>
          <w:between w:val="nil"/>
        </w:pBdr>
        <w:spacing w:line="276" w:lineRule="auto"/>
        <w:jc w:val="both"/>
        <w:rPr>
          <w:rFonts w:ascii="Bookman Old Style" w:eastAsia="Bookman Old Style" w:hAnsi="Bookman Old Style" w:cs="Arial"/>
          <w:color w:val="000000"/>
        </w:rPr>
      </w:pPr>
      <w:r w:rsidRPr="003B68CE">
        <w:rPr>
          <w:rFonts w:ascii="Bookman Old Style" w:eastAsia="Bookman Old Style" w:hAnsi="Bookman Old Style" w:cs="Arial"/>
          <w:color w:val="000000"/>
        </w:rPr>
        <w:t>(Subrayado fuera de texto).</w:t>
      </w:r>
    </w:p>
    <w:p w14:paraId="6BA46A6E" w14:textId="77777777" w:rsidR="006A13F9" w:rsidRPr="003B68CE" w:rsidRDefault="006A13F9" w:rsidP="006A13F9">
      <w:pPr>
        <w:pBdr>
          <w:top w:val="nil"/>
          <w:left w:val="nil"/>
          <w:bottom w:val="nil"/>
          <w:right w:val="nil"/>
          <w:between w:val="nil"/>
        </w:pBdr>
        <w:spacing w:line="276" w:lineRule="auto"/>
        <w:jc w:val="both"/>
        <w:rPr>
          <w:rFonts w:ascii="Bookman Old Style" w:eastAsia="Bookman Old Style" w:hAnsi="Bookman Old Style" w:cs="Arial"/>
          <w:i/>
          <w:color w:val="000000"/>
        </w:rPr>
      </w:pPr>
    </w:p>
    <w:p w14:paraId="1D93FC38" w14:textId="2C6F52B1" w:rsidR="006A13F9" w:rsidRPr="00AC299D" w:rsidRDefault="006A13F9" w:rsidP="00AC299D">
      <w:pPr>
        <w:pStyle w:val="Prrafodelista"/>
        <w:numPr>
          <w:ilvl w:val="0"/>
          <w:numId w:val="10"/>
        </w:numPr>
        <w:pBdr>
          <w:top w:val="nil"/>
          <w:left w:val="nil"/>
          <w:bottom w:val="nil"/>
          <w:right w:val="nil"/>
          <w:between w:val="nil"/>
        </w:pBdr>
        <w:spacing w:line="276" w:lineRule="auto"/>
        <w:jc w:val="both"/>
        <w:rPr>
          <w:rFonts w:ascii="Bookman Old Style" w:eastAsia="Bookman Old Style" w:hAnsi="Bookman Old Style" w:cs="Arial"/>
          <w:b/>
          <w:i/>
          <w:color w:val="000000"/>
        </w:rPr>
      </w:pPr>
      <w:r w:rsidRPr="00AC299D">
        <w:rPr>
          <w:rFonts w:ascii="Bookman Old Style" w:eastAsia="Bookman Old Style" w:hAnsi="Bookman Old Style" w:cs="Arial"/>
          <w:b/>
          <w:color w:val="000000"/>
          <w:u w:val="single"/>
        </w:rPr>
        <w:t>NORMAS INTERNACIONALES SOBRE LOS DERECHOS DE LOS NIÑOS, NIÑAS Y ADOLESCENTES</w:t>
      </w:r>
    </w:p>
    <w:p w14:paraId="513FA65E" w14:textId="77777777" w:rsidR="006A13F9" w:rsidRPr="003B68CE" w:rsidRDefault="006A13F9" w:rsidP="006A13F9">
      <w:pPr>
        <w:widowControl w:val="0"/>
        <w:pBdr>
          <w:top w:val="nil"/>
          <w:left w:val="nil"/>
          <w:bottom w:val="nil"/>
          <w:right w:val="nil"/>
          <w:between w:val="nil"/>
        </w:pBdr>
        <w:jc w:val="both"/>
        <w:rPr>
          <w:rFonts w:ascii="Bookman Old Style" w:eastAsia="Times New Roman" w:hAnsi="Bookman Old Style" w:cs="Arial"/>
          <w:color w:val="000000"/>
        </w:rPr>
      </w:pPr>
    </w:p>
    <w:p w14:paraId="11DE3C91" w14:textId="77777777" w:rsidR="006A13F9" w:rsidRPr="003B68CE" w:rsidRDefault="006A13F9" w:rsidP="006A13F9">
      <w:pPr>
        <w:widowControl w:val="0"/>
        <w:pBdr>
          <w:top w:val="nil"/>
          <w:left w:val="nil"/>
          <w:bottom w:val="nil"/>
          <w:right w:val="nil"/>
          <w:between w:val="nil"/>
        </w:pBdr>
        <w:spacing w:line="276" w:lineRule="auto"/>
        <w:jc w:val="both"/>
        <w:rPr>
          <w:rFonts w:ascii="Bookman Old Style" w:eastAsia="Bookman Old Style" w:hAnsi="Bookman Old Style" w:cs="Arial"/>
          <w:color w:val="000000"/>
        </w:rPr>
      </w:pPr>
      <w:r w:rsidRPr="003B68CE">
        <w:rPr>
          <w:rFonts w:ascii="Bookman Old Style" w:eastAsia="Bookman Old Style" w:hAnsi="Bookman Old Style" w:cs="Arial"/>
          <w:color w:val="000000"/>
        </w:rPr>
        <w:t xml:space="preserve">En las legislaciones modernas y en la organización de los Estados habita la idea de que los mismos carecen de una soberanía exclusiva que les permite justificar la forma en la que se trata a sus ciudadanos, sin tener en cuenta derechos inherentes a las personas. Precisamente fue la globalización y la apertura de los Estados lo que llevó al surgimiento de ideas como la internacionalización del derecho o el pensar que las Constituciones ya no son unos textos cerrados, sino que existen normatividades que entran a hacer parte de lo que se conoce como bloque de constitucionalidad. </w:t>
      </w:r>
    </w:p>
    <w:p w14:paraId="15C6470B" w14:textId="77777777" w:rsidR="006A13F9" w:rsidRPr="003B68CE" w:rsidRDefault="006A13F9" w:rsidP="006A13F9">
      <w:pPr>
        <w:widowControl w:val="0"/>
        <w:pBdr>
          <w:top w:val="nil"/>
          <w:left w:val="nil"/>
          <w:bottom w:val="nil"/>
          <w:right w:val="nil"/>
          <w:between w:val="nil"/>
        </w:pBdr>
        <w:spacing w:line="276" w:lineRule="auto"/>
        <w:jc w:val="both"/>
        <w:rPr>
          <w:rFonts w:ascii="Bookman Old Style" w:eastAsia="Bookman Old Style" w:hAnsi="Bookman Old Style" w:cs="Arial"/>
          <w:color w:val="000000"/>
        </w:rPr>
      </w:pPr>
    </w:p>
    <w:p w14:paraId="72A02598" w14:textId="77777777" w:rsidR="006A13F9" w:rsidRPr="003B68CE" w:rsidRDefault="006A13F9" w:rsidP="006A13F9">
      <w:pPr>
        <w:widowControl w:val="0"/>
        <w:pBdr>
          <w:top w:val="nil"/>
          <w:left w:val="nil"/>
          <w:bottom w:val="nil"/>
          <w:right w:val="nil"/>
          <w:between w:val="nil"/>
        </w:pBdr>
        <w:spacing w:line="276" w:lineRule="auto"/>
        <w:jc w:val="both"/>
        <w:rPr>
          <w:rFonts w:ascii="Bookman Old Style" w:eastAsia="Bookman Old Style" w:hAnsi="Bookman Old Style" w:cs="Arial"/>
          <w:color w:val="000000"/>
        </w:rPr>
      </w:pPr>
      <w:r w:rsidRPr="003B68CE">
        <w:rPr>
          <w:rFonts w:ascii="Bookman Old Style" w:eastAsia="Bookman Old Style" w:hAnsi="Bookman Old Style" w:cs="Arial"/>
          <w:color w:val="000000"/>
        </w:rPr>
        <w:t>El artículo 55 de la Carta de las Naciones Unidas indica que los Estados se obligan a “garantizar el respeto de los derechos humanos”, razón por la que los tratados y convenios ratificados o suscritos por Colombia obtienen una relevancia importante a la hora de entrar a revisar las garantías de los derechos de los asociados.</w:t>
      </w:r>
    </w:p>
    <w:p w14:paraId="04CF25B1" w14:textId="77777777" w:rsidR="006A13F9" w:rsidRPr="003B68CE" w:rsidRDefault="006A13F9" w:rsidP="006A13F9">
      <w:pPr>
        <w:widowControl w:val="0"/>
        <w:pBdr>
          <w:top w:val="nil"/>
          <w:left w:val="nil"/>
          <w:bottom w:val="nil"/>
          <w:right w:val="nil"/>
          <w:between w:val="nil"/>
        </w:pBdr>
        <w:spacing w:line="276" w:lineRule="auto"/>
        <w:jc w:val="both"/>
        <w:rPr>
          <w:rFonts w:ascii="Bookman Old Style" w:eastAsia="Bookman Old Style" w:hAnsi="Bookman Old Style" w:cs="Arial"/>
          <w:color w:val="000000"/>
        </w:rPr>
      </w:pPr>
    </w:p>
    <w:p w14:paraId="19E5B951" w14:textId="77777777" w:rsidR="006A13F9" w:rsidRPr="003B68CE" w:rsidRDefault="006A13F9" w:rsidP="006A13F9">
      <w:pPr>
        <w:widowControl w:val="0"/>
        <w:pBdr>
          <w:top w:val="nil"/>
          <w:left w:val="nil"/>
          <w:bottom w:val="nil"/>
          <w:right w:val="nil"/>
          <w:between w:val="nil"/>
        </w:pBdr>
        <w:spacing w:line="276" w:lineRule="auto"/>
        <w:jc w:val="both"/>
        <w:rPr>
          <w:rFonts w:ascii="Bookman Old Style" w:eastAsia="Bookman Old Style" w:hAnsi="Bookman Old Style" w:cs="Arial"/>
          <w:color w:val="000000"/>
        </w:rPr>
      </w:pPr>
      <w:r w:rsidRPr="003B68CE">
        <w:rPr>
          <w:rFonts w:ascii="Bookman Old Style" w:eastAsia="Bookman Old Style" w:hAnsi="Bookman Old Style" w:cs="Arial"/>
          <w:color w:val="000000"/>
        </w:rPr>
        <w:t xml:space="preserve">Una de esas normatividades es la Convención sobre los Derechos del Niño, adoptada por la Asamblea General de las Naciones Unidas el 20 de noviembre de 1989 y aprobada por el Congreso de la República mediante la Ley 12 de 1991. Fue precisamente mediante los anteriores hechos con los que se armoniza el principio del interés superior del menor establecido en el mismo texto constitucional. </w:t>
      </w:r>
    </w:p>
    <w:p w14:paraId="1D030CE1" w14:textId="77777777" w:rsidR="006A13F9" w:rsidRPr="003B68CE" w:rsidRDefault="006A13F9" w:rsidP="006A13F9">
      <w:pPr>
        <w:widowControl w:val="0"/>
        <w:pBdr>
          <w:top w:val="nil"/>
          <w:left w:val="nil"/>
          <w:bottom w:val="nil"/>
          <w:right w:val="nil"/>
          <w:between w:val="nil"/>
        </w:pBdr>
        <w:spacing w:line="276" w:lineRule="auto"/>
        <w:jc w:val="both"/>
        <w:rPr>
          <w:rFonts w:ascii="Bookman Old Style" w:eastAsia="Bookman Old Style" w:hAnsi="Bookman Old Style" w:cs="Arial"/>
          <w:color w:val="000000"/>
        </w:rPr>
      </w:pPr>
    </w:p>
    <w:p w14:paraId="1911CCE9" w14:textId="77777777" w:rsidR="006A13F9" w:rsidRPr="003B68CE" w:rsidRDefault="006A13F9" w:rsidP="006A13F9">
      <w:pPr>
        <w:widowControl w:val="0"/>
        <w:pBdr>
          <w:top w:val="nil"/>
          <w:left w:val="nil"/>
          <w:bottom w:val="nil"/>
          <w:right w:val="nil"/>
          <w:between w:val="nil"/>
        </w:pBdr>
        <w:spacing w:line="276" w:lineRule="auto"/>
        <w:jc w:val="both"/>
        <w:rPr>
          <w:rFonts w:ascii="Bookman Old Style" w:eastAsia="Bookman Old Style" w:hAnsi="Bookman Old Style" w:cs="Arial"/>
          <w:i/>
          <w:color w:val="000000"/>
        </w:rPr>
      </w:pPr>
      <w:r w:rsidRPr="003B68CE">
        <w:rPr>
          <w:rFonts w:ascii="Bookman Old Style" w:eastAsia="Bookman Old Style" w:hAnsi="Bookman Old Style" w:cs="Arial"/>
          <w:color w:val="000000"/>
        </w:rPr>
        <w:t xml:space="preserve">La Convención sobre los derechos del niño de la Asamblea General de las Naciones Unidad consagra en su artículo primero que se entiende por niño todo ser humano menor de dieciocho (18) años de edad, </w:t>
      </w:r>
      <w:r w:rsidRPr="003B68CE">
        <w:rPr>
          <w:rFonts w:ascii="Bookman Old Style" w:eastAsia="Bookman Old Style" w:hAnsi="Bookman Old Style" w:cs="Arial"/>
          <w:i/>
          <w:color w:val="000000"/>
        </w:rPr>
        <w:t>“salvo que, en virtud de la ley que le sea aplicable, haya alcanzado antes la mayoría de edad.</w:t>
      </w:r>
    </w:p>
    <w:p w14:paraId="5AEED0D2" w14:textId="77777777" w:rsidR="006A13F9" w:rsidRPr="003B68CE" w:rsidRDefault="006A13F9" w:rsidP="006A13F9">
      <w:pPr>
        <w:widowControl w:val="0"/>
        <w:pBdr>
          <w:top w:val="nil"/>
          <w:left w:val="nil"/>
          <w:bottom w:val="nil"/>
          <w:right w:val="nil"/>
          <w:between w:val="nil"/>
        </w:pBdr>
        <w:spacing w:line="276" w:lineRule="auto"/>
        <w:jc w:val="both"/>
        <w:rPr>
          <w:rFonts w:ascii="Bookman Old Style" w:eastAsia="Bookman Old Style" w:hAnsi="Bookman Old Style" w:cs="Arial"/>
          <w:i/>
          <w:color w:val="000000"/>
        </w:rPr>
      </w:pPr>
    </w:p>
    <w:p w14:paraId="7825E715" w14:textId="2E25D989" w:rsidR="006A13F9" w:rsidRPr="003B68CE" w:rsidRDefault="006A13F9" w:rsidP="006A13F9">
      <w:pPr>
        <w:widowControl w:val="0"/>
        <w:pBdr>
          <w:top w:val="nil"/>
          <w:left w:val="nil"/>
          <w:bottom w:val="nil"/>
          <w:right w:val="nil"/>
          <w:between w:val="nil"/>
        </w:pBdr>
        <w:spacing w:line="276" w:lineRule="auto"/>
        <w:jc w:val="both"/>
        <w:rPr>
          <w:rFonts w:ascii="Bookman Old Style" w:eastAsia="Bookman Old Style" w:hAnsi="Bookman Old Style" w:cs="Arial"/>
          <w:i/>
          <w:color w:val="000000"/>
        </w:rPr>
      </w:pPr>
      <w:r w:rsidRPr="003B68CE">
        <w:rPr>
          <w:rFonts w:ascii="Bookman Old Style" w:eastAsia="Bookman Old Style" w:hAnsi="Bookman Old Style" w:cs="Arial"/>
          <w:color w:val="000000"/>
        </w:rPr>
        <w:t xml:space="preserve">Así mismo, el artículo 24 del Pacto de los derechos civiles y políticos de 1966 incluye una declaración expresa para los niños, indicando en su numeral primero que </w:t>
      </w:r>
      <w:r w:rsidRPr="003B68CE">
        <w:rPr>
          <w:rFonts w:ascii="Bookman Old Style" w:eastAsia="Bookman Old Style" w:hAnsi="Bookman Old Style" w:cs="Arial"/>
          <w:i/>
          <w:color w:val="000000"/>
        </w:rPr>
        <w:t>“Todo niño tiene derecho, sin discriminación alguna por motivos de raza, color, sexo, idioma, religión, origen nacional o social, posición económica o nacimiento, a las medidas de protección que su condición de menor requiere, tanto por parte de su familia como de la sociedad y del Estado.”</w:t>
      </w:r>
    </w:p>
    <w:p w14:paraId="611F03A4" w14:textId="77777777" w:rsidR="006A13F9" w:rsidRPr="003B68CE" w:rsidRDefault="006A13F9" w:rsidP="006A13F9">
      <w:pPr>
        <w:numPr>
          <w:ilvl w:val="0"/>
          <w:numId w:val="10"/>
        </w:numPr>
        <w:pBdr>
          <w:top w:val="nil"/>
          <w:left w:val="nil"/>
          <w:bottom w:val="nil"/>
          <w:right w:val="nil"/>
          <w:between w:val="nil"/>
        </w:pBdr>
        <w:spacing w:before="280" w:after="280" w:line="259" w:lineRule="auto"/>
        <w:jc w:val="both"/>
        <w:rPr>
          <w:rFonts w:ascii="Bookman Old Style" w:eastAsia="Bookman Old Style" w:hAnsi="Bookman Old Style" w:cs="Arial"/>
          <w:b/>
          <w:color w:val="000000"/>
        </w:rPr>
      </w:pPr>
      <w:r w:rsidRPr="003B68CE">
        <w:rPr>
          <w:rFonts w:ascii="Bookman Old Style" w:eastAsia="Bookman Old Style" w:hAnsi="Bookman Old Style" w:cs="Arial"/>
          <w:b/>
          <w:color w:val="000000"/>
          <w:u w:val="single"/>
        </w:rPr>
        <w:t>CONSECUENCIAS DE LA ACTIVIDAD SEXUAL TEMPRANA</w:t>
      </w:r>
    </w:p>
    <w:p w14:paraId="7DDBA3E2" w14:textId="77777777" w:rsidR="006A13F9" w:rsidRPr="003B68CE" w:rsidRDefault="006A13F9" w:rsidP="006A13F9">
      <w:pPr>
        <w:pBdr>
          <w:top w:val="nil"/>
          <w:left w:val="nil"/>
          <w:bottom w:val="nil"/>
          <w:right w:val="nil"/>
          <w:between w:val="nil"/>
        </w:pBdr>
        <w:spacing w:before="280" w:after="280" w:line="276" w:lineRule="auto"/>
        <w:jc w:val="both"/>
        <w:rPr>
          <w:rFonts w:ascii="Bookman Old Style" w:eastAsia="Bookman Old Style" w:hAnsi="Bookman Old Style" w:cs="Arial"/>
        </w:rPr>
      </w:pPr>
      <w:r w:rsidRPr="003B68CE">
        <w:rPr>
          <w:rFonts w:ascii="Bookman Old Style" w:eastAsia="Bookman Old Style" w:hAnsi="Bookman Old Style" w:cs="Arial"/>
        </w:rPr>
        <w:t>Los diferentes estudios, publicaciones e investigaciones sobre el tema coinciden en que la actividad sexual temprana representa un problema de salud pública por las mismas consecuencias que conlleva (embarazo adolescente, aumento de enfermedades de transmisión sexual, problemas familiares, retrasos en los procesos de formación y educación, y otros problemas sociales y económicos que se pueden generar).</w:t>
      </w:r>
    </w:p>
    <w:p w14:paraId="6E2B1839" w14:textId="77777777" w:rsidR="006A13F9" w:rsidRPr="003B68CE" w:rsidRDefault="006A13F9" w:rsidP="006A13F9">
      <w:pPr>
        <w:pBdr>
          <w:top w:val="nil"/>
          <w:left w:val="nil"/>
          <w:bottom w:val="nil"/>
          <w:right w:val="nil"/>
          <w:between w:val="nil"/>
        </w:pBdr>
        <w:spacing w:before="280" w:after="280" w:line="276" w:lineRule="auto"/>
        <w:jc w:val="both"/>
        <w:rPr>
          <w:rFonts w:ascii="Bookman Old Style" w:eastAsia="Bookman Old Style" w:hAnsi="Bookman Old Style" w:cs="Arial"/>
          <w:i/>
        </w:rPr>
      </w:pPr>
      <w:r w:rsidRPr="003B68CE">
        <w:rPr>
          <w:rFonts w:ascii="Bookman Old Style" w:eastAsia="Bookman Old Style" w:hAnsi="Bookman Old Style" w:cs="Arial"/>
        </w:rPr>
        <w:t xml:space="preserve">La revista chilena de obstetricia y ginecología (versión on-line ISSN0717-7526 del 2016) publicó un artículo relacionado con la actividad sexual temprana y el embarazo en la adolescencia, concluyendo, entre otras cosas, que </w:t>
      </w:r>
      <w:r w:rsidRPr="003B68CE">
        <w:rPr>
          <w:rFonts w:ascii="Bookman Old Style" w:eastAsia="Bookman Old Style" w:hAnsi="Bookman Old Style" w:cs="Arial"/>
          <w:i/>
        </w:rPr>
        <w:t>la educación sexual en el hogar, escuelas, colegios y servicios de salud, unido a la estimulación de habilidades para la vida, el retraso del inicio de la actividad sexual entre adolescente, la promoción de la abstinencia sexual y las prevención del embarazo y las infecciones de transmisión sexual, son una las estrategias más eficaces para enfrentar estas problemáticas.</w:t>
      </w:r>
    </w:p>
    <w:p w14:paraId="064D3E1E" w14:textId="77777777" w:rsidR="006A13F9" w:rsidRPr="003B68CE" w:rsidRDefault="006A13F9" w:rsidP="006A13F9">
      <w:pPr>
        <w:pBdr>
          <w:top w:val="nil"/>
          <w:left w:val="nil"/>
          <w:bottom w:val="nil"/>
          <w:right w:val="nil"/>
          <w:between w:val="nil"/>
        </w:pBdr>
        <w:spacing w:before="280" w:after="280" w:line="276" w:lineRule="auto"/>
        <w:jc w:val="both"/>
        <w:rPr>
          <w:rFonts w:ascii="Bookman Old Style" w:eastAsia="Bookman Old Style" w:hAnsi="Bookman Old Style" w:cs="Arial"/>
        </w:rPr>
      </w:pPr>
      <w:r w:rsidRPr="003B68CE">
        <w:rPr>
          <w:rFonts w:ascii="Bookman Old Style" w:eastAsia="Bookman Old Style" w:hAnsi="Bookman Old Style" w:cs="Arial"/>
        </w:rPr>
        <w:t>Claramente aspectos biológicos como la inmadurez ginecológica o la inmadurez anatómica de la pelvis aumentan el riesgo en el embarazo en adolescentes. Cifras muestran que el 15% de los abortos en el mundo ocurren en mujeres entre los 15 y los 19 años.</w:t>
      </w:r>
    </w:p>
    <w:p w14:paraId="5C54BEAB" w14:textId="77777777" w:rsidR="006A13F9" w:rsidRPr="003B68CE" w:rsidRDefault="006A13F9" w:rsidP="006A13F9">
      <w:pPr>
        <w:pBdr>
          <w:top w:val="nil"/>
          <w:left w:val="nil"/>
          <w:bottom w:val="nil"/>
          <w:right w:val="nil"/>
          <w:between w:val="nil"/>
        </w:pBdr>
        <w:spacing w:before="280" w:after="280" w:line="276" w:lineRule="auto"/>
        <w:jc w:val="both"/>
        <w:rPr>
          <w:rFonts w:ascii="Bookman Old Style" w:eastAsia="Bookman Old Style" w:hAnsi="Bookman Old Style" w:cs="Arial"/>
        </w:rPr>
      </w:pPr>
      <w:r w:rsidRPr="003B68CE">
        <w:rPr>
          <w:rFonts w:ascii="Bookman Old Style" w:eastAsia="Bookman Old Style" w:hAnsi="Bookman Old Style" w:cs="Arial"/>
        </w:rPr>
        <w:t xml:space="preserve">Las adolescentes se encuentran más desfavorecidas en el mantenimiento de un embarazo saludable, debido a un nivel de educación para la salud más pobre, falta de acceso a la atención prenatal, del parto u otro servicio de salud. A ello hay que sumarle los problemas económicos del embarazo y el parto. Un embarazo en una adolescente, puede contribuir a la dificultad para terminar la educación, aislamiento social, falta de apoyo familiar, </w:t>
      </w:r>
      <w:r w:rsidRPr="003B68CE">
        <w:rPr>
          <w:rFonts w:ascii="Bookman Old Style" w:eastAsia="Bookman Old Style" w:hAnsi="Bookman Old Style" w:cs="Arial"/>
        </w:rPr>
        <w:lastRenderedPageBreak/>
        <w:t>oportunidades de empleo más pobres, perpetuación, feminización de la pobreza y transmisión intergeneracional de la pobreza consecuente. Esta confluencia de factores de riesgos intrínsecos y extrínsecos que las adolescentes embarazadas experimentan, pueden aumentar el riesgo de mortalidad y morbilidad grave durante el embarazo, el parto y el puerperio.</w:t>
      </w:r>
    </w:p>
    <w:p w14:paraId="3A2381AF" w14:textId="77777777" w:rsidR="006A13F9" w:rsidRPr="003B68CE" w:rsidRDefault="006A13F9" w:rsidP="006A13F9">
      <w:pPr>
        <w:pBdr>
          <w:top w:val="nil"/>
          <w:left w:val="nil"/>
          <w:bottom w:val="nil"/>
          <w:right w:val="nil"/>
          <w:between w:val="nil"/>
        </w:pBdr>
        <w:spacing w:before="280" w:after="280" w:line="276" w:lineRule="auto"/>
        <w:jc w:val="both"/>
        <w:rPr>
          <w:rFonts w:ascii="Bookman Old Style" w:eastAsia="Bookman Old Style" w:hAnsi="Bookman Old Style" w:cs="Arial"/>
        </w:rPr>
      </w:pPr>
      <w:r w:rsidRPr="003B68CE">
        <w:rPr>
          <w:rFonts w:ascii="Bookman Old Style" w:eastAsia="Bookman Old Style" w:hAnsi="Bookman Old Style" w:cs="Arial"/>
        </w:rPr>
        <w:t>Cifras publicadas por el Ministerio de Salud muestran que entre el 20 y el 45% de adolescentes que dejan de asistir a la escuela, lo hacen en razón a su paternidad o maternidad, con lo que se favorecen los círculos de la pobreza, dado que los embarazos tempranos no deseados en ausencia de redes sociales de apoyo, dificultan las oportunidades de desarrollo personal y el fortalecimiento de capacidades, limitan el acceso a oportunidades económicas y sociales e inciden en forma negativa sobre la conformación de hogares entre parejas sin suficiente autonomía e independencia económica para asumir la responsabilidad derivada y el fortalecimiento individual y familiar.</w:t>
      </w:r>
    </w:p>
    <w:p w14:paraId="7F32EF10" w14:textId="77777777" w:rsidR="006A13F9" w:rsidRPr="003B68CE" w:rsidRDefault="006A13F9" w:rsidP="006A13F9">
      <w:pPr>
        <w:pBdr>
          <w:top w:val="nil"/>
          <w:left w:val="nil"/>
          <w:bottom w:val="nil"/>
          <w:right w:val="nil"/>
          <w:between w:val="nil"/>
        </w:pBdr>
        <w:spacing w:before="280" w:after="280" w:line="276" w:lineRule="auto"/>
        <w:jc w:val="both"/>
        <w:rPr>
          <w:rFonts w:ascii="Bookman Old Style" w:eastAsia="Bookman Old Style" w:hAnsi="Bookman Old Style" w:cs="Arial"/>
        </w:rPr>
      </w:pPr>
      <w:r w:rsidRPr="003B68CE">
        <w:rPr>
          <w:rFonts w:ascii="Bookman Old Style" w:eastAsia="Bookman Old Style" w:hAnsi="Bookman Old Style" w:cs="Arial"/>
        </w:rPr>
        <w:t>Preocupa aún más cuando el Ministerio de Salud afirma que el 55% de adolescentes que han sido madres no tiene ningún nivel de educación; el 46% apenas tiene primaria, frente a menores porcentajes cuando el nivel educativo es mayor como en secundaria 18 % y educación superior 11 %.</w:t>
      </w:r>
    </w:p>
    <w:p w14:paraId="600A2682" w14:textId="77777777" w:rsidR="006A13F9" w:rsidRPr="003B68CE" w:rsidRDefault="006A13F9" w:rsidP="006A13F9">
      <w:pPr>
        <w:pBdr>
          <w:top w:val="nil"/>
          <w:left w:val="nil"/>
          <w:bottom w:val="nil"/>
          <w:right w:val="nil"/>
          <w:between w:val="nil"/>
        </w:pBdr>
        <w:spacing w:before="280" w:after="280" w:line="276" w:lineRule="auto"/>
        <w:jc w:val="both"/>
        <w:rPr>
          <w:rFonts w:ascii="Bookman Old Style" w:eastAsia="Bookman Old Style" w:hAnsi="Bookman Old Style" w:cs="Arial"/>
        </w:rPr>
      </w:pPr>
      <w:r w:rsidRPr="003B68CE">
        <w:rPr>
          <w:rFonts w:ascii="Bookman Old Style" w:eastAsia="Bookman Old Style" w:hAnsi="Bookman Old Style" w:cs="Arial"/>
        </w:rPr>
        <w:t xml:space="preserve">Es claro que el inicio de la vida sexual en edades tempranas y el embarazo adolescente es una </w:t>
      </w:r>
      <w:proofErr w:type="spellStart"/>
      <w:r w:rsidRPr="003B68CE">
        <w:rPr>
          <w:rFonts w:ascii="Bookman Old Style" w:eastAsia="Bookman Old Style" w:hAnsi="Bookman Old Style" w:cs="Arial"/>
        </w:rPr>
        <w:t>pontencializador</w:t>
      </w:r>
      <w:proofErr w:type="spellEnd"/>
      <w:r w:rsidRPr="003B68CE">
        <w:rPr>
          <w:rFonts w:ascii="Bookman Old Style" w:eastAsia="Bookman Old Style" w:hAnsi="Bookman Old Style" w:cs="Arial"/>
        </w:rPr>
        <w:t xml:space="preserve"> de la pobreza, de la falta de oportunidades ante la disminución de las posibilidades de educación, de la deserción escolar, del número de abortos, de problemas familiares y sociales, entre un numero importantes de problemas que repercuten directamente en la vida propia de la menor que se embaraza, de su hijo, de su familia y el de la sociedad.   </w:t>
      </w:r>
    </w:p>
    <w:p w14:paraId="00742013" w14:textId="77777777" w:rsidR="006A13F9" w:rsidRPr="003B68CE" w:rsidRDefault="006A13F9" w:rsidP="006A13F9">
      <w:pPr>
        <w:numPr>
          <w:ilvl w:val="0"/>
          <w:numId w:val="10"/>
        </w:numPr>
        <w:pBdr>
          <w:top w:val="nil"/>
          <w:left w:val="nil"/>
          <w:bottom w:val="nil"/>
          <w:right w:val="nil"/>
          <w:between w:val="nil"/>
        </w:pBdr>
        <w:spacing w:before="280" w:after="280" w:line="276" w:lineRule="auto"/>
        <w:jc w:val="both"/>
        <w:rPr>
          <w:rFonts w:ascii="Bookman Old Style" w:eastAsia="Bookman Old Style" w:hAnsi="Bookman Old Style" w:cs="Arial"/>
          <w:color w:val="000000"/>
        </w:rPr>
      </w:pPr>
      <w:r w:rsidRPr="003B68CE">
        <w:rPr>
          <w:rFonts w:ascii="Bookman Old Style" w:eastAsia="Bookman Old Style" w:hAnsi="Bookman Old Style" w:cs="Arial"/>
          <w:b/>
          <w:color w:val="000000"/>
          <w:u w:val="single"/>
        </w:rPr>
        <w:t>MADUREZ SEXUAL</w:t>
      </w:r>
    </w:p>
    <w:p w14:paraId="01FF1A06" w14:textId="77777777" w:rsidR="006A13F9" w:rsidRPr="003B68CE" w:rsidRDefault="006A13F9" w:rsidP="006A13F9">
      <w:pPr>
        <w:pBdr>
          <w:top w:val="nil"/>
          <w:left w:val="nil"/>
          <w:bottom w:val="nil"/>
          <w:right w:val="nil"/>
          <w:between w:val="nil"/>
        </w:pBdr>
        <w:spacing w:before="280" w:after="280" w:line="276" w:lineRule="auto"/>
        <w:jc w:val="both"/>
        <w:rPr>
          <w:rFonts w:ascii="Bookman Old Style" w:eastAsia="Bookman Old Style" w:hAnsi="Bookman Old Style" w:cs="Arial"/>
        </w:rPr>
      </w:pPr>
      <w:r w:rsidRPr="003B68CE">
        <w:rPr>
          <w:rFonts w:ascii="Bookman Old Style" w:eastAsia="Bookman Old Style" w:hAnsi="Bookman Old Style" w:cs="Arial"/>
        </w:rPr>
        <w:t>Al estudiar el tema de la madurez sexual encontramos que en él confluyen una serie de conceptos que no podemos mezclar pero que inevitablemente dependen el uno de otro para entender la realidad del desarrollo de los niños, niñas y adolescentes.</w:t>
      </w:r>
    </w:p>
    <w:p w14:paraId="3A64706A" w14:textId="4E254EE7" w:rsidR="00AC299D" w:rsidRDefault="006A13F9" w:rsidP="00AC299D">
      <w:pPr>
        <w:pBdr>
          <w:top w:val="nil"/>
          <w:left w:val="nil"/>
          <w:bottom w:val="nil"/>
          <w:right w:val="nil"/>
          <w:between w:val="nil"/>
        </w:pBdr>
        <w:spacing w:before="280" w:after="280" w:line="276" w:lineRule="auto"/>
        <w:jc w:val="both"/>
        <w:rPr>
          <w:rFonts w:ascii="Bookman Old Style" w:eastAsia="Bookman Old Style" w:hAnsi="Bookman Old Style" w:cs="Arial"/>
        </w:rPr>
      </w:pPr>
      <w:r w:rsidRPr="003B68CE">
        <w:rPr>
          <w:rFonts w:ascii="Bookman Old Style" w:eastAsia="Bookman Old Style" w:hAnsi="Bookman Old Style" w:cs="Arial"/>
        </w:rPr>
        <w:lastRenderedPageBreak/>
        <w:t xml:space="preserve">Si hablamos del proceso hormonal, estudios coinciden en afirmar que el mismo inicia en la pubertad e inciden en la maduración en los jóvenes de los caracteres sexuales primarios (genitales) y secundarios (voz, vellos, ovulación, eyaculación, cambios óseos y musculares etc.). Para conocer el ciclo de crecimiento y maduración sexual existe una tabla mayormente aceptada denominada “escalas de </w:t>
      </w:r>
      <w:proofErr w:type="spellStart"/>
      <w:r w:rsidRPr="003B68CE">
        <w:rPr>
          <w:rFonts w:ascii="Bookman Old Style" w:eastAsia="Bookman Old Style" w:hAnsi="Bookman Old Style" w:cs="Arial"/>
        </w:rPr>
        <w:t>Tanner</w:t>
      </w:r>
      <w:proofErr w:type="spellEnd"/>
      <w:r w:rsidRPr="003B68CE">
        <w:rPr>
          <w:rFonts w:ascii="Bookman Old Style" w:eastAsia="Bookman Old Style" w:hAnsi="Bookman Old Style" w:cs="Arial"/>
        </w:rPr>
        <w:t>” para niños y niñas, mostrando dicho ciclo en 5 etapas o estadios, así</w:t>
      </w:r>
      <w:r w:rsidRPr="003B68CE">
        <w:rPr>
          <w:rFonts w:ascii="Bookman Old Style" w:eastAsia="Bookman Old Style" w:hAnsi="Bookman Old Style" w:cs="Arial"/>
          <w:vertAlign w:val="superscript"/>
        </w:rPr>
        <w:footnoteReference w:id="5"/>
      </w:r>
      <w:r w:rsidR="00AC299D">
        <w:rPr>
          <w:rFonts w:ascii="Bookman Old Style" w:eastAsia="Bookman Old Style" w:hAnsi="Bookman Old Style" w:cs="Arial"/>
        </w:rPr>
        <w:t>:</w:t>
      </w:r>
    </w:p>
    <w:p w14:paraId="0850DFE5" w14:textId="21A9FDDB" w:rsidR="00AC299D" w:rsidRDefault="00AC299D" w:rsidP="00AC299D">
      <w:pPr>
        <w:pBdr>
          <w:top w:val="nil"/>
          <w:left w:val="nil"/>
          <w:bottom w:val="nil"/>
          <w:right w:val="nil"/>
          <w:between w:val="nil"/>
        </w:pBdr>
        <w:spacing w:before="280" w:after="280" w:line="276" w:lineRule="auto"/>
        <w:jc w:val="both"/>
        <w:rPr>
          <w:rFonts w:ascii="Bookman Old Style" w:eastAsia="Bookman Old Style" w:hAnsi="Bookman Old Style" w:cs="Arial"/>
        </w:rPr>
      </w:pPr>
    </w:p>
    <w:p w14:paraId="7A60EF60" w14:textId="77777777" w:rsidR="00AC299D" w:rsidRPr="00AC299D" w:rsidRDefault="00AC299D" w:rsidP="00AC299D">
      <w:pPr>
        <w:pBdr>
          <w:top w:val="nil"/>
          <w:left w:val="nil"/>
          <w:bottom w:val="nil"/>
          <w:right w:val="nil"/>
          <w:between w:val="nil"/>
        </w:pBdr>
        <w:spacing w:before="280" w:after="280" w:line="276" w:lineRule="auto"/>
        <w:jc w:val="both"/>
        <w:rPr>
          <w:rFonts w:ascii="Bookman Old Style" w:eastAsia="Bookman Old Style" w:hAnsi="Bookman Old Style" w:cs="Arial"/>
        </w:rPr>
      </w:pPr>
    </w:p>
    <w:p w14:paraId="42EDB652" w14:textId="50877B92" w:rsidR="006A13F9" w:rsidRPr="003B68CE" w:rsidRDefault="006A13F9" w:rsidP="006A13F9">
      <w:pPr>
        <w:pBdr>
          <w:top w:val="nil"/>
          <w:left w:val="nil"/>
          <w:bottom w:val="nil"/>
          <w:right w:val="nil"/>
          <w:between w:val="nil"/>
        </w:pBdr>
        <w:ind w:left="2124" w:firstLine="707"/>
        <w:rPr>
          <w:rFonts w:ascii="Bookman Old Style" w:hAnsi="Bookman Old Style" w:cs="Arial"/>
          <w:color w:val="000000"/>
        </w:rPr>
      </w:pPr>
      <w:r w:rsidRPr="003B68CE">
        <w:rPr>
          <w:rFonts w:ascii="Bookman Old Style" w:eastAsia="Bookman Old Style" w:hAnsi="Bookman Old Style" w:cs="Arial"/>
          <w:color w:val="000000"/>
        </w:rPr>
        <w:t>Desarrollo en niñas</w:t>
      </w:r>
      <w:r w:rsidRPr="003B68CE">
        <w:rPr>
          <w:rFonts w:ascii="Bookman Old Style" w:hAnsi="Bookman Old Style" w:cs="Arial"/>
          <w:color w:val="000000"/>
        </w:rPr>
        <w:tab/>
      </w:r>
      <w:r w:rsidRPr="003B68CE">
        <w:rPr>
          <w:rFonts w:ascii="Bookman Old Style" w:hAnsi="Bookman Old Style" w:cs="Arial"/>
          <w:color w:val="000000"/>
        </w:rPr>
        <w:tab/>
      </w:r>
    </w:p>
    <w:p w14:paraId="347844F7" w14:textId="77777777" w:rsidR="006A13F9" w:rsidRPr="003B68CE" w:rsidRDefault="006A13F9" w:rsidP="006A13F9">
      <w:pPr>
        <w:pBdr>
          <w:top w:val="nil"/>
          <w:left w:val="nil"/>
          <w:bottom w:val="nil"/>
          <w:right w:val="nil"/>
          <w:between w:val="nil"/>
        </w:pBdr>
        <w:jc w:val="center"/>
        <w:rPr>
          <w:rFonts w:ascii="Bookman Old Style" w:eastAsia="Bookman Old Style" w:hAnsi="Bookman Old Style" w:cs="Arial"/>
          <w:color w:val="000000"/>
        </w:rPr>
      </w:pPr>
      <w:r w:rsidRPr="003B68CE">
        <w:rPr>
          <w:rFonts w:ascii="Bookman Old Style" w:hAnsi="Bookman Old Style" w:cs="Arial"/>
          <w:noProof/>
          <w:color w:val="000000"/>
        </w:rPr>
        <w:drawing>
          <wp:inline distT="0" distB="0" distL="0" distR="0" wp14:anchorId="4394CDBF" wp14:editId="23017020">
            <wp:extent cx="4171950" cy="3228975"/>
            <wp:effectExtent l="0" t="0" r="0" b="9525"/>
            <wp:docPr id="95"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9"/>
                    <a:srcRect l="30380" t="40132" r="33639" b="20338"/>
                    <a:stretch>
                      <a:fillRect/>
                    </a:stretch>
                  </pic:blipFill>
                  <pic:spPr>
                    <a:xfrm>
                      <a:off x="0" y="0"/>
                      <a:ext cx="4172245" cy="3229203"/>
                    </a:xfrm>
                    <a:prstGeom prst="rect">
                      <a:avLst/>
                    </a:prstGeom>
                    <a:ln/>
                  </pic:spPr>
                </pic:pic>
              </a:graphicData>
            </a:graphic>
          </wp:inline>
        </w:drawing>
      </w:r>
    </w:p>
    <w:p w14:paraId="04FA795F" w14:textId="77777777" w:rsidR="006A13F9" w:rsidRPr="003B68CE" w:rsidRDefault="006A13F9" w:rsidP="006A13F9">
      <w:pPr>
        <w:pBdr>
          <w:top w:val="nil"/>
          <w:left w:val="nil"/>
          <w:bottom w:val="nil"/>
          <w:right w:val="nil"/>
          <w:between w:val="nil"/>
        </w:pBdr>
        <w:jc w:val="center"/>
        <w:rPr>
          <w:rFonts w:ascii="Bookman Old Style" w:eastAsia="Bookman Old Style" w:hAnsi="Bookman Old Style" w:cs="Arial"/>
          <w:color w:val="000000"/>
        </w:rPr>
      </w:pPr>
    </w:p>
    <w:p w14:paraId="180EE97C" w14:textId="77777777" w:rsidR="006A13F9" w:rsidRPr="003B68CE" w:rsidRDefault="006A13F9" w:rsidP="006A13F9">
      <w:pPr>
        <w:pBdr>
          <w:top w:val="nil"/>
          <w:left w:val="nil"/>
          <w:bottom w:val="nil"/>
          <w:right w:val="nil"/>
          <w:between w:val="nil"/>
        </w:pBdr>
        <w:jc w:val="center"/>
        <w:rPr>
          <w:rFonts w:ascii="Bookman Old Style" w:eastAsia="Bookman Old Style" w:hAnsi="Bookman Old Style" w:cs="Arial"/>
          <w:color w:val="000000"/>
        </w:rPr>
      </w:pPr>
    </w:p>
    <w:p w14:paraId="7A4F4583" w14:textId="77777777" w:rsidR="00AC299D" w:rsidRDefault="00AC299D" w:rsidP="006A13F9">
      <w:pPr>
        <w:pBdr>
          <w:top w:val="nil"/>
          <w:left w:val="nil"/>
          <w:bottom w:val="nil"/>
          <w:right w:val="nil"/>
          <w:between w:val="nil"/>
        </w:pBdr>
        <w:ind w:left="2124" w:firstLine="707"/>
        <w:jc w:val="both"/>
        <w:rPr>
          <w:rFonts w:ascii="Bookman Old Style" w:eastAsia="Bookman Old Style" w:hAnsi="Bookman Old Style" w:cs="Arial"/>
          <w:color w:val="000000"/>
        </w:rPr>
      </w:pPr>
    </w:p>
    <w:p w14:paraId="5650B08B" w14:textId="77777777" w:rsidR="00AC299D" w:rsidRDefault="00AC299D" w:rsidP="006A13F9">
      <w:pPr>
        <w:pBdr>
          <w:top w:val="nil"/>
          <w:left w:val="nil"/>
          <w:bottom w:val="nil"/>
          <w:right w:val="nil"/>
          <w:between w:val="nil"/>
        </w:pBdr>
        <w:ind w:left="2124" w:firstLine="707"/>
        <w:jc w:val="both"/>
        <w:rPr>
          <w:rFonts w:ascii="Bookman Old Style" w:eastAsia="Bookman Old Style" w:hAnsi="Bookman Old Style" w:cs="Arial"/>
          <w:color w:val="000000"/>
        </w:rPr>
      </w:pPr>
    </w:p>
    <w:p w14:paraId="216ACD44" w14:textId="77777777" w:rsidR="00AC299D" w:rsidRDefault="00AC299D" w:rsidP="006A13F9">
      <w:pPr>
        <w:pBdr>
          <w:top w:val="nil"/>
          <w:left w:val="nil"/>
          <w:bottom w:val="nil"/>
          <w:right w:val="nil"/>
          <w:between w:val="nil"/>
        </w:pBdr>
        <w:ind w:left="2124" w:firstLine="707"/>
        <w:jc w:val="both"/>
        <w:rPr>
          <w:rFonts w:ascii="Bookman Old Style" w:eastAsia="Bookman Old Style" w:hAnsi="Bookman Old Style" w:cs="Arial"/>
          <w:color w:val="000000"/>
        </w:rPr>
      </w:pPr>
    </w:p>
    <w:p w14:paraId="61D7FABA" w14:textId="77777777" w:rsidR="00AC299D" w:rsidRDefault="00AC299D" w:rsidP="006A13F9">
      <w:pPr>
        <w:pBdr>
          <w:top w:val="nil"/>
          <w:left w:val="nil"/>
          <w:bottom w:val="nil"/>
          <w:right w:val="nil"/>
          <w:between w:val="nil"/>
        </w:pBdr>
        <w:ind w:left="2124" w:firstLine="707"/>
        <w:jc w:val="both"/>
        <w:rPr>
          <w:rFonts w:ascii="Bookman Old Style" w:eastAsia="Bookman Old Style" w:hAnsi="Bookman Old Style" w:cs="Arial"/>
          <w:color w:val="000000"/>
        </w:rPr>
      </w:pPr>
    </w:p>
    <w:p w14:paraId="513544CC" w14:textId="77777777" w:rsidR="00AC299D" w:rsidRDefault="00AC299D" w:rsidP="006A13F9">
      <w:pPr>
        <w:pBdr>
          <w:top w:val="nil"/>
          <w:left w:val="nil"/>
          <w:bottom w:val="nil"/>
          <w:right w:val="nil"/>
          <w:between w:val="nil"/>
        </w:pBdr>
        <w:ind w:left="2124" w:firstLine="707"/>
        <w:jc w:val="both"/>
        <w:rPr>
          <w:rFonts w:ascii="Bookman Old Style" w:eastAsia="Bookman Old Style" w:hAnsi="Bookman Old Style" w:cs="Arial"/>
          <w:color w:val="000000"/>
        </w:rPr>
      </w:pPr>
    </w:p>
    <w:p w14:paraId="3FC26939" w14:textId="77777777" w:rsidR="00AC299D" w:rsidRDefault="00AC299D" w:rsidP="006A13F9">
      <w:pPr>
        <w:pBdr>
          <w:top w:val="nil"/>
          <w:left w:val="nil"/>
          <w:bottom w:val="nil"/>
          <w:right w:val="nil"/>
          <w:between w:val="nil"/>
        </w:pBdr>
        <w:ind w:left="2124" w:firstLine="707"/>
        <w:jc w:val="both"/>
        <w:rPr>
          <w:rFonts w:ascii="Bookman Old Style" w:eastAsia="Bookman Old Style" w:hAnsi="Bookman Old Style" w:cs="Arial"/>
          <w:color w:val="000000"/>
        </w:rPr>
      </w:pPr>
    </w:p>
    <w:p w14:paraId="0C92556A" w14:textId="77777777" w:rsidR="00AC299D" w:rsidRDefault="00AC299D" w:rsidP="006A13F9">
      <w:pPr>
        <w:pBdr>
          <w:top w:val="nil"/>
          <w:left w:val="nil"/>
          <w:bottom w:val="nil"/>
          <w:right w:val="nil"/>
          <w:between w:val="nil"/>
        </w:pBdr>
        <w:ind w:left="2124" w:firstLine="707"/>
        <w:jc w:val="both"/>
        <w:rPr>
          <w:rFonts w:ascii="Bookman Old Style" w:eastAsia="Bookman Old Style" w:hAnsi="Bookman Old Style" w:cs="Arial"/>
          <w:color w:val="000000"/>
        </w:rPr>
      </w:pPr>
    </w:p>
    <w:p w14:paraId="0F2007D3" w14:textId="64E37F13" w:rsidR="006A13F9" w:rsidRDefault="006A13F9" w:rsidP="006A13F9">
      <w:pPr>
        <w:pBdr>
          <w:top w:val="nil"/>
          <w:left w:val="nil"/>
          <w:bottom w:val="nil"/>
          <w:right w:val="nil"/>
          <w:between w:val="nil"/>
        </w:pBdr>
        <w:ind w:left="2124" w:firstLine="707"/>
        <w:jc w:val="both"/>
        <w:rPr>
          <w:rFonts w:ascii="Bookman Old Style" w:eastAsia="Bookman Old Style" w:hAnsi="Bookman Old Style" w:cs="Arial"/>
          <w:color w:val="000000"/>
        </w:rPr>
      </w:pPr>
      <w:r w:rsidRPr="003B68CE">
        <w:rPr>
          <w:rFonts w:ascii="Bookman Old Style" w:eastAsia="Bookman Old Style" w:hAnsi="Bookman Old Style" w:cs="Arial"/>
          <w:color w:val="000000"/>
        </w:rPr>
        <w:t>Desarrollo en niños</w:t>
      </w:r>
    </w:p>
    <w:p w14:paraId="068EE541" w14:textId="32FDB0ED" w:rsidR="00AC299D" w:rsidRDefault="00AC299D" w:rsidP="006A13F9">
      <w:pPr>
        <w:pBdr>
          <w:top w:val="nil"/>
          <w:left w:val="nil"/>
          <w:bottom w:val="nil"/>
          <w:right w:val="nil"/>
          <w:between w:val="nil"/>
        </w:pBdr>
        <w:ind w:left="2124" w:firstLine="707"/>
        <w:jc w:val="both"/>
        <w:rPr>
          <w:rFonts w:ascii="Bookman Old Style" w:eastAsia="Bookman Old Style" w:hAnsi="Bookman Old Style" w:cs="Arial"/>
          <w:color w:val="000000"/>
        </w:rPr>
      </w:pPr>
    </w:p>
    <w:p w14:paraId="4979446C" w14:textId="77777777" w:rsidR="00AC299D" w:rsidRPr="003B68CE" w:rsidRDefault="00AC299D" w:rsidP="006A13F9">
      <w:pPr>
        <w:pBdr>
          <w:top w:val="nil"/>
          <w:left w:val="nil"/>
          <w:bottom w:val="nil"/>
          <w:right w:val="nil"/>
          <w:between w:val="nil"/>
        </w:pBdr>
        <w:ind w:left="2124" w:firstLine="707"/>
        <w:jc w:val="both"/>
        <w:rPr>
          <w:rFonts w:ascii="Bookman Old Style" w:eastAsia="Bookman Old Style" w:hAnsi="Bookman Old Style" w:cs="Arial"/>
          <w:color w:val="000000"/>
        </w:rPr>
      </w:pPr>
    </w:p>
    <w:p w14:paraId="5AD8F1F5" w14:textId="77777777" w:rsidR="006A13F9" w:rsidRPr="003B68CE" w:rsidRDefault="006A13F9" w:rsidP="006A13F9">
      <w:pPr>
        <w:pBdr>
          <w:top w:val="nil"/>
          <w:left w:val="nil"/>
          <w:bottom w:val="nil"/>
          <w:right w:val="nil"/>
          <w:between w:val="nil"/>
        </w:pBdr>
        <w:jc w:val="center"/>
        <w:rPr>
          <w:rFonts w:ascii="Bookman Old Style" w:eastAsia="Bookman Old Style" w:hAnsi="Bookman Old Style" w:cs="Arial"/>
          <w:color w:val="000000"/>
        </w:rPr>
      </w:pPr>
      <w:r w:rsidRPr="003B68CE">
        <w:rPr>
          <w:rFonts w:ascii="Bookman Old Style" w:hAnsi="Bookman Old Style" w:cs="Arial"/>
          <w:noProof/>
          <w:color w:val="000000"/>
        </w:rPr>
        <w:drawing>
          <wp:inline distT="0" distB="0" distL="0" distR="0" wp14:anchorId="7E3C38E5" wp14:editId="675FACB0">
            <wp:extent cx="4365025" cy="2947517"/>
            <wp:effectExtent l="0" t="0" r="0" b="0"/>
            <wp:docPr id="96"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0"/>
                    <a:srcRect l="32247" t="29572" r="34827" b="30898"/>
                    <a:stretch>
                      <a:fillRect/>
                    </a:stretch>
                  </pic:blipFill>
                  <pic:spPr>
                    <a:xfrm>
                      <a:off x="0" y="0"/>
                      <a:ext cx="4365025" cy="2947517"/>
                    </a:xfrm>
                    <a:prstGeom prst="rect">
                      <a:avLst/>
                    </a:prstGeom>
                    <a:ln/>
                  </pic:spPr>
                </pic:pic>
              </a:graphicData>
            </a:graphic>
          </wp:inline>
        </w:drawing>
      </w:r>
    </w:p>
    <w:p w14:paraId="4FC728B5" w14:textId="77777777" w:rsidR="006A13F9" w:rsidRPr="003B68CE" w:rsidRDefault="006A13F9" w:rsidP="006A13F9">
      <w:pPr>
        <w:pBdr>
          <w:top w:val="nil"/>
          <w:left w:val="nil"/>
          <w:bottom w:val="nil"/>
          <w:right w:val="nil"/>
          <w:between w:val="nil"/>
        </w:pBdr>
        <w:rPr>
          <w:rFonts w:ascii="Bookman Old Style" w:eastAsia="Bookman Old Style" w:hAnsi="Bookman Old Style" w:cs="Arial"/>
          <w:color w:val="000000"/>
        </w:rPr>
      </w:pPr>
    </w:p>
    <w:p w14:paraId="26718664" w14:textId="77777777" w:rsidR="006A13F9" w:rsidRPr="003B68CE" w:rsidRDefault="006A13F9" w:rsidP="006A13F9">
      <w:pPr>
        <w:jc w:val="both"/>
        <w:rPr>
          <w:rFonts w:ascii="Bookman Old Style" w:eastAsia="Bookman Old Style" w:hAnsi="Bookman Old Style" w:cs="Arial"/>
        </w:rPr>
      </w:pPr>
      <w:r w:rsidRPr="003B68CE">
        <w:rPr>
          <w:rFonts w:ascii="Bookman Old Style" w:eastAsia="Bookman Old Style" w:hAnsi="Bookman Old Style" w:cs="Arial"/>
        </w:rPr>
        <w:t>Lo cierto es que el proceso de desarrollo, a pesar de que se puedan presentar variaciones, casos de precocidad o retardos y depender de varios factores externos y genéticos, se mueve entre los 9 y los 18 años con transiciones diferentes entre hombres y mujeres.</w:t>
      </w:r>
    </w:p>
    <w:p w14:paraId="6C3D6D9D" w14:textId="77777777" w:rsidR="006A13F9" w:rsidRPr="003B68CE" w:rsidRDefault="006A13F9" w:rsidP="006A13F9">
      <w:pPr>
        <w:jc w:val="both"/>
        <w:rPr>
          <w:rFonts w:ascii="Bookman Old Style" w:eastAsia="Bookman Old Style" w:hAnsi="Bookman Old Style" w:cs="Arial"/>
        </w:rPr>
      </w:pPr>
    </w:p>
    <w:p w14:paraId="0BA2FE39" w14:textId="77777777" w:rsidR="006A13F9" w:rsidRPr="003B68CE" w:rsidRDefault="006A13F9" w:rsidP="006A13F9">
      <w:pPr>
        <w:jc w:val="both"/>
        <w:rPr>
          <w:rFonts w:ascii="Bookman Old Style" w:eastAsia="Bookman Old Style" w:hAnsi="Bookman Old Style" w:cs="Arial"/>
          <w:i/>
        </w:rPr>
      </w:pPr>
      <w:r w:rsidRPr="003B68CE">
        <w:rPr>
          <w:rFonts w:ascii="Bookman Old Style" w:eastAsia="Bookman Old Style" w:hAnsi="Bookman Old Style" w:cs="Arial"/>
        </w:rPr>
        <w:t xml:space="preserve">Ahora bien, la universidad de Navarra concluyó en un artículo denominado </w:t>
      </w:r>
      <w:r w:rsidRPr="003B68CE">
        <w:rPr>
          <w:rFonts w:ascii="Bookman Old Style" w:eastAsia="Bookman Old Style" w:hAnsi="Bookman Old Style" w:cs="Arial"/>
          <w:i/>
        </w:rPr>
        <w:t xml:space="preserve">¿Cuándo se alcanza la madurez sexual?, </w:t>
      </w:r>
      <w:r w:rsidRPr="003B68CE">
        <w:rPr>
          <w:rFonts w:ascii="Bookman Old Style" w:eastAsia="Bookman Old Style" w:hAnsi="Bookman Old Style" w:cs="Arial"/>
        </w:rPr>
        <w:t>que no hay que confundir la madurez biológica (desarrollo de órganos sexuales y producción de gametos) </w:t>
      </w:r>
      <w:r w:rsidRPr="003B68CE">
        <w:rPr>
          <w:rFonts w:ascii="Bookman Old Style" w:eastAsia="Bookman Old Style" w:hAnsi="Bookman Old Style" w:cs="Arial"/>
          <w:i/>
        </w:rPr>
        <w:t xml:space="preserve">con la madurez para tener relaciones sexuales, que depende también de la madurez afectiva y psicológica. </w:t>
      </w:r>
      <w:r w:rsidRPr="003B68CE">
        <w:rPr>
          <w:rFonts w:ascii="Bookman Old Style" w:eastAsia="Bookman Old Style" w:hAnsi="Bookman Old Style" w:cs="Arial"/>
        </w:rPr>
        <w:t>Esta afirmación se basa en que</w:t>
      </w:r>
      <w:r w:rsidRPr="003B68CE">
        <w:rPr>
          <w:rFonts w:ascii="Bookman Old Style" w:eastAsia="Bookman Old Style" w:hAnsi="Bookman Old Style" w:cs="Arial"/>
          <w:i/>
        </w:rPr>
        <w:t xml:space="preserve"> las personas que tienen relaciones sexuales deberían poder asumir también las posibles consecuencias negativas de dichas relaciones (embarazos, infecciones de transmisión sexual, el consumo de anticonceptivos con efectos secundarios y fallos, la paternidad y maternidad precoz, los desengaños o las decepciones amorosas, las dependencias afectivas, etc.). </w:t>
      </w:r>
      <w:r w:rsidRPr="003B68CE">
        <w:rPr>
          <w:rFonts w:ascii="Bookman Old Style" w:eastAsia="Bookman Old Style" w:hAnsi="Bookman Old Style" w:cs="Arial"/>
        </w:rPr>
        <w:t>Continúa la Universidad afirmando que</w:t>
      </w:r>
      <w:r w:rsidRPr="003B68CE">
        <w:rPr>
          <w:rFonts w:ascii="Bookman Old Style" w:eastAsia="Bookman Old Style" w:hAnsi="Bookman Old Style" w:cs="Arial"/>
          <w:i/>
        </w:rPr>
        <w:t xml:space="preserve"> Sería una ingenuidad afirmar que la madurez sexual se consigue una vez que son biológicamente posibles las relaciones sexuales</w:t>
      </w:r>
      <w:r w:rsidRPr="003B68CE">
        <w:rPr>
          <w:rFonts w:ascii="Bookman Old Style" w:eastAsia="Bookman Old Style" w:hAnsi="Bookman Old Style" w:cs="Arial"/>
          <w:i/>
          <w:vertAlign w:val="superscript"/>
        </w:rPr>
        <w:footnoteReference w:id="6"/>
      </w:r>
      <w:r w:rsidRPr="003B68CE">
        <w:rPr>
          <w:rFonts w:ascii="Bookman Old Style" w:eastAsia="Bookman Old Style" w:hAnsi="Bookman Old Style" w:cs="Arial"/>
          <w:i/>
        </w:rPr>
        <w:t>.</w:t>
      </w:r>
    </w:p>
    <w:p w14:paraId="06FF90A0" w14:textId="77777777" w:rsidR="006A13F9" w:rsidRPr="003B68CE" w:rsidRDefault="006A13F9" w:rsidP="006A13F9">
      <w:pPr>
        <w:numPr>
          <w:ilvl w:val="0"/>
          <w:numId w:val="10"/>
        </w:numPr>
        <w:pBdr>
          <w:top w:val="nil"/>
          <w:left w:val="nil"/>
          <w:bottom w:val="nil"/>
          <w:right w:val="nil"/>
          <w:between w:val="nil"/>
        </w:pBdr>
        <w:spacing w:before="280" w:after="280" w:line="259" w:lineRule="auto"/>
        <w:jc w:val="both"/>
        <w:rPr>
          <w:rFonts w:ascii="Bookman Old Style" w:eastAsia="Bookman Old Style" w:hAnsi="Bookman Old Style" w:cs="Arial"/>
          <w:b/>
          <w:color w:val="000000"/>
        </w:rPr>
      </w:pPr>
      <w:r w:rsidRPr="003B68CE">
        <w:rPr>
          <w:rFonts w:ascii="Bookman Old Style" w:eastAsia="Bookman Old Style" w:hAnsi="Bookman Old Style" w:cs="Arial"/>
          <w:b/>
          <w:color w:val="000000"/>
          <w:u w:val="single"/>
        </w:rPr>
        <w:lastRenderedPageBreak/>
        <w:t>LEGISLACIÓN COMPARADA</w:t>
      </w:r>
    </w:p>
    <w:p w14:paraId="155BFB48" w14:textId="77777777" w:rsidR="006A13F9" w:rsidRPr="003B68CE" w:rsidRDefault="006A13F9" w:rsidP="006A13F9">
      <w:pPr>
        <w:pBdr>
          <w:top w:val="nil"/>
          <w:left w:val="nil"/>
          <w:bottom w:val="nil"/>
          <w:right w:val="nil"/>
          <w:between w:val="nil"/>
        </w:pBdr>
        <w:spacing w:before="280" w:after="280" w:line="276" w:lineRule="auto"/>
        <w:jc w:val="both"/>
        <w:rPr>
          <w:rFonts w:ascii="Bookman Old Style" w:eastAsia="Bookman Old Style" w:hAnsi="Bookman Old Style" w:cs="Arial"/>
        </w:rPr>
      </w:pPr>
      <w:r w:rsidRPr="003B68CE">
        <w:rPr>
          <w:rFonts w:ascii="Bookman Old Style" w:eastAsia="Bookman Old Style" w:hAnsi="Bookman Old Style" w:cs="Arial"/>
        </w:rPr>
        <w:t xml:space="preserve">El tema de elevar la edad para el consentimiento sexual no es un tema novedoso. En el año 1885 en el Reino Unido se vivieron campañas lideradas por organizaciones de mujeres en las cuales solicitaban elevar la edad para dicho consentimiento a los 16 años, como quedó establecida. </w:t>
      </w:r>
    </w:p>
    <w:p w14:paraId="04C3B2A1" w14:textId="77777777" w:rsidR="006A13F9" w:rsidRPr="003B68CE" w:rsidRDefault="006A13F9" w:rsidP="006A13F9">
      <w:pPr>
        <w:pBdr>
          <w:top w:val="nil"/>
          <w:left w:val="nil"/>
          <w:bottom w:val="nil"/>
          <w:right w:val="nil"/>
          <w:between w:val="nil"/>
        </w:pBdr>
        <w:spacing w:before="280" w:after="280" w:line="276" w:lineRule="auto"/>
        <w:jc w:val="both"/>
        <w:rPr>
          <w:rFonts w:ascii="Bookman Old Style" w:eastAsia="Bookman Old Style" w:hAnsi="Bookman Old Style" w:cs="Arial"/>
        </w:rPr>
      </w:pPr>
      <w:r w:rsidRPr="003B68CE">
        <w:rPr>
          <w:rFonts w:ascii="Bookman Old Style" w:eastAsia="Bookman Old Style" w:hAnsi="Bookman Old Style" w:cs="Arial"/>
        </w:rPr>
        <w:t>En el siglo XIX la edad del consentimiento sexual se establecía entre los 12 y los 13 años. Sin embargo, con el paso de los tiempos, la llegada de la modernidad y la separación de la etapa de la infancia con la vida adulta, se observaron avances en cuanto a la protección de los derechos de la infancia, sin que se dejaran de ver las diferencias entre países que establecían, en la década del 90, en 12 la edad para el consentimiento sexual, frente a 18 años que establecía, por ejemplo, Turquía</w:t>
      </w:r>
      <w:r w:rsidRPr="003B68CE">
        <w:rPr>
          <w:rFonts w:ascii="Bookman Old Style" w:eastAsia="Bookman Old Style" w:hAnsi="Bookman Old Style" w:cs="Arial"/>
          <w:vertAlign w:val="superscript"/>
        </w:rPr>
        <w:footnoteReference w:id="7"/>
      </w:r>
      <w:r w:rsidRPr="003B68CE">
        <w:rPr>
          <w:rFonts w:ascii="Bookman Old Style" w:eastAsia="Bookman Old Style" w:hAnsi="Bookman Old Style" w:cs="Arial"/>
        </w:rPr>
        <w:t>.</w:t>
      </w:r>
    </w:p>
    <w:p w14:paraId="62A88A2D" w14:textId="77777777" w:rsidR="006A13F9" w:rsidRPr="003B68CE" w:rsidRDefault="006A13F9" w:rsidP="006A13F9">
      <w:pPr>
        <w:pBdr>
          <w:top w:val="nil"/>
          <w:left w:val="nil"/>
          <w:bottom w:val="nil"/>
          <w:right w:val="nil"/>
          <w:between w:val="nil"/>
        </w:pBdr>
        <w:spacing w:before="280" w:after="280" w:line="276" w:lineRule="auto"/>
        <w:jc w:val="both"/>
        <w:rPr>
          <w:rFonts w:ascii="Bookman Old Style" w:eastAsia="Bookman Old Style" w:hAnsi="Bookman Old Style" w:cs="Arial"/>
        </w:rPr>
      </w:pPr>
      <w:r w:rsidRPr="003B68CE">
        <w:rPr>
          <w:rFonts w:ascii="Bookman Old Style" w:eastAsia="Bookman Old Style" w:hAnsi="Bookman Old Style" w:cs="Arial"/>
        </w:rPr>
        <w:t xml:space="preserve">Un estudio comparativo (2019) realizado por la Universidad de </w:t>
      </w:r>
      <w:proofErr w:type="spellStart"/>
      <w:r w:rsidRPr="003B68CE">
        <w:rPr>
          <w:rFonts w:ascii="Bookman Old Style" w:eastAsia="Bookman Old Style" w:hAnsi="Bookman Old Style" w:cs="Arial"/>
        </w:rPr>
        <w:t>Tilburg</w:t>
      </w:r>
      <w:proofErr w:type="spellEnd"/>
      <w:r w:rsidRPr="003B68CE">
        <w:rPr>
          <w:rFonts w:ascii="Bookman Old Style" w:eastAsia="Bookman Old Style" w:hAnsi="Bookman Old Style" w:cs="Arial"/>
        </w:rPr>
        <w:t>, Países Bajos, demostró que en la actualidad ningún país europeo tiene por debajo de los 14 años la edad para el consentimiento sexual.</w:t>
      </w:r>
    </w:p>
    <w:p w14:paraId="76C9C952" w14:textId="77777777" w:rsidR="006A13F9" w:rsidRPr="003B68CE" w:rsidRDefault="006A13F9" w:rsidP="006A13F9">
      <w:pPr>
        <w:pBdr>
          <w:top w:val="nil"/>
          <w:left w:val="nil"/>
          <w:bottom w:val="nil"/>
          <w:right w:val="nil"/>
          <w:between w:val="nil"/>
        </w:pBdr>
        <w:spacing w:before="280" w:after="280" w:line="276" w:lineRule="auto"/>
        <w:jc w:val="both"/>
        <w:rPr>
          <w:rFonts w:ascii="Bookman Old Style" w:eastAsia="Bookman Old Style" w:hAnsi="Bookman Old Style" w:cs="Arial"/>
        </w:rPr>
      </w:pPr>
      <w:r w:rsidRPr="003B68CE">
        <w:rPr>
          <w:rFonts w:ascii="Bookman Old Style" w:eastAsia="Bookman Old Style" w:hAnsi="Bookman Old Style" w:cs="Arial"/>
        </w:rPr>
        <w:t>En el caso de países de Europa, hace algunos años España elevó de 13 a 16 años la edad para el consentimiento sexual. Francia lo elevó a 15 años, al igual que Polonia Dinamarca y Suecia. Irlanda y Chipre la han establecido en 17 y países como Malta en 18 años. Alemania, Italia o Portugal, establecen la edad para el mencionado consentimiento en 14 años.</w:t>
      </w:r>
    </w:p>
    <w:p w14:paraId="363D3AFD" w14:textId="77777777" w:rsidR="006A13F9" w:rsidRPr="003B68CE" w:rsidRDefault="006A13F9" w:rsidP="006A13F9">
      <w:pPr>
        <w:pBdr>
          <w:top w:val="nil"/>
          <w:left w:val="nil"/>
          <w:bottom w:val="nil"/>
          <w:right w:val="nil"/>
          <w:between w:val="nil"/>
        </w:pBdr>
        <w:spacing w:before="280" w:after="280" w:line="276" w:lineRule="auto"/>
        <w:jc w:val="both"/>
        <w:rPr>
          <w:rFonts w:ascii="Bookman Old Style" w:eastAsia="Bookman Old Style" w:hAnsi="Bookman Old Style" w:cs="Arial"/>
        </w:rPr>
      </w:pPr>
      <w:r w:rsidRPr="003B68CE">
        <w:rPr>
          <w:rFonts w:ascii="Bookman Old Style" w:eastAsia="Bookman Old Style" w:hAnsi="Bookman Old Style" w:cs="Arial"/>
        </w:rPr>
        <w:t>A finales del año 2022, Japón evaluaba la posibilidad de elevar la edad para el consentimiento sexual a los 16 años, modificando la norma actual que lo establece en 13 años. Lo anterior se debió a una de las recomendaciones del Consejo Legislativo, órgano asesor del Ministerio de Justicia nipón. La recomendación incluye una excepción cuando se trate de otro menor con la misma edad o en un rango cercano.</w:t>
      </w:r>
    </w:p>
    <w:p w14:paraId="660CBA79" w14:textId="77777777" w:rsidR="006A13F9" w:rsidRPr="003B68CE" w:rsidRDefault="006A13F9" w:rsidP="006A13F9">
      <w:pPr>
        <w:pBdr>
          <w:top w:val="nil"/>
          <w:left w:val="nil"/>
          <w:bottom w:val="nil"/>
          <w:right w:val="nil"/>
          <w:between w:val="nil"/>
        </w:pBdr>
        <w:spacing w:before="280" w:after="280" w:line="276" w:lineRule="auto"/>
        <w:jc w:val="both"/>
        <w:rPr>
          <w:rFonts w:ascii="Bookman Old Style" w:eastAsia="Bookman Old Style" w:hAnsi="Bookman Old Style" w:cs="Arial"/>
        </w:rPr>
      </w:pPr>
      <w:r w:rsidRPr="003B68CE">
        <w:rPr>
          <w:rFonts w:ascii="Bookman Old Style" w:eastAsia="Bookman Old Style" w:hAnsi="Bookman Old Style" w:cs="Arial"/>
        </w:rPr>
        <w:t>En el mes de septiembre del año 2021, Filipinas decidió aumentar la edad para el estudiado consentimiento de 12 a 16 años.</w:t>
      </w:r>
    </w:p>
    <w:p w14:paraId="115AA780" w14:textId="77777777" w:rsidR="006A13F9" w:rsidRPr="003B68CE" w:rsidRDefault="006A13F9" w:rsidP="006A13F9">
      <w:pPr>
        <w:pBdr>
          <w:top w:val="nil"/>
          <w:left w:val="nil"/>
          <w:bottom w:val="nil"/>
          <w:right w:val="nil"/>
          <w:between w:val="nil"/>
        </w:pBdr>
        <w:spacing w:before="280" w:after="280" w:line="276" w:lineRule="auto"/>
        <w:jc w:val="both"/>
        <w:rPr>
          <w:rFonts w:ascii="Bookman Old Style" w:eastAsia="Bookman Old Style" w:hAnsi="Bookman Old Style" w:cs="Arial"/>
        </w:rPr>
      </w:pPr>
      <w:r w:rsidRPr="003B68CE">
        <w:rPr>
          <w:rFonts w:ascii="Bookman Old Style" w:eastAsia="Bookman Old Style" w:hAnsi="Bookman Old Style" w:cs="Arial"/>
        </w:rPr>
        <w:lastRenderedPageBreak/>
        <w:t>Revisando la norma de los Estados de este lado del mundo, observamos que 14 años es la edad más común para el consentimiento sexual. No obstante, países como Haití establece el consentimiento sexual en 18 años, Cuba, Puerto Rico, Venezuela y Nicaragua en 16, El Salvador y Honduras en 15 años. Para el caso de México, al ser federado, se observan estados con diferentes edades para el consentimiento sexual, las cuales van desde los 12 hasta los 15 años.</w:t>
      </w:r>
    </w:p>
    <w:p w14:paraId="5DD8906C" w14:textId="77777777" w:rsidR="006A13F9" w:rsidRPr="003B68CE" w:rsidRDefault="006A13F9" w:rsidP="006A13F9">
      <w:pPr>
        <w:pBdr>
          <w:top w:val="nil"/>
          <w:left w:val="nil"/>
          <w:bottom w:val="nil"/>
          <w:right w:val="nil"/>
          <w:between w:val="nil"/>
        </w:pBdr>
        <w:spacing w:before="280" w:after="280" w:line="276" w:lineRule="auto"/>
        <w:jc w:val="both"/>
        <w:rPr>
          <w:rFonts w:ascii="Bookman Old Style" w:eastAsia="Bookman Old Style" w:hAnsi="Bookman Old Style" w:cs="Arial"/>
        </w:rPr>
      </w:pPr>
      <w:r w:rsidRPr="003B68CE">
        <w:rPr>
          <w:rFonts w:ascii="Bookman Old Style" w:eastAsia="Bookman Old Style" w:hAnsi="Bookman Old Style" w:cs="Arial"/>
        </w:rPr>
        <w:t>Finalmente, en relación con la proximidad de edad, países como Ecuador (Sentencia Corte Constitucional No. 13-18-CN/21</w:t>
      </w:r>
      <w:r w:rsidRPr="003B68CE">
        <w:rPr>
          <w:rFonts w:ascii="Bookman Old Style" w:eastAsia="Bookman Old Style" w:hAnsi="Bookman Old Style" w:cs="Arial"/>
          <w:vertAlign w:val="superscript"/>
        </w:rPr>
        <w:footnoteReference w:id="8"/>
      </w:r>
      <w:r w:rsidRPr="003B68CE">
        <w:rPr>
          <w:rFonts w:ascii="Bookman Old Style" w:eastAsia="Bookman Old Style" w:hAnsi="Bookman Old Style" w:cs="Arial"/>
        </w:rPr>
        <w:t>), España (Sentencia del Tribunal Supremo, Sala de lo Penal No. 626 de 2022</w:t>
      </w:r>
      <w:r w:rsidRPr="003B68CE">
        <w:rPr>
          <w:rFonts w:ascii="Bookman Old Style" w:eastAsia="Bookman Old Style" w:hAnsi="Bookman Old Style" w:cs="Arial"/>
          <w:vertAlign w:val="superscript"/>
        </w:rPr>
        <w:footnoteReference w:id="9"/>
      </w:r>
      <w:r w:rsidRPr="003B68CE">
        <w:rPr>
          <w:rFonts w:ascii="Bookman Old Style" w:eastAsia="Bookman Old Style" w:hAnsi="Bookman Old Style" w:cs="Arial"/>
        </w:rPr>
        <w:t>) y Perú (Sentencia de la Sala Penal Permanente de Casación N° 335-2015 Del Santa</w:t>
      </w:r>
      <w:r w:rsidRPr="003B68CE">
        <w:rPr>
          <w:rFonts w:ascii="Bookman Old Style" w:eastAsia="Bookman Old Style" w:hAnsi="Bookman Old Style" w:cs="Arial"/>
          <w:vertAlign w:val="superscript"/>
        </w:rPr>
        <w:footnoteReference w:id="10"/>
      </w:r>
      <w:r w:rsidRPr="003B68CE">
        <w:rPr>
          <w:rFonts w:ascii="Bookman Old Style" w:eastAsia="Bookman Old Style" w:hAnsi="Bookman Old Style" w:cs="Arial"/>
        </w:rPr>
        <w:t>) han dado interpretación al consentimiento sexual en edades próximas, en el sentido de que en estos casos, por tratarse de personas con una similar madurez, no hay lugar a la aplicación de responsabilidad penal plena, tal como lo ha hecho nuestra Corte Constitucional en sentencia T-142 de 2019.</w:t>
      </w:r>
    </w:p>
    <w:p w14:paraId="58295E8B" w14:textId="77777777" w:rsidR="006A13F9" w:rsidRPr="003B68CE" w:rsidRDefault="006A13F9" w:rsidP="006A13F9">
      <w:pPr>
        <w:numPr>
          <w:ilvl w:val="0"/>
          <w:numId w:val="10"/>
        </w:numPr>
        <w:pBdr>
          <w:top w:val="nil"/>
          <w:left w:val="nil"/>
          <w:bottom w:val="nil"/>
          <w:right w:val="nil"/>
          <w:between w:val="nil"/>
        </w:pBdr>
        <w:spacing w:before="280" w:after="280" w:line="259" w:lineRule="auto"/>
        <w:jc w:val="both"/>
        <w:rPr>
          <w:rFonts w:ascii="Bookman Old Style" w:eastAsia="Bookman Old Style" w:hAnsi="Bookman Old Style" w:cs="Arial"/>
          <w:b/>
          <w:color w:val="000000"/>
        </w:rPr>
      </w:pPr>
      <w:r w:rsidRPr="003B68CE">
        <w:rPr>
          <w:rFonts w:ascii="Bookman Old Style" w:eastAsia="Bookman Old Style" w:hAnsi="Bookman Old Style" w:cs="Arial"/>
          <w:b/>
          <w:color w:val="000000"/>
          <w:u w:val="single"/>
        </w:rPr>
        <w:t>NECESIDAD DEL PROYECTO</w:t>
      </w:r>
    </w:p>
    <w:p w14:paraId="461CD622" w14:textId="77777777" w:rsidR="006A13F9" w:rsidRPr="003B68CE" w:rsidRDefault="006A13F9" w:rsidP="006A13F9">
      <w:pPr>
        <w:pBdr>
          <w:top w:val="nil"/>
          <w:left w:val="nil"/>
          <w:bottom w:val="nil"/>
          <w:right w:val="nil"/>
          <w:between w:val="nil"/>
        </w:pBdr>
        <w:spacing w:before="280" w:after="280" w:line="276" w:lineRule="auto"/>
        <w:jc w:val="both"/>
        <w:rPr>
          <w:rFonts w:ascii="Bookman Old Style" w:eastAsia="Bookman Old Style" w:hAnsi="Bookman Old Style" w:cs="Arial"/>
        </w:rPr>
      </w:pPr>
      <w:r w:rsidRPr="003B68CE">
        <w:rPr>
          <w:rFonts w:ascii="Bookman Old Style" w:eastAsia="Bookman Old Style" w:hAnsi="Bookman Old Style" w:cs="Arial"/>
        </w:rPr>
        <w:t>La realidad del país muestra que el tener la edad de 14 años para el consentimiento sexual abre las puertas para que niñas y adolescentes queden desprotegidos y pasen a engrosar la larga lista de niñas que, sin tener la formación física e intelectual y aun estando en edad de formación quedan en estado de embarazo, con todas las repercusiones negativas que esto trae.</w:t>
      </w:r>
    </w:p>
    <w:p w14:paraId="5B4FB5CF" w14:textId="77777777" w:rsidR="006A13F9" w:rsidRPr="003B68CE" w:rsidRDefault="006A13F9" w:rsidP="006A13F9">
      <w:pPr>
        <w:pBdr>
          <w:top w:val="nil"/>
          <w:left w:val="nil"/>
          <w:bottom w:val="nil"/>
          <w:right w:val="nil"/>
          <w:between w:val="nil"/>
        </w:pBdr>
        <w:spacing w:before="280" w:after="280" w:line="276" w:lineRule="auto"/>
        <w:jc w:val="both"/>
        <w:rPr>
          <w:rFonts w:ascii="Bookman Old Style" w:eastAsia="Bookman Old Style" w:hAnsi="Bookman Old Style" w:cs="Arial"/>
        </w:rPr>
      </w:pPr>
      <w:r w:rsidRPr="003B68CE">
        <w:rPr>
          <w:rFonts w:ascii="Bookman Old Style" w:eastAsia="Bookman Old Style" w:hAnsi="Bookman Old Style" w:cs="Arial"/>
        </w:rPr>
        <w:t xml:space="preserve">Países de la Unión Europea como España o Francia, y desde otros alejados puntos de la geografía como Filipinas o Japón y otros tantos, han sido consientes de la necesidad de establecer una mayor protección a los menores, decidiendo aumentar la edad para que los mismos den su consentimiento para iniciar su vida sexual.  </w:t>
      </w:r>
    </w:p>
    <w:p w14:paraId="1BFEAFC7" w14:textId="62FC1596" w:rsidR="006A13F9" w:rsidRPr="003B68CE" w:rsidRDefault="006A13F9" w:rsidP="006A13F9">
      <w:pPr>
        <w:pBdr>
          <w:top w:val="nil"/>
          <w:left w:val="nil"/>
          <w:bottom w:val="nil"/>
          <w:right w:val="nil"/>
          <w:between w:val="nil"/>
        </w:pBdr>
        <w:spacing w:before="280" w:after="280" w:line="276" w:lineRule="auto"/>
        <w:jc w:val="both"/>
        <w:rPr>
          <w:rFonts w:ascii="Bookman Old Style" w:eastAsia="Bookman Old Style" w:hAnsi="Bookman Old Style" w:cs="Arial"/>
        </w:rPr>
      </w:pPr>
      <w:r w:rsidRPr="003B68CE">
        <w:rPr>
          <w:rFonts w:ascii="Bookman Old Style" w:eastAsia="Bookman Old Style" w:hAnsi="Bookman Old Style" w:cs="Arial"/>
        </w:rPr>
        <w:lastRenderedPageBreak/>
        <w:t>Colombia, un país con cifras bastante preocupantes, debe ser capaz de tomar este tipo de decisiones firmes y valientes en procura de brindar mayor protección a los menores y a los jóvenes como herramienta que mejore las cifras de deserción escolar, de embarazos adolescentes, de enfermedades de transmisión sexual y asegure en un gran porcentaje el desarrollo de los menores, endureciendo los tipos penales con los cuales se castiga a los ciudadanos que, aprovechándose de su posición, acceden a las menores, aclarando que la propuesta trae consigo un tratamiento diferenciado para aquellos casos en los cuales los sujetos estén en un mismo estadio y desarrollo físico y cognitivo.</w:t>
      </w:r>
    </w:p>
    <w:p w14:paraId="14AA1626" w14:textId="77777777" w:rsidR="006A13F9" w:rsidRPr="003B68CE" w:rsidRDefault="006A13F9" w:rsidP="006A13F9">
      <w:pPr>
        <w:pBdr>
          <w:top w:val="nil"/>
          <w:left w:val="nil"/>
          <w:bottom w:val="nil"/>
          <w:right w:val="nil"/>
          <w:between w:val="nil"/>
        </w:pBdr>
        <w:spacing w:before="280" w:after="280" w:line="276" w:lineRule="auto"/>
        <w:jc w:val="both"/>
        <w:rPr>
          <w:rFonts w:ascii="Bookman Old Style" w:eastAsia="Bookman Old Style" w:hAnsi="Bookman Old Style" w:cs="Arial"/>
          <w:color w:val="000000"/>
        </w:rPr>
      </w:pPr>
      <w:r w:rsidRPr="003B68CE">
        <w:rPr>
          <w:rFonts w:ascii="Bookman Old Style" w:eastAsia="Bookman Old Style" w:hAnsi="Bookman Old Style" w:cs="Arial"/>
          <w:color w:val="000000"/>
        </w:rPr>
        <w:t>Con todo lo mostrado hasta aquí y a manera de conclusión, a la pregunta de a qué edad se debe establecer el consentimiento sexual se puede responder desde diferentes ópticas: basada en fundamentos de las ciencias de la salud; en la edad en la que en la mayoría de los casos se alcanza una maduración sexual biológica; desde la costumbre; o desde el derecho. Por lo anterior, no existe un criterio claro ni uniforme en las legislaciones para determinar una edad aceptada por todos. Sin embargo, llama la atención que la edad de 18 años (que no es lo que trae el proyecto original puesto a consideración) es la que se fija en la mayoría de las legislaciones para limitar otras conductas que también pueden poner en riesgo la salud de los menores, como es el caso de los cigarrillos, consumir bebidas alcohólicas, conducir toda clase de vehículos o entrar a ciertos establecimientos, solo por mencionar algunas.</w:t>
      </w:r>
    </w:p>
    <w:p w14:paraId="5C2073C3" w14:textId="77777777" w:rsidR="006A13F9" w:rsidRPr="003B68CE" w:rsidRDefault="006A13F9" w:rsidP="006A13F9">
      <w:pPr>
        <w:numPr>
          <w:ilvl w:val="0"/>
          <w:numId w:val="10"/>
        </w:numPr>
        <w:pBdr>
          <w:top w:val="nil"/>
          <w:left w:val="nil"/>
          <w:bottom w:val="nil"/>
          <w:right w:val="nil"/>
          <w:between w:val="nil"/>
        </w:pBdr>
        <w:spacing w:after="160" w:line="259" w:lineRule="auto"/>
        <w:rPr>
          <w:rFonts w:ascii="Bookman Old Style" w:eastAsia="Bookman Old Style" w:hAnsi="Bookman Old Style" w:cs="Arial"/>
          <w:b/>
          <w:color w:val="000000"/>
        </w:rPr>
      </w:pPr>
      <w:r w:rsidRPr="003B68CE">
        <w:rPr>
          <w:rFonts w:ascii="Bookman Old Style" w:eastAsia="Bookman Old Style" w:hAnsi="Bookman Old Style" w:cs="Arial"/>
          <w:b/>
          <w:color w:val="000000"/>
          <w:u w:val="single"/>
        </w:rPr>
        <w:t>CONFLICTO DE INTERÉS</w:t>
      </w:r>
    </w:p>
    <w:p w14:paraId="6405F660" w14:textId="77777777" w:rsidR="006A13F9" w:rsidRPr="003B68CE" w:rsidRDefault="006A13F9" w:rsidP="006A13F9">
      <w:pPr>
        <w:tabs>
          <w:tab w:val="left" w:pos="7680"/>
        </w:tabs>
        <w:spacing w:line="276" w:lineRule="auto"/>
        <w:jc w:val="both"/>
        <w:rPr>
          <w:rFonts w:ascii="Bookman Old Style" w:eastAsia="Bookman Old Style" w:hAnsi="Bookman Old Style" w:cs="Arial"/>
        </w:rPr>
      </w:pPr>
    </w:p>
    <w:p w14:paraId="53C9A85A" w14:textId="77777777" w:rsidR="006A13F9" w:rsidRPr="003B68CE" w:rsidRDefault="006A13F9" w:rsidP="006A13F9">
      <w:pPr>
        <w:tabs>
          <w:tab w:val="left" w:pos="7680"/>
        </w:tabs>
        <w:spacing w:line="276" w:lineRule="auto"/>
        <w:jc w:val="both"/>
        <w:rPr>
          <w:rFonts w:ascii="Bookman Old Style" w:eastAsia="Bookman Old Style" w:hAnsi="Bookman Old Style" w:cs="Arial"/>
        </w:rPr>
      </w:pPr>
      <w:r w:rsidRPr="003B68CE">
        <w:rPr>
          <w:rFonts w:ascii="Bookman Old Style" w:eastAsia="Bookman Old Style" w:hAnsi="Bookman Old Style" w:cs="Arial"/>
        </w:rPr>
        <w:t xml:space="preserve">De acuerdo con el artículo 291 de la Ley 5ª de 1992 -Reglamento Interno del Congreso- modificado por el artículo 3° de la Ley 2003 de 2019, establece que: “el autor del proyecto y el ponente presentarán en el cuerpo de la exposición de motivos un acápite que describa las circunstancias o eventos que podrían generar un conflicto de interés para la discusión y votación del proyecto, de acuerdo con el artículo 286. Estos serán criterios guías para que los otros congresistas tomen una decisión en torno a si se encuentran en una causal de impedimento, no obstante, otras causales que el Congresista pueda encontrar”. </w:t>
      </w:r>
    </w:p>
    <w:p w14:paraId="7A4C589D" w14:textId="77777777" w:rsidR="006A13F9" w:rsidRPr="003B68CE" w:rsidRDefault="006A13F9" w:rsidP="006A13F9">
      <w:pPr>
        <w:tabs>
          <w:tab w:val="left" w:pos="7680"/>
        </w:tabs>
        <w:spacing w:line="276" w:lineRule="auto"/>
        <w:jc w:val="both"/>
        <w:rPr>
          <w:rFonts w:ascii="Bookman Old Style" w:eastAsia="Bookman Old Style" w:hAnsi="Bookman Old Style" w:cs="Arial"/>
        </w:rPr>
      </w:pPr>
    </w:p>
    <w:p w14:paraId="5DF069A8" w14:textId="77777777" w:rsidR="006A13F9" w:rsidRPr="003B68CE" w:rsidRDefault="006A13F9" w:rsidP="006A13F9">
      <w:pPr>
        <w:tabs>
          <w:tab w:val="left" w:pos="7680"/>
        </w:tabs>
        <w:spacing w:line="276" w:lineRule="auto"/>
        <w:jc w:val="both"/>
        <w:rPr>
          <w:rFonts w:ascii="Bookman Old Style" w:eastAsia="Bookman Old Style" w:hAnsi="Bookman Old Style" w:cs="Arial"/>
        </w:rPr>
      </w:pPr>
      <w:r w:rsidRPr="003B68CE">
        <w:rPr>
          <w:rFonts w:ascii="Bookman Old Style" w:eastAsia="Bookman Old Style" w:hAnsi="Bookman Old Style" w:cs="Arial"/>
        </w:rPr>
        <w:lastRenderedPageBreak/>
        <w:t xml:space="preserve">De igual manera, el artículo 286 de la norma en comento, modificado por el artículo 1° de la Ley 2003 de 2019, define el conflicto de interés como la “situación donde la discusión o votación de un proyecto de ley o acto legislativo o artículo, pueda resultar en un beneficio particular, actual y directo a favor del congresista”. </w:t>
      </w:r>
    </w:p>
    <w:p w14:paraId="6B123E27" w14:textId="77777777" w:rsidR="006A13F9" w:rsidRPr="003B68CE" w:rsidRDefault="006A13F9" w:rsidP="006A13F9">
      <w:pPr>
        <w:tabs>
          <w:tab w:val="left" w:pos="7680"/>
        </w:tabs>
        <w:spacing w:line="276" w:lineRule="auto"/>
        <w:jc w:val="both"/>
        <w:rPr>
          <w:rFonts w:ascii="Bookman Old Style" w:eastAsia="Bookman Old Style" w:hAnsi="Bookman Old Style" w:cs="Arial"/>
        </w:rPr>
      </w:pPr>
      <w:bookmarkStart w:id="2" w:name="_heading=h.3znysh7" w:colFirst="0" w:colLast="0"/>
      <w:bookmarkEnd w:id="2"/>
    </w:p>
    <w:p w14:paraId="700395A8" w14:textId="01F2F5BA" w:rsidR="00DB2281" w:rsidRPr="003B68CE" w:rsidRDefault="006A13F9" w:rsidP="006A13F9">
      <w:pPr>
        <w:tabs>
          <w:tab w:val="left" w:pos="7680"/>
        </w:tabs>
        <w:spacing w:line="276" w:lineRule="auto"/>
        <w:jc w:val="both"/>
        <w:rPr>
          <w:rFonts w:ascii="Bookman Old Style" w:eastAsia="Bookman Old Style" w:hAnsi="Bookman Old Style" w:cs="Arial"/>
        </w:rPr>
      </w:pPr>
      <w:r w:rsidRPr="003B68CE">
        <w:rPr>
          <w:rFonts w:ascii="Bookman Old Style" w:eastAsia="Bookman Old Style" w:hAnsi="Bookman Old Style" w:cs="Arial"/>
        </w:rPr>
        <w:t>Con base en lo anterior y, de acuerdo al carácter abstracto e impersonal de la norma, tenemos que en esta iniciativa legislativa</w:t>
      </w:r>
      <w:r w:rsidRPr="003B68CE">
        <w:rPr>
          <w:rFonts w:ascii="Bookman Old Style" w:eastAsia="Bookman Old Style" w:hAnsi="Bookman Old Style" w:cs="Arial"/>
          <w:u w:val="single"/>
        </w:rPr>
        <w:t xml:space="preserve"> no se evidencia</w:t>
      </w:r>
      <w:r w:rsidRPr="003B68CE">
        <w:rPr>
          <w:rFonts w:ascii="Bookman Old Style" w:eastAsia="Bookman Old Style" w:hAnsi="Bookman Old Style" w:cs="Arial"/>
        </w:rPr>
        <w:t xml:space="preserve"> que los congresistas puedan incurrir en posibles conflictos de interés, toda vez que tampoco puede predicarse un beneficio particular, actual y directo que les impida participar de la discusión y votación de este proyecto. Lo anterior, sin perjuicio del deber de los congresistas de examinar, en cada caso en concreto, la existencia de posibles hechos generadores de conflictos de interés, en cuyo evento deberán declararlos de conformidad con lo dispuesto en el inciso 1° del artículo 286 </w:t>
      </w:r>
      <w:proofErr w:type="spellStart"/>
      <w:r w:rsidRPr="003B68CE">
        <w:rPr>
          <w:rFonts w:ascii="Bookman Old Style" w:eastAsia="Bookman Old Style" w:hAnsi="Bookman Old Style" w:cs="Arial"/>
        </w:rPr>
        <w:t>ibídem</w:t>
      </w:r>
      <w:proofErr w:type="spellEnd"/>
      <w:r w:rsidRPr="003B68CE">
        <w:rPr>
          <w:rFonts w:ascii="Bookman Old Style" w:eastAsia="Bookman Old Style" w:hAnsi="Bookman Old Style" w:cs="Arial"/>
        </w:rPr>
        <w:t>: “Todos los congresistas deberán declarar los conflictos de intereses que pudieran surgir en ejercicio de sus funciones”.</w:t>
      </w:r>
    </w:p>
    <w:p w14:paraId="02FA8F70" w14:textId="77777777" w:rsidR="006A13F9" w:rsidRPr="003B68CE" w:rsidRDefault="006A13F9" w:rsidP="006A13F9">
      <w:pPr>
        <w:tabs>
          <w:tab w:val="left" w:pos="7680"/>
        </w:tabs>
        <w:spacing w:line="276" w:lineRule="auto"/>
        <w:jc w:val="both"/>
        <w:rPr>
          <w:rFonts w:ascii="Bookman Old Style" w:eastAsia="Bookman Old Style" w:hAnsi="Bookman Old Style" w:cs="Arial"/>
        </w:rPr>
      </w:pPr>
    </w:p>
    <w:p w14:paraId="62B0CE6E" w14:textId="77777777" w:rsidR="00DB2281" w:rsidRPr="00AC299D" w:rsidRDefault="006A13F9" w:rsidP="00DB2281">
      <w:pPr>
        <w:widowControl w:val="0"/>
        <w:numPr>
          <w:ilvl w:val="0"/>
          <w:numId w:val="10"/>
        </w:numPr>
        <w:pBdr>
          <w:top w:val="nil"/>
          <w:left w:val="nil"/>
          <w:bottom w:val="nil"/>
          <w:right w:val="nil"/>
          <w:between w:val="nil"/>
        </w:pBdr>
        <w:spacing w:after="160" w:line="259" w:lineRule="auto"/>
        <w:jc w:val="both"/>
        <w:rPr>
          <w:rFonts w:ascii="Bookman Old Style" w:eastAsia="Bookman Old Style" w:hAnsi="Bookman Old Style" w:cs="Arial"/>
          <w:b/>
          <w:color w:val="000000"/>
          <w:u w:val="single"/>
        </w:rPr>
      </w:pPr>
      <w:r w:rsidRPr="00AC299D">
        <w:rPr>
          <w:rFonts w:ascii="Bookman Old Style" w:eastAsia="Bookman Old Style" w:hAnsi="Bookman Old Style" w:cs="Arial"/>
          <w:b/>
          <w:color w:val="000000"/>
          <w:u w:val="single"/>
        </w:rPr>
        <w:t>IMPACTO FISCAL</w:t>
      </w:r>
    </w:p>
    <w:p w14:paraId="636C799A" w14:textId="0C01562C" w:rsidR="002F27C6" w:rsidRDefault="006A13F9" w:rsidP="00DB2281">
      <w:pPr>
        <w:widowControl w:val="0"/>
        <w:pBdr>
          <w:top w:val="nil"/>
          <w:left w:val="nil"/>
          <w:bottom w:val="nil"/>
          <w:right w:val="nil"/>
          <w:between w:val="nil"/>
        </w:pBdr>
        <w:spacing w:after="160" w:line="259" w:lineRule="auto"/>
        <w:jc w:val="both"/>
        <w:rPr>
          <w:rFonts w:ascii="Bookman Old Style" w:eastAsia="Bookman Old Style" w:hAnsi="Bookman Old Style" w:cs="Arial"/>
          <w:color w:val="000000"/>
        </w:rPr>
      </w:pPr>
      <w:r w:rsidRPr="00DB2281">
        <w:rPr>
          <w:rFonts w:ascii="Bookman Old Style" w:eastAsia="Bookman Old Style" w:hAnsi="Bookman Old Style" w:cs="Arial"/>
          <w:color w:val="000000"/>
        </w:rPr>
        <w:t xml:space="preserve">En el articulado del proyecto no se observa disposición alguna que represente un impacto fiscal que obligue, dentro del trámite del mismo, a solicitar a la cartera de hacienda nacional un estudio sobre el particular. </w:t>
      </w:r>
    </w:p>
    <w:p w14:paraId="2A539DB1" w14:textId="77777777" w:rsidR="00AC299D" w:rsidRPr="00DB2281" w:rsidRDefault="00AC299D" w:rsidP="00DB2281">
      <w:pPr>
        <w:widowControl w:val="0"/>
        <w:pBdr>
          <w:top w:val="nil"/>
          <w:left w:val="nil"/>
          <w:bottom w:val="nil"/>
          <w:right w:val="nil"/>
          <w:between w:val="nil"/>
        </w:pBdr>
        <w:spacing w:after="160" w:line="259" w:lineRule="auto"/>
        <w:jc w:val="both"/>
        <w:rPr>
          <w:rFonts w:ascii="Bookman Old Style" w:eastAsia="Bookman Old Style" w:hAnsi="Bookman Old Style" w:cs="Arial"/>
          <w:b/>
          <w:color w:val="000000"/>
        </w:rPr>
      </w:pPr>
    </w:p>
    <w:p w14:paraId="5381F584" w14:textId="6D80246E" w:rsidR="002F27C6" w:rsidRPr="00AC299D" w:rsidRDefault="002F27C6" w:rsidP="00AC299D">
      <w:pPr>
        <w:pStyle w:val="TableParagraph"/>
        <w:numPr>
          <w:ilvl w:val="0"/>
          <w:numId w:val="10"/>
        </w:numPr>
        <w:spacing w:line="276" w:lineRule="auto"/>
        <w:rPr>
          <w:rFonts w:ascii="Bookman Old Style" w:hAnsi="Bookman Old Style" w:cs="Calibri"/>
          <w:b/>
          <w:sz w:val="24"/>
          <w:szCs w:val="24"/>
          <w:u w:val="single"/>
        </w:rPr>
      </w:pPr>
      <w:r w:rsidRPr="00AC299D">
        <w:rPr>
          <w:rFonts w:ascii="Bookman Old Style" w:hAnsi="Bookman Old Style" w:cs="Calibri"/>
          <w:b/>
          <w:w w:val="105"/>
          <w:sz w:val="24"/>
          <w:szCs w:val="24"/>
          <w:u w:val="single"/>
        </w:rPr>
        <w:t>PLIEGO</w:t>
      </w:r>
      <w:r w:rsidRPr="00AC299D">
        <w:rPr>
          <w:rFonts w:ascii="Bookman Old Style" w:hAnsi="Bookman Old Style" w:cs="Calibri"/>
          <w:b/>
          <w:spacing w:val="1"/>
          <w:w w:val="105"/>
          <w:sz w:val="24"/>
          <w:szCs w:val="24"/>
          <w:u w:val="single"/>
        </w:rPr>
        <w:t xml:space="preserve"> </w:t>
      </w:r>
      <w:r w:rsidRPr="00AC299D">
        <w:rPr>
          <w:rFonts w:ascii="Bookman Old Style" w:hAnsi="Bookman Old Style" w:cs="Calibri"/>
          <w:b/>
          <w:w w:val="105"/>
          <w:sz w:val="24"/>
          <w:szCs w:val="24"/>
          <w:u w:val="single"/>
        </w:rPr>
        <w:t>DE</w:t>
      </w:r>
      <w:r w:rsidRPr="00AC299D">
        <w:rPr>
          <w:rFonts w:ascii="Bookman Old Style" w:hAnsi="Bookman Old Style" w:cs="Calibri"/>
          <w:b/>
          <w:spacing w:val="1"/>
          <w:w w:val="105"/>
          <w:sz w:val="24"/>
          <w:szCs w:val="24"/>
          <w:u w:val="single"/>
        </w:rPr>
        <w:t xml:space="preserve"> </w:t>
      </w:r>
      <w:r w:rsidRPr="00AC299D">
        <w:rPr>
          <w:rFonts w:ascii="Bookman Old Style" w:hAnsi="Bookman Old Style" w:cs="Calibri"/>
          <w:b/>
          <w:spacing w:val="-2"/>
          <w:w w:val="105"/>
          <w:sz w:val="24"/>
          <w:szCs w:val="24"/>
          <w:u w:val="single"/>
        </w:rPr>
        <w:t>MODIFICACIONES</w:t>
      </w:r>
    </w:p>
    <w:p w14:paraId="3BB4AA5C" w14:textId="77777777" w:rsidR="002F27C6" w:rsidRPr="006A13F9" w:rsidRDefault="002F27C6" w:rsidP="002F27C6">
      <w:pPr>
        <w:pStyle w:val="TableParagraph"/>
        <w:spacing w:line="276" w:lineRule="auto"/>
        <w:rPr>
          <w:rFonts w:ascii="Bookman Old Style" w:hAnsi="Bookman Old Style" w:cs="Calibri"/>
          <w:i/>
          <w:sz w:val="24"/>
          <w:szCs w:val="24"/>
        </w:rPr>
      </w:pPr>
    </w:p>
    <w:p w14:paraId="1CF86A5C" w14:textId="77777777" w:rsidR="002F27C6" w:rsidRPr="006A13F9" w:rsidRDefault="002F27C6" w:rsidP="002F27C6">
      <w:pPr>
        <w:pStyle w:val="TableParagraph"/>
        <w:spacing w:line="276" w:lineRule="auto"/>
        <w:ind w:left="212" w:right="197"/>
        <w:jc w:val="both"/>
        <w:rPr>
          <w:rFonts w:ascii="Bookman Old Style" w:hAnsi="Bookman Old Style" w:cs="Calibri"/>
          <w:w w:val="110"/>
          <w:sz w:val="24"/>
          <w:szCs w:val="24"/>
        </w:rPr>
      </w:pPr>
      <w:r w:rsidRPr="006A13F9">
        <w:rPr>
          <w:rFonts w:ascii="Bookman Old Style" w:hAnsi="Bookman Old Style" w:cs="Calibri"/>
          <w:w w:val="110"/>
          <w:sz w:val="24"/>
          <w:szCs w:val="24"/>
        </w:rPr>
        <w:t>Para dar mayor claridad y armonía al texto de la iniciativa legislativa, se proponen las</w:t>
      </w:r>
      <w:r w:rsidRPr="006A13F9">
        <w:rPr>
          <w:rFonts w:ascii="Bookman Old Style" w:hAnsi="Bookman Old Style" w:cs="Calibri"/>
          <w:spacing w:val="40"/>
          <w:w w:val="110"/>
          <w:sz w:val="24"/>
          <w:szCs w:val="24"/>
        </w:rPr>
        <w:t xml:space="preserve"> </w:t>
      </w:r>
      <w:r w:rsidRPr="006A13F9">
        <w:rPr>
          <w:rFonts w:ascii="Bookman Old Style" w:hAnsi="Bookman Old Style" w:cs="Calibri"/>
          <w:w w:val="110"/>
          <w:sz w:val="24"/>
          <w:szCs w:val="24"/>
        </w:rPr>
        <w:t>siguientes</w:t>
      </w:r>
      <w:r w:rsidRPr="006A13F9">
        <w:rPr>
          <w:rFonts w:ascii="Bookman Old Style" w:hAnsi="Bookman Old Style" w:cs="Calibri"/>
          <w:spacing w:val="-7"/>
          <w:w w:val="110"/>
          <w:sz w:val="24"/>
          <w:szCs w:val="24"/>
        </w:rPr>
        <w:t xml:space="preserve"> </w:t>
      </w:r>
      <w:r w:rsidRPr="006A13F9">
        <w:rPr>
          <w:rFonts w:ascii="Bookman Old Style" w:hAnsi="Bookman Old Style" w:cs="Calibri"/>
          <w:w w:val="110"/>
          <w:sz w:val="24"/>
          <w:szCs w:val="24"/>
        </w:rPr>
        <w:t>modificaciones:</w:t>
      </w:r>
    </w:p>
    <w:p w14:paraId="01150439" w14:textId="77777777" w:rsidR="002F27C6" w:rsidRPr="006A13F9" w:rsidRDefault="002F27C6" w:rsidP="002F27C6">
      <w:pPr>
        <w:pStyle w:val="TableParagraph"/>
        <w:spacing w:line="276" w:lineRule="auto"/>
        <w:ind w:left="212" w:right="197"/>
        <w:jc w:val="both"/>
        <w:rPr>
          <w:rFonts w:ascii="Bookman Old Style" w:hAnsi="Bookman Old Style" w:cs="Calibri"/>
          <w:w w:val="11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9"/>
        <w:gridCol w:w="3052"/>
        <w:gridCol w:w="2597"/>
      </w:tblGrid>
      <w:tr w:rsidR="002F27C6" w:rsidRPr="006A13F9" w14:paraId="2D1BE9EF" w14:textId="77777777" w:rsidTr="000E0802">
        <w:trPr>
          <w:jc w:val="center"/>
        </w:trPr>
        <w:tc>
          <w:tcPr>
            <w:tcW w:w="3179" w:type="dxa"/>
            <w:shd w:val="clear" w:color="auto" w:fill="auto"/>
          </w:tcPr>
          <w:p w14:paraId="1E4FA60C" w14:textId="70EED1FA" w:rsidR="002F27C6" w:rsidRPr="00DE34AC" w:rsidRDefault="002F27C6" w:rsidP="00E53718">
            <w:pPr>
              <w:spacing w:line="276" w:lineRule="auto"/>
              <w:jc w:val="center"/>
              <w:rPr>
                <w:rFonts w:ascii="Bookman Old Style" w:hAnsi="Bookman Old Style"/>
                <w:b/>
              </w:rPr>
            </w:pPr>
            <w:r w:rsidRPr="00DE34AC">
              <w:rPr>
                <w:rFonts w:ascii="Bookman Old Style" w:hAnsi="Bookman Old Style"/>
                <w:b/>
              </w:rPr>
              <w:t xml:space="preserve">TEXTO </w:t>
            </w:r>
            <w:r w:rsidR="00DE34AC" w:rsidRPr="00DE34AC">
              <w:rPr>
                <w:rFonts w:ascii="Bookman Old Style" w:hAnsi="Bookman Old Style"/>
                <w:b/>
              </w:rPr>
              <w:t xml:space="preserve">RADICADO EN LA SECRETARÍA GENERAL DE </w:t>
            </w:r>
            <w:r w:rsidRPr="00DE34AC">
              <w:rPr>
                <w:rFonts w:ascii="Bookman Old Style" w:hAnsi="Bookman Old Style"/>
                <w:b/>
              </w:rPr>
              <w:t>LA CÁMARA DE REPRESENTANES</w:t>
            </w:r>
          </w:p>
        </w:tc>
        <w:tc>
          <w:tcPr>
            <w:tcW w:w="3052" w:type="dxa"/>
            <w:shd w:val="clear" w:color="auto" w:fill="auto"/>
          </w:tcPr>
          <w:p w14:paraId="70A1DBB2" w14:textId="79B513AC" w:rsidR="002F27C6" w:rsidRPr="00DE34AC" w:rsidRDefault="002F27C6" w:rsidP="00E53718">
            <w:pPr>
              <w:spacing w:line="276" w:lineRule="auto"/>
              <w:jc w:val="center"/>
              <w:rPr>
                <w:rFonts w:ascii="Bookman Old Style" w:hAnsi="Bookman Old Style"/>
                <w:b/>
              </w:rPr>
            </w:pPr>
            <w:r w:rsidRPr="00DE34AC">
              <w:rPr>
                <w:rFonts w:ascii="Bookman Old Style" w:hAnsi="Bookman Old Style"/>
                <w:b/>
              </w:rPr>
              <w:t xml:space="preserve">TEXTO PROPUESTO PARA </w:t>
            </w:r>
            <w:r w:rsidR="00DE34AC" w:rsidRPr="00DE34AC">
              <w:rPr>
                <w:rFonts w:ascii="Bookman Old Style" w:hAnsi="Bookman Old Style"/>
                <w:b/>
              </w:rPr>
              <w:t xml:space="preserve">PRIMER </w:t>
            </w:r>
            <w:r w:rsidRPr="00DE34AC">
              <w:rPr>
                <w:rFonts w:ascii="Bookman Old Style" w:hAnsi="Bookman Old Style"/>
                <w:b/>
              </w:rPr>
              <w:t xml:space="preserve">DEBATE EN LA </w:t>
            </w:r>
            <w:r w:rsidR="00DE34AC" w:rsidRPr="00DE34AC">
              <w:rPr>
                <w:rFonts w:ascii="Bookman Old Style" w:hAnsi="Bookman Old Style"/>
                <w:b/>
              </w:rPr>
              <w:t>COMISIÓN PRIMERA</w:t>
            </w:r>
            <w:r w:rsidRPr="00DE34AC">
              <w:rPr>
                <w:rFonts w:ascii="Bookman Old Style" w:hAnsi="Bookman Old Style"/>
                <w:b/>
              </w:rPr>
              <w:t xml:space="preserve"> DE LA CÁMARA DE REPRESENTANTES</w:t>
            </w:r>
          </w:p>
        </w:tc>
        <w:tc>
          <w:tcPr>
            <w:tcW w:w="2597" w:type="dxa"/>
            <w:shd w:val="clear" w:color="auto" w:fill="auto"/>
          </w:tcPr>
          <w:p w14:paraId="0C762FFE" w14:textId="77777777" w:rsidR="002F27C6" w:rsidRPr="00DE34AC" w:rsidRDefault="002F27C6" w:rsidP="00E53718">
            <w:pPr>
              <w:spacing w:line="276" w:lineRule="auto"/>
              <w:jc w:val="center"/>
              <w:rPr>
                <w:rFonts w:ascii="Bookman Old Style" w:hAnsi="Bookman Old Style"/>
                <w:b/>
              </w:rPr>
            </w:pPr>
            <w:r w:rsidRPr="00DE34AC">
              <w:rPr>
                <w:rFonts w:ascii="Bookman Old Style" w:hAnsi="Bookman Old Style"/>
                <w:b/>
              </w:rPr>
              <w:t>OBSERVACIONES</w:t>
            </w:r>
          </w:p>
        </w:tc>
      </w:tr>
      <w:tr w:rsidR="003F1B03" w:rsidRPr="006A13F9" w14:paraId="2BA21220" w14:textId="77777777" w:rsidTr="000E0802">
        <w:trPr>
          <w:jc w:val="center"/>
        </w:trPr>
        <w:tc>
          <w:tcPr>
            <w:tcW w:w="3179" w:type="dxa"/>
            <w:shd w:val="clear" w:color="auto" w:fill="auto"/>
          </w:tcPr>
          <w:p w14:paraId="630EE240" w14:textId="00DC2764" w:rsidR="003F1B03" w:rsidRPr="003B68CE" w:rsidRDefault="003F1B03" w:rsidP="003F1B03">
            <w:pPr>
              <w:spacing w:line="276" w:lineRule="auto"/>
              <w:jc w:val="center"/>
              <w:rPr>
                <w:rFonts w:ascii="Bookman Old Style" w:hAnsi="Bookman Old Style"/>
                <w:b/>
                <w:bCs/>
              </w:rPr>
            </w:pPr>
            <w:r w:rsidRPr="003B68CE">
              <w:rPr>
                <w:rFonts w:ascii="Bookman Old Style" w:hAnsi="Bookman Old Style"/>
                <w:b/>
                <w:bCs/>
                <w:i/>
              </w:rPr>
              <w:lastRenderedPageBreak/>
              <w:t>“POR MEDIO DE LA CUAL SE MODIFICA LA EDAD DE</w:t>
            </w:r>
            <w:r w:rsidR="00C71132">
              <w:rPr>
                <w:rFonts w:ascii="Bookman Old Style" w:hAnsi="Bookman Old Style"/>
                <w:b/>
                <w:bCs/>
                <w:i/>
              </w:rPr>
              <w:t>L</w:t>
            </w:r>
            <w:r w:rsidRPr="003B68CE">
              <w:rPr>
                <w:rFonts w:ascii="Bookman Old Style" w:hAnsi="Bookman Old Style"/>
                <w:b/>
                <w:bCs/>
                <w:i/>
              </w:rPr>
              <w:t xml:space="preserve"> CONSENTIMIENTO SEXUAL PARA MENORES DE EDAD, SE PROTEGE LA LIBERTAD SEXUAL DE NIÑOS, NIÑAS Y ADOLESCENTES EN COLOMBIA Y SE DICTAN OTRAS DISPOSICIONES”</w:t>
            </w:r>
          </w:p>
          <w:p w14:paraId="037C73A5" w14:textId="77777777" w:rsidR="003F1B03" w:rsidRPr="00DE34AC" w:rsidRDefault="003F1B03" w:rsidP="00E53718">
            <w:pPr>
              <w:spacing w:line="276" w:lineRule="auto"/>
              <w:jc w:val="center"/>
              <w:rPr>
                <w:rFonts w:ascii="Bookman Old Style" w:hAnsi="Bookman Old Style"/>
                <w:b/>
              </w:rPr>
            </w:pPr>
          </w:p>
        </w:tc>
        <w:tc>
          <w:tcPr>
            <w:tcW w:w="3052" w:type="dxa"/>
            <w:shd w:val="clear" w:color="auto" w:fill="auto"/>
          </w:tcPr>
          <w:p w14:paraId="2B6C61AA" w14:textId="18DFD75C" w:rsidR="003F1B03" w:rsidRPr="003B68CE" w:rsidRDefault="003F1B03" w:rsidP="003F1B03">
            <w:pPr>
              <w:spacing w:line="276" w:lineRule="auto"/>
              <w:jc w:val="center"/>
              <w:rPr>
                <w:rFonts w:ascii="Bookman Old Style" w:hAnsi="Bookman Old Style"/>
                <w:b/>
                <w:bCs/>
              </w:rPr>
            </w:pPr>
            <w:r w:rsidRPr="003B68CE">
              <w:rPr>
                <w:rFonts w:ascii="Bookman Old Style" w:hAnsi="Bookman Old Style"/>
                <w:b/>
                <w:bCs/>
                <w:i/>
              </w:rPr>
              <w:t>“POR MEDIO DE LA CUAL SE MODIFICA LA EDAD DE</w:t>
            </w:r>
            <w:r w:rsidR="00C71132">
              <w:rPr>
                <w:rFonts w:ascii="Bookman Old Style" w:hAnsi="Bookman Old Style"/>
                <w:b/>
                <w:bCs/>
                <w:i/>
              </w:rPr>
              <w:t>L</w:t>
            </w:r>
            <w:r w:rsidRPr="003B68CE">
              <w:rPr>
                <w:rFonts w:ascii="Bookman Old Style" w:hAnsi="Bookman Old Style"/>
                <w:b/>
                <w:bCs/>
                <w:i/>
              </w:rPr>
              <w:t xml:space="preserve"> CONSENTIMIENTO SEXUAL </w:t>
            </w:r>
            <w:r w:rsidRPr="003F1B03">
              <w:rPr>
                <w:rFonts w:ascii="Bookman Old Style" w:hAnsi="Bookman Old Style"/>
                <w:b/>
                <w:bCs/>
                <w:i/>
                <w:strike/>
              </w:rPr>
              <w:t xml:space="preserve">PARA MENORES DE </w:t>
            </w:r>
            <w:proofErr w:type="gramStart"/>
            <w:r w:rsidRPr="003F1B03">
              <w:rPr>
                <w:rFonts w:ascii="Bookman Old Style" w:hAnsi="Bookman Old Style"/>
                <w:b/>
                <w:bCs/>
                <w:i/>
                <w:strike/>
              </w:rPr>
              <w:t>EDAD</w:t>
            </w:r>
            <w:r w:rsidRPr="003F1B03">
              <w:rPr>
                <w:rFonts w:ascii="Bookman Old Style" w:hAnsi="Bookman Old Style"/>
                <w:b/>
                <w:bCs/>
                <w:i/>
              </w:rPr>
              <w:t>,</w:t>
            </w:r>
            <w:r w:rsidRPr="003B68CE">
              <w:rPr>
                <w:rFonts w:ascii="Bookman Old Style" w:hAnsi="Bookman Old Style"/>
                <w:b/>
                <w:bCs/>
                <w:i/>
              </w:rPr>
              <w:t xml:space="preserve"> </w:t>
            </w:r>
            <w:r w:rsidRPr="003F1B03">
              <w:rPr>
                <w:rFonts w:ascii="Bookman Old Style" w:hAnsi="Bookman Old Style"/>
                <w:b/>
                <w:bCs/>
                <w:i/>
                <w:u w:val="single"/>
              </w:rPr>
              <w:t xml:space="preserve"> </w:t>
            </w:r>
            <w:r w:rsidRPr="003B68CE">
              <w:rPr>
                <w:rFonts w:ascii="Bookman Old Style" w:hAnsi="Bookman Old Style"/>
                <w:b/>
                <w:bCs/>
                <w:i/>
              </w:rPr>
              <w:t>SE</w:t>
            </w:r>
            <w:proofErr w:type="gramEnd"/>
            <w:r w:rsidRPr="003B68CE">
              <w:rPr>
                <w:rFonts w:ascii="Bookman Old Style" w:hAnsi="Bookman Old Style"/>
                <w:b/>
                <w:bCs/>
                <w:i/>
              </w:rPr>
              <w:t xml:space="preserve"> PROTEGE LA LIBERTAD SEXUAL DE NIÑOS, NIÑAS Y ADOLESCENTES EN COLOMBIA Y SE DICTAN OTRAS DISPOSICIONES”</w:t>
            </w:r>
          </w:p>
          <w:p w14:paraId="586D39BC" w14:textId="77777777" w:rsidR="003F1B03" w:rsidRPr="00DE34AC" w:rsidRDefault="003F1B03" w:rsidP="00E53718">
            <w:pPr>
              <w:spacing w:line="276" w:lineRule="auto"/>
              <w:jc w:val="center"/>
              <w:rPr>
                <w:rFonts w:ascii="Bookman Old Style" w:hAnsi="Bookman Old Style"/>
                <w:b/>
              </w:rPr>
            </w:pPr>
          </w:p>
        </w:tc>
        <w:tc>
          <w:tcPr>
            <w:tcW w:w="2597" w:type="dxa"/>
            <w:shd w:val="clear" w:color="auto" w:fill="auto"/>
          </w:tcPr>
          <w:p w14:paraId="714CD55C" w14:textId="6F30F55B" w:rsidR="003F1B03" w:rsidRPr="003F1B03" w:rsidRDefault="003F1B03" w:rsidP="00E53718">
            <w:pPr>
              <w:spacing w:line="276" w:lineRule="auto"/>
              <w:jc w:val="center"/>
              <w:rPr>
                <w:rFonts w:ascii="Bookman Old Style" w:hAnsi="Bookman Old Style"/>
                <w:bCs/>
              </w:rPr>
            </w:pPr>
            <w:r w:rsidRPr="003F1B03">
              <w:rPr>
                <w:rFonts w:ascii="Bookman Old Style" w:hAnsi="Bookman Old Style"/>
                <w:bCs/>
              </w:rPr>
              <w:t>Se elimina la expresión “menores de edad”</w:t>
            </w:r>
          </w:p>
        </w:tc>
      </w:tr>
      <w:tr w:rsidR="002F27C6" w:rsidRPr="006A13F9" w14:paraId="2E99ACCE" w14:textId="77777777" w:rsidTr="000E0802">
        <w:trPr>
          <w:jc w:val="center"/>
        </w:trPr>
        <w:tc>
          <w:tcPr>
            <w:tcW w:w="3179" w:type="dxa"/>
            <w:shd w:val="clear" w:color="auto" w:fill="auto"/>
          </w:tcPr>
          <w:p w14:paraId="53F5A772" w14:textId="77777777" w:rsidR="00DE34AC" w:rsidRPr="00DE34AC" w:rsidRDefault="00DE34AC" w:rsidP="00DE34AC">
            <w:pPr>
              <w:widowControl w:val="0"/>
              <w:pBdr>
                <w:top w:val="nil"/>
                <w:left w:val="nil"/>
                <w:bottom w:val="nil"/>
                <w:right w:val="nil"/>
                <w:between w:val="nil"/>
              </w:pBdr>
              <w:spacing w:line="276" w:lineRule="auto"/>
              <w:jc w:val="both"/>
              <w:rPr>
                <w:rFonts w:ascii="Bookman Old Style" w:eastAsia="Bookman Old Style" w:hAnsi="Bookman Old Style" w:cs="Arial"/>
              </w:rPr>
            </w:pPr>
            <w:r w:rsidRPr="00DE34AC">
              <w:rPr>
                <w:rFonts w:ascii="Bookman Old Style" w:eastAsia="Bookman Old Style" w:hAnsi="Bookman Old Style" w:cs="Arial"/>
                <w:b/>
              </w:rPr>
              <w:t>Artículo 1°. Objeto.</w:t>
            </w:r>
            <w:r w:rsidRPr="00DE34AC">
              <w:rPr>
                <w:rFonts w:ascii="Bookman Old Style" w:eastAsia="Bookman Old Style" w:hAnsi="Bookman Old Style" w:cs="Arial"/>
              </w:rPr>
              <w:t xml:space="preserve"> La presente Ley tiene por objeto modificar la edad mínima en la que un menor de edad puede consentir relaciones sexuales, como estrategia de protección de niños niñas y adolescentes. </w:t>
            </w:r>
          </w:p>
          <w:p w14:paraId="22EA3451" w14:textId="32C0A931" w:rsidR="002F27C6" w:rsidRPr="00DE34AC" w:rsidRDefault="002F27C6" w:rsidP="00E53718">
            <w:pPr>
              <w:spacing w:line="276" w:lineRule="auto"/>
              <w:jc w:val="both"/>
              <w:rPr>
                <w:rFonts w:ascii="Bookman Old Style" w:hAnsi="Bookman Old Style"/>
              </w:rPr>
            </w:pPr>
          </w:p>
        </w:tc>
        <w:tc>
          <w:tcPr>
            <w:tcW w:w="3052" w:type="dxa"/>
            <w:shd w:val="clear" w:color="auto" w:fill="auto"/>
          </w:tcPr>
          <w:p w14:paraId="1B442796" w14:textId="1F8F3911" w:rsidR="002A0F72" w:rsidRPr="00DE34AC" w:rsidRDefault="002A0F72" w:rsidP="002A0F72">
            <w:pPr>
              <w:widowControl w:val="0"/>
              <w:pBdr>
                <w:top w:val="nil"/>
                <w:left w:val="nil"/>
                <w:bottom w:val="nil"/>
                <w:right w:val="nil"/>
                <w:between w:val="nil"/>
              </w:pBdr>
              <w:spacing w:line="276" w:lineRule="auto"/>
              <w:jc w:val="both"/>
              <w:rPr>
                <w:rFonts w:ascii="Bookman Old Style" w:eastAsia="Bookman Old Style" w:hAnsi="Bookman Old Style" w:cs="Arial"/>
              </w:rPr>
            </w:pPr>
            <w:r w:rsidRPr="00DE34AC">
              <w:rPr>
                <w:rFonts w:ascii="Bookman Old Style" w:eastAsia="Bookman Old Style" w:hAnsi="Bookman Old Style" w:cs="Arial"/>
                <w:b/>
              </w:rPr>
              <w:t>Artículo 1°. Objeto.</w:t>
            </w:r>
            <w:r w:rsidRPr="00DE34AC">
              <w:rPr>
                <w:rFonts w:ascii="Bookman Old Style" w:eastAsia="Bookman Old Style" w:hAnsi="Bookman Old Style" w:cs="Arial"/>
              </w:rPr>
              <w:t xml:space="preserve"> La presente Ley tiene por objeto modificar la edad mínima en la que un </w:t>
            </w:r>
            <w:r w:rsidRPr="002A0F72">
              <w:rPr>
                <w:rFonts w:ascii="Bookman Old Style" w:eastAsia="Bookman Old Style" w:hAnsi="Bookman Old Style" w:cs="Arial"/>
                <w:strike/>
              </w:rPr>
              <w:t>menor de edad</w:t>
            </w:r>
            <w:r w:rsidRPr="00DE34AC">
              <w:rPr>
                <w:rFonts w:ascii="Bookman Old Style" w:eastAsia="Bookman Old Style" w:hAnsi="Bookman Old Style" w:cs="Arial"/>
              </w:rPr>
              <w:t xml:space="preserve"> </w:t>
            </w:r>
            <w:r w:rsidRPr="002A0F72">
              <w:rPr>
                <w:rFonts w:ascii="Bookman Old Style" w:eastAsia="Bookman Old Style" w:hAnsi="Bookman Old Style" w:cs="Arial"/>
                <w:b/>
                <w:bCs/>
                <w:u w:val="single"/>
              </w:rPr>
              <w:t>niño, niña o adolescente</w:t>
            </w:r>
            <w:r w:rsidRPr="00DE34AC">
              <w:rPr>
                <w:rFonts w:ascii="Bookman Old Style" w:eastAsia="Bookman Old Style" w:hAnsi="Bookman Old Style" w:cs="Arial"/>
              </w:rPr>
              <w:t xml:space="preserve"> puede consentir relaciones sexuales, como estrategia de protección de </w:t>
            </w:r>
            <w:r w:rsidRPr="002A0F72">
              <w:rPr>
                <w:rFonts w:ascii="Bookman Old Style" w:eastAsia="Bookman Old Style" w:hAnsi="Bookman Old Style" w:cs="Arial"/>
                <w:strike/>
              </w:rPr>
              <w:t>niños niñas y adolescentes</w:t>
            </w:r>
            <w:r w:rsidRPr="002A0F72">
              <w:rPr>
                <w:rFonts w:ascii="Bookman Old Style" w:eastAsia="Bookman Old Style" w:hAnsi="Bookman Old Style" w:cs="Arial"/>
              </w:rPr>
              <w:t xml:space="preserve"> </w:t>
            </w:r>
            <w:r w:rsidRPr="002A0F72">
              <w:rPr>
                <w:rFonts w:ascii="Bookman Old Style" w:eastAsia="Bookman Old Style" w:hAnsi="Bookman Old Style" w:cs="Arial"/>
                <w:b/>
                <w:bCs/>
                <w:u w:val="single"/>
              </w:rPr>
              <w:t>la población en la infancia, niñez y adolescencia.</w:t>
            </w:r>
            <w:r w:rsidRPr="00DE34AC">
              <w:rPr>
                <w:rFonts w:ascii="Bookman Old Style" w:eastAsia="Bookman Old Style" w:hAnsi="Bookman Old Style" w:cs="Arial"/>
              </w:rPr>
              <w:t xml:space="preserve"> </w:t>
            </w:r>
          </w:p>
          <w:p w14:paraId="440EA142" w14:textId="11E703D7" w:rsidR="002F27C6" w:rsidRPr="00DE34AC" w:rsidRDefault="002F27C6" w:rsidP="00E53718">
            <w:pPr>
              <w:spacing w:line="276" w:lineRule="auto"/>
              <w:rPr>
                <w:rFonts w:ascii="Bookman Old Style" w:hAnsi="Bookman Old Style"/>
              </w:rPr>
            </w:pPr>
          </w:p>
        </w:tc>
        <w:tc>
          <w:tcPr>
            <w:tcW w:w="2597" w:type="dxa"/>
            <w:shd w:val="clear" w:color="auto" w:fill="auto"/>
          </w:tcPr>
          <w:p w14:paraId="004D3FEA" w14:textId="1CE28974" w:rsidR="002F27C6" w:rsidRPr="00DE34AC" w:rsidRDefault="0066361E" w:rsidP="00E53718">
            <w:pPr>
              <w:spacing w:line="276" w:lineRule="auto"/>
              <w:rPr>
                <w:rFonts w:ascii="Bookman Old Style" w:hAnsi="Bookman Old Style"/>
              </w:rPr>
            </w:pPr>
            <w:r>
              <w:rPr>
                <w:rFonts w:ascii="Bookman Old Style" w:hAnsi="Bookman Old Style"/>
              </w:rPr>
              <w:t>Se ajusta la denominación “niños, niñas y adolescentes” para armonizar con la actual legislación.</w:t>
            </w:r>
          </w:p>
        </w:tc>
      </w:tr>
      <w:tr w:rsidR="002F27C6" w:rsidRPr="006A13F9" w14:paraId="4B94AE6A" w14:textId="77777777" w:rsidTr="000E0802">
        <w:trPr>
          <w:jc w:val="center"/>
        </w:trPr>
        <w:tc>
          <w:tcPr>
            <w:tcW w:w="3179" w:type="dxa"/>
            <w:shd w:val="clear" w:color="auto" w:fill="auto"/>
          </w:tcPr>
          <w:p w14:paraId="7274C6B8" w14:textId="77777777" w:rsidR="00DE34AC" w:rsidRPr="00DE34AC" w:rsidRDefault="00DE34AC" w:rsidP="00DE34AC">
            <w:pPr>
              <w:widowControl w:val="0"/>
              <w:pBdr>
                <w:top w:val="nil"/>
                <w:left w:val="nil"/>
                <w:bottom w:val="nil"/>
                <w:right w:val="nil"/>
                <w:between w:val="nil"/>
              </w:pBdr>
              <w:spacing w:line="276" w:lineRule="auto"/>
              <w:jc w:val="both"/>
              <w:rPr>
                <w:rFonts w:ascii="Bookman Old Style" w:eastAsia="Bookman Old Style" w:hAnsi="Bookman Old Style" w:cs="Arial"/>
              </w:rPr>
            </w:pPr>
            <w:r w:rsidRPr="00DE34AC">
              <w:rPr>
                <w:rFonts w:ascii="Bookman Old Style" w:eastAsia="Bookman Old Style" w:hAnsi="Bookman Old Style" w:cs="Arial"/>
                <w:b/>
              </w:rPr>
              <w:t>Artículo 2°.</w:t>
            </w:r>
            <w:r w:rsidRPr="00DE34AC">
              <w:rPr>
                <w:rFonts w:ascii="Bookman Old Style" w:eastAsia="Bookman Old Style" w:hAnsi="Bookman Old Style" w:cs="Arial"/>
              </w:rPr>
              <w:t xml:space="preserve"> Modifíquese el artículo 208 de la Ley 599 de 2000, el cual quedará así:</w:t>
            </w:r>
          </w:p>
          <w:p w14:paraId="04F881CD" w14:textId="77777777" w:rsidR="00DE34AC" w:rsidRPr="00DE34AC" w:rsidRDefault="00DE34AC" w:rsidP="00DE34AC">
            <w:pPr>
              <w:widowControl w:val="0"/>
              <w:pBdr>
                <w:top w:val="nil"/>
                <w:left w:val="nil"/>
                <w:bottom w:val="nil"/>
                <w:right w:val="nil"/>
                <w:between w:val="nil"/>
              </w:pBdr>
              <w:spacing w:line="276" w:lineRule="auto"/>
              <w:jc w:val="both"/>
              <w:rPr>
                <w:rFonts w:ascii="Bookman Old Style" w:eastAsia="Bookman Old Style" w:hAnsi="Bookman Old Style" w:cs="Arial"/>
              </w:rPr>
            </w:pPr>
            <w:r w:rsidRPr="00DE34AC">
              <w:rPr>
                <w:rFonts w:ascii="Bookman Old Style" w:eastAsia="Bookman Old Style" w:hAnsi="Bookman Old Style" w:cs="Arial"/>
              </w:rPr>
              <w:t xml:space="preserve">ARTÍCULO 208. ACCESO CARNAL ABUSIVO CON MENOR DE DIECISÉIS AÑOS. El que acceda </w:t>
            </w:r>
            <w:r w:rsidRPr="00DE34AC">
              <w:rPr>
                <w:rFonts w:ascii="Bookman Old Style" w:eastAsia="Bookman Old Style" w:hAnsi="Bookman Old Style" w:cs="Arial"/>
              </w:rPr>
              <w:lastRenderedPageBreak/>
              <w:t>carnalmente a persona menor de dieciséis (16) años, incurrirá en prisión de doce (12) a veinte (20) años.</w:t>
            </w:r>
          </w:p>
          <w:p w14:paraId="7FB7F52A" w14:textId="77777777" w:rsidR="002F27C6" w:rsidRPr="00DE34AC" w:rsidRDefault="002F27C6" w:rsidP="00E53718">
            <w:pPr>
              <w:spacing w:line="276" w:lineRule="auto"/>
              <w:rPr>
                <w:rFonts w:ascii="Bookman Old Style" w:hAnsi="Bookman Old Style"/>
              </w:rPr>
            </w:pPr>
          </w:p>
        </w:tc>
        <w:tc>
          <w:tcPr>
            <w:tcW w:w="3052" w:type="dxa"/>
            <w:shd w:val="clear" w:color="auto" w:fill="auto"/>
          </w:tcPr>
          <w:p w14:paraId="0E777549" w14:textId="1D29EA7F" w:rsidR="002F27C6" w:rsidRPr="00DE34AC" w:rsidRDefault="002F27C6" w:rsidP="00E53718">
            <w:pPr>
              <w:spacing w:line="276" w:lineRule="auto"/>
              <w:jc w:val="both"/>
              <w:rPr>
                <w:rFonts w:ascii="Bookman Old Style" w:eastAsia="Tahoma" w:hAnsi="Bookman Old Style"/>
              </w:rPr>
            </w:pPr>
          </w:p>
        </w:tc>
        <w:tc>
          <w:tcPr>
            <w:tcW w:w="2597" w:type="dxa"/>
            <w:shd w:val="clear" w:color="auto" w:fill="auto"/>
          </w:tcPr>
          <w:p w14:paraId="1351CD1F" w14:textId="77777777" w:rsidR="002F27C6" w:rsidRDefault="002F27C6" w:rsidP="00E53718">
            <w:pPr>
              <w:spacing w:line="276" w:lineRule="auto"/>
              <w:jc w:val="both"/>
              <w:rPr>
                <w:rFonts w:ascii="Bookman Old Style" w:hAnsi="Bookman Old Style"/>
              </w:rPr>
            </w:pPr>
          </w:p>
          <w:p w14:paraId="17DB1A82" w14:textId="0753C40E" w:rsidR="0066361E" w:rsidRPr="00DE34AC" w:rsidRDefault="0066361E" w:rsidP="00E53718">
            <w:pPr>
              <w:spacing w:line="276" w:lineRule="auto"/>
              <w:jc w:val="both"/>
              <w:rPr>
                <w:rFonts w:ascii="Bookman Old Style" w:hAnsi="Bookman Old Style"/>
              </w:rPr>
            </w:pPr>
            <w:r>
              <w:rPr>
                <w:rFonts w:ascii="Bookman Old Style" w:hAnsi="Bookman Old Style"/>
              </w:rPr>
              <w:t>Sin modificaciones</w:t>
            </w:r>
          </w:p>
        </w:tc>
      </w:tr>
      <w:tr w:rsidR="002F27C6" w:rsidRPr="006A13F9" w14:paraId="0DB8B0DE" w14:textId="77777777" w:rsidTr="000E0802">
        <w:trPr>
          <w:jc w:val="center"/>
        </w:trPr>
        <w:tc>
          <w:tcPr>
            <w:tcW w:w="3179" w:type="dxa"/>
            <w:shd w:val="clear" w:color="auto" w:fill="auto"/>
          </w:tcPr>
          <w:p w14:paraId="12F7B18D" w14:textId="77777777" w:rsidR="00DE34AC" w:rsidRPr="00DE34AC" w:rsidRDefault="00DE34AC" w:rsidP="00DE34AC">
            <w:pPr>
              <w:widowControl w:val="0"/>
              <w:pBdr>
                <w:top w:val="nil"/>
                <w:left w:val="nil"/>
                <w:bottom w:val="nil"/>
                <w:right w:val="nil"/>
                <w:between w:val="nil"/>
              </w:pBdr>
              <w:spacing w:line="276" w:lineRule="auto"/>
              <w:jc w:val="both"/>
              <w:rPr>
                <w:rFonts w:ascii="Bookman Old Style" w:eastAsia="Bookman Old Style" w:hAnsi="Bookman Old Style" w:cs="Arial"/>
              </w:rPr>
            </w:pPr>
            <w:r w:rsidRPr="00DE34AC">
              <w:rPr>
                <w:rFonts w:ascii="Bookman Old Style" w:eastAsia="Bookman Old Style" w:hAnsi="Bookman Old Style" w:cs="Arial"/>
                <w:b/>
              </w:rPr>
              <w:t>Artículo 3°.</w:t>
            </w:r>
            <w:r w:rsidRPr="00DE34AC">
              <w:rPr>
                <w:rFonts w:ascii="Bookman Old Style" w:eastAsia="Bookman Old Style" w:hAnsi="Bookman Old Style" w:cs="Arial"/>
              </w:rPr>
              <w:t xml:space="preserve"> Modifíquese el artículo 209 de la Ley 599 de 2000, el cual quedará así:</w:t>
            </w:r>
          </w:p>
          <w:p w14:paraId="436326DE" w14:textId="77777777" w:rsidR="00DE34AC" w:rsidRPr="00DE34AC" w:rsidRDefault="00DE34AC" w:rsidP="00DE34AC">
            <w:pPr>
              <w:widowControl w:val="0"/>
              <w:pBdr>
                <w:top w:val="nil"/>
                <w:left w:val="nil"/>
                <w:bottom w:val="nil"/>
                <w:right w:val="nil"/>
                <w:between w:val="nil"/>
              </w:pBdr>
              <w:spacing w:line="276" w:lineRule="auto"/>
              <w:jc w:val="both"/>
              <w:rPr>
                <w:rFonts w:ascii="Bookman Old Style" w:eastAsia="Bookman Old Style" w:hAnsi="Bookman Old Style" w:cs="Arial"/>
              </w:rPr>
            </w:pPr>
            <w:r w:rsidRPr="00DE34AC">
              <w:rPr>
                <w:rFonts w:ascii="Bookman Old Style" w:eastAsia="Bookman Old Style" w:hAnsi="Bookman Old Style" w:cs="Arial"/>
              </w:rPr>
              <w:t>ARTÍCULO 209. ACTOS SEXUALES CON MENOR DE DIECISEIS AÑOS.  El que realizare actos sexuales diversos del acceso carnal con persona menor de dieciséis (16) años o en su presencia, o la induzca a prácticas sexuales, incurrirá en prisión de nueve (9) a trece (13) años.</w:t>
            </w:r>
          </w:p>
          <w:p w14:paraId="2ECDE22E" w14:textId="19BC3813" w:rsidR="002F27C6" w:rsidRPr="00DE34AC" w:rsidRDefault="002F27C6" w:rsidP="00E53718">
            <w:pPr>
              <w:spacing w:line="276" w:lineRule="auto"/>
              <w:jc w:val="both"/>
              <w:rPr>
                <w:rFonts w:ascii="Bookman Old Style" w:eastAsia="Tahoma" w:hAnsi="Bookman Old Style"/>
                <w:b/>
              </w:rPr>
            </w:pPr>
          </w:p>
        </w:tc>
        <w:tc>
          <w:tcPr>
            <w:tcW w:w="3052" w:type="dxa"/>
            <w:shd w:val="clear" w:color="auto" w:fill="auto"/>
          </w:tcPr>
          <w:p w14:paraId="7317FAA1" w14:textId="259329ED" w:rsidR="002F27C6" w:rsidRPr="00DE34AC" w:rsidRDefault="002F27C6" w:rsidP="00E53718">
            <w:pPr>
              <w:spacing w:line="276" w:lineRule="auto"/>
              <w:jc w:val="both"/>
              <w:rPr>
                <w:rFonts w:ascii="Bookman Old Style" w:hAnsi="Bookman Old Style"/>
              </w:rPr>
            </w:pPr>
          </w:p>
        </w:tc>
        <w:tc>
          <w:tcPr>
            <w:tcW w:w="2597" w:type="dxa"/>
            <w:shd w:val="clear" w:color="auto" w:fill="auto"/>
          </w:tcPr>
          <w:p w14:paraId="739FE460" w14:textId="77777777" w:rsidR="002F27C6" w:rsidRDefault="002F27C6" w:rsidP="00E53718">
            <w:pPr>
              <w:spacing w:line="276" w:lineRule="auto"/>
              <w:jc w:val="both"/>
              <w:rPr>
                <w:rFonts w:ascii="Bookman Old Style" w:hAnsi="Bookman Old Style"/>
              </w:rPr>
            </w:pPr>
          </w:p>
          <w:p w14:paraId="79F6D790" w14:textId="140B1AFA" w:rsidR="0066361E" w:rsidRPr="00DE34AC" w:rsidRDefault="0066361E" w:rsidP="00E53718">
            <w:pPr>
              <w:spacing w:line="276" w:lineRule="auto"/>
              <w:jc w:val="both"/>
              <w:rPr>
                <w:rFonts w:ascii="Bookman Old Style" w:hAnsi="Bookman Old Style"/>
              </w:rPr>
            </w:pPr>
            <w:r>
              <w:rPr>
                <w:rFonts w:ascii="Bookman Old Style" w:hAnsi="Bookman Old Style"/>
              </w:rPr>
              <w:t>Sin modificaciones</w:t>
            </w:r>
          </w:p>
        </w:tc>
      </w:tr>
      <w:tr w:rsidR="002F27C6" w:rsidRPr="006A13F9" w14:paraId="533C7A32" w14:textId="77777777" w:rsidTr="000E0802">
        <w:trPr>
          <w:jc w:val="center"/>
        </w:trPr>
        <w:tc>
          <w:tcPr>
            <w:tcW w:w="3179" w:type="dxa"/>
            <w:shd w:val="clear" w:color="auto" w:fill="auto"/>
          </w:tcPr>
          <w:p w14:paraId="3831C9EF" w14:textId="77777777" w:rsidR="00DE34AC" w:rsidRPr="00DE34AC" w:rsidRDefault="00DE34AC" w:rsidP="00DE34AC">
            <w:pPr>
              <w:widowControl w:val="0"/>
              <w:pBdr>
                <w:top w:val="nil"/>
                <w:left w:val="nil"/>
                <w:bottom w:val="nil"/>
                <w:right w:val="nil"/>
                <w:between w:val="nil"/>
              </w:pBdr>
              <w:spacing w:line="276" w:lineRule="auto"/>
              <w:jc w:val="both"/>
              <w:rPr>
                <w:rFonts w:ascii="Bookman Old Style" w:eastAsia="Bookman Old Style" w:hAnsi="Bookman Old Style" w:cs="Arial"/>
              </w:rPr>
            </w:pPr>
            <w:r w:rsidRPr="00DE34AC">
              <w:rPr>
                <w:rFonts w:ascii="Bookman Old Style" w:eastAsia="Bookman Old Style" w:hAnsi="Bookman Old Style" w:cs="Arial"/>
                <w:b/>
              </w:rPr>
              <w:t>Artículo 4°.</w:t>
            </w:r>
            <w:r w:rsidRPr="00DE34AC">
              <w:rPr>
                <w:rFonts w:ascii="Bookman Old Style" w:eastAsia="Bookman Old Style" w:hAnsi="Bookman Old Style" w:cs="Arial"/>
              </w:rPr>
              <w:t xml:space="preserve"> Modifíquese el numeral primero del artículo 216 de la Ley 599 de 2000, así: </w:t>
            </w:r>
          </w:p>
          <w:p w14:paraId="691CADCA" w14:textId="77777777" w:rsidR="00DE34AC" w:rsidRPr="00DE34AC" w:rsidRDefault="00DE34AC" w:rsidP="00DE34AC">
            <w:pPr>
              <w:widowControl w:val="0"/>
              <w:pBdr>
                <w:top w:val="nil"/>
                <w:left w:val="nil"/>
                <w:bottom w:val="nil"/>
                <w:right w:val="nil"/>
                <w:between w:val="nil"/>
              </w:pBdr>
              <w:spacing w:line="276" w:lineRule="auto"/>
              <w:jc w:val="both"/>
              <w:rPr>
                <w:rFonts w:ascii="Bookman Old Style" w:eastAsia="Bookman Old Style" w:hAnsi="Bookman Old Style" w:cs="Arial"/>
              </w:rPr>
            </w:pPr>
            <w:r w:rsidRPr="00DE34AC">
              <w:rPr>
                <w:rFonts w:ascii="Bookman Old Style" w:eastAsia="Bookman Old Style" w:hAnsi="Bookman Old Style" w:cs="Arial"/>
              </w:rPr>
              <w:t>ARTÍCULO 216. CIRCUNSTANCIAS DE AGRAVACIÓN PUNITIVA.  Las penas para los delitos descritos en los artículos anteriores, se aumentarán de una tercera parte a la mitad, cuando la conducta:</w:t>
            </w:r>
          </w:p>
          <w:p w14:paraId="0C4401AB" w14:textId="77777777" w:rsidR="00DE34AC" w:rsidRPr="00DE34AC" w:rsidRDefault="00DE34AC" w:rsidP="00DE34AC">
            <w:pPr>
              <w:widowControl w:val="0"/>
              <w:pBdr>
                <w:top w:val="nil"/>
                <w:left w:val="nil"/>
                <w:bottom w:val="nil"/>
                <w:right w:val="nil"/>
                <w:between w:val="nil"/>
              </w:pBdr>
              <w:spacing w:line="276" w:lineRule="auto"/>
              <w:jc w:val="both"/>
              <w:rPr>
                <w:rFonts w:ascii="Bookman Old Style" w:eastAsia="Bookman Old Style" w:hAnsi="Bookman Old Style" w:cs="Arial"/>
              </w:rPr>
            </w:pPr>
          </w:p>
          <w:p w14:paraId="2800A416" w14:textId="77777777" w:rsidR="00DE34AC" w:rsidRPr="00DE34AC" w:rsidRDefault="00DE34AC" w:rsidP="00DE34AC">
            <w:pPr>
              <w:widowControl w:val="0"/>
              <w:pBdr>
                <w:top w:val="nil"/>
                <w:left w:val="nil"/>
                <w:bottom w:val="nil"/>
                <w:right w:val="nil"/>
                <w:between w:val="nil"/>
              </w:pBdr>
              <w:spacing w:line="276" w:lineRule="auto"/>
              <w:jc w:val="both"/>
              <w:rPr>
                <w:rFonts w:ascii="Bookman Old Style" w:eastAsia="Bookman Old Style" w:hAnsi="Bookman Old Style" w:cs="Arial"/>
              </w:rPr>
            </w:pPr>
            <w:r w:rsidRPr="00DE34AC">
              <w:rPr>
                <w:rFonts w:ascii="Bookman Old Style" w:eastAsia="Bookman Old Style" w:hAnsi="Bookman Old Style" w:cs="Arial"/>
              </w:rPr>
              <w:t>1. Para los artículos 213 y 214, se realizare en persona menor de dieciocho (18) años, y para el artículo 213-A, se realizare con persona menor de dieciséis (16) años.</w:t>
            </w:r>
          </w:p>
          <w:p w14:paraId="2FD535C6" w14:textId="78BC9CE2" w:rsidR="002F27C6" w:rsidRPr="00DE34AC" w:rsidRDefault="002F27C6" w:rsidP="00E53718">
            <w:pPr>
              <w:spacing w:line="276" w:lineRule="auto"/>
              <w:jc w:val="both"/>
              <w:rPr>
                <w:rFonts w:ascii="Bookman Old Style" w:eastAsia="Tahoma" w:hAnsi="Bookman Old Style"/>
              </w:rPr>
            </w:pPr>
          </w:p>
        </w:tc>
        <w:tc>
          <w:tcPr>
            <w:tcW w:w="3052" w:type="dxa"/>
            <w:shd w:val="clear" w:color="auto" w:fill="auto"/>
          </w:tcPr>
          <w:p w14:paraId="5BE5132E" w14:textId="333E512B" w:rsidR="002F27C6" w:rsidRPr="00DE34AC" w:rsidRDefault="002F27C6" w:rsidP="00E53718">
            <w:pPr>
              <w:spacing w:line="276" w:lineRule="auto"/>
              <w:jc w:val="both"/>
              <w:rPr>
                <w:rFonts w:ascii="Bookman Old Style" w:eastAsia="Tahoma" w:hAnsi="Bookman Old Style"/>
              </w:rPr>
            </w:pPr>
          </w:p>
        </w:tc>
        <w:tc>
          <w:tcPr>
            <w:tcW w:w="2597" w:type="dxa"/>
            <w:shd w:val="clear" w:color="auto" w:fill="auto"/>
          </w:tcPr>
          <w:p w14:paraId="4736F616" w14:textId="77777777" w:rsidR="002F27C6" w:rsidRDefault="002F27C6" w:rsidP="00E53718">
            <w:pPr>
              <w:spacing w:line="276" w:lineRule="auto"/>
              <w:jc w:val="both"/>
              <w:rPr>
                <w:rFonts w:ascii="Bookman Old Style" w:hAnsi="Bookman Old Style"/>
              </w:rPr>
            </w:pPr>
          </w:p>
          <w:p w14:paraId="7E1DAB2B" w14:textId="272FC97C" w:rsidR="0066361E" w:rsidRPr="00DE34AC" w:rsidRDefault="0066361E" w:rsidP="00E53718">
            <w:pPr>
              <w:spacing w:line="276" w:lineRule="auto"/>
              <w:jc w:val="both"/>
              <w:rPr>
                <w:rFonts w:ascii="Bookman Old Style" w:hAnsi="Bookman Old Style"/>
              </w:rPr>
            </w:pPr>
            <w:r>
              <w:rPr>
                <w:rFonts w:ascii="Bookman Old Style" w:hAnsi="Bookman Old Style"/>
              </w:rPr>
              <w:t>Sin modificaciones</w:t>
            </w:r>
          </w:p>
        </w:tc>
      </w:tr>
      <w:tr w:rsidR="002F27C6" w:rsidRPr="006A13F9" w14:paraId="350FE53D" w14:textId="77777777" w:rsidTr="000E0802">
        <w:trPr>
          <w:jc w:val="center"/>
        </w:trPr>
        <w:tc>
          <w:tcPr>
            <w:tcW w:w="3179" w:type="dxa"/>
            <w:shd w:val="clear" w:color="auto" w:fill="auto"/>
          </w:tcPr>
          <w:p w14:paraId="74A58BFC" w14:textId="77777777" w:rsidR="00DE34AC" w:rsidRPr="00DE34AC" w:rsidRDefault="00DE34AC" w:rsidP="00DE34AC">
            <w:pPr>
              <w:widowControl w:val="0"/>
              <w:pBdr>
                <w:top w:val="nil"/>
                <w:left w:val="nil"/>
                <w:bottom w:val="nil"/>
                <w:right w:val="nil"/>
                <w:between w:val="nil"/>
              </w:pBdr>
              <w:spacing w:line="276" w:lineRule="auto"/>
              <w:jc w:val="both"/>
              <w:rPr>
                <w:rFonts w:ascii="Bookman Old Style" w:eastAsia="Bookman Old Style" w:hAnsi="Bookman Old Style" w:cs="Arial"/>
              </w:rPr>
            </w:pPr>
            <w:r w:rsidRPr="00DE34AC">
              <w:rPr>
                <w:rFonts w:ascii="Bookman Old Style" w:eastAsia="Bookman Old Style" w:hAnsi="Bookman Old Style" w:cs="Arial"/>
                <w:b/>
              </w:rPr>
              <w:t xml:space="preserve">Artículo 6°.  Jurisdicción indígena. </w:t>
            </w:r>
            <w:r w:rsidRPr="00DE34AC">
              <w:rPr>
                <w:rFonts w:ascii="Bookman Old Style" w:eastAsia="Bookman Old Style" w:hAnsi="Bookman Old Style" w:cs="Arial"/>
              </w:rPr>
              <w:t xml:space="preserve">Lo estipulado en el presente proyecto respetará los derechos, costumbres y tratamientos especiales que la legislación colombiana le otorga a las poblaciones indígenas.  </w:t>
            </w:r>
          </w:p>
          <w:p w14:paraId="7079AECC" w14:textId="77777777" w:rsidR="002F27C6" w:rsidRPr="00DE34AC" w:rsidRDefault="002F27C6" w:rsidP="00E53718">
            <w:pPr>
              <w:spacing w:line="276" w:lineRule="auto"/>
              <w:rPr>
                <w:rFonts w:ascii="Bookman Old Style" w:hAnsi="Bookman Old Style"/>
              </w:rPr>
            </w:pPr>
          </w:p>
        </w:tc>
        <w:tc>
          <w:tcPr>
            <w:tcW w:w="3052" w:type="dxa"/>
            <w:shd w:val="clear" w:color="auto" w:fill="auto"/>
          </w:tcPr>
          <w:p w14:paraId="1BEA5DA4" w14:textId="77777777" w:rsidR="002A0F72" w:rsidRPr="002A0F72" w:rsidRDefault="002A0F72" w:rsidP="002A0F72">
            <w:pPr>
              <w:widowControl w:val="0"/>
              <w:pBdr>
                <w:top w:val="nil"/>
                <w:left w:val="nil"/>
                <w:bottom w:val="nil"/>
                <w:right w:val="nil"/>
                <w:between w:val="nil"/>
              </w:pBdr>
              <w:spacing w:line="276" w:lineRule="auto"/>
              <w:jc w:val="both"/>
              <w:rPr>
                <w:rFonts w:ascii="Bookman Old Style" w:eastAsia="Bookman Old Style" w:hAnsi="Bookman Old Style" w:cs="Arial"/>
                <w:strike/>
              </w:rPr>
            </w:pPr>
            <w:r w:rsidRPr="002A0F72">
              <w:rPr>
                <w:rFonts w:ascii="Bookman Old Style" w:eastAsia="Bookman Old Style" w:hAnsi="Bookman Old Style" w:cs="Arial"/>
                <w:b/>
                <w:strike/>
              </w:rPr>
              <w:t xml:space="preserve">Artículo 6°.  Jurisdicción indígena. </w:t>
            </w:r>
            <w:r w:rsidRPr="002A0F72">
              <w:rPr>
                <w:rFonts w:ascii="Bookman Old Style" w:eastAsia="Bookman Old Style" w:hAnsi="Bookman Old Style" w:cs="Arial"/>
                <w:strike/>
              </w:rPr>
              <w:t xml:space="preserve">Lo estipulado en el presente proyecto respetará los derechos, costumbres y tratamientos especiales que la legislación colombiana le otorga a las poblaciones indígenas.  </w:t>
            </w:r>
          </w:p>
          <w:p w14:paraId="0501FD0A" w14:textId="5F0247E8" w:rsidR="002F27C6" w:rsidRPr="00DE34AC" w:rsidRDefault="002F27C6" w:rsidP="00E53718">
            <w:pPr>
              <w:spacing w:line="276" w:lineRule="auto"/>
              <w:jc w:val="both"/>
              <w:rPr>
                <w:rFonts w:ascii="Bookman Old Style" w:eastAsia="Tahoma" w:hAnsi="Bookman Old Style"/>
              </w:rPr>
            </w:pPr>
          </w:p>
        </w:tc>
        <w:tc>
          <w:tcPr>
            <w:tcW w:w="2597" w:type="dxa"/>
            <w:shd w:val="clear" w:color="auto" w:fill="auto"/>
          </w:tcPr>
          <w:p w14:paraId="1086F6A0" w14:textId="77777777" w:rsidR="002A0F72" w:rsidRPr="000E0802" w:rsidRDefault="002A0F72" w:rsidP="002A0F72">
            <w:pPr>
              <w:jc w:val="both"/>
              <w:rPr>
                <w:rFonts w:ascii="Bookman Old Style" w:hAnsi="Bookman Old Style"/>
              </w:rPr>
            </w:pPr>
            <w:r w:rsidRPr="000E0802">
              <w:rPr>
                <w:rFonts w:ascii="Bookman Old Style" w:hAnsi="Bookman Old Style"/>
              </w:rPr>
              <w:t xml:space="preserve">Si bien el artículo 246 de la Constitución Política reconoce la jurisdicción especial indígena y el derecho de los pueblos indígenas a gobernarse por sus usos y costumbres, es necesario advertir que dichas prácticas deben desarrollarse en armonía con la Constitución y los tratados internacionales de derechos humanos, especialmente con el principio del interés superior del niño. Tanto la Ley 2447 de 2025 como el artículo 9 de la Ley 1098 de 2006 establecen que los derechos de las niñas, niños y adolescentes prevalecen sobre </w:t>
            </w:r>
            <w:r w:rsidRPr="000E0802">
              <w:rPr>
                <w:rFonts w:ascii="Bookman Old Style" w:hAnsi="Bookman Old Style"/>
              </w:rPr>
              <w:lastRenderedPageBreak/>
              <w:t>cualquier otra consideración, incluyendo los derechos colectivos.</w:t>
            </w:r>
          </w:p>
          <w:p w14:paraId="24B01318" w14:textId="77777777" w:rsidR="002A0F72" w:rsidRPr="000E0802" w:rsidRDefault="002A0F72" w:rsidP="002A0F72">
            <w:pPr>
              <w:jc w:val="both"/>
              <w:rPr>
                <w:rFonts w:ascii="Bookman Old Style" w:hAnsi="Bookman Old Style"/>
              </w:rPr>
            </w:pPr>
          </w:p>
          <w:p w14:paraId="11D957B0" w14:textId="77777777" w:rsidR="002A0F72" w:rsidRPr="000E0802" w:rsidRDefault="002A0F72" w:rsidP="002A0F72">
            <w:pPr>
              <w:jc w:val="both"/>
              <w:rPr>
                <w:rFonts w:ascii="Bookman Old Style" w:hAnsi="Bookman Old Style"/>
              </w:rPr>
            </w:pPr>
            <w:r w:rsidRPr="000E0802">
              <w:rPr>
                <w:rFonts w:ascii="Bookman Old Style" w:hAnsi="Bookman Old Style"/>
              </w:rPr>
              <w:t>En ese sentido, no se considera pertinente mantener el contenido del artículo propuesto, en tanto podría interpretarse como una legitimación de prácticas nocivas como las uniones tempranas o matrimonios infantiles, las cuales han sido objeto de restricciones normativas precisamente por sus efectos vulneradores sobre los derechos de niñas y adolescentes.</w:t>
            </w:r>
          </w:p>
          <w:p w14:paraId="5A05B7DA" w14:textId="77777777" w:rsidR="002A0F72" w:rsidRPr="000E0802" w:rsidRDefault="002A0F72" w:rsidP="002A0F72">
            <w:pPr>
              <w:jc w:val="both"/>
              <w:rPr>
                <w:rFonts w:ascii="Bookman Old Style" w:hAnsi="Bookman Old Style"/>
              </w:rPr>
            </w:pPr>
          </w:p>
          <w:p w14:paraId="286B19E3" w14:textId="77777777" w:rsidR="002A0F72" w:rsidRPr="000E0802" w:rsidRDefault="002A0F72" w:rsidP="002A0F72">
            <w:pPr>
              <w:jc w:val="both"/>
              <w:rPr>
                <w:rFonts w:ascii="Bookman Old Style" w:hAnsi="Bookman Old Style"/>
              </w:rPr>
            </w:pPr>
            <w:r w:rsidRPr="000E0802">
              <w:rPr>
                <w:rFonts w:ascii="Bookman Old Style" w:hAnsi="Bookman Old Style"/>
              </w:rPr>
              <w:t xml:space="preserve">Además, el artículo 33 del Código Penal ya contempla la inimputabilidad por diversidad sociocultural, lo que permite abordar desde el derecho penal situaciones específicas en las que existan diferencias culturales significativas. No </w:t>
            </w:r>
            <w:r w:rsidRPr="000E0802">
              <w:rPr>
                <w:rFonts w:ascii="Bookman Old Style" w:hAnsi="Bookman Old Style"/>
              </w:rPr>
              <w:lastRenderedPageBreak/>
              <w:t>obstante, esto no puede entenderse como una autorización para desconocer la autonomía progresiva, la capacidad de decisión y los derechos sexuales y reproductivos de personas menores de 18 años, independientemente de su pertenencia étnica.</w:t>
            </w:r>
          </w:p>
          <w:p w14:paraId="38552241" w14:textId="76DB8821" w:rsidR="002F27C6" w:rsidRPr="000E0802" w:rsidRDefault="002F27C6" w:rsidP="00E53718">
            <w:pPr>
              <w:spacing w:line="276" w:lineRule="auto"/>
              <w:jc w:val="both"/>
              <w:rPr>
                <w:rFonts w:ascii="Bookman Old Style" w:hAnsi="Bookman Old Style"/>
              </w:rPr>
            </w:pPr>
          </w:p>
        </w:tc>
      </w:tr>
      <w:tr w:rsidR="002A0F72" w:rsidRPr="006A13F9" w14:paraId="1850666F" w14:textId="77777777" w:rsidTr="000E0802">
        <w:trPr>
          <w:jc w:val="center"/>
        </w:trPr>
        <w:tc>
          <w:tcPr>
            <w:tcW w:w="3179" w:type="dxa"/>
            <w:shd w:val="clear" w:color="auto" w:fill="auto"/>
          </w:tcPr>
          <w:p w14:paraId="1A86BBF0" w14:textId="77777777" w:rsidR="002A0F72" w:rsidRPr="00DE34AC" w:rsidRDefault="002A0F72" w:rsidP="002A0F72">
            <w:pPr>
              <w:widowControl w:val="0"/>
              <w:pBdr>
                <w:top w:val="nil"/>
                <w:left w:val="nil"/>
                <w:bottom w:val="nil"/>
                <w:right w:val="nil"/>
                <w:between w:val="nil"/>
              </w:pBdr>
              <w:spacing w:line="276" w:lineRule="auto"/>
              <w:jc w:val="both"/>
              <w:rPr>
                <w:rFonts w:ascii="Bookman Old Style" w:eastAsia="Bookman Old Style" w:hAnsi="Bookman Old Style" w:cs="Arial"/>
              </w:rPr>
            </w:pPr>
            <w:r w:rsidRPr="00DE34AC">
              <w:rPr>
                <w:rFonts w:ascii="Bookman Old Style" w:eastAsia="Bookman Old Style" w:hAnsi="Bookman Old Style" w:cs="Arial"/>
                <w:b/>
              </w:rPr>
              <w:lastRenderedPageBreak/>
              <w:t>Artículo 7°. Promoción, prevención y sensibilización.</w:t>
            </w:r>
            <w:r w:rsidRPr="00DE34AC">
              <w:rPr>
                <w:rFonts w:ascii="Bookman Old Style" w:eastAsia="Bookman Old Style" w:hAnsi="Bookman Old Style" w:cs="Arial"/>
              </w:rPr>
              <w:t xml:space="preserve"> Dentro del año siguiente a la promulgación de la presente Ley, el Gobierno nacional, a través del Instituto Colombiano de Bienestar Familiar, o quien haga sus veces, diseñará una campaña de promoción, prevención y sensibilización sobre la iniciación temprana de la actividad sexual.</w:t>
            </w:r>
          </w:p>
          <w:p w14:paraId="3DE49B63" w14:textId="77777777" w:rsidR="002A0F72" w:rsidRPr="00DE34AC" w:rsidRDefault="002A0F72" w:rsidP="002A0F72">
            <w:pPr>
              <w:widowControl w:val="0"/>
              <w:pBdr>
                <w:top w:val="nil"/>
                <w:left w:val="nil"/>
                <w:bottom w:val="nil"/>
                <w:right w:val="nil"/>
                <w:between w:val="nil"/>
              </w:pBdr>
              <w:spacing w:line="276" w:lineRule="auto"/>
              <w:jc w:val="both"/>
              <w:rPr>
                <w:rFonts w:ascii="Bookman Old Style" w:eastAsia="Bookman Old Style" w:hAnsi="Bookman Old Style" w:cs="Arial"/>
              </w:rPr>
            </w:pPr>
          </w:p>
          <w:p w14:paraId="758BC586" w14:textId="77777777" w:rsidR="002A0F72" w:rsidRDefault="002A0F72" w:rsidP="002A0F72">
            <w:pPr>
              <w:widowControl w:val="0"/>
              <w:pBdr>
                <w:top w:val="nil"/>
                <w:left w:val="nil"/>
                <w:bottom w:val="nil"/>
                <w:right w:val="nil"/>
                <w:between w:val="nil"/>
              </w:pBdr>
              <w:spacing w:line="276" w:lineRule="auto"/>
              <w:jc w:val="both"/>
              <w:rPr>
                <w:rFonts w:ascii="Bookman Old Style" w:eastAsia="Bookman Old Style" w:hAnsi="Bookman Old Style" w:cs="Arial"/>
              </w:rPr>
            </w:pPr>
          </w:p>
          <w:p w14:paraId="51490FAA" w14:textId="77777777" w:rsidR="002A0F72" w:rsidRDefault="002A0F72" w:rsidP="002A0F72">
            <w:pPr>
              <w:widowControl w:val="0"/>
              <w:pBdr>
                <w:top w:val="nil"/>
                <w:left w:val="nil"/>
                <w:bottom w:val="nil"/>
                <w:right w:val="nil"/>
                <w:between w:val="nil"/>
              </w:pBdr>
              <w:spacing w:line="276" w:lineRule="auto"/>
              <w:jc w:val="both"/>
              <w:rPr>
                <w:rFonts w:ascii="Bookman Old Style" w:eastAsia="Bookman Old Style" w:hAnsi="Bookman Old Style" w:cs="Arial"/>
              </w:rPr>
            </w:pPr>
          </w:p>
          <w:p w14:paraId="1C250982" w14:textId="77777777" w:rsidR="002A0F72" w:rsidRDefault="002A0F72" w:rsidP="002A0F72">
            <w:pPr>
              <w:widowControl w:val="0"/>
              <w:pBdr>
                <w:top w:val="nil"/>
                <w:left w:val="nil"/>
                <w:bottom w:val="nil"/>
                <w:right w:val="nil"/>
                <w:between w:val="nil"/>
              </w:pBdr>
              <w:spacing w:line="276" w:lineRule="auto"/>
              <w:jc w:val="both"/>
              <w:rPr>
                <w:rFonts w:ascii="Bookman Old Style" w:eastAsia="Bookman Old Style" w:hAnsi="Bookman Old Style" w:cs="Arial"/>
              </w:rPr>
            </w:pPr>
          </w:p>
          <w:p w14:paraId="63AD9A56" w14:textId="77777777" w:rsidR="002A0F72" w:rsidRDefault="002A0F72" w:rsidP="002A0F72">
            <w:pPr>
              <w:widowControl w:val="0"/>
              <w:pBdr>
                <w:top w:val="nil"/>
                <w:left w:val="nil"/>
                <w:bottom w:val="nil"/>
                <w:right w:val="nil"/>
                <w:between w:val="nil"/>
              </w:pBdr>
              <w:spacing w:line="276" w:lineRule="auto"/>
              <w:jc w:val="both"/>
              <w:rPr>
                <w:rFonts w:ascii="Bookman Old Style" w:eastAsia="Bookman Old Style" w:hAnsi="Bookman Old Style" w:cs="Arial"/>
              </w:rPr>
            </w:pPr>
          </w:p>
          <w:p w14:paraId="1E6E1124" w14:textId="77777777" w:rsidR="002A0F72" w:rsidRDefault="002A0F72" w:rsidP="002A0F72">
            <w:pPr>
              <w:widowControl w:val="0"/>
              <w:pBdr>
                <w:top w:val="nil"/>
                <w:left w:val="nil"/>
                <w:bottom w:val="nil"/>
                <w:right w:val="nil"/>
                <w:between w:val="nil"/>
              </w:pBdr>
              <w:spacing w:line="276" w:lineRule="auto"/>
              <w:jc w:val="both"/>
              <w:rPr>
                <w:rFonts w:ascii="Bookman Old Style" w:eastAsia="Bookman Old Style" w:hAnsi="Bookman Old Style" w:cs="Arial"/>
              </w:rPr>
            </w:pPr>
          </w:p>
          <w:p w14:paraId="792888A1" w14:textId="77777777" w:rsidR="002A0F72" w:rsidRDefault="002A0F72" w:rsidP="002A0F72">
            <w:pPr>
              <w:widowControl w:val="0"/>
              <w:pBdr>
                <w:top w:val="nil"/>
                <w:left w:val="nil"/>
                <w:bottom w:val="nil"/>
                <w:right w:val="nil"/>
                <w:between w:val="nil"/>
              </w:pBdr>
              <w:spacing w:line="276" w:lineRule="auto"/>
              <w:jc w:val="both"/>
              <w:rPr>
                <w:rFonts w:ascii="Bookman Old Style" w:eastAsia="Bookman Old Style" w:hAnsi="Bookman Old Style" w:cs="Arial"/>
              </w:rPr>
            </w:pPr>
          </w:p>
          <w:p w14:paraId="7FFABBE8" w14:textId="77777777" w:rsidR="002A0F72" w:rsidRDefault="002A0F72" w:rsidP="002A0F72">
            <w:pPr>
              <w:widowControl w:val="0"/>
              <w:pBdr>
                <w:top w:val="nil"/>
                <w:left w:val="nil"/>
                <w:bottom w:val="nil"/>
                <w:right w:val="nil"/>
                <w:between w:val="nil"/>
              </w:pBdr>
              <w:spacing w:line="276" w:lineRule="auto"/>
              <w:jc w:val="both"/>
              <w:rPr>
                <w:rFonts w:ascii="Bookman Old Style" w:eastAsia="Bookman Old Style" w:hAnsi="Bookman Old Style" w:cs="Arial"/>
              </w:rPr>
            </w:pPr>
          </w:p>
          <w:p w14:paraId="2DF39F96" w14:textId="77777777" w:rsidR="002A0F72" w:rsidRDefault="002A0F72" w:rsidP="002A0F72">
            <w:pPr>
              <w:widowControl w:val="0"/>
              <w:pBdr>
                <w:top w:val="nil"/>
                <w:left w:val="nil"/>
                <w:bottom w:val="nil"/>
                <w:right w:val="nil"/>
                <w:between w:val="nil"/>
              </w:pBdr>
              <w:spacing w:line="276" w:lineRule="auto"/>
              <w:jc w:val="both"/>
              <w:rPr>
                <w:rFonts w:ascii="Bookman Old Style" w:eastAsia="Bookman Old Style" w:hAnsi="Bookman Old Style" w:cs="Arial"/>
              </w:rPr>
            </w:pPr>
          </w:p>
          <w:p w14:paraId="47768506" w14:textId="77777777" w:rsidR="002A0F72" w:rsidRDefault="002A0F72" w:rsidP="002A0F72">
            <w:pPr>
              <w:widowControl w:val="0"/>
              <w:pBdr>
                <w:top w:val="nil"/>
                <w:left w:val="nil"/>
                <w:bottom w:val="nil"/>
                <w:right w:val="nil"/>
                <w:between w:val="nil"/>
              </w:pBdr>
              <w:spacing w:line="276" w:lineRule="auto"/>
              <w:jc w:val="both"/>
              <w:rPr>
                <w:rFonts w:ascii="Bookman Old Style" w:eastAsia="Bookman Old Style" w:hAnsi="Bookman Old Style" w:cs="Arial"/>
              </w:rPr>
            </w:pPr>
          </w:p>
          <w:p w14:paraId="521EEF3A" w14:textId="77777777" w:rsidR="002A0F72" w:rsidRDefault="002A0F72" w:rsidP="002A0F72">
            <w:pPr>
              <w:widowControl w:val="0"/>
              <w:pBdr>
                <w:top w:val="nil"/>
                <w:left w:val="nil"/>
                <w:bottom w:val="nil"/>
                <w:right w:val="nil"/>
                <w:between w:val="nil"/>
              </w:pBdr>
              <w:spacing w:line="276" w:lineRule="auto"/>
              <w:jc w:val="both"/>
              <w:rPr>
                <w:rFonts w:ascii="Bookman Old Style" w:eastAsia="Bookman Old Style" w:hAnsi="Bookman Old Style" w:cs="Arial"/>
              </w:rPr>
            </w:pPr>
          </w:p>
          <w:p w14:paraId="480770A0" w14:textId="77777777" w:rsidR="002A0F72" w:rsidRDefault="002A0F72" w:rsidP="002A0F72">
            <w:pPr>
              <w:widowControl w:val="0"/>
              <w:pBdr>
                <w:top w:val="nil"/>
                <w:left w:val="nil"/>
                <w:bottom w:val="nil"/>
                <w:right w:val="nil"/>
                <w:between w:val="nil"/>
              </w:pBdr>
              <w:spacing w:line="276" w:lineRule="auto"/>
              <w:jc w:val="both"/>
              <w:rPr>
                <w:rFonts w:ascii="Bookman Old Style" w:eastAsia="Bookman Old Style" w:hAnsi="Bookman Old Style" w:cs="Arial"/>
              </w:rPr>
            </w:pPr>
          </w:p>
          <w:p w14:paraId="09463999" w14:textId="77777777" w:rsidR="002A0F72" w:rsidRDefault="002A0F72" w:rsidP="002A0F72">
            <w:pPr>
              <w:widowControl w:val="0"/>
              <w:pBdr>
                <w:top w:val="nil"/>
                <w:left w:val="nil"/>
                <w:bottom w:val="nil"/>
                <w:right w:val="nil"/>
                <w:between w:val="nil"/>
              </w:pBdr>
              <w:spacing w:line="276" w:lineRule="auto"/>
              <w:jc w:val="both"/>
              <w:rPr>
                <w:rFonts w:ascii="Bookman Old Style" w:eastAsia="Bookman Old Style" w:hAnsi="Bookman Old Style" w:cs="Arial"/>
              </w:rPr>
            </w:pPr>
          </w:p>
          <w:p w14:paraId="67CDD2BD" w14:textId="77777777" w:rsidR="002A0F72" w:rsidRDefault="002A0F72" w:rsidP="002A0F72">
            <w:pPr>
              <w:widowControl w:val="0"/>
              <w:pBdr>
                <w:top w:val="nil"/>
                <w:left w:val="nil"/>
                <w:bottom w:val="nil"/>
                <w:right w:val="nil"/>
                <w:between w:val="nil"/>
              </w:pBdr>
              <w:spacing w:line="276" w:lineRule="auto"/>
              <w:jc w:val="both"/>
              <w:rPr>
                <w:rFonts w:ascii="Bookman Old Style" w:eastAsia="Bookman Old Style" w:hAnsi="Bookman Old Style" w:cs="Arial"/>
              </w:rPr>
            </w:pPr>
          </w:p>
          <w:p w14:paraId="3DFADC37" w14:textId="77777777" w:rsidR="002A0F72" w:rsidRDefault="002A0F72" w:rsidP="002A0F72">
            <w:pPr>
              <w:widowControl w:val="0"/>
              <w:pBdr>
                <w:top w:val="nil"/>
                <w:left w:val="nil"/>
                <w:bottom w:val="nil"/>
                <w:right w:val="nil"/>
                <w:between w:val="nil"/>
              </w:pBdr>
              <w:spacing w:line="276" w:lineRule="auto"/>
              <w:jc w:val="both"/>
              <w:rPr>
                <w:rFonts w:ascii="Bookman Old Style" w:eastAsia="Bookman Old Style" w:hAnsi="Bookman Old Style" w:cs="Arial"/>
              </w:rPr>
            </w:pPr>
          </w:p>
          <w:p w14:paraId="16CD5384" w14:textId="77777777" w:rsidR="002A0F72" w:rsidRDefault="002A0F72" w:rsidP="002A0F72">
            <w:pPr>
              <w:widowControl w:val="0"/>
              <w:pBdr>
                <w:top w:val="nil"/>
                <w:left w:val="nil"/>
                <w:bottom w:val="nil"/>
                <w:right w:val="nil"/>
                <w:between w:val="nil"/>
              </w:pBdr>
              <w:spacing w:line="276" w:lineRule="auto"/>
              <w:jc w:val="both"/>
              <w:rPr>
                <w:rFonts w:ascii="Bookman Old Style" w:eastAsia="Bookman Old Style" w:hAnsi="Bookman Old Style" w:cs="Arial"/>
              </w:rPr>
            </w:pPr>
          </w:p>
          <w:p w14:paraId="319AF3CA" w14:textId="77777777" w:rsidR="002A0F72" w:rsidRDefault="002A0F72" w:rsidP="002A0F72">
            <w:pPr>
              <w:widowControl w:val="0"/>
              <w:pBdr>
                <w:top w:val="nil"/>
                <w:left w:val="nil"/>
                <w:bottom w:val="nil"/>
                <w:right w:val="nil"/>
                <w:between w:val="nil"/>
              </w:pBdr>
              <w:spacing w:line="276" w:lineRule="auto"/>
              <w:jc w:val="both"/>
              <w:rPr>
                <w:rFonts w:ascii="Bookman Old Style" w:eastAsia="Bookman Old Style" w:hAnsi="Bookman Old Style" w:cs="Arial"/>
              </w:rPr>
            </w:pPr>
          </w:p>
          <w:p w14:paraId="05E7E4B1" w14:textId="77777777" w:rsidR="002A0F72" w:rsidRDefault="002A0F72" w:rsidP="002A0F72">
            <w:pPr>
              <w:widowControl w:val="0"/>
              <w:pBdr>
                <w:top w:val="nil"/>
                <w:left w:val="nil"/>
                <w:bottom w:val="nil"/>
                <w:right w:val="nil"/>
                <w:between w:val="nil"/>
              </w:pBdr>
              <w:spacing w:line="276" w:lineRule="auto"/>
              <w:jc w:val="both"/>
              <w:rPr>
                <w:rFonts w:ascii="Bookman Old Style" w:eastAsia="Bookman Old Style" w:hAnsi="Bookman Old Style" w:cs="Arial"/>
              </w:rPr>
            </w:pPr>
          </w:p>
          <w:p w14:paraId="3EC78BA3" w14:textId="77777777" w:rsidR="002A0F72" w:rsidRDefault="002A0F72" w:rsidP="002A0F72">
            <w:pPr>
              <w:widowControl w:val="0"/>
              <w:pBdr>
                <w:top w:val="nil"/>
                <w:left w:val="nil"/>
                <w:bottom w:val="nil"/>
                <w:right w:val="nil"/>
                <w:between w:val="nil"/>
              </w:pBdr>
              <w:spacing w:line="276" w:lineRule="auto"/>
              <w:jc w:val="both"/>
              <w:rPr>
                <w:rFonts w:ascii="Bookman Old Style" w:eastAsia="Bookman Old Style" w:hAnsi="Bookman Old Style" w:cs="Arial"/>
              </w:rPr>
            </w:pPr>
          </w:p>
          <w:p w14:paraId="4F18F3A8" w14:textId="77777777" w:rsidR="002A0F72" w:rsidRDefault="002A0F72" w:rsidP="002A0F72">
            <w:pPr>
              <w:widowControl w:val="0"/>
              <w:pBdr>
                <w:top w:val="nil"/>
                <w:left w:val="nil"/>
                <w:bottom w:val="nil"/>
                <w:right w:val="nil"/>
                <w:between w:val="nil"/>
              </w:pBdr>
              <w:spacing w:line="276" w:lineRule="auto"/>
              <w:jc w:val="both"/>
              <w:rPr>
                <w:rFonts w:ascii="Bookman Old Style" w:eastAsia="Bookman Old Style" w:hAnsi="Bookman Old Style" w:cs="Arial"/>
              </w:rPr>
            </w:pPr>
          </w:p>
          <w:p w14:paraId="71C8DFB2" w14:textId="77777777" w:rsidR="002A0F72" w:rsidRDefault="002A0F72" w:rsidP="002A0F72">
            <w:pPr>
              <w:widowControl w:val="0"/>
              <w:pBdr>
                <w:top w:val="nil"/>
                <w:left w:val="nil"/>
                <w:bottom w:val="nil"/>
                <w:right w:val="nil"/>
                <w:between w:val="nil"/>
              </w:pBdr>
              <w:spacing w:line="276" w:lineRule="auto"/>
              <w:jc w:val="both"/>
              <w:rPr>
                <w:rFonts w:ascii="Bookman Old Style" w:eastAsia="Bookman Old Style" w:hAnsi="Bookman Old Style" w:cs="Arial"/>
              </w:rPr>
            </w:pPr>
          </w:p>
          <w:p w14:paraId="5EE73B80" w14:textId="77777777" w:rsidR="002A0F72" w:rsidRDefault="002A0F72" w:rsidP="002A0F72">
            <w:pPr>
              <w:widowControl w:val="0"/>
              <w:pBdr>
                <w:top w:val="nil"/>
                <w:left w:val="nil"/>
                <w:bottom w:val="nil"/>
                <w:right w:val="nil"/>
                <w:between w:val="nil"/>
              </w:pBdr>
              <w:spacing w:line="276" w:lineRule="auto"/>
              <w:jc w:val="both"/>
              <w:rPr>
                <w:rFonts w:ascii="Bookman Old Style" w:eastAsia="Bookman Old Style" w:hAnsi="Bookman Old Style" w:cs="Arial"/>
              </w:rPr>
            </w:pPr>
          </w:p>
          <w:p w14:paraId="773CA870" w14:textId="77777777" w:rsidR="002A0F72" w:rsidRDefault="002A0F72" w:rsidP="002A0F72">
            <w:pPr>
              <w:widowControl w:val="0"/>
              <w:pBdr>
                <w:top w:val="nil"/>
                <w:left w:val="nil"/>
                <w:bottom w:val="nil"/>
                <w:right w:val="nil"/>
                <w:between w:val="nil"/>
              </w:pBdr>
              <w:spacing w:line="276" w:lineRule="auto"/>
              <w:jc w:val="both"/>
              <w:rPr>
                <w:rFonts w:ascii="Bookman Old Style" w:eastAsia="Bookman Old Style" w:hAnsi="Bookman Old Style" w:cs="Arial"/>
              </w:rPr>
            </w:pPr>
          </w:p>
          <w:p w14:paraId="1C700DFF" w14:textId="77777777" w:rsidR="002A0F72" w:rsidRDefault="002A0F72" w:rsidP="002A0F72">
            <w:pPr>
              <w:widowControl w:val="0"/>
              <w:pBdr>
                <w:top w:val="nil"/>
                <w:left w:val="nil"/>
                <w:bottom w:val="nil"/>
                <w:right w:val="nil"/>
                <w:between w:val="nil"/>
              </w:pBdr>
              <w:spacing w:line="276" w:lineRule="auto"/>
              <w:jc w:val="both"/>
              <w:rPr>
                <w:rFonts w:ascii="Bookman Old Style" w:eastAsia="Bookman Old Style" w:hAnsi="Bookman Old Style" w:cs="Arial"/>
              </w:rPr>
            </w:pPr>
          </w:p>
          <w:p w14:paraId="508B2B68" w14:textId="77777777" w:rsidR="002A0F72" w:rsidRDefault="002A0F72" w:rsidP="002A0F72">
            <w:pPr>
              <w:widowControl w:val="0"/>
              <w:pBdr>
                <w:top w:val="nil"/>
                <w:left w:val="nil"/>
                <w:bottom w:val="nil"/>
                <w:right w:val="nil"/>
                <w:between w:val="nil"/>
              </w:pBdr>
              <w:spacing w:line="276" w:lineRule="auto"/>
              <w:jc w:val="both"/>
              <w:rPr>
                <w:rFonts w:ascii="Bookman Old Style" w:eastAsia="Bookman Old Style" w:hAnsi="Bookman Old Style" w:cs="Arial"/>
              </w:rPr>
            </w:pPr>
          </w:p>
          <w:p w14:paraId="44C381A3" w14:textId="77777777" w:rsidR="006B48D4" w:rsidRDefault="006B48D4" w:rsidP="002A0F72">
            <w:pPr>
              <w:widowControl w:val="0"/>
              <w:pBdr>
                <w:top w:val="nil"/>
                <w:left w:val="nil"/>
                <w:bottom w:val="nil"/>
                <w:right w:val="nil"/>
                <w:between w:val="nil"/>
              </w:pBdr>
              <w:spacing w:line="276" w:lineRule="auto"/>
              <w:jc w:val="both"/>
              <w:rPr>
                <w:rFonts w:ascii="Bookman Old Style" w:eastAsia="Bookman Old Style" w:hAnsi="Bookman Old Style" w:cs="Arial"/>
              </w:rPr>
            </w:pPr>
          </w:p>
          <w:p w14:paraId="12822307" w14:textId="77777777" w:rsidR="006B48D4" w:rsidRDefault="006B48D4" w:rsidP="002A0F72">
            <w:pPr>
              <w:widowControl w:val="0"/>
              <w:pBdr>
                <w:top w:val="nil"/>
                <w:left w:val="nil"/>
                <w:bottom w:val="nil"/>
                <w:right w:val="nil"/>
                <w:between w:val="nil"/>
              </w:pBdr>
              <w:spacing w:line="276" w:lineRule="auto"/>
              <w:jc w:val="both"/>
              <w:rPr>
                <w:rFonts w:ascii="Bookman Old Style" w:eastAsia="Bookman Old Style" w:hAnsi="Bookman Old Style" w:cs="Arial"/>
              </w:rPr>
            </w:pPr>
          </w:p>
          <w:p w14:paraId="35A1892F" w14:textId="77777777" w:rsidR="006B48D4" w:rsidRDefault="006B48D4" w:rsidP="002A0F72">
            <w:pPr>
              <w:widowControl w:val="0"/>
              <w:pBdr>
                <w:top w:val="nil"/>
                <w:left w:val="nil"/>
                <w:bottom w:val="nil"/>
                <w:right w:val="nil"/>
                <w:between w:val="nil"/>
              </w:pBdr>
              <w:spacing w:line="276" w:lineRule="auto"/>
              <w:jc w:val="both"/>
              <w:rPr>
                <w:rFonts w:ascii="Bookman Old Style" w:eastAsia="Bookman Old Style" w:hAnsi="Bookman Old Style" w:cs="Arial"/>
              </w:rPr>
            </w:pPr>
          </w:p>
          <w:p w14:paraId="7849FE0D" w14:textId="77777777" w:rsidR="006B48D4" w:rsidRDefault="006B48D4" w:rsidP="002A0F72">
            <w:pPr>
              <w:widowControl w:val="0"/>
              <w:pBdr>
                <w:top w:val="nil"/>
                <w:left w:val="nil"/>
                <w:bottom w:val="nil"/>
                <w:right w:val="nil"/>
                <w:between w:val="nil"/>
              </w:pBdr>
              <w:spacing w:line="276" w:lineRule="auto"/>
              <w:jc w:val="both"/>
              <w:rPr>
                <w:rFonts w:ascii="Bookman Old Style" w:eastAsia="Bookman Old Style" w:hAnsi="Bookman Old Style" w:cs="Arial"/>
              </w:rPr>
            </w:pPr>
          </w:p>
          <w:p w14:paraId="39B32A18" w14:textId="77777777" w:rsidR="006B48D4" w:rsidRDefault="006B48D4" w:rsidP="002A0F72">
            <w:pPr>
              <w:widowControl w:val="0"/>
              <w:pBdr>
                <w:top w:val="nil"/>
                <w:left w:val="nil"/>
                <w:bottom w:val="nil"/>
                <w:right w:val="nil"/>
                <w:between w:val="nil"/>
              </w:pBdr>
              <w:spacing w:line="276" w:lineRule="auto"/>
              <w:jc w:val="both"/>
              <w:rPr>
                <w:rFonts w:ascii="Bookman Old Style" w:eastAsia="Bookman Old Style" w:hAnsi="Bookman Old Style" w:cs="Arial"/>
              </w:rPr>
            </w:pPr>
          </w:p>
          <w:p w14:paraId="47E9E3D3" w14:textId="77777777" w:rsidR="006B48D4" w:rsidRDefault="006B48D4" w:rsidP="002A0F72">
            <w:pPr>
              <w:widowControl w:val="0"/>
              <w:pBdr>
                <w:top w:val="nil"/>
                <w:left w:val="nil"/>
                <w:bottom w:val="nil"/>
                <w:right w:val="nil"/>
                <w:between w:val="nil"/>
              </w:pBdr>
              <w:spacing w:line="276" w:lineRule="auto"/>
              <w:jc w:val="both"/>
              <w:rPr>
                <w:rFonts w:ascii="Bookman Old Style" w:eastAsia="Bookman Old Style" w:hAnsi="Bookman Old Style" w:cs="Arial"/>
              </w:rPr>
            </w:pPr>
          </w:p>
          <w:p w14:paraId="0629FD76" w14:textId="2962A1E7" w:rsidR="002A0F72" w:rsidRPr="00DE34AC" w:rsidRDefault="002A0F72" w:rsidP="002A0F72">
            <w:pPr>
              <w:widowControl w:val="0"/>
              <w:pBdr>
                <w:top w:val="nil"/>
                <w:left w:val="nil"/>
                <w:bottom w:val="nil"/>
                <w:right w:val="nil"/>
                <w:between w:val="nil"/>
              </w:pBdr>
              <w:spacing w:line="276" w:lineRule="auto"/>
              <w:jc w:val="both"/>
              <w:rPr>
                <w:rFonts w:ascii="Bookman Old Style" w:eastAsia="Bookman Old Style" w:hAnsi="Bookman Old Style" w:cs="Arial"/>
              </w:rPr>
            </w:pPr>
            <w:r w:rsidRPr="00DE34AC">
              <w:rPr>
                <w:rFonts w:ascii="Bookman Old Style" w:eastAsia="Bookman Old Style" w:hAnsi="Bookman Old Style" w:cs="Arial"/>
              </w:rPr>
              <w:t xml:space="preserve">Parágrafo. La estrategia de la que habla el presente artículo se podrá articular con las que para fines similares posea o esté creando el Instituto Colombiano de Bienestar Familiar.  </w:t>
            </w:r>
          </w:p>
          <w:p w14:paraId="6CAA3356" w14:textId="77777777" w:rsidR="002A0F72" w:rsidRPr="00DE34AC" w:rsidRDefault="002A0F72" w:rsidP="002A0F72">
            <w:pPr>
              <w:spacing w:line="276" w:lineRule="auto"/>
              <w:rPr>
                <w:rFonts w:ascii="Bookman Old Style" w:hAnsi="Bookman Old Style"/>
              </w:rPr>
            </w:pPr>
          </w:p>
        </w:tc>
        <w:tc>
          <w:tcPr>
            <w:tcW w:w="3052" w:type="dxa"/>
            <w:shd w:val="clear" w:color="auto" w:fill="auto"/>
          </w:tcPr>
          <w:p w14:paraId="7590293E" w14:textId="3B6AD11D" w:rsidR="002A0F72" w:rsidRPr="002A0F72" w:rsidRDefault="002A0F72" w:rsidP="002A0F72">
            <w:pPr>
              <w:widowControl w:val="0"/>
              <w:pBdr>
                <w:top w:val="nil"/>
                <w:left w:val="nil"/>
                <w:bottom w:val="nil"/>
                <w:right w:val="nil"/>
                <w:between w:val="nil"/>
              </w:pBdr>
              <w:spacing w:line="276" w:lineRule="auto"/>
              <w:jc w:val="both"/>
              <w:rPr>
                <w:rFonts w:ascii="Bookman Old Style" w:eastAsia="Bookman Old Style" w:hAnsi="Bookman Old Style" w:cs="Arial"/>
                <w:b/>
                <w:bCs/>
                <w:u w:val="single"/>
              </w:rPr>
            </w:pPr>
            <w:r w:rsidRPr="00DE34AC">
              <w:rPr>
                <w:rFonts w:ascii="Bookman Old Style" w:eastAsia="Bookman Old Style" w:hAnsi="Bookman Old Style" w:cs="Arial"/>
                <w:b/>
              </w:rPr>
              <w:lastRenderedPageBreak/>
              <w:t xml:space="preserve">Artículo </w:t>
            </w:r>
            <w:r w:rsidRPr="002A0F72">
              <w:rPr>
                <w:rFonts w:ascii="Bookman Old Style" w:eastAsia="Bookman Old Style" w:hAnsi="Bookman Old Style" w:cs="Arial"/>
                <w:b/>
                <w:strike/>
              </w:rPr>
              <w:t>7°</w:t>
            </w:r>
            <w:r w:rsidRPr="00DE34AC">
              <w:rPr>
                <w:rFonts w:ascii="Bookman Old Style" w:eastAsia="Bookman Old Style" w:hAnsi="Bookman Old Style" w:cs="Arial"/>
                <w:b/>
              </w:rPr>
              <w:t>.</w:t>
            </w:r>
            <w:r>
              <w:rPr>
                <w:rFonts w:ascii="Bookman Old Style" w:eastAsia="Bookman Old Style" w:hAnsi="Bookman Old Style" w:cs="Arial"/>
                <w:b/>
              </w:rPr>
              <w:t xml:space="preserve"> </w:t>
            </w:r>
            <w:r w:rsidRPr="002A0F72">
              <w:rPr>
                <w:rFonts w:ascii="Bookman Old Style" w:eastAsia="Bookman Old Style" w:hAnsi="Bookman Old Style" w:cs="Arial"/>
                <w:b/>
                <w:u w:val="single"/>
              </w:rPr>
              <w:t>5.</w:t>
            </w:r>
            <w:r w:rsidRPr="00DE34AC">
              <w:rPr>
                <w:rFonts w:ascii="Bookman Old Style" w:eastAsia="Bookman Old Style" w:hAnsi="Bookman Old Style" w:cs="Arial"/>
                <w:b/>
              </w:rPr>
              <w:t xml:space="preserve"> Promoción, prevención y sensibilización.</w:t>
            </w:r>
            <w:r w:rsidRPr="00DE34AC">
              <w:rPr>
                <w:rFonts w:ascii="Bookman Old Style" w:eastAsia="Bookman Old Style" w:hAnsi="Bookman Old Style" w:cs="Arial"/>
              </w:rPr>
              <w:t xml:space="preserve"> Dentro del año siguiente a la promulgación de la presente Ley, el Gobierno nacional, a través del Instituto Colombiano de Bienestar Familiar, o quien haga sus veces, diseñará una </w:t>
            </w:r>
            <w:r w:rsidRPr="002A0F72">
              <w:rPr>
                <w:rFonts w:ascii="Bookman Old Style" w:eastAsia="Bookman Old Style" w:hAnsi="Bookman Old Style" w:cs="Arial"/>
                <w:strike/>
              </w:rPr>
              <w:t>campaña</w:t>
            </w:r>
            <w:r w:rsidRPr="00DE34AC">
              <w:rPr>
                <w:rFonts w:ascii="Bookman Old Style" w:eastAsia="Bookman Old Style" w:hAnsi="Bookman Old Style" w:cs="Arial"/>
              </w:rPr>
              <w:t xml:space="preserve"> </w:t>
            </w:r>
            <w:r w:rsidRPr="002A0F72">
              <w:rPr>
                <w:rFonts w:ascii="Bookman Old Style" w:eastAsia="Bookman Old Style" w:hAnsi="Bookman Old Style" w:cs="Arial"/>
                <w:b/>
                <w:bCs/>
                <w:u w:val="single"/>
              </w:rPr>
              <w:t>estrategia</w:t>
            </w:r>
            <w:r>
              <w:rPr>
                <w:rFonts w:ascii="Bookman Old Style" w:eastAsia="Bookman Old Style" w:hAnsi="Bookman Old Style" w:cs="Arial"/>
              </w:rPr>
              <w:t xml:space="preserve"> </w:t>
            </w:r>
            <w:r w:rsidRPr="00DE34AC">
              <w:rPr>
                <w:rFonts w:ascii="Bookman Old Style" w:eastAsia="Bookman Old Style" w:hAnsi="Bookman Old Style" w:cs="Arial"/>
              </w:rPr>
              <w:t xml:space="preserve">de promoción, prevención y sensibilización </w:t>
            </w:r>
            <w:r w:rsidRPr="002A0F72">
              <w:rPr>
                <w:rFonts w:ascii="Bookman Old Style" w:eastAsia="Bookman Old Style" w:hAnsi="Bookman Old Style" w:cs="Arial"/>
                <w:strike/>
              </w:rPr>
              <w:t>sobre la iniciación temprana de la actividad sexual</w:t>
            </w:r>
            <w:r>
              <w:rPr>
                <w:rFonts w:ascii="Bookman Old Style" w:eastAsia="Bookman Old Style" w:hAnsi="Bookman Old Style" w:cs="Arial"/>
              </w:rPr>
              <w:t xml:space="preserve">, </w:t>
            </w:r>
            <w:r w:rsidRPr="002A0F72">
              <w:rPr>
                <w:rFonts w:ascii="Bookman Old Style" w:hAnsi="Bookman Old Style"/>
                <w:b/>
                <w:bCs/>
                <w:u w:val="single"/>
              </w:rPr>
              <w:t xml:space="preserve">sobre los derechos sexuales y derechos reproductivos, haciendo énfasis en la </w:t>
            </w:r>
            <w:r w:rsidRPr="002A0F72">
              <w:rPr>
                <w:rFonts w:ascii="Bookman Old Style" w:hAnsi="Bookman Old Style"/>
                <w:b/>
                <w:bCs/>
                <w:u w:val="single"/>
              </w:rPr>
              <w:lastRenderedPageBreak/>
              <w:t>educación integral de la sexualidad”,</w:t>
            </w:r>
            <w:r w:rsidRPr="007F4238">
              <w:rPr>
                <w:rFonts w:ascii="Arial Nova Light" w:hAnsi="Arial Nova Light"/>
                <w:sz w:val="22"/>
                <w:szCs w:val="22"/>
              </w:rPr>
              <w:t xml:space="preserve"> </w:t>
            </w:r>
            <w:r>
              <w:rPr>
                <w:rFonts w:ascii="Bookman Old Style" w:eastAsia="Bookman Old Style" w:hAnsi="Bookman Old Style" w:cs="Arial"/>
              </w:rPr>
              <w:t xml:space="preserve"> </w:t>
            </w:r>
            <w:r w:rsidRPr="002A0F72">
              <w:rPr>
                <w:rFonts w:ascii="Bookman Old Style" w:eastAsia="Bookman Old Style" w:hAnsi="Bookman Old Style" w:cs="Arial"/>
                <w:b/>
                <w:bCs/>
                <w:u w:val="single"/>
              </w:rPr>
              <w:t>que incorpore los lineamientos de la Política Nacional de Sexualidad, Derechos Sexuales y Derechos Reproductivos, el Plan Decenal de Salud Pública, así como las normas y guías del Ministerio de Salud sobre salud sexual y reproductiva.</w:t>
            </w:r>
          </w:p>
          <w:p w14:paraId="06EBC232" w14:textId="1D85A0ED" w:rsidR="002A0F72" w:rsidRPr="002A0F72" w:rsidRDefault="002A0F72" w:rsidP="002A0F72">
            <w:pPr>
              <w:widowControl w:val="0"/>
              <w:pBdr>
                <w:top w:val="nil"/>
                <w:left w:val="nil"/>
                <w:bottom w:val="nil"/>
                <w:right w:val="nil"/>
                <w:between w:val="nil"/>
              </w:pBdr>
              <w:spacing w:line="276" w:lineRule="auto"/>
              <w:jc w:val="both"/>
              <w:rPr>
                <w:rFonts w:ascii="Bookman Old Style" w:eastAsia="Bookman Old Style" w:hAnsi="Bookman Old Style" w:cs="Arial"/>
                <w:b/>
                <w:bCs/>
                <w:u w:val="single"/>
              </w:rPr>
            </w:pPr>
          </w:p>
          <w:p w14:paraId="2A7B76BF" w14:textId="3F4A5854" w:rsidR="002A0F72" w:rsidRPr="002A0F72" w:rsidRDefault="002A0F72" w:rsidP="002A0F72">
            <w:pPr>
              <w:widowControl w:val="0"/>
              <w:pBdr>
                <w:top w:val="nil"/>
                <w:left w:val="nil"/>
                <w:bottom w:val="nil"/>
                <w:right w:val="nil"/>
                <w:between w:val="nil"/>
              </w:pBdr>
              <w:spacing w:line="276" w:lineRule="auto"/>
              <w:jc w:val="both"/>
              <w:rPr>
                <w:rFonts w:ascii="Bookman Old Style" w:eastAsia="Bookman Old Style" w:hAnsi="Bookman Old Style" w:cs="Arial"/>
                <w:b/>
                <w:bCs/>
                <w:u w:val="single"/>
              </w:rPr>
            </w:pPr>
            <w:r w:rsidRPr="002A0F72">
              <w:rPr>
                <w:rFonts w:ascii="Bookman Old Style" w:eastAsia="Bookman Old Style" w:hAnsi="Bookman Old Style" w:cs="Arial"/>
                <w:b/>
                <w:bCs/>
                <w:u w:val="single"/>
              </w:rPr>
              <w:t>De la misma manera, y de conformidad con la OMS, contemplará la educación integral en sexualidad, con contenidos adecuados según el desarrollo evolutivo y cultural de las y los adolescentes.</w:t>
            </w:r>
          </w:p>
          <w:p w14:paraId="368B2CBB" w14:textId="77777777" w:rsidR="002A0F72" w:rsidRPr="00DE34AC" w:rsidRDefault="002A0F72" w:rsidP="002A0F72">
            <w:pPr>
              <w:widowControl w:val="0"/>
              <w:pBdr>
                <w:top w:val="nil"/>
                <w:left w:val="nil"/>
                <w:bottom w:val="nil"/>
                <w:right w:val="nil"/>
                <w:between w:val="nil"/>
              </w:pBdr>
              <w:spacing w:line="276" w:lineRule="auto"/>
              <w:jc w:val="both"/>
              <w:rPr>
                <w:rFonts w:ascii="Bookman Old Style" w:eastAsia="Bookman Old Style" w:hAnsi="Bookman Old Style" w:cs="Arial"/>
              </w:rPr>
            </w:pPr>
          </w:p>
          <w:p w14:paraId="143FC97E" w14:textId="13DD1DE1" w:rsidR="002A0F72" w:rsidRDefault="002A0F72" w:rsidP="002A0F72">
            <w:pPr>
              <w:widowControl w:val="0"/>
              <w:pBdr>
                <w:top w:val="nil"/>
                <w:left w:val="nil"/>
                <w:bottom w:val="nil"/>
                <w:right w:val="nil"/>
                <w:between w:val="nil"/>
              </w:pBdr>
              <w:spacing w:line="276" w:lineRule="auto"/>
              <w:jc w:val="both"/>
              <w:rPr>
                <w:rFonts w:ascii="Bookman Old Style" w:eastAsia="Bookman Old Style" w:hAnsi="Bookman Old Style" w:cs="Arial"/>
              </w:rPr>
            </w:pPr>
            <w:r w:rsidRPr="00DE34AC">
              <w:rPr>
                <w:rFonts w:ascii="Bookman Old Style" w:eastAsia="Bookman Old Style" w:hAnsi="Bookman Old Style" w:cs="Arial"/>
              </w:rPr>
              <w:t>Parágrafo</w:t>
            </w:r>
            <w:r>
              <w:rPr>
                <w:rFonts w:ascii="Bookman Old Style" w:eastAsia="Bookman Old Style" w:hAnsi="Bookman Old Style" w:cs="Arial"/>
              </w:rPr>
              <w:t xml:space="preserve"> </w:t>
            </w:r>
            <w:r w:rsidRPr="002A0F72">
              <w:rPr>
                <w:rFonts w:ascii="Bookman Old Style" w:eastAsia="Bookman Old Style" w:hAnsi="Bookman Old Style" w:cs="Arial"/>
                <w:b/>
                <w:bCs/>
                <w:u w:val="single"/>
              </w:rPr>
              <w:t>1.</w:t>
            </w:r>
            <w:r w:rsidRPr="00DE34AC">
              <w:rPr>
                <w:rFonts w:ascii="Bookman Old Style" w:eastAsia="Bookman Old Style" w:hAnsi="Bookman Old Style" w:cs="Arial"/>
              </w:rPr>
              <w:t xml:space="preserve"> La estrategia de la que habla el presente artículo se podrá articular con las que para fines similares posea o esté creando el Instituto Colombiano de Bienestar Familiar.  </w:t>
            </w:r>
          </w:p>
          <w:p w14:paraId="24CFFBEF" w14:textId="5A00C655" w:rsidR="002A0F72" w:rsidRDefault="002A0F72" w:rsidP="002A0F72">
            <w:pPr>
              <w:widowControl w:val="0"/>
              <w:pBdr>
                <w:top w:val="nil"/>
                <w:left w:val="nil"/>
                <w:bottom w:val="nil"/>
                <w:right w:val="nil"/>
                <w:between w:val="nil"/>
              </w:pBdr>
              <w:spacing w:line="276" w:lineRule="auto"/>
              <w:jc w:val="both"/>
              <w:rPr>
                <w:rFonts w:ascii="Bookman Old Style" w:eastAsia="Bookman Old Style" w:hAnsi="Bookman Old Style" w:cs="Arial"/>
              </w:rPr>
            </w:pPr>
          </w:p>
          <w:p w14:paraId="3E3D2E28" w14:textId="16B26A44" w:rsidR="002A0F72" w:rsidRPr="002A0F72" w:rsidRDefault="002A0F72" w:rsidP="002A0F72">
            <w:pPr>
              <w:spacing w:after="200" w:line="276" w:lineRule="auto"/>
              <w:jc w:val="both"/>
              <w:rPr>
                <w:rFonts w:ascii="Bookman Old Style" w:hAnsi="Bookman Old Style"/>
                <w:b/>
                <w:bCs/>
                <w:u w:val="single"/>
              </w:rPr>
            </w:pPr>
            <w:r w:rsidRPr="002A0F72">
              <w:rPr>
                <w:rFonts w:ascii="Bookman Old Style" w:eastAsia="Bookman Old Style" w:hAnsi="Bookman Old Style" w:cs="Arial"/>
                <w:b/>
                <w:bCs/>
                <w:u w:val="single"/>
              </w:rPr>
              <w:t xml:space="preserve">Parágrafo 2. Para la implementación de la </w:t>
            </w:r>
            <w:r w:rsidRPr="002A0F72">
              <w:rPr>
                <w:rFonts w:ascii="Bookman Old Style" w:eastAsia="Bookman Old Style" w:hAnsi="Bookman Old Style" w:cs="Arial"/>
                <w:b/>
                <w:bCs/>
                <w:u w:val="single"/>
              </w:rPr>
              <w:lastRenderedPageBreak/>
              <w:t>estrategia se deberá c</w:t>
            </w:r>
            <w:r w:rsidRPr="002A0F72">
              <w:rPr>
                <w:rFonts w:ascii="Bookman Old Style" w:hAnsi="Bookman Old Style"/>
                <w:b/>
                <w:bCs/>
                <w:u w:val="single"/>
              </w:rPr>
              <w:t>ontar con enfoques de género, étnico, territorial y diferencial, incluir procesos participativos con adolescentes, familias, comunidades y autoridades étnicas, articularse con el sistema educativo, los servicios de salud, las organizaciones sociales y culturales, incorporar acciones en lenguas y formatos accesibles, adaptados tanto a contextos urbanos como rurales, y finalmente, incluir contenidos en el Sistema Nacional de Convivencia Escolar y en las Escuelas para Padres y Madres.</w:t>
            </w:r>
          </w:p>
          <w:p w14:paraId="6AC581CB" w14:textId="4C2097A9" w:rsidR="002A0F72" w:rsidRPr="002A0F72" w:rsidRDefault="002A0F72" w:rsidP="002A0F72">
            <w:pPr>
              <w:widowControl w:val="0"/>
              <w:pBdr>
                <w:top w:val="nil"/>
                <w:left w:val="nil"/>
                <w:bottom w:val="nil"/>
                <w:right w:val="nil"/>
                <w:between w:val="nil"/>
              </w:pBdr>
              <w:spacing w:line="276" w:lineRule="auto"/>
              <w:jc w:val="both"/>
              <w:rPr>
                <w:rFonts w:ascii="Bookman Old Style" w:eastAsia="Bookman Old Style" w:hAnsi="Bookman Old Style" w:cs="Arial"/>
                <w:b/>
                <w:bCs/>
                <w:u w:val="single"/>
              </w:rPr>
            </w:pPr>
            <w:r>
              <w:rPr>
                <w:rFonts w:ascii="Bookman Old Style" w:eastAsia="Bookman Old Style" w:hAnsi="Bookman Old Style" w:cs="Arial"/>
                <w:b/>
                <w:bCs/>
                <w:u w:val="single"/>
              </w:rPr>
              <w:t xml:space="preserve"> </w:t>
            </w:r>
          </w:p>
          <w:p w14:paraId="68536D83" w14:textId="758D7B1A" w:rsidR="002A0F72" w:rsidRPr="00DE34AC" w:rsidRDefault="002A0F72" w:rsidP="002A0F72">
            <w:pPr>
              <w:spacing w:line="276" w:lineRule="auto"/>
              <w:jc w:val="both"/>
              <w:rPr>
                <w:rFonts w:ascii="Bookman Old Style" w:eastAsia="Arial" w:hAnsi="Bookman Old Style"/>
              </w:rPr>
            </w:pPr>
          </w:p>
        </w:tc>
        <w:tc>
          <w:tcPr>
            <w:tcW w:w="2597" w:type="dxa"/>
            <w:shd w:val="clear" w:color="auto" w:fill="auto"/>
          </w:tcPr>
          <w:p w14:paraId="2136C533" w14:textId="77777777" w:rsidR="002A0F72" w:rsidRPr="006B48D4" w:rsidRDefault="002A0F72" w:rsidP="006B48D4">
            <w:pPr>
              <w:spacing w:line="276" w:lineRule="auto"/>
              <w:jc w:val="both"/>
              <w:rPr>
                <w:rFonts w:ascii="Bookman Old Style" w:hAnsi="Bookman Old Style"/>
              </w:rPr>
            </w:pPr>
            <w:r w:rsidRPr="006B48D4">
              <w:rPr>
                <w:rFonts w:ascii="Bookman Old Style" w:hAnsi="Bookman Old Style"/>
              </w:rPr>
              <w:lastRenderedPageBreak/>
              <w:t>Se corrige numeración.</w:t>
            </w:r>
          </w:p>
          <w:p w14:paraId="7828B80B" w14:textId="77777777" w:rsidR="002A0F72" w:rsidRPr="006B48D4" w:rsidRDefault="002A0F72" w:rsidP="006B48D4">
            <w:pPr>
              <w:spacing w:line="276" w:lineRule="auto"/>
              <w:jc w:val="both"/>
              <w:rPr>
                <w:rFonts w:ascii="Bookman Old Style" w:hAnsi="Bookman Old Style"/>
              </w:rPr>
            </w:pPr>
          </w:p>
          <w:p w14:paraId="0814F682" w14:textId="77777777" w:rsidR="002A0F72" w:rsidRPr="006B48D4" w:rsidRDefault="002A0F72" w:rsidP="006B48D4">
            <w:pPr>
              <w:jc w:val="both"/>
              <w:rPr>
                <w:rFonts w:ascii="Bookman Old Style" w:hAnsi="Bookman Old Style"/>
              </w:rPr>
            </w:pPr>
            <w:r w:rsidRPr="006B48D4">
              <w:rPr>
                <w:rFonts w:ascii="Bookman Old Style" w:hAnsi="Bookman Old Style"/>
              </w:rPr>
              <w:t xml:space="preserve">Se ajusta el artículo para ampliar su alcance institucional, conceptual y programático, reconociendo que la responsabilidad sobre las acciones de promoción, prevención y sensibilización frente a la iniciación temprana de la actividad sexual no puede recaer únicamente en el Instituto Colombiano de Bienestar Familiar (ICBF). </w:t>
            </w:r>
          </w:p>
          <w:p w14:paraId="18DF45A5" w14:textId="77777777" w:rsidR="002A0F72" w:rsidRPr="006B48D4" w:rsidRDefault="002A0F72" w:rsidP="006B48D4">
            <w:pPr>
              <w:jc w:val="both"/>
              <w:rPr>
                <w:rFonts w:ascii="Bookman Old Style" w:hAnsi="Bookman Old Style"/>
              </w:rPr>
            </w:pPr>
          </w:p>
          <w:p w14:paraId="4D622AAF" w14:textId="487F7700" w:rsidR="002A0F72" w:rsidRPr="006B48D4" w:rsidRDefault="002A0F72" w:rsidP="006B48D4">
            <w:pPr>
              <w:jc w:val="both"/>
              <w:rPr>
                <w:rFonts w:ascii="Bookman Old Style" w:hAnsi="Bookman Old Style"/>
              </w:rPr>
            </w:pPr>
            <w:r w:rsidRPr="006B48D4">
              <w:rPr>
                <w:rFonts w:ascii="Bookman Old Style" w:hAnsi="Bookman Old Style"/>
              </w:rPr>
              <w:lastRenderedPageBreak/>
              <w:t>En concordancia con las competencias sectoriales, se propone que dichas acciones sean lideradas de manera coordinada entre el ICBF, el Ministerio de Salud y Protección Social, y el Ministerio de Educación Nacional, en articulación con otros actores del Sistema Nacional de Bienestar Familiar y de la sociedad civil.</w:t>
            </w:r>
          </w:p>
          <w:p w14:paraId="5D050D58" w14:textId="25DDDAB6" w:rsidR="002A0F72" w:rsidRPr="006B48D4" w:rsidRDefault="002A0F72" w:rsidP="006B48D4">
            <w:pPr>
              <w:jc w:val="both"/>
              <w:rPr>
                <w:rFonts w:ascii="Bookman Old Style" w:hAnsi="Bookman Old Style"/>
              </w:rPr>
            </w:pPr>
          </w:p>
          <w:p w14:paraId="4B1C479E" w14:textId="77777777" w:rsidR="002A0F72" w:rsidRPr="006B48D4" w:rsidRDefault="002A0F72" w:rsidP="006B48D4">
            <w:pPr>
              <w:jc w:val="both"/>
              <w:rPr>
                <w:rFonts w:ascii="Bookman Old Style" w:hAnsi="Bookman Old Style"/>
              </w:rPr>
            </w:pPr>
          </w:p>
          <w:p w14:paraId="7CEF1233" w14:textId="77777777" w:rsidR="002A0F72" w:rsidRPr="006B48D4" w:rsidRDefault="002A0F72" w:rsidP="006B48D4">
            <w:pPr>
              <w:jc w:val="both"/>
              <w:rPr>
                <w:rFonts w:ascii="Bookman Old Style" w:hAnsi="Bookman Old Style"/>
              </w:rPr>
            </w:pPr>
            <w:r w:rsidRPr="006B48D4">
              <w:rPr>
                <w:rFonts w:ascii="Bookman Old Style" w:hAnsi="Bookman Old Style"/>
              </w:rPr>
              <w:t xml:space="preserve">Estas recomendaciones buscan garantizar una intervención integral que atienda los múltiples determinantes sociales que inciden en la vivencia de la sexualidad por parte de niñas, niños y adolescentes, evitando enfoques reduccionistas o centrados exclusivamente en la abstinencia, y promoviendo, en cambio, una educación sexual basada en derechos, con énfasis </w:t>
            </w:r>
            <w:r w:rsidRPr="006B48D4">
              <w:rPr>
                <w:rFonts w:ascii="Bookman Old Style" w:hAnsi="Bookman Old Style"/>
              </w:rPr>
              <w:lastRenderedPageBreak/>
              <w:t>preventivo y formativo.</w:t>
            </w:r>
          </w:p>
          <w:p w14:paraId="15BD4017" w14:textId="4D37FE6F" w:rsidR="002A0F72" w:rsidRPr="006B48D4" w:rsidRDefault="002A0F72" w:rsidP="006B48D4">
            <w:pPr>
              <w:spacing w:line="276" w:lineRule="auto"/>
              <w:jc w:val="both"/>
              <w:rPr>
                <w:rFonts w:ascii="Bookman Old Style" w:hAnsi="Bookman Old Style"/>
              </w:rPr>
            </w:pPr>
          </w:p>
        </w:tc>
      </w:tr>
      <w:tr w:rsidR="002A0F72" w:rsidRPr="006A13F9" w14:paraId="2827BBE9" w14:textId="77777777" w:rsidTr="000E0802">
        <w:trPr>
          <w:jc w:val="center"/>
        </w:trPr>
        <w:tc>
          <w:tcPr>
            <w:tcW w:w="3179" w:type="dxa"/>
            <w:shd w:val="clear" w:color="auto" w:fill="auto"/>
          </w:tcPr>
          <w:p w14:paraId="2793123D" w14:textId="77777777" w:rsidR="002A0F72" w:rsidRPr="00DE34AC" w:rsidRDefault="002A0F72" w:rsidP="002A0F72">
            <w:pPr>
              <w:widowControl w:val="0"/>
              <w:pBdr>
                <w:top w:val="nil"/>
                <w:left w:val="nil"/>
                <w:bottom w:val="nil"/>
                <w:right w:val="nil"/>
                <w:between w:val="nil"/>
              </w:pBdr>
              <w:spacing w:line="276" w:lineRule="auto"/>
              <w:jc w:val="both"/>
              <w:rPr>
                <w:rFonts w:ascii="Bookman Old Style" w:eastAsia="Bookman Old Style" w:hAnsi="Bookman Old Style" w:cs="Arial"/>
                <w:b/>
              </w:rPr>
            </w:pPr>
            <w:r w:rsidRPr="00DE34AC">
              <w:rPr>
                <w:rFonts w:ascii="Bookman Old Style" w:eastAsia="Bookman Old Style" w:hAnsi="Bookman Old Style" w:cs="Arial"/>
                <w:b/>
              </w:rPr>
              <w:lastRenderedPageBreak/>
              <w:t xml:space="preserve">Artículo 8. Tratamiento penal diferencial. </w:t>
            </w:r>
            <w:r w:rsidRPr="00DE34AC">
              <w:rPr>
                <w:rFonts w:ascii="Bookman Old Style" w:eastAsia="Bookman Old Style" w:hAnsi="Bookman Old Style" w:cs="Arial"/>
              </w:rPr>
              <w:t xml:space="preserve">Lo dispuesto en los artículos 208 y 209 no será aplicable cuando la diferencia de edad entre las partes no supere los dos (2) años, y exista </w:t>
            </w:r>
            <w:r w:rsidRPr="00DE34AC">
              <w:rPr>
                <w:rFonts w:ascii="Bookman Old Style" w:eastAsia="Bookman Old Style" w:hAnsi="Bookman Old Style" w:cs="Arial"/>
              </w:rPr>
              <w:lastRenderedPageBreak/>
              <w:t>igualdad de condiciones de madurez física y cognitiva entre adolescentes. Esta excepción no aplicará en casos de violencia, intimidación, engaño o autoridad.</w:t>
            </w:r>
          </w:p>
          <w:p w14:paraId="798ABE72" w14:textId="4C2E719C" w:rsidR="002A0F72" w:rsidRPr="00DE34AC" w:rsidRDefault="002A0F72" w:rsidP="002A0F72">
            <w:pPr>
              <w:spacing w:line="276" w:lineRule="auto"/>
              <w:jc w:val="both"/>
              <w:rPr>
                <w:rFonts w:ascii="Bookman Old Style" w:eastAsia="Tahoma" w:hAnsi="Bookman Old Style"/>
              </w:rPr>
            </w:pPr>
          </w:p>
        </w:tc>
        <w:tc>
          <w:tcPr>
            <w:tcW w:w="3052" w:type="dxa"/>
            <w:shd w:val="clear" w:color="auto" w:fill="auto"/>
          </w:tcPr>
          <w:p w14:paraId="7E3FA43B" w14:textId="675AA027" w:rsidR="001D0C10" w:rsidRPr="00DE34AC" w:rsidRDefault="001D0C10" w:rsidP="001D0C10">
            <w:pPr>
              <w:widowControl w:val="0"/>
              <w:pBdr>
                <w:top w:val="nil"/>
                <w:left w:val="nil"/>
                <w:bottom w:val="nil"/>
                <w:right w:val="nil"/>
                <w:between w:val="nil"/>
              </w:pBdr>
              <w:spacing w:line="276" w:lineRule="auto"/>
              <w:jc w:val="both"/>
              <w:rPr>
                <w:rFonts w:ascii="Bookman Old Style" w:eastAsia="Bookman Old Style" w:hAnsi="Bookman Old Style" w:cs="Arial"/>
                <w:b/>
              </w:rPr>
            </w:pPr>
            <w:r w:rsidRPr="00DE34AC">
              <w:rPr>
                <w:rFonts w:ascii="Bookman Old Style" w:eastAsia="Bookman Old Style" w:hAnsi="Bookman Old Style" w:cs="Arial"/>
                <w:b/>
              </w:rPr>
              <w:lastRenderedPageBreak/>
              <w:t xml:space="preserve">Artículo </w:t>
            </w:r>
            <w:r w:rsidRPr="001D0C10">
              <w:rPr>
                <w:rFonts w:ascii="Bookman Old Style" w:eastAsia="Bookman Old Style" w:hAnsi="Bookman Old Style" w:cs="Arial"/>
                <w:b/>
                <w:strike/>
              </w:rPr>
              <w:t>8.</w:t>
            </w:r>
            <w:r w:rsidRPr="00DE34AC">
              <w:rPr>
                <w:rFonts w:ascii="Bookman Old Style" w:eastAsia="Bookman Old Style" w:hAnsi="Bookman Old Style" w:cs="Arial"/>
                <w:b/>
              </w:rPr>
              <w:t xml:space="preserve"> </w:t>
            </w:r>
            <w:r>
              <w:rPr>
                <w:rFonts w:ascii="Bookman Old Style" w:eastAsia="Bookman Old Style" w:hAnsi="Bookman Old Style" w:cs="Arial"/>
                <w:b/>
              </w:rPr>
              <w:t xml:space="preserve"> </w:t>
            </w:r>
            <w:r w:rsidRPr="001D0C10">
              <w:rPr>
                <w:rFonts w:ascii="Bookman Old Style" w:eastAsia="Bookman Old Style" w:hAnsi="Bookman Old Style" w:cs="Arial"/>
                <w:b/>
                <w:u w:val="single"/>
              </w:rPr>
              <w:t>6.</w:t>
            </w:r>
            <w:r>
              <w:rPr>
                <w:rFonts w:ascii="Bookman Old Style" w:eastAsia="Bookman Old Style" w:hAnsi="Bookman Old Style" w:cs="Arial"/>
                <w:b/>
              </w:rPr>
              <w:t xml:space="preserve"> </w:t>
            </w:r>
            <w:r w:rsidRPr="00DE34AC">
              <w:rPr>
                <w:rFonts w:ascii="Bookman Old Style" w:eastAsia="Bookman Old Style" w:hAnsi="Bookman Old Style" w:cs="Arial"/>
                <w:b/>
              </w:rPr>
              <w:t xml:space="preserve">Tratamiento penal diferencial. </w:t>
            </w:r>
            <w:r w:rsidRPr="00DE34AC">
              <w:rPr>
                <w:rFonts w:ascii="Bookman Old Style" w:eastAsia="Bookman Old Style" w:hAnsi="Bookman Old Style" w:cs="Arial"/>
              </w:rPr>
              <w:t xml:space="preserve">Lo dispuesto en los artículos 208 y 209 no será aplicable cuando la diferencia de edad entre las partes no supere los </w:t>
            </w:r>
            <w:r w:rsidRPr="00DE34AC">
              <w:rPr>
                <w:rFonts w:ascii="Bookman Old Style" w:eastAsia="Bookman Old Style" w:hAnsi="Bookman Old Style" w:cs="Arial"/>
              </w:rPr>
              <w:lastRenderedPageBreak/>
              <w:t>dos (2) años, y exista igualdad de condiciones de madurez física y cognitiva entre adolescentes. Esta excepción no aplicará en casos de violencia, intimidación, engaño o autoridad.</w:t>
            </w:r>
          </w:p>
          <w:p w14:paraId="1CA55674" w14:textId="739C3F1F" w:rsidR="002A0F72" w:rsidRPr="00DE34AC" w:rsidRDefault="002A0F72" w:rsidP="002A0F72">
            <w:pPr>
              <w:spacing w:line="276" w:lineRule="auto"/>
              <w:jc w:val="both"/>
              <w:rPr>
                <w:rFonts w:ascii="Bookman Old Style" w:eastAsia="Tahoma" w:hAnsi="Bookman Old Style"/>
              </w:rPr>
            </w:pPr>
          </w:p>
        </w:tc>
        <w:tc>
          <w:tcPr>
            <w:tcW w:w="2597" w:type="dxa"/>
            <w:shd w:val="clear" w:color="auto" w:fill="auto"/>
          </w:tcPr>
          <w:p w14:paraId="0DF26C0C" w14:textId="2E2083E7" w:rsidR="002A0F72" w:rsidRPr="00DE34AC" w:rsidRDefault="001D0C10" w:rsidP="002A0F72">
            <w:pPr>
              <w:spacing w:line="276" w:lineRule="auto"/>
              <w:jc w:val="both"/>
              <w:rPr>
                <w:rFonts w:ascii="Bookman Old Style" w:hAnsi="Bookman Old Style"/>
              </w:rPr>
            </w:pPr>
            <w:r>
              <w:rPr>
                <w:rFonts w:ascii="Bookman Old Style" w:hAnsi="Bookman Old Style"/>
              </w:rPr>
              <w:lastRenderedPageBreak/>
              <w:t>Se corrige numeración</w:t>
            </w:r>
          </w:p>
        </w:tc>
      </w:tr>
      <w:tr w:rsidR="002A0F72" w:rsidRPr="006A13F9" w14:paraId="28B56C1C" w14:textId="77777777" w:rsidTr="000E0802">
        <w:trPr>
          <w:jc w:val="center"/>
        </w:trPr>
        <w:tc>
          <w:tcPr>
            <w:tcW w:w="3179" w:type="dxa"/>
            <w:shd w:val="clear" w:color="auto" w:fill="auto"/>
          </w:tcPr>
          <w:p w14:paraId="0E87AB9F" w14:textId="77777777" w:rsidR="002A0F72" w:rsidRPr="00DE34AC" w:rsidRDefault="002A0F72" w:rsidP="002A0F72">
            <w:pPr>
              <w:widowControl w:val="0"/>
              <w:pBdr>
                <w:top w:val="nil"/>
                <w:left w:val="nil"/>
                <w:bottom w:val="nil"/>
                <w:right w:val="nil"/>
                <w:between w:val="nil"/>
              </w:pBdr>
              <w:spacing w:line="276" w:lineRule="auto"/>
              <w:jc w:val="both"/>
              <w:rPr>
                <w:rFonts w:ascii="Bookman Old Style" w:eastAsia="Bookman Old Style" w:hAnsi="Bookman Old Style" w:cs="Arial"/>
              </w:rPr>
            </w:pPr>
            <w:r w:rsidRPr="00DE34AC">
              <w:rPr>
                <w:rFonts w:ascii="Bookman Old Style" w:eastAsia="Bookman Old Style" w:hAnsi="Bookman Old Style" w:cs="Arial"/>
                <w:b/>
              </w:rPr>
              <w:t>Artículo 9°. Vigencia y Derogatorias.</w:t>
            </w:r>
            <w:r w:rsidRPr="00DE34AC">
              <w:rPr>
                <w:rFonts w:ascii="Bookman Old Style" w:eastAsia="Bookman Old Style" w:hAnsi="Bookman Old Style" w:cs="Arial"/>
              </w:rPr>
              <w:t xml:space="preserve"> La presente ley deroga las disposiciones que le sean contrarias y rige a partir de la fecha de su promulgación. </w:t>
            </w:r>
          </w:p>
          <w:p w14:paraId="67DB6A30" w14:textId="77777777" w:rsidR="002A0F72" w:rsidRPr="00DE34AC" w:rsidRDefault="002A0F72" w:rsidP="002A0F72">
            <w:pPr>
              <w:spacing w:line="276" w:lineRule="auto"/>
              <w:jc w:val="both"/>
              <w:rPr>
                <w:rFonts w:ascii="Bookman Old Style" w:eastAsia="Tahoma" w:hAnsi="Bookman Old Style"/>
                <w:b/>
              </w:rPr>
            </w:pPr>
          </w:p>
        </w:tc>
        <w:tc>
          <w:tcPr>
            <w:tcW w:w="3052" w:type="dxa"/>
            <w:shd w:val="clear" w:color="auto" w:fill="auto"/>
          </w:tcPr>
          <w:p w14:paraId="73CB413B" w14:textId="7C5FDCBD" w:rsidR="007C55FE" w:rsidRPr="00DE34AC" w:rsidRDefault="007C55FE" w:rsidP="007C55FE">
            <w:pPr>
              <w:widowControl w:val="0"/>
              <w:pBdr>
                <w:top w:val="nil"/>
                <w:left w:val="nil"/>
                <w:bottom w:val="nil"/>
                <w:right w:val="nil"/>
                <w:between w:val="nil"/>
              </w:pBdr>
              <w:spacing w:line="276" w:lineRule="auto"/>
              <w:jc w:val="both"/>
              <w:rPr>
                <w:rFonts w:ascii="Bookman Old Style" w:eastAsia="Bookman Old Style" w:hAnsi="Bookman Old Style" w:cs="Arial"/>
              </w:rPr>
            </w:pPr>
            <w:r w:rsidRPr="00DE34AC">
              <w:rPr>
                <w:rFonts w:ascii="Bookman Old Style" w:eastAsia="Bookman Old Style" w:hAnsi="Bookman Old Style" w:cs="Arial"/>
                <w:b/>
              </w:rPr>
              <w:t xml:space="preserve">Artículo </w:t>
            </w:r>
            <w:r w:rsidRPr="007C55FE">
              <w:rPr>
                <w:rFonts w:ascii="Bookman Old Style" w:eastAsia="Bookman Old Style" w:hAnsi="Bookman Old Style" w:cs="Arial"/>
                <w:b/>
                <w:strike/>
              </w:rPr>
              <w:t>9°.</w:t>
            </w:r>
            <w:r w:rsidRPr="00DE34AC">
              <w:rPr>
                <w:rFonts w:ascii="Bookman Old Style" w:eastAsia="Bookman Old Style" w:hAnsi="Bookman Old Style" w:cs="Arial"/>
                <w:b/>
              </w:rPr>
              <w:t xml:space="preserve"> </w:t>
            </w:r>
            <w:r>
              <w:rPr>
                <w:rFonts w:ascii="Bookman Old Style" w:eastAsia="Bookman Old Style" w:hAnsi="Bookman Old Style" w:cs="Arial"/>
                <w:b/>
              </w:rPr>
              <w:t xml:space="preserve"> </w:t>
            </w:r>
            <w:r w:rsidRPr="007C55FE">
              <w:rPr>
                <w:rFonts w:ascii="Bookman Old Style" w:eastAsia="Bookman Old Style" w:hAnsi="Bookman Old Style" w:cs="Arial"/>
                <w:b/>
                <w:u w:val="single"/>
              </w:rPr>
              <w:t>7.</w:t>
            </w:r>
            <w:r>
              <w:rPr>
                <w:rFonts w:ascii="Bookman Old Style" w:eastAsia="Bookman Old Style" w:hAnsi="Bookman Old Style" w:cs="Arial"/>
                <w:b/>
              </w:rPr>
              <w:t xml:space="preserve"> </w:t>
            </w:r>
            <w:r w:rsidRPr="00DE34AC">
              <w:rPr>
                <w:rFonts w:ascii="Bookman Old Style" w:eastAsia="Bookman Old Style" w:hAnsi="Bookman Old Style" w:cs="Arial"/>
                <w:b/>
              </w:rPr>
              <w:t>Vigencia y Derogatorias.</w:t>
            </w:r>
            <w:r w:rsidRPr="00DE34AC">
              <w:rPr>
                <w:rFonts w:ascii="Bookman Old Style" w:eastAsia="Bookman Old Style" w:hAnsi="Bookman Old Style" w:cs="Arial"/>
              </w:rPr>
              <w:t xml:space="preserve"> La presente ley deroga las disposiciones que le sean contrarias y rige a partir de la fecha de su promulgación. </w:t>
            </w:r>
          </w:p>
          <w:p w14:paraId="742D4F59" w14:textId="77777777" w:rsidR="002A0F72" w:rsidRPr="00DE34AC" w:rsidRDefault="002A0F72" w:rsidP="002A0F72">
            <w:pPr>
              <w:spacing w:line="276" w:lineRule="auto"/>
              <w:jc w:val="both"/>
              <w:rPr>
                <w:rFonts w:ascii="Bookman Old Style" w:eastAsia="Tahoma" w:hAnsi="Bookman Old Style"/>
                <w:b/>
              </w:rPr>
            </w:pPr>
          </w:p>
        </w:tc>
        <w:tc>
          <w:tcPr>
            <w:tcW w:w="2597" w:type="dxa"/>
            <w:shd w:val="clear" w:color="auto" w:fill="auto"/>
          </w:tcPr>
          <w:p w14:paraId="0A959D04" w14:textId="290CF87D" w:rsidR="002A0F72" w:rsidRPr="00DE34AC" w:rsidRDefault="007C55FE" w:rsidP="00DB37B4">
            <w:pPr>
              <w:spacing w:line="276" w:lineRule="auto"/>
              <w:jc w:val="both"/>
              <w:rPr>
                <w:rFonts w:ascii="Bookman Old Style" w:hAnsi="Bookman Old Style"/>
                <w:color w:val="FF0000"/>
              </w:rPr>
            </w:pPr>
            <w:r>
              <w:rPr>
                <w:rFonts w:ascii="Bookman Old Style" w:hAnsi="Bookman Old Style"/>
              </w:rPr>
              <w:t>Se corrige numeración</w:t>
            </w:r>
          </w:p>
        </w:tc>
      </w:tr>
    </w:tbl>
    <w:p w14:paraId="17FDFA36" w14:textId="77777777" w:rsidR="002F27C6" w:rsidRPr="006A13F9" w:rsidRDefault="002F27C6" w:rsidP="002F27C6">
      <w:pPr>
        <w:pStyle w:val="TableParagraph"/>
        <w:spacing w:line="276" w:lineRule="auto"/>
        <w:ind w:left="212" w:right="197"/>
        <w:jc w:val="both"/>
        <w:rPr>
          <w:rFonts w:ascii="Bookman Old Style" w:hAnsi="Bookman Old Style" w:cs="Calibri"/>
          <w:b/>
          <w:sz w:val="24"/>
          <w:szCs w:val="24"/>
        </w:rPr>
      </w:pPr>
    </w:p>
    <w:p w14:paraId="67761F79" w14:textId="442E13F2" w:rsidR="002F27C6" w:rsidRPr="00AC299D" w:rsidRDefault="002F27C6" w:rsidP="00AC299D">
      <w:pPr>
        <w:pStyle w:val="TableParagraph"/>
        <w:numPr>
          <w:ilvl w:val="0"/>
          <w:numId w:val="10"/>
        </w:numPr>
        <w:spacing w:line="276" w:lineRule="auto"/>
        <w:rPr>
          <w:rFonts w:ascii="Bookman Old Style" w:hAnsi="Bookman Old Style" w:cs="Calibri"/>
          <w:b/>
          <w:sz w:val="24"/>
          <w:szCs w:val="24"/>
          <w:u w:val="single"/>
        </w:rPr>
      </w:pPr>
      <w:r w:rsidRPr="00AC299D">
        <w:rPr>
          <w:rFonts w:ascii="Bookman Old Style" w:hAnsi="Bookman Old Style" w:cs="Calibri"/>
          <w:b/>
          <w:spacing w:val="-2"/>
          <w:w w:val="105"/>
          <w:sz w:val="24"/>
          <w:szCs w:val="24"/>
          <w:u w:val="single"/>
        </w:rPr>
        <w:t>PROPOSICIÓN</w:t>
      </w:r>
    </w:p>
    <w:p w14:paraId="36C01503" w14:textId="77777777" w:rsidR="00DB2281" w:rsidRPr="00DB2281" w:rsidRDefault="00DB2281" w:rsidP="00DB2281">
      <w:pPr>
        <w:pStyle w:val="TableParagraph"/>
        <w:spacing w:line="276" w:lineRule="auto"/>
        <w:ind w:left="1080"/>
        <w:rPr>
          <w:rFonts w:ascii="Bookman Old Style" w:hAnsi="Bookman Old Style" w:cs="Calibri"/>
          <w:b/>
          <w:sz w:val="24"/>
          <w:szCs w:val="24"/>
        </w:rPr>
      </w:pPr>
    </w:p>
    <w:p w14:paraId="22DF4C4C" w14:textId="3823B4F5" w:rsidR="002F27C6" w:rsidRPr="00DB2281" w:rsidRDefault="002F27C6" w:rsidP="00DB2281">
      <w:pPr>
        <w:pStyle w:val="Prrafodelista"/>
        <w:spacing w:line="276" w:lineRule="auto"/>
        <w:ind w:left="0"/>
        <w:jc w:val="both"/>
        <w:rPr>
          <w:rFonts w:ascii="Bookman Old Style" w:hAnsi="Bookman Old Style"/>
          <w:i/>
          <w:sz w:val="24"/>
          <w:szCs w:val="24"/>
        </w:rPr>
      </w:pPr>
      <w:r w:rsidRPr="006A13F9">
        <w:rPr>
          <w:rFonts w:ascii="Bookman Old Style" w:hAnsi="Bookman Old Style"/>
          <w:sz w:val="24"/>
          <w:szCs w:val="24"/>
        </w:rPr>
        <w:t xml:space="preserve">Con fundamento en las anteriores consideraciones, de manera respetuosa, solicitamos a </w:t>
      </w:r>
      <w:r w:rsidRPr="00FA14EF">
        <w:rPr>
          <w:rFonts w:ascii="Bookman Old Style" w:hAnsi="Bookman Old Style"/>
          <w:sz w:val="24"/>
          <w:szCs w:val="24"/>
        </w:rPr>
        <w:t xml:space="preserve">la </w:t>
      </w:r>
      <w:r w:rsidR="003B68CE" w:rsidRPr="00FA14EF">
        <w:rPr>
          <w:rFonts w:ascii="Bookman Old Style" w:hAnsi="Bookman Old Style"/>
          <w:sz w:val="24"/>
          <w:szCs w:val="24"/>
        </w:rPr>
        <w:t>Comisión Primera Constitucional Permanente de la Cámara de Representantes</w:t>
      </w:r>
      <w:r w:rsidRPr="006A13F9">
        <w:rPr>
          <w:rFonts w:ascii="Bookman Old Style" w:hAnsi="Bookman Old Style"/>
          <w:sz w:val="24"/>
          <w:szCs w:val="24"/>
        </w:rPr>
        <w:t xml:space="preserve"> dar </w:t>
      </w:r>
      <w:r w:rsidR="003B68CE">
        <w:rPr>
          <w:rFonts w:ascii="Bookman Old Style" w:hAnsi="Bookman Old Style"/>
        </w:rPr>
        <w:t>primer</w:t>
      </w:r>
      <w:r w:rsidRPr="006A13F9">
        <w:rPr>
          <w:rFonts w:ascii="Bookman Old Style" w:hAnsi="Bookman Old Style"/>
          <w:sz w:val="24"/>
          <w:szCs w:val="24"/>
        </w:rPr>
        <w:t xml:space="preserve"> debate al Proyecto de Ley No. </w:t>
      </w:r>
      <w:r w:rsidR="003B68CE">
        <w:rPr>
          <w:rFonts w:ascii="Bookman Old Style" w:hAnsi="Bookman Old Style"/>
        </w:rPr>
        <w:t>200</w:t>
      </w:r>
      <w:r w:rsidRPr="006A13F9">
        <w:rPr>
          <w:rFonts w:ascii="Bookman Old Style" w:hAnsi="Bookman Old Style"/>
          <w:sz w:val="24"/>
          <w:szCs w:val="24"/>
        </w:rPr>
        <w:t>/25 Cámara</w:t>
      </w:r>
      <w:r w:rsidR="003B68CE">
        <w:rPr>
          <w:rFonts w:ascii="Bookman Old Style" w:hAnsi="Bookman Old Style"/>
        </w:rPr>
        <w:t xml:space="preserve"> </w:t>
      </w:r>
      <w:r w:rsidR="00077949" w:rsidRPr="00077949">
        <w:rPr>
          <w:rFonts w:ascii="Bookman Old Style" w:hAnsi="Bookman Old Style"/>
          <w:i/>
          <w:sz w:val="24"/>
          <w:szCs w:val="24"/>
        </w:rPr>
        <w:t>“</w:t>
      </w:r>
      <w:r w:rsidR="00077949">
        <w:rPr>
          <w:rFonts w:ascii="Bookman Old Style" w:hAnsi="Bookman Old Style"/>
          <w:i/>
          <w:sz w:val="24"/>
          <w:szCs w:val="24"/>
        </w:rPr>
        <w:t>P</w:t>
      </w:r>
      <w:r w:rsidR="00077949" w:rsidRPr="00077949">
        <w:rPr>
          <w:rFonts w:ascii="Bookman Old Style" w:hAnsi="Bookman Old Style"/>
          <w:i/>
          <w:sz w:val="24"/>
          <w:szCs w:val="24"/>
        </w:rPr>
        <w:t xml:space="preserve">or medio de la cual se modifica la edad del consentimiento sexual para menores de edad, se protege la libertad sexual de niños, niñas y adolescentes en </w:t>
      </w:r>
      <w:r w:rsidR="00077949">
        <w:rPr>
          <w:rFonts w:ascii="Bookman Old Style" w:hAnsi="Bookman Old Style"/>
          <w:i/>
          <w:sz w:val="24"/>
          <w:szCs w:val="24"/>
        </w:rPr>
        <w:t>C</w:t>
      </w:r>
      <w:r w:rsidR="00077949" w:rsidRPr="00077949">
        <w:rPr>
          <w:rFonts w:ascii="Bookman Old Style" w:hAnsi="Bookman Old Style"/>
          <w:i/>
          <w:sz w:val="24"/>
          <w:szCs w:val="24"/>
        </w:rPr>
        <w:t>olombia y se dictan otras disposiciones”</w:t>
      </w:r>
      <w:r w:rsidR="00077949" w:rsidRPr="006A13F9">
        <w:rPr>
          <w:rFonts w:ascii="Bookman Old Style" w:hAnsi="Bookman Old Style"/>
          <w:i/>
          <w:sz w:val="24"/>
          <w:szCs w:val="24"/>
        </w:rPr>
        <w:t xml:space="preserve">, </w:t>
      </w:r>
      <w:r w:rsidRPr="006A13F9">
        <w:rPr>
          <w:rFonts w:ascii="Bookman Old Style" w:hAnsi="Bookman Old Style"/>
          <w:sz w:val="24"/>
          <w:szCs w:val="24"/>
        </w:rPr>
        <w:t>de acuerdo con el texto propuesto.</w:t>
      </w:r>
    </w:p>
    <w:p w14:paraId="6B7EC61D" w14:textId="77777777" w:rsidR="002F27C6" w:rsidRPr="006A13F9" w:rsidRDefault="002F27C6" w:rsidP="002F27C6">
      <w:pPr>
        <w:pStyle w:val="Sinespaciado"/>
        <w:spacing w:line="276" w:lineRule="auto"/>
        <w:rPr>
          <w:rFonts w:ascii="Bookman Old Style" w:hAnsi="Bookman Old Style"/>
        </w:rPr>
      </w:pPr>
      <w:r w:rsidRPr="006A13F9">
        <w:rPr>
          <w:rFonts w:ascii="Bookman Old Style" w:hAnsi="Bookman Old Style"/>
          <w:w w:val="110"/>
        </w:rPr>
        <w:t>Atentamente,</w:t>
      </w:r>
    </w:p>
    <w:p w14:paraId="798343D0" w14:textId="77777777" w:rsidR="002F27C6" w:rsidRPr="006A13F9" w:rsidRDefault="002F27C6" w:rsidP="002F27C6">
      <w:pPr>
        <w:pStyle w:val="Sinespaciado"/>
        <w:spacing w:line="276" w:lineRule="auto"/>
        <w:rPr>
          <w:rFonts w:ascii="Bookman Old Style" w:hAnsi="Bookman Old Style"/>
          <w:i/>
        </w:rPr>
      </w:pPr>
    </w:p>
    <w:p w14:paraId="3BCD7760" w14:textId="77777777" w:rsidR="002F27C6" w:rsidRPr="006A13F9" w:rsidRDefault="002F27C6" w:rsidP="002F27C6">
      <w:pPr>
        <w:pStyle w:val="Sinespaciado"/>
        <w:spacing w:line="276" w:lineRule="auto"/>
        <w:rPr>
          <w:rFonts w:ascii="Bookman Old Style" w:hAnsi="Bookman Old Style"/>
        </w:rPr>
      </w:pPr>
    </w:p>
    <w:p w14:paraId="54697E9B" w14:textId="77777777" w:rsidR="002F27C6" w:rsidRPr="006A13F9" w:rsidRDefault="002F27C6" w:rsidP="002F27C6">
      <w:pPr>
        <w:pStyle w:val="Sinespaciado"/>
        <w:spacing w:line="276" w:lineRule="auto"/>
        <w:rPr>
          <w:rFonts w:ascii="Bookman Old Style" w:hAnsi="Bookman Old Style"/>
          <w:b/>
          <w:bCs/>
        </w:rPr>
      </w:pPr>
    </w:p>
    <w:p w14:paraId="6E2AED40" w14:textId="77497E5B" w:rsidR="002F27C6" w:rsidRPr="006A13F9" w:rsidRDefault="002F27C6" w:rsidP="002F27C6">
      <w:pPr>
        <w:pStyle w:val="Sinespaciado"/>
        <w:spacing w:line="276" w:lineRule="auto"/>
        <w:rPr>
          <w:rFonts w:ascii="Bookman Old Style" w:hAnsi="Bookman Old Style"/>
          <w:b/>
          <w:bCs/>
        </w:rPr>
      </w:pPr>
      <w:r w:rsidRPr="006A13F9">
        <w:rPr>
          <w:rFonts w:ascii="Bookman Old Style" w:hAnsi="Bookman Old Style"/>
          <w:b/>
          <w:bCs/>
        </w:rPr>
        <w:t>KARYME ADRANA COTES MARTÍNEZ</w:t>
      </w:r>
      <w:r w:rsidRPr="006A13F9">
        <w:rPr>
          <w:rFonts w:ascii="Bookman Old Style" w:hAnsi="Bookman Old Style"/>
          <w:b/>
          <w:bCs/>
        </w:rPr>
        <w:tab/>
      </w:r>
      <w:r w:rsidRPr="006A13F9">
        <w:rPr>
          <w:rFonts w:ascii="Bookman Old Style" w:hAnsi="Bookman Old Style"/>
          <w:b/>
          <w:bCs/>
        </w:rPr>
        <w:tab/>
      </w:r>
    </w:p>
    <w:p w14:paraId="7FDCB47F" w14:textId="59814EE3" w:rsidR="002F27C6" w:rsidRPr="006A13F9" w:rsidRDefault="002F27C6" w:rsidP="002F27C6">
      <w:pPr>
        <w:pStyle w:val="Sinespaciado"/>
        <w:spacing w:line="276" w:lineRule="auto"/>
        <w:rPr>
          <w:rFonts w:ascii="Bookman Old Style" w:hAnsi="Bookman Old Style"/>
          <w:b/>
          <w:bCs/>
        </w:rPr>
      </w:pPr>
      <w:r w:rsidRPr="006A13F9">
        <w:rPr>
          <w:rFonts w:ascii="Bookman Old Style" w:hAnsi="Bookman Old Style"/>
          <w:b/>
          <w:bCs/>
        </w:rPr>
        <w:t xml:space="preserve">Representante a la Cámara                                      </w:t>
      </w:r>
    </w:p>
    <w:p w14:paraId="51055CE7" w14:textId="7204137C" w:rsidR="002F27C6" w:rsidRPr="006A13F9" w:rsidRDefault="002F27C6" w:rsidP="002F27C6">
      <w:pPr>
        <w:pStyle w:val="Sinespaciado"/>
        <w:spacing w:line="276" w:lineRule="auto"/>
        <w:rPr>
          <w:rFonts w:ascii="Bookman Old Style" w:hAnsi="Bookman Old Style"/>
          <w:b/>
          <w:bCs/>
        </w:rPr>
      </w:pPr>
      <w:r w:rsidRPr="006A13F9">
        <w:rPr>
          <w:rFonts w:ascii="Bookman Old Style" w:hAnsi="Bookman Old Style"/>
          <w:b/>
          <w:bCs/>
        </w:rPr>
        <w:t>Ponente</w:t>
      </w:r>
      <w:r w:rsidR="003B68CE">
        <w:rPr>
          <w:rFonts w:ascii="Bookman Old Style" w:hAnsi="Bookman Old Style"/>
          <w:b/>
          <w:bCs/>
        </w:rPr>
        <w:t xml:space="preserve"> única</w:t>
      </w:r>
    </w:p>
    <w:p w14:paraId="6AED2662" w14:textId="77777777" w:rsidR="002F27C6" w:rsidRPr="006A13F9" w:rsidRDefault="002F27C6" w:rsidP="002F27C6">
      <w:pPr>
        <w:pStyle w:val="Sinespaciado"/>
        <w:spacing w:line="276" w:lineRule="auto"/>
        <w:rPr>
          <w:rFonts w:ascii="Bookman Old Style" w:hAnsi="Bookman Old Style"/>
          <w:b/>
          <w:bCs/>
        </w:rPr>
      </w:pPr>
    </w:p>
    <w:p w14:paraId="24F45121" w14:textId="22103F68" w:rsidR="003B68CE" w:rsidRPr="00AC299D" w:rsidRDefault="002F27C6" w:rsidP="00AC299D">
      <w:pPr>
        <w:numPr>
          <w:ilvl w:val="0"/>
          <w:numId w:val="10"/>
        </w:numPr>
        <w:adjustRightInd w:val="0"/>
        <w:spacing w:before="28" w:line="276" w:lineRule="auto"/>
        <w:jc w:val="both"/>
        <w:textAlignment w:val="center"/>
        <w:rPr>
          <w:rFonts w:ascii="Bookman Old Style" w:hAnsi="Bookman Old Style"/>
          <w:u w:val="single"/>
        </w:rPr>
      </w:pPr>
      <w:r w:rsidRPr="00AC299D">
        <w:rPr>
          <w:rFonts w:ascii="Bookman Old Style" w:hAnsi="Bookman Old Style"/>
          <w:b/>
          <w:bCs/>
          <w:u w:val="single"/>
        </w:rPr>
        <w:lastRenderedPageBreak/>
        <w:t xml:space="preserve">TEXTO PROPUESTO PARA </w:t>
      </w:r>
      <w:r w:rsidR="003B68CE" w:rsidRPr="00AC299D">
        <w:rPr>
          <w:rFonts w:ascii="Bookman Old Style" w:hAnsi="Bookman Old Style"/>
          <w:b/>
          <w:bCs/>
          <w:u w:val="single"/>
        </w:rPr>
        <w:t>PRIMER</w:t>
      </w:r>
      <w:r w:rsidRPr="00AC299D">
        <w:rPr>
          <w:rFonts w:ascii="Bookman Old Style" w:hAnsi="Bookman Old Style"/>
          <w:b/>
          <w:bCs/>
          <w:u w:val="single"/>
        </w:rPr>
        <w:t xml:space="preserve"> DEBATE EN LA </w:t>
      </w:r>
      <w:r w:rsidR="003B68CE" w:rsidRPr="00AC299D">
        <w:rPr>
          <w:rFonts w:ascii="Bookman Old Style" w:hAnsi="Bookman Old Style"/>
          <w:b/>
          <w:bCs/>
          <w:u w:val="single"/>
        </w:rPr>
        <w:t>COMISIÓN PRIMERA CONSTITUCIONAL PERMANENTE</w:t>
      </w:r>
      <w:r w:rsidRPr="00AC299D">
        <w:rPr>
          <w:rFonts w:ascii="Bookman Old Style" w:hAnsi="Bookman Old Style"/>
          <w:b/>
          <w:bCs/>
          <w:u w:val="single"/>
        </w:rPr>
        <w:t xml:space="preserve"> AL PL </w:t>
      </w:r>
      <w:r w:rsidR="003B68CE" w:rsidRPr="00AC299D">
        <w:rPr>
          <w:rFonts w:ascii="Bookman Old Style" w:hAnsi="Bookman Old Style"/>
          <w:b/>
          <w:bCs/>
          <w:u w:val="single"/>
        </w:rPr>
        <w:t>200</w:t>
      </w:r>
      <w:r w:rsidR="00FA14EF" w:rsidRPr="00AC299D">
        <w:rPr>
          <w:rFonts w:ascii="Bookman Old Style" w:hAnsi="Bookman Old Style"/>
          <w:b/>
          <w:bCs/>
          <w:u w:val="single"/>
        </w:rPr>
        <w:t xml:space="preserve"> de 20</w:t>
      </w:r>
      <w:r w:rsidRPr="00AC299D">
        <w:rPr>
          <w:rFonts w:ascii="Bookman Old Style" w:hAnsi="Bookman Old Style"/>
          <w:b/>
          <w:bCs/>
          <w:u w:val="single"/>
        </w:rPr>
        <w:t>25 CÁMARA</w:t>
      </w:r>
    </w:p>
    <w:p w14:paraId="7044BE4F" w14:textId="2616D6A0" w:rsidR="002F27C6" w:rsidRPr="003B68CE" w:rsidRDefault="002F27C6" w:rsidP="003B68CE">
      <w:pPr>
        <w:adjustRightInd w:val="0"/>
        <w:spacing w:before="28" w:line="276" w:lineRule="auto"/>
        <w:ind w:left="1080"/>
        <w:textAlignment w:val="center"/>
        <w:rPr>
          <w:rFonts w:ascii="Bookman Old Style" w:hAnsi="Bookman Old Style"/>
        </w:rPr>
      </w:pPr>
    </w:p>
    <w:p w14:paraId="495E1114" w14:textId="7F320E0D" w:rsidR="002F27C6" w:rsidRPr="003B68CE" w:rsidRDefault="003B68CE" w:rsidP="003B68CE">
      <w:pPr>
        <w:spacing w:line="276" w:lineRule="auto"/>
        <w:jc w:val="center"/>
        <w:rPr>
          <w:rFonts w:ascii="Bookman Old Style" w:hAnsi="Bookman Old Style"/>
          <w:b/>
          <w:bCs/>
        </w:rPr>
      </w:pPr>
      <w:r w:rsidRPr="003B68CE">
        <w:rPr>
          <w:rFonts w:ascii="Bookman Old Style" w:hAnsi="Bookman Old Style"/>
          <w:b/>
          <w:bCs/>
          <w:i/>
        </w:rPr>
        <w:t>“POR MEDIO DE LA CUAL SE MODIFICA LA EDAD DE</w:t>
      </w:r>
      <w:r w:rsidR="00C71132">
        <w:rPr>
          <w:rFonts w:ascii="Bookman Old Style" w:hAnsi="Bookman Old Style"/>
          <w:b/>
          <w:bCs/>
          <w:i/>
        </w:rPr>
        <w:t>L</w:t>
      </w:r>
      <w:r w:rsidRPr="003B68CE">
        <w:rPr>
          <w:rFonts w:ascii="Bookman Old Style" w:hAnsi="Bookman Old Style"/>
          <w:b/>
          <w:bCs/>
          <w:i/>
        </w:rPr>
        <w:t xml:space="preserve"> CONSENTIMIENTO SEXUAL</w:t>
      </w:r>
      <w:r w:rsidR="003F1B03">
        <w:rPr>
          <w:rFonts w:ascii="Bookman Old Style" w:hAnsi="Bookman Old Style"/>
          <w:b/>
          <w:bCs/>
          <w:i/>
        </w:rPr>
        <w:t>,</w:t>
      </w:r>
      <w:r w:rsidRPr="003B68CE">
        <w:rPr>
          <w:rFonts w:ascii="Bookman Old Style" w:hAnsi="Bookman Old Style"/>
          <w:b/>
          <w:bCs/>
          <w:i/>
        </w:rPr>
        <w:t xml:space="preserve"> SE PROTEGE LA LIBERTAD SEXUAL DE NIÑOS, NIÑAS Y ADOLESCENTES EN COLOMBIA Y SE DICTAN OTRAS DISPOSICIONES”</w:t>
      </w:r>
    </w:p>
    <w:p w14:paraId="38C20907" w14:textId="77777777" w:rsidR="002F27C6" w:rsidRPr="003B68CE" w:rsidRDefault="002F27C6" w:rsidP="003B68CE">
      <w:pPr>
        <w:spacing w:line="276" w:lineRule="auto"/>
        <w:jc w:val="center"/>
        <w:rPr>
          <w:rFonts w:ascii="Bookman Old Style" w:hAnsi="Bookman Old Style"/>
          <w:b/>
          <w:bCs/>
        </w:rPr>
      </w:pPr>
    </w:p>
    <w:p w14:paraId="06E12671" w14:textId="77777777" w:rsidR="002F27C6" w:rsidRPr="006A13F9" w:rsidRDefault="002F27C6" w:rsidP="002F27C6">
      <w:pPr>
        <w:spacing w:line="276" w:lineRule="auto"/>
        <w:jc w:val="center"/>
        <w:rPr>
          <w:rFonts w:ascii="Bookman Old Style" w:hAnsi="Bookman Old Style"/>
          <w:b/>
          <w:bCs/>
        </w:rPr>
      </w:pPr>
      <w:r w:rsidRPr="006A13F9">
        <w:rPr>
          <w:rFonts w:ascii="Bookman Old Style" w:hAnsi="Bookman Old Style"/>
          <w:b/>
          <w:bCs/>
        </w:rPr>
        <w:t>EL CONGRESO DE COLOMBIA</w:t>
      </w:r>
    </w:p>
    <w:p w14:paraId="068C68D0" w14:textId="77777777" w:rsidR="002F27C6" w:rsidRPr="006A13F9" w:rsidRDefault="002F27C6" w:rsidP="002F27C6">
      <w:pPr>
        <w:spacing w:line="276" w:lineRule="auto"/>
        <w:jc w:val="center"/>
        <w:rPr>
          <w:rFonts w:ascii="Bookman Old Style" w:hAnsi="Bookman Old Style"/>
          <w:b/>
          <w:bCs/>
        </w:rPr>
      </w:pPr>
    </w:p>
    <w:p w14:paraId="539DAA09" w14:textId="77777777" w:rsidR="002F27C6" w:rsidRPr="006A13F9" w:rsidRDefault="002F27C6" w:rsidP="002F27C6">
      <w:pPr>
        <w:spacing w:line="276" w:lineRule="auto"/>
        <w:jc w:val="center"/>
        <w:rPr>
          <w:rFonts w:ascii="Bookman Old Style" w:hAnsi="Bookman Old Style"/>
          <w:b/>
          <w:bCs/>
        </w:rPr>
      </w:pPr>
      <w:r w:rsidRPr="006A13F9">
        <w:rPr>
          <w:rFonts w:ascii="Bookman Old Style" w:hAnsi="Bookman Old Style"/>
          <w:b/>
          <w:bCs/>
        </w:rPr>
        <w:t>DECRETA:</w:t>
      </w:r>
    </w:p>
    <w:p w14:paraId="6290F721" w14:textId="4454E6DB" w:rsidR="002F27C6" w:rsidRDefault="002F27C6" w:rsidP="002F27C6">
      <w:pPr>
        <w:spacing w:line="276" w:lineRule="auto"/>
        <w:jc w:val="both"/>
        <w:rPr>
          <w:rFonts w:ascii="Bookman Old Style" w:hAnsi="Bookman Old Style"/>
        </w:rPr>
      </w:pPr>
    </w:p>
    <w:p w14:paraId="0829302F" w14:textId="66E21124" w:rsidR="003B68CE" w:rsidRDefault="003B68CE" w:rsidP="002F27C6">
      <w:pPr>
        <w:spacing w:line="276" w:lineRule="auto"/>
        <w:jc w:val="both"/>
        <w:rPr>
          <w:rFonts w:ascii="Bookman Old Style" w:hAnsi="Bookman Old Style"/>
        </w:rPr>
      </w:pPr>
    </w:p>
    <w:p w14:paraId="4622B0E6" w14:textId="11E83FDC" w:rsidR="005A5536" w:rsidRPr="005A5536" w:rsidRDefault="005A5536" w:rsidP="005A5536">
      <w:pPr>
        <w:widowControl w:val="0"/>
        <w:pBdr>
          <w:top w:val="nil"/>
          <w:left w:val="nil"/>
          <w:bottom w:val="nil"/>
          <w:right w:val="nil"/>
          <w:between w:val="nil"/>
        </w:pBdr>
        <w:spacing w:line="276" w:lineRule="auto"/>
        <w:jc w:val="both"/>
        <w:rPr>
          <w:rFonts w:ascii="Bookman Old Style" w:eastAsia="Bookman Old Style" w:hAnsi="Bookman Old Style" w:cs="Arial"/>
        </w:rPr>
      </w:pPr>
      <w:r w:rsidRPr="00DE34AC">
        <w:rPr>
          <w:rFonts w:ascii="Bookman Old Style" w:eastAsia="Bookman Old Style" w:hAnsi="Bookman Old Style" w:cs="Arial"/>
          <w:b/>
        </w:rPr>
        <w:t>Artículo 1°. Objeto.</w:t>
      </w:r>
      <w:r w:rsidRPr="00DE34AC">
        <w:rPr>
          <w:rFonts w:ascii="Bookman Old Style" w:eastAsia="Bookman Old Style" w:hAnsi="Bookman Old Style" w:cs="Arial"/>
        </w:rPr>
        <w:t xml:space="preserve"> La presente Ley tiene por objeto modificar la edad mínima en la que un </w:t>
      </w:r>
      <w:r w:rsidRPr="005A5536">
        <w:rPr>
          <w:rFonts w:ascii="Bookman Old Style" w:eastAsia="Bookman Old Style" w:hAnsi="Bookman Old Style" w:cs="Arial"/>
        </w:rPr>
        <w:t>niño, niña o adolescente</w:t>
      </w:r>
      <w:r w:rsidRPr="00DE34AC">
        <w:rPr>
          <w:rFonts w:ascii="Bookman Old Style" w:eastAsia="Bookman Old Style" w:hAnsi="Bookman Old Style" w:cs="Arial"/>
        </w:rPr>
        <w:t xml:space="preserve"> puede consentir relaciones sexuales, como estrategia de protección de </w:t>
      </w:r>
      <w:r w:rsidRPr="005A5536">
        <w:rPr>
          <w:rFonts w:ascii="Bookman Old Style" w:eastAsia="Bookman Old Style" w:hAnsi="Bookman Old Style" w:cs="Arial"/>
        </w:rPr>
        <w:t xml:space="preserve">la población en la infancia, niñez y adolescencia. </w:t>
      </w:r>
    </w:p>
    <w:p w14:paraId="09B878F5" w14:textId="77777777" w:rsidR="005A5536" w:rsidRDefault="005A5536" w:rsidP="002F27C6">
      <w:pPr>
        <w:spacing w:line="276" w:lineRule="auto"/>
        <w:jc w:val="both"/>
        <w:rPr>
          <w:rFonts w:ascii="Bookman Old Style" w:hAnsi="Bookman Old Style"/>
        </w:rPr>
      </w:pPr>
    </w:p>
    <w:p w14:paraId="172D4359" w14:textId="77777777" w:rsidR="005A5536" w:rsidRPr="00DE34AC" w:rsidRDefault="005A5536" w:rsidP="005A5536">
      <w:pPr>
        <w:widowControl w:val="0"/>
        <w:pBdr>
          <w:top w:val="nil"/>
          <w:left w:val="nil"/>
          <w:bottom w:val="nil"/>
          <w:right w:val="nil"/>
          <w:between w:val="nil"/>
        </w:pBdr>
        <w:spacing w:line="276" w:lineRule="auto"/>
        <w:jc w:val="both"/>
        <w:rPr>
          <w:rFonts w:ascii="Bookman Old Style" w:eastAsia="Bookman Old Style" w:hAnsi="Bookman Old Style" w:cs="Arial"/>
        </w:rPr>
      </w:pPr>
      <w:r w:rsidRPr="00DE34AC">
        <w:rPr>
          <w:rFonts w:ascii="Bookman Old Style" w:eastAsia="Bookman Old Style" w:hAnsi="Bookman Old Style" w:cs="Arial"/>
          <w:b/>
        </w:rPr>
        <w:t>Artículo 2°.</w:t>
      </w:r>
      <w:r w:rsidRPr="00DE34AC">
        <w:rPr>
          <w:rFonts w:ascii="Bookman Old Style" w:eastAsia="Bookman Old Style" w:hAnsi="Bookman Old Style" w:cs="Arial"/>
        </w:rPr>
        <w:t xml:space="preserve"> Modifíquese el artículo 208 de la Ley 599 de 2000, el cual quedará así:</w:t>
      </w:r>
    </w:p>
    <w:p w14:paraId="3E7D672D" w14:textId="77777777" w:rsidR="005A5536" w:rsidRPr="00DE34AC" w:rsidRDefault="005A5536" w:rsidP="005A5536">
      <w:pPr>
        <w:widowControl w:val="0"/>
        <w:pBdr>
          <w:top w:val="nil"/>
          <w:left w:val="nil"/>
          <w:bottom w:val="nil"/>
          <w:right w:val="nil"/>
          <w:between w:val="nil"/>
        </w:pBdr>
        <w:spacing w:line="276" w:lineRule="auto"/>
        <w:jc w:val="both"/>
        <w:rPr>
          <w:rFonts w:ascii="Bookman Old Style" w:eastAsia="Bookman Old Style" w:hAnsi="Bookman Old Style" w:cs="Arial"/>
        </w:rPr>
      </w:pPr>
      <w:r w:rsidRPr="00DE34AC">
        <w:rPr>
          <w:rFonts w:ascii="Bookman Old Style" w:eastAsia="Bookman Old Style" w:hAnsi="Bookman Old Style" w:cs="Arial"/>
        </w:rPr>
        <w:t>ARTÍCULO 208. ACCESO CARNAL ABUSIVO CON MENOR DE DIECISÉIS AÑOS. El que acceda carnalmente a persona menor de dieciséis (16) años, incurrirá en prisión de doce (12) a veinte (20) años.</w:t>
      </w:r>
    </w:p>
    <w:p w14:paraId="53C24EFF" w14:textId="6BEC0BE0" w:rsidR="003B68CE" w:rsidRDefault="003B68CE" w:rsidP="002F27C6">
      <w:pPr>
        <w:spacing w:line="276" w:lineRule="auto"/>
        <w:jc w:val="both"/>
        <w:rPr>
          <w:rFonts w:ascii="Bookman Old Style" w:hAnsi="Bookman Old Style"/>
        </w:rPr>
      </w:pPr>
    </w:p>
    <w:p w14:paraId="0CB9A379" w14:textId="77777777" w:rsidR="005A5536" w:rsidRPr="00DE34AC" w:rsidRDefault="005A5536" w:rsidP="005A5536">
      <w:pPr>
        <w:widowControl w:val="0"/>
        <w:pBdr>
          <w:top w:val="nil"/>
          <w:left w:val="nil"/>
          <w:bottom w:val="nil"/>
          <w:right w:val="nil"/>
          <w:between w:val="nil"/>
        </w:pBdr>
        <w:spacing w:line="276" w:lineRule="auto"/>
        <w:jc w:val="both"/>
        <w:rPr>
          <w:rFonts w:ascii="Bookman Old Style" w:eastAsia="Bookman Old Style" w:hAnsi="Bookman Old Style" w:cs="Arial"/>
        </w:rPr>
      </w:pPr>
      <w:r w:rsidRPr="00DE34AC">
        <w:rPr>
          <w:rFonts w:ascii="Bookman Old Style" w:eastAsia="Bookman Old Style" w:hAnsi="Bookman Old Style" w:cs="Arial"/>
          <w:b/>
        </w:rPr>
        <w:t>Artículo 3°.</w:t>
      </w:r>
      <w:r w:rsidRPr="00DE34AC">
        <w:rPr>
          <w:rFonts w:ascii="Bookman Old Style" w:eastAsia="Bookman Old Style" w:hAnsi="Bookman Old Style" w:cs="Arial"/>
        </w:rPr>
        <w:t xml:space="preserve"> Modifíquese el artículo 209 de la Ley 599 de 2000, el cual quedará así:</w:t>
      </w:r>
    </w:p>
    <w:p w14:paraId="59908B1B" w14:textId="0F36B7A5" w:rsidR="005A5536" w:rsidRDefault="005A5536" w:rsidP="005A5536">
      <w:pPr>
        <w:spacing w:line="276" w:lineRule="auto"/>
        <w:jc w:val="both"/>
        <w:rPr>
          <w:rFonts w:ascii="Bookman Old Style" w:hAnsi="Bookman Old Style"/>
        </w:rPr>
      </w:pPr>
      <w:r w:rsidRPr="00DE34AC">
        <w:rPr>
          <w:rFonts w:ascii="Bookman Old Style" w:eastAsia="Bookman Old Style" w:hAnsi="Bookman Old Style" w:cs="Arial"/>
        </w:rPr>
        <w:t>ARTÍCULO 209. ACTOS SEXUALES CON MENOR DE DIECISEIS AÑOS.  El que realizare actos sexuales diversos del acceso carnal con persona menor de dieciséis (16) años o en su presencia, o la induzca a prácticas sexuales, incurrirá</w:t>
      </w:r>
      <w:r>
        <w:rPr>
          <w:rFonts w:ascii="Bookman Old Style" w:eastAsia="Bookman Old Style" w:hAnsi="Bookman Old Style" w:cs="Arial"/>
        </w:rPr>
        <w:t xml:space="preserve"> </w:t>
      </w:r>
      <w:r w:rsidRPr="00DE34AC">
        <w:rPr>
          <w:rFonts w:ascii="Bookman Old Style" w:eastAsia="Bookman Old Style" w:hAnsi="Bookman Old Style" w:cs="Arial"/>
        </w:rPr>
        <w:t>en</w:t>
      </w:r>
      <w:r>
        <w:rPr>
          <w:rFonts w:ascii="Bookman Old Style" w:eastAsia="Bookman Old Style" w:hAnsi="Bookman Old Style" w:cs="Arial"/>
        </w:rPr>
        <w:t xml:space="preserve"> </w:t>
      </w:r>
      <w:r w:rsidRPr="00DE34AC">
        <w:rPr>
          <w:rFonts w:ascii="Bookman Old Style" w:eastAsia="Bookman Old Style" w:hAnsi="Bookman Old Style" w:cs="Arial"/>
        </w:rPr>
        <w:t>prisión de nueve (9) a trece (13) años.</w:t>
      </w:r>
    </w:p>
    <w:p w14:paraId="43A877FD" w14:textId="6168CF0D" w:rsidR="003B68CE" w:rsidRDefault="003B68CE" w:rsidP="002F27C6">
      <w:pPr>
        <w:spacing w:line="276" w:lineRule="auto"/>
        <w:jc w:val="both"/>
        <w:rPr>
          <w:rFonts w:ascii="Bookman Old Style" w:hAnsi="Bookman Old Style"/>
        </w:rPr>
      </w:pPr>
    </w:p>
    <w:p w14:paraId="412C916B" w14:textId="77777777" w:rsidR="005A5536" w:rsidRPr="00DE34AC" w:rsidRDefault="005A5536" w:rsidP="005A5536">
      <w:pPr>
        <w:widowControl w:val="0"/>
        <w:pBdr>
          <w:top w:val="nil"/>
          <w:left w:val="nil"/>
          <w:bottom w:val="nil"/>
          <w:right w:val="nil"/>
          <w:between w:val="nil"/>
        </w:pBdr>
        <w:spacing w:line="276" w:lineRule="auto"/>
        <w:jc w:val="both"/>
        <w:rPr>
          <w:rFonts w:ascii="Bookman Old Style" w:eastAsia="Bookman Old Style" w:hAnsi="Bookman Old Style" w:cs="Arial"/>
        </w:rPr>
      </w:pPr>
      <w:r w:rsidRPr="00DE34AC">
        <w:rPr>
          <w:rFonts w:ascii="Bookman Old Style" w:eastAsia="Bookman Old Style" w:hAnsi="Bookman Old Style" w:cs="Arial"/>
          <w:b/>
        </w:rPr>
        <w:t>Artículo 4°.</w:t>
      </w:r>
      <w:r w:rsidRPr="00DE34AC">
        <w:rPr>
          <w:rFonts w:ascii="Bookman Old Style" w:eastAsia="Bookman Old Style" w:hAnsi="Bookman Old Style" w:cs="Arial"/>
        </w:rPr>
        <w:t xml:space="preserve"> Modifíquese el numeral primero del artículo 216 de la Ley 599 de 2000, así: </w:t>
      </w:r>
    </w:p>
    <w:p w14:paraId="65D39B3F" w14:textId="77777777" w:rsidR="005A5536" w:rsidRPr="00DE34AC" w:rsidRDefault="005A5536" w:rsidP="005A5536">
      <w:pPr>
        <w:widowControl w:val="0"/>
        <w:pBdr>
          <w:top w:val="nil"/>
          <w:left w:val="nil"/>
          <w:bottom w:val="nil"/>
          <w:right w:val="nil"/>
          <w:between w:val="nil"/>
        </w:pBdr>
        <w:spacing w:line="276" w:lineRule="auto"/>
        <w:jc w:val="both"/>
        <w:rPr>
          <w:rFonts w:ascii="Bookman Old Style" w:eastAsia="Bookman Old Style" w:hAnsi="Bookman Old Style" w:cs="Arial"/>
        </w:rPr>
      </w:pPr>
      <w:r w:rsidRPr="00DE34AC">
        <w:rPr>
          <w:rFonts w:ascii="Bookman Old Style" w:eastAsia="Bookman Old Style" w:hAnsi="Bookman Old Style" w:cs="Arial"/>
        </w:rPr>
        <w:t>ARTÍCULO 216. CIRCUNSTANCIAS DE AGRAVACIÓN PUNITIVA.  Las penas para los delitos descritos en los artículos anteriores, se aumentarán de una tercera parte a la mitad, cuando la conducta:</w:t>
      </w:r>
    </w:p>
    <w:p w14:paraId="01F7B6E1" w14:textId="77777777" w:rsidR="005A5536" w:rsidRPr="00DE34AC" w:rsidRDefault="005A5536" w:rsidP="005A5536">
      <w:pPr>
        <w:widowControl w:val="0"/>
        <w:pBdr>
          <w:top w:val="nil"/>
          <w:left w:val="nil"/>
          <w:bottom w:val="nil"/>
          <w:right w:val="nil"/>
          <w:between w:val="nil"/>
        </w:pBdr>
        <w:spacing w:line="276" w:lineRule="auto"/>
        <w:jc w:val="both"/>
        <w:rPr>
          <w:rFonts w:ascii="Bookman Old Style" w:eastAsia="Bookman Old Style" w:hAnsi="Bookman Old Style" w:cs="Arial"/>
        </w:rPr>
      </w:pPr>
    </w:p>
    <w:p w14:paraId="172F73F0" w14:textId="77777777" w:rsidR="005A5536" w:rsidRPr="00DE34AC" w:rsidRDefault="005A5536" w:rsidP="005A5536">
      <w:pPr>
        <w:widowControl w:val="0"/>
        <w:pBdr>
          <w:top w:val="nil"/>
          <w:left w:val="nil"/>
          <w:bottom w:val="nil"/>
          <w:right w:val="nil"/>
          <w:between w:val="nil"/>
        </w:pBdr>
        <w:spacing w:line="276" w:lineRule="auto"/>
        <w:jc w:val="both"/>
        <w:rPr>
          <w:rFonts w:ascii="Bookman Old Style" w:eastAsia="Bookman Old Style" w:hAnsi="Bookman Old Style" w:cs="Arial"/>
        </w:rPr>
      </w:pPr>
      <w:r w:rsidRPr="00DE34AC">
        <w:rPr>
          <w:rFonts w:ascii="Bookman Old Style" w:eastAsia="Bookman Old Style" w:hAnsi="Bookman Old Style" w:cs="Arial"/>
        </w:rPr>
        <w:t>1. Para los artículos 213 y 214, se realizare en persona menor de dieciocho (18) años, y para el artículo 213-A, se realizare con persona menor de dieciséis (16) años.</w:t>
      </w:r>
    </w:p>
    <w:p w14:paraId="0CDC039C" w14:textId="127F7963" w:rsidR="003B68CE" w:rsidRDefault="003B68CE" w:rsidP="002F27C6">
      <w:pPr>
        <w:spacing w:line="276" w:lineRule="auto"/>
        <w:jc w:val="both"/>
        <w:rPr>
          <w:rFonts w:ascii="Bookman Old Style" w:hAnsi="Bookman Old Style"/>
        </w:rPr>
      </w:pPr>
    </w:p>
    <w:p w14:paraId="19E7FAC5" w14:textId="15483152" w:rsidR="005A5536" w:rsidRPr="005A5536" w:rsidRDefault="005A5536" w:rsidP="005A5536">
      <w:pPr>
        <w:widowControl w:val="0"/>
        <w:pBdr>
          <w:top w:val="nil"/>
          <w:left w:val="nil"/>
          <w:bottom w:val="nil"/>
          <w:right w:val="nil"/>
          <w:between w:val="nil"/>
        </w:pBdr>
        <w:spacing w:line="276" w:lineRule="auto"/>
        <w:jc w:val="both"/>
        <w:rPr>
          <w:rFonts w:ascii="Bookman Old Style" w:eastAsia="Bookman Old Style" w:hAnsi="Bookman Old Style" w:cs="Arial"/>
        </w:rPr>
      </w:pPr>
      <w:r w:rsidRPr="00DE34AC">
        <w:rPr>
          <w:rFonts w:ascii="Bookman Old Style" w:eastAsia="Bookman Old Style" w:hAnsi="Bookman Old Style" w:cs="Arial"/>
          <w:b/>
        </w:rPr>
        <w:t>Artículo</w:t>
      </w:r>
      <w:r>
        <w:rPr>
          <w:rFonts w:ascii="Bookman Old Style" w:eastAsia="Bookman Old Style" w:hAnsi="Bookman Old Style" w:cs="Arial"/>
          <w:b/>
        </w:rPr>
        <w:t xml:space="preserve"> </w:t>
      </w:r>
      <w:r w:rsidRPr="005A5536">
        <w:rPr>
          <w:rFonts w:ascii="Bookman Old Style" w:eastAsia="Bookman Old Style" w:hAnsi="Bookman Old Style" w:cs="Arial"/>
          <w:b/>
        </w:rPr>
        <w:t>5.</w:t>
      </w:r>
      <w:r w:rsidRPr="00DE34AC">
        <w:rPr>
          <w:rFonts w:ascii="Bookman Old Style" w:eastAsia="Bookman Old Style" w:hAnsi="Bookman Old Style" w:cs="Arial"/>
          <w:b/>
        </w:rPr>
        <w:t xml:space="preserve"> Promoción, prevención y sensibilización.</w:t>
      </w:r>
      <w:r w:rsidRPr="00DE34AC">
        <w:rPr>
          <w:rFonts w:ascii="Bookman Old Style" w:eastAsia="Bookman Old Style" w:hAnsi="Bookman Old Style" w:cs="Arial"/>
        </w:rPr>
        <w:t xml:space="preserve"> Dentro del año siguiente a la promulgación de la</w:t>
      </w:r>
      <w:r>
        <w:rPr>
          <w:rFonts w:ascii="Bookman Old Style" w:eastAsia="Bookman Old Style" w:hAnsi="Bookman Old Style" w:cs="Arial"/>
        </w:rPr>
        <w:t xml:space="preserve"> </w:t>
      </w:r>
      <w:r w:rsidRPr="00DE34AC">
        <w:rPr>
          <w:rFonts w:ascii="Bookman Old Style" w:eastAsia="Bookman Old Style" w:hAnsi="Bookman Old Style" w:cs="Arial"/>
        </w:rPr>
        <w:t xml:space="preserve">presente Ley, el Gobierno nacional, a través del Instituto Colombiano de Bienestar Familiar, o quien haga sus veces, diseñará una </w:t>
      </w:r>
      <w:r w:rsidRPr="005A5536">
        <w:rPr>
          <w:rFonts w:ascii="Bookman Old Style" w:eastAsia="Bookman Old Style" w:hAnsi="Bookman Old Style" w:cs="Arial"/>
        </w:rPr>
        <w:t>estrategia</w:t>
      </w:r>
      <w:r>
        <w:rPr>
          <w:rFonts w:ascii="Bookman Old Style" w:eastAsia="Bookman Old Style" w:hAnsi="Bookman Old Style" w:cs="Arial"/>
        </w:rPr>
        <w:t xml:space="preserve"> </w:t>
      </w:r>
      <w:r w:rsidRPr="00DE34AC">
        <w:rPr>
          <w:rFonts w:ascii="Bookman Old Style" w:eastAsia="Bookman Old Style" w:hAnsi="Bookman Old Style" w:cs="Arial"/>
        </w:rPr>
        <w:t>de promoción, prevención y sensibilización</w:t>
      </w:r>
      <w:r>
        <w:rPr>
          <w:rFonts w:ascii="Bookman Old Style" w:eastAsia="Bookman Old Style" w:hAnsi="Bookman Old Style" w:cs="Arial"/>
        </w:rPr>
        <w:t xml:space="preserve">, </w:t>
      </w:r>
      <w:r w:rsidRPr="005A5536">
        <w:rPr>
          <w:rFonts w:ascii="Bookman Old Style" w:hAnsi="Bookman Old Style"/>
        </w:rPr>
        <w:t>sobre los derechos sexuales y derechos reproductivos, haciendo énfasis en la educación integral de la sexualidad”,</w:t>
      </w:r>
      <w:r w:rsidRPr="005A5536">
        <w:rPr>
          <w:rFonts w:ascii="Arial Nova Light" w:hAnsi="Arial Nova Light"/>
          <w:sz w:val="22"/>
          <w:szCs w:val="22"/>
        </w:rPr>
        <w:t xml:space="preserve"> </w:t>
      </w:r>
      <w:r w:rsidRPr="005A5536">
        <w:rPr>
          <w:rFonts w:ascii="Bookman Old Style" w:eastAsia="Bookman Old Style" w:hAnsi="Bookman Old Style" w:cs="Arial"/>
        </w:rPr>
        <w:t xml:space="preserve"> que incorpore los lineamientos de la Política Nacional de Sexualidad, Derechos Sexuales y Derechos Reproductivos, el Plan Decenal de Salud Pública, así como las normas y guías del Ministerio de Salud sobre salud sexual y reproductiva.</w:t>
      </w:r>
    </w:p>
    <w:p w14:paraId="738C105C" w14:textId="77777777" w:rsidR="005A5536" w:rsidRPr="002A0F72" w:rsidRDefault="005A5536" w:rsidP="005A5536">
      <w:pPr>
        <w:widowControl w:val="0"/>
        <w:pBdr>
          <w:top w:val="nil"/>
          <w:left w:val="nil"/>
          <w:bottom w:val="nil"/>
          <w:right w:val="nil"/>
          <w:between w:val="nil"/>
        </w:pBdr>
        <w:spacing w:line="276" w:lineRule="auto"/>
        <w:jc w:val="both"/>
        <w:rPr>
          <w:rFonts w:ascii="Bookman Old Style" w:eastAsia="Bookman Old Style" w:hAnsi="Bookman Old Style" w:cs="Arial"/>
          <w:b/>
          <w:bCs/>
          <w:u w:val="single"/>
        </w:rPr>
      </w:pPr>
    </w:p>
    <w:p w14:paraId="703DA04E" w14:textId="77777777" w:rsidR="005A5536" w:rsidRPr="005A5536" w:rsidRDefault="005A5536" w:rsidP="005A5536">
      <w:pPr>
        <w:widowControl w:val="0"/>
        <w:pBdr>
          <w:top w:val="nil"/>
          <w:left w:val="nil"/>
          <w:bottom w:val="nil"/>
          <w:right w:val="nil"/>
          <w:between w:val="nil"/>
        </w:pBdr>
        <w:spacing w:line="276" w:lineRule="auto"/>
        <w:jc w:val="both"/>
        <w:rPr>
          <w:rFonts w:ascii="Bookman Old Style" w:eastAsia="Bookman Old Style" w:hAnsi="Bookman Old Style" w:cs="Arial"/>
        </w:rPr>
      </w:pPr>
      <w:r w:rsidRPr="005A5536">
        <w:rPr>
          <w:rFonts w:ascii="Bookman Old Style" w:eastAsia="Bookman Old Style" w:hAnsi="Bookman Old Style" w:cs="Arial"/>
        </w:rPr>
        <w:t>De la misma manera, y de conformidad con la OMS, contemplará la educación integral en sexualidad, con contenidos adecuados según el desarrollo evolutivo y cultural de las y los adolescentes.</w:t>
      </w:r>
    </w:p>
    <w:p w14:paraId="073BC694" w14:textId="77777777" w:rsidR="005A5536" w:rsidRPr="00DE34AC" w:rsidRDefault="005A5536" w:rsidP="005A5536">
      <w:pPr>
        <w:widowControl w:val="0"/>
        <w:pBdr>
          <w:top w:val="nil"/>
          <w:left w:val="nil"/>
          <w:bottom w:val="nil"/>
          <w:right w:val="nil"/>
          <w:between w:val="nil"/>
        </w:pBdr>
        <w:spacing w:line="276" w:lineRule="auto"/>
        <w:jc w:val="both"/>
        <w:rPr>
          <w:rFonts w:ascii="Bookman Old Style" w:eastAsia="Bookman Old Style" w:hAnsi="Bookman Old Style" w:cs="Arial"/>
        </w:rPr>
      </w:pPr>
    </w:p>
    <w:p w14:paraId="1B3DC128" w14:textId="77777777" w:rsidR="005A5536" w:rsidRDefault="005A5536" w:rsidP="005A5536">
      <w:pPr>
        <w:widowControl w:val="0"/>
        <w:pBdr>
          <w:top w:val="nil"/>
          <w:left w:val="nil"/>
          <w:bottom w:val="nil"/>
          <w:right w:val="nil"/>
          <w:between w:val="nil"/>
        </w:pBdr>
        <w:spacing w:line="276" w:lineRule="auto"/>
        <w:jc w:val="both"/>
        <w:rPr>
          <w:rFonts w:ascii="Bookman Old Style" w:eastAsia="Bookman Old Style" w:hAnsi="Bookman Old Style" w:cs="Arial"/>
        </w:rPr>
      </w:pPr>
      <w:r w:rsidRPr="005A5536">
        <w:rPr>
          <w:rFonts w:ascii="Bookman Old Style" w:eastAsia="Bookman Old Style" w:hAnsi="Bookman Old Style" w:cs="Arial"/>
          <w:b/>
          <w:bCs/>
        </w:rPr>
        <w:t>Parágrafo</w:t>
      </w:r>
      <w:r>
        <w:rPr>
          <w:rFonts w:ascii="Bookman Old Style" w:eastAsia="Bookman Old Style" w:hAnsi="Bookman Old Style" w:cs="Arial"/>
        </w:rPr>
        <w:t xml:space="preserve"> </w:t>
      </w:r>
      <w:r w:rsidRPr="005A5536">
        <w:rPr>
          <w:rFonts w:ascii="Bookman Old Style" w:eastAsia="Bookman Old Style" w:hAnsi="Bookman Old Style" w:cs="Arial"/>
          <w:b/>
          <w:bCs/>
        </w:rPr>
        <w:t>1.</w:t>
      </w:r>
      <w:r w:rsidRPr="00DE34AC">
        <w:rPr>
          <w:rFonts w:ascii="Bookman Old Style" w:eastAsia="Bookman Old Style" w:hAnsi="Bookman Old Style" w:cs="Arial"/>
        </w:rPr>
        <w:t xml:space="preserve"> La estrategia de la que habla el presente artículo se podrá articular con las que para fines similares posea o esté creando el Instituto Colombiano de Bienestar Familiar.  </w:t>
      </w:r>
    </w:p>
    <w:p w14:paraId="2B27E783" w14:textId="77777777" w:rsidR="005A5536" w:rsidRDefault="005A5536" w:rsidP="005A5536">
      <w:pPr>
        <w:widowControl w:val="0"/>
        <w:pBdr>
          <w:top w:val="nil"/>
          <w:left w:val="nil"/>
          <w:bottom w:val="nil"/>
          <w:right w:val="nil"/>
          <w:between w:val="nil"/>
        </w:pBdr>
        <w:spacing w:line="276" w:lineRule="auto"/>
        <w:jc w:val="both"/>
        <w:rPr>
          <w:rFonts w:ascii="Bookman Old Style" w:eastAsia="Bookman Old Style" w:hAnsi="Bookman Old Style" w:cs="Arial"/>
        </w:rPr>
      </w:pPr>
    </w:p>
    <w:p w14:paraId="3F60821D" w14:textId="3D3A6822" w:rsidR="005A5536" w:rsidRPr="005A5536" w:rsidRDefault="005A5536" w:rsidP="005A5536">
      <w:pPr>
        <w:spacing w:line="276" w:lineRule="auto"/>
        <w:jc w:val="both"/>
        <w:rPr>
          <w:rFonts w:ascii="Bookman Old Style" w:hAnsi="Bookman Old Style"/>
        </w:rPr>
      </w:pPr>
      <w:r w:rsidRPr="005A5536">
        <w:rPr>
          <w:rFonts w:ascii="Bookman Old Style" w:eastAsia="Bookman Old Style" w:hAnsi="Bookman Old Style" w:cs="Arial"/>
          <w:b/>
          <w:bCs/>
        </w:rPr>
        <w:t>Parágrafo 2.</w:t>
      </w:r>
      <w:r w:rsidRPr="005A5536">
        <w:rPr>
          <w:rFonts w:ascii="Bookman Old Style" w:eastAsia="Bookman Old Style" w:hAnsi="Bookman Old Style" w:cs="Arial"/>
        </w:rPr>
        <w:t xml:space="preserve"> Para la implementación de la estrategia se deberá c</w:t>
      </w:r>
      <w:r w:rsidRPr="005A5536">
        <w:rPr>
          <w:rFonts w:ascii="Bookman Old Style" w:hAnsi="Bookman Old Style"/>
        </w:rPr>
        <w:t>ontar con enfoques de género, étnico, territorial y diferencial, incluir procesos participativos con adolescentes, familias, comunidades y autoridades étnicas, articularse con el sistema educativo, los servicios de salud, las organizaciones sociales y culturales, incorporar acciones en lenguas y formatos accesibles, adaptados tanto a contextos urbanos como rurales, y finalmente, incluir contenidos en el Sistema Nacional de Convivencia Escolar y en las Escuelas para Padres y Madres.</w:t>
      </w:r>
    </w:p>
    <w:p w14:paraId="0BA7D0B3" w14:textId="248C4152" w:rsidR="003B68CE" w:rsidRDefault="003B68CE" w:rsidP="002F27C6">
      <w:pPr>
        <w:spacing w:line="276" w:lineRule="auto"/>
        <w:jc w:val="both"/>
        <w:rPr>
          <w:rFonts w:ascii="Bookman Old Style" w:hAnsi="Bookman Old Style"/>
        </w:rPr>
      </w:pPr>
    </w:p>
    <w:p w14:paraId="03BA03F2" w14:textId="2E669233" w:rsidR="005A5536" w:rsidRPr="00DE34AC" w:rsidRDefault="005A5536" w:rsidP="005A5536">
      <w:pPr>
        <w:widowControl w:val="0"/>
        <w:pBdr>
          <w:top w:val="nil"/>
          <w:left w:val="nil"/>
          <w:bottom w:val="nil"/>
          <w:right w:val="nil"/>
          <w:between w:val="nil"/>
        </w:pBdr>
        <w:spacing w:line="276" w:lineRule="auto"/>
        <w:jc w:val="both"/>
        <w:rPr>
          <w:rFonts w:ascii="Bookman Old Style" w:eastAsia="Bookman Old Style" w:hAnsi="Bookman Old Style" w:cs="Arial"/>
          <w:b/>
        </w:rPr>
      </w:pPr>
      <w:r w:rsidRPr="00DE34AC">
        <w:rPr>
          <w:rFonts w:ascii="Bookman Old Style" w:eastAsia="Bookman Old Style" w:hAnsi="Bookman Old Style" w:cs="Arial"/>
          <w:b/>
        </w:rPr>
        <w:t>Artículo</w:t>
      </w:r>
      <w:r>
        <w:rPr>
          <w:rFonts w:ascii="Bookman Old Style" w:eastAsia="Bookman Old Style" w:hAnsi="Bookman Old Style" w:cs="Arial"/>
          <w:b/>
        </w:rPr>
        <w:t xml:space="preserve"> </w:t>
      </w:r>
      <w:r w:rsidRPr="005A5536">
        <w:rPr>
          <w:rFonts w:ascii="Bookman Old Style" w:eastAsia="Bookman Old Style" w:hAnsi="Bookman Old Style" w:cs="Arial"/>
          <w:b/>
        </w:rPr>
        <w:t>6.</w:t>
      </w:r>
      <w:r>
        <w:rPr>
          <w:rFonts w:ascii="Bookman Old Style" w:eastAsia="Bookman Old Style" w:hAnsi="Bookman Old Style" w:cs="Arial"/>
          <w:b/>
        </w:rPr>
        <w:t xml:space="preserve"> </w:t>
      </w:r>
      <w:r w:rsidRPr="00DE34AC">
        <w:rPr>
          <w:rFonts w:ascii="Bookman Old Style" w:eastAsia="Bookman Old Style" w:hAnsi="Bookman Old Style" w:cs="Arial"/>
          <w:b/>
        </w:rPr>
        <w:t xml:space="preserve">Tratamiento penal diferencial. </w:t>
      </w:r>
      <w:r w:rsidRPr="00DE34AC">
        <w:rPr>
          <w:rFonts w:ascii="Bookman Old Style" w:eastAsia="Bookman Old Style" w:hAnsi="Bookman Old Style" w:cs="Arial"/>
        </w:rPr>
        <w:t>Lo dispuesto en los artículos 208 y 209 no será aplicable cuando la diferencia de edad entre las partes no supere los dos (2) años, y exista igualdad de condiciones de madurez física y cognitiva entre adolescentes. Esta excepción no aplicará en casos de violencia, intimidación, engaño o autoridad.</w:t>
      </w:r>
    </w:p>
    <w:p w14:paraId="33B2AB93" w14:textId="3CF061AC" w:rsidR="003B68CE" w:rsidRDefault="003B68CE" w:rsidP="002F27C6">
      <w:pPr>
        <w:spacing w:line="276" w:lineRule="auto"/>
        <w:jc w:val="both"/>
        <w:rPr>
          <w:rFonts w:ascii="Bookman Old Style" w:hAnsi="Bookman Old Style"/>
        </w:rPr>
      </w:pPr>
    </w:p>
    <w:p w14:paraId="3E5189D2" w14:textId="106E4886" w:rsidR="005A5536" w:rsidRPr="00DE34AC" w:rsidRDefault="005A5536" w:rsidP="005A5536">
      <w:pPr>
        <w:widowControl w:val="0"/>
        <w:pBdr>
          <w:top w:val="nil"/>
          <w:left w:val="nil"/>
          <w:bottom w:val="nil"/>
          <w:right w:val="nil"/>
          <w:between w:val="nil"/>
        </w:pBdr>
        <w:spacing w:line="276" w:lineRule="auto"/>
        <w:jc w:val="both"/>
        <w:rPr>
          <w:rFonts w:ascii="Bookman Old Style" w:eastAsia="Bookman Old Style" w:hAnsi="Bookman Old Style" w:cs="Arial"/>
        </w:rPr>
      </w:pPr>
      <w:r w:rsidRPr="00DE34AC">
        <w:rPr>
          <w:rFonts w:ascii="Bookman Old Style" w:eastAsia="Bookman Old Style" w:hAnsi="Bookman Old Style" w:cs="Arial"/>
          <w:b/>
        </w:rPr>
        <w:t>Artícul</w:t>
      </w:r>
      <w:r>
        <w:rPr>
          <w:rFonts w:ascii="Bookman Old Style" w:eastAsia="Bookman Old Style" w:hAnsi="Bookman Old Style" w:cs="Arial"/>
          <w:b/>
        </w:rPr>
        <w:t xml:space="preserve">o </w:t>
      </w:r>
      <w:r w:rsidRPr="005A5536">
        <w:rPr>
          <w:rFonts w:ascii="Bookman Old Style" w:eastAsia="Bookman Old Style" w:hAnsi="Bookman Old Style" w:cs="Arial"/>
          <w:b/>
        </w:rPr>
        <w:t xml:space="preserve">7. </w:t>
      </w:r>
      <w:r w:rsidRPr="00DE34AC">
        <w:rPr>
          <w:rFonts w:ascii="Bookman Old Style" w:eastAsia="Bookman Old Style" w:hAnsi="Bookman Old Style" w:cs="Arial"/>
          <w:b/>
        </w:rPr>
        <w:t>Vigencia y Derogatorias.</w:t>
      </w:r>
      <w:r w:rsidRPr="00DE34AC">
        <w:rPr>
          <w:rFonts w:ascii="Bookman Old Style" w:eastAsia="Bookman Old Style" w:hAnsi="Bookman Old Style" w:cs="Arial"/>
        </w:rPr>
        <w:t xml:space="preserve"> La presente ley deroga las disposiciones que le sean contrarias y rige a partir de la fecha de su promulgación. </w:t>
      </w:r>
    </w:p>
    <w:p w14:paraId="6CDFE7BC" w14:textId="5921104F" w:rsidR="003B68CE" w:rsidRDefault="003B68CE" w:rsidP="002F27C6">
      <w:pPr>
        <w:spacing w:line="276" w:lineRule="auto"/>
        <w:jc w:val="both"/>
        <w:rPr>
          <w:rFonts w:ascii="Bookman Old Style" w:hAnsi="Bookman Old Style"/>
        </w:rPr>
      </w:pPr>
    </w:p>
    <w:p w14:paraId="647B8A6D" w14:textId="727A6EBB" w:rsidR="005A5536" w:rsidRDefault="005A5536" w:rsidP="002F27C6">
      <w:pPr>
        <w:spacing w:line="276" w:lineRule="auto"/>
        <w:jc w:val="both"/>
        <w:rPr>
          <w:rFonts w:ascii="Bookman Old Style" w:hAnsi="Bookman Old Style"/>
        </w:rPr>
      </w:pPr>
    </w:p>
    <w:p w14:paraId="5DF6F4CB" w14:textId="6619E922" w:rsidR="005A5536" w:rsidRDefault="005A5536" w:rsidP="002F27C6">
      <w:pPr>
        <w:spacing w:line="276" w:lineRule="auto"/>
        <w:jc w:val="both"/>
        <w:rPr>
          <w:rFonts w:ascii="Bookman Old Style" w:hAnsi="Bookman Old Style"/>
        </w:rPr>
      </w:pPr>
    </w:p>
    <w:p w14:paraId="0B11B1F2" w14:textId="40E4364E" w:rsidR="005A5536" w:rsidRDefault="005A5536" w:rsidP="002F27C6">
      <w:pPr>
        <w:spacing w:line="276" w:lineRule="auto"/>
        <w:jc w:val="both"/>
        <w:rPr>
          <w:rFonts w:ascii="Bookman Old Style" w:hAnsi="Bookman Old Style"/>
        </w:rPr>
      </w:pPr>
    </w:p>
    <w:p w14:paraId="0E041A51" w14:textId="77777777" w:rsidR="005A5536" w:rsidRDefault="005A5536" w:rsidP="002F27C6">
      <w:pPr>
        <w:spacing w:line="276" w:lineRule="auto"/>
        <w:jc w:val="both"/>
        <w:rPr>
          <w:rFonts w:ascii="Bookman Old Style" w:hAnsi="Bookman Old Style"/>
        </w:rPr>
      </w:pPr>
    </w:p>
    <w:p w14:paraId="2F302B24" w14:textId="77777777" w:rsidR="003B68CE" w:rsidRPr="006A13F9" w:rsidRDefault="003B68CE" w:rsidP="003B68CE">
      <w:pPr>
        <w:pStyle w:val="Sinespaciado"/>
        <w:spacing w:line="276" w:lineRule="auto"/>
        <w:rPr>
          <w:rFonts w:ascii="Bookman Old Style" w:hAnsi="Bookman Old Style"/>
          <w:b/>
          <w:bCs/>
        </w:rPr>
      </w:pPr>
      <w:r w:rsidRPr="006A13F9">
        <w:rPr>
          <w:rFonts w:ascii="Bookman Old Style" w:hAnsi="Bookman Old Style"/>
          <w:b/>
          <w:bCs/>
        </w:rPr>
        <w:t>KARYME ADRANA COTES MARTÍNEZ</w:t>
      </w:r>
      <w:r w:rsidRPr="006A13F9">
        <w:rPr>
          <w:rFonts w:ascii="Bookman Old Style" w:hAnsi="Bookman Old Style"/>
          <w:b/>
          <w:bCs/>
        </w:rPr>
        <w:tab/>
      </w:r>
      <w:r w:rsidRPr="006A13F9">
        <w:rPr>
          <w:rFonts w:ascii="Bookman Old Style" w:hAnsi="Bookman Old Style"/>
          <w:b/>
          <w:bCs/>
        </w:rPr>
        <w:tab/>
      </w:r>
    </w:p>
    <w:p w14:paraId="65F3D5AC" w14:textId="77777777" w:rsidR="003B68CE" w:rsidRPr="006A13F9" w:rsidRDefault="003B68CE" w:rsidP="003B68CE">
      <w:pPr>
        <w:pStyle w:val="Sinespaciado"/>
        <w:spacing w:line="276" w:lineRule="auto"/>
        <w:rPr>
          <w:rFonts w:ascii="Bookman Old Style" w:hAnsi="Bookman Old Style"/>
          <w:b/>
          <w:bCs/>
        </w:rPr>
      </w:pPr>
      <w:r w:rsidRPr="006A13F9">
        <w:rPr>
          <w:rFonts w:ascii="Bookman Old Style" w:hAnsi="Bookman Old Style"/>
          <w:b/>
          <w:bCs/>
        </w:rPr>
        <w:t xml:space="preserve">Representante a la Cámara                                      </w:t>
      </w:r>
    </w:p>
    <w:p w14:paraId="56592045" w14:textId="77777777" w:rsidR="003B68CE" w:rsidRPr="006A13F9" w:rsidRDefault="003B68CE" w:rsidP="003B68CE">
      <w:pPr>
        <w:pStyle w:val="Sinespaciado"/>
        <w:spacing w:line="276" w:lineRule="auto"/>
        <w:rPr>
          <w:rFonts w:ascii="Bookman Old Style" w:hAnsi="Bookman Old Style"/>
          <w:b/>
          <w:bCs/>
        </w:rPr>
      </w:pPr>
      <w:r w:rsidRPr="006A13F9">
        <w:rPr>
          <w:rFonts w:ascii="Bookman Old Style" w:hAnsi="Bookman Old Style"/>
          <w:b/>
          <w:bCs/>
        </w:rPr>
        <w:t>Ponente</w:t>
      </w:r>
      <w:r>
        <w:rPr>
          <w:rFonts w:ascii="Bookman Old Style" w:hAnsi="Bookman Old Style"/>
          <w:b/>
          <w:bCs/>
        </w:rPr>
        <w:t xml:space="preserve"> única</w:t>
      </w:r>
    </w:p>
    <w:bookmarkEnd w:id="0"/>
    <w:p w14:paraId="59F84DA4" w14:textId="77777777" w:rsidR="003B68CE" w:rsidRPr="006A13F9" w:rsidRDefault="003B68CE" w:rsidP="002F27C6">
      <w:pPr>
        <w:spacing w:line="276" w:lineRule="auto"/>
        <w:jc w:val="both"/>
        <w:rPr>
          <w:rFonts w:ascii="Bookman Old Style" w:hAnsi="Bookman Old Style"/>
        </w:rPr>
      </w:pPr>
    </w:p>
    <w:sectPr w:rsidR="003B68CE" w:rsidRPr="006A13F9" w:rsidSect="00C14B44">
      <w:headerReference w:type="default" r:id="rId11"/>
      <w:footerReference w:type="default" r:id="rId12"/>
      <w:pgSz w:w="12240" w:h="15840" w:code="1"/>
      <w:pgMar w:top="851" w:right="1701" w:bottom="1702" w:left="1701" w:header="708" w:footer="39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65870" w14:textId="77777777" w:rsidR="00DF4B3C" w:rsidRDefault="00DF4B3C">
      <w:r>
        <w:separator/>
      </w:r>
    </w:p>
  </w:endnote>
  <w:endnote w:type="continuationSeparator" w:id="0">
    <w:p w14:paraId="47E1A5A0" w14:textId="77777777" w:rsidR="00DF4B3C" w:rsidRDefault="00DF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ova Light">
    <w:altName w:val="Arial Nova Light"/>
    <w:charset w:val="00"/>
    <w:family w:val="swiss"/>
    <w:pitch w:val="variable"/>
    <w:sig w:usb0="0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8F555" w14:textId="77777777" w:rsidR="007B4FF1" w:rsidRDefault="007B4FF1" w:rsidP="007B4FF1">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CF9FD" w14:textId="77777777" w:rsidR="00DF4B3C" w:rsidRDefault="00DF4B3C">
      <w:r>
        <w:separator/>
      </w:r>
    </w:p>
  </w:footnote>
  <w:footnote w:type="continuationSeparator" w:id="0">
    <w:p w14:paraId="5B59D140" w14:textId="77777777" w:rsidR="00DF4B3C" w:rsidRDefault="00DF4B3C">
      <w:r>
        <w:continuationSeparator/>
      </w:r>
    </w:p>
  </w:footnote>
  <w:footnote w:id="1">
    <w:p w14:paraId="5C70D3BF" w14:textId="77777777" w:rsidR="006A13F9" w:rsidRDefault="006A13F9" w:rsidP="006A13F9">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Sáenz Martínez, 2015.</w:t>
      </w:r>
    </w:p>
  </w:footnote>
  <w:footnote w:id="2">
    <w:p w14:paraId="6F78313B" w14:textId="77777777" w:rsidR="006A13F9" w:rsidRDefault="006A13F9" w:rsidP="006A13F9">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Mendoza Tascón. 2016.</w:t>
      </w:r>
    </w:p>
  </w:footnote>
  <w:footnote w:id="3">
    <w:p w14:paraId="7105A562" w14:textId="77777777" w:rsidR="006A13F9" w:rsidRDefault="006A13F9" w:rsidP="006A13F9">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Escala de madurez sexual ideada por el pediatra británico James </w:t>
      </w:r>
      <w:proofErr w:type="spellStart"/>
      <w:r>
        <w:rPr>
          <w:rFonts w:ascii="Times New Roman" w:eastAsia="Times New Roman" w:hAnsi="Times New Roman" w:cs="Times New Roman"/>
          <w:color w:val="000000"/>
          <w:sz w:val="20"/>
          <w:szCs w:val="20"/>
        </w:rPr>
        <w:t>Tanner</w:t>
      </w:r>
      <w:proofErr w:type="spellEnd"/>
      <w:r>
        <w:rPr>
          <w:rFonts w:ascii="Times New Roman" w:eastAsia="Times New Roman" w:hAnsi="Times New Roman" w:cs="Times New Roman"/>
          <w:color w:val="000000"/>
          <w:sz w:val="20"/>
          <w:szCs w:val="20"/>
        </w:rPr>
        <w:t>.</w:t>
      </w:r>
    </w:p>
  </w:footnote>
  <w:footnote w:id="4">
    <w:p w14:paraId="00A691AC" w14:textId="77777777" w:rsidR="006A13F9" w:rsidRDefault="006A13F9" w:rsidP="006A13F9">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Corte Suprema de Justicia. Casación No. 29117. </w:t>
      </w:r>
      <w:proofErr w:type="spellStart"/>
      <w:r>
        <w:rPr>
          <w:rFonts w:ascii="Times New Roman" w:eastAsia="Times New Roman" w:hAnsi="Times New Roman" w:cs="Times New Roman"/>
          <w:color w:val="000000"/>
          <w:sz w:val="20"/>
          <w:szCs w:val="20"/>
        </w:rPr>
        <w:t>Mag</w:t>
      </w:r>
      <w:proofErr w:type="spellEnd"/>
      <w:r>
        <w:rPr>
          <w:rFonts w:ascii="Times New Roman" w:eastAsia="Times New Roman" w:hAnsi="Times New Roman" w:cs="Times New Roman"/>
          <w:color w:val="000000"/>
          <w:sz w:val="20"/>
          <w:szCs w:val="20"/>
        </w:rPr>
        <w:t>. Ponente Ciro Mora Rivera.</w:t>
      </w:r>
    </w:p>
  </w:footnote>
  <w:footnote w:id="5">
    <w:p w14:paraId="112F2AB6" w14:textId="77777777" w:rsidR="006A13F9" w:rsidRDefault="006A13F9" w:rsidP="006A13F9">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Revista de Atención Primaria, Madrid 2009.</w:t>
      </w:r>
    </w:p>
  </w:footnote>
  <w:footnote w:id="6">
    <w:p w14:paraId="59863693" w14:textId="77777777" w:rsidR="006A13F9" w:rsidRDefault="006A13F9" w:rsidP="006A13F9">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¿Cuándo se alcanza la madurez sexual, Univ. De Navarra, 2013.</w:t>
      </w:r>
    </w:p>
  </w:footnote>
  <w:footnote w:id="7">
    <w:p w14:paraId="0CE87C0F" w14:textId="77777777" w:rsidR="006A13F9" w:rsidRDefault="006A13F9" w:rsidP="006A13F9">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Guiomar Merodio, 2019.</w:t>
      </w:r>
    </w:p>
  </w:footnote>
  <w:footnote w:id="8">
    <w:p w14:paraId="4DEC14BB" w14:textId="77777777" w:rsidR="006A13F9" w:rsidRDefault="006A13F9" w:rsidP="006A13F9">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hyperlink r:id="rId1">
        <w:r>
          <w:rPr>
            <w:rFonts w:ascii="Times New Roman" w:eastAsia="Times New Roman" w:hAnsi="Times New Roman" w:cs="Times New Roman"/>
            <w:color w:val="0563C1"/>
            <w:sz w:val="20"/>
            <w:szCs w:val="20"/>
            <w:u w:val="single"/>
          </w:rPr>
          <w:t>e2NhcnBldGE6J3RyYW1pdGUnLCB1dWlkOidhOGUxNjkzYi05NmIxLTQ0ZmItYjRkOS05MjZlNzllYWUwOGQucGRmJ30=</w:t>
        </w:r>
      </w:hyperlink>
    </w:p>
  </w:footnote>
  <w:footnote w:id="9">
    <w:p w14:paraId="74E41622" w14:textId="77777777" w:rsidR="006A13F9" w:rsidRDefault="006A13F9" w:rsidP="006A13F9">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hyperlink r:id="rId2">
        <w:r>
          <w:rPr>
            <w:rFonts w:ascii="Times New Roman" w:eastAsia="Times New Roman" w:hAnsi="Times New Roman" w:cs="Times New Roman"/>
            <w:color w:val="0563C1"/>
            <w:sz w:val="20"/>
            <w:szCs w:val="20"/>
            <w:u w:val="single"/>
          </w:rPr>
          <w:t>Consejo General del Poder Judicial: Buscador de contenidos</w:t>
        </w:r>
      </w:hyperlink>
    </w:p>
  </w:footnote>
  <w:footnote w:id="10">
    <w:p w14:paraId="6D320C23" w14:textId="77777777" w:rsidR="006A13F9" w:rsidRDefault="006A13F9" w:rsidP="006A13F9">
      <w:pPr>
        <w:widowControl w:val="0"/>
        <w:pBdr>
          <w:top w:val="nil"/>
          <w:left w:val="nil"/>
          <w:bottom w:val="nil"/>
          <w:right w:val="nil"/>
          <w:between w:val="nil"/>
        </w:pBdr>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hyperlink r:id="rId3">
        <w:r>
          <w:rPr>
            <w:rFonts w:ascii="Times New Roman" w:eastAsia="Times New Roman" w:hAnsi="Times New Roman" w:cs="Times New Roman"/>
            <w:color w:val="0563C1"/>
            <w:sz w:val="20"/>
            <w:szCs w:val="20"/>
            <w:u w:val="single"/>
          </w:rPr>
          <w:t>Cas.-335-2015-Del-Santa.pdf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B43E9" w14:textId="46967208" w:rsidR="006344C0" w:rsidRDefault="00DF4B3C" w:rsidP="000A25EA">
    <w:pPr>
      <w:pBdr>
        <w:top w:val="nil"/>
        <w:left w:val="nil"/>
        <w:bottom w:val="nil"/>
        <w:right w:val="nil"/>
        <w:between w:val="nil"/>
      </w:pBdr>
      <w:tabs>
        <w:tab w:val="center" w:pos="4419"/>
        <w:tab w:val="right" w:pos="8838"/>
      </w:tabs>
      <w:jc w:val="center"/>
      <w:rPr>
        <w:color w:val="000000"/>
      </w:rPr>
    </w:pPr>
    <w:sdt>
      <w:sdtPr>
        <w:rPr>
          <w:color w:val="000000"/>
        </w:rPr>
        <w:id w:val="-1954394004"/>
        <w:docPartObj>
          <w:docPartGallery w:val="Page Numbers (Margins)"/>
          <w:docPartUnique/>
        </w:docPartObj>
      </w:sdtPr>
      <w:sdtEndPr/>
      <w:sdtContent>
        <w:r w:rsidR="003F1B03" w:rsidRPr="003F1B03">
          <w:rPr>
            <w:noProof/>
            <w:color w:val="000000"/>
          </w:rPr>
          <mc:AlternateContent>
            <mc:Choice Requires="wps">
              <w:drawing>
                <wp:anchor distT="0" distB="0" distL="114300" distR="114300" simplePos="0" relativeHeight="251657216" behindDoc="0" locked="0" layoutInCell="0" allowOverlap="1" wp14:anchorId="49D1FB9F" wp14:editId="263CE699">
                  <wp:simplePos x="0" y="0"/>
                  <wp:positionH relativeFrom="rightMargin">
                    <wp:align>right</wp:align>
                  </wp:positionH>
                  <wp:positionV relativeFrom="margin">
                    <wp:align>center</wp:align>
                  </wp:positionV>
                  <wp:extent cx="727710" cy="329565"/>
                  <wp:effectExtent l="0" t="0" r="0" b="381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AEF0C2" w14:textId="77777777" w:rsidR="003F1B03" w:rsidRDefault="003F1B03">
                              <w:pPr>
                                <w:pBdr>
                                  <w:bottom w:val="single" w:sz="4" w:space="1" w:color="auto"/>
                                </w:pBdr>
                              </w:pPr>
                              <w:r>
                                <w:fldChar w:fldCharType="begin"/>
                              </w:r>
                              <w:r>
                                <w:instrText>PAGE   \* MERGEFORMAT</w:instrText>
                              </w:r>
                              <w:r>
                                <w:fldChar w:fldCharType="separate"/>
                              </w:r>
                              <w:r>
                                <w:rPr>
                                  <w:lang w:val="es-ES"/>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9D1FB9F" id="Rectángulo 1" o:spid="_x0000_s1026" style="position:absolute;left:0;text-align:left;margin-left:6.1pt;margin-top:0;width:57.3pt;height:25.95pt;z-index:25165721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sEIBgIAAOcDAAAOAAAAZHJzL2Uyb0RvYy54bWysU1GO0zAQ/UfiDpb/aZrSbtmo6WrVVRHS&#10;AisWDuA6TmLheMzYbVJuw1n2Yoydbinwh8iH5fGMX957M17dDJ1hB4Vegy15PplypqyEStum5F8+&#10;b1+94cwHYSthwKqSH5XnN+uXL1a9K9QMWjCVQkYg1he9K3kbgiuyzMtWdcJPwClLyRqwE4FCbLIK&#10;RU/onclm0+lV1gNWDkEq7+n0bkzydcKvayXDx7r2KjBTcuIW0opp3cU1W69E0aBwrZYnGuIfWHRC&#10;W/rpGepOBMH2qP+C6rRE8FCHiYQug7rWUiUNpCaf/qHmsRVOJS1kjndnm/z/g5UfDg/IdEW948yK&#10;jlr0iUx7+mGbvQGWR4N65wuqe3QPGCV6dw/yq2cWNq2wjbpFhL5VoiJaqT777UIMPF1lu/49VIQv&#10;9gGSV0ONXQQkF9iQWnI8t0QNgUk6XM6Wy5waJyn1ena9uFpERpkoni879OGtgo7FTcmRyCdwcbj3&#10;YSx9Lknkwehqq41JATa7jUF2EDQd2/Sd0P1lmbGx2EK8NiLGk6QyChsNCsNuOHm1g+pIehHGaaPX&#10;QZsW8DtnPU1ayf23vUDFmXlnybPrfD6Po5mC+WI5owAvM7vLjLCSoEoeOBu3mzCO896hblr6U570&#10;W7gln2udPIg9GFmdeNM0JRdPkx/H9TJOVb/e5/onAAAA//8DAFBLAwQUAAYACAAAACEAcaaGg9wA&#10;AAAEAQAADwAAAGRycy9kb3ducmV2LnhtbEyPQUvDQBCF74L/YZmCF2k3EVs0ZlNEqRQKhdai1212&#10;moTuzobsNE3/vVsvehl4vMd73+TzwVnRYxcaTwrSSQICqfSmoUrB7nMxfgIRWJPR1hMquGCAeXF7&#10;k+vM+DNtsN9yJWIJhUwrqJnbTMpQ1uh0mPgWKXoH3znNUXaVNJ0+x3Jn5UOSzKTTDcWFWrf4VmN5&#10;3J6cguO34XW/5GG1bBf37v3Lbi4fVqm70fD6AoJx4L8wXPEjOhSRae9PZIKwCuIj/HuvXvo4A7FX&#10;ME2fQRa5/A9f/AAAAP//AwBQSwECLQAUAAYACAAAACEAtoM4kv4AAADhAQAAEwAAAAAAAAAAAAAA&#10;AAAAAAAAW0NvbnRlbnRfVHlwZXNdLnhtbFBLAQItABQABgAIAAAAIQA4/SH/1gAAAJQBAAALAAAA&#10;AAAAAAAAAAAAAC8BAABfcmVscy8ucmVsc1BLAQItABQABgAIAAAAIQDQysEIBgIAAOcDAAAOAAAA&#10;AAAAAAAAAAAAAC4CAABkcnMvZTJvRG9jLnhtbFBLAQItABQABgAIAAAAIQBxpoaD3AAAAAQBAAAP&#10;AAAAAAAAAAAAAAAAAGAEAABkcnMvZG93bnJldi54bWxQSwUGAAAAAAQABADzAAAAaQUAAAAA&#10;" o:allowincell="f" stroked="f">
                  <v:textbox>
                    <w:txbxContent>
                      <w:p w14:paraId="17AEF0C2" w14:textId="77777777" w:rsidR="003F1B03" w:rsidRDefault="003F1B03">
                        <w:pPr>
                          <w:pBdr>
                            <w:bottom w:val="single" w:sz="4" w:space="1" w:color="auto"/>
                          </w:pBdr>
                        </w:pPr>
                        <w:r>
                          <w:fldChar w:fldCharType="begin"/>
                        </w:r>
                        <w:r>
                          <w:instrText>PAGE   \* MERGEFORMAT</w:instrText>
                        </w:r>
                        <w:r>
                          <w:fldChar w:fldCharType="separate"/>
                        </w:r>
                        <w:r>
                          <w:rPr>
                            <w:lang w:val="es-ES"/>
                          </w:rPr>
                          <w:t>2</w:t>
                        </w:r>
                        <w:r>
                          <w:fldChar w:fldCharType="end"/>
                        </w:r>
                      </w:p>
                    </w:txbxContent>
                  </v:textbox>
                  <w10:wrap anchorx="margin" anchory="margin"/>
                </v:rect>
              </w:pict>
            </mc:Fallback>
          </mc:AlternateContent>
        </w:r>
      </w:sdtContent>
    </w:sdt>
    <w:r>
      <w:rPr>
        <w:color w:val="000000"/>
      </w:rPr>
      <w:pict w14:anchorId="740AC7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336.05pt;height:189pt;z-index:-251658240;mso-position-horizontal:center;mso-position-horizontal-relative:margin;mso-position-vertical:center;mso-position-vertical-relative:margin">
          <v:imagedata r:id="rId1" o:title="image3"/>
          <w10:wrap anchorx="margin" anchory="margin"/>
        </v:shape>
      </w:pict>
    </w:r>
    <w:r w:rsidR="007B4FF1" w:rsidRPr="007B4FF1">
      <w:rPr>
        <w:noProof/>
        <w:color w:val="000000"/>
      </w:rPr>
      <w:drawing>
        <wp:inline distT="0" distB="0" distL="0" distR="0" wp14:anchorId="5C97C71E" wp14:editId="45BEAD07">
          <wp:extent cx="3160428" cy="613991"/>
          <wp:effectExtent l="0" t="0" r="1905" b="0"/>
          <wp:docPr id="5"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pic:cNvPicPr>
                    <a:picLocks noChangeAspect="1"/>
                  </pic:cNvPicPr>
                </pic:nvPicPr>
                <pic:blipFill rotWithShape="1">
                  <a:blip r:embed="rId2"/>
                  <a:srcRect t="3101" b="6814"/>
                  <a:stretch/>
                </pic:blipFill>
                <pic:spPr>
                  <a:xfrm>
                    <a:off x="0" y="0"/>
                    <a:ext cx="3195422" cy="620789"/>
                  </a:xfrm>
                  <a:prstGeom prst="rect">
                    <a:avLst/>
                  </a:prstGeom>
                </pic:spPr>
              </pic:pic>
            </a:graphicData>
          </a:graphic>
        </wp:inline>
      </w:drawing>
    </w:r>
    <w:r w:rsidR="000A25EA">
      <w:rPr>
        <w:color w:val="000000"/>
      </w:rPr>
      <w:t xml:space="preserve">   </w:t>
    </w:r>
    <w:r w:rsidR="001772E8">
      <w:rPr>
        <w:noProof/>
        <w:color w:val="000000"/>
      </w:rPr>
      <w:drawing>
        <wp:inline distT="0" distB="0" distL="0" distR="0" wp14:anchorId="3F00CB4C" wp14:editId="1C83EFB7">
          <wp:extent cx="1828800" cy="574040"/>
          <wp:effectExtent l="0" t="0" r="0" b="0"/>
          <wp:docPr id="74"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3"/>
                  <a:srcRect/>
                  <a:stretch>
                    <a:fillRect/>
                  </a:stretch>
                </pic:blipFill>
                <pic:spPr>
                  <a:xfrm>
                    <a:off x="0" y="0"/>
                    <a:ext cx="1830238" cy="574491"/>
                  </a:xfrm>
                  <a:prstGeom prst="rect">
                    <a:avLst/>
                  </a:prstGeom>
                  <a:ln/>
                </pic:spPr>
              </pic:pic>
            </a:graphicData>
          </a:graphic>
        </wp:inline>
      </w:drawing>
    </w:r>
  </w:p>
  <w:p w14:paraId="5559291F" w14:textId="77777777" w:rsidR="006344C0" w:rsidRDefault="001772E8">
    <w:pPr>
      <w:pBdr>
        <w:top w:val="nil"/>
        <w:left w:val="nil"/>
        <w:bottom w:val="nil"/>
        <w:right w:val="nil"/>
        <w:between w:val="nil"/>
      </w:pBdr>
      <w:tabs>
        <w:tab w:val="center" w:pos="4419"/>
        <w:tab w:val="right" w:pos="8838"/>
      </w:tabs>
      <w:jc w:val="center"/>
      <w:rPr>
        <w:color w:val="000000"/>
      </w:rPr>
    </w:pPr>
    <w:r>
      <w:rPr>
        <w:color w:val="00000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96BE7"/>
    <w:multiLevelType w:val="hybridMultilevel"/>
    <w:tmpl w:val="417EFB54"/>
    <w:lvl w:ilvl="0" w:tplc="1702EC98">
      <w:start w:val="2"/>
      <w:numFmt w:val="bullet"/>
      <w:lvlText w:val=""/>
      <w:lvlJc w:val="left"/>
      <w:pPr>
        <w:ind w:left="572" w:hanging="360"/>
      </w:pPr>
      <w:rPr>
        <w:rFonts w:ascii="Symbol" w:eastAsia="Cambria" w:hAnsi="Symbol" w:cs="Cambria" w:hint="default"/>
      </w:rPr>
    </w:lvl>
    <w:lvl w:ilvl="1" w:tplc="240A0003" w:tentative="1">
      <w:start w:val="1"/>
      <w:numFmt w:val="bullet"/>
      <w:lvlText w:val="o"/>
      <w:lvlJc w:val="left"/>
      <w:pPr>
        <w:ind w:left="1292" w:hanging="360"/>
      </w:pPr>
      <w:rPr>
        <w:rFonts w:ascii="Courier New" w:hAnsi="Courier New" w:cs="Courier New" w:hint="default"/>
      </w:rPr>
    </w:lvl>
    <w:lvl w:ilvl="2" w:tplc="240A0005" w:tentative="1">
      <w:start w:val="1"/>
      <w:numFmt w:val="bullet"/>
      <w:lvlText w:val=""/>
      <w:lvlJc w:val="left"/>
      <w:pPr>
        <w:ind w:left="2012" w:hanging="360"/>
      </w:pPr>
      <w:rPr>
        <w:rFonts w:ascii="Wingdings" w:hAnsi="Wingdings" w:hint="default"/>
      </w:rPr>
    </w:lvl>
    <w:lvl w:ilvl="3" w:tplc="240A0001" w:tentative="1">
      <w:start w:val="1"/>
      <w:numFmt w:val="bullet"/>
      <w:lvlText w:val=""/>
      <w:lvlJc w:val="left"/>
      <w:pPr>
        <w:ind w:left="2732" w:hanging="360"/>
      </w:pPr>
      <w:rPr>
        <w:rFonts w:ascii="Symbol" w:hAnsi="Symbol" w:hint="default"/>
      </w:rPr>
    </w:lvl>
    <w:lvl w:ilvl="4" w:tplc="240A0003" w:tentative="1">
      <w:start w:val="1"/>
      <w:numFmt w:val="bullet"/>
      <w:lvlText w:val="o"/>
      <w:lvlJc w:val="left"/>
      <w:pPr>
        <w:ind w:left="3452" w:hanging="360"/>
      </w:pPr>
      <w:rPr>
        <w:rFonts w:ascii="Courier New" w:hAnsi="Courier New" w:cs="Courier New" w:hint="default"/>
      </w:rPr>
    </w:lvl>
    <w:lvl w:ilvl="5" w:tplc="240A0005" w:tentative="1">
      <w:start w:val="1"/>
      <w:numFmt w:val="bullet"/>
      <w:lvlText w:val=""/>
      <w:lvlJc w:val="left"/>
      <w:pPr>
        <w:ind w:left="4172" w:hanging="360"/>
      </w:pPr>
      <w:rPr>
        <w:rFonts w:ascii="Wingdings" w:hAnsi="Wingdings" w:hint="default"/>
      </w:rPr>
    </w:lvl>
    <w:lvl w:ilvl="6" w:tplc="240A0001" w:tentative="1">
      <w:start w:val="1"/>
      <w:numFmt w:val="bullet"/>
      <w:lvlText w:val=""/>
      <w:lvlJc w:val="left"/>
      <w:pPr>
        <w:ind w:left="4892" w:hanging="360"/>
      </w:pPr>
      <w:rPr>
        <w:rFonts w:ascii="Symbol" w:hAnsi="Symbol" w:hint="default"/>
      </w:rPr>
    </w:lvl>
    <w:lvl w:ilvl="7" w:tplc="240A0003" w:tentative="1">
      <w:start w:val="1"/>
      <w:numFmt w:val="bullet"/>
      <w:lvlText w:val="o"/>
      <w:lvlJc w:val="left"/>
      <w:pPr>
        <w:ind w:left="5612" w:hanging="360"/>
      </w:pPr>
      <w:rPr>
        <w:rFonts w:ascii="Courier New" w:hAnsi="Courier New" w:cs="Courier New" w:hint="default"/>
      </w:rPr>
    </w:lvl>
    <w:lvl w:ilvl="8" w:tplc="240A0005" w:tentative="1">
      <w:start w:val="1"/>
      <w:numFmt w:val="bullet"/>
      <w:lvlText w:val=""/>
      <w:lvlJc w:val="left"/>
      <w:pPr>
        <w:ind w:left="6332" w:hanging="360"/>
      </w:pPr>
      <w:rPr>
        <w:rFonts w:ascii="Wingdings" w:hAnsi="Wingdings" w:hint="default"/>
      </w:rPr>
    </w:lvl>
  </w:abstractNum>
  <w:abstractNum w:abstractNumId="1" w15:restartNumberingAfterBreak="0">
    <w:nsid w:val="09E9646F"/>
    <w:multiLevelType w:val="hybridMultilevel"/>
    <w:tmpl w:val="930CC99E"/>
    <w:lvl w:ilvl="0" w:tplc="517214B4">
      <w:start w:val="1"/>
      <w:numFmt w:val="decimal"/>
      <w:lvlText w:val="%1."/>
      <w:lvlJc w:val="left"/>
      <w:pPr>
        <w:ind w:left="229" w:hanging="120"/>
      </w:pPr>
      <w:rPr>
        <w:rFonts w:hint="default"/>
        <w:spacing w:val="0"/>
        <w:w w:val="72"/>
        <w:lang w:val="es-ES" w:eastAsia="en-US" w:bidi="ar-SA"/>
      </w:rPr>
    </w:lvl>
    <w:lvl w:ilvl="1" w:tplc="8FCAE022">
      <w:numFmt w:val="bullet"/>
      <w:lvlText w:val="●"/>
      <w:lvlJc w:val="left"/>
      <w:pPr>
        <w:ind w:left="595" w:hanging="183"/>
      </w:pPr>
      <w:rPr>
        <w:rFonts w:ascii="Arial" w:eastAsia="Arial" w:hAnsi="Arial" w:cs="Arial" w:hint="default"/>
        <w:b/>
        <w:bCs/>
        <w:i w:val="0"/>
        <w:iCs w:val="0"/>
        <w:color w:val="231F20"/>
        <w:spacing w:val="0"/>
        <w:w w:val="101"/>
        <w:sz w:val="11"/>
        <w:szCs w:val="11"/>
        <w:lang w:val="es-ES" w:eastAsia="en-US" w:bidi="ar-SA"/>
      </w:rPr>
    </w:lvl>
    <w:lvl w:ilvl="2" w:tplc="18082F1E">
      <w:numFmt w:val="bullet"/>
      <w:lvlText w:val="•"/>
      <w:lvlJc w:val="left"/>
      <w:pPr>
        <w:ind w:left="1082" w:hanging="183"/>
      </w:pPr>
      <w:rPr>
        <w:rFonts w:hint="default"/>
        <w:lang w:val="es-ES" w:eastAsia="en-US" w:bidi="ar-SA"/>
      </w:rPr>
    </w:lvl>
    <w:lvl w:ilvl="3" w:tplc="06EE38BA">
      <w:numFmt w:val="bullet"/>
      <w:lvlText w:val="•"/>
      <w:lvlJc w:val="left"/>
      <w:pPr>
        <w:ind w:left="1565" w:hanging="183"/>
      </w:pPr>
      <w:rPr>
        <w:rFonts w:hint="default"/>
        <w:lang w:val="es-ES" w:eastAsia="en-US" w:bidi="ar-SA"/>
      </w:rPr>
    </w:lvl>
    <w:lvl w:ilvl="4" w:tplc="B27CCAEC">
      <w:numFmt w:val="bullet"/>
      <w:lvlText w:val="•"/>
      <w:lvlJc w:val="left"/>
      <w:pPr>
        <w:ind w:left="2048" w:hanging="183"/>
      </w:pPr>
      <w:rPr>
        <w:rFonts w:hint="default"/>
        <w:lang w:val="es-ES" w:eastAsia="en-US" w:bidi="ar-SA"/>
      </w:rPr>
    </w:lvl>
    <w:lvl w:ilvl="5" w:tplc="41E6A6A6">
      <w:numFmt w:val="bullet"/>
      <w:lvlText w:val="•"/>
      <w:lvlJc w:val="left"/>
      <w:pPr>
        <w:ind w:left="2531" w:hanging="183"/>
      </w:pPr>
      <w:rPr>
        <w:rFonts w:hint="default"/>
        <w:lang w:val="es-ES" w:eastAsia="en-US" w:bidi="ar-SA"/>
      </w:rPr>
    </w:lvl>
    <w:lvl w:ilvl="6" w:tplc="A7C253B0">
      <w:numFmt w:val="bullet"/>
      <w:lvlText w:val="•"/>
      <w:lvlJc w:val="left"/>
      <w:pPr>
        <w:ind w:left="3013" w:hanging="183"/>
      </w:pPr>
      <w:rPr>
        <w:rFonts w:hint="default"/>
        <w:lang w:val="es-ES" w:eastAsia="en-US" w:bidi="ar-SA"/>
      </w:rPr>
    </w:lvl>
    <w:lvl w:ilvl="7" w:tplc="0B4EF18A">
      <w:numFmt w:val="bullet"/>
      <w:lvlText w:val="•"/>
      <w:lvlJc w:val="left"/>
      <w:pPr>
        <w:ind w:left="3496" w:hanging="183"/>
      </w:pPr>
      <w:rPr>
        <w:rFonts w:hint="default"/>
        <w:lang w:val="es-ES" w:eastAsia="en-US" w:bidi="ar-SA"/>
      </w:rPr>
    </w:lvl>
    <w:lvl w:ilvl="8" w:tplc="E00AA014">
      <w:numFmt w:val="bullet"/>
      <w:lvlText w:val="•"/>
      <w:lvlJc w:val="left"/>
      <w:pPr>
        <w:ind w:left="3979" w:hanging="183"/>
      </w:pPr>
      <w:rPr>
        <w:rFonts w:hint="default"/>
        <w:lang w:val="es-ES" w:eastAsia="en-US" w:bidi="ar-SA"/>
      </w:rPr>
    </w:lvl>
  </w:abstractNum>
  <w:abstractNum w:abstractNumId="2" w15:restartNumberingAfterBreak="0">
    <w:nsid w:val="0CF9527F"/>
    <w:multiLevelType w:val="hybridMultilevel"/>
    <w:tmpl w:val="213EA756"/>
    <w:lvl w:ilvl="0" w:tplc="3AF2A750">
      <w:numFmt w:val="bullet"/>
      <w:lvlText w:val="●"/>
      <w:lvlJc w:val="left"/>
      <w:pPr>
        <w:ind w:left="612" w:hanging="183"/>
      </w:pPr>
      <w:rPr>
        <w:rFonts w:ascii="Microsoft Sans Serif" w:eastAsia="Microsoft Sans Serif" w:hAnsi="Microsoft Sans Serif" w:cs="Microsoft Sans Serif" w:hint="default"/>
        <w:b w:val="0"/>
        <w:bCs w:val="0"/>
        <w:i w:val="0"/>
        <w:iCs w:val="0"/>
        <w:color w:val="231F20"/>
        <w:spacing w:val="0"/>
        <w:w w:val="101"/>
        <w:sz w:val="11"/>
        <w:szCs w:val="11"/>
        <w:lang w:val="es-ES" w:eastAsia="en-US" w:bidi="ar-SA"/>
      </w:rPr>
    </w:lvl>
    <w:lvl w:ilvl="1" w:tplc="1AAEFE58">
      <w:numFmt w:val="bullet"/>
      <w:lvlText w:val="•"/>
      <w:lvlJc w:val="left"/>
      <w:pPr>
        <w:ind w:left="1052" w:hanging="183"/>
      </w:pPr>
      <w:rPr>
        <w:rFonts w:hint="default"/>
        <w:lang w:val="es-ES" w:eastAsia="en-US" w:bidi="ar-SA"/>
      </w:rPr>
    </w:lvl>
    <w:lvl w:ilvl="2" w:tplc="19063AA6">
      <w:numFmt w:val="bullet"/>
      <w:lvlText w:val="•"/>
      <w:lvlJc w:val="left"/>
      <w:pPr>
        <w:ind w:left="1485" w:hanging="183"/>
      </w:pPr>
      <w:rPr>
        <w:rFonts w:hint="default"/>
        <w:lang w:val="es-ES" w:eastAsia="en-US" w:bidi="ar-SA"/>
      </w:rPr>
    </w:lvl>
    <w:lvl w:ilvl="3" w:tplc="3F30A160">
      <w:numFmt w:val="bullet"/>
      <w:lvlText w:val="•"/>
      <w:lvlJc w:val="left"/>
      <w:pPr>
        <w:ind w:left="1917" w:hanging="183"/>
      </w:pPr>
      <w:rPr>
        <w:rFonts w:hint="default"/>
        <w:lang w:val="es-ES" w:eastAsia="en-US" w:bidi="ar-SA"/>
      </w:rPr>
    </w:lvl>
    <w:lvl w:ilvl="4" w:tplc="51F81FB0">
      <w:numFmt w:val="bullet"/>
      <w:lvlText w:val="•"/>
      <w:lvlJc w:val="left"/>
      <w:pPr>
        <w:ind w:left="2350" w:hanging="183"/>
      </w:pPr>
      <w:rPr>
        <w:rFonts w:hint="default"/>
        <w:lang w:val="es-ES" w:eastAsia="en-US" w:bidi="ar-SA"/>
      </w:rPr>
    </w:lvl>
    <w:lvl w:ilvl="5" w:tplc="0FD24F1C">
      <w:numFmt w:val="bullet"/>
      <w:lvlText w:val="•"/>
      <w:lvlJc w:val="left"/>
      <w:pPr>
        <w:ind w:left="2782" w:hanging="183"/>
      </w:pPr>
      <w:rPr>
        <w:rFonts w:hint="default"/>
        <w:lang w:val="es-ES" w:eastAsia="en-US" w:bidi="ar-SA"/>
      </w:rPr>
    </w:lvl>
    <w:lvl w:ilvl="6" w:tplc="43F217D8">
      <w:numFmt w:val="bullet"/>
      <w:lvlText w:val="•"/>
      <w:lvlJc w:val="left"/>
      <w:pPr>
        <w:ind w:left="3215" w:hanging="183"/>
      </w:pPr>
      <w:rPr>
        <w:rFonts w:hint="default"/>
        <w:lang w:val="es-ES" w:eastAsia="en-US" w:bidi="ar-SA"/>
      </w:rPr>
    </w:lvl>
    <w:lvl w:ilvl="7" w:tplc="31C49BDA">
      <w:numFmt w:val="bullet"/>
      <w:lvlText w:val="•"/>
      <w:lvlJc w:val="left"/>
      <w:pPr>
        <w:ind w:left="3647" w:hanging="183"/>
      </w:pPr>
      <w:rPr>
        <w:rFonts w:hint="default"/>
        <w:lang w:val="es-ES" w:eastAsia="en-US" w:bidi="ar-SA"/>
      </w:rPr>
    </w:lvl>
    <w:lvl w:ilvl="8" w:tplc="83864634">
      <w:numFmt w:val="bullet"/>
      <w:lvlText w:val="•"/>
      <w:lvlJc w:val="left"/>
      <w:pPr>
        <w:ind w:left="4080" w:hanging="183"/>
      </w:pPr>
      <w:rPr>
        <w:rFonts w:hint="default"/>
        <w:lang w:val="es-ES" w:eastAsia="en-US" w:bidi="ar-SA"/>
      </w:rPr>
    </w:lvl>
  </w:abstractNum>
  <w:abstractNum w:abstractNumId="3" w15:restartNumberingAfterBreak="0">
    <w:nsid w:val="15214279"/>
    <w:multiLevelType w:val="hybridMultilevel"/>
    <w:tmpl w:val="2100799E"/>
    <w:lvl w:ilvl="0" w:tplc="C162461C">
      <w:numFmt w:val="bullet"/>
      <w:lvlText w:val="-"/>
      <w:lvlJc w:val="left"/>
      <w:pPr>
        <w:ind w:left="720" w:hanging="360"/>
      </w:pPr>
      <w:rPr>
        <w:rFonts w:ascii="Verdana" w:eastAsia="Calibri" w:hAnsi="Verdana" w:cs="Times New Roman"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67A6C46"/>
    <w:multiLevelType w:val="multilevel"/>
    <w:tmpl w:val="1772E002"/>
    <w:lvl w:ilvl="0">
      <w:start w:val="1"/>
      <w:numFmt w:val="decimal"/>
      <w:lvlText w:val="%1."/>
      <w:lvlJc w:val="left"/>
      <w:pPr>
        <w:ind w:left="720" w:hanging="360"/>
      </w:pPr>
      <w:rPr>
        <w:b/>
      </w:rPr>
    </w:lvl>
    <w:lvl w:ilvl="1">
      <w:start w:val="1"/>
      <w:numFmt w:val="decimal"/>
      <w:lvlText w:val="%1.%2"/>
      <w:lvlJc w:val="left"/>
      <w:pPr>
        <w:ind w:left="720" w:hanging="360"/>
      </w:pPr>
      <w:rPr>
        <w:b/>
        <w:sz w:val="24"/>
        <w:szCs w:val="24"/>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5" w15:restartNumberingAfterBreak="0">
    <w:nsid w:val="18773897"/>
    <w:multiLevelType w:val="hybridMultilevel"/>
    <w:tmpl w:val="6F22EC7A"/>
    <w:lvl w:ilvl="0" w:tplc="8272D2F6">
      <w:numFmt w:val="bullet"/>
      <w:lvlText w:val="●"/>
      <w:lvlJc w:val="left"/>
      <w:pPr>
        <w:ind w:left="546" w:hanging="186"/>
      </w:pPr>
      <w:rPr>
        <w:rFonts w:ascii="Microsoft Sans Serif" w:eastAsia="Microsoft Sans Serif" w:hAnsi="Microsoft Sans Serif" w:cs="Microsoft Sans Serif" w:hint="default"/>
        <w:b w:val="0"/>
        <w:bCs w:val="0"/>
        <w:i w:val="0"/>
        <w:iCs w:val="0"/>
        <w:color w:val="231F20"/>
        <w:spacing w:val="0"/>
        <w:w w:val="103"/>
        <w:sz w:val="11"/>
        <w:szCs w:val="11"/>
        <w:lang w:val="es-ES" w:eastAsia="en-US" w:bidi="ar-SA"/>
      </w:rPr>
    </w:lvl>
    <w:lvl w:ilvl="1" w:tplc="C0CCDB94">
      <w:numFmt w:val="bullet"/>
      <w:lvlText w:val="•"/>
      <w:lvlJc w:val="left"/>
      <w:pPr>
        <w:ind w:left="980" w:hanging="186"/>
      </w:pPr>
      <w:rPr>
        <w:rFonts w:hint="default"/>
        <w:lang w:val="es-ES" w:eastAsia="en-US" w:bidi="ar-SA"/>
      </w:rPr>
    </w:lvl>
    <w:lvl w:ilvl="2" w:tplc="6A62BA6A">
      <w:numFmt w:val="bullet"/>
      <w:lvlText w:val="•"/>
      <w:lvlJc w:val="left"/>
      <w:pPr>
        <w:ind w:left="1421" w:hanging="186"/>
      </w:pPr>
      <w:rPr>
        <w:rFonts w:hint="default"/>
        <w:lang w:val="es-ES" w:eastAsia="en-US" w:bidi="ar-SA"/>
      </w:rPr>
    </w:lvl>
    <w:lvl w:ilvl="3" w:tplc="123E179A">
      <w:numFmt w:val="bullet"/>
      <w:lvlText w:val="•"/>
      <w:lvlJc w:val="left"/>
      <w:pPr>
        <w:ind w:left="1861" w:hanging="186"/>
      </w:pPr>
      <w:rPr>
        <w:rFonts w:hint="default"/>
        <w:lang w:val="es-ES" w:eastAsia="en-US" w:bidi="ar-SA"/>
      </w:rPr>
    </w:lvl>
    <w:lvl w:ilvl="4" w:tplc="D474090A">
      <w:numFmt w:val="bullet"/>
      <w:lvlText w:val="•"/>
      <w:lvlJc w:val="left"/>
      <w:pPr>
        <w:ind w:left="2302" w:hanging="186"/>
      </w:pPr>
      <w:rPr>
        <w:rFonts w:hint="default"/>
        <w:lang w:val="es-ES" w:eastAsia="en-US" w:bidi="ar-SA"/>
      </w:rPr>
    </w:lvl>
    <w:lvl w:ilvl="5" w:tplc="0A2467CA">
      <w:numFmt w:val="bullet"/>
      <w:lvlText w:val="•"/>
      <w:lvlJc w:val="left"/>
      <w:pPr>
        <w:ind w:left="2742" w:hanging="186"/>
      </w:pPr>
      <w:rPr>
        <w:rFonts w:hint="default"/>
        <w:lang w:val="es-ES" w:eastAsia="en-US" w:bidi="ar-SA"/>
      </w:rPr>
    </w:lvl>
    <w:lvl w:ilvl="6" w:tplc="3C24829A">
      <w:numFmt w:val="bullet"/>
      <w:lvlText w:val="•"/>
      <w:lvlJc w:val="left"/>
      <w:pPr>
        <w:ind w:left="3183" w:hanging="186"/>
      </w:pPr>
      <w:rPr>
        <w:rFonts w:hint="default"/>
        <w:lang w:val="es-ES" w:eastAsia="en-US" w:bidi="ar-SA"/>
      </w:rPr>
    </w:lvl>
    <w:lvl w:ilvl="7" w:tplc="D53ABE8C">
      <w:numFmt w:val="bullet"/>
      <w:lvlText w:val="•"/>
      <w:lvlJc w:val="left"/>
      <w:pPr>
        <w:ind w:left="3623" w:hanging="186"/>
      </w:pPr>
      <w:rPr>
        <w:rFonts w:hint="default"/>
        <w:lang w:val="es-ES" w:eastAsia="en-US" w:bidi="ar-SA"/>
      </w:rPr>
    </w:lvl>
    <w:lvl w:ilvl="8" w:tplc="71147DC6">
      <w:numFmt w:val="bullet"/>
      <w:lvlText w:val="•"/>
      <w:lvlJc w:val="left"/>
      <w:pPr>
        <w:ind w:left="4064" w:hanging="186"/>
      </w:pPr>
      <w:rPr>
        <w:rFonts w:hint="default"/>
        <w:lang w:val="es-ES" w:eastAsia="en-US" w:bidi="ar-SA"/>
      </w:rPr>
    </w:lvl>
  </w:abstractNum>
  <w:abstractNum w:abstractNumId="6" w15:restartNumberingAfterBreak="0">
    <w:nsid w:val="24F15B5F"/>
    <w:multiLevelType w:val="hybridMultilevel"/>
    <w:tmpl w:val="290E554A"/>
    <w:lvl w:ilvl="0" w:tplc="80EEC692">
      <w:numFmt w:val="bullet"/>
      <w:lvlText w:val="●"/>
      <w:lvlJc w:val="left"/>
      <w:pPr>
        <w:ind w:left="595" w:hanging="183"/>
      </w:pPr>
      <w:rPr>
        <w:rFonts w:ascii="Arial" w:eastAsia="Arial" w:hAnsi="Arial" w:cs="Arial" w:hint="default"/>
        <w:b/>
        <w:bCs/>
        <w:i w:val="0"/>
        <w:iCs w:val="0"/>
        <w:color w:val="231F20"/>
        <w:spacing w:val="0"/>
        <w:w w:val="101"/>
        <w:sz w:val="11"/>
        <w:szCs w:val="11"/>
        <w:lang w:val="es-ES" w:eastAsia="en-US" w:bidi="ar-SA"/>
      </w:rPr>
    </w:lvl>
    <w:lvl w:ilvl="1" w:tplc="5F581A00">
      <w:numFmt w:val="bullet"/>
      <w:lvlText w:val="•"/>
      <w:lvlJc w:val="left"/>
      <w:pPr>
        <w:ind w:left="1034" w:hanging="183"/>
      </w:pPr>
      <w:rPr>
        <w:rFonts w:hint="default"/>
        <w:lang w:val="es-ES" w:eastAsia="en-US" w:bidi="ar-SA"/>
      </w:rPr>
    </w:lvl>
    <w:lvl w:ilvl="2" w:tplc="DB82C0A6">
      <w:numFmt w:val="bullet"/>
      <w:lvlText w:val="•"/>
      <w:lvlJc w:val="left"/>
      <w:pPr>
        <w:ind w:left="1469" w:hanging="183"/>
      </w:pPr>
      <w:rPr>
        <w:rFonts w:hint="default"/>
        <w:lang w:val="es-ES" w:eastAsia="en-US" w:bidi="ar-SA"/>
      </w:rPr>
    </w:lvl>
    <w:lvl w:ilvl="3" w:tplc="1D86F39C">
      <w:numFmt w:val="bullet"/>
      <w:lvlText w:val="•"/>
      <w:lvlJc w:val="left"/>
      <w:pPr>
        <w:ind w:left="1903" w:hanging="183"/>
      </w:pPr>
      <w:rPr>
        <w:rFonts w:hint="default"/>
        <w:lang w:val="es-ES" w:eastAsia="en-US" w:bidi="ar-SA"/>
      </w:rPr>
    </w:lvl>
    <w:lvl w:ilvl="4" w:tplc="36E08E04">
      <w:numFmt w:val="bullet"/>
      <w:lvlText w:val="•"/>
      <w:lvlJc w:val="left"/>
      <w:pPr>
        <w:ind w:left="2338" w:hanging="183"/>
      </w:pPr>
      <w:rPr>
        <w:rFonts w:hint="default"/>
        <w:lang w:val="es-ES" w:eastAsia="en-US" w:bidi="ar-SA"/>
      </w:rPr>
    </w:lvl>
    <w:lvl w:ilvl="5" w:tplc="D6AC1128">
      <w:numFmt w:val="bullet"/>
      <w:lvlText w:val="•"/>
      <w:lvlJc w:val="left"/>
      <w:pPr>
        <w:ind w:left="2772" w:hanging="183"/>
      </w:pPr>
      <w:rPr>
        <w:rFonts w:hint="default"/>
        <w:lang w:val="es-ES" w:eastAsia="en-US" w:bidi="ar-SA"/>
      </w:rPr>
    </w:lvl>
    <w:lvl w:ilvl="6" w:tplc="A328D5E0">
      <w:numFmt w:val="bullet"/>
      <w:lvlText w:val="•"/>
      <w:lvlJc w:val="left"/>
      <w:pPr>
        <w:ind w:left="3207" w:hanging="183"/>
      </w:pPr>
      <w:rPr>
        <w:rFonts w:hint="default"/>
        <w:lang w:val="es-ES" w:eastAsia="en-US" w:bidi="ar-SA"/>
      </w:rPr>
    </w:lvl>
    <w:lvl w:ilvl="7" w:tplc="B2920020">
      <w:numFmt w:val="bullet"/>
      <w:lvlText w:val="•"/>
      <w:lvlJc w:val="left"/>
      <w:pPr>
        <w:ind w:left="3641" w:hanging="183"/>
      </w:pPr>
      <w:rPr>
        <w:rFonts w:hint="default"/>
        <w:lang w:val="es-ES" w:eastAsia="en-US" w:bidi="ar-SA"/>
      </w:rPr>
    </w:lvl>
    <w:lvl w:ilvl="8" w:tplc="3B7EDA6C">
      <w:numFmt w:val="bullet"/>
      <w:lvlText w:val="•"/>
      <w:lvlJc w:val="left"/>
      <w:pPr>
        <w:ind w:left="4076" w:hanging="183"/>
      </w:pPr>
      <w:rPr>
        <w:rFonts w:hint="default"/>
        <w:lang w:val="es-ES" w:eastAsia="en-US" w:bidi="ar-SA"/>
      </w:rPr>
    </w:lvl>
  </w:abstractNum>
  <w:abstractNum w:abstractNumId="7" w15:restartNumberingAfterBreak="0">
    <w:nsid w:val="4880105D"/>
    <w:multiLevelType w:val="hybridMultilevel"/>
    <w:tmpl w:val="F3FC91F6"/>
    <w:lvl w:ilvl="0" w:tplc="29921630">
      <w:numFmt w:val="bullet"/>
      <w:lvlText w:val="●"/>
      <w:lvlJc w:val="left"/>
      <w:pPr>
        <w:ind w:left="613" w:hanging="183"/>
      </w:pPr>
      <w:rPr>
        <w:rFonts w:ascii="Arial" w:eastAsia="Arial" w:hAnsi="Arial" w:cs="Arial" w:hint="default"/>
        <w:b/>
        <w:bCs/>
        <w:i w:val="0"/>
        <w:iCs w:val="0"/>
        <w:color w:val="231F20"/>
        <w:spacing w:val="0"/>
        <w:w w:val="101"/>
        <w:sz w:val="11"/>
        <w:szCs w:val="11"/>
        <w:lang w:val="es-ES" w:eastAsia="en-US" w:bidi="ar-SA"/>
      </w:rPr>
    </w:lvl>
    <w:lvl w:ilvl="1" w:tplc="AF54A18C">
      <w:numFmt w:val="bullet"/>
      <w:lvlText w:val="•"/>
      <w:lvlJc w:val="left"/>
      <w:pPr>
        <w:ind w:left="1052" w:hanging="183"/>
      </w:pPr>
      <w:rPr>
        <w:rFonts w:hint="default"/>
        <w:lang w:val="es-ES" w:eastAsia="en-US" w:bidi="ar-SA"/>
      </w:rPr>
    </w:lvl>
    <w:lvl w:ilvl="2" w:tplc="29027E7C">
      <w:numFmt w:val="bullet"/>
      <w:lvlText w:val="•"/>
      <w:lvlJc w:val="left"/>
      <w:pPr>
        <w:ind w:left="1485" w:hanging="183"/>
      </w:pPr>
      <w:rPr>
        <w:rFonts w:hint="default"/>
        <w:lang w:val="es-ES" w:eastAsia="en-US" w:bidi="ar-SA"/>
      </w:rPr>
    </w:lvl>
    <w:lvl w:ilvl="3" w:tplc="D840B892">
      <w:numFmt w:val="bullet"/>
      <w:lvlText w:val="•"/>
      <w:lvlJc w:val="left"/>
      <w:pPr>
        <w:ind w:left="1917" w:hanging="183"/>
      </w:pPr>
      <w:rPr>
        <w:rFonts w:hint="default"/>
        <w:lang w:val="es-ES" w:eastAsia="en-US" w:bidi="ar-SA"/>
      </w:rPr>
    </w:lvl>
    <w:lvl w:ilvl="4" w:tplc="27B83FA4">
      <w:numFmt w:val="bullet"/>
      <w:lvlText w:val="•"/>
      <w:lvlJc w:val="left"/>
      <w:pPr>
        <w:ind w:left="2350" w:hanging="183"/>
      </w:pPr>
      <w:rPr>
        <w:rFonts w:hint="default"/>
        <w:lang w:val="es-ES" w:eastAsia="en-US" w:bidi="ar-SA"/>
      </w:rPr>
    </w:lvl>
    <w:lvl w:ilvl="5" w:tplc="E65CEF12">
      <w:numFmt w:val="bullet"/>
      <w:lvlText w:val="•"/>
      <w:lvlJc w:val="left"/>
      <w:pPr>
        <w:ind w:left="2782" w:hanging="183"/>
      </w:pPr>
      <w:rPr>
        <w:rFonts w:hint="default"/>
        <w:lang w:val="es-ES" w:eastAsia="en-US" w:bidi="ar-SA"/>
      </w:rPr>
    </w:lvl>
    <w:lvl w:ilvl="6" w:tplc="39D63FB2">
      <w:numFmt w:val="bullet"/>
      <w:lvlText w:val="•"/>
      <w:lvlJc w:val="left"/>
      <w:pPr>
        <w:ind w:left="3215" w:hanging="183"/>
      </w:pPr>
      <w:rPr>
        <w:rFonts w:hint="default"/>
        <w:lang w:val="es-ES" w:eastAsia="en-US" w:bidi="ar-SA"/>
      </w:rPr>
    </w:lvl>
    <w:lvl w:ilvl="7" w:tplc="1AAEFD56">
      <w:numFmt w:val="bullet"/>
      <w:lvlText w:val="•"/>
      <w:lvlJc w:val="left"/>
      <w:pPr>
        <w:ind w:left="3647" w:hanging="183"/>
      </w:pPr>
      <w:rPr>
        <w:rFonts w:hint="default"/>
        <w:lang w:val="es-ES" w:eastAsia="en-US" w:bidi="ar-SA"/>
      </w:rPr>
    </w:lvl>
    <w:lvl w:ilvl="8" w:tplc="6E7877CA">
      <w:numFmt w:val="bullet"/>
      <w:lvlText w:val="•"/>
      <w:lvlJc w:val="left"/>
      <w:pPr>
        <w:ind w:left="4080" w:hanging="183"/>
      </w:pPr>
      <w:rPr>
        <w:rFonts w:hint="default"/>
        <w:lang w:val="es-ES" w:eastAsia="en-US" w:bidi="ar-SA"/>
      </w:rPr>
    </w:lvl>
  </w:abstractNum>
  <w:abstractNum w:abstractNumId="8" w15:restartNumberingAfterBreak="0">
    <w:nsid w:val="4B065911"/>
    <w:multiLevelType w:val="hybridMultilevel"/>
    <w:tmpl w:val="3AA42810"/>
    <w:lvl w:ilvl="0" w:tplc="54CC959E">
      <w:start w:val="2"/>
      <w:numFmt w:val="upperRoman"/>
      <w:lvlText w:val="%1."/>
      <w:lvlJc w:val="left"/>
      <w:pPr>
        <w:ind w:left="874" w:hanging="363"/>
      </w:pPr>
      <w:rPr>
        <w:rFonts w:ascii="Palatino Linotype" w:eastAsia="Palatino Linotype" w:hAnsi="Palatino Linotype" w:cs="Palatino Linotype" w:hint="default"/>
        <w:b/>
        <w:bCs/>
        <w:i w:val="0"/>
        <w:iCs w:val="0"/>
        <w:color w:val="231F20"/>
        <w:spacing w:val="-1"/>
        <w:w w:val="100"/>
        <w:sz w:val="11"/>
        <w:szCs w:val="11"/>
        <w:lang w:val="es-ES" w:eastAsia="en-US" w:bidi="ar-SA"/>
      </w:rPr>
    </w:lvl>
    <w:lvl w:ilvl="1" w:tplc="7A2A0DF6">
      <w:numFmt w:val="bullet"/>
      <w:lvlText w:val="●"/>
      <w:lvlJc w:val="left"/>
      <w:pPr>
        <w:ind w:left="693" w:hanging="182"/>
      </w:pPr>
      <w:rPr>
        <w:rFonts w:ascii="Microsoft Sans Serif" w:eastAsia="Microsoft Sans Serif" w:hAnsi="Microsoft Sans Serif" w:cs="Microsoft Sans Serif" w:hint="default"/>
        <w:b w:val="0"/>
        <w:bCs w:val="0"/>
        <w:i w:val="0"/>
        <w:iCs w:val="0"/>
        <w:color w:val="231F20"/>
        <w:spacing w:val="0"/>
        <w:w w:val="100"/>
        <w:sz w:val="11"/>
        <w:szCs w:val="11"/>
        <w:lang w:val="es-ES" w:eastAsia="en-US" w:bidi="ar-SA"/>
      </w:rPr>
    </w:lvl>
    <w:lvl w:ilvl="2" w:tplc="15AA65FC">
      <w:numFmt w:val="bullet"/>
      <w:lvlText w:val="•"/>
      <w:lvlJc w:val="left"/>
      <w:pPr>
        <w:ind w:left="1331" w:hanging="182"/>
      </w:pPr>
      <w:rPr>
        <w:rFonts w:hint="default"/>
        <w:lang w:val="es-ES" w:eastAsia="en-US" w:bidi="ar-SA"/>
      </w:rPr>
    </w:lvl>
    <w:lvl w:ilvl="3" w:tplc="F0A47BDC">
      <w:numFmt w:val="bullet"/>
      <w:lvlText w:val="•"/>
      <w:lvlJc w:val="left"/>
      <w:pPr>
        <w:ind w:left="1783" w:hanging="182"/>
      </w:pPr>
      <w:rPr>
        <w:rFonts w:hint="default"/>
        <w:lang w:val="es-ES" w:eastAsia="en-US" w:bidi="ar-SA"/>
      </w:rPr>
    </w:lvl>
    <w:lvl w:ilvl="4" w:tplc="1F9028C0">
      <w:numFmt w:val="bullet"/>
      <w:lvlText w:val="•"/>
      <w:lvlJc w:val="left"/>
      <w:pPr>
        <w:ind w:left="2235" w:hanging="182"/>
      </w:pPr>
      <w:rPr>
        <w:rFonts w:hint="default"/>
        <w:lang w:val="es-ES" w:eastAsia="en-US" w:bidi="ar-SA"/>
      </w:rPr>
    </w:lvl>
    <w:lvl w:ilvl="5" w:tplc="B93A57F8">
      <w:numFmt w:val="bullet"/>
      <w:lvlText w:val="•"/>
      <w:lvlJc w:val="left"/>
      <w:pPr>
        <w:ind w:left="2686" w:hanging="182"/>
      </w:pPr>
      <w:rPr>
        <w:rFonts w:hint="default"/>
        <w:lang w:val="es-ES" w:eastAsia="en-US" w:bidi="ar-SA"/>
      </w:rPr>
    </w:lvl>
    <w:lvl w:ilvl="6" w:tplc="49440F5C">
      <w:numFmt w:val="bullet"/>
      <w:lvlText w:val="•"/>
      <w:lvlJc w:val="left"/>
      <w:pPr>
        <w:ind w:left="3138" w:hanging="182"/>
      </w:pPr>
      <w:rPr>
        <w:rFonts w:hint="default"/>
        <w:lang w:val="es-ES" w:eastAsia="en-US" w:bidi="ar-SA"/>
      </w:rPr>
    </w:lvl>
    <w:lvl w:ilvl="7" w:tplc="946A2714">
      <w:numFmt w:val="bullet"/>
      <w:lvlText w:val="•"/>
      <w:lvlJc w:val="left"/>
      <w:pPr>
        <w:ind w:left="3590" w:hanging="182"/>
      </w:pPr>
      <w:rPr>
        <w:rFonts w:hint="default"/>
        <w:lang w:val="es-ES" w:eastAsia="en-US" w:bidi="ar-SA"/>
      </w:rPr>
    </w:lvl>
    <w:lvl w:ilvl="8" w:tplc="9F446DBC">
      <w:numFmt w:val="bullet"/>
      <w:lvlText w:val="•"/>
      <w:lvlJc w:val="left"/>
      <w:pPr>
        <w:ind w:left="4041" w:hanging="182"/>
      </w:pPr>
      <w:rPr>
        <w:rFonts w:hint="default"/>
        <w:lang w:val="es-ES" w:eastAsia="en-US" w:bidi="ar-SA"/>
      </w:rPr>
    </w:lvl>
  </w:abstractNum>
  <w:abstractNum w:abstractNumId="9" w15:restartNumberingAfterBreak="0">
    <w:nsid w:val="5C46206C"/>
    <w:multiLevelType w:val="hybridMultilevel"/>
    <w:tmpl w:val="08C49B8A"/>
    <w:lvl w:ilvl="0" w:tplc="8DFC69D8">
      <w:numFmt w:val="bullet"/>
      <w:lvlText w:val="●"/>
      <w:lvlJc w:val="left"/>
      <w:pPr>
        <w:ind w:left="348" w:hanging="195"/>
      </w:pPr>
      <w:rPr>
        <w:rFonts w:ascii="Microsoft Sans Serif" w:eastAsia="Microsoft Sans Serif" w:hAnsi="Microsoft Sans Serif" w:cs="Microsoft Sans Serif" w:hint="default"/>
        <w:b w:val="0"/>
        <w:bCs w:val="0"/>
        <w:i w:val="0"/>
        <w:iCs w:val="0"/>
        <w:color w:val="231F20"/>
        <w:spacing w:val="0"/>
        <w:w w:val="99"/>
        <w:sz w:val="12"/>
        <w:szCs w:val="12"/>
        <w:lang w:val="es-ES" w:eastAsia="en-US" w:bidi="ar-SA"/>
      </w:rPr>
    </w:lvl>
    <w:lvl w:ilvl="1" w:tplc="E66AEF42">
      <w:numFmt w:val="bullet"/>
      <w:lvlText w:val="•"/>
      <w:lvlJc w:val="left"/>
      <w:pPr>
        <w:ind w:left="800" w:hanging="195"/>
      </w:pPr>
      <w:rPr>
        <w:rFonts w:hint="default"/>
        <w:lang w:val="es-ES" w:eastAsia="en-US" w:bidi="ar-SA"/>
      </w:rPr>
    </w:lvl>
    <w:lvl w:ilvl="2" w:tplc="7E1A0D4C">
      <w:numFmt w:val="bullet"/>
      <w:lvlText w:val="•"/>
      <w:lvlJc w:val="left"/>
      <w:pPr>
        <w:ind w:left="1261" w:hanging="195"/>
      </w:pPr>
      <w:rPr>
        <w:rFonts w:hint="default"/>
        <w:lang w:val="es-ES" w:eastAsia="en-US" w:bidi="ar-SA"/>
      </w:rPr>
    </w:lvl>
    <w:lvl w:ilvl="3" w:tplc="8A8CA234">
      <w:numFmt w:val="bullet"/>
      <w:lvlText w:val="•"/>
      <w:lvlJc w:val="left"/>
      <w:pPr>
        <w:ind w:left="1721" w:hanging="195"/>
      </w:pPr>
      <w:rPr>
        <w:rFonts w:hint="default"/>
        <w:lang w:val="es-ES" w:eastAsia="en-US" w:bidi="ar-SA"/>
      </w:rPr>
    </w:lvl>
    <w:lvl w:ilvl="4" w:tplc="28FCD518">
      <w:numFmt w:val="bullet"/>
      <w:lvlText w:val="•"/>
      <w:lvlJc w:val="left"/>
      <w:pPr>
        <w:ind w:left="2182" w:hanging="195"/>
      </w:pPr>
      <w:rPr>
        <w:rFonts w:hint="default"/>
        <w:lang w:val="es-ES" w:eastAsia="en-US" w:bidi="ar-SA"/>
      </w:rPr>
    </w:lvl>
    <w:lvl w:ilvl="5" w:tplc="B6068610">
      <w:numFmt w:val="bullet"/>
      <w:lvlText w:val="•"/>
      <w:lvlJc w:val="left"/>
      <w:pPr>
        <w:ind w:left="2642" w:hanging="195"/>
      </w:pPr>
      <w:rPr>
        <w:rFonts w:hint="default"/>
        <w:lang w:val="es-ES" w:eastAsia="en-US" w:bidi="ar-SA"/>
      </w:rPr>
    </w:lvl>
    <w:lvl w:ilvl="6" w:tplc="A106E5E4">
      <w:numFmt w:val="bullet"/>
      <w:lvlText w:val="•"/>
      <w:lvlJc w:val="left"/>
      <w:pPr>
        <w:ind w:left="3103" w:hanging="195"/>
      </w:pPr>
      <w:rPr>
        <w:rFonts w:hint="default"/>
        <w:lang w:val="es-ES" w:eastAsia="en-US" w:bidi="ar-SA"/>
      </w:rPr>
    </w:lvl>
    <w:lvl w:ilvl="7" w:tplc="EB6C49C8">
      <w:numFmt w:val="bullet"/>
      <w:lvlText w:val="•"/>
      <w:lvlJc w:val="left"/>
      <w:pPr>
        <w:ind w:left="3563" w:hanging="195"/>
      </w:pPr>
      <w:rPr>
        <w:rFonts w:hint="default"/>
        <w:lang w:val="es-ES" w:eastAsia="en-US" w:bidi="ar-SA"/>
      </w:rPr>
    </w:lvl>
    <w:lvl w:ilvl="8" w:tplc="108C3E50">
      <w:numFmt w:val="bullet"/>
      <w:lvlText w:val="•"/>
      <w:lvlJc w:val="left"/>
      <w:pPr>
        <w:ind w:left="4024" w:hanging="195"/>
      </w:pPr>
      <w:rPr>
        <w:rFonts w:hint="default"/>
        <w:lang w:val="es-ES" w:eastAsia="en-US" w:bidi="ar-SA"/>
      </w:rPr>
    </w:lvl>
  </w:abstractNum>
  <w:abstractNum w:abstractNumId="10" w15:restartNumberingAfterBreak="0">
    <w:nsid w:val="65D724B4"/>
    <w:multiLevelType w:val="hybridMultilevel"/>
    <w:tmpl w:val="CDFA6D24"/>
    <w:lvl w:ilvl="0" w:tplc="DDD4C518">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8"/>
  </w:num>
  <w:num w:numId="2">
    <w:abstractNumId w:val="1"/>
  </w:num>
  <w:num w:numId="3">
    <w:abstractNumId w:val="6"/>
  </w:num>
  <w:num w:numId="4">
    <w:abstractNumId w:val="2"/>
  </w:num>
  <w:num w:numId="5">
    <w:abstractNumId w:val="7"/>
  </w:num>
  <w:num w:numId="6">
    <w:abstractNumId w:val="0"/>
  </w:num>
  <w:num w:numId="7">
    <w:abstractNumId w:val="9"/>
  </w:num>
  <w:num w:numId="8">
    <w:abstractNumId w:val="5"/>
  </w:num>
  <w:num w:numId="9">
    <w:abstractNumId w:val="10"/>
  </w:num>
  <w:num w:numId="10">
    <w:abstractNumId w:val="4"/>
  </w:num>
  <w:num w:numId="1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4C0"/>
    <w:rsid w:val="00077949"/>
    <w:rsid w:val="000A25EA"/>
    <w:rsid w:val="000C10B1"/>
    <w:rsid w:val="000E0802"/>
    <w:rsid w:val="000F6FDD"/>
    <w:rsid w:val="00105E20"/>
    <w:rsid w:val="00160F37"/>
    <w:rsid w:val="00174605"/>
    <w:rsid w:val="001772E8"/>
    <w:rsid w:val="001D0C10"/>
    <w:rsid w:val="001D7662"/>
    <w:rsid w:val="001F3AB4"/>
    <w:rsid w:val="0020663A"/>
    <w:rsid w:val="00246AF7"/>
    <w:rsid w:val="002A0F72"/>
    <w:rsid w:val="002D739D"/>
    <w:rsid w:val="002F27C6"/>
    <w:rsid w:val="003035CE"/>
    <w:rsid w:val="00343FFB"/>
    <w:rsid w:val="0039443C"/>
    <w:rsid w:val="003B68CE"/>
    <w:rsid w:val="003F1B03"/>
    <w:rsid w:val="003F4B49"/>
    <w:rsid w:val="004001A0"/>
    <w:rsid w:val="00472EAB"/>
    <w:rsid w:val="00484A86"/>
    <w:rsid w:val="005A5536"/>
    <w:rsid w:val="005B12C5"/>
    <w:rsid w:val="005B6E1D"/>
    <w:rsid w:val="005D0284"/>
    <w:rsid w:val="0061048E"/>
    <w:rsid w:val="006344C0"/>
    <w:rsid w:val="0066361E"/>
    <w:rsid w:val="006A13F9"/>
    <w:rsid w:val="006B0379"/>
    <w:rsid w:val="006B48D4"/>
    <w:rsid w:val="006F3EB1"/>
    <w:rsid w:val="007B4FF1"/>
    <w:rsid w:val="007C55FE"/>
    <w:rsid w:val="007F7131"/>
    <w:rsid w:val="0085387D"/>
    <w:rsid w:val="008C021A"/>
    <w:rsid w:val="00914F90"/>
    <w:rsid w:val="00946FE1"/>
    <w:rsid w:val="0095392A"/>
    <w:rsid w:val="00971FEC"/>
    <w:rsid w:val="009746C8"/>
    <w:rsid w:val="00A722F5"/>
    <w:rsid w:val="00A94BCB"/>
    <w:rsid w:val="00AC299D"/>
    <w:rsid w:val="00AD1FFA"/>
    <w:rsid w:val="00AD3161"/>
    <w:rsid w:val="00B16394"/>
    <w:rsid w:val="00B1663C"/>
    <w:rsid w:val="00B56964"/>
    <w:rsid w:val="00B723C8"/>
    <w:rsid w:val="00BD7B78"/>
    <w:rsid w:val="00C073BA"/>
    <w:rsid w:val="00C14B44"/>
    <w:rsid w:val="00C71132"/>
    <w:rsid w:val="00CA3C18"/>
    <w:rsid w:val="00CB733A"/>
    <w:rsid w:val="00D3277B"/>
    <w:rsid w:val="00D77A3B"/>
    <w:rsid w:val="00DA5DED"/>
    <w:rsid w:val="00DB2281"/>
    <w:rsid w:val="00DB37B4"/>
    <w:rsid w:val="00DE34AC"/>
    <w:rsid w:val="00DF0596"/>
    <w:rsid w:val="00DF4B3C"/>
    <w:rsid w:val="00E17C90"/>
    <w:rsid w:val="00E25913"/>
    <w:rsid w:val="00E85431"/>
    <w:rsid w:val="00EE55E4"/>
    <w:rsid w:val="00FA14EF"/>
    <w:rsid w:val="00FF549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8E158C2"/>
  <w15:docId w15:val="{1E2773FD-E97F-48B6-9163-646E52F80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1EC"/>
  </w:style>
  <w:style w:type="paragraph" w:styleId="Ttulo1">
    <w:name w:val="heading 1"/>
    <w:basedOn w:val="Normal"/>
    <w:next w:val="Normal"/>
    <w:link w:val="Ttulo1Car"/>
    <w:uiPriority w:val="9"/>
    <w:qFormat/>
    <w:rsid w:val="000B31B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qFormat/>
    <w:pPr>
      <w:keepNext/>
      <w:keepLines/>
      <w:spacing w:before="360" w:after="80"/>
      <w:outlineLvl w:val="1"/>
    </w:pPr>
    <w:rPr>
      <w:b/>
      <w:sz w:val="36"/>
      <w:szCs w:val="36"/>
    </w:rPr>
  </w:style>
  <w:style w:type="paragraph" w:styleId="Ttulo3">
    <w:name w:val="heading 3"/>
    <w:basedOn w:val="Normal"/>
    <w:next w:val="Normal"/>
    <w:link w:val="Ttulo3Car"/>
    <w:uiPriority w:val="9"/>
    <w:qFormat/>
    <w:pPr>
      <w:keepNext/>
      <w:keepLines/>
      <w:spacing w:before="280" w:after="80"/>
      <w:outlineLvl w:val="2"/>
    </w:pPr>
    <w:rPr>
      <w:b/>
      <w:sz w:val="28"/>
      <w:szCs w:val="28"/>
    </w:rPr>
  </w:style>
  <w:style w:type="paragraph" w:styleId="Ttulo4">
    <w:name w:val="heading 4"/>
    <w:basedOn w:val="Normal"/>
    <w:next w:val="Normal"/>
    <w:link w:val="Ttulo4Car"/>
    <w:uiPriority w:val="9"/>
    <w:qFormat/>
    <w:pPr>
      <w:keepNext/>
      <w:keepLines/>
      <w:spacing w:before="240" w:after="40"/>
      <w:outlineLvl w:val="3"/>
    </w:pPr>
    <w:rPr>
      <w:b/>
    </w:rPr>
  </w:style>
  <w:style w:type="paragraph" w:styleId="Ttulo5">
    <w:name w:val="heading 5"/>
    <w:basedOn w:val="Normal"/>
    <w:next w:val="Normal"/>
    <w:link w:val="Ttulo5Car"/>
    <w:uiPriority w:val="9"/>
    <w:qFormat/>
    <w:pPr>
      <w:keepNext/>
      <w:keepLines/>
      <w:spacing w:before="220" w:after="40"/>
      <w:outlineLvl w:val="4"/>
    </w:pPr>
    <w:rPr>
      <w:b/>
      <w:sz w:val="22"/>
      <w:szCs w:val="22"/>
    </w:rPr>
  </w:style>
  <w:style w:type="paragraph" w:styleId="Ttulo6">
    <w:name w:val="heading 6"/>
    <w:basedOn w:val="Normal"/>
    <w:next w:val="Normal"/>
    <w:link w:val="Ttulo6Car"/>
    <w:uiPriority w:val="9"/>
    <w:qFormat/>
    <w:pPr>
      <w:keepNext/>
      <w:keepLines/>
      <w:spacing w:before="200" w:after="40"/>
      <w:outlineLvl w:val="5"/>
    </w:pPr>
    <w:rPr>
      <w:b/>
      <w:sz w:val="20"/>
      <w:szCs w:val="20"/>
    </w:rPr>
  </w:style>
  <w:style w:type="paragraph" w:styleId="Ttulo7">
    <w:name w:val="heading 7"/>
    <w:basedOn w:val="Normal"/>
    <w:next w:val="Normal"/>
    <w:link w:val="Ttulo7Car"/>
    <w:uiPriority w:val="9"/>
    <w:semiHidden/>
    <w:unhideWhenUsed/>
    <w:qFormat/>
    <w:rsid w:val="002F27C6"/>
    <w:pPr>
      <w:keepNext/>
      <w:keepLines/>
      <w:widowControl w:val="0"/>
      <w:autoSpaceDE w:val="0"/>
      <w:autoSpaceDN w:val="0"/>
      <w:spacing w:before="40"/>
      <w:outlineLvl w:val="6"/>
    </w:pPr>
    <w:rPr>
      <w:rFonts w:ascii="Cambria" w:eastAsia="Times New Roman" w:hAnsi="Cambria" w:cs="Times New Roman"/>
      <w:color w:val="595959"/>
      <w:sz w:val="22"/>
      <w:szCs w:val="22"/>
      <w:lang w:val="es-ES" w:eastAsia="en-US"/>
    </w:rPr>
  </w:style>
  <w:style w:type="paragraph" w:styleId="Ttulo8">
    <w:name w:val="heading 8"/>
    <w:basedOn w:val="Normal"/>
    <w:next w:val="Normal"/>
    <w:link w:val="Ttulo8Car"/>
    <w:uiPriority w:val="9"/>
    <w:semiHidden/>
    <w:unhideWhenUsed/>
    <w:qFormat/>
    <w:rsid w:val="002F27C6"/>
    <w:pPr>
      <w:keepNext/>
      <w:keepLines/>
      <w:widowControl w:val="0"/>
      <w:autoSpaceDE w:val="0"/>
      <w:autoSpaceDN w:val="0"/>
      <w:outlineLvl w:val="7"/>
    </w:pPr>
    <w:rPr>
      <w:rFonts w:ascii="Cambria" w:eastAsia="Times New Roman" w:hAnsi="Cambria" w:cs="Times New Roman"/>
      <w:i/>
      <w:iCs/>
      <w:color w:val="272727"/>
      <w:sz w:val="22"/>
      <w:szCs w:val="22"/>
      <w:lang w:val="es-ES" w:eastAsia="en-US"/>
    </w:rPr>
  </w:style>
  <w:style w:type="paragraph" w:styleId="Ttulo9">
    <w:name w:val="heading 9"/>
    <w:basedOn w:val="Normal"/>
    <w:next w:val="Normal"/>
    <w:link w:val="Ttulo9Car"/>
    <w:uiPriority w:val="9"/>
    <w:semiHidden/>
    <w:unhideWhenUsed/>
    <w:qFormat/>
    <w:rsid w:val="002F27C6"/>
    <w:pPr>
      <w:keepNext/>
      <w:keepLines/>
      <w:widowControl w:val="0"/>
      <w:autoSpaceDE w:val="0"/>
      <w:autoSpaceDN w:val="0"/>
      <w:outlineLvl w:val="8"/>
    </w:pPr>
    <w:rPr>
      <w:rFonts w:ascii="Cambria" w:eastAsia="Times New Roman" w:hAnsi="Cambria" w:cs="Times New Roman"/>
      <w:color w:val="272727"/>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link w:val="TtuloCar"/>
    <w:uiPriority w:val="10"/>
    <w:qFormat/>
    <w:pPr>
      <w:keepNext/>
      <w:keepLines/>
      <w:spacing w:before="480" w:after="120"/>
    </w:pPr>
    <w:rPr>
      <w:b/>
      <w:sz w:val="72"/>
      <w:szCs w:val="72"/>
    </w:rPr>
  </w:style>
  <w:style w:type="table" w:styleId="Tablaconcuadrcula">
    <w:name w:val="Table Grid"/>
    <w:basedOn w:val="Tablanormal"/>
    <w:uiPriority w:val="39"/>
    <w:rsid w:val="009C7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C71EC"/>
    <w:pPr>
      <w:tabs>
        <w:tab w:val="center" w:pos="4419"/>
        <w:tab w:val="right" w:pos="8838"/>
      </w:tabs>
    </w:pPr>
  </w:style>
  <w:style w:type="character" w:customStyle="1" w:styleId="EncabezadoCar">
    <w:name w:val="Encabezado Car"/>
    <w:basedOn w:val="Fuentedeprrafopredeter"/>
    <w:link w:val="Encabezado"/>
    <w:uiPriority w:val="99"/>
    <w:rsid w:val="009C71EC"/>
    <w:rPr>
      <w:rFonts w:ascii="Calibri" w:eastAsia="Calibri" w:hAnsi="Calibri" w:cs="Calibri"/>
      <w:sz w:val="24"/>
      <w:szCs w:val="24"/>
      <w:lang w:eastAsia="es-CO"/>
    </w:rPr>
  </w:style>
  <w:style w:type="paragraph" w:styleId="Piedepgina">
    <w:name w:val="footer"/>
    <w:basedOn w:val="Normal"/>
    <w:link w:val="PiedepginaCar"/>
    <w:uiPriority w:val="99"/>
    <w:unhideWhenUsed/>
    <w:rsid w:val="009C71EC"/>
    <w:pPr>
      <w:tabs>
        <w:tab w:val="center" w:pos="4419"/>
        <w:tab w:val="right" w:pos="8838"/>
      </w:tabs>
    </w:pPr>
  </w:style>
  <w:style w:type="character" w:customStyle="1" w:styleId="PiedepginaCar">
    <w:name w:val="Pie de página Car"/>
    <w:basedOn w:val="Fuentedeprrafopredeter"/>
    <w:link w:val="Piedepgina"/>
    <w:uiPriority w:val="99"/>
    <w:rsid w:val="009C71EC"/>
    <w:rPr>
      <w:rFonts w:ascii="Calibri" w:eastAsia="Calibri" w:hAnsi="Calibri" w:cs="Calibri"/>
      <w:sz w:val="24"/>
      <w:szCs w:val="24"/>
      <w:lang w:eastAsia="es-CO"/>
    </w:rPr>
  </w:style>
  <w:style w:type="paragraph" w:styleId="Sinespaciado">
    <w:name w:val="No Spacing"/>
    <w:link w:val="SinespaciadoCar"/>
    <w:uiPriority w:val="1"/>
    <w:qFormat/>
    <w:rsid w:val="009C71EC"/>
  </w:style>
  <w:style w:type="paragraph" w:styleId="NormalWeb">
    <w:name w:val="Normal (Web)"/>
    <w:aliases w:val="Normal (Web) Car"/>
    <w:basedOn w:val="Normal"/>
    <w:link w:val="NormalWebCar1"/>
    <w:uiPriority w:val="99"/>
    <w:unhideWhenUsed/>
    <w:rsid w:val="009C71EC"/>
    <w:pPr>
      <w:spacing w:before="100" w:beforeAutospacing="1" w:after="100" w:afterAutospacing="1"/>
    </w:pPr>
    <w:rPr>
      <w:rFonts w:ascii="Times New Roman" w:eastAsia="Times New Roman" w:hAnsi="Times New Roman" w:cs="Times New Roman"/>
    </w:rPr>
  </w:style>
  <w:style w:type="paragraph" w:styleId="Textonotapie">
    <w:name w:val="footnote text"/>
    <w:basedOn w:val="Normal"/>
    <w:link w:val="TextonotapieCar"/>
    <w:uiPriority w:val="99"/>
    <w:semiHidden/>
    <w:rsid w:val="009C71EC"/>
    <w:pPr>
      <w:widowControl w:val="0"/>
      <w:overflowPunct w:val="0"/>
      <w:autoSpaceDE w:val="0"/>
      <w:autoSpaceDN w:val="0"/>
      <w:adjustRightInd w:val="0"/>
      <w:jc w:val="both"/>
      <w:textAlignment w:val="baseline"/>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uiPriority w:val="99"/>
    <w:semiHidden/>
    <w:rsid w:val="009C71EC"/>
    <w:rPr>
      <w:rFonts w:ascii="Times New Roman" w:eastAsia="Times New Roman" w:hAnsi="Times New Roman" w:cs="Times New Roman"/>
      <w:sz w:val="20"/>
      <w:szCs w:val="20"/>
      <w:lang w:val="es-ES_tradnl" w:eastAsia="es-ES"/>
    </w:rPr>
  </w:style>
  <w:style w:type="character" w:styleId="Refdenotaalpie">
    <w:name w:val="footnote reference"/>
    <w:aliases w:val="Ref. de nota al pie 2,Texto de nota al pie,Appel note de bas de page,Footnotes refss,Footnote number,referencia nota al pie,BVI fnr,f,4_G,16 Point,Superscript 6 Point,Texto nota al pie,Pie de Página,FC,Nota de pie,Texto de nota al p"/>
    <w:basedOn w:val="Fuentedeprrafopredeter"/>
    <w:uiPriority w:val="99"/>
    <w:qFormat/>
    <w:rsid w:val="009C71EC"/>
    <w:rPr>
      <w:rFonts w:cs="Times New Roman"/>
      <w:vertAlign w:val="superscript"/>
    </w:rPr>
  </w:style>
  <w:style w:type="paragraph" w:customStyle="1" w:styleId="Default">
    <w:name w:val="Default"/>
    <w:rsid w:val="009C71EC"/>
    <w:pPr>
      <w:autoSpaceDE w:val="0"/>
      <w:autoSpaceDN w:val="0"/>
      <w:adjustRightInd w:val="0"/>
    </w:pPr>
    <w:rPr>
      <w:rFonts w:ascii="Times New Roman" w:hAnsi="Times New Roman" w:cs="Times New Roman"/>
      <w:color w:val="000000"/>
    </w:rPr>
  </w:style>
  <w:style w:type="paragraph" w:styleId="Prrafodelista">
    <w:name w:val="List Paragraph"/>
    <w:aliases w:val="Ha,Resume Title,titulo 3,Bullet,Párrafo de lista1,Lista vistosa - Énfasis 11,HOJA,Bolita,Párrafo de lista4,BOLADEF,Párrafo de lista2,Párrafo de lista3,Párrafo de lista21,BOLA,Nivel 1 OS,Colorful List Accent 1,Colorful List - Accent 11"/>
    <w:basedOn w:val="Normal"/>
    <w:link w:val="PrrafodelistaCar"/>
    <w:uiPriority w:val="34"/>
    <w:qFormat/>
    <w:rsid w:val="009C71EC"/>
    <w:pPr>
      <w:spacing w:after="160" w:line="259" w:lineRule="auto"/>
      <w:ind w:left="720"/>
      <w:contextualSpacing/>
    </w:pPr>
    <w:rPr>
      <w:sz w:val="22"/>
      <w:szCs w:val="22"/>
    </w:rPr>
  </w:style>
  <w:style w:type="character" w:customStyle="1" w:styleId="Ttulo1Car">
    <w:name w:val="Título 1 Car"/>
    <w:basedOn w:val="Fuentedeprrafopredeter"/>
    <w:link w:val="Ttulo1"/>
    <w:uiPriority w:val="9"/>
    <w:rsid w:val="000B31B0"/>
    <w:rPr>
      <w:rFonts w:asciiTheme="majorHAnsi" w:eastAsiaTheme="majorEastAsia" w:hAnsiTheme="majorHAnsi" w:cstheme="majorBidi"/>
      <w:color w:val="2E74B5" w:themeColor="accent1" w:themeShade="BF"/>
      <w:sz w:val="32"/>
      <w:szCs w:val="32"/>
      <w:lang w:eastAsia="es-CO"/>
    </w:rPr>
  </w:style>
  <w:style w:type="paragraph" w:styleId="Subttulo">
    <w:name w:val="Subtitle"/>
    <w:basedOn w:val="Normal"/>
    <w:next w:val="Normal"/>
    <w:link w:val="SubttuloCar"/>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paragraph" w:styleId="Textodeglobo">
    <w:name w:val="Balloon Text"/>
    <w:basedOn w:val="Normal"/>
    <w:link w:val="TextodegloboCar"/>
    <w:uiPriority w:val="99"/>
    <w:semiHidden/>
    <w:unhideWhenUsed/>
    <w:rsid w:val="00BD7B7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D7B78"/>
    <w:rPr>
      <w:rFonts w:ascii="Segoe UI" w:hAnsi="Segoe UI" w:cs="Segoe UI"/>
      <w:sz w:val="18"/>
      <w:szCs w:val="18"/>
    </w:rPr>
  </w:style>
  <w:style w:type="paragraph" w:customStyle="1" w:styleId="TableParagraph">
    <w:name w:val="Table Paragraph"/>
    <w:basedOn w:val="Normal"/>
    <w:uiPriority w:val="1"/>
    <w:qFormat/>
    <w:rsid w:val="00CB733A"/>
    <w:pPr>
      <w:widowControl w:val="0"/>
      <w:autoSpaceDE w:val="0"/>
      <w:autoSpaceDN w:val="0"/>
    </w:pPr>
    <w:rPr>
      <w:rFonts w:ascii="Arial MT" w:eastAsia="Arial MT" w:hAnsi="Arial MT" w:cs="Arial MT"/>
      <w:sz w:val="22"/>
      <w:szCs w:val="22"/>
      <w:lang w:val="es-ES" w:eastAsia="en-US"/>
    </w:rPr>
  </w:style>
  <w:style w:type="character" w:styleId="Hipervnculo">
    <w:name w:val="Hyperlink"/>
    <w:basedOn w:val="Fuentedeprrafopredeter"/>
    <w:uiPriority w:val="99"/>
    <w:unhideWhenUsed/>
    <w:rsid w:val="00D77A3B"/>
    <w:rPr>
      <w:color w:val="0563C1" w:themeColor="hyperlink"/>
      <w:u w:val="single"/>
    </w:rPr>
  </w:style>
  <w:style w:type="character" w:styleId="Mencinsinresolver">
    <w:name w:val="Unresolved Mention"/>
    <w:basedOn w:val="Fuentedeprrafopredeter"/>
    <w:uiPriority w:val="99"/>
    <w:semiHidden/>
    <w:unhideWhenUsed/>
    <w:rsid w:val="00D77A3B"/>
    <w:rPr>
      <w:color w:val="605E5C"/>
      <w:shd w:val="clear" w:color="auto" w:fill="E1DFDD"/>
    </w:rPr>
  </w:style>
  <w:style w:type="character" w:customStyle="1" w:styleId="Ttulo7Car">
    <w:name w:val="Título 7 Car"/>
    <w:basedOn w:val="Fuentedeprrafopredeter"/>
    <w:link w:val="Ttulo7"/>
    <w:uiPriority w:val="9"/>
    <w:semiHidden/>
    <w:rsid w:val="002F27C6"/>
    <w:rPr>
      <w:rFonts w:ascii="Cambria" w:eastAsia="Times New Roman" w:hAnsi="Cambria" w:cs="Times New Roman"/>
      <w:color w:val="595959"/>
      <w:sz w:val="22"/>
      <w:szCs w:val="22"/>
      <w:lang w:val="es-ES" w:eastAsia="en-US"/>
    </w:rPr>
  </w:style>
  <w:style w:type="character" w:customStyle="1" w:styleId="Ttulo8Car">
    <w:name w:val="Título 8 Car"/>
    <w:basedOn w:val="Fuentedeprrafopredeter"/>
    <w:link w:val="Ttulo8"/>
    <w:uiPriority w:val="9"/>
    <w:semiHidden/>
    <w:rsid w:val="002F27C6"/>
    <w:rPr>
      <w:rFonts w:ascii="Cambria" w:eastAsia="Times New Roman" w:hAnsi="Cambria" w:cs="Times New Roman"/>
      <w:i/>
      <w:iCs/>
      <w:color w:val="272727"/>
      <w:sz w:val="22"/>
      <w:szCs w:val="22"/>
      <w:lang w:val="es-ES" w:eastAsia="en-US"/>
    </w:rPr>
  </w:style>
  <w:style w:type="character" w:customStyle="1" w:styleId="Ttulo9Car">
    <w:name w:val="Título 9 Car"/>
    <w:basedOn w:val="Fuentedeprrafopredeter"/>
    <w:link w:val="Ttulo9"/>
    <w:uiPriority w:val="9"/>
    <w:semiHidden/>
    <w:rsid w:val="002F27C6"/>
    <w:rPr>
      <w:rFonts w:ascii="Cambria" w:eastAsia="Times New Roman" w:hAnsi="Cambria" w:cs="Times New Roman"/>
      <w:color w:val="272727"/>
      <w:sz w:val="22"/>
      <w:szCs w:val="22"/>
      <w:lang w:val="es-ES" w:eastAsia="en-US"/>
    </w:rPr>
  </w:style>
  <w:style w:type="character" w:customStyle="1" w:styleId="SinespaciadoCar">
    <w:name w:val="Sin espaciado Car"/>
    <w:link w:val="Sinespaciado"/>
    <w:uiPriority w:val="1"/>
    <w:locked/>
    <w:rsid w:val="002F27C6"/>
  </w:style>
  <w:style w:type="paragraph" w:customStyle="1" w:styleId="Normal0">
    <w:name w:val="Normal0"/>
    <w:qFormat/>
    <w:rsid w:val="002F27C6"/>
    <w:pPr>
      <w:spacing w:line="276" w:lineRule="auto"/>
    </w:pPr>
    <w:rPr>
      <w:rFonts w:ascii="Arial" w:eastAsia="Arial" w:hAnsi="Arial" w:cs="Arial"/>
      <w:sz w:val="22"/>
      <w:szCs w:val="22"/>
      <w:lang w:val="es-ES"/>
    </w:rPr>
  </w:style>
  <w:style w:type="character" w:styleId="Refdecomentario">
    <w:name w:val="annotation reference"/>
    <w:uiPriority w:val="99"/>
    <w:semiHidden/>
    <w:unhideWhenUsed/>
    <w:rsid w:val="002F27C6"/>
    <w:rPr>
      <w:sz w:val="16"/>
      <w:szCs w:val="16"/>
    </w:rPr>
  </w:style>
  <w:style w:type="paragraph" w:styleId="Textocomentario">
    <w:name w:val="annotation text"/>
    <w:basedOn w:val="Normal"/>
    <w:link w:val="TextocomentarioCar"/>
    <w:uiPriority w:val="99"/>
    <w:unhideWhenUsed/>
    <w:rsid w:val="002F27C6"/>
    <w:pPr>
      <w:spacing w:after="160" w:line="259" w:lineRule="auto"/>
    </w:pPr>
    <w:rPr>
      <w:rFonts w:cs="Times New Roman"/>
      <w:sz w:val="20"/>
      <w:szCs w:val="20"/>
      <w:lang w:eastAsia="en-US"/>
    </w:rPr>
  </w:style>
  <w:style w:type="character" w:customStyle="1" w:styleId="TextocomentarioCar">
    <w:name w:val="Texto comentario Car"/>
    <w:basedOn w:val="Fuentedeprrafopredeter"/>
    <w:link w:val="Textocomentario"/>
    <w:uiPriority w:val="99"/>
    <w:rsid w:val="002F27C6"/>
    <w:rPr>
      <w:rFonts w:cs="Times New Roman"/>
      <w:sz w:val="20"/>
      <w:szCs w:val="20"/>
      <w:lang w:eastAsia="en-US"/>
    </w:rPr>
  </w:style>
  <w:style w:type="character" w:customStyle="1" w:styleId="PrrafodelistaCar">
    <w:name w:val="Párrafo de lista Car"/>
    <w:aliases w:val="Ha Car,Resume Title Car,titulo 3 Car,Bullet Car,Párrafo de lista1 Car,Lista vistosa - Énfasis 11 Car,HOJA Car,Bolita Car,Párrafo de lista4 Car,BOLADEF Car,Párrafo de lista2 Car,Párrafo de lista3 Car,Párrafo de lista21 Car,BOLA Car"/>
    <w:link w:val="Prrafodelista"/>
    <w:uiPriority w:val="34"/>
    <w:qFormat/>
    <w:locked/>
    <w:rsid w:val="002F27C6"/>
    <w:rPr>
      <w:sz w:val="22"/>
      <w:szCs w:val="22"/>
    </w:rPr>
  </w:style>
  <w:style w:type="paragraph" w:styleId="Textoindependiente">
    <w:name w:val="Body Text"/>
    <w:basedOn w:val="Normal"/>
    <w:link w:val="TextoindependienteCar"/>
    <w:uiPriority w:val="1"/>
    <w:qFormat/>
    <w:rsid w:val="002F27C6"/>
    <w:pPr>
      <w:widowControl w:val="0"/>
      <w:autoSpaceDE w:val="0"/>
      <w:autoSpaceDN w:val="0"/>
    </w:pPr>
    <w:rPr>
      <w:rFonts w:ascii="Arial MT" w:eastAsia="Arial MT" w:hAnsi="Arial MT" w:cs="Arial MT"/>
      <w:lang w:val="es-ES" w:eastAsia="en-US"/>
    </w:rPr>
  </w:style>
  <w:style w:type="character" w:customStyle="1" w:styleId="TextoindependienteCar">
    <w:name w:val="Texto independiente Car"/>
    <w:basedOn w:val="Fuentedeprrafopredeter"/>
    <w:link w:val="Textoindependiente"/>
    <w:uiPriority w:val="1"/>
    <w:rsid w:val="002F27C6"/>
    <w:rPr>
      <w:rFonts w:ascii="Arial MT" w:eastAsia="Arial MT" w:hAnsi="Arial MT" w:cs="Arial MT"/>
      <w:lang w:val="es-ES" w:eastAsia="en-US"/>
    </w:rPr>
  </w:style>
  <w:style w:type="paragraph" w:styleId="Asuntodelcomentario">
    <w:name w:val="annotation subject"/>
    <w:basedOn w:val="Textocomentario"/>
    <w:next w:val="Textocomentario"/>
    <w:link w:val="AsuntodelcomentarioCar"/>
    <w:uiPriority w:val="99"/>
    <w:semiHidden/>
    <w:unhideWhenUsed/>
    <w:rsid w:val="002F27C6"/>
    <w:pPr>
      <w:spacing w:line="240" w:lineRule="auto"/>
    </w:pPr>
    <w:rPr>
      <w:b/>
      <w:bCs/>
    </w:rPr>
  </w:style>
  <w:style w:type="character" w:customStyle="1" w:styleId="AsuntodelcomentarioCar">
    <w:name w:val="Asunto del comentario Car"/>
    <w:basedOn w:val="TextocomentarioCar"/>
    <w:link w:val="Asuntodelcomentario"/>
    <w:uiPriority w:val="99"/>
    <w:semiHidden/>
    <w:rsid w:val="002F27C6"/>
    <w:rPr>
      <w:rFonts w:cs="Times New Roman"/>
      <w:b/>
      <w:bCs/>
      <w:sz w:val="20"/>
      <w:szCs w:val="20"/>
      <w:lang w:eastAsia="en-US"/>
    </w:rPr>
  </w:style>
  <w:style w:type="character" w:customStyle="1" w:styleId="Ttulo2Car">
    <w:name w:val="Título 2 Car"/>
    <w:link w:val="Ttulo2"/>
    <w:uiPriority w:val="9"/>
    <w:rsid w:val="002F27C6"/>
    <w:rPr>
      <w:b/>
      <w:sz w:val="36"/>
      <w:szCs w:val="36"/>
    </w:rPr>
  </w:style>
  <w:style w:type="paragraph" w:customStyle="1" w:styleId="centrado">
    <w:name w:val="centrado"/>
    <w:basedOn w:val="Normal"/>
    <w:rsid w:val="002F27C6"/>
    <w:pPr>
      <w:spacing w:before="100" w:beforeAutospacing="1" w:after="100" w:afterAutospacing="1"/>
    </w:pPr>
    <w:rPr>
      <w:rFonts w:ascii="Times New Roman" w:eastAsia="Times New Roman" w:hAnsi="Times New Roman" w:cs="Times New Roman"/>
    </w:rPr>
  </w:style>
  <w:style w:type="character" w:styleId="Textoennegrita">
    <w:name w:val="Strong"/>
    <w:uiPriority w:val="22"/>
    <w:qFormat/>
    <w:rsid w:val="002F27C6"/>
    <w:rPr>
      <w:b/>
      <w:bCs/>
    </w:rPr>
  </w:style>
  <w:style w:type="character" w:customStyle="1" w:styleId="NormalWebCar1">
    <w:name w:val="Normal (Web) Car1"/>
    <w:aliases w:val="Normal (Web) Car Car"/>
    <w:link w:val="NormalWeb"/>
    <w:uiPriority w:val="99"/>
    <w:rsid w:val="002F27C6"/>
    <w:rPr>
      <w:rFonts w:ascii="Times New Roman" w:eastAsia="Times New Roman" w:hAnsi="Times New Roman" w:cs="Times New Roman"/>
    </w:rPr>
  </w:style>
  <w:style w:type="paragraph" w:customStyle="1" w:styleId="pa6">
    <w:name w:val="pa6"/>
    <w:basedOn w:val="Normal"/>
    <w:rsid w:val="002F27C6"/>
    <w:pPr>
      <w:spacing w:before="100" w:beforeAutospacing="1" w:after="100" w:afterAutospacing="1"/>
    </w:pPr>
    <w:rPr>
      <w:rFonts w:ascii="Times New Roman" w:eastAsia="Times New Roman" w:hAnsi="Times New Roman" w:cs="Times New Roman"/>
    </w:rPr>
  </w:style>
  <w:style w:type="paragraph" w:customStyle="1" w:styleId="default0">
    <w:name w:val="default"/>
    <w:basedOn w:val="Normal"/>
    <w:rsid w:val="002F27C6"/>
    <w:pPr>
      <w:spacing w:before="100" w:beforeAutospacing="1" w:after="100" w:afterAutospacing="1"/>
    </w:pPr>
    <w:rPr>
      <w:rFonts w:ascii="Times New Roman" w:eastAsia="Times New Roman" w:hAnsi="Times New Roman" w:cs="Times New Roman"/>
    </w:rPr>
  </w:style>
  <w:style w:type="paragraph" w:styleId="Revisin">
    <w:name w:val="Revision"/>
    <w:hidden/>
    <w:uiPriority w:val="99"/>
    <w:semiHidden/>
    <w:rsid w:val="002F27C6"/>
    <w:rPr>
      <w:rFonts w:cs="Times New Roman"/>
      <w:sz w:val="22"/>
      <w:szCs w:val="22"/>
      <w:lang w:eastAsia="en-US"/>
    </w:rPr>
  </w:style>
  <w:style w:type="character" w:customStyle="1" w:styleId="Ttulo3Car">
    <w:name w:val="Título 3 Car"/>
    <w:link w:val="Ttulo3"/>
    <w:uiPriority w:val="9"/>
    <w:rsid w:val="002F27C6"/>
    <w:rPr>
      <w:b/>
      <w:sz w:val="28"/>
      <w:szCs w:val="28"/>
    </w:rPr>
  </w:style>
  <w:style w:type="character" w:customStyle="1" w:styleId="Ttulo4Car">
    <w:name w:val="Título 4 Car"/>
    <w:link w:val="Ttulo4"/>
    <w:uiPriority w:val="9"/>
    <w:rsid w:val="002F27C6"/>
    <w:rPr>
      <w:b/>
    </w:rPr>
  </w:style>
  <w:style w:type="character" w:customStyle="1" w:styleId="Ttulo5Car">
    <w:name w:val="Título 5 Car"/>
    <w:link w:val="Ttulo5"/>
    <w:uiPriority w:val="9"/>
    <w:rsid w:val="002F27C6"/>
    <w:rPr>
      <w:b/>
      <w:sz w:val="22"/>
      <w:szCs w:val="22"/>
    </w:rPr>
  </w:style>
  <w:style w:type="character" w:customStyle="1" w:styleId="Ttulo6Car">
    <w:name w:val="Título 6 Car"/>
    <w:link w:val="Ttulo6"/>
    <w:uiPriority w:val="9"/>
    <w:rsid w:val="002F27C6"/>
    <w:rPr>
      <w:b/>
      <w:sz w:val="20"/>
      <w:szCs w:val="20"/>
    </w:rPr>
  </w:style>
  <w:style w:type="character" w:customStyle="1" w:styleId="TtuloCar">
    <w:name w:val="Título Car"/>
    <w:link w:val="Ttulo"/>
    <w:uiPriority w:val="10"/>
    <w:rsid w:val="002F27C6"/>
    <w:rPr>
      <w:b/>
      <w:sz w:val="72"/>
      <w:szCs w:val="72"/>
    </w:rPr>
  </w:style>
  <w:style w:type="character" w:customStyle="1" w:styleId="SubttuloCar">
    <w:name w:val="Subtítulo Car"/>
    <w:link w:val="Subttulo"/>
    <w:uiPriority w:val="11"/>
    <w:rsid w:val="002F27C6"/>
    <w:rPr>
      <w:rFonts w:ascii="Georgia" w:eastAsia="Georgia" w:hAnsi="Georgia" w:cs="Georgia"/>
      <w:i/>
      <w:color w:val="666666"/>
      <w:sz w:val="48"/>
      <w:szCs w:val="48"/>
    </w:rPr>
  </w:style>
  <w:style w:type="paragraph" w:styleId="Cita">
    <w:name w:val="Quote"/>
    <w:basedOn w:val="Normal"/>
    <w:next w:val="Normal"/>
    <w:link w:val="CitaCar"/>
    <w:uiPriority w:val="29"/>
    <w:qFormat/>
    <w:rsid w:val="002F27C6"/>
    <w:pPr>
      <w:widowControl w:val="0"/>
      <w:autoSpaceDE w:val="0"/>
      <w:autoSpaceDN w:val="0"/>
      <w:spacing w:before="160"/>
      <w:jc w:val="center"/>
    </w:pPr>
    <w:rPr>
      <w:rFonts w:ascii="Cambria" w:eastAsia="Cambria" w:hAnsi="Cambria" w:cs="Cambria"/>
      <w:i/>
      <w:iCs/>
      <w:color w:val="404040"/>
      <w:sz w:val="22"/>
      <w:szCs w:val="22"/>
      <w:lang w:val="es-ES" w:eastAsia="en-US"/>
    </w:rPr>
  </w:style>
  <w:style w:type="character" w:customStyle="1" w:styleId="CitaCar">
    <w:name w:val="Cita Car"/>
    <w:basedOn w:val="Fuentedeprrafopredeter"/>
    <w:link w:val="Cita"/>
    <w:uiPriority w:val="29"/>
    <w:rsid w:val="002F27C6"/>
    <w:rPr>
      <w:rFonts w:ascii="Cambria" w:eastAsia="Cambria" w:hAnsi="Cambria" w:cs="Cambria"/>
      <w:i/>
      <w:iCs/>
      <w:color w:val="404040"/>
      <w:sz w:val="22"/>
      <w:szCs w:val="22"/>
      <w:lang w:val="es-ES" w:eastAsia="en-US"/>
    </w:rPr>
  </w:style>
  <w:style w:type="character" w:styleId="nfasisintenso">
    <w:name w:val="Intense Emphasis"/>
    <w:uiPriority w:val="21"/>
    <w:qFormat/>
    <w:rsid w:val="002F27C6"/>
    <w:rPr>
      <w:i/>
      <w:iCs/>
      <w:color w:val="0F4761"/>
    </w:rPr>
  </w:style>
  <w:style w:type="paragraph" w:styleId="Citadestacada">
    <w:name w:val="Intense Quote"/>
    <w:basedOn w:val="Normal"/>
    <w:next w:val="Normal"/>
    <w:link w:val="CitadestacadaCar"/>
    <w:uiPriority w:val="30"/>
    <w:qFormat/>
    <w:rsid w:val="002F27C6"/>
    <w:pPr>
      <w:widowControl w:val="0"/>
      <w:pBdr>
        <w:top w:val="single" w:sz="4" w:space="10" w:color="0F4761"/>
        <w:bottom w:val="single" w:sz="4" w:space="10" w:color="0F4761"/>
      </w:pBdr>
      <w:autoSpaceDE w:val="0"/>
      <w:autoSpaceDN w:val="0"/>
      <w:spacing w:before="360" w:after="360"/>
      <w:ind w:left="864" w:right="864"/>
      <w:jc w:val="center"/>
    </w:pPr>
    <w:rPr>
      <w:rFonts w:ascii="Cambria" w:eastAsia="Cambria" w:hAnsi="Cambria" w:cs="Cambria"/>
      <w:i/>
      <w:iCs/>
      <w:color w:val="0F4761"/>
      <w:sz w:val="22"/>
      <w:szCs w:val="22"/>
      <w:lang w:val="es-ES" w:eastAsia="en-US"/>
    </w:rPr>
  </w:style>
  <w:style w:type="character" w:customStyle="1" w:styleId="CitadestacadaCar">
    <w:name w:val="Cita destacada Car"/>
    <w:basedOn w:val="Fuentedeprrafopredeter"/>
    <w:link w:val="Citadestacada"/>
    <w:uiPriority w:val="30"/>
    <w:rsid w:val="002F27C6"/>
    <w:rPr>
      <w:rFonts w:ascii="Cambria" w:eastAsia="Cambria" w:hAnsi="Cambria" w:cs="Cambria"/>
      <w:i/>
      <w:iCs/>
      <w:color w:val="0F4761"/>
      <w:sz w:val="22"/>
      <w:szCs w:val="22"/>
      <w:lang w:val="es-ES" w:eastAsia="en-US"/>
    </w:rPr>
  </w:style>
  <w:style w:type="character" w:styleId="Referenciaintensa">
    <w:name w:val="Intense Reference"/>
    <w:uiPriority w:val="32"/>
    <w:qFormat/>
    <w:rsid w:val="002F27C6"/>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cretariasenado.gov.co/senado/basedoc/constitucion_politica_1991_pr005.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lexsoluciones.com/wp-content/uploads/2016/08/Cas.-335-2015-Del-Santa.pdf" TargetMode="External"/><Relationship Id="rId2" Type="http://schemas.openxmlformats.org/officeDocument/2006/relationships/hyperlink" Target="https://www.poderjudicial.es/search/AN/openDocument/18d7e1e8507a635ba0a8778d75e36f0d/20220701" TargetMode="External"/><Relationship Id="rId1" Type="http://schemas.openxmlformats.org/officeDocument/2006/relationships/hyperlink" Target="https://esacc.corteconstitucional.gob.ec/storage/api/v1/10_DWL_FL/e2NhcnBldGE6J3RyYW1pdGUnLCB1dWlkOidhOGUxNjkzYi05NmIxLTQ0ZmItYjRkOS05MjZlNzllYWUwOGQucGRmJ30="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yI6ABcsyil/ARGuT+q3ki5NonQ==">CgMxLjAyCWlkLmdqZGd4czIKaWQuMzBqMHpsbDIKaWQuMWZvYjl0ZTIJaC4zem55c2g3OAByITFDSHJZNlo2SG5WdGNEc2lpUENRUVFrUUJHOVZsdlFDcg==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1504</TotalTime>
  <Pages>1</Pages>
  <Words>7439</Words>
  <Characters>40917</Characters>
  <Application>Microsoft Office Word</Application>
  <DocSecurity>0</DocSecurity>
  <Lines>340</Lines>
  <Paragraphs>96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48260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Jhonatan Manuel  Atencia Zuñiga UTL</dc:creator>
  <cp:lastModifiedBy>Luis Antonio Furnieles Monterroza</cp:lastModifiedBy>
  <cp:revision>19</cp:revision>
  <cp:lastPrinted>2025-10-06T21:50:00Z</cp:lastPrinted>
  <dcterms:created xsi:type="dcterms:W3CDTF">2025-10-02T14:26:00Z</dcterms:created>
  <dcterms:modified xsi:type="dcterms:W3CDTF">2025-10-07T20:32:00Z</dcterms:modified>
</cp:coreProperties>
</file>