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03E4" w14:textId="77777777" w:rsidR="00A96116" w:rsidRPr="00253D0B" w:rsidRDefault="00A96116" w:rsidP="00363EA3">
      <w:pPr>
        <w:pStyle w:val="NormalWeb"/>
        <w:spacing w:before="0" w:beforeAutospacing="0" w:after="0" w:afterAutospacing="0"/>
        <w:jc w:val="both"/>
        <w:textAlignment w:val="center"/>
        <w:rPr>
          <w:rFonts w:asciiTheme="minorHAnsi" w:hAnsiTheme="minorHAnsi" w:cs="Arial"/>
          <w:b/>
          <w:bCs/>
          <w:lang w:val="es-ES_tradnl"/>
        </w:rPr>
      </w:pPr>
    </w:p>
    <w:p w14:paraId="78A82296" w14:textId="5D625FDA" w:rsidR="001E1E64" w:rsidRPr="00253D0B" w:rsidRDefault="002C0BB9" w:rsidP="00363EA3">
      <w:pPr>
        <w:autoSpaceDE w:val="0"/>
        <w:autoSpaceDN w:val="0"/>
        <w:adjustRightInd w:val="0"/>
        <w:jc w:val="center"/>
        <w:rPr>
          <w:rFonts w:cs="Arial"/>
          <w:b/>
          <w:sz w:val="24"/>
          <w:szCs w:val="24"/>
        </w:rPr>
      </w:pPr>
      <w:r>
        <w:rPr>
          <w:rFonts w:cs="Arial"/>
          <w:b/>
          <w:sz w:val="24"/>
          <w:szCs w:val="24"/>
        </w:rPr>
        <w:t xml:space="preserve">TEXTO APROBADO EN COMISION PRIMERA DE LA HONORABLE CAMARA DE REPRESENTANTES DEL </w:t>
      </w:r>
      <w:r w:rsidR="001E1E64" w:rsidRPr="00253D0B">
        <w:rPr>
          <w:rFonts w:cs="Arial"/>
          <w:b/>
          <w:sz w:val="24"/>
          <w:szCs w:val="24"/>
        </w:rPr>
        <w:t xml:space="preserve">PROYECTO DE LEY NÚMERO </w:t>
      </w:r>
      <w:r w:rsidR="0045786A" w:rsidRPr="00253D0B">
        <w:rPr>
          <w:rFonts w:cs="Arial"/>
          <w:b/>
          <w:sz w:val="24"/>
          <w:szCs w:val="24"/>
        </w:rPr>
        <w:t>115</w:t>
      </w:r>
      <w:r w:rsidR="001E1E64" w:rsidRPr="00253D0B">
        <w:rPr>
          <w:rFonts w:cs="Arial"/>
          <w:b/>
          <w:sz w:val="24"/>
          <w:szCs w:val="24"/>
        </w:rPr>
        <w:t xml:space="preserve"> DE 201</w:t>
      </w:r>
      <w:r w:rsidR="0045786A" w:rsidRPr="00253D0B">
        <w:rPr>
          <w:rFonts w:cs="Arial"/>
          <w:b/>
          <w:sz w:val="24"/>
          <w:szCs w:val="24"/>
        </w:rPr>
        <w:t>5</w:t>
      </w:r>
      <w:r w:rsidR="001E1E64" w:rsidRPr="00253D0B">
        <w:rPr>
          <w:rFonts w:cs="Arial"/>
          <w:b/>
          <w:sz w:val="24"/>
          <w:szCs w:val="24"/>
        </w:rPr>
        <w:t xml:space="preserve"> CAMARA</w:t>
      </w:r>
    </w:p>
    <w:p w14:paraId="78A82297" w14:textId="77777777" w:rsidR="00363EA3" w:rsidRPr="00253D0B" w:rsidRDefault="00363EA3" w:rsidP="00363EA3">
      <w:pPr>
        <w:autoSpaceDE w:val="0"/>
        <w:autoSpaceDN w:val="0"/>
        <w:adjustRightInd w:val="0"/>
        <w:jc w:val="center"/>
        <w:rPr>
          <w:rFonts w:cs="Arial"/>
          <w:b/>
          <w:sz w:val="24"/>
          <w:szCs w:val="24"/>
        </w:rPr>
      </w:pPr>
    </w:p>
    <w:p w14:paraId="1A466242" w14:textId="3E649B7C" w:rsidR="0045786A" w:rsidRPr="00253D0B" w:rsidRDefault="000D542D" w:rsidP="0045786A">
      <w:pPr>
        <w:jc w:val="center"/>
        <w:rPr>
          <w:rFonts w:cs="Arial"/>
          <w:b/>
          <w:sz w:val="24"/>
          <w:szCs w:val="24"/>
        </w:rPr>
      </w:pPr>
      <w:r w:rsidRPr="00253D0B">
        <w:rPr>
          <w:rFonts w:cs="Arial"/>
          <w:b/>
          <w:sz w:val="24"/>
          <w:szCs w:val="24"/>
        </w:rPr>
        <w:t>“POR MEDIO DE LA CUAL SE ESTABLECEN MEDIDAS DE PROTECCIÓN AL ADULTO MAYOR EN COLOMBIA, SE MODIFICAN LAS LEYES 1251 DE 2008, 1315 DE 2009 Y 599 DE 2000, SE PENALIZA EL MALTRATO INTRAFAMILIAR POR ABANDONO Y SE DICTAN OTRAS DISPOSICIONES.”</w:t>
      </w:r>
    </w:p>
    <w:p w14:paraId="5D37B433" w14:textId="77777777" w:rsidR="008A6A39" w:rsidRPr="00253D0B" w:rsidRDefault="008A6A39" w:rsidP="00706694">
      <w:pPr>
        <w:adjustRightInd w:val="0"/>
        <w:jc w:val="center"/>
        <w:textAlignment w:val="center"/>
        <w:rPr>
          <w:rFonts w:cs="Arial"/>
          <w:b/>
          <w:spacing w:val="-6"/>
          <w:sz w:val="24"/>
          <w:szCs w:val="24"/>
          <w:lang w:val="es-ES_tradnl"/>
        </w:rPr>
      </w:pPr>
    </w:p>
    <w:p w14:paraId="3385B3A1" w14:textId="6315AD7D" w:rsidR="00253D0B" w:rsidRPr="002C0BB9" w:rsidRDefault="002C0BB9" w:rsidP="0057731E">
      <w:pPr>
        <w:autoSpaceDE w:val="0"/>
        <w:autoSpaceDN w:val="0"/>
        <w:adjustRightInd w:val="0"/>
        <w:jc w:val="center"/>
        <w:rPr>
          <w:rFonts w:cs="Calibri"/>
          <w:b/>
          <w:color w:val="000000"/>
          <w:sz w:val="24"/>
          <w:szCs w:val="24"/>
        </w:rPr>
      </w:pPr>
      <w:r w:rsidRPr="002C0BB9">
        <w:rPr>
          <w:rFonts w:cs="Calibri"/>
          <w:b/>
          <w:color w:val="000000"/>
          <w:sz w:val="24"/>
          <w:szCs w:val="24"/>
        </w:rPr>
        <w:t>EL CONGRESO DE COLOMBIA,</w:t>
      </w:r>
    </w:p>
    <w:p w14:paraId="2086FFB5" w14:textId="77777777" w:rsidR="0057731E" w:rsidRPr="002C0BB9" w:rsidRDefault="0057731E" w:rsidP="0057731E">
      <w:pPr>
        <w:autoSpaceDE w:val="0"/>
        <w:autoSpaceDN w:val="0"/>
        <w:adjustRightInd w:val="0"/>
        <w:jc w:val="center"/>
        <w:rPr>
          <w:rFonts w:cs="Calibri"/>
          <w:b/>
          <w:color w:val="000000"/>
          <w:sz w:val="24"/>
          <w:szCs w:val="24"/>
        </w:rPr>
      </w:pPr>
    </w:p>
    <w:p w14:paraId="2B49096C" w14:textId="091754A3" w:rsidR="00253D0B" w:rsidRPr="002C0BB9" w:rsidRDefault="002C0BB9" w:rsidP="0057731E">
      <w:pPr>
        <w:autoSpaceDE w:val="0"/>
        <w:autoSpaceDN w:val="0"/>
        <w:adjustRightInd w:val="0"/>
        <w:jc w:val="center"/>
        <w:rPr>
          <w:rFonts w:cs="Calibri"/>
          <w:b/>
          <w:color w:val="000000"/>
          <w:sz w:val="24"/>
          <w:szCs w:val="24"/>
        </w:rPr>
      </w:pPr>
      <w:r w:rsidRPr="002C0BB9">
        <w:rPr>
          <w:rFonts w:cs="Calibri"/>
          <w:b/>
          <w:color w:val="000000"/>
          <w:sz w:val="24"/>
          <w:szCs w:val="24"/>
        </w:rPr>
        <w:t>DECRETA:</w:t>
      </w:r>
    </w:p>
    <w:p w14:paraId="760C770D" w14:textId="77777777" w:rsidR="0057731E" w:rsidRPr="002C0BB9" w:rsidRDefault="0057731E" w:rsidP="00253D0B">
      <w:pPr>
        <w:autoSpaceDE w:val="0"/>
        <w:autoSpaceDN w:val="0"/>
        <w:adjustRightInd w:val="0"/>
        <w:rPr>
          <w:rFonts w:cs="Calibri"/>
          <w:b/>
          <w:bCs/>
          <w:color w:val="000000"/>
          <w:sz w:val="24"/>
          <w:szCs w:val="24"/>
        </w:rPr>
      </w:pPr>
    </w:p>
    <w:p w14:paraId="2BFB3739"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 </w:t>
      </w:r>
      <w:r w:rsidRPr="00253D0B">
        <w:rPr>
          <w:rFonts w:cs="Calibri"/>
          <w:color w:val="000000"/>
          <w:sz w:val="24"/>
          <w:szCs w:val="24"/>
        </w:rPr>
        <w:t xml:space="preserve">Créese un artículo nuevo de la Ley 1315 de 2009, del siguiente tenor: </w:t>
      </w:r>
    </w:p>
    <w:p w14:paraId="04F76004" w14:textId="77777777" w:rsidR="00D25753" w:rsidRDefault="00D25753" w:rsidP="0057731E">
      <w:pPr>
        <w:autoSpaceDE w:val="0"/>
        <w:autoSpaceDN w:val="0"/>
        <w:adjustRightInd w:val="0"/>
        <w:jc w:val="both"/>
        <w:rPr>
          <w:rFonts w:cs="Calibri"/>
          <w:b/>
          <w:bCs/>
          <w:color w:val="000000"/>
          <w:sz w:val="24"/>
          <w:szCs w:val="24"/>
        </w:rPr>
      </w:pPr>
    </w:p>
    <w:p w14:paraId="5F824804" w14:textId="77777777" w:rsidR="00253D0B" w:rsidRPr="00253D0B" w:rsidRDefault="00253D0B" w:rsidP="00D25753">
      <w:pPr>
        <w:autoSpaceDE w:val="0"/>
        <w:autoSpaceDN w:val="0"/>
        <w:adjustRightInd w:val="0"/>
        <w:ind w:left="708"/>
        <w:jc w:val="both"/>
        <w:rPr>
          <w:rFonts w:cs="Calibri"/>
          <w:color w:val="000000"/>
          <w:sz w:val="24"/>
          <w:szCs w:val="24"/>
        </w:rPr>
      </w:pPr>
      <w:r w:rsidRPr="00253D0B">
        <w:rPr>
          <w:rFonts w:cs="Calibri"/>
          <w:b/>
          <w:bCs/>
          <w:color w:val="000000"/>
          <w:sz w:val="24"/>
          <w:szCs w:val="24"/>
        </w:rPr>
        <w:t>Artículo 17A</w:t>
      </w:r>
      <w:r w:rsidRPr="00253D0B">
        <w:rPr>
          <w:rFonts w:cs="Calibri"/>
          <w:color w:val="000000"/>
          <w:sz w:val="24"/>
          <w:szCs w:val="24"/>
        </w:rPr>
        <w:t xml:space="preserve">. Los centros de protección social y de día, así como las instituciones de atención deberán acoger a los adultos mayores afectados por casos de violencia intrafamiliar como medida de protección y prevención. </w:t>
      </w:r>
    </w:p>
    <w:p w14:paraId="212B315A" w14:textId="77777777" w:rsidR="00D25753" w:rsidRDefault="00D25753" w:rsidP="0057731E">
      <w:pPr>
        <w:autoSpaceDE w:val="0"/>
        <w:autoSpaceDN w:val="0"/>
        <w:adjustRightInd w:val="0"/>
        <w:jc w:val="both"/>
        <w:rPr>
          <w:rFonts w:cs="Calibri"/>
          <w:b/>
          <w:bCs/>
          <w:color w:val="000000"/>
          <w:sz w:val="24"/>
          <w:szCs w:val="24"/>
        </w:rPr>
      </w:pPr>
    </w:p>
    <w:p w14:paraId="2411B824"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2°. </w:t>
      </w:r>
      <w:r w:rsidRPr="00253D0B">
        <w:rPr>
          <w:rFonts w:cs="Calibri"/>
          <w:color w:val="000000"/>
          <w:sz w:val="24"/>
          <w:szCs w:val="24"/>
        </w:rPr>
        <w:t xml:space="preserve">Adiciónense los siguientes numerales al artículo 28 de la Ley 1251 de 2008, sobre las funciones del Consejo Nacional del Adulto Mayor: </w:t>
      </w:r>
    </w:p>
    <w:p w14:paraId="11111081" w14:textId="77777777" w:rsidR="00D25753" w:rsidRDefault="00D25753" w:rsidP="0057731E">
      <w:pPr>
        <w:autoSpaceDE w:val="0"/>
        <w:autoSpaceDN w:val="0"/>
        <w:adjustRightInd w:val="0"/>
        <w:jc w:val="both"/>
        <w:rPr>
          <w:rFonts w:cs="Calibri"/>
          <w:color w:val="000000"/>
          <w:sz w:val="24"/>
          <w:szCs w:val="24"/>
        </w:rPr>
      </w:pPr>
    </w:p>
    <w:p w14:paraId="56D20C20"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11. Asesorar la formulación y evaluar el funcionamiento de los planes y programas de protección y lucha contra la violencia que se ejerza a los adultos mayores. </w:t>
      </w:r>
    </w:p>
    <w:p w14:paraId="56B2F14A" w14:textId="77777777" w:rsidR="00D25753" w:rsidRDefault="00D25753" w:rsidP="00655FA0">
      <w:pPr>
        <w:autoSpaceDE w:val="0"/>
        <w:autoSpaceDN w:val="0"/>
        <w:adjustRightInd w:val="0"/>
        <w:ind w:left="708"/>
        <w:jc w:val="both"/>
        <w:rPr>
          <w:rFonts w:cs="Calibri"/>
          <w:color w:val="000000"/>
          <w:sz w:val="24"/>
          <w:szCs w:val="24"/>
        </w:rPr>
      </w:pPr>
    </w:p>
    <w:p w14:paraId="7F7961C5" w14:textId="77777777" w:rsidR="00D25753"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12. Promover la creación de redes de apoyo con el fin de asegurar los vínculos, la compañía y el apoyo del núcleo familiar del adulto y así evitar la institucionalización y la penalización. Ya que es necesario involucrar de manera directa a la familia quien es la encargada de suplir la satisfacción de necesidades biológicas y afectivas de los individuos; responde por el desarrollo integral de sus miembros y por la inserción de estos en la cultura, la transmisión de valores para que se comporten como la sociedad espera de ellos. De ahí que la pertenencia a una familia constituye la matriz de la identidad individual. </w:t>
      </w:r>
    </w:p>
    <w:p w14:paraId="5AFA14AD" w14:textId="77777777" w:rsidR="00D25753" w:rsidRDefault="00D25753" w:rsidP="00655FA0">
      <w:pPr>
        <w:autoSpaceDE w:val="0"/>
        <w:autoSpaceDN w:val="0"/>
        <w:adjustRightInd w:val="0"/>
        <w:ind w:left="708"/>
        <w:jc w:val="both"/>
        <w:rPr>
          <w:rFonts w:cs="Calibri"/>
          <w:color w:val="000000"/>
          <w:sz w:val="24"/>
          <w:szCs w:val="24"/>
        </w:rPr>
      </w:pPr>
    </w:p>
    <w:p w14:paraId="446D7A21" w14:textId="6EA8C0D1" w:rsid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13. Promover la formulación de políticas para dar a conocer las obligaciones alimentarias de la familia para con las personas de la tercera edad, conformando grupos de enlace con el Instituto Colombiano de Bienestar Familiar, las Secretarías de Desarrollo Social y las Comisarias de Familia. </w:t>
      </w:r>
    </w:p>
    <w:p w14:paraId="46F80956" w14:textId="77777777" w:rsidR="00D25753" w:rsidRPr="00253D0B" w:rsidRDefault="00D25753" w:rsidP="00D25753">
      <w:pPr>
        <w:autoSpaceDE w:val="0"/>
        <w:autoSpaceDN w:val="0"/>
        <w:adjustRightInd w:val="0"/>
        <w:jc w:val="both"/>
        <w:rPr>
          <w:rFonts w:cs="Calibri"/>
          <w:color w:val="000000"/>
          <w:sz w:val="24"/>
          <w:szCs w:val="24"/>
        </w:rPr>
      </w:pPr>
    </w:p>
    <w:p w14:paraId="36F328FE"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3°. </w:t>
      </w:r>
      <w:r w:rsidRPr="00253D0B">
        <w:rPr>
          <w:rFonts w:cs="Calibri"/>
          <w:color w:val="000000"/>
          <w:sz w:val="24"/>
          <w:szCs w:val="24"/>
        </w:rPr>
        <w:t xml:space="preserve">Modifíquese el artículo 229 de la Ley 599 de 2000, el cual quedará así: </w:t>
      </w:r>
    </w:p>
    <w:p w14:paraId="3B7B5B79" w14:textId="77777777" w:rsidR="00655FA0" w:rsidRDefault="00655FA0" w:rsidP="0057731E">
      <w:pPr>
        <w:autoSpaceDE w:val="0"/>
        <w:autoSpaceDN w:val="0"/>
        <w:adjustRightInd w:val="0"/>
        <w:jc w:val="both"/>
        <w:rPr>
          <w:rFonts w:cs="Calibri"/>
          <w:b/>
          <w:bCs/>
          <w:color w:val="000000"/>
          <w:sz w:val="24"/>
          <w:szCs w:val="24"/>
        </w:rPr>
      </w:pPr>
    </w:p>
    <w:p w14:paraId="29786C6B"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b/>
          <w:bCs/>
          <w:color w:val="000000"/>
          <w:sz w:val="24"/>
          <w:szCs w:val="24"/>
        </w:rPr>
        <w:lastRenderedPageBreak/>
        <w:t xml:space="preserve">Artículo 229. </w:t>
      </w:r>
      <w:r w:rsidRPr="00253D0B">
        <w:rPr>
          <w:rFonts w:cs="Calibri"/>
          <w:b/>
          <w:bCs/>
          <w:i/>
          <w:iCs/>
          <w:color w:val="000000"/>
          <w:sz w:val="24"/>
          <w:szCs w:val="24"/>
        </w:rPr>
        <w:t xml:space="preserve">Violencia intrafamiliar. </w:t>
      </w:r>
      <w:r w:rsidRPr="00253D0B">
        <w:rPr>
          <w:rFonts w:cs="Calibri"/>
          <w:color w:val="000000"/>
          <w:sz w:val="24"/>
          <w:szCs w:val="24"/>
        </w:rPr>
        <w:t xml:space="preserve">El que maltrate física o sicológicamente a cualquier miembro de su núcleo familiar, incurrirá, siempre que la conducta no constituya delito sancionado con pena mayor, en prisión de cuatro (4) a ocho (8) años. </w:t>
      </w:r>
    </w:p>
    <w:p w14:paraId="0670F359" w14:textId="77777777" w:rsidR="00655FA0" w:rsidRDefault="00655FA0" w:rsidP="00655FA0">
      <w:pPr>
        <w:autoSpaceDE w:val="0"/>
        <w:autoSpaceDN w:val="0"/>
        <w:adjustRightInd w:val="0"/>
        <w:ind w:left="708"/>
        <w:jc w:val="both"/>
        <w:rPr>
          <w:rFonts w:cs="Calibri"/>
          <w:color w:val="000000"/>
          <w:sz w:val="24"/>
          <w:szCs w:val="24"/>
        </w:rPr>
      </w:pPr>
    </w:p>
    <w:p w14:paraId="0BE41E0A"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La pena se aumentará de la mitad a las tres cuartas partes cuando la conducta recaiga sobre un menor, una mujer, una persona mayor de sesenta (60) años o que se encuentre en incapacidad o disminución física, sensorial y psicológica o quien se encuentre en estado de indefensión. </w:t>
      </w:r>
    </w:p>
    <w:p w14:paraId="36344E43" w14:textId="77777777" w:rsidR="00655FA0" w:rsidRDefault="00655FA0" w:rsidP="00655FA0">
      <w:pPr>
        <w:autoSpaceDE w:val="0"/>
        <w:autoSpaceDN w:val="0"/>
        <w:adjustRightInd w:val="0"/>
        <w:ind w:left="708"/>
        <w:jc w:val="both"/>
        <w:rPr>
          <w:rFonts w:cs="Calibri"/>
          <w:b/>
          <w:bCs/>
          <w:color w:val="000000"/>
          <w:sz w:val="24"/>
          <w:szCs w:val="24"/>
        </w:rPr>
      </w:pPr>
    </w:p>
    <w:p w14:paraId="49611EF4"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b/>
          <w:bCs/>
          <w:color w:val="000000"/>
          <w:sz w:val="24"/>
          <w:szCs w:val="24"/>
        </w:rPr>
        <w:t>Parágrafo</w:t>
      </w:r>
      <w:r w:rsidRPr="00253D0B">
        <w:rPr>
          <w:rFonts w:cs="Calibri"/>
          <w:color w:val="000000"/>
          <w:sz w:val="24"/>
          <w:szCs w:val="24"/>
        </w:rPr>
        <w:t xml:space="preserve">. A la misma pena quedará sometido quien, no siendo miembro del núcleo familiar, sea encargado del cuidado de uno o varios miembros de una familia y realice alguna de las conductas descritas en el presente artículo. </w:t>
      </w:r>
    </w:p>
    <w:p w14:paraId="0FAB2B45" w14:textId="77777777" w:rsidR="00655FA0" w:rsidRDefault="00655FA0" w:rsidP="0057731E">
      <w:pPr>
        <w:autoSpaceDE w:val="0"/>
        <w:autoSpaceDN w:val="0"/>
        <w:adjustRightInd w:val="0"/>
        <w:jc w:val="both"/>
        <w:rPr>
          <w:rFonts w:cs="Calibri"/>
          <w:b/>
          <w:bCs/>
          <w:color w:val="000000"/>
          <w:sz w:val="24"/>
          <w:szCs w:val="24"/>
        </w:rPr>
      </w:pPr>
    </w:p>
    <w:p w14:paraId="2DED4EC2"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4. </w:t>
      </w:r>
      <w:r w:rsidRPr="00253D0B">
        <w:rPr>
          <w:rFonts w:cs="Calibri"/>
          <w:color w:val="000000"/>
          <w:sz w:val="24"/>
          <w:szCs w:val="24"/>
        </w:rPr>
        <w:t xml:space="preserve">Modifíquese el artículo 230 de la ley 599 de 2000, el cual quedará así: </w:t>
      </w:r>
    </w:p>
    <w:p w14:paraId="34A7C21F" w14:textId="77777777" w:rsidR="00655FA0" w:rsidRDefault="00655FA0" w:rsidP="0057731E">
      <w:pPr>
        <w:autoSpaceDE w:val="0"/>
        <w:autoSpaceDN w:val="0"/>
        <w:adjustRightInd w:val="0"/>
        <w:jc w:val="both"/>
        <w:rPr>
          <w:rFonts w:cs="Calibri"/>
          <w:b/>
          <w:bCs/>
          <w:color w:val="000000"/>
          <w:sz w:val="24"/>
          <w:szCs w:val="24"/>
        </w:rPr>
      </w:pPr>
    </w:p>
    <w:p w14:paraId="7590F625" w14:textId="77777777" w:rsidR="00655FA0" w:rsidRDefault="00253D0B" w:rsidP="00655FA0">
      <w:pPr>
        <w:autoSpaceDE w:val="0"/>
        <w:autoSpaceDN w:val="0"/>
        <w:adjustRightInd w:val="0"/>
        <w:ind w:left="708"/>
        <w:jc w:val="both"/>
        <w:rPr>
          <w:rFonts w:cs="Calibri"/>
          <w:color w:val="000000"/>
          <w:sz w:val="24"/>
          <w:szCs w:val="24"/>
        </w:rPr>
      </w:pPr>
      <w:r w:rsidRPr="00253D0B">
        <w:rPr>
          <w:rFonts w:cs="Calibri"/>
          <w:b/>
          <w:bCs/>
          <w:color w:val="000000"/>
          <w:sz w:val="24"/>
          <w:szCs w:val="24"/>
        </w:rPr>
        <w:t xml:space="preserve">Artículo 230. </w:t>
      </w:r>
      <w:r w:rsidRPr="00253D0B">
        <w:rPr>
          <w:rFonts w:cs="Calibri"/>
          <w:b/>
          <w:bCs/>
          <w:i/>
          <w:iCs/>
          <w:color w:val="000000"/>
          <w:sz w:val="24"/>
          <w:szCs w:val="24"/>
        </w:rPr>
        <w:t xml:space="preserve">Maltrato mediante restricción a la libertad física. </w:t>
      </w:r>
      <w:r w:rsidRPr="00253D0B">
        <w:rPr>
          <w:rFonts w:cs="Calibri"/>
          <w:color w:val="000000"/>
          <w:sz w:val="24"/>
          <w:szCs w:val="24"/>
        </w:rPr>
        <w:t xml:space="preserve">El que mediante fuerza restrinja la libertad de locomoción a otra persona mayor de edad perteneciente a su grupo familiar o puesta bajo su cuidado, o en menor de edad sobre el cual no se ejerza patria potestad, incurrirá en prisión de dieciséis (16) a treinta y seis (36) meses y en multa de uno punto treinta y tres (1.33) a veinticuatro (24) salarios mínimos legales mensuales vigentes, siempre que la conducta no constituya delito sancionado con pena mayor. </w:t>
      </w:r>
    </w:p>
    <w:p w14:paraId="0F609736" w14:textId="77777777" w:rsidR="00655FA0" w:rsidRDefault="00655FA0" w:rsidP="00655FA0">
      <w:pPr>
        <w:autoSpaceDE w:val="0"/>
        <w:autoSpaceDN w:val="0"/>
        <w:adjustRightInd w:val="0"/>
        <w:ind w:left="708"/>
        <w:jc w:val="both"/>
        <w:rPr>
          <w:rFonts w:cs="Calibri"/>
          <w:color w:val="000000"/>
          <w:sz w:val="24"/>
          <w:szCs w:val="24"/>
        </w:rPr>
      </w:pPr>
    </w:p>
    <w:p w14:paraId="240508F7" w14:textId="553FE5D2"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b/>
          <w:bCs/>
          <w:color w:val="000000"/>
          <w:sz w:val="24"/>
          <w:szCs w:val="24"/>
        </w:rPr>
        <w:t>Parágrafo</w:t>
      </w:r>
      <w:r w:rsidRPr="00253D0B">
        <w:rPr>
          <w:rFonts w:cs="Calibri"/>
          <w:color w:val="000000"/>
          <w:sz w:val="24"/>
          <w:szCs w:val="24"/>
        </w:rPr>
        <w:t>. Para efectos de lo establecido en el presente artículo se entenderá que el grupo familiar comprende los cónyuges o compañeros permanentes; el padre y la madre de familia, aunque no convivan en un mismo lugar; los ascendientes o descendientes de los anteriores y los hijos adoptivos; todas las demás personas que de manera permanente se hallaren integradas a la unidad doméstica, las personas que no siendo miembros del núcleo familiar, sean encargados del cuidado de uno o varios miembros de una familia</w:t>
      </w:r>
      <w:r w:rsidRPr="00253D0B">
        <w:rPr>
          <w:rFonts w:cs="Calibri"/>
          <w:b/>
          <w:bCs/>
          <w:color w:val="000000"/>
          <w:sz w:val="24"/>
          <w:szCs w:val="24"/>
        </w:rPr>
        <w:t xml:space="preserve">. </w:t>
      </w:r>
      <w:r w:rsidRPr="00253D0B">
        <w:rPr>
          <w:rFonts w:cs="Calibri"/>
          <w:color w:val="000000"/>
          <w:sz w:val="24"/>
          <w:szCs w:val="24"/>
        </w:rPr>
        <w:t xml:space="preserve">La afinidad será derivada de cualquier forma de matrimonio, unión libre. </w:t>
      </w:r>
    </w:p>
    <w:p w14:paraId="0795B801" w14:textId="77777777" w:rsidR="00655FA0" w:rsidRDefault="00655FA0" w:rsidP="0057731E">
      <w:pPr>
        <w:autoSpaceDE w:val="0"/>
        <w:autoSpaceDN w:val="0"/>
        <w:adjustRightInd w:val="0"/>
        <w:jc w:val="both"/>
        <w:rPr>
          <w:rFonts w:cs="Calibri"/>
          <w:b/>
          <w:bCs/>
          <w:color w:val="000000"/>
          <w:sz w:val="24"/>
          <w:szCs w:val="24"/>
        </w:rPr>
      </w:pPr>
    </w:p>
    <w:p w14:paraId="7035B156"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5º. </w:t>
      </w:r>
      <w:r w:rsidRPr="00253D0B">
        <w:rPr>
          <w:rFonts w:cs="Calibri"/>
          <w:color w:val="000000"/>
          <w:sz w:val="24"/>
          <w:szCs w:val="24"/>
        </w:rPr>
        <w:t xml:space="preserve">Adiciónese el siguiente artículo a la Ley 599 de 2000: </w:t>
      </w:r>
    </w:p>
    <w:p w14:paraId="15C0B97C" w14:textId="77777777" w:rsidR="00655FA0" w:rsidRDefault="00655FA0" w:rsidP="0057731E">
      <w:pPr>
        <w:autoSpaceDE w:val="0"/>
        <w:autoSpaceDN w:val="0"/>
        <w:adjustRightInd w:val="0"/>
        <w:jc w:val="both"/>
        <w:rPr>
          <w:rFonts w:cs="Calibri"/>
          <w:b/>
          <w:bCs/>
          <w:color w:val="000000"/>
          <w:sz w:val="24"/>
          <w:szCs w:val="24"/>
        </w:rPr>
      </w:pPr>
    </w:p>
    <w:p w14:paraId="56E126A1"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b/>
          <w:bCs/>
          <w:color w:val="000000"/>
          <w:sz w:val="24"/>
          <w:szCs w:val="24"/>
        </w:rPr>
        <w:t xml:space="preserve">229A. </w:t>
      </w:r>
      <w:r w:rsidRPr="00253D0B">
        <w:rPr>
          <w:rFonts w:cs="Calibri"/>
          <w:b/>
          <w:bCs/>
          <w:i/>
          <w:iCs/>
          <w:color w:val="000000"/>
          <w:sz w:val="24"/>
          <w:szCs w:val="24"/>
        </w:rPr>
        <w:t>Maltrato por descuido, negligencia o abandono en persona mayor de 60 años</w:t>
      </w:r>
      <w:r w:rsidRPr="00253D0B">
        <w:rPr>
          <w:rFonts w:cs="Calibri"/>
          <w:b/>
          <w:bCs/>
          <w:color w:val="000000"/>
          <w:sz w:val="24"/>
          <w:szCs w:val="24"/>
        </w:rPr>
        <w:t xml:space="preserve">. </w:t>
      </w:r>
      <w:r w:rsidRPr="00253D0B">
        <w:rPr>
          <w:rFonts w:cs="Calibri"/>
          <w:color w:val="000000"/>
          <w:sz w:val="24"/>
          <w:szCs w:val="24"/>
        </w:rPr>
        <w:t xml:space="preserve">El que someta a condición de abandono y descuido a persona mayor, con 60 años de edad o más, genere afectación en sus necesidades de higiene, vestuario, alimentación y salud, incurrirá en prisión de cuatro (4) a ocho (8) años y en multa de 1 a 5 salarios mínimos legales mensuales vigentes. </w:t>
      </w:r>
    </w:p>
    <w:p w14:paraId="1D988997" w14:textId="77777777" w:rsidR="00655FA0" w:rsidRDefault="00655FA0" w:rsidP="00655FA0">
      <w:pPr>
        <w:autoSpaceDE w:val="0"/>
        <w:autoSpaceDN w:val="0"/>
        <w:adjustRightInd w:val="0"/>
        <w:ind w:left="708"/>
        <w:jc w:val="both"/>
        <w:rPr>
          <w:rFonts w:cs="Calibri"/>
          <w:color w:val="000000"/>
          <w:sz w:val="24"/>
          <w:szCs w:val="24"/>
        </w:rPr>
      </w:pPr>
    </w:p>
    <w:p w14:paraId="1693C808"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b/>
          <w:color w:val="000000"/>
          <w:sz w:val="24"/>
          <w:szCs w:val="24"/>
        </w:rPr>
        <w:lastRenderedPageBreak/>
        <w:t>Parágrafo.</w:t>
      </w:r>
      <w:r w:rsidRPr="00253D0B">
        <w:rPr>
          <w:rFonts w:cs="Calibri"/>
          <w:color w:val="000000"/>
          <w:sz w:val="24"/>
          <w:szCs w:val="24"/>
        </w:rPr>
        <w:t xml:space="preserve"> El abandono de la persona mayor por parte de la institución a la que le corresponde su cuidado por haberlo asumido, será causal de la cancelación de los permisos o conceptos favorables de funcionamiento y multa de 20 salarios mínimos legales mensuales vigentes. </w:t>
      </w:r>
    </w:p>
    <w:p w14:paraId="7FE31A87" w14:textId="77777777" w:rsidR="00655FA0" w:rsidRDefault="00655FA0" w:rsidP="0057731E">
      <w:pPr>
        <w:autoSpaceDE w:val="0"/>
        <w:autoSpaceDN w:val="0"/>
        <w:adjustRightInd w:val="0"/>
        <w:jc w:val="both"/>
        <w:rPr>
          <w:rFonts w:cs="Calibri"/>
          <w:b/>
          <w:bCs/>
          <w:color w:val="000000"/>
          <w:sz w:val="24"/>
          <w:szCs w:val="24"/>
        </w:rPr>
      </w:pPr>
    </w:p>
    <w:p w14:paraId="3E6D90B5"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6°. </w:t>
      </w:r>
      <w:r w:rsidRPr="00253D0B">
        <w:rPr>
          <w:rFonts w:cs="Calibri"/>
          <w:b/>
          <w:bCs/>
          <w:i/>
          <w:iCs/>
          <w:color w:val="000000"/>
          <w:sz w:val="24"/>
          <w:szCs w:val="24"/>
        </w:rPr>
        <w:t>Atención inmediata</w:t>
      </w:r>
      <w:r w:rsidRPr="00253D0B">
        <w:rPr>
          <w:rFonts w:cs="Calibri"/>
          <w:i/>
          <w:iCs/>
          <w:color w:val="000000"/>
          <w:sz w:val="24"/>
          <w:szCs w:val="24"/>
        </w:rPr>
        <w:t xml:space="preserve">. </w:t>
      </w:r>
      <w:r w:rsidRPr="00253D0B">
        <w:rPr>
          <w:rFonts w:cs="Calibri"/>
          <w:color w:val="000000"/>
          <w:sz w:val="24"/>
          <w:szCs w:val="24"/>
        </w:rPr>
        <w:t xml:space="preserve">El Gobierno Nacional a través del Instituto Colombiano de Bienestar Familiar implementará una ruta de atención inmediata y determinará los medios de comunicación correspondientes frente a maltratos contra el adulto mayor, tanto en ambientes familiares como en los centros de protección especial y demás instituciones encargadas del cuidado y protección de los adultos mayores. </w:t>
      </w:r>
    </w:p>
    <w:p w14:paraId="467DA17B" w14:textId="77777777" w:rsidR="00655FA0" w:rsidRDefault="00655FA0" w:rsidP="0057731E">
      <w:pPr>
        <w:autoSpaceDE w:val="0"/>
        <w:autoSpaceDN w:val="0"/>
        <w:adjustRightInd w:val="0"/>
        <w:jc w:val="both"/>
        <w:rPr>
          <w:rFonts w:cs="Calibri"/>
          <w:b/>
          <w:bCs/>
          <w:color w:val="000000"/>
          <w:sz w:val="24"/>
          <w:szCs w:val="24"/>
        </w:rPr>
      </w:pPr>
    </w:p>
    <w:p w14:paraId="533B2581" w14:textId="77777777" w:rsidR="00655FA0" w:rsidRDefault="00253D0B" w:rsidP="00655FA0">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7º. </w:t>
      </w:r>
      <w:proofErr w:type="spellStart"/>
      <w:r w:rsidRPr="00253D0B">
        <w:rPr>
          <w:rFonts w:cs="Calibri"/>
          <w:color w:val="000000"/>
          <w:sz w:val="24"/>
          <w:szCs w:val="24"/>
        </w:rPr>
        <w:t>Adiciónase</w:t>
      </w:r>
      <w:proofErr w:type="spellEnd"/>
      <w:r w:rsidRPr="00253D0B">
        <w:rPr>
          <w:rFonts w:cs="Calibri"/>
          <w:color w:val="000000"/>
          <w:sz w:val="24"/>
          <w:szCs w:val="24"/>
        </w:rPr>
        <w:t xml:space="preserve"> en el artículo 6º, numeral 1º, dentro de los deberes del Estado definidos en la ley 1251 de 2008, los siguientes literales: </w:t>
      </w:r>
    </w:p>
    <w:p w14:paraId="5C5F0333" w14:textId="77777777" w:rsidR="00655FA0" w:rsidRDefault="00655FA0" w:rsidP="00655FA0">
      <w:pPr>
        <w:autoSpaceDE w:val="0"/>
        <w:autoSpaceDN w:val="0"/>
        <w:adjustRightInd w:val="0"/>
        <w:jc w:val="both"/>
        <w:rPr>
          <w:rFonts w:cs="Calibri"/>
          <w:color w:val="000000"/>
          <w:sz w:val="24"/>
          <w:szCs w:val="24"/>
        </w:rPr>
      </w:pPr>
    </w:p>
    <w:p w14:paraId="3B9C846E" w14:textId="1F1AA600"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p. Introducir el concepto de educación en la sociedad fomentando el autocuidado, la participación y la productividad en todas las edades para vivir, envejecer y tener una vejez digna. </w:t>
      </w:r>
    </w:p>
    <w:p w14:paraId="7E9149CC"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q. Elaborar políticas y proyectos específicos orientados al empoderamiento del adulto mayor para la toma de decisiones relacionadas con su calidad de vida y su participación activa dentro del entorno económico y social donde vive. </w:t>
      </w:r>
    </w:p>
    <w:p w14:paraId="26C90F25"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r. Diseñar estrategias para promover o estimular condiciones y estilos de vida que contrarresten los efectos y la discriminación acerca del envejecimiento y la vejez. </w:t>
      </w:r>
    </w:p>
    <w:p w14:paraId="0A56D7D6"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s. Generar acciones para que los programas actuales de gerontología que se adelantan en las instituciones se den con un enfoque integral dirigido a todas las edades. </w:t>
      </w:r>
    </w:p>
    <w:p w14:paraId="40A2D49B" w14:textId="77777777" w:rsidR="00253D0B" w:rsidRPr="00253D0B" w:rsidRDefault="00253D0B" w:rsidP="00655FA0">
      <w:pPr>
        <w:autoSpaceDE w:val="0"/>
        <w:autoSpaceDN w:val="0"/>
        <w:adjustRightInd w:val="0"/>
        <w:ind w:left="708"/>
        <w:jc w:val="both"/>
        <w:rPr>
          <w:rFonts w:cs="Calibri"/>
          <w:color w:val="000000"/>
          <w:sz w:val="24"/>
          <w:szCs w:val="24"/>
        </w:rPr>
      </w:pPr>
      <w:proofErr w:type="gramStart"/>
      <w:r w:rsidRPr="00253D0B">
        <w:rPr>
          <w:rFonts w:cs="Calibri"/>
          <w:color w:val="000000"/>
          <w:sz w:val="24"/>
          <w:szCs w:val="24"/>
        </w:rPr>
        <w:t>t</w:t>
      </w:r>
      <w:proofErr w:type="gramEnd"/>
      <w:r w:rsidRPr="00253D0B">
        <w:rPr>
          <w:rFonts w:cs="Calibri"/>
          <w:color w:val="000000"/>
          <w:sz w:val="24"/>
          <w:szCs w:val="24"/>
        </w:rPr>
        <w:t xml:space="preserve">. Promover La creación de redes familiares, municipales y departamentales buscando el fortalecimiento y la participación activa de los adultos mayores en su entorno. Con el fin de permitir a los Adultos Mayores y sus familias fortalecer vínculos afectivos, comunitarios y sociales. </w:t>
      </w:r>
    </w:p>
    <w:p w14:paraId="41C30A10"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u. Promover la Asociación para la defensa de los programas y derechos de la Tercera Edad. </w:t>
      </w:r>
    </w:p>
    <w:p w14:paraId="7265D3C9" w14:textId="77777777" w:rsidR="00253D0B" w:rsidRPr="00253D0B" w:rsidRDefault="00253D0B" w:rsidP="00655FA0">
      <w:pPr>
        <w:autoSpaceDE w:val="0"/>
        <w:autoSpaceDN w:val="0"/>
        <w:adjustRightInd w:val="0"/>
        <w:ind w:left="708"/>
        <w:jc w:val="both"/>
        <w:rPr>
          <w:rFonts w:cs="Calibri"/>
          <w:color w:val="000000"/>
          <w:sz w:val="24"/>
          <w:szCs w:val="24"/>
        </w:rPr>
      </w:pPr>
      <w:r w:rsidRPr="00253D0B">
        <w:rPr>
          <w:rFonts w:cs="Calibri"/>
          <w:color w:val="000000"/>
          <w:sz w:val="24"/>
          <w:szCs w:val="24"/>
        </w:rPr>
        <w:t xml:space="preserve">v. Desarrollar actividades tendientes a mejorar las condiciones de vida y mitigar las condiciones de vulnerabilidad de los adultos mayores que están aislados o marginados. </w:t>
      </w:r>
    </w:p>
    <w:p w14:paraId="440A9405" w14:textId="77777777" w:rsidR="00655FA0" w:rsidRDefault="00655FA0" w:rsidP="0057731E">
      <w:pPr>
        <w:autoSpaceDE w:val="0"/>
        <w:autoSpaceDN w:val="0"/>
        <w:adjustRightInd w:val="0"/>
        <w:jc w:val="both"/>
        <w:rPr>
          <w:rFonts w:cs="Calibri"/>
          <w:b/>
          <w:bCs/>
          <w:color w:val="000000"/>
          <w:sz w:val="24"/>
          <w:szCs w:val="24"/>
        </w:rPr>
      </w:pPr>
    </w:p>
    <w:p w14:paraId="477ACD44"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Artículo 8º</w:t>
      </w:r>
      <w:r w:rsidRPr="00253D0B">
        <w:rPr>
          <w:rFonts w:cs="Calibri"/>
          <w:color w:val="000000"/>
          <w:sz w:val="24"/>
          <w:szCs w:val="24"/>
        </w:rPr>
        <w:t xml:space="preserve">. Inclúyase en el artículo 7º de la ley 1251 de 2008 (Objetivos de la Política Nacional de Envejecimiento Vejez) el siguiente numeral: </w:t>
      </w:r>
    </w:p>
    <w:p w14:paraId="64DD4B25" w14:textId="77777777" w:rsidR="00655FA0" w:rsidRDefault="00655FA0" w:rsidP="0057731E">
      <w:pPr>
        <w:autoSpaceDE w:val="0"/>
        <w:autoSpaceDN w:val="0"/>
        <w:adjustRightInd w:val="0"/>
        <w:jc w:val="both"/>
        <w:rPr>
          <w:rFonts w:cs="Calibri"/>
          <w:color w:val="000000"/>
          <w:sz w:val="24"/>
          <w:szCs w:val="24"/>
        </w:rPr>
      </w:pPr>
    </w:p>
    <w:p w14:paraId="4D217E4C" w14:textId="77777777" w:rsidR="00253D0B" w:rsidRPr="00253D0B" w:rsidRDefault="00253D0B" w:rsidP="002672CC">
      <w:pPr>
        <w:autoSpaceDE w:val="0"/>
        <w:autoSpaceDN w:val="0"/>
        <w:adjustRightInd w:val="0"/>
        <w:ind w:left="708"/>
        <w:jc w:val="both"/>
        <w:rPr>
          <w:rFonts w:cs="Calibri"/>
          <w:color w:val="000000"/>
          <w:sz w:val="24"/>
          <w:szCs w:val="24"/>
        </w:rPr>
      </w:pPr>
      <w:r w:rsidRPr="00253D0B">
        <w:rPr>
          <w:rFonts w:cs="Calibri"/>
          <w:color w:val="000000"/>
          <w:sz w:val="24"/>
          <w:szCs w:val="24"/>
        </w:rPr>
        <w:t xml:space="preserve">10. Incluir medidas con el fin de capacitar a los cuidadores informales que hay en los hogares para atender a sus familiares adultos mayores que se encuentren con enfermedades crónicas o enfermedad mental. </w:t>
      </w:r>
    </w:p>
    <w:p w14:paraId="1898C7A6" w14:textId="77777777" w:rsidR="00655FA0" w:rsidRDefault="00655FA0" w:rsidP="0057731E">
      <w:pPr>
        <w:autoSpaceDE w:val="0"/>
        <w:autoSpaceDN w:val="0"/>
        <w:adjustRightInd w:val="0"/>
        <w:jc w:val="both"/>
        <w:rPr>
          <w:rFonts w:cs="Calibri"/>
          <w:b/>
          <w:bCs/>
          <w:color w:val="000000"/>
          <w:sz w:val="24"/>
          <w:szCs w:val="24"/>
        </w:rPr>
      </w:pPr>
    </w:p>
    <w:p w14:paraId="18F70639"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lastRenderedPageBreak/>
        <w:t>Artículo 9º</w:t>
      </w:r>
      <w:r w:rsidRPr="00253D0B">
        <w:rPr>
          <w:rFonts w:cs="Calibri"/>
          <w:color w:val="000000"/>
          <w:sz w:val="24"/>
          <w:szCs w:val="24"/>
        </w:rPr>
        <w:t xml:space="preserve">. </w:t>
      </w:r>
      <w:proofErr w:type="spellStart"/>
      <w:r w:rsidRPr="00253D0B">
        <w:rPr>
          <w:rFonts w:cs="Calibri"/>
          <w:color w:val="000000"/>
          <w:sz w:val="24"/>
          <w:szCs w:val="24"/>
        </w:rPr>
        <w:t>Adiciónase</w:t>
      </w:r>
      <w:proofErr w:type="spellEnd"/>
      <w:r w:rsidRPr="00253D0B">
        <w:rPr>
          <w:rFonts w:cs="Calibri"/>
          <w:color w:val="000000"/>
          <w:sz w:val="24"/>
          <w:szCs w:val="24"/>
        </w:rPr>
        <w:t xml:space="preserve"> en la Ley 1251 de 2008, un nuevo artículo del siguiente tenor: </w:t>
      </w:r>
    </w:p>
    <w:p w14:paraId="382FF2C9" w14:textId="77777777" w:rsidR="00655FA0" w:rsidRDefault="00655FA0" w:rsidP="0057731E">
      <w:pPr>
        <w:autoSpaceDE w:val="0"/>
        <w:autoSpaceDN w:val="0"/>
        <w:adjustRightInd w:val="0"/>
        <w:jc w:val="both"/>
        <w:rPr>
          <w:rFonts w:cs="Calibri"/>
          <w:b/>
          <w:bCs/>
          <w:color w:val="000000"/>
          <w:sz w:val="24"/>
          <w:szCs w:val="24"/>
        </w:rPr>
      </w:pPr>
    </w:p>
    <w:p w14:paraId="0F4C7720" w14:textId="55059BBF" w:rsidR="00253D0B" w:rsidRDefault="00253D0B" w:rsidP="002672CC">
      <w:pPr>
        <w:autoSpaceDE w:val="0"/>
        <w:autoSpaceDN w:val="0"/>
        <w:adjustRightInd w:val="0"/>
        <w:ind w:left="708"/>
        <w:jc w:val="both"/>
        <w:rPr>
          <w:rFonts w:cs="Calibri"/>
          <w:color w:val="000000"/>
          <w:sz w:val="24"/>
          <w:szCs w:val="24"/>
        </w:rPr>
      </w:pPr>
      <w:r w:rsidRPr="00253D0B">
        <w:rPr>
          <w:rFonts w:cs="Calibri"/>
          <w:b/>
          <w:bCs/>
          <w:color w:val="000000"/>
          <w:sz w:val="24"/>
          <w:szCs w:val="24"/>
        </w:rPr>
        <w:t>Artículo 34A</w:t>
      </w:r>
      <w:r w:rsidRPr="00253D0B">
        <w:rPr>
          <w:rFonts w:cs="Calibri"/>
          <w:color w:val="000000"/>
          <w:sz w:val="24"/>
          <w:szCs w:val="24"/>
        </w:rPr>
        <w:t xml:space="preserve">. </w:t>
      </w:r>
      <w:r w:rsidRPr="00253D0B">
        <w:rPr>
          <w:rFonts w:cs="Calibri"/>
          <w:b/>
          <w:bCs/>
          <w:color w:val="000000"/>
          <w:sz w:val="24"/>
          <w:szCs w:val="24"/>
        </w:rPr>
        <w:t>Requerimiento</w:t>
      </w:r>
      <w:r w:rsidRPr="00253D0B">
        <w:rPr>
          <w:rFonts w:cs="Calibri"/>
          <w:color w:val="000000"/>
          <w:sz w:val="24"/>
          <w:szCs w:val="24"/>
        </w:rPr>
        <w:t xml:space="preserve">. Las Comisarías de Familia podrán requerir a los familiares del adulto mayor que deban alimentos por ley y que se encuentren en situación de vulnerabilidad, para que cumplan con dicha obligación, evento en el cual la Comisaría de familia deberá establecer la cuota alimentaria provisional. Cumplido este procedimiento deberá el Comisario de Familia remitir el expediente a la Defensoría de Familia del Instituto Colombiano de Bienestar Familiar, para que presente en nombre del adulto mayor la demanda de alimentos ante el Juez competente. </w:t>
      </w:r>
    </w:p>
    <w:p w14:paraId="5334D377" w14:textId="77777777" w:rsidR="002672CC" w:rsidRPr="00253D0B" w:rsidRDefault="002672CC" w:rsidP="002672CC">
      <w:pPr>
        <w:autoSpaceDE w:val="0"/>
        <w:autoSpaceDN w:val="0"/>
        <w:adjustRightInd w:val="0"/>
        <w:jc w:val="both"/>
        <w:rPr>
          <w:rFonts w:cs="Calibri"/>
          <w:color w:val="000000"/>
          <w:sz w:val="24"/>
          <w:szCs w:val="24"/>
        </w:rPr>
      </w:pPr>
    </w:p>
    <w:p w14:paraId="0382BC5A"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10°. Responsables del cubrimiento de la asistencia alimentaria de adultos mayores en condición de abandono, descuido o violencia intrafamiliar. </w:t>
      </w:r>
      <w:r w:rsidRPr="00253D0B">
        <w:rPr>
          <w:rFonts w:cs="Calibri"/>
          <w:color w:val="000000"/>
          <w:sz w:val="24"/>
          <w:szCs w:val="24"/>
        </w:rPr>
        <w:t xml:space="preserve">El hecho de que el Estado, a través de los servicios públicos establecidos para la atención de los adultos mayores en condiciones de descuido, abandono o víctimas de violencia intrafamiliar, brinde asistencia alimentaria a estas personas, no exime de responsabilidad penal y civil a quienes según las leyes colombianas, están obligados a brindar la asistencia alimentaria que los adultos mayores requieren. </w:t>
      </w:r>
    </w:p>
    <w:p w14:paraId="2CA15758" w14:textId="77777777" w:rsidR="002672CC" w:rsidRDefault="002672CC" w:rsidP="0057731E">
      <w:pPr>
        <w:autoSpaceDE w:val="0"/>
        <w:autoSpaceDN w:val="0"/>
        <w:adjustRightInd w:val="0"/>
        <w:jc w:val="both"/>
        <w:rPr>
          <w:rFonts w:cs="Calibri"/>
          <w:b/>
          <w:bCs/>
          <w:color w:val="000000"/>
          <w:sz w:val="24"/>
          <w:szCs w:val="24"/>
        </w:rPr>
      </w:pPr>
    </w:p>
    <w:p w14:paraId="62844602" w14:textId="44A0A003" w:rsidR="00253D0B" w:rsidRPr="00253D0B" w:rsidRDefault="00253D0B" w:rsidP="002672CC">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11°. Obligaciones económicas derivadas de la prestación de asistencia profesional y alimentaria. </w:t>
      </w:r>
      <w:r w:rsidRPr="00253D0B">
        <w:rPr>
          <w:rFonts w:cs="Calibri"/>
          <w:color w:val="000000"/>
          <w:sz w:val="24"/>
          <w:szCs w:val="24"/>
        </w:rPr>
        <w:t xml:space="preserve">Cuando el Estado preste servicios públicos que impliquen una asistencia alimentaria a adultos mayores que han sido objeto de abandono, descuido y/o violencia intrafamiliar, y esto conlleve la generación de un gasto a cargo del presupuesto público en cualquiera de sus niveles nacional, o territorial, o de sus entidades descentralizadas, contra quienes tengan a su cargo según las normas civiles la obligación de brindar asistencia alimentaria, se impondrá a su titularidad la obligación de retribuir económicamente hasta en un 100%, los costos que se generen por concepto de asistencia alimentaria, y por las demás acciones que se hayan adelantado por el estado en procura de brindar calidad de vida a los adultos mayores. Las entidades públicas liquidarán estas obligaciones mediante actuación administrativa que iniciará con la identificación y localización de los titulares de la obligación de brindar asistencia alimentaria, al igual que les comunicará adecuadamente la obligación que les asiste para garantizar el derecho de defensa, e igualmente terminará esta actuación, mediante celebración de contrato de transacción o acto administrativo que genere a favor de la entidad pública la obligación dineraria a cargo del responsable de la obligación o exonere de la obligación al presunto responsable de la asistencia alimentaria. Las entidades públicas que tengan a favor acto administrativo debidamente ejecutoriado o hayan celebrado contrato de transacción, mediante el cual se reconozca a su favor la obligación de ser pagada una suma de dinero por concepto de la suplencia en el cumplimiento de asistencia alimentaria, podrá en los términos del Código de Procedimiento Administrativo y de lo Contencioso Administrativo, realizar un procedimiento administrativo de cobro coactivo para lograr el recaudo de las sumas de dinero, las cuales al ingresar al tesoro de la entidad o de la Nación, serán </w:t>
      </w:r>
      <w:r w:rsidRPr="00253D0B">
        <w:rPr>
          <w:rFonts w:cs="Calibri"/>
          <w:color w:val="000000"/>
          <w:sz w:val="24"/>
          <w:szCs w:val="24"/>
        </w:rPr>
        <w:lastRenderedPageBreak/>
        <w:t xml:space="preserve">prioritariamente destinadas al financiamiento de programas de inversión pública para brindar asistencia a población de la tercera edad. </w:t>
      </w:r>
    </w:p>
    <w:p w14:paraId="61277325" w14:textId="77777777" w:rsidR="002672CC" w:rsidRDefault="002672CC" w:rsidP="0057731E">
      <w:pPr>
        <w:autoSpaceDE w:val="0"/>
        <w:autoSpaceDN w:val="0"/>
        <w:adjustRightInd w:val="0"/>
        <w:jc w:val="both"/>
        <w:rPr>
          <w:rFonts w:cs="Calibri"/>
          <w:b/>
          <w:bCs/>
          <w:color w:val="000000"/>
          <w:sz w:val="24"/>
          <w:szCs w:val="24"/>
        </w:rPr>
      </w:pPr>
    </w:p>
    <w:p w14:paraId="077E9432"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12°. Programa de asistencia a personas de la tercera edad. </w:t>
      </w:r>
      <w:r w:rsidRPr="00253D0B">
        <w:rPr>
          <w:rFonts w:cs="Calibri"/>
          <w:color w:val="000000"/>
          <w:sz w:val="24"/>
          <w:szCs w:val="24"/>
        </w:rPr>
        <w:t xml:space="preserve">En los municipios, distritos y departamentos, de acuerdo con su tradición y cultura, se podrá financiar la creación, construcción, dotación y operación de Granjas para Adultos Mayores, para brindar en condiciones dignas, albergue, alimentación, recreación y todo el cuidado que los usuarios requieran. Para este propósito se podrán destinar recursos del gasto social presupuestado para la atención de personas vulnerables. </w:t>
      </w:r>
    </w:p>
    <w:p w14:paraId="41794D66" w14:textId="77777777" w:rsidR="002672CC" w:rsidRDefault="002672CC" w:rsidP="0057731E">
      <w:pPr>
        <w:autoSpaceDE w:val="0"/>
        <w:autoSpaceDN w:val="0"/>
        <w:adjustRightInd w:val="0"/>
        <w:jc w:val="both"/>
        <w:rPr>
          <w:rFonts w:cs="Calibri"/>
          <w:b/>
          <w:bCs/>
          <w:color w:val="000000"/>
          <w:sz w:val="24"/>
          <w:szCs w:val="24"/>
        </w:rPr>
      </w:pPr>
    </w:p>
    <w:p w14:paraId="1E07F0FF"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Parágrafo Primero: </w:t>
      </w:r>
      <w:r w:rsidRPr="00253D0B">
        <w:rPr>
          <w:rFonts w:cs="Calibri"/>
          <w:color w:val="000000"/>
          <w:sz w:val="24"/>
          <w:szCs w:val="24"/>
        </w:rPr>
        <w:t xml:space="preserve">Para una adecuada operación de las Granjas para Adultos Mayores, durante los seis meses siguientes a la entrada en vigencia de la presente Ley, el Ministerio de Agricultura y Desarrollo Rural, el instituto Colombiano de Desarrollo Rural INCODER, el Servicio Nacional de Aprendizaje SENA, el Ministerio de Salud y Protección Social y el Instituto Colombiano de Bienestar Familiar, generarán los lineamientos técnicos necesarios para la adecuada entrada en funcionamiento de las Granjas para Adultos Mayores. </w:t>
      </w:r>
    </w:p>
    <w:p w14:paraId="659B1EAA" w14:textId="77777777" w:rsidR="002672CC" w:rsidRDefault="002672CC" w:rsidP="0057731E">
      <w:pPr>
        <w:autoSpaceDE w:val="0"/>
        <w:autoSpaceDN w:val="0"/>
        <w:adjustRightInd w:val="0"/>
        <w:jc w:val="both"/>
        <w:rPr>
          <w:rFonts w:cs="Calibri"/>
          <w:b/>
          <w:bCs/>
          <w:color w:val="000000"/>
          <w:sz w:val="24"/>
          <w:szCs w:val="24"/>
        </w:rPr>
      </w:pPr>
    </w:p>
    <w:p w14:paraId="31B52E45"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Parágrafo Segundo: </w:t>
      </w:r>
      <w:r w:rsidRPr="00253D0B">
        <w:rPr>
          <w:rFonts w:cs="Calibri"/>
          <w:color w:val="000000"/>
          <w:sz w:val="24"/>
          <w:szCs w:val="24"/>
        </w:rPr>
        <w:t xml:space="preserve">Las unidades municipales de asistencia técnica agropecuaria podrán incorporar en sus planes de asistencia técnica y planes operativos, el acompañamiento y asistencia permanente a los proyectos desarrollados que en materia agrícola, pecuaria, silvícola y ambiental se desarrollen en las Granjas para Adultos Mayores. </w:t>
      </w:r>
    </w:p>
    <w:p w14:paraId="0AF44D15" w14:textId="77777777" w:rsidR="002672CC" w:rsidRDefault="002672CC" w:rsidP="0057731E">
      <w:pPr>
        <w:autoSpaceDE w:val="0"/>
        <w:autoSpaceDN w:val="0"/>
        <w:adjustRightInd w:val="0"/>
        <w:jc w:val="both"/>
        <w:rPr>
          <w:rFonts w:cs="Calibri"/>
          <w:b/>
          <w:bCs/>
          <w:color w:val="000000"/>
          <w:sz w:val="24"/>
          <w:szCs w:val="24"/>
        </w:rPr>
      </w:pPr>
    </w:p>
    <w:p w14:paraId="7DEDBB3A" w14:textId="593DD2A1" w:rsidR="00253D0B" w:rsidRPr="00253D0B" w:rsidRDefault="00253D0B" w:rsidP="002672CC">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13°. Inmuebles destinados a la operación de las Granjas para Adultos Mayores. </w:t>
      </w:r>
      <w:r w:rsidRPr="00253D0B">
        <w:rPr>
          <w:rFonts w:cs="Calibri"/>
          <w:color w:val="000000"/>
          <w:sz w:val="24"/>
          <w:szCs w:val="24"/>
        </w:rPr>
        <w:t xml:space="preserve">Las entidades del orden nacional y departamental, en armonía con lo dispuesto en el artículo 48 de la Ley 1551 de 2012, podrán ceder inmuebles a las entidades territoriales para la puesta en funcionamiento y operación de las Granjas para Adultos Mayores. </w:t>
      </w:r>
    </w:p>
    <w:p w14:paraId="33C64694" w14:textId="77777777" w:rsidR="002672CC" w:rsidRDefault="002672CC" w:rsidP="0057731E">
      <w:pPr>
        <w:autoSpaceDE w:val="0"/>
        <w:autoSpaceDN w:val="0"/>
        <w:adjustRightInd w:val="0"/>
        <w:jc w:val="both"/>
        <w:rPr>
          <w:rFonts w:cs="Calibri"/>
          <w:b/>
          <w:bCs/>
          <w:color w:val="000000"/>
          <w:sz w:val="24"/>
          <w:szCs w:val="24"/>
        </w:rPr>
      </w:pPr>
    </w:p>
    <w:p w14:paraId="2434ACB6"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Parágrafo Primero: </w:t>
      </w:r>
      <w:r w:rsidRPr="00253D0B">
        <w:rPr>
          <w:rFonts w:cs="Calibri"/>
          <w:color w:val="000000"/>
          <w:sz w:val="24"/>
          <w:szCs w:val="24"/>
        </w:rPr>
        <w:t xml:space="preserve">La Dirección Nacional de Impuestos y Aduanas Nacionales de Colombia DIAN podrá ceder a título gratuito para la creación y el funcionamiento de las Granjas para Adultos Mayores, los bienes muebles e inmuebles de su propiedad que haya recibido a cualquier título para la cancelación de algún tipo de obligación tributaria. Igualmente esta entidad podrá destinar los muebles o la mercancía retenida a cualquier título en el desarrollo de sus competencias administrativas, para el funcionamiento, la dotación y equipamiento de las Granjas para Adultos Mayores. </w:t>
      </w:r>
    </w:p>
    <w:p w14:paraId="588E584E" w14:textId="77777777" w:rsidR="002672CC" w:rsidRDefault="002672CC" w:rsidP="0057731E">
      <w:pPr>
        <w:autoSpaceDE w:val="0"/>
        <w:autoSpaceDN w:val="0"/>
        <w:adjustRightInd w:val="0"/>
        <w:jc w:val="both"/>
        <w:rPr>
          <w:rFonts w:cs="Calibri"/>
          <w:b/>
          <w:bCs/>
          <w:color w:val="000000"/>
          <w:sz w:val="24"/>
          <w:szCs w:val="24"/>
        </w:rPr>
      </w:pPr>
    </w:p>
    <w:p w14:paraId="13D299B6"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Parágrafo Segundo: </w:t>
      </w:r>
      <w:r w:rsidRPr="00253D0B">
        <w:rPr>
          <w:rFonts w:cs="Calibri"/>
          <w:color w:val="000000"/>
          <w:sz w:val="24"/>
          <w:szCs w:val="24"/>
        </w:rPr>
        <w:t xml:space="preserve">La Fiscalía General de la Nación igualmente podrá ceder a título gratuito con destino a la creación y el funcionamiento de las Granjas para Adultos Mayores, los bienes muebles e inmuebles de su propiedad que haya obtenido derivado de procesos de extinción de dominio o de procesos de similar naturaleza. </w:t>
      </w:r>
    </w:p>
    <w:p w14:paraId="67DE9F8B" w14:textId="77777777" w:rsidR="002672CC" w:rsidRDefault="002672CC" w:rsidP="0057731E">
      <w:pPr>
        <w:autoSpaceDE w:val="0"/>
        <w:autoSpaceDN w:val="0"/>
        <w:adjustRightInd w:val="0"/>
        <w:jc w:val="both"/>
        <w:rPr>
          <w:rFonts w:cs="Calibri"/>
          <w:b/>
          <w:bCs/>
          <w:color w:val="000000"/>
          <w:sz w:val="24"/>
          <w:szCs w:val="24"/>
        </w:rPr>
      </w:pPr>
    </w:p>
    <w:p w14:paraId="115F9B8F" w14:textId="77777777" w:rsidR="00253D0B" w:rsidRPr="00253D0B" w:rsidRDefault="00253D0B" w:rsidP="0057731E">
      <w:pPr>
        <w:autoSpaceDE w:val="0"/>
        <w:autoSpaceDN w:val="0"/>
        <w:adjustRightInd w:val="0"/>
        <w:jc w:val="both"/>
        <w:rPr>
          <w:rFonts w:cs="Calibri"/>
          <w:color w:val="000000"/>
          <w:sz w:val="24"/>
          <w:szCs w:val="24"/>
        </w:rPr>
      </w:pPr>
      <w:r w:rsidRPr="00253D0B">
        <w:rPr>
          <w:rFonts w:cs="Calibri"/>
          <w:b/>
          <w:bCs/>
          <w:color w:val="000000"/>
          <w:sz w:val="24"/>
          <w:szCs w:val="24"/>
        </w:rPr>
        <w:t xml:space="preserve">Parágrafo Tercero: </w:t>
      </w:r>
      <w:r w:rsidRPr="00253D0B">
        <w:rPr>
          <w:rFonts w:cs="Calibri"/>
          <w:color w:val="000000"/>
          <w:sz w:val="24"/>
          <w:szCs w:val="24"/>
        </w:rPr>
        <w:t xml:space="preserve">Para poder ser cedido a título gratuito un bien mueble o inmueble de propiedad de una entidad pública a una entidad territorial, esta última deberá realizar una </w:t>
      </w:r>
      <w:r w:rsidRPr="00253D0B">
        <w:rPr>
          <w:rFonts w:cs="Calibri"/>
          <w:color w:val="000000"/>
          <w:sz w:val="24"/>
          <w:szCs w:val="24"/>
        </w:rPr>
        <w:lastRenderedPageBreak/>
        <w:t xml:space="preserve">solicitud por escrito a la entidad titular del derecho de propiedad o posesión del bien, en la cual exponga claramente su necesidad de adquirir el bien para la operación de una Granja para Adultos Mayores, igualmente acreditará con certificación del responsable del Banco de Programas y Proyectos de la entidad, la existencia de un proyecto viabilizado para el montaje y operación de la granja, y también se certificará por el representante legal de la entidad solicitante, el cumplimiento o factibilidad de ser cumplidos al momento de la entrada en operación, de los lineamientos técnicos definidos por las entidades indicadas en el parágrafo primero del artículo noveno de la presente Ley. </w:t>
      </w:r>
    </w:p>
    <w:p w14:paraId="629B9752" w14:textId="77777777" w:rsidR="002672CC" w:rsidRDefault="002672CC" w:rsidP="0057731E">
      <w:pPr>
        <w:autoSpaceDE w:val="0"/>
        <w:autoSpaceDN w:val="0"/>
        <w:adjustRightInd w:val="0"/>
        <w:jc w:val="both"/>
        <w:rPr>
          <w:rFonts w:cs="Calibri"/>
          <w:b/>
          <w:bCs/>
          <w:color w:val="000000"/>
          <w:sz w:val="24"/>
          <w:szCs w:val="24"/>
        </w:rPr>
      </w:pPr>
    </w:p>
    <w:p w14:paraId="671F494D" w14:textId="0609205A" w:rsidR="00253D0B" w:rsidRPr="00253D0B" w:rsidRDefault="00253D0B" w:rsidP="002672CC">
      <w:pPr>
        <w:autoSpaceDE w:val="0"/>
        <w:autoSpaceDN w:val="0"/>
        <w:adjustRightInd w:val="0"/>
        <w:jc w:val="both"/>
        <w:rPr>
          <w:rFonts w:cs="Calibri"/>
          <w:color w:val="000000"/>
          <w:sz w:val="24"/>
          <w:szCs w:val="24"/>
        </w:rPr>
      </w:pPr>
      <w:r w:rsidRPr="00253D0B">
        <w:rPr>
          <w:rFonts w:cs="Calibri"/>
          <w:b/>
          <w:bCs/>
          <w:color w:val="000000"/>
          <w:sz w:val="24"/>
          <w:szCs w:val="24"/>
        </w:rPr>
        <w:t xml:space="preserve">Artículo 14°. Redes de apoyo comunitario a las personas de la tercera edad. </w:t>
      </w:r>
      <w:r w:rsidRPr="00253D0B">
        <w:rPr>
          <w:rFonts w:cs="Calibri"/>
          <w:color w:val="000000"/>
          <w:sz w:val="24"/>
          <w:szCs w:val="24"/>
        </w:rPr>
        <w:t xml:space="preserve">El Estado, en cabeza del Instituto Colombiano de Bienestar Familiar y las Secretarias Municipales de Desarrollo Social o quienes hagan sus veces, con la participación de las Personerías, la Defensoría del Pueblo, las IPS´S y la Policía Nacional, impulsarán la creación de Redes Sociales de Apoyo Comunitario a las personas de la tercera edad, con el fin de generar y operar canales de comunicación que brinden la posibilidad de activar alertas tempranas y efectivas para la atención oportuna, ante la ocurrencia de eventos de abandono, descuido, violencia intrafamiliar y hechos similares que pongan en riesgo la integridad física o moral de algún adulto mayor. </w:t>
      </w:r>
    </w:p>
    <w:p w14:paraId="4483EDCD" w14:textId="77777777" w:rsidR="0057731E" w:rsidRDefault="0057731E" w:rsidP="0057731E">
      <w:pPr>
        <w:adjustRightInd w:val="0"/>
        <w:jc w:val="both"/>
        <w:textAlignment w:val="center"/>
        <w:rPr>
          <w:rFonts w:cs="Calibri"/>
          <w:b/>
          <w:bCs/>
          <w:color w:val="000000"/>
          <w:sz w:val="24"/>
          <w:szCs w:val="24"/>
        </w:rPr>
      </w:pPr>
    </w:p>
    <w:p w14:paraId="416B079D" w14:textId="77777777" w:rsidR="00FF171D" w:rsidRDefault="00FF171D" w:rsidP="0057731E">
      <w:pPr>
        <w:adjustRightInd w:val="0"/>
        <w:jc w:val="both"/>
        <w:textAlignment w:val="center"/>
        <w:rPr>
          <w:rFonts w:cs="Calibri"/>
          <w:b/>
          <w:bCs/>
          <w:color w:val="000000"/>
          <w:sz w:val="24"/>
          <w:szCs w:val="24"/>
        </w:rPr>
      </w:pPr>
    </w:p>
    <w:p w14:paraId="6AC85566" w14:textId="364BF7A6" w:rsidR="006138BB" w:rsidRDefault="00253D0B" w:rsidP="0057731E">
      <w:pPr>
        <w:adjustRightInd w:val="0"/>
        <w:jc w:val="both"/>
        <w:textAlignment w:val="center"/>
        <w:rPr>
          <w:rFonts w:cs="Calibri"/>
          <w:color w:val="000000"/>
          <w:sz w:val="24"/>
          <w:szCs w:val="24"/>
        </w:rPr>
      </w:pPr>
      <w:r w:rsidRPr="00253D0B">
        <w:rPr>
          <w:rFonts w:cs="Calibri"/>
          <w:b/>
          <w:bCs/>
          <w:color w:val="000000"/>
          <w:sz w:val="24"/>
          <w:szCs w:val="24"/>
        </w:rPr>
        <w:t>Artículo 15°. Vigencia</w:t>
      </w:r>
      <w:r w:rsidRPr="00253D0B">
        <w:rPr>
          <w:rFonts w:cs="Calibri"/>
          <w:b/>
          <w:bCs/>
          <w:i/>
          <w:iCs/>
          <w:color w:val="000000"/>
          <w:sz w:val="24"/>
          <w:szCs w:val="24"/>
        </w:rPr>
        <w:t xml:space="preserve">. </w:t>
      </w:r>
      <w:r w:rsidRPr="00253D0B">
        <w:rPr>
          <w:rFonts w:cs="Calibri"/>
          <w:color w:val="000000"/>
          <w:sz w:val="24"/>
          <w:szCs w:val="24"/>
        </w:rPr>
        <w:t>La presente ley rige a partir de su promulgación y deroga las que le sean contrarias.</w:t>
      </w:r>
    </w:p>
    <w:p w14:paraId="28223CD1" w14:textId="77777777" w:rsidR="0057731E" w:rsidRDefault="0057731E" w:rsidP="0057731E">
      <w:pPr>
        <w:adjustRightInd w:val="0"/>
        <w:jc w:val="both"/>
        <w:textAlignment w:val="center"/>
        <w:rPr>
          <w:rFonts w:cs="Arial"/>
          <w:spacing w:val="-6"/>
          <w:sz w:val="24"/>
          <w:szCs w:val="24"/>
          <w:lang w:val="es-ES_tradnl"/>
        </w:rPr>
      </w:pPr>
    </w:p>
    <w:p w14:paraId="78A823FB" w14:textId="77777777" w:rsidR="001E1E64" w:rsidRPr="00ED7137" w:rsidRDefault="001E1E64" w:rsidP="0057731E">
      <w:pPr>
        <w:jc w:val="both"/>
        <w:textAlignment w:val="center"/>
        <w:rPr>
          <w:rFonts w:cs="Arial"/>
          <w:sz w:val="24"/>
          <w:szCs w:val="24"/>
        </w:rPr>
      </w:pPr>
    </w:p>
    <w:p w14:paraId="78A823FC" w14:textId="77777777" w:rsidR="001E1E64" w:rsidRPr="00ED7137" w:rsidRDefault="001E1E64" w:rsidP="0057731E">
      <w:pPr>
        <w:jc w:val="both"/>
        <w:textAlignment w:val="center"/>
        <w:rPr>
          <w:rFonts w:cs="Arial"/>
          <w:sz w:val="24"/>
          <w:szCs w:val="24"/>
        </w:rPr>
      </w:pPr>
    </w:p>
    <w:p w14:paraId="1926D543" w14:textId="7C5738AE" w:rsidR="00ED7137" w:rsidRPr="00ED7137" w:rsidRDefault="00ED7137" w:rsidP="00ED7137">
      <w:pPr>
        <w:jc w:val="both"/>
        <w:rPr>
          <w:rFonts w:eastAsia="Times New Roman" w:cs="Arial"/>
          <w:sz w:val="24"/>
          <w:szCs w:val="24"/>
          <w:lang w:eastAsia="es-CO"/>
        </w:rPr>
      </w:pPr>
      <w:r w:rsidRPr="00ED7137">
        <w:rPr>
          <w:rFonts w:eastAsia="Times New Roman" w:cs="Arial"/>
          <w:sz w:val="24"/>
          <w:szCs w:val="24"/>
          <w:lang w:eastAsia="es-CO"/>
        </w:rPr>
        <w:t>En los anteriores términos fue aprobado sin modificaciones el presente Proyecto de Le</w:t>
      </w:r>
      <w:r>
        <w:rPr>
          <w:rFonts w:eastAsia="Times New Roman" w:cs="Arial"/>
          <w:sz w:val="24"/>
          <w:szCs w:val="24"/>
          <w:lang w:eastAsia="es-CO"/>
        </w:rPr>
        <w:t xml:space="preserve">y </w:t>
      </w:r>
      <w:r w:rsidRPr="00ED7137">
        <w:rPr>
          <w:rFonts w:eastAsia="Times New Roman" w:cs="Arial"/>
          <w:sz w:val="24"/>
          <w:szCs w:val="24"/>
          <w:lang w:eastAsia="es-CO"/>
        </w:rPr>
        <w:t xml:space="preserve">el día </w:t>
      </w:r>
      <w:r>
        <w:rPr>
          <w:rFonts w:eastAsia="Times New Roman" w:cs="Arial"/>
          <w:sz w:val="24"/>
          <w:szCs w:val="24"/>
          <w:lang w:eastAsia="es-CO"/>
        </w:rPr>
        <w:t>24 de mayo de 2016</w:t>
      </w:r>
      <w:r w:rsidRPr="00ED7137">
        <w:rPr>
          <w:rFonts w:eastAsia="Times New Roman" w:cs="Arial"/>
          <w:sz w:val="24"/>
          <w:szCs w:val="24"/>
          <w:lang w:eastAsia="es-CO"/>
        </w:rPr>
        <w:t xml:space="preserve">, según consta en el Acta No. </w:t>
      </w:r>
      <w:r>
        <w:rPr>
          <w:rFonts w:eastAsia="Times New Roman" w:cs="Arial"/>
          <w:sz w:val="24"/>
          <w:szCs w:val="24"/>
          <w:lang w:eastAsia="es-CO"/>
        </w:rPr>
        <w:t>41</w:t>
      </w:r>
      <w:r w:rsidRPr="00ED7137">
        <w:rPr>
          <w:rFonts w:eastAsia="Times New Roman" w:cs="Arial"/>
          <w:sz w:val="24"/>
          <w:szCs w:val="24"/>
          <w:lang w:eastAsia="es-CO"/>
        </w:rPr>
        <w:t xml:space="preserve">. Anunciado entre otras fechas el </w:t>
      </w:r>
      <w:r w:rsidR="00AE6B41">
        <w:rPr>
          <w:rFonts w:eastAsia="Times New Roman" w:cs="Arial"/>
          <w:sz w:val="24"/>
          <w:szCs w:val="24"/>
          <w:lang w:eastAsia="es-CO"/>
        </w:rPr>
        <w:t>23</w:t>
      </w:r>
      <w:r w:rsidRPr="00ED7137">
        <w:rPr>
          <w:rFonts w:eastAsia="Times New Roman" w:cs="Arial"/>
          <w:sz w:val="24"/>
          <w:szCs w:val="24"/>
          <w:lang w:eastAsia="es-CO"/>
        </w:rPr>
        <w:t xml:space="preserve"> de </w:t>
      </w:r>
      <w:r>
        <w:rPr>
          <w:rFonts w:eastAsia="Times New Roman" w:cs="Arial"/>
          <w:sz w:val="24"/>
          <w:szCs w:val="24"/>
          <w:lang w:eastAsia="es-CO"/>
        </w:rPr>
        <w:t>mayo de 2016</w:t>
      </w:r>
      <w:r w:rsidRPr="00ED7137">
        <w:rPr>
          <w:rFonts w:eastAsia="Times New Roman" w:cs="Arial"/>
          <w:sz w:val="24"/>
          <w:szCs w:val="24"/>
          <w:lang w:eastAsia="es-CO"/>
        </w:rPr>
        <w:t xml:space="preserve"> según consta en el Acta No. </w:t>
      </w:r>
      <w:r>
        <w:rPr>
          <w:rFonts w:eastAsia="Times New Roman" w:cs="Arial"/>
          <w:sz w:val="24"/>
          <w:szCs w:val="24"/>
          <w:lang w:eastAsia="es-CO"/>
        </w:rPr>
        <w:t>0</w:t>
      </w:r>
      <w:r w:rsidR="00AE6B41">
        <w:rPr>
          <w:rFonts w:eastAsia="Times New Roman" w:cs="Arial"/>
          <w:sz w:val="24"/>
          <w:szCs w:val="24"/>
          <w:lang w:eastAsia="es-CO"/>
        </w:rPr>
        <w:t>8</w:t>
      </w:r>
      <w:r w:rsidRPr="00ED7137">
        <w:rPr>
          <w:rFonts w:eastAsia="Times New Roman" w:cs="Arial"/>
          <w:sz w:val="24"/>
          <w:szCs w:val="24"/>
          <w:lang w:eastAsia="es-CO"/>
        </w:rPr>
        <w:t xml:space="preserve"> </w:t>
      </w:r>
      <w:r w:rsidR="00AE6B41">
        <w:rPr>
          <w:rFonts w:eastAsia="Times New Roman" w:cs="Arial"/>
          <w:sz w:val="24"/>
          <w:szCs w:val="24"/>
          <w:lang w:eastAsia="es-CO"/>
        </w:rPr>
        <w:t xml:space="preserve">Conjuntas de Senado de la República y Cámara de Representantes </w:t>
      </w:r>
      <w:r w:rsidRPr="00ED7137">
        <w:rPr>
          <w:rFonts w:eastAsia="Times New Roman" w:cs="Arial"/>
          <w:sz w:val="24"/>
          <w:szCs w:val="24"/>
          <w:lang w:eastAsia="es-CO"/>
        </w:rPr>
        <w:t xml:space="preserve">de esa misma fecha.  </w:t>
      </w:r>
    </w:p>
    <w:p w14:paraId="26849795" w14:textId="77777777" w:rsidR="002C0BB9" w:rsidRDefault="002C0BB9" w:rsidP="0057731E">
      <w:pPr>
        <w:jc w:val="both"/>
        <w:textAlignment w:val="center"/>
        <w:rPr>
          <w:rFonts w:cs="Arial"/>
          <w:sz w:val="24"/>
          <w:szCs w:val="24"/>
        </w:rPr>
      </w:pPr>
    </w:p>
    <w:p w14:paraId="47B8096B" w14:textId="77777777" w:rsidR="002C0BB9" w:rsidRDefault="002C0BB9" w:rsidP="0057731E">
      <w:pPr>
        <w:jc w:val="both"/>
        <w:textAlignment w:val="center"/>
        <w:rPr>
          <w:rFonts w:cs="Arial"/>
          <w:sz w:val="24"/>
          <w:szCs w:val="24"/>
        </w:rPr>
      </w:pPr>
    </w:p>
    <w:p w14:paraId="16FEF707" w14:textId="77777777" w:rsidR="00C242DB" w:rsidRDefault="00C242DB" w:rsidP="0057731E">
      <w:pPr>
        <w:jc w:val="both"/>
        <w:textAlignment w:val="center"/>
        <w:rPr>
          <w:rFonts w:cs="Arial"/>
          <w:sz w:val="24"/>
          <w:szCs w:val="24"/>
        </w:rPr>
      </w:pPr>
    </w:p>
    <w:p w14:paraId="7A4E39FD" w14:textId="77777777" w:rsidR="002C0BB9" w:rsidRDefault="002C0BB9" w:rsidP="0057731E">
      <w:pPr>
        <w:jc w:val="both"/>
        <w:textAlignment w:val="center"/>
        <w:rPr>
          <w:rFonts w:cs="Arial"/>
          <w:sz w:val="24"/>
          <w:szCs w:val="24"/>
        </w:rPr>
      </w:pPr>
    </w:p>
    <w:p w14:paraId="2613A33C" w14:textId="77777777" w:rsidR="002C0BB9" w:rsidRPr="00253D0B" w:rsidRDefault="002C0BB9" w:rsidP="0057731E">
      <w:pPr>
        <w:jc w:val="both"/>
        <w:textAlignment w:val="center"/>
        <w:rPr>
          <w:rFonts w:cs="Arial"/>
          <w:sz w:val="24"/>
          <w:szCs w:val="24"/>
        </w:rPr>
      </w:pPr>
    </w:p>
    <w:p w14:paraId="78A82402" w14:textId="56A852CF" w:rsidR="003670FC" w:rsidRDefault="001E1E64" w:rsidP="002C0BB9">
      <w:pPr>
        <w:textAlignment w:val="center"/>
        <w:rPr>
          <w:rFonts w:cs="Arial"/>
          <w:b/>
          <w:sz w:val="24"/>
          <w:szCs w:val="24"/>
        </w:rPr>
      </w:pPr>
      <w:r w:rsidRPr="00253D0B">
        <w:rPr>
          <w:rFonts w:cs="Arial"/>
          <w:b/>
          <w:sz w:val="24"/>
          <w:szCs w:val="24"/>
        </w:rPr>
        <w:t>OSCAR HERN</w:t>
      </w:r>
      <w:r w:rsidR="00FC60A8" w:rsidRPr="00253D0B">
        <w:rPr>
          <w:rFonts w:cs="Arial"/>
          <w:b/>
          <w:sz w:val="24"/>
          <w:szCs w:val="24"/>
        </w:rPr>
        <w:t>Á</w:t>
      </w:r>
      <w:r w:rsidRPr="00253D0B">
        <w:rPr>
          <w:rFonts w:cs="Arial"/>
          <w:b/>
          <w:sz w:val="24"/>
          <w:szCs w:val="24"/>
        </w:rPr>
        <w:t>N S</w:t>
      </w:r>
      <w:r w:rsidR="00FC60A8" w:rsidRPr="00253D0B">
        <w:rPr>
          <w:rFonts w:cs="Arial"/>
          <w:b/>
          <w:sz w:val="24"/>
          <w:szCs w:val="24"/>
        </w:rPr>
        <w:t>Á</w:t>
      </w:r>
      <w:r w:rsidRPr="00253D0B">
        <w:rPr>
          <w:rFonts w:cs="Arial"/>
          <w:b/>
          <w:sz w:val="24"/>
          <w:szCs w:val="24"/>
        </w:rPr>
        <w:t>NCHEZ LE</w:t>
      </w:r>
      <w:r w:rsidR="00FC60A8" w:rsidRPr="00253D0B">
        <w:rPr>
          <w:rFonts w:cs="Arial"/>
          <w:b/>
          <w:sz w:val="24"/>
          <w:szCs w:val="24"/>
        </w:rPr>
        <w:t>Ó</w:t>
      </w:r>
      <w:r w:rsidRPr="00253D0B">
        <w:rPr>
          <w:rFonts w:cs="Arial"/>
          <w:b/>
          <w:sz w:val="24"/>
          <w:szCs w:val="24"/>
        </w:rPr>
        <w:t>N</w:t>
      </w:r>
      <w:r w:rsidR="002C0BB9">
        <w:rPr>
          <w:rFonts w:cs="Arial"/>
          <w:b/>
          <w:sz w:val="24"/>
          <w:szCs w:val="24"/>
        </w:rPr>
        <w:tab/>
      </w:r>
      <w:r w:rsidR="002C0BB9">
        <w:rPr>
          <w:rFonts w:cs="Arial"/>
          <w:b/>
          <w:sz w:val="24"/>
          <w:szCs w:val="24"/>
        </w:rPr>
        <w:tab/>
      </w:r>
      <w:r w:rsidR="002C0BB9">
        <w:rPr>
          <w:rFonts w:cs="Arial"/>
          <w:b/>
          <w:sz w:val="24"/>
          <w:szCs w:val="24"/>
        </w:rPr>
        <w:tab/>
        <w:t>MIGUEL ANGEL PINTO HERNANDEZ</w:t>
      </w:r>
    </w:p>
    <w:p w14:paraId="5F169F5E" w14:textId="7C4BB5BA" w:rsidR="002C0BB9" w:rsidRDefault="002C0BB9" w:rsidP="002C0BB9">
      <w:pPr>
        <w:textAlignment w:val="center"/>
        <w:rPr>
          <w:rFonts w:cs="Arial"/>
          <w:b/>
          <w:sz w:val="24"/>
          <w:szCs w:val="24"/>
        </w:rPr>
      </w:pPr>
      <w:r>
        <w:rPr>
          <w:rFonts w:cs="Arial"/>
          <w:b/>
          <w:sz w:val="24"/>
          <w:szCs w:val="24"/>
        </w:rPr>
        <w:t>Coordinador Ponente</w:t>
      </w:r>
      <w:r>
        <w:rPr>
          <w:rFonts w:cs="Arial"/>
          <w:b/>
          <w:sz w:val="24"/>
          <w:szCs w:val="24"/>
        </w:rPr>
        <w:tab/>
      </w:r>
      <w:r>
        <w:rPr>
          <w:rFonts w:cs="Arial"/>
          <w:b/>
          <w:sz w:val="24"/>
          <w:szCs w:val="24"/>
        </w:rPr>
        <w:tab/>
      </w:r>
      <w:r>
        <w:rPr>
          <w:rFonts w:cs="Arial"/>
          <w:b/>
          <w:sz w:val="24"/>
          <w:szCs w:val="24"/>
        </w:rPr>
        <w:tab/>
      </w:r>
      <w:r>
        <w:rPr>
          <w:rFonts w:cs="Arial"/>
          <w:b/>
          <w:sz w:val="24"/>
          <w:szCs w:val="24"/>
        </w:rPr>
        <w:tab/>
        <w:t>Presidente</w:t>
      </w:r>
    </w:p>
    <w:p w14:paraId="58E5A083" w14:textId="77777777" w:rsidR="002C0BB9" w:rsidRDefault="002C0BB9" w:rsidP="002C0BB9">
      <w:pPr>
        <w:textAlignment w:val="center"/>
        <w:rPr>
          <w:rFonts w:cs="Arial"/>
          <w:b/>
          <w:sz w:val="24"/>
          <w:szCs w:val="24"/>
        </w:rPr>
      </w:pPr>
    </w:p>
    <w:p w14:paraId="7F878F3C" w14:textId="77777777" w:rsidR="002C0BB9" w:rsidRDefault="002C0BB9" w:rsidP="002C0BB9">
      <w:pPr>
        <w:textAlignment w:val="center"/>
        <w:rPr>
          <w:rFonts w:cs="Arial"/>
          <w:b/>
          <w:sz w:val="24"/>
          <w:szCs w:val="24"/>
        </w:rPr>
      </w:pPr>
    </w:p>
    <w:p w14:paraId="0E8EFBF1" w14:textId="77777777" w:rsidR="002C0BB9" w:rsidRDefault="002C0BB9" w:rsidP="002C0BB9">
      <w:pPr>
        <w:textAlignment w:val="center"/>
        <w:rPr>
          <w:rFonts w:cs="Arial"/>
          <w:b/>
          <w:sz w:val="24"/>
          <w:szCs w:val="24"/>
        </w:rPr>
      </w:pPr>
    </w:p>
    <w:p w14:paraId="1E640BDE" w14:textId="77777777" w:rsidR="002C0BB9" w:rsidRDefault="002C0BB9" w:rsidP="002C0BB9">
      <w:pPr>
        <w:textAlignment w:val="center"/>
        <w:rPr>
          <w:rFonts w:cs="Arial"/>
          <w:b/>
          <w:sz w:val="24"/>
          <w:szCs w:val="24"/>
        </w:rPr>
      </w:pPr>
    </w:p>
    <w:p w14:paraId="7F2809C7" w14:textId="0D839BDB" w:rsidR="002C0BB9" w:rsidRDefault="002C0BB9" w:rsidP="002C0BB9">
      <w:pPr>
        <w:textAlignment w:val="center"/>
        <w:rPr>
          <w:rFonts w:cs="Arial"/>
          <w:b/>
          <w:sz w:val="24"/>
          <w:szCs w:val="24"/>
        </w:rPr>
      </w:pPr>
      <w:r>
        <w:rPr>
          <w:rFonts w:cs="Arial"/>
          <w:b/>
          <w:sz w:val="24"/>
          <w:szCs w:val="24"/>
        </w:rPr>
        <w:tab/>
      </w:r>
      <w:r>
        <w:rPr>
          <w:rFonts w:cs="Arial"/>
          <w:b/>
          <w:sz w:val="24"/>
          <w:szCs w:val="24"/>
        </w:rPr>
        <w:tab/>
      </w:r>
      <w:r>
        <w:rPr>
          <w:rFonts w:cs="Arial"/>
          <w:b/>
          <w:sz w:val="24"/>
          <w:szCs w:val="24"/>
        </w:rPr>
        <w:tab/>
      </w:r>
      <w:r>
        <w:rPr>
          <w:rFonts w:cs="Arial"/>
          <w:b/>
          <w:sz w:val="24"/>
          <w:szCs w:val="24"/>
        </w:rPr>
        <w:tab/>
        <w:t>AMPARO YANETH CALDERON PERDOMO</w:t>
      </w:r>
    </w:p>
    <w:p w14:paraId="75606159" w14:textId="023AD832" w:rsidR="002C0BB9" w:rsidRPr="004B46E6" w:rsidRDefault="002C0BB9" w:rsidP="002C0BB9">
      <w:pPr>
        <w:textAlignment w:val="center"/>
        <w:rPr>
          <w:rFonts w:cs="Arial"/>
          <w:b/>
          <w:sz w:val="24"/>
          <w:szCs w:val="24"/>
        </w:rPr>
      </w:pPr>
      <w:r>
        <w:rPr>
          <w:rFonts w:cs="Arial"/>
          <w:b/>
          <w:sz w:val="24"/>
          <w:szCs w:val="24"/>
        </w:rPr>
        <w:tab/>
      </w:r>
      <w:r>
        <w:rPr>
          <w:rFonts w:cs="Arial"/>
          <w:b/>
          <w:sz w:val="24"/>
          <w:szCs w:val="24"/>
        </w:rPr>
        <w:tab/>
      </w:r>
      <w:r>
        <w:rPr>
          <w:rFonts w:cs="Arial"/>
          <w:b/>
          <w:sz w:val="24"/>
          <w:szCs w:val="24"/>
        </w:rPr>
        <w:tab/>
      </w:r>
      <w:r>
        <w:rPr>
          <w:rFonts w:cs="Arial"/>
          <w:b/>
          <w:sz w:val="24"/>
          <w:szCs w:val="24"/>
        </w:rPr>
        <w:tab/>
        <w:t>Secretaria</w:t>
      </w:r>
    </w:p>
    <w:sectPr w:rsidR="002C0BB9" w:rsidRPr="004B46E6" w:rsidSect="00D66704">
      <w:headerReference w:type="even" r:id="rId8"/>
      <w:headerReference w:type="default" r:id="rId9"/>
      <w:footerReference w:type="even" r:id="rId10"/>
      <w:footerReference w:type="default" r:id="rId11"/>
      <w:headerReference w:type="first" r:id="rId12"/>
      <w:footerReference w:type="first" r:id="rId13"/>
      <w:pgSz w:w="12240" w:h="15840"/>
      <w:pgMar w:top="1843" w:right="1701" w:bottom="1417" w:left="1701" w:header="284" w:footer="4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37104" w14:textId="77777777" w:rsidR="00912FF2" w:rsidRDefault="00912FF2" w:rsidP="00AE3463">
      <w:r>
        <w:separator/>
      </w:r>
    </w:p>
  </w:endnote>
  <w:endnote w:type="continuationSeparator" w:id="0">
    <w:p w14:paraId="1CC8C1C9" w14:textId="77777777" w:rsidR="00912FF2" w:rsidRDefault="00912FF2" w:rsidP="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38C49" w14:textId="77777777" w:rsidR="00D26C6C" w:rsidRDefault="00D26C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792827970"/>
      <w:docPartObj>
        <w:docPartGallery w:val="Page Numbers (Bottom of Page)"/>
        <w:docPartUnique/>
      </w:docPartObj>
    </w:sdtPr>
    <w:sdtContent>
      <w:p w14:paraId="2C4802D0" w14:textId="6C12C429" w:rsidR="00193798" w:rsidRDefault="00193798">
        <w:pPr>
          <w:pStyle w:val="Piedepgina"/>
          <w:jc w:val="right"/>
        </w:pPr>
        <w:r>
          <w:fldChar w:fldCharType="begin"/>
        </w:r>
        <w:r>
          <w:instrText>PAGE   \* MERGEFORMAT</w:instrText>
        </w:r>
        <w:r>
          <w:fldChar w:fldCharType="separate"/>
        </w:r>
        <w:r w:rsidRPr="00193798">
          <w:rPr>
            <w:noProof/>
            <w:lang w:val="es-ES"/>
          </w:rPr>
          <w:t>1</w:t>
        </w:r>
        <w:r>
          <w:fldChar w:fldCharType="end"/>
        </w:r>
      </w:p>
    </w:sdtContent>
  </w:sdt>
  <w:p w14:paraId="78A8240A" w14:textId="7E078FBD" w:rsidR="006941A1" w:rsidRDefault="006941A1" w:rsidP="00AE346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1C7E5" w14:textId="77777777" w:rsidR="00D26C6C" w:rsidRDefault="00D26C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0F9D7" w14:textId="77777777" w:rsidR="00912FF2" w:rsidRDefault="00912FF2" w:rsidP="00AE3463">
      <w:r>
        <w:separator/>
      </w:r>
    </w:p>
  </w:footnote>
  <w:footnote w:type="continuationSeparator" w:id="0">
    <w:p w14:paraId="72A794DB" w14:textId="77777777" w:rsidR="00912FF2" w:rsidRDefault="00912FF2" w:rsidP="00AE3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24271" w14:textId="77777777" w:rsidR="00D26C6C" w:rsidRDefault="00D26C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2409" w14:textId="29A00949" w:rsidR="006941A1" w:rsidRDefault="005F3EF8" w:rsidP="005F3EF8">
    <w:pPr>
      <w:pStyle w:val="Encabezado"/>
      <w:ind w:left="-1276"/>
      <w:jc w:val="center"/>
    </w:pPr>
    <w:r>
      <w:rPr>
        <w:noProof/>
        <w:lang w:eastAsia="es-CO"/>
      </w:rPr>
      <w:drawing>
        <wp:inline distT="0" distB="0" distL="0" distR="0" wp14:anchorId="1D440D89" wp14:editId="5D8DF294">
          <wp:extent cx="2524125" cy="749935"/>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74993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5C9F1" w14:textId="77777777" w:rsidR="00D26C6C" w:rsidRDefault="00D26C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5E4"/>
    <w:multiLevelType w:val="hybridMultilevel"/>
    <w:tmpl w:val="05E6A6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B509CE"/>
    <w:multiLevelType w:val="hybridMultilevel"/>
    <w:tmpl w:val="9A3C800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061987"/>
    <w:multiLevelType w:val="multilevel"/>
    <w:tmpl w:val="8778A478"/>
    <w:lvl w:ilvl="0">
      <w:start w:val="7"/>
      <w:numFmt w:val="decimal"/>
      <w:lvlText w:val="%1."/>
      <w:lvlJc w:val="left"/>
      <w:pPr>
        <w:tabs>
          <w:tab w:val="num" w:pos="1003"/>
        </w:tabs>
        <w:ind w:left="1003" w:hanging="360"/>
      </w:pPr>
      <w:rPr>
        <w:rFonts w:hint="default"/>
      </w:rPr>
    </w:lvl>
    <w:lvl w:ilvl="1">
      <w:start w:val="8"/>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3">
    <w:nsid w:val="0D2B5B9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D674B5"/>
    <w:multiLevelType w:val="hybridMultilevel"/>
    <w:tmpl w:val="F4F639F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9450866"/>
    <w:multiLevelType w:val="hybridMultilevel"/>
    <w:tmpl w:val="90B89068"/>
    <w:lvl w:ilvl="0" w:tplc="87008410">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DFD2BFF"/>
    <w:multiLevelType w:val="hybridMultilevel"/>
    <w:tmpl w:val="3BDCE7A0"/>
    <w:lvl w:ilvl="0" w:tplc="B302F23C">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E6660CA"/>
    <w:multiLevelType w:val="hybridMultilevel"/>
    <w:tmpl w:val="1580135C"/>
    <w:lvl w:ilvl="0" w:tplc="2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F232E08"/>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9">
    <w:nsid w:val="51DC1BDA"/>
    <w:multiLevelType w:val="hybridMultilevel"/>
    <w:tmpl w:val="413C0E18"/>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3CE4E8B"/>
    <w:multiLevelType w:val="hybridMultilevel"/>
    <w:tmpl w:val="C56682B0"/>
    <w:lvl w:ilvl="0" w:tplc="9C643FAA">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360"/>
        </w:tabs>
        <w:ind w:left="360" w:hanging="360"/>
      </w:pPr>
      <w:rPr>
        <w:rFonts w:ascii="Courier New" w:hAnsi="Courier New" w:hint="default"/>
      </w:rPr>
    </w:lvl>
    <w:lvl w:ilvl="2" w:tplc="0C0A0005">
      <w:start w:val="1"/>
      <w:numFmt w:val="bullet"/>
      <w:lvlText w:val=""/>
      <w:lvlJc w:val="left"/>
      <w:pPr>
        <w:tabs>
          <w:tab w:val="num" w:pos="1080"/>
        </w:tabs>
        <w:ind w:left="1080" w:hanging="360"/>
      </w:pPr>
      <w:rPr>
        <w:rFonts w:ascii="Wingdings" w:hAnsi="Wingdings" w:hint="default"/>
      </w:rPr>
    </w:lvl>
    <w:lvl w:ilvl="3" w:tplc="0C0A0001">
      <w:start w:val="1"/>
      <w:numFmt w:val="bullet"/>
      <w:lvlText w:val=""/>
      <w:lvlJc w:val="left"/>
      <w:pPr>
        <w:tabs>
          <w:tab w:val="num" w:pos="1800"/>
        </w:tabs>
        <w:ind w:left="180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hint="default"/>
      </w:rPr>
    </w:lvl>
    <w:lvl w:ilvl="5" w:tplc="0C0A0005">
      <w:start w:val="1"/>
      <w:numFmt w:val="bullet"/>
      <w:lvlText w:val=""/>
      <w:lvlJc w:val="left"/>
      <w:pPr>
        <w:tabs>
          <w:tab w:val="num" w:pos="3240"/>
        </w:tabs>
        <w:ind w:left="3240" w:hanging="360"/>
      </w:pPr>
      <w:rPr>
        <w:rFonts w:ascii="Wingdings" w:hAnsi="Wingdings" w:hint="default"/>
      </w:rPr>
    </w:lvl>
    <w:lvl w:ilvl="6" w:tplc="0C0A0001">
      <w:start w:val="1"/>
      <w:numFmt w:val="bullet"/>
      <w:lvlText w:val=""/>
      <w:lvlJc w:val="left"/>
      <w:pPr>
        <w:tabs>
          <w:tab w:val="num" w:pos="3960"/>
        </w:tabs>
        <w:ind w:left="3960" w:hanging="360"/>
      </w:pPr>
      <w:rPr>
        <w:rFonts w:ascii="Symbol" w:hAnsi="Symbol" w:hint="default"/>
      </w:rPr>
    </w:lvl>
    <w:lvl w:ilvl="7" w:tplc="0C0A0003">
      <w:start w:val="1"/>
      <w:numFmt w:val="bullet"/>
      <w:lvlText w:val="o"/>
      <w:lvlJc w:val="left"/>
      <w:pPr>
        <w:tabs>
          <w:tab w:val="num" w:pos="4680"/>
        </w:tabs>
        <w:ind w:left="4680" w:hanging="360"/>
      </w:pPr>
      <w:rPr>
        <w:rFonts w:ascii="Courier New" w:hAnsi="Courier New" w:hint="default"/>
      </w:rPr>
    </w:lvl>
    <w:lvl w:ilvl="8" w:tplc="0C0A0005">
      <w:start w:val="1"/>
      <w:numFmt w:val="bullet"/>
      <w:lvlText w:val=""/>
      <w:lvlJc w:val="left"/>
      <w:pPr>
        <w:tabs>
          <w:tab w:val="num" w:pos="5400"/>
        </w:tabs>
        <w:ind w:left="5400" w:hanging="360"/>
      </w:pPr>
      <w:rPr>
        <w:rFonts w:ascii="Wingdings" w:hAnsi="Wingdings" w:hint="default"/>
      </w:rPr>
    </w:lvl>
  </w:abstractNum>
  <w:abstractNum w:abstractNumId="11">
    <w:nsid w:val="58F45026"/>
    <w:multiLevelType w:val="hybridMultilevel"/>
    <w:tmpl w:val="05E6A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B8662B0"/>
    <w:multiLevelType w:val="hybridMultilevel"/>
    <w:tmpl w:val="5C4AF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BAA24FA"/>
    <w:multiLevelType w:val="multilevel"/>
    <w:tmpl w:val="E08623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72A73E4C"/>
    <w:multiLevelType w:val="multilevel"/>
    <w:tmpl w:val="2DBA8232"/>
    <w:lvl w:ilvl="0">
      <w:start w:val="1"/>
      <w:numFmt w:val="decimal"/>
      <w:lvlText w:val="%1."/>
      <w:lvlJc w:val="left"/>
      <w:pPr>
        <w:tabs>
          <w:tab w:val="num" w:pos="1003"/>
        </w:tabs>
        <w:ind w:left="1003" w:hanging="360"/>
      </w:pPr>
    </w:lvl>
    <w:lvl w:ilvl="1">
      <w:start w:val="1"/>
      <w:numFmt w:val="decimal"/>
      <w:isLgl/>
      <w:lvlText w:val="%1.%2."/>
      <w:lvlJc w:val="left"/>
      <w:pPr>
        <w:ind w:left="1363" w:hanging="7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723" w:hanging="108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2083" w:hanging="144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443" w:hanging="1800"/>
      </w:pPr>
      <w:rPr>
        <w:rFonts w:hint="default"/>
      </w:rPr>
    </w:lvl>
    <w:lvl w:ilvl="8">
      <w:start w:val="1"/>
      <w:numFmt w:val="decimal"/>
      <w:isLgl/>
      <w:lvlText w:val="%1.%2.%3.%4.%5.%6.%7.%8.%9."/>
      <w:lvlJc w:val="left"/>
      <w:pPr>
        <w:ind w:left="2443" w:hanging="1800"/>
      </w:pPr>
      <w:rPr>
        <w:rFonts w:hint="default"/>
      </w:rPr>
    </w:lvl>
  </w:abstractNum>
  <w:abstractNum w:abstractNumId="15">
    <w:nsid w:val="72B55B3E"/>
    <w:multiLevelType w:val="hybridMultilevel"/>
    <w:tmpl w:val="56F698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87324CA"/>
    <w:multiLevelType w:val="hybridMultilevel"/>
    <w:tmpl w:val="0BC01BC6"/>
    <w:lvl w:ilvl="0" w:tplc="590ECEBE">
      <w:start w:val="1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B6A6C1F"/>
    <w:multiLevelType w:val="hybridMultilevel"/>
    <w:tmpl w:val="49500224"/>
    <w:lvl w:ilvl="0" w:tplc="02003D38">
      <w:start w:val="1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040EF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4"/>
  </w:num>
  <w:num w:numId="3">
    <w:abstractNumId w:val="5"/>
  </w:num>
  <w:num w:numId="4">
    <w:abstractNumId w:val="3"/>
  </w:num>
  <w:num w:numId="5">
    <w:abstractNumId w:val="8"/>
  </w:num>
  <w:num w:numId="6">
    <w:abstractNumId w:val="10"/>
  </w:num>
  <w:num w:numId="7">
    <w:abstractNumId w:val="9"/>
  </w:num>
  <w:num w:numId="8">
    <w:abstractNumId w:val="0"/>
  </w:num>
  <w:num w:numId="9">
    <w:abstractNumId w:val="11"/>
  </w:num>
  <w:num w:numId="10">
    <w:abstractNumId w:val="18"/>
  </w:num>
  <w:num w:numId="11">
    <w:abstractNumId w:val="7"/>
  </w:num>
  <w:num w:numId="12">
    <w:abstractNumId w:val="14"/>
  </w:num>
  <w:num w:numId="13">
    <w:abstractNumId w:val="12"/>
  </w:num>
  <w:num w:numId="14">
    <w:abstractNumId w:val="1"/>
  </w:num>
  <w:num w:numId="15">
    <w:abstractNumId w:val="16"/>
  </w:num>
  <w:num w:numId="16">
    <w:abstractNumId w:val="15"/>
  </w:num>
  <w:num w:numId="17">
    <w:abstractNumId w:val="17"/>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63"/>
    <w:rsid w:val="000253A8"/>
    <w:rsid w:val="0002540F"/>
    <w:rsid w:val="00025FA7"/>
    <w:rsid w:val="00031F3A"/>
    <w:rsid w:val="0003794C"/>
    <w:rsid w:val="00071855"/>
    <w:rsid w:val="000729A2"/>
    <w:rsid w:val="00074177"/>
    <w:rsid w:val="00074B7B"/>
    <w:rsid w:val="00077442"/>
    <w:rsid w:val="000971D8"/>
    <w:rsid w:val="000A37CE"/>
    <w:rsid w:val="000A4A73"/>
    <w:rsid w:val="000A674F"/>
    <w:rsid w:val="000B0BAF"/>
    <w:rsid w:val="000B0F28"/>
    <w:rsid w:val="000C5463"/>
    <w:rsid w:val="000C7274"/>
    <w:rsid w:val="000D1B98"/>
    <w:rsid w:val="000D1C49"/>
    <w:rsid w:val="000D542D"/>
    <w:rsid w:val="000D663C"/>
    <w:rsid w:val="000E2B3F"/>
    <w:rsid w:val="000E2D30"/>
    <w:rsid w:val="000E43FE"/>
    <w:rsid w:val="000E640B"/>
    <w:rsid w:val="000F2F89"/>
    <w:rsid w:val="000F542C"/>
    <w:rsid w:val="000F62EE"/>
    <w:rsid w:val="00104977"/>
    <w:rsid w:val="00107A4E"/>
    <w:rsid w:val="00113AF8"/>
    <w:rsid w:val="0011466C"/>
    <w:rsid w:val="0011596C"/>
    <w:rsid w:val="001168FF"/>
    <w:rsid w:val="001256AC"/>
    <w:rsid w:val="00132AE4"/>
    <w:rsid w:val="00144D16"/>
    <w:rsid w:val="0015195D"/>
    <w:rsid w:val="00160E8A"/>
    <w:rsid w:val="00165CC5"/>
    <w:rsid w:val="00167E31"/>
    <w:rsid w:val="0017780E"/>
    <w:rsid w:val="0018512D"/>
    <w:rsid w:val="00193798"/>
    <w:rsid w:val="001A0B01"/>
    <w:rsid w:val="001A4A3A"/>
    <w:rsid w:val="001E1E64"/>
    <w:rsid w:val="001E5093"/>
    <w:rsid w:val="001F65EC"/>
    <w:rsid w:val="001F6EF8"/>
    <w:rsid w:val="001F7A2A"/>
    <w:rsid w:val="00215688"/>
    <w:rsid w:val="00217163"/>
    <w:rsid w:val="00223410"/>
    <w:rsid w:val="00227E3B"/>
    <w:rsid w:val="00233B21"/>
    <w:rsid w:val="00242FA8"/>
    <w:rsid w:val="00245E56"/>
    <w:rsid w:val="00247950"/>
    <w:rsid w:val="00250A40"/>
    <w:rsid w:val="002527C7"/>
    <w:rsid w:val="00253D0B"/>
    <w:rsid w:val="00266FA4"/>
    <w:rsid w:val="002672CC"/>
    <w:rsid w:val="00281B51"/>
    <w:rsid w:val="00284DD2"/>
    <w:rsid w:val="00292880"/>
    <w:rsid w:val="00297D20"/>
    <w:rsid w:val="002A5CD8"/>
    <w:rsid w:val="002A6801"/>
    <w:rsid w:val="002B0856"/>
    <w:rsid w:val="002C0692"/>
    <w:rsid w:val="002C0BB9"/>
    <w:rsid w:val="002C4B9F"/>
    <w:rsid w:val="002D4603"/>
    <w:rsid w:val="002F6D20"/>
    <w:rsid w:val="00306E1E"/>
    <w:rsid w:val="0031455D"/>
    <w:rsid w:val="003202E4"/>
    <w:rsid w:val="0032281C"/>
    <w:rsid w:val="00335327"/>
    <w:rsid w:val="00335DCB"/>
    <w:rsid w:val="00343A43"/>
    <w:rsid w:val="00363EA3"/>
    <w:rsid w:val="00366FB5"/>
    <w:rsid w:val="003670FC"/>
    <w:rsid w:val="00372741"/>
    <w:rsid w:val="00377399"/>
    <w:rsid w:val="00382D1B"/>
    <w:rsid w:val="0038799C"/>
    <w:rsid w:val="0039127D"/>
    <w:rsid w:val="00394A11"/>
    <w:rsid w:val="003A0B81"/>
    <w:rsid w:val="003A1BEC"/>
    <w:rsid w:val="003C0BB7"/>
    <w:rsid w:val="003C2990"/>
    <w:rsid w:val="003C3872"/>
    <w:rsid w:val="003D3F1B"/>
    <w:rsid w:val="003E527B"/>
    <w:rsid w:val="003E701B"/>
    <w:rsid w:val="003F20C3"/>
    <w:rsid w:val="003F345B"/>
    <w:rsid w:val="003F5666"/>
    <w:rsid w:val="003F7A87"/>
    <w:rsid w:val="004001C4"/>
    <w:rsid w:val="00410035"/>
    <w:rsid w:val="00413DAB"/>
    <w:rsid w:val="00415D89"/>
    <w:rsid w:val="004214AB"/>
    <w:rsid w:val="00423F3E"/>
    <w:rsid w:val="00427659"/>
    <w:rsid w:val="004343E3"/>
    <w:rsid w:val="00443267"/>
    <w:rsid w:val="004506FD"/>
    <w:rsid w:val="004510F9"/>
    <w:rsid w:val="0045786A"/>
    <w:rsid w:val="00461496"/>
    <w:rsid w:val="00462A9C"/>
    <w:rsid w:val="00464313"/>
    <w:rsid w:val="00465373"/>
    <w:rsid w:val="004757D7"/>
    <w:rsid w:val="0048262C"/>
    <w:rsid w:val="004863CB"/>
    <w:rsid w:val="004A58B4"/>
    <w:rsid w:val="004B26D6"/>
    <w:rsid w:val="004B46E6"/>
    <w:rsid w:val="004B6E66"/>
    <w:rsid w:val="004D14EE"/>
    <w:rsid w:val="004D344F"/>
    <w:rsid w:val="004E1F7C"/>
    <w:rsid w:val="004F030B"/>
    <w:rsid w:val="00513369"/>
    <w:rsid w:val="00513FA6"/>
    <w:rsid w:val="005234AE"/>
    <w:rsid w:val="00526E0D"/>
    <w:rsid w:val="0052793A"/>
    <w:rsid w:val="0053327D"/>
    <w:rsid w:val="00537A02"/>
    <w:rsid w:val="00537E4C"/>
    <w:rsid w:val="00541D32"/>
    <w:rsid w:val="00542F32"/>
    <w:rsid w:val="00553304"/>
    <w:rsid w:val="00555B1F"/>
    <w:rsid w:val="00556B12"/>
    <w:rsid w:val="00564515"/>
    <w:rsid w:val="00566CB1"/>
    <w:rsid w:val="00575126"/>
    <w:rsid w:val="0057731E"/>
    <w:rsid w:val="005836EC"/>
    <w:rsid w:val="00587CFF"/>
    <w:rsid w:val="0059269B"/>
    <w:rsid w:val="005A4250"/>
    <w:rsid w:val="005B0197"/>
    <w:rsid w:val="005B59D3"/>
    <w:rsid w:val="005C43A5"/>
    <w:rsid w:val="005D10C7"/>
    <w:rsid w:val="005D3910"/>
    <w:rsid w:val="005D5F41"/>
    <w:rsid w:val="005E09AE"/>
    <w:rsid w:val="005E30FC"/>
    <w:rsid w:val="005F20CB"/>
    <w:rsid w:val="005F3ED7"/>
    <w:rsid w:val="005F3EF8"/>
    <w:rsid w:val="006138BB"/>
    <w:rsid w:val="00644433"/>
    <w:rsid w:val="00644626"/>
    <w:rsid w:val="00655FA0"/>
    <w:rsid w:val="0066612A"/>
    <w:rsid w:val="00666DBB"/>
    <w:rsid w:val="00670DBE"/>
    <w:rsid w:val="00681C38"/>
    <w:rsid w:val="00687662"/>
    <w:rsid w:val="00691D6E"/>
    <w:rsid w:val="006930ED"/>
    <w:rsid w:val="006941A1"/>
    <w:rsid w:val="00694B54"/>
    <w:rsid w:val="0069778B"/>
    <w:rsid w:val="006A3235"/>
    <w:rsid w:val="006A52D8"/>
    <w:rsid w:val="006B2798"/>
    <w:rsid w:val="006B669F"/>
    <w:rsid w:val="006C4A04"/>
    <w:rsid w:val="006E1475"/>
    <w:rsid w:val="006E403B"/>
    <w:rsid w:val="006E5C5C"/>
    <w:rsid w:val="006F7F5F"/>
    <w:rsid w:val="00701C51"/>
    <w:rsid w:val="007026EF"/>
    <w:rsid w:val="00706694"/>
    <w:rsid w:val="00725612"/>
    <w:rsid w:val="0072664B"/>
    <w:rsid w:val="0073115A"/>
    <w:rsid w:val="007315B5"/>
    <w:rsid w:val="00737DA8"/>
    <w:rsid w:val="00740FB2"/>
    <w:rsid w:val="00744BB7"/>
    <w:rsid w:val="007461FA"/>
    <w:rsid w:val="0074760B"/>
    <w:rsid w:val="0075311B"/>
    <w:rsid w:val="00761CF8"/>
    <w:rsid w:val="0076722C"/>
    <w:rsid w:val="00767DCA"/>
    <w:rsid w:val="0077407E"/>
    <w:rsid w:val="007A0296"/>
    <w:rsid w:val="007A0E40"/>
    <w:rsid w:val="007A5D3C"/>
    <w:rsid w:val="007B5D98"/>
    <w:rsid w:val="007B75F7"/>
    <w:rsid w:val="007C3661"/>
    <w:rsid w:val="007C3829"/>
    <w:rsid w:val="007E4C93"/>
    <w:rsid w:val="007E7283"/>
    <w:rsid w:val="007F5F95"/>
    <w:rsid w:val="008013D1"/>
    <w:rsid w:val="008210A2"/>
    <w:rsid w:val="00825933"/>
    <w:rsid w:val="00833590"/>
    <w:rsid w:val="00836F80"/>
    <w:rsid w:val="00844495"/>
    <w:rsid w:val="00845DCA"/>
    <w:rsid w:val="008462F3"/>
    <w:rsid w:val="00851651"/>
    <w:rsid w:val="00852815"/>
    <w:rsid w:val="00863091"/>
    <w:rsid w:val="0087131B"/>
    <w:rsid w:val="00873FE9"/>
    <w:rsid w:val="00876879"/>
    <w:rsid w:val="0088693A"/>
    <w:rsid w:val="008945B6"/>
    <w:rsid w:val="008A6A39"/>
    <w:rsid w:val="008B1686"/>
    <w:rsid w:val="008B1ACA"/>
    <w:rsid w:val="008B392D"/>
    <w:rsid w:val="008B4E57"/>
    <w:rsid w:val="008C2439"/>
    <w:rsid w:val="008C308F"/>
    <w:rsid w:val="008C38B5"/>
    <w:rsid w:val="008D4680"/>
    <w:rsid w:val="008D5576"/>
    <w:rsid w:val="008D6B79"/>
    <w:rsid w:val="008E652B"/>
    <w:rsid w:val="008F15F7"/>
    <w:rsid w:val="0090435B"/>
    <w:rsid w:val="00905A1C"/>
    <w:rsid w:val="00906297"/>
    <w:rsid w:val="009073A3"/>
    <w:rsid w:val="00910A33"/>
    <w:rsid w:val="00911DC6"/>
    <w:rsid w:val="00912FF2"/>
    <w:rsid w:val="009130DC"/>
    <w:rsid w:val="00913892"/>
    <w:rsid w:val="00920C0B"/>
    <w:rsid w:val="00926113"/>
    <w:rsid w:val="0094017C"/>
    <w:rsid w:val="00963707"/>
    <w:rsid w:val="009679F1"/>
    <w:rsid w:val="009721B3"/>
    <w:rsid w:val="0097650D"/>
    <w:rsid w:val="00977ED5"/>
    <w:rsid w:val="00981336"/>
    <w:rsid w:val="00984336"/>
    <w:rsid w:val="00985687"/>
    <w:rsid w:val="009902FD"/>
    <w:rsid w:val="00992686"/>
    <w:rsid w:val="009A55F8"/>
    <w:rsid w:val="009A6F83"/>
    <w:rsid w:val="009B1867"/>
    <w:rsid w:val="009C0BB7"/>
    <w:rsid w:val="009C362C"/>
    <w:rsid w:val="009C4979"/>
    <w:rsid w:val="009D7D38"/>
    <w:rsid w:val="009E14C7"/>
    <w:rsid w:val="009F42ED"/>
    <w:rsid w:val="009F753E"/>
    <w:rsid w:val="00A0098E"/>
    <w:rsid w:val="00A01794"/>
    <w:rsid w:val="00A067B8"/>
    <w:rsid w:val="00A07932"/>
    <w:rsid w:val="00A07AA2"/>
    <w:rsid w:val="00A20F97"/>
    <w:rsid w:val="00A22C88"/>
    <w:rsid w:val="00A3048B"/>
    <w:rsid w:val="00A40C0C"/>
    <w:rsid w:val="00A47579"/>
    <w:rsid w:val="00A62170"/>
    <w:rsid w:val="00A67D05"/>
    <w:rsid w:val="00A731F9"/>
    <w:rsid w:val="00A747AD"/>
    <w:rsid w:val="00A81060"/>
    <w:rsid w:val="00A91B00"/>
    <w:rsid w:val="00A9315F"/>
    <w:rsid w:val="00A96116"/>
    <w:rsid w:val="00AA5B4D"/>
    <w:rsid w:val="00AC0E11"/>
    <w:rsid w:val="00AC12F2"/>
    <w:rsid w:val="00AC2D6E"/>
    <w:rsid w:val="00AC3696"/>
    <w:rsid w:val="00AD347F"/>
    <w:rsid w:val="00AD7AE4"/>
    <w:rsid w:val="00AE3463"/>
    <w:rsid w:val="00AE6312"/>
    <w:rsid w:val="00AE6B41"/>
    <w:rsid w:val="00AE7209"/>
    <w:rsid w:val="00B00EA8"/>
    <w:rsid w:val="00B0242E"/>
    <w:rsid w:val="00B10829"/>
    <w:rsid w:val="00B15510"/>
    <w:rsid w:val="00B16315"/>
    <w:rsid w:val="00B20F78"/>
    <w:rsid w:val="00B40D6B"/>
    <w:rsid w:val="00B54EAE"/>
    <w:rsid w:val="00B55F54"/>
    <w:rsid w:val="00B6604D"/>
    <w:rsid w:val="00B734F8"/>
    <w:rsid w:val="00B749EE"/>
    <w:rsid w:val="00B77324"/>
    <w:rsid w:val="00B87AF1"/>
    <w:rsid w:val="00B92784"/>
    <w:rsid w:val="00B92B15"/>
    <w:rsid w:val="00B93CA5"/>
    <w:rsid w:val="00B94D81"/>
    <w:rsid w:val="00B95D56"/>
    <w:rsid w:val="00B96DA4"/>
    <w:rsid w:val="00B979E9"/>
    <w:rsid w:val="00B97FB3"/>
    <w:rsid w:val="00BA0436"/>
    <w:rsid w:val="00BB5F13"/>
    <w:rsid w:val="00BD3D18"/>
    <w:rsid w:val="00BD6C2B"/>
    <w:rsid w:val="00BE4048"/>
    <w:rsid w:val="00C0509C"/>
    <w:rsid w:val="00C11999"/>
    <w:rsid w:val="00C242DB"/>
    <w:rsid w:val="00C35687"/>
    <w:rsid w:val="00C3675C"/>
    <w:rsid w:val="00C42899"/>
    <w:rsid w:val="00C4305E"/>
    <w:rsid w:val="00C62FF1"/>
    <w:rsid w:val="00C667D4"/>
    <w:rsid w:val="00C67FCA"/>
    <w:rsid w:val="00C739EA"/>
    <w:rsid w:val="00C743A9"/>
    <w:rsid w:val="00C826F8"/>
    <w:rsid w:val="00C85BA1"/>
    <w:rsid w:val="00C933FE"/>
    <w:rsid w:val="00C93E8E"/>
    <w:rsid w:val="00C96102"/>
    <w:rsid w:val="00CA16AA"/>
    <w:rsid w:val="00CA58D5"/>
    <w:rsid w:val="00CB5DDA"/>
    <w:rsid w:val="00CB6CB0"/>
    <w:rsid w:val="00CB7C1E"/>
    <w:rsid w:val="00CC07CB"/>
    <w:rsid w:val="00CC1253"/>
    <w:rsid w:val="00CC2E55"/>
    <w:rsid w:val="00CD036C"/>
    <w:rsid w:val="00CD063E"/>
    <w:rsid w:val="00CD20A2"/>
    <w:rsid w:val="00CD437E"/>
    <w:rsid w:val="00CE18A7"/>
    <w:rsid w:val="00D04107"/>
    <w:rsid w:val="00D1179F"/>
    <w:rsid w:val="00D14B2D"/>
    <w:rsid w:val="00D25753"/>
    <w:rsid w:val="00D26C6C"/>
    <w:rsid w:val="00D3285C"/>
    <w:rsid w:val="00D42637"/>
    <w:rsid w:val="00D6165D"/>
    <w:rsid w:val="00D639EA"/>
    <w:rsid w:val="00D665BE"/>
    <w:rsid w:val="00D66704"/>
    <w:rsid w:val="00D7657B"/>
    <w:rsid w:val="00D85DF6"/>
    <w:rsid w:val="00DA5A6F"/>
    <w:rsid w:val="00DB0994"/>
    <w:rsid w:val="00E01302"/>
    <w:rsid w:val="00E04B03"/>
    <w:rsid w:val="00E075B4"/>
    <w:rsid w:val="00E211A9"/>
    <w:rsid w:val="00E23D86"/>
    <w:rsid w:val="00E25E29"/>
    <w:rsid w:val="00E33058"/>
    <w:rsid w:val="00E35ECF"/>
    <w:rsid w:val="00E4728A"/>
    <w:rsid w:val="00E50E48"/>
    <w:rsid w:val="00E510B7"/>
    <w:rsid w:val="00E62CEE"/>
    <w:rsid w:val="00E723D0"/>
    <w:rsid w:val="00E7496F"/>
    <w:rsid w:val="00E775A7"/>
    <w:rsid w:val="00E94DC6"/>
    <w:rsid w:val="00E978A8"/>
    <w:rsid w:val="00EA23FC"/>
    <w:rsid w:val="00EB1006"/>
    <w:rsid w:val="00EB1FB5"/>
    <w:rsid w:val="00EC2794"/>
    <w:rsid w:val="00EC38E1"/>
    <w:rsid w:val="00EC5A2C"/>
    <w:rsid w:val="00EC6749"/>
    <w:rsid w:val="00ED6BE6"/>
    <w:rsid w:val="00ED7137"/>
    <w:rsid w:val="00EE2237"/>
    <w:rsid w:val="00EE74C7"/>
    <w:rsid w:val="00EF105D"/>
    <w:rsid w:val="00EF1255"/>
    <w:rsid w:val="00EF5891"/>
    <w:rsid w:val="00EF5F6F"/>
    <w:rsid w:val="00F03239"/>
    <w:rsid w:val="00F3533D"/>
    <w:rsid w:val="00F42761"/>
    <w:rsid w:val="00F53EF3"/>
    <w:rsid w:val="00F57897"/>
    <w:rsid w:val="00F71B5C"/>
    <w:rsid w:val="00F72C3C"/>
    <w:rsid w:val="00F73620"/>
    <w:rsid w:val="00F77390"/>
    <w:rsid w:val="00F80C99"/>
    <w:rsid w:val="00F8316B"/>
    <w:rsid w:val="00F8331D"/>
    <w:rsid w:val="00F8383E"/>
    <w:rsid w:val="00F91272"/>
    <w:rsid w:val="00F97757"/>
    <w:rsid w:val="00FC60A8"/>
    <w:rsid w:val="00FD1874"/>
    <w:rsid w:val="00FD3E5C"/>
    <w:rsid w:val="00FE1D76"/>
    <w:rsid w:val="00FF171D"/>
    <w:rsid w:val="00FF22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8226E"/>
  <w15:docId w15:val="{A224B305-B235-4AF9-A77F-74787602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0FC"/>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3463"/>
    <w:rPr>
      <w:rFonts w:ascii="Tahoma" w:hAnsi="Tahoma" w:cs="Tahoma"/>
      <w:sz w:val="16"/>
      <w:szCs w:val="16"/>
    </w:rPr>
  </w:style>
  <w:style w:type="character" w:customStyle="1" w:styleId="TextodegloboCar">
    <w:name w:val="Texto de globo Car"/>
    <w:basedOn w:val="Fuentedeprrafopredeter"/>
    <w:link w:val="Textodeglobo"/>
    <w:uiPriority w:val="99"/>
    <w:semiHidden/>
    <w:rsid w:val="00AE3463"/>
    <w:rPr>
      <w:rFonts w:ascii="Tahoma" w:hAnsi="Tahoma" w:cs="Tahoma"/>
      <w:sz w:val="16"/>
      <w:szCs w:val="16"/>
    </w:rPr>
  </w:style>
  <w:style w:type="paragraph" w:styleId="Encabezado">
    <w:name w:val="header"/>
    <w:basedOn w:val="Normal"/>
    <w:link w:val="EncabezadoCar"/>
    <w:uiPriority w:val="99"/>
    <w:unhideWhenUsed/>
    <w:rsid w:val="00AE3463"/>
    <w:pPr>
      <w:tabs>
        <w:tab w:val="center" w:pos="4419"/>
        <w:tab w:val="right" w:pos="8838"/>
      </w:tabs>
    </w:pPr>
  </w:style>
  <w:style w:type="character" w:customStyle="1" w:styleId="EncabezadoCar">
    <w:name w:val="Encabezado Car"/>
    <w:basedOn w:val="Fuentedeprrafopredeter"/>
    <w:link w:val="Encabezado"/>
    <w:uiPriority w:val="99"/>
    <w:rsid w:val="00AE3463"/>
  </w:style>
  <w:style w:type="paragraph" w:styleId="Piedepgina">
    <w:name w:val="footer"/>
    <w:basedOn w:val="Normal"/>
    <w:link w:val="PiedepginaCar"/>
    <w:uiPriority w:val="99"/>
    <w:unhideWhenUsed/>
    <w:rsid w:val="00AE3463"/>
    <w:pPr>
      <w:tabs>
        <w:tab w:val="center" w:pos="4419"/>
        <w:tab w:val="right" w:pos="8838"/>
      </w:tabs>
    </w:pPr>
  </w:style>
  <w:style w:type="character" w:customStyle="1" w:styleId="PiedepginaCar">
    <w:name w:val="Pie de página Car"/>
    <w:basedOn w:val="Fuentedeprrafopredeter"/>
    <w:link w:val="Piedepgina"/>
    <w:uiPriority w:val="99"/>
    <w:rsid w:val="00AE3463"/>
  </w:style>
  <w:style w:type="paragraph" w:styleId="Prrafodelista">
    <w:name w:val="List Paragraph"/>
    <w:basedOn w:val="Normal"/>
    <w:uiPriority w:val="34"/>
    <w:qFormat/>
    <w:rsid w:val="003670FC"/>
    <w:pPr>
      <w:ind w:left="720"/>
      <w:contextualSpacing/>
    </w:pPr>
  </w:style>
  <w:style w:type="paragraph" w:styleId="NormalWeb">
    <w:name w:val="Normal (Web)"/>
    <w:basedOn w:val="Normal"/>
    <w:uiPriority w:val="99"/>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3670FC"/>
    <w:rPr>
      <w:color w:val="0000FF"/>
      <w:u w:val="single"/>
    </w:rPr>
  </w:style>
  <w:style w:type="paragraph" w:styleId="Textonotapie">
    <w:name w:val="footnote text"/>
    <w:basedOn w:val="Normal"/>
    <w:link w:val="TextonotapieCar"/>
    <w:uiPriority w:val="99"/>
    <w:semiHidden/>
    <w:unhideWhenUsed/>
    <w:rsid w:val="003670FC"/>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3670FC"/>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3670FC"/>
    <w:rPr>
      <w:vertAlign w:val="superscript"/>
    </w:rPr>
  </w:style>
  <w:style w:type="table" w:styleId="Tablaconcuadrcula">
    <w:name w:val="Table Grid"/>
    <w:basedOn w:val="Tablanormal"/>
    <w:uiPriority w:val="59"/>
    <w:rsid w:val="00367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1E1E64"/>
  </w:style>
  <w:style w:type="paragraph" w:customStyle="1" w:styleId="Default">
    <w:name w:val="Default"/>
    <w:rsid w:val="001E1E64"/>
    <w:pPr>
      <w:autoSpaceDE w:val="0"/>
      <w:autoSpaceDN w:val="0"/>
      <w:adjustRightInd w:val="0"/>
      <w:spacing w:after="0" w:line="240" w:lineRule="auto"/>
    </w:pPr>
    <w:rPr>
      <w:rFonts w:ascii="Book Antiqua" w:eastAsia="Times New Roman" w:hAnsi="Book Antiqua" w:cs="Book Antiqua"/>
      <w:color w:val="000000"/>
      <w:sz w:val="24"/>
      <w:szCs w:val="24"/>
      <w:lang w:val="es-ES" w:eastAsia="es-ES"/>
    </w:rPr>
  </w:style>
  <w:style w:type="character" w:styleId="Textoennegrita">
    <w:name w:val="Strong"/>
    <w:uiPriority w:val="22"/>
    <w:qFormat/>
    <w:rsid w:val="001E1E64"/>
    <w:rPr>
      <w:b/>
      <w:bCs/>
    </w:rPr>
  </w:style>
  <w:style w:type="paragraph" w:customStyle="1" w:styleId="CM20">
    <w:name w:val="CM20"/>
    <w:basedOn w:val="Default"/>
    <w:next w:val="Default"/>
    <w:uiPriority w:val="99"/>
    <w:rsid w:val="001E1E64"/>
    <w:pPr>
      <w:widowControl w:val="0"/>
      <w:spacing w:after="245"/>
    </w:pPr>
    <w:rPr>
      <w:rFonts w:ascii="Arial" w:hAnsi="Arial" w:cs="Arial"/>
      <w:color w:val="auto"/>
    </w:rPr>
  </w:style>
  <w:style w:type="paragraph" w:customStyle="1" w:styleId="CM14">
    <w:name w:val="CM14"/>
    <w:basedOn w:val="Default"/>
    <w:next w:val="Default"/>
    <w:uiPriority w:val="99"/>
    <w:rsid w:val="001E1E64"/>
    <w:pPr>
      <w:widowControl w:val="0"/>
      <w:spacing w:line="246" w:lineRule="atLeast"/>
    </w:pPr>
    <w:rPr>
      <w:rFonts w:ascii="Arial" w:hAnsi="Arial" w:cs="Arial"/>
      <w:color w:val="auto"/>
    </w:rPr>
  </w:style>
  <w:style w:type="paragraph" w:styleId="Sinespaciado">
    <w:name w:val="No Spacing"/>
    <w:uiPriority w:val="1"/>
    <w:qFormat/>
    <w:rsid w:val="00905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104738">
      <w:bodyDiv w:val="1"/>
      <w:marLeft w:val="0"/>
      <w:marRight w:val="0"/>
      <w:marTop w:val="0"/>
      <w:marBottom w:val="0"/>
      <w:divBdr>
        <w:top w:val="none" w:sz="0" w:space="0" w:color="auto"/>
        <w:left w:val="none" w:sz="0" w:space="0" w:color="auto"/>
        <w:bottom w:val="none" w:sz="0" w:space="0" w:color="auto"/>
        <w:right w:val="none" w:sz="0" w:space="0" w:color="auto"/>
      </w:divBdr>
    </w:div>
    <w:div w:id="501119686">
      <w:bodyDiv w:val="1"/>
      <w:marLeft w:val="0"/>
      <w:marRight w:val="0"/>
      <w:marTop w:val="0"/>
      <w:marBottom w:val="0"/>
      <w:divBdr>
        <w:top w:val="none" w:sz="0" w:space="0" w:color="auto"/>
        <w:left w:val="none" w:sz="0" w:space="0" w:color="auto"/>
        <w:bottom w:val="none" w:sz="0" w:space="0" w:color="auto"/>
        <w:right w:val="none" w:sz="0" w:space="0" w:color="auto"/>
      </w:divBdr>
    </w:div>
    <w:div w:id="511147686">
      <w:bodyDiv w:val="1"/>
      <w:marLeft w:val="0"/>
      <w:marRight w:val="0"/>
      <w:marTop w:val="0"/>
      <w:marBottom w:val="0"/>
      <w:divBdr>
        <w:top w:val="none" w:sz="0" w:space="0" w:color="auto"/>
        <w:left w:val="none" w:sz="0" w:space="0" w:color="auto"/>
        <w:bottom w:val="none" w:sz="0" w:space="0" w:color="auto"/>
        <w:right w:val="none" w:sz="0" w:space="0" w:color="auto"/>
      </w:divBdr>
    </w:div>
    <w:div w:id="939534313">
      <w:bodyDiv w:val="1"/>
      <w:marLeft w:val="0"/>
      <w:marRight w:val="0"/>
      <w:marTop w:val="0"/>
      <w:marBottom w:val="0"/>
      <w:divBdr>
        <w:top w:val="none" w:sz="0" w:space="0" w:color="auto"/>
        <w:left w:val="none" w:sz="0" w:space="0" w:color="auto"/>
        <w:bottom w:val="none" w:sz="0" w:space="0" w:color="auto"/>
        <w:right w:val="none" w:sz="0" w:space="0" w:color="auto"/>
      </w:divBdr>
    </w:div>
    <w:div w:id="1037707294">
      <w:bodyDiv w:val="1"/>
      <w:marLeft w:val="0"/>
      <w:marRight w:val="0"/>
      <w:marTop w:val="0"/>
      <w:marBottom w:val="0"/>
      <w:divBdr>
        <w:top w:val="none" w:sz="0" w:space="0" w:color="auto"/>
        <w:left w:val="none" w:sz="0" w:space="0" w:color="auto"/>
        <w:bottom w:val="none" w:sz="0" w:space="0" w:color="auto"/>
        <w:right w:val="none" w:sz="0" w:space="0" w:color="auto"/>
      </w:divBdr>
    </w:div>
    <w:div w:id="1215698787">
      <w:bodyDiv w:val="1"/>
      <w:marLeft w:val="0"/>
      <w:marRight w:val="0"/>
      <w:marTop w:val="0"/>
      <w:marBottom w:val="0"/>
      <w:divBdr>
        <w:top w:val="none" w:sz="0" w:space="0" w:color="auto"/>
        <w:left w:val="none" w:sz="0" w:space="0" w:color="auto"/>
        <w:bottom w:val="none" w:sz="0" w:space="0" w:color="auto"/>
        <w:right w:val="none" w:sz="0" w:space="0" w:color="auto"/>
      </w:divBdr>
    </w:div>
    <w:div w:id="1633242858">
      <w:bodyDiv w:val="1"/>
      <w:marLeft w:val="0"/>
      <w:marRight w:val="0"/>
      <w:marTop w:val="0"/>
      <w:marBottom w:val="0"/>
      <w:divBdr>
        <w:top w:val="none" w:sz="0" w:space="0" w:color="auto"/>
        <w:left w:val="none" w:sz="0" w:space="0" w:color="auto"/>
        <w:bottom w:val="none" w:sz="0" w:space="0" w:color="auto"/>
        <w:right w:val="none" w:sz="0" w:space="0" w:color="auto"/>
      </w:divBdr>
    </w:div>
    <w:div w:id="1860197239">
      <w:bodyDiv w:val="1"/>
      <w:marLeft w:val="0"/>
      <w:marRight w:val="0"/>
      <w:marTop w:val="0"/>
      <w:marBottom w:val="0"/>
      <w:divBdr>
        <w:top w:val="none" w:sz="0" w:space="0" w:color="auto"/>
        <w:left w:val="none" w:sz="0" w:space="0" w:color="auto"/>
        <w:bottom w:val="none" w:sz="0" w:space="0" w:color="auto"/>
        <w:right w:val="none" w:sz="0" w:space="0" w:color="auto"/>
      </w:divBdr>
    </w:div>
    <w:div w:id="20885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1A401-1E7F-4AB3-932B-8D8588D88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2321</Words>
  <Characters>12771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oscarsanchez</dc:creator>
  <cp:lastModifiedBy>soniacortes</cp:lastModifiedBy>
  <cp:revision>10</cp:revision>
  <dcterms:created xsi:type="dcterms:W3CDTF">2016-05-25T13:44:00Z</dcterms:created>
  <dcterms:modified xsi:type="dcterms:W3CDTF">2016-05-25T14:32:00Z</dcterms:modified>
</cp:coreProperties>
</file>