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E09" w:rsidRDefault="00210E09" w:rsidP="001F2372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210E09" w:rsidRDefault="00210E09" w:rsidP="001F2372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D25E1A" w:rsidRPr="001F2372" w:rsidRDefault="00820746" w:rsidP="001F2372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1F2372">
        <w:rPr>
          <w:rFonts w:ascii="Century Gothic" w:hAnsi="Century Gothic" w:cs="Arial"/>
          <w:b/>
          <w:sz w:val="24"/>
          <w:szCs w:val="24"/>
        </w:rPr>
        <w:t>TEXTO APROBADO EN LA COMISIÓN PRIMERA DE LA HONORABLE CÁMARA DE REPRESENTANTES EN PRIMER DEBATE DEL</w:t>
      </w:r>
    </w:p>
    <w:p w:rsidR="001F2372" w:rsidRPr="001F2372" w:rsidRDefault="00820746" w:rsidP="001F23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</w:pPr>
      <w:r w:rsidRPr="001F2372">
        <w:rPr>
          <w:rFonts w:ascii="Century Gothic" w:hAnsi="Century Gothic" w:cs="Arial"/>
          <w:b/>
          <w:sz w:val="24"/>
          <w:szCs w:val="24"/>
          <w:lang w:bidi="es-CO"/>
        </w:rPr>
        <w:t>PROYECTO DE LEY No.</w:t>
      </w:r>
      <w:r w:rsidR="001066C3" w:rsidRPr="001F2372">
        <w:rPr>
          <w:rFonts w:ascii="Century Gothic" w:hAnsi="Century Gothic" w:cs="Arial"/>
          <w:b/>
          <w:sz w:val="24"/>
          <w:szCs w:val="24"/>
          <w:lang w:bidi="es-CO"/>
        </w:rPr>
        <w:t xml:space="preserve"> </w:t>
      </w:r>
      <w:r w:rsidR="001F2372" w:rsidRPr="001F2372"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  <w:t>018 DE 2024 CÁMARA ACU</w:t>
      </w:r>
      <w:r w:rsidR="001F2372"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  <w:t>MULADO CON EL PROYECTO DE LEY No</w:t>
      </w:r>
      <w:r w:rsidR="001F2372" w:rsidRPr="001F2372"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  <w:t>. 239 DE 2024 CÁMARA</w:t>
      </w:r>
    </w:p>
    <w:p w:rsidR="001F2372" w:rsidRPr="001F2372" w:rsidRDefault="001F2372" w:rsidP="001F23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  <w:t>“POR MEDIO DE LA CUAL SE DICTAN MEDIDAS PARA PREVENIR, ATENDER Y ERRADICAR LA ABLACIÓN O MUTILACIÓN GENITAL FEMENINA EN TODO EL TERRITORIO NACIONAL Y SE DICTAN OTRAS DISPOSICIONES”</w:t>
      </w:r>
    </w:p>
    <w:p w:rsidR="001F2372" w:rsidRPr="001F2372" w:rsidRDefault="001F2372" w:rsidP="001F23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</w:pPr>
    </w:p>
    <w:p w:rsidR="00311769" w:rsidRDefault="00311769" w:rsidP="001F23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  <w:t>EL CONGRESO DE LA REPÚBLICA DE COLOMBIA</w:t>
      </w:r>
    </w:p>
    <w:p w:rsidR="001F2372" w:rsidRPr="001F2372" w:rsidRDefault="001F2372" w:rsidP="001F23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  <w:t>DECRETA:</w:t>
      </w:r>
    </w:p>
    <w:p w:rsidR="001F2372" w:rsidRPr="001F2372" w:rsidRDefault="001F2372" w:rsidP="001F2372">
      <w:pPr>
        <w:pBdr>
          <w:top w:val="nil"/>
          <w:left w:val="nil"/>
          <w:bottom w:val="nil"/>
          <w:right w:val="nil"/>
          <w:between w:val="nil"/>
        </w:pBdr>
        <w:spacing w:after="0"/>
        <w:ind w:right="115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widowControl w:val="0"/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b/>
          <w:color w:val="000000"/>
          <w:sz w:val="24"/>
          <w:szCs w:val="24"/>
          <w:highlight w:val="white"/>
          <w:lang w:eastAsia="es-CO"/>
        </w:rPr>
        <w:t>Artículo 1. Objeto.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  <w:t xml:space="preserve"> La presente Ley tiene por objeto dictar medidas para la prevención, atención y erradicación de la ablación o mutilación genital femenina en todo el territori</w:t>
      </w:r>
      <w:r w:rsidR="00311769"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  <w:t>o nacional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  <w:t>, con el fin de garantizar la protección de los derechos humanos de las niñas</w:t>
      </w:r>
      <w:r w:rsidR="00311769"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  <w:t>, adolescentes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  <w:t xml:space="preserve"> y mujeres en Colombia con especial protección de los derechos de las niñas</w:t>
      </w:r>
      <w:r w:rsidR="00311769"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  <w:t>, adolescentes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  <w:t xml:space="preserve"> y mujeres indígenas de la Gran Nación </w:t>
      </w:r>
      <w:proofErr w:type="spellStart"/>
      <w:r w:rsidRPr="001F2372"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  <w:t>Emberá</w:t>
      </w:r>
      <w:proofErr w:type="spellEnd"/>
      <w:r w:rsidRPr="001F2372"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  <w:t xml:space="preserve"> desde un abordaje integral,</w:t>
      </w:r>
      <w:r w:rsidR="00311769"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  <w:t xml:space="preserve"> diferencial,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  <w:t xml:space="preserve"> </w:t>
      </w:r>
      <w:proofErr w:type="spellStart"/>
      <w:r w:rsidRPr="001F2372"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  <w:t>interseccional</w:t>
      </w:r>
      <w:proofErr w:type="spellEnd"/>
      <w:r w:rsidRPr="001F2372"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  <w:t>, intercultural y comunitario.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 </w:t>
      </w:r>
    </w:p>
    <w:p w:rsidR="001F2372" w:rsidRPr="001F2372" w:rsidRDefault="001F2372" w:rsidP="001F2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</w:p>
    <w:p w:rsidR="00210E09" w:rsidRDefault="00210E09" w:rsidP="001F2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  <w:t xml:space="preserve">Artículo 2. Definición. 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Para los efectos de la presente ley, se entiende por ablación o mutilación genital femenina como </w:t>
      </w:r>
      <w:r w:rsidR="00311769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el conjunto de prácticas nocivas que 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consiste</w:t>
      </w:r>
      <w:r w:rsidR="00311769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n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 en extirpar de forma parcial o total los órganos genitales femeninos externos, así como otras lesiones causadas a los órganos genitales femeninos sin justificación médica.</w:t>
      </w:r>
    </w:p>
    <w:p w:rsidR="001F2372" w:rsidRPr="001F2372" w:rsidRDefault="001F2372" w:rsidP="001F2372">
      <w:pPr>
        <w:spacing w:before="240" w:after="0" w:line="276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  <w:t>Parágrafo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. La ablación o mutilación genital femenina también es una práctica nociva, generadora de violencias contra las mujeres, que puede traer diferentes consecuencias como daños físicos, espirituales, psicológicos y sociales en la vida de las niñas y mujeres.</w:t>
      </w:r>
      <w:r w:rsidR="009F327E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 Así mismo, representan un obstáculo para la igualdad de género, al construir una forma directa de discriminación y una vulneración del derecho de las mujeres y niñas a vivir una vida libre de violencia.</w:t>
      </w: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</w:pPr>
    </w:p>
    <w:p w:rsidR="00210E09" w:rsidRDefault="00210E09" w:rsidP="001F2372">
      <w:pPr>
        <w:spacing w:after="0" w:line="240" w:lineRule="auto"/>
        <w:jc w:val="both"/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</w:pPr>
    </w:p>
    <w:p w:rsidR="00210E09" w:rsidRDefault="00210E09" w:rsidP="001F2372">
      <w:pPr>
        <w:spacing w:after="0" w:line="240" w:lineRule="auto"/>
        <w:jc w:val="both"/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  <w:t>Artículo 3. Política pública para la prevención, atención y erradicación de la ablación o mutilación genital femenina.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 Se autoriza al Gobierno Nacional en cabeza del Ministerio del Interior y el Grupo de Género y Diversidad o quien haga sus veces y a la Dirección de Asuntos Indígenas, ROM y Minorías o quien haga sus veces y en articulación con el Departamento Nacional de Planeación, el Instituto Colombiano de Bienestar Familiar (ICBF), </w:t>
      </w:r>
      <w:r w:rsidR="00762CE9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la Defensoría del Pueblo, 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el Ministerio de Salud y Protección Social,  Ministerio de Justicia, el Ministerio de la Igualdad o quien haga sus veces, y las demás instituciones u organizaciones competentes para que dentro de los doce (12) meses siguientes a la entrada en vigencia de la presente ley, diseñe e implemente la Política Pública Nacional para la prevención, atención y erradicación de la ablación o  mutilación genital femenina en Colombia.</w:t>
      </w: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La Política Pública deberá garantizar lo siguiente: </w:t>
      </w: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numPr>
          <w:ilvl w:val="0"/>
          <w:numId w:val="27"/>
        </w:num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El diseño e implementación de estrategias interculturales de concientización, acerca de las consecuencias de la ablación o mutilación genital femenina. </w:t>
      </w: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numPr>
          <w:ilvl w:val="0"/>
          <w:numId w:val="27"/>
        </w:num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Espacios de formación que comprendan los saberes ancestrales por medio de la sensibilización intercultural, con mujeres, hombres, niñas, niños y adolescentes, líderes, autoridades indígenas y comunidades, sobre la prevención y atención de violencias sexuales y reproductivas y prácticas nocivas, enfocado en el </w:t>
      </w:r>
      <w:r w:rsidR="00762CE9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reconocimiento y 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cuidado del cuerpo de las niñas, adolescentes y mujeres.</w:t>
      </w:r>
    </w:p>
    <w:p w:rsidR="001F2372" w:rsidRPr="001F2372" w:rsidRDefault="001F2372" w:rsidP="001F2372">
      <w:pPr>
        <w:spacing w:after="0" w:line="240" w:lineRule="auto"/>
        <w:ind w:left="720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numPr>
          <w:ilvl w:val="0"/>
          <w:numId w:val="27"/>
        </w:num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Crear el Comité Nacional para la Erradicación de la Mutilación Genital Femenina, el cual deberá contar con la participación de: Ministerio del Interior, Ministerio de Salud, representantes de instancias de autoridades </w:t>
      </w:r>
      <w:proofErr w:type="spellStart"/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índigenas</w:t>
      </w:r>
      <w:proofErr w:type="spellEnd"/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, representantes de mujeres de la Gran Nación </w:t>
      </w:r>
      <w:proofErr w:type="spellStart"/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Embera</w:t>
      </w:r>
      <w:proofErr w:type="spellEnd"/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, Instituto Colombiano de Bienestar Familiar, representante de EPS que tenga afiliados o población indígena en territorio donde se realice la práctica, representante de ente territorial que cuente con población indígena donde se realice la práctica.     </w:t>
      </w:r>
    </w:p>
    <w:p w:rsidR="001F2372" w:rsidRPr="001F2372" w:rsidRDefault="001F2372" w:rsidP="001F2372">
      <w:pPr>
        <w:spacing w:after="0" w:line="240" w:lineRule="auto"/>
        <w:ind w:left="720"/>
        <w:jc w:val="both"/>
        <w:rPr>
          <w:rFonts w:ascii="Century Gothic" w:eastAsia="Calibri" w:hAnsi="Century Gothic" w:cs="Calibri"/>
          <w:color w:val="000000"/>
          <w:sz w:val="24"/>
          <w:szCs w:val="24"/>
          <w:highlight w:val="yellow"/>
          <w:lang w:eastAsia="es-CO"/>
        </w:rPr>
      </w:pPr>
    </w:p>
    <w:p w:rsidR="001F2372" w:rsidRPr="001F2372" w:rsidRDefault="001F2372" w:rsidP="001F2372">
      <w:pPr>
        <w:numPr>
          <w:ilvl w:val="0"/>
          <w:numId w:val="27"/>
        </w:num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  <w:t xml:space="preserve">Plan institucional para la prevención de la ablación o mutilación genital femenina, estrategias de 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cambio de prácticas nocivas para la vida y la salud en el ejercicio de los derechos sexuales y reproductivos, así como acciones individuales y colectivas encaminadas a la identificación temprana de las niñas, las adolescentes y mujeres en riesgo de la realización de la práctica. </w:t>
      </w:r>
    </w:p>
    <w:p w:rsidR="001F2372" w:rsidRPr="001F2372" w:rsidRDefault="001F2372" w:rsidP="001F2372">
      <w:pPr>
        <w:spacing w:after="0" w:line="240" w:lineRule="auto"/>
        <w:ind w:left="720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numPr>
          <w:ilvl w:val="0"/>
          <w:numId w:val="27"/>
        </w:num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Mecanismos conjuntos con las autoridades indígenas y las mujeres de la Gran Nación </w:t>
      </w:r>
      <w:proofErr w:type="spellStart"/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Emberá</w:t>
      </w:r>
      <w:proofErr w:type="spellEnd"/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, de coordinación </w:t>
      </w:r>
      <w:proofErr w:type="spellStart"/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interjurisdiccional</w:t>
      </w:r>
      <w:proofErr w:type="spellEnd"/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 conforme a las órdenes constitucionales, para la construcción, transformación, y/o modificación de normas internas de las comunidades indígenas, que propendan por la prevención y erradicación de las prácticas nocivas a la salud y la vida de las niñas, adolescentes y mujeres.</w:t>
      </w: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El diseño, socialización e implementación de una ruta de atención diferencial, intercultural étnica, de derechos humanos y género para los casos de ablación o mutilación genital femenina. </w:t>
      </w:r>
    </w:p>
    <w:p w:rsidR="001F2372" w:rsidRPr="001F2372" w:rsidRDefault="001F2372" w:rsidP="001F23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Rutas de prevención, atención, protección y acompañamiento alrededor de la ablación o mutilación genital femenina, prácticas nocivas, desde las cosmovisiones culturales y espirituales de las niñas y mujeres indígenas y de los territorios en los que se realice la práctica. </w:t>
      </w:r>
    </w:p>
    <w:p w:rsidR="001F2372" w:rsidRPr="001F2372" w:rsidRDefault="001F2372" w:rsidP="001F2372">
      <w:pPr>
        <w:spacing w:after="0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Reportes trimestrales sobre las situaciones de riesgo, tendencias y posible aumento de casos de la ablación o mutilación genital femenina.</w:t>
      </w:r>
    </w:p>
    <w:p w:rsidR="001F2372" w:rsidRPr="001F2372" w:rsidRDefault="001F2372" w:rsidP="001F23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Capacitación integral para los profesionales de la salud en la prevención, identificación y atención de la ablación o mutilación genital femenina, especialmente en aquellos que laboren en Instituciones Prestadoras de Salud, públicas o privadas, circundantes a los territorios o poblaciones de comunidades indígenas donde se realice la práctica.</w:t>
      </w:r>
    </w:p>
    <w:p w:rsidR="001F2372" w:rsidRPr="001F2372" w:rsidRDefault="001F2372" w:rsidP="001F2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numPr>
          <w:ilvl w:val="0"/>
          <w:numId w:val="27"/>
        </w:num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Educación para los profesionales de la salud en formación, dentro del marco de la autonomía universitaria, enfocado a prevención, identificación y atención de la ablación o mutilación genital femenina. Especialmente, aquellos que se forman en Instituciones de Educación Superior, públicas o privadas, que se encuentran en los departamentos donde se identifiquen asentamientos de comunidades indígenas donde se realice la práctica.</w:t>
      </w: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numPr>
          <w:ilvl w:val="0"/>
          <w:numId w:val="27"/>
        </w:num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La Política Pública deberá contemplar el enfoque intercultural en la cual se incluye de manera transversal la traducción de la misma en las lenguas indígenas que se requiera. </w:t>
      </w:r>
    </w:p>
    <w:p w:rsidR="001F2372" w:rsidRPr="001F2372" w:rsidRDefault="001F2372" w:rsidP="001F2372">
      <w:pPr>
        <w:spacing w:after="0" w:line="240" w:lineRule="auto"/>
        <w:ind w:left="720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  <w:lastRenderedPageBreak/>
        <w:t xml:space="preserve">Parágrafo 1. 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El Ministerio del Interior, a través del Grupo de Género y Diversidad o quien haga sus veces y la Dirección de Asuntos Indígenas, ROM y Minorías  o quien haga sus veces en coordinación con el Ministerio de Salud y Protección Social, el Instituto Colombiano de Bienestar Familiar, Ministerio de Justicia y del Derecho y Ministerio de la Igualdad o quien haga sus veces, se encargará de la coordinación y de la secretaría técnica de los diversos espacios de concertación y podrán trabajar con organizaciones de la sociedad civil y organizaciones de cooperación internacional.</w:t>
      </w: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La Política Pública Nacional deberá ser concertada con las autoridades tradicionales indígenas de la familia lingüística </w:t>
      </w:r>
      <w:proofErr w:type="spellStart"/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Emberá</w:t>
      </w:r>
      <w:proofErr w:type="spellEnd"/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 y las instancias de coordinación </w:t>
      </w:r>
      <w:proofErr w:type="spellStart"/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interjurisdiccional</w:t>
      </w:r>
      <w:proofErr w:type="spellEnd"/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, garantizando una efectiva participación, construcción e implementación en los territorios en donde se realiza esta práctica. </w:t>
      </w: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  <w:t>Parágrafo 2.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 El Grupo de Género y Diversidad, o quien haga sus veces, y la Dirección de Asuntos Indígenas, ROM y Minorías, o quien haga sus veces, del Ministerio del Interior, deberán rendir informe de implementación de la Política Pública Nacional para la prevención, atención y erradicación de la ablación o mutilación genital femenina en Colombia al Comité Nacional para la erradicación de la Mutilación Genital Femenina mínimo una vez cada seis (6) meses.</w:t>
      </w: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</w:p>
    <w:p w:rsidR="00210E09" w:rsidRDefault="00210E09" w:rsidP="001F2372">
      <w:pPr>
        <w:spacing w:after="0" w:line="240" w:lineRule="auto"/>
        <w:jc w:val="both"/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  <w:t xml:space="preserve">Artículo 4. Protocolo de atención a casos de Ablación o Mutilación Genital Femenina en el Sistema de Salud. 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El Ministerio de Salud y Protección Social dentro de los doce (12) meses siguientes a la entrada en vigencia de esta Ley, deberá expedir y adoptar un protocolo obligatorio para el abordaje y la atención a niñas, adolescentes y mujeres. Este protocolo deberá incorporar como mínimo lo siguiente: </w:t>
      </w: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Lineamientos para la detección, diagnóstico, clasificación, tratamiento, remisión a servicios de salud mental y otros profesionales para garantizar una atención en salud integral y seguimiento de los casos de ablación o mutilación genital femenina. </w:t>
      </w:r>
    </w:p>
    <w:p w:rsidR="001F2372" w:rsidRPr="001F2372" w:rsidRDefault="001F2372" w:rsidP="001F237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El acceso a la atención y abordaje intercultural, a través de la medicina ancestral para la población indígena.</w:t>
      </w:r>
    </w:p>
    <w:p w:rsidR="001F2372" w:rsidRPr="001F2372" w:rsidRDefault="001F2372" w:rsidP="001F237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Capacitación gratuita y obligatoria para los profesionales de la salud sobre la atención de casos de ablación o mutilación genital femenina con especial énfasis en los profesionales de primer nivel de atención.</w:t>
      </w:r>
    </w:p>
    <w:p w:rsidR="001F2372" w:rsidRPr="001F2372" w:rsidRDefault="001F2372" w:rsidP="001F237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Implementación de notificación diferencial dentro del Sistema Nacional de Vigilancia en Salud Pública (SIVIGILA), donde se permita 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lastRenderedPageBreak/>
        <w:t>detallar los casos de mutilación o ablación genital femenina con: tipo de mutilación, si la práctica fue motivada por una creencia cultural u otro tipo de violencia, entre otros.</w:t>
      </w:r>
    </w:p>
    <w:p w:rsidR="001F2372" w:rsidRPr="001F2372" w:rsidRDefault="001F2372" w:rsidP="001F237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Mecanismos de seguimiento y vigilancia de la atención de los casos de ablación o mutilación genital femenina. </w:t>
      </w:r>
    </w:p>
    <w:p w:rsidR="001F2372" w:rsidRPr="001F2372" w:rsidRDefault="001F2372" w:rsidP="001F2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8"/>
        <w:jc w:val="both"/>
        <w:rPr>
          <w:rFonts w:ascii="Century Gothic" w:eastAsia="Calibri" w:hAnsi="Century Gothic" w:cs="Calibri"/>
          <w:color w:val="000000"/>
          <w:sz w:val="24"/>
          <w:szCs w:val="24"/>
          <w:shd w:val="clear" w:color="auto" w:fill="FF9900"/>
          <w:lang w:eastAsia="es-CO"/>
        </w:rPr>
      </w:pP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</w:pPr>
      <w:r w:rsidRPr="001F2372"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  <w:t xml:space="preserve">Parágrafo. 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Dentro de los mecanismos de seguimiento y vigilancia de atención a casos de ablación o mutilación genital femenina, que tengan lugar en territorios o población indígena, deb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  <w:t>erán ser partícipes la Subcomisión de Salud Indígena del Sistema Indígena de Salud Propio e Intercultural (SISPI), las autoridades o instancias de representación étnicas con garantía de participación de mujeres, las Entidades Promotoras de Salud o quien haga sus veces, que tenga afiliados en territorio o población indígena donde se realice la práctica, así como el respectivo ente territorial. Para los casos que involucren niñas o adolescentes menores de 18 años, deberá estar presente la seccional del Instituto Colombiano de Bienestar Familiar (ICBF) correspondiente.</w:t>
      </w: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</w:p>
    <w:p w:rsidR="00210E09" w:rsidRDefault="00210E09" w:rsidP="001F2372">
      <w:pPr>
        <w:spacing w:after="0" w:line="240" w:lineRule="auto"/>
        <w:jc w:val="both"/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</w:pPr>
      <w:r w:rsidRPr="001F2372"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  <w:t xml:space="preserve">Artículo 5. Contenidos pedagógicos. 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Dentro de los doce (12) meses siguientes a la entrada en vigencia de la presente ley el Ministerio del Interior, en coordinación con el Ministerio de Salud y Protección Social, el Ministerio de Justicia y del Derecho, el Ministerio de Igualdad o quien haga sus veces, el Instituto Colombiano de Bienestar Familiar (ICBF)</w:t>
      </w:r>
      <w:r w:rsidR="00AA243C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, la Defensoría del Pueblo,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 y las demás instituciones competentes, así como representantes de las organizaciones indígenas de los pueblos y territorios donde se realice la práctica y los entes territoriales, en el marco de los espacios de concertación, deberán diseñar una línea de acciones para la promoción de campañas de sensibilización y pedagogía en las comunidades indígenas y en los territorios en los que se realice la práctica en materia de protección de los derechos humanos de las niñas, adolescentes y mujeres con énfasis en la garantía de una vida libre de violenci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  <w:t>as.</w:t>
      </w:r>
    </w:p>
    <w:p w:rsidR="001F2372" w:rsidRPr="001F2372" w:rsidRDefault="001F2372" w:rsidP="001F2372">
      <w:pPr>
        <w:spacing w:before="240" w:after="24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</w:pPr>
      <w:r w:rsidRPr="001F2372"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  <w:t>El Ministerio de Educación Nacional promoverá la incorporación de los contenidos de la campaña en el Sistema Nacional de Convivencia Escolar y en las Escuelas para Padres y Madres de Familia.</w:t>
      </w:r>
    </w:p>
    <w:p w:rsidR="001F2372" w:rsidRPr="001F2372" w:rsidRDefault="001F2372" w:rsidP="001F2372">
      <w:pPr>
        <w:spacing w:before="240" w:after="24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</w:pPr>
      <w:r w:rsidRPr="001F2372">
        <w:rPr>
          <w:rFonts w:ascii="Century Gothic" w:eastAsia="Calibri" w:hAnsi="Century Gothic" w:cs="Calibri"/>
          <w:b/>
          <w:color w:val="000000"/>
          <w:sz w:val="24"/>
          <w:szCs w:val="24"/>
          <w:highlight w:val="white"/>
          <w:lang w:eastAsia="es-CO"/>
        </w:rPr>
        <w:t>Parágrafo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  <w:t xml:space="preserve">. El Sistema de Medios Públicos Radio de Televisión Nacional de Colombia (RTVC) tendrá a cargo la producción 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y emisión trimestral de una serie de productos audiovisuales que contribuyan a difundir los contenidos de la presente ley, relacionados con la prevención, atención y las consecuencias negativas de la ablación o mutilación genital femenina. 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lastRenderedPageBreak/>
        <w:t>Asimismo, se desarrollará una serie de campañas digitales y BTL para la prevención en instituciones educativas en todo el territorio nacional. T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  <w:t>odos los contenidos que se desarrollen sobre la presente ley deberán ser replicados periódicamente por las entidades del orden nacional y territorial.</w:t>
      </w:r>
    </w:p>
    <w:p w:rsidR="00210E09" w:rsidRDefault="00210E09" w:rsidP="001F2372">
      <w:pPr>
        <w:spacing w:after="0" w:line="240" w:lineRule="auto"/>
        <w:jc w:val="both"/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  <w:t xml:space="preserve">Artículo 6. Medidas de atención y prevención. 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Las niñas, adolescentes y mujeres víctimas de ablación o mutilación genital femenina tendrán acceso a las medidas de atención y prevención de que trata la Ley 1257 de 2008.</w:t>
      </w: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</w:p>
    <w:p w:rsidR="00210E09" w:rsidRDefault="00210E09" w:rsidP="001F2372">
      <w:pPr>
        <w:spacing w:after="0" w:line="240" w:lineRule="auto"/>
        <w:jc w:val="both"/>
        <w:rPr>
          <w:rFonts w:ascii="Century Gothic" w:eastAsia="Calibri" w:hAnsi="Century Gothic" w:cs="Calibri"/>
          <w:b/>
          <w:color w:val="000000"/>
          <w:sz w:val="24"/>
          <w:szCs w:val="24"/>
          <w:highlight w:val="white"/>
          <w:lang w:eastAsia="es-CO"/>
        </w:rPr>
      </w:pP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</w:pPr>
      <w:r w:rsidRPr="001F2372">
        <w:rPr>
          <w:rFonts w:ascii="Century Gothic" w:eastAsia="Calibri" w:hAnsi="Century Gothic" w:cs="Calibri"/>
          <w:b/>
          <w:color w:val="000000"/>
          <w:sz w:val="24"/>
          <w:szCs w:val="24"/>
          <w:highlight w:val="white"/>
          <w:lang w:eastAsia="es-CO"/>
        </w:rPr>
        <w:t>Artículo 7. Canales de atención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  <w:t xml:space="preserve">. Se autoriza al Gobierno Nacional, 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en cabeza del Ministerio de Justicia,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  <w:t xml:space="preserve"> para que en un término de doce (12) meses articule los canales de atención de mujeres víctimas de violencia, a nivel nacional y territorial, para que reciban los casos o alertas de ablación o mutilación genital femenina, con el fin de garantizar la atención integral. Esta articulación de canales deberá realizarse en el marco de la coordinación </w:t>
      </w:r>
      <w:proofErr w:type="spellStart"/>
      <w:r w:rsidRPr="001F2372"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  <w:t>interjurisdiccional</w:t>
      </w:r>
      <w:proofErr w:type="spellEnd"/>
      <w:r w:rsidRPr="001F2372">
        <w:rPr>
          <w:rFonts w:ascii="Century Gothic" w:eastAsia="Calibri" w:hAnsi="Century Gothic" w:cs="Calibri"/>
          <w:color w:val="000000"/>
          <w:sz w:val="24"/>
          <w:szCs w:val="24"/>
          <w:highlight w:val="white"/>
          <w:lang w:eastAsia="es-CO"/>
        </w:rPr>
        <w:t>.</w:t>
      </w: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highlight w:val="cyan"/>
          <w:lang w:eastAsia="es-CO"/>
        </w:rPr>
      </w:pPr>
    </w:p>
    <w:p w:rsidR="00210E09" w:rsidRDefault="00210E09" w:rsidP="001F2372">
      <w:pPr>
        <w:spacing w:after="0" w:line="240" w:lineRule="auto"/>
        <w:jc w:val="both"/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  <w:t xml:space="preserve">Artículo 8. Sistema De Información. 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En concordancia con lo establecido en el artículo 9 numeral 9 de la Ley 1257 de 2008, artículo 12 de la Ley 1761 de 2015 y artículo 31 de la Ley 1719 de 2014, Ministerio de Salud y Protección Social y el Instituto Colombiano de Bienestar Familiar, en el plazo de doce (12) meses desde la entrada en vigencia de la presente ley, deberán diseñar, adaptar, implementar y alimentar un sistema de información articulado para el registro de casos de ablación o mutilación genital femenina que permita recolectar, procesar, registrar, analizar, publicar y difundir información periódica sobre esta práctica.</w:t>
      </w: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</w:p>
    <w:p w:rsidR="00210E09" w:rsidRDefault="00210E09" w:rsidP="001F2372">
      <w:pPr>
        <w:spacing w:after="0" w:line="240" w:lineRule="auto"/>
        <w:jc w:val="both"/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  <w:t>Artículo 9.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 </w:t>
      </w:r>
      <w:r w:rsidRPr="001F2372"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  <w:t xml:space="preserve"> Día de Tolerancia Cero con la Ablación o Mutilación Genital Femenina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. Establézcase el 6 de febrero como el día nacional en donde se conmemora la Tolerancia Cero con la Ablación o Mutilación Genital Femenina, con el propósito de avanzar en la sensibilización, </w:t>
      </w:r>
      <w:proofErr w:type="spellStart"/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visibilización</w:t>
      </w:r>
      <w:proofErr w:type="spellEnd"/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>, concientización de esta práctica en todo el territorio nacional. Para ello, autorícese a las entidades del orden nacional, departamental y municipal, sector central y descentralizado a diseñar y desarrollar programas, actividades y eventos dirigidos a tales propósitos.</w:t>
      </w: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</w:pPr>
    </w:p>
    <w:p w:rsidR="00210E09" w:rsidRDefault="00210E09" w:rsidP="001F2372">
      <w:pPr>
        <w:spacing w:after="0" w:line="240" w:lineRule="auto"/>
        <w:jc w:val="both"/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</w:pPr>
    </w:p>
    <w:p w:rsidR="00210E09" w:rsidRDefault="00210E09" w:rsidP="001F2372">
      <w:pPr>
        <w:spacing w:after="0" w:line="240" w:lineRule="auto"/>
        <w:jc w:val="both"/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</w:pPr>
    </w:p>
    <w:p w:rsidR="00210E09" w:rsidRDefault="00210E09" w:rsidP="001F2372">
      <w:pPr>
        <w:spacing w:after="0" w:line="240" w:lineRule="auto"/>
        <w:jc w:val="both"/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</w:pPr>
    </w:p>
    <w:p w:rsidR="001F2372" w:rsidRPr="001F2372" w:rsidRDefault="001F2372" w:rsidP="001F2372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</w:pPr>
      <w:r w:rsidRPr="001F2372"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  <w:t>Artículo 10.</w:t>
      </w:r>
      <w:r w:rsidRPr="001F2372">
        <w:rPr>
          <w:rFonts w:ascii="Century Gothic" w:eastAsia="Calibri" w:hAnsi="Century Gothic" w:cs="Calibri"/>
          <w:color w:val="000000"/>
          <w:sz w:val="24"/>
          <w:szCs w:val="24"/>
          <w:lang w:eastAsia="es-CO"/>
        </w:rPr>
        <w:t xml:space="preserve"> La presente ley rige a partir de su sanción, promulgación y publicación en el Diario Oficial. </w:t>
      </w:r>
    </w:p>
    <w:p w:rsidR="001F2372" w:rsidRPr="001F2372" w:rsidRDefault="001F2372" w:rsidP="001F23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Century Gothic" w:eastAsia="Calibri" w:hAnsi="Century Gothic" w:cs="Calibri"/>
          <w:b/>
          <w:color w:val="000000"/>
          <w:sz w:val="24"/>
          <w:szCs w:val="24"/>
          <w:lang w:eastAsia="es-CO"/>
        </w:rPr>
      </w:pPr>
    </w:p>
    <w:p w:rsidR="00D25E1A" w:rsidRDefault="00D25E1A" w:rsidP="006E3F60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  <w:lang w:bidi="es-CO"/>
        </w:rPr>
      </w:pPr>
    </w:p>
    <w:p w:rsidR="00210E09" w:rsidRPr="001F2372" w:rsidRDefault="00210E09" w:rsidP="006E3F60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  <w:lang w:bidi="es-CO"/>
        </w:rPr>
      </w:pPr>
    </w:p>
    <w:p w:rsidR="00C7658D" w:rsidRPr="001F2372" w:rsidRDefault="00210E09" w:rsidP="00C7658D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Arial"/>
          <w:sz w:val="24"/>
          <w:szCs w:val="24"/>
          <w:highlight w:val="white"/>
        </w:rPr>
      </w:pPr>
      <w:r>
        <w:rPr>
          <w:rFonts w:ascii="Century Gothic" w:eastAsia="Century Gothic" w:hAnsi="Century Gothic" w:cs="Arial"/>
          <w:sz w:val="24"/>
          <w:szCs w:val="24"/>
          <w:highlight w:val="white"/>
        </w:rPr>
        <w:t>E</w:t>
      </w:r>
      <w:r w:rsidR="00C7658D" w:rsidRPr="001F2372">
        <w:rPr>
          <w:rFonts w:ascii="Century Gothic" w:eastAsia="Century Gothic" w:hAnsi="Century Gothic" w:cs="Arial"/>
          <w:sz w:val="24"/>
          <w:szCs w:val="24"/>
          <w:highlight w:val="white"/>
        </w:rPr>
        <w:t xml:space="preserve">n los anteriores términos fue aprobado </w:t>
      </w:r>
      <w:r w:rsidR="00D06595" w:rsidRPr="001F2372">
        <w:rPr>
          <w:rFonts w:ascii="Century Gothic" w:eastAsia="Century Gothic" w:hAnsi="Century Gothic" w:cs="Arial"/>
          <w:sz w:val="24"/>
          <w:szCs w:val="24"/>
          <w:highlight w:val="white"/>
        </w:rPr>
        <w:t>co</w:t>
      </w:r>
      <w:r w:rsidR="00C7658D" w:rsidRPr="001F2372">
        <w:rPr>
          <w:rFonts w:ascii="Century Gothic" w:eastAsia="Century Gothic" w:hAnsi="Century Gothic" w:cs="Arial"/>
          <w:sz w:val="24"/>
          <w:szCs w:val="24"/>
          <w:highlight w:val="white"/>
        </w:rPr>
        <w:t xml:space="preserve">n modificaciones en primer debate el presente Proyecto de Ley, según consta en el Acta No. </w:t>
      </w:r>
      <w:r w:rsidR="006E3F60" w:rsidRPr="001F2372">
        <w:rPr>
          <w:rFonts w:ascii="Century Gothic" w:eastAsia="Century Gothic" w:hAnsi="Century Gothic" w:cs="Arial"/>
          <w:sz w:val="24"/>
          <w:szCs w:val="24"/>
          <w:highlight w:val="white"/>
        </w:rPr>
        <w:t>32 de sesión del 26</w:t>
      </w:r>
      <w:r w:rsidR="00C7658D" w:rsidRPr="001F2372">
        <w:rPr>
          <w:rFonts w:ascii="Century Gothic" w:eastAsia="Century Gothic" w:hAnsi="Century Gothic" w:cs="Arial"/>
          <w:sz w:val="24"/>
          <w:szCs w:val="24"/>
          <w:highlight w:val="white"/>
        </w:rPr>
        <w:t xml:space="preserve"> de </w:t>
      </w:r>
      <w:r w:rsidR="008C5463" w:rsidRPr="001F2372">
        <w:rPr>
          <w:rFonts w:ascii="Century Gothic" w:eastAsia="Century Gothic" w:hAnsi="Century Gothic" w:cs="Arial"/>
          <w:sz w:val="24"/>
          <w:szCs w:val="24"/>
          <w:highlight w:val="white"/>
        </w:rPr>
        <w:t xml:space="preserve">febrero </w:t>
      </w:r>
      <w:r w:rsidR="00C7658D" w:rsidRPr="001F2372">
        <w:rPr>
          <w:rFonts w:ascii="Century Gothic" w:eastAsia="Century Gothic" w:hAnsi="Century Gothic" w:cs="Arial"/>
          <w:sz w:val="24"/>
          <w:szCs w:val="24"/>
          <w:highlight w:val="white"/>
        </w:rPr>
        <w:t>de 202</w:t>
      </w:r>
      <w:r w:rsidR="008C5463" w:rsidRPr="001F2372">
        <w:rPr>
          <w:rFonts w:ascii="Century Gothic" w:eastAsia="Century Gothic" w:hAnsi="Century Gothic" w:cs="Arial"/>
          <w:sz w:val="24"/>
          <w:szCs w:val="24"/>
          <w:highlight w:val="white"/>
        </w:rPr>
        <w:t>5</w:t>
      </w:r>
      <w:r w:rsidR="00C7658D" w:rsidRPr="001F2372">
        <w:rPr>
          <w:rFonts w:ascii="Century Gothic" w:eastAsia="Century Gothic" w:hAnsi="Century Gothic" w:cs="Arial"/>
          <w:sz w:val="24"/>
          <w:szCs w:val="24"/>
          <w:highlight w:val="white"/>
        </w:rPr>
        <w:t>. Así mismo fue anunc</w:t>
      </w:r>
      <w:r w:rsidR="006E3F60" w:rsidRPr="001F2372">
        <w:rPr>
          <w:rFonts w:ascii="Century Gothic" w:eastAsia="Century Gothic" w:hAnsi="Century Gothic" w:cs="Arial"/>
          <w:sz w:val="24"/>
          <w:szCs w:val="24"/>
          <w:highlight w:val="white"/>
        </w:rPr>
        <w:t>iado entre otras fechas el día 25</w:t>
      </w:r>
      <w:r w:rsidR="00C7658D" w:rsidRPr="001F2372">
        <w:rPr>
          <w:rFonts w:ascii="Century Gothic" w:eastAsia="Century Gothic" w:hAnsi="Century Gothic" w:cs="Arial"/>
          <w:sz w:val="24"/>
          <w:szCs w:val="24"/>
          <w:highlight w:val="white"/>
        </w:rPr>
        <w:t xml:space="preserve"> de </w:t>
      </w:r>
      <w:r w:rsidR="008C5463" w:rsidRPr="001F2372">
        <w:rPr>
          <w:rFonts w:ascii="Century Gothic" w:eastAsia="Century Gothic" w:hAnsi="Century Gothic" w:cs="Arial"/>
          <w:sz w:val="24"/>
          <w:szCs w:val="24"/>
          <w:highlight w:val="white"/>
        </w:rPr>
        <w:t xml:space="preserve">febrero </w:t>
      </w:r>
      <w:r w:rsidR="00C7658D" w:rsidRPr="001F2372">
        <w:rPr>
          <w:rFonts w:ascii="Century Gothic" w:eastAsia="Century Gothic" w:hAnsi="Century Gothic" w:cs="Arial"/>
          <w:sz w:val="24"/>
          <w:szCs w:val="24"/>
          <w:highlight w:val="white"/>
        </w:rPr>
        <w:t>de 202</w:t>
      </w:r>
      <w:r w:rsidR="008C5463" w:rsidRPr="001F2372">
        <w:rPr>
          <w:rFonts w:ascii="Century Gothic" w:eastAsia="Century Gothic" w:hAnsi="Century Gothic" w:cs="Arial"/>
          <w:sz w:val="24"/>
          <w:szCs w:val="24"/>
          <w:highlight w:val="white"/>
        </w:rPr>
        <w:t>5</w:t>
      </w:r>
      <w:r w:rsidR="00C7658D" w:rsidRPr="001F2372">
        <w:rPr>
          <w:rFonts w:ascii="Century Gothic" w:eastAsia="Century Gothic" w:hAnsi="Century Gothic" w:cs="Arial"/>
          <w:sz w:val="24"/>
          <w:szCs w:val="24"/>
          <w:highlight w:val="white"/>
        </w:rPr>
        <w:t xml:space="preserve">, según consta en el Acta </w:t>
      </w:r>
      <w:r w:rsidR="006E3F60" w:rsidRPr="001F2372">
        <w:rPr>
          <w:rFonts w:ascii="Century Gothic" w:eastAsia="Century Gothic" w:hAnsi="Century Gothic" w:cs="Arial"/>
          <w:sz w:val="24"/>
          <w:szCs w:val="24"/>
          <w:highlight w:val="white"/>
        </w:rPr>
        <w:t>31</w:t>
      </w:r>
      <w:r w:rsidR="00C7658D" w:rsidRPr="001F2372">
        <w:rPr>
          <w:rFonts w:ascii="Century Gothic" w:eastAsia="Century Gothic" w:hAnsi="Century Gothic" w:cs="Arial"/>
          <w:sz w:val="24"/>
          <w:szCs w:val="24"/>
          <w:highlight w:val="white"/>
        </w:rPr>
        <w:t xml:space="preserve"> de Sesión de esa misma fecha.</w:t>
      </w:r>
    </w:p>
    <w:p w:rsidR="00E90D44" w:rsidRPr="001F2372" w:rsidRDefault="00E90D44" w:rsidP="00C7658D">
      <w:pPr>
        <w:tabs>
          <w:tab w:val="left" w:pos="4678"/>
          <w:tab w:val="left" w:pos="5103"/>
        </w:tabs>
        <w:spacing w:after="0" w:line="240" w:lineRule="auto"/>
        <w:rPr>
          <w:rFonts w:ascii="Century Gothic" w:eastAsia="Century Gothic" w:hAnsi="Century Gothic" w:cs="Arial"/>
          <w:b/>
          <w:sz w:val="24"/>
          <w:szCs w:val="24"/>
          <w:highlight w:val="white"/>
        </w:rPr>
      </w:pPr>
    </w:p>
    <w:p w:rsidR="008C5463" w:rsidRDefault="008C5463" w:rsidP="00C7658D">
      <w:pPr>
        <w:tabs>
          <w:tab w:val="left" w:pos="4678"/>
          <w:tab w:val="left" w:pos="5103"/>
        </w:tabs>
        <w:spacing w:after="0" w:line="240" w:lineRule="auto"/>
        <w:rPr>
          <w:rFonts w:ascii="Century Gothic" w:eastAsia="Century Gothic" w:hAnsi="Century Gothic" w:cs="Arial"/>
          <w:b/>
          <w:sz w:val="24"/>
          <w:szCs w:val="24"/>
          <w:highlight w:val="white"/>
        </w:rPr>
      </w:pPr>
    </w:p>
    <w:p w:rsidR="00311769" w:rsidRPr="00147260" w:rsidRDefault="00311769" w:rsidP="00C7658D">
      <w:pPr>
        <w:tabs>
          <w:tab w:val="left" w:pos="4678"/>
          <w:tab w:val="left" w:pos="5103"/>
        </w:tabs>
        <w:spacing w:after="0" w:line="240" w:lineRule="auto"/>
        <w:rPr>
          <w:rFonts w:ascii="Century Gothic" w:eastAsia="Century Gothic" w:hAnsi="Century Gothic" w:cs="Arial"/>
          <w:b/>
          <w:highlight w:val="white"/>
        </w:rPr>
      </w:pPr>
    </w:p>
    <w:p w:rsidR="00F418EE" w:rsidRPr="00147260" w:rsidRDefault="00F418EE" w:rsidP="00C7658D">
      <w:pPr>
        <w:tabs>
          <w:tab w:val="left" w:pos="4678"/>
          <w:tab w:val="left" w:pos="5103"/>
        </w:tabs>
        <w:spacing w:after="0" w:line="240" w:lineRule="auto"/>
        <w:rPr>
          <w:rFonts w:ascii="Century Gothic" w:eastAsia="Century Gothic" w:hAnsi="Century Gothic" w:cs="Arial"/>
          <w:b/>
          <w:highlight w:val="white"/>
        </w:rPr>
      </w:pPr>
    </w:p>
    <w:p w:rsidR="00C7658D" w:rsidRPr="00147260" w:rsidRDefault="006E3F60" w:rsidP="00C7658D">
      <w:pPr>
        <w:tabs>
          <w:tab w:val="left" w:pos="4678"/>
          <w:tab w:val="left" w:pos="5103"/>
        </w:tabs>
        <w:spacing w:after="0" w:line="240" w:lineRule="auto"/>
        <w:rPr>
          <w:rFonts w:ascii="Century Gothic" w:eastAsia="Century Gothic" w:hAnsi="Century Gothic" w:cs="Arial"/>
          <w:b/>
          <w:highlight w:val="white"/>
        </w:rPr>
      </w:pPr>
      <w:r w:rsidRPr="00147260">
        <w:rPr>
          <w:rFonts w:ascii="Century Gothic" w:eastAsia="Century Gothic" w:hAnsi="Century Gothic" w:cs="Arial"/>
          <w:b/>
          <w:highlight w:val="white"/>
        </w:rPr>
        <w:t>JENNIFER D. PEDRAZA SANDOVAL</w:t>
      </w:r>
      <w:r w:rsidR="00147260">
        <w:rPr>
          <w:rFonts w:ascii="Century Gothic" w:eastAsia="Century Gothic" w:hAnsi="Century Gothic" w:cs="Arial"/>
          <w:b/>
          <w:highlight w:val="white"/>
        </w:rPr>
        <w:t xml:space="preserve">            </w:t>
      </w:r>
      <w:bookmarkStart w:id="0" w:name="_GoBack"/>
      <w:bookmarkEnd w:id="0"/>
      <w:r w:rsidR="00147260" w:rsidRPr="00147260">
        <w:rPr>
          <w:rFonts w:ascii="Century Gothic" w:eastAsia="Century Gothic" w:hAnsi="Century Gothic" w:cs="Arial"/>
          <w:b/>
          <w:highlight w:val="white"/>
        </w:rPr>
        <w:t>MARELEN CASTILLO TORRES</w:t>
      </w:r>
    </w:p>
    <w:p w:rsidR="00C7658D" w:rsidRPr="00147260" w:rsidRDefault="006E3F60" w:rsidP="00C7658D">
      <w:pPr>
        <w:tabs>
          <w:tab w:val="left" w:pos="4678"/>
          <w:tab w:val="left" w:pos="5103"/>
        </w:tabs>
        <w:spacing w:after="0" w:line="240" w:lineRule="auto"/>
        <w:rPr>
          <w:rFonts w:ascii="Century Gothic" w:eastAsia="Century Gothic" w:hAnsi="Century Gothic" w:cs="Arial"/>
          <w:highlight w:val="white"/>
        </w:rPr>
      </w:pPr>
      <w:r w:rsidRPr="00147260">
        <w:rPr>
          <w:rFonts w:ascii="Century Gothic" w:eastAsia="Century Gothic" w:hAnsi="Century Gothic" w:cs="Arial"/>
          <w:highlight w:val="white"/>
        </w:rPr>
        <w:t>Ponente Coordinadora</w:t>
      </w:r>
      <w:r w:rsidR="00147260">
        <w:rPr>
          <w:rFonts w:ascii="Century Gothic" w:eastAsia="Century Gothic" w:hAnsi="Century Gothic" w:cs="Arial"/>
          <w:highlight w:val="white"/>
        </w:rPr>
        <w:t xml:space="preserve">                             </w:t>
      </w:r>
      <w:r w:rsidR="00147260" w:rsidRPr="00147260">
        <w:rPr>
          <w:rFonts w:ascii="Century Gothic" w:eastAsia="Century Gothic" w:hAnsi="Century Gothic" w:cs="Arial"/>
          <w:highlight w:val="white"/>
        </w:rPr>
        <w:t>Ponente Coordinadora</w:t>
      </w:r>
    </w:p>
    <w:p w:rsidR="00C7658D" w:rsidRPr="00147260" w:rsidRDefault="00C7658D" w:rsidP="00C7658D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Century Gothic" w:eastAsia="Century Gothic" w:hAnsi="Century Gothic" w:cs="Arial"/>
          <w:highlight w:val="white"/>
        </w:rPr>
      </w:pPr>
    </w:p>
    <w:p w:rsidR="00F418EE" w:rsidRPr="00147260" w:rsidRDefault="00F418EE" w:rsidP="00C7658D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Century Gothic" w:eastAsia="Century Gothic" w:hAnsi="Century Gothic" w:cs="Arial"/>
          <w:highlight w:val="white"/>
        </w:rPr>
      </w:pPr>
    </w:p>
    <w:p w:rsidR="006E3F60" w:rsidRPr="00147260" w:rsidRDefault="006E3F60" w:rsidP="00C7658D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Century Gothic" w:eastAsia="Century Gothic" w:hAnsi="Century Gothic" w:cs="Arial"/>
          <w:highlight w:val="white"/>
        </w:rPr>
      </w:pPr>
    </w:p>
    <w:p w:rsidR="00F418EE" w:rsidRPr="00147260" w:rsidRDefault="00F418EE" w:rsidP="00C7658D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Century Gothic" w:eastAsia="Century Gothic" w:hAnsi="Century Gothic" w:cs="Arial"/>
          <w:highlight w:val="white"/>
        </w:rPr>
      </w:pPr>
    </w:p>
    <w:p w:rsidR="00C7658D" w:rsidRPr="00147260" w:rsidRDefault="00147260" w:rsidP="00147260">
      <w:pPr>
        <w:tabs>
          <w:tab w:val="left" w:pos="4678"/>
          <w:tab w:val="left" w:pos="5103"/>
        </w:tabs>
        <w:spacing w:after="0" w:line="240" w:lineRule="auto"/>
        <w:rPr>
          <w:rFonts w:ascii="Century Gothic" w:eastAsia="Century Gothic" w:hAnsi="Century Gothic" w:cs="Arial"/>
          <w:b/>
        </w:rPr>
      </w:pPr>
      <w:r w:rsidRPr="00147260">
        <w:rPr>
          <w:rFonts w:ascii="Century Gothic" w:eastAsia="Century Gothic" w:hAnsi="Century Gothic" w:cs="Arial"/>
          <w:b/>
          <w:highlight w:val="white"/>
        </w:rPr>
        <w:t>ANA PAOLA GARCÍA SOTO</w:t>
      </w:r>
      <w:r w:rsidRPr="00147260">
        <w:rPr>
          <w:rFonts w:ascii="Century Gothic" w:eastAsia="Century Gothic" w:hAnsi="Century Gothic" w:cs="Arial"/>
          <w:b/>
        </w:rPr>
        <w:t xml:space="preserve">                       </w:t>
      </w:r>
      <w:r w:rsidR="00C7658D" w:rsidRPr="00147260">
        <w:rPr>
          <w:rFonts w:ascii="Century Gothic" w:eastAsia="Century Gothic" w:hAnsi="Century Gothic" w:cs="Arial"/>
          <w:b/>
        </w:rPr>
        <w:t>AMPARO YANETH CALDERON PERDOMO</w:t>
      </w:r>
    </w:p>
    <w:p w:rsidR="008C485F" w:rsidRPr="00147260" w:rsidRDefault="00147260" w:rsidP="00147260">
      <w:pPr>
        <w:tabs>
          <w:tab w:val="left" w:pos="4678"/>
          <w:tab w:val="left" w:pos="5103"/>
        </w:tabs>
        <w:spacing w:after="0" w:line="240" w:lineRule="auto"/>
        <w:rPr>
          <w:rFonts w:ascii="Century Gothic" w:eastAsia="Arial Narrow" w:hAnsi="Century Gothic" w:cs="Arial"/>
          <w:color w:val="000000"/>
        </w:rPr>
      </w:pPr>
      <w:r>
        <w:rPr>
          <w:rFonts w:ascii="Century Gothic" w:eastAsia="Century Gothic" w:hAnsi="Century Gothic" w:cs="Arial"/>
          <w:highlight w:val="white"/>
        </w:rPr>
        <w:t>Presidenta</w:t>
      </w:r>
      <w:r w:rsidR="00C7658D" w:rsidRPr="00147260">
        <w:rPr>
          <w:rFonts w:ascii="Century Gothic" w:eastAsia="Century Gothic" w:hAnsi="Century Gothic" w:cs="Arial"/>
          <w:highlight w:val="white"/>
        </w:rPr>
        <w:t xml:space="preserve">                                                    Secretaria</w:t>
      </w:r>
    </w:p>
    <w:sectPr w:rsidR="008C485F" w:rsidRPr="00147260" w:rsidSect="00E66A69">
      <w:headerReference w:type="default" r:id="rId8"/>
      <w:footerReference w:type="default" r:id="rId9"/>
      <w:pgSz w:w="12240" w:h="15840"/>
      <w:pgMar w:top="709" w:right="1701" w:bottom="1417" w:left="1701" w:header="708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26A" w:rsidRDefault="00B1126A" w:rsidP="002B77F9">
      <w:pPr>
        <w:spacing w:after="0" w:line="240" w:lineRule="auto"/>
      </w:pPr>
      <w:r>
        <w:separator/>
      </w:r>
    </w:p>
  </w:endnote>
  <w:endnote w:type="continuationSeparator" w:id="0">
    <w:p w:rsidR="00B1126A" w:rsidRDefault="00B1126A" w:rsidP="002B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670197"/>
      <w:docPartObj>
        <w:docPartGallery w:val="Page Numbers (Bottom of Page)"/>
        <w:docPartUnique/>
      </w:docPartObj>
    </w:sdtPr>
    <w:sdtEndPr/>
    <w:sdtContent>
      <w:p w:rsidR="007D2B23" w:rsidRPr="00F31B05" w:rsidRDefault="007D2B23" w:rsidP="00C72FDB">
        <w:pPr>
          <w:pStyle w:val="Piedepgina"/>
          <w:jc w:val="center"/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</w:pPr>
        <w:r w:rsidRPr="00F31B05"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  <w:t>Comisión Primera de la H. Cámara de Representantes</w:t>
        </w:r>
      </w:p>
      <w:p w:rsidR="007D2B23" w:rsidRPr="00CA7BFC" w:rsidRDefault="007D2B23" w:rsidP="00C72FDB">
        <w:pPr>
          <w:tabs>
            <w:tab w:val="center" w:pos="4252"/>
            <w:tab w:val="right" w:pos="8504"/>
          </w:tabs>
          <w:spacing w:after="0" w:line="240" w:lineRule="auto"/>
          <w:jc w:val="center"/>
          <w:rPr>
            <w:rFonts w:ascii="Aparajita" w:eastAsia="Times New Roman" w:hAnsi="Aparajita" w:cs="Aparajita"/>
            <w:color w:val="808080" w:themeColor="background1" w:themeShade="80"/>
            <w:szCs w:val="24"/>
            <w:u w:val="single"/>
            <w:lang w:val="es-ES" w:eastAsia="es-ES"/>
          </w:rPr>
        </w:pPr>
        <w:r w:rsidRPr="00F31B05"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  <w:t>Carrera 7 N° 8 – 68, oficina 238 B</w:t>
        </w:r>
        <w:r w:rsidRPr="00CA7BFC">
          <w:rPr>
            <w:rFonts w:ascii="Aparajita" w:eastAsia="Times New Roman" w:hAnsi="Aparajita" w:cs="Aparajita"/>
            <w:color w:val="808080" w:themeColor="background1" w:themeShade="80"/>
            <w:szCs w:val="24"/>
            <w:lang w:val="es-ES" w:eastAsia="es-ES"/>
          </w:rPr>
          <w:t xml:space="preserve">  </w:t>
        </w:r>
        <w:hyperlink r:id="rId1" w:history="1">
          <w:r w:rsidRPr="00CA7BFC">
            <w:rPr>
              <w:rFonts w:ascii="Aparajita" w:eastAsia="Times New Roman" w:hAnsi="Aparajita" w:cs="Aparajita"/>
              <w:color w:val="023160" w:themeColor="hyperlink" w:themeShade="80"/>
              <w:szCs w:val="24"/>
              <w:u w:val="single"/>
              <w:lang w:val="es-ES" w:eastAsia="es-ES"/>
            </w:rPr>
            <w:t>www.camara.gov.co</w:t>
          </w:r>
        </w:hyperlink>
      </w:p>
      <w:p w:rsidR="007D2B23" w:rsidRDefault="007D2B23" w:rsidP="00C72FDB">
        <w:pPr>
          <w:tabs>
            <w:tab w:val="center" w:pos="4419"/>
            <w:tab w:val="right" w:pos="8838"/>
          </w:tabs>
          <w:spacing w:after="0" w:line="240" w:lineRule="auto"/>
          <w:jc w:val="center"/>
        </w:pPr>
        <w:r w:rsidRPr="00F31B05"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  <w:t>PBX: 3904050 – Ext. 4289 - 4288  Email:</w:t>
        </w:r>
        <w:r w:rsidRPr="00CA7BFC">
          <w:rPr>
            <w:rFonts w:ascii="Aparajita" w:eastAsia="Times New Roman" w:hAnsi="Aparajita" w:cs="Aparajita"/>
            <w:color w:val="808080" w:themeColor="background1" w:themeShade="80"/>
            <w:szCs w:val="24"/>
            <w:lang w:val="en-US" w:eastAsia="es-ES"/>
          </w:rPr>
          <w:t xml:space="preserve"> </w:t>
        </w:r>
        <w:hyperlink r:id="rId2" w:history="1">
          <w:r w:rsidRPr="00CA7BFC">
            <w:rPr>
              <w:rFonts w:ascii="Aparajita" w:hAnsi="Aparajita" w:cs="Aparajita"/>
              <w:color w:val="023160" w:themeColor="hyperlink" w:themeShade="80"/>
              <w:szCs w:val="24"/>
              <w:u w:val="single"/>
              <w:lang w:val="en-US"/>
            </w:rPr>
            <w:t>comision.primera@camara.gov.co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26A" w:rsidRDefault="00B1126A" w:rsidP="002B77F9">
      <w:pPr>
        <w:spacing w:after="0" w:line="240" w:lineRule="auto"/>
      </w:pPr>
      <w:r>
        <w:separator/>
      </w:r>
    </w:p>
  </w:footnote>
  <w:footnote w:type="continuationSeparator" w:id="0">
    <w:p w:rsidR="00B1126A" w:rsidRDefault="00B1126A" w:rsidP="002B7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B23" w:rsidRDefault="00B1126A" w:rsidP="00C72FDB">
    <w:pPr>
      <w:pStyle w:val="Encabezado"/>
      <w:jc w:val="center"/>
    </w:pPr>
    <w:sdt>
      <w:sdtPr>
        <w:id w:val="1036773030"/>
        <w:docPartObj>
          <w:docPartGallery w:val="Page Numbers (Margins)"/>
          <w:docPartUnique/>
        </w:docPartObj>
      </w:sdtPr>
      <w:sdtEndPr/>
      <w:sdtContent>
        <w:r w:rsidR="007D2B23"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2B23" w:rsidRDefault="007D2B2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47260" w:rsidRPr="00147260">
                                <w:rPr>
                                  <w:noProof/>
                                  <w:lang w:val="es-ES"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" o:allowincell="f" stroked="f">
                  <v:textbox>
                    <w:txbxContent>
                      <w:p w:rsidR="007D2B23" w:rsidRDefault="007D2B2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47260" w:rsidRPr="00147260">
                          <w:rPr>
                            <w:noProof/>
                            <w:lang w:val="es-ES"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D2B23">
      <w:rPr>
        <w:noProof/>
        <w:lang w:eastAsia="es-CO"/>
      </w:rPr>
      <w:drawing>
        <wp:inline distT="0" distB="0" distL="0" distR="0" wp14:anchorId="650B247E" wp14:editId="7783E005">
          <wp:extent cx="1939016" cy="558487"/>
          <wp:effectExtent l="0" t="0" r="4445" b="0"/>
          <wp:docPr id="8" name="Imagen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063" cy="57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2B23" w:rsidRDefault="007D2B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AF"/>
    <w:multiLevelType w:val="multilevel"/>
    <w:tmpl w:val="D93EA8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308B"/>
    <w:multiLevelType w:val="multilevel"/>
    <w:tmpl w:val="225CA7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34EDC"/>
    <w:multiLevelType w:val="multilevel"/>
    <w:tmpl w:val="33C0B9C6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F6F15"/>
    <w:multiLevelType w:val="hybridMultilevel"/>
    <w:tmpl w:val="5D8A0D36"/>
    <w:lvl w:ilvl="0" w:tplc="3FB6825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04AFC4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20AF7"/>
    <w:multiLevelType w:val="hybridMultilevel"/>
    <w:tmpl w:val="8910AC64"/>
    <w:lvl w:ilvl="0" w:tplc="3FB6825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F4B17"/>
    <w:multiLevelType w:val="hybridMultilevel"/>
    <w:tmpl w:val="D80AA262"/>
    <w:lvl w:ilvl="0" w:tplc="0BA624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653D3"/>
    <w:multiLevelType w:val="multilevel"/>
    <w:tmpl w:val="39165556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8EF1243"/>
    <w:multiLevelType w:val="multilevel"/>
    <w:tmpl w:val="90A4645E"/>
    <w:lvl w:ilvl="0">
      <w:start w:val="1"/>
      <w:numFmt w:val="lowerLetter"/>
      <w:lvlText w:val="%1."/>
      <w:lvlJc w:val="left"/>
      <w:pPr>
        <w:ind w:left="360" w:hanging="360"/>
      </w:pPr>
      <w:rPr>
        <w:b w:val="0"/>
        <w:strike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5F6181"/>
    <w:multiLevelType w:val="multilevel"/>
    <w:tmpl w:val="9BB62C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206C29"/>
    <w:multiLevelType w:val="multilevel"/>
    <w:tmpl w:val="6858665E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C6198B"/>
    <w:multiLevelType w:val="multilevel"/>
    <w:tmpl w:val="62FCBA0A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71113D1"/>
    <w:multiLevelType w:val="multilevel"/>
    <w:tmpl w:val="DF0EDB78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16150A"/>
    <w:multiLevelType w:val="multilevel"/>
    <w:tmpl w:val="A27AB53A"/>
    <w:lvl w:ilvl="0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847A78"/>
    <w:multiLevelType w:val="multilevel"/>
    <w:tmpl w:val="B894AE6E"/>
    <w:lvl w:ilvl="0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CC41A2"/>
    <w:multiLevelType w:val="hybridMultilevel"/>
    <w:tmpl w:val="717E5354"/>
    <w:lvl w:ilvl="0" w:tplc="3FB6825C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2E3876"/>
    <w:multiLevelType w:val="hybridMultilevel"/>
    <w:tmpl w:val="82E2BD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01C27"/>
    <w:multiLevelType w:val="multilevel"/>
    <w:tmpl w:val="70BEAC7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844C3B"/>
    <w:multiLevelType w:val="multilevel"/>
    <w:tmpl w:val="D72ADF1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u w:val="no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DF36BB8"/>
    <w:multiLevelType w:val="multilevel"/>
    <w:tmpl w:val="B894AE6E"/>
    <w:lvl w:ilvl="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510CC"/>
    <w:multiLevelType w:val="multilevel"/>
    <w:tmpl w:val="3460AE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365B75"/>
    <w:multiLevelType w:val="hybridMultilevel"/>
    <w:tmpl w:val="D7427768"/>
    <w:lvl w:ilvl="0" w:tplc="08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62EA8"/>
    <w:multiLevelType w:val="multilevel"/>
    <w:tmpl w:val="2C0AF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65A95F36"/>
    <w:multiLevelType w:val="hybridMultilevel"/>
    <w:tmpl w:val="8A9E3656"/>
    <w:lvl w:ilvl="0" w:tplc="3FB6825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FB71B0C"/>
    <w:multiLevelType w:val="hybridMultilevel"/>
    <w:tmpl w:val="89AE421E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1231DD1"/>
    <w:multiLevelType w:val="multilevel"/>
    <w:tmpl w:val="1994BCBC"/>
    <w:lvl w:ilvl="0">
      <w:start w:val="1"/>
      <w:numFmt w:val="lowerLetter"/>
      <w:lvlText w:val="%1."/>
      <w:lvlJc w:val="left"/>
      <w:pPr>
        <w:ind w:left="709" w:hanging="359"/>
      </w:pPr>
      <w:rPr>
        <w:rFonts w:ascii="Calibri" w:eastAsia="Calibri" w:hAnsi="Calibri" w:cs="Calibri"/>
        <w:b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16C0F7D"/>
    <w:multiLevelType w:val="multilevel"/>
    <w:tmpl w:val="E006F98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B2852"/>
    <w:multiLevelType w:val="multilevel"/>
    <w:tmpl w:val="DF0EDB78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95690E"/>
    <w:multiLevelType w:val="multilevel"/>
    <w:tmpl w:val="2940C324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16"/>
  </w:num>
  <w:num w:numId="9">
    <w:abstractNumId w:val="9"/>
  </w:num>
  <w:num w:numId="10">
    <w:abstractNumId w:val="12"/>
  </w:num>
  <w:num w:numId="11">
    <w:abstractNumId w:val="27"/>
  </w:num>
  <w:num w:numId="12">
    <w:abstractNumId w:val="19"/>
  </w:num>
  <w:num w:numId="13">
    <w:abstractNumId w:val="26"/>
  </w:num>
  <w:num w:numId="14">
    <w:abstractNumId w:val="17"/>
  </w:num>
  <w:num w:numId="15">
    <w:abstractNumId w:val="15"/>
  </w:num>
  <w:num w:numId="16">
    <w:abstractNumId w:val="22"/>
  </w:num>
  <w:num w:numId="17">
    <w:abstractNumId w:val="14"/>
  </w:num>
  <w:num w:numId="18">
    <w:abstractNumId w:val="3"/>
  </w:num>
  <w:num w:numId="19">
    <w:abstractNumId w:val="4"/>
  </w:num>
  <w:num w:numId="20">
    <w:abstractNumId w:val="23"/>
  </w:num>
  <w:num w:numId="21">
    <w:abstractNumId w:val="20"/>
  </w:num>
  <w:num w:numId="22">
    <w:abstractNumId w:val="18"/>
  </w:num>
  <w:num w:numId="23">
    <w:abstractNumId w:val="13"/>
  </w:num>
  <w:num w:numId="24">
    <w:abstractNumId w:val="25"/>
  </w:num>
  <w:num w:numId="25">
    <w:abstractNumId w:val="10"/>
  </w:num>
  <w:num w:numId="26">
    <w:abstractNumId w:val="21"/>
  </w:num>
  <w:num w:numId="27">
    <w:abstractNumId w:val="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F9"/>
    <w:rsid w:val="000022B6"/>
    <w:rsid w:val="0002239B"/>
    <w:rsid w:val="000264C6"/>
    <w:rsid w:val="00060965"/>
    <w:rsid w:val="00071BE2"/>
    <w:rsid w:val="00072389"/>
    <w:rsid w:val="000B2703"/>
    <w:rsid w:val="000B431C"/>
    <w:rsid w:val="001066C3"/>
    <w:rsid w:val="00147260"/>
    <w:rsid w:val="0019687F"/>
    <w:rsid w:val="001A730E"/>
    <w:rsid w:val="001B59F5"/>
    <w:rsid w:val="001C02DA"/>
    <w:rsid w:val="001D46E7"/>
    <w:rsid w:val="001F1108"/>
    <w:rsid w:val="001F2372"/>
    <w:rsid w:val="001F4B8D"/>
    <w:rsid w:val="00205249"/>
    <w:rsid w:val="00210E09"/>
    <w:rsid w:val="002227A1"/>
    <w:rsid w:val="00234747"/>
    <w:rsid w:val="00234FE5"/>
    <w:rsid w:val="002502B4"/>
    <w:rsid w:val="00255D5C"/>
    <w:rsid w:val="00260D6F"/>
    <w:rsid w:val="002743DF"/>
    <w:rsid w:val="00286D4E"/>
    <w:rsid w:val="002A00E2"/>
    <w:rsid w:val="002A3EA0"/>
    <w:rsid w:val="002B541B"/>
    <w:rsid w:val="002B6AF6"/>
    <w:rsid w:val="002B77F9"/>
    <w:rsid w:val="002D7DBF"/>
    <w:rsid w:val="002E25CA"/>
    <w:rsid w:val="002F02B3"/>
    <w:rsid w:val="002F539C"/>
    <w:rsid w:val="00311769"/>
    <w:rsid w:val="00321326"/>
    <w:rsid w:val="00335045"/>
    <w:rsid w:val="00342B29"/>
    <w:rsid w:val="00355892"/>
    <w:rsid w:val="003604D0"/>
    <w:rsid w:val="00376F05"/>
    <w:rsid w:val="003873C2"/>
    <w:rsid w:val="00387BD8"/>
    <w:rsid w:val="00393CA3"/>
    <w:rsid w:val="00394EAC"/>
    <w:rsid w:val="003B0401"/>
    <w:rsid w:val="003C4239"/>
    <w:rsid w:val="003F126E"/>
    <w:rsid w:val="003F5C5D"/>
    <w:rsid w:val="003F7B98"/>
    <w:rsid w:val="003F7F52"/>
    <w:rsid w:val="0043525D"/>
    <w:rsid w:val="00436F33"/>
    <w:rsid w:val="00463B62"/>
    <w:rsid w:val="00464F6C"/>
    <w:rsid w:val="00485F9F"/>
    <w:rsid w:val="0049097B"/>
    <w:rsid w:val="004C0174"/>
    <w:rsid w:val="004C05B3"/>
    <w:rsid w:val="004C57E9"/>
    <w:rsid w:val="004C5D69"/>
    <w:rsid w:val="004D4AE0"/>
    <w:rsid w:val="004D759E"/>
    <w:rsid w:val="00511ED4"/>
    <w:rsid w:val="00514173"/>
    <w:rsid w:val="00520C0E"/>
    <w:rsid w:val="00531BD8"/>
    <w:rsid w:val="0054460A"/>
    <w:rsid w:val="00546013"/>
    <w:rsid w:val="0054784F"/>
    <w:rsid w:val="00554A09"/>
    <w:rsid w:val="005648D5"/>
    <w:rsid w:val="00566713"/>
    <w:rsid w:val="0057315F"/>
    <w:rsid w:val="00592B55"/>
    <w:rsid w:val="005A2CA1"/>
    <w:rsid w:val="005B4CE4"/>
    <w:rsid w:val="005C604F"/>
    <w:rsid w:val="005D4583"/>
    <w:rsid w:val="005D4CF6"/>
    <w:rsid w:val="005E17D9"/>
    <w:rsid w:val="00615662"/>
    <w:rsid w:val="00617D5F"/>
    <w:rsid w:val="006263B1"/>
    <w:rsid w:val="006466D3"/>
    <w:rsid w:val="00651F09"/>
    <w:rsid w:val="00657E26"/>
    <w:rsid w:val="006842AA"/>
    <w:rsid w:val="006A6080"/>
    <w:rsid w:val="006C2025"/>
    <w:rsid w:val="006E3F60"/>
    <w:rsid w:val="006F5535"/>
    <w:rsid w:val="007118F9"/>
    <w:rsid w:val="00741F4B"/>
    <w:rsid w:val="007523F7"/>
    <w:rsid w:val="00762CE9"/>
    <w:rsid w:val="00767102"/>
    <w:rsid w:val="00770A1E"/>
    <w:rsid w:val="00784634"/>
    <w:rsid w:val="00791199"/>
    <w:rsid w:val="007A27BF"/>
    <w:rsid w:val="007A64EA"/>
    <w:rsid w:val="007C1176"/>
    <w:rsid w:val="007C2835"/>
    <w:rsid w:val="007C791A"/>
    <w:rsid w:val="007D2B23"/>
    <w:rsid w:val="007F02A1"/>
    <w:rsid w:val="0081409F"/>
    <w:rsid w:val="00820746"/>
    <w:rsid w:val="00820AC5"/>
    <w:rsid w:val="008214EF"/>
    <w:rsid w:val="0083563E"/>
    <w:rsid w:val="008356FB"/>
    <w:rsid w:val="00836D1A"/>
    <w:rsid w:val="00864666"/>
    <w:rsid w:val="00864E81"/>
    <w:rsid w:val="008948A9"/>
    <w:rsid w:val="008C0270"/>
    <w:rsid w:val="008C485F"/>
    <w:rsid w:val="008C4F3D"/>
    <w:rsid w:val="008C5463"/>
    <w:rsid w:val="008C5C63"/>
    <w:rsid w:val="008D5251"/>
    <w:rsid w:val="008D78C3"/>
    <w:rsid w:val="008F3182"/>
    <w:rsid w:val="009230CE"/>
    <w:rsid w:val="00923E69"/>
    <w:rsid w:val="00930B4E"/>
    <w:rsid w:val="0093261F"/>
    <w:rsid w:val="009338BD"/>
    <w:rsid w:val="00971B33"/>
    <w:rsid w:val="00980BCD"/>
    <w:rsid w:val="00986396"/>
    <w:rsid w:val="009927DB"/>
    <w:rsid w:val="00993253"/>
    <w:rsid w:val="0099350E"/>
    <w:rsid w:val="00993DA6"/>
    <w:rsid w:val="009A138B"/>
    <w:rsid w:val="009A58FC"/>
    <w:rsid w:val="009B67AC"/>
    <w:rsid w:val="009C12A5"/>
    <w:rsid w:val="009F327E"/>
    <w:rsid w:val="009F5598"/>
    <w:rsid w:val="00A25E23"/>
    <w:rsid w:val="00A43CC7"/>
    <w:rsid w:val="00A45EAE"/>
    <w:rsid w:val="00A46D79"/>
    <w:rsid w:val="00A75B7B"/>
    <w:rsid w:val="00A75CDA"/>
    <w:rsid w:val="00A872C8"/>
    <w:rsid w:val="00A952CD"/>
    <w:rsid w:val="00A95D13"/>
    <w:rsid w:val="00AA243C"/>
    <w:rsid w:val="00AB14CD"/>
    <w:rsid w:val="00AD3B2D"/>
    <w:rsid w:val="00AE692D"/>
    <w:rsid w:val="00AF36DE"/>
    <w:rsid w:val="00AF7024"/>
    <w:rsid w:val="00AF764F"/>
    <w:rsid w:val="00B01CAB"/>
    <w:rsid w:val="00B1126A"/>
    <w:rsid w:val="00B17EFD"/>
    <w:rsid w:val="00B445A7"/>
    <w:rsid w:val="00B45F28"/>
    <w:rsid w:val="00B60DFC"/>
    <w:rsid w:val="00BB52F2"/>
    <w:rsid w:val="00BC47DE"/>
    <w:rsid w:val="00BD4141"/>
    <w:rsid w:val="00BD5A9F"/>
    <w:rsid w:val="00C0765C"/>
    <w:rsid w:val="00C41881"/>
    <w:rsid w:val="00C421C4"/>
    <w:rsid w:val="00C5586A"/>
    <w:rsid w:val="00C72FDB"/>
    <w:rsid w:val="00C74091"/>
    <w:rsid w:val="00C7658D"/>
    <w:rsid w:val="00C81DC9"/>
    <w:rsid w:val="00C90D70"/>
    <w:rsid w:val="00C91D4B"/>
    <w:rsid w:val="00CA1400"/>
    <w:rsid w:val="00CF4523"/>
    <w:rsid w:val="00CF6F6C"/>
    <w:rsid w:val="00D012A0"/>
    <w:rsid w:val="00D06595"/>
    <w:rsid w:val="00D25E1A"/>
    <w:rsid w:val="00D33DBE"/>
    <w:rsid w:val="00D365ED"/>
    <w:rsid w:val="00D42340"/>
    <w:rsid w:val="00D87E48"/>
    <w:rsid w:val="00D911EB"/>
    <w:rsid w:val="00DB30E5"/>
    <w:rsid w:val="00DC15B5"/>
    <w:rsid w:val="00DC757E"/>
    <w:rsid w:val="00DE5B04"/>
    <w:rsid w:val="00DF01CA"/>
    <w:rsid w:val="00DF1873"/>
    <w:rsid w:val="00DF48FD"/>
    <w:rsid w:val="00DF514E"/>
    <w:rsid w:val="00E00980"/>
    <w:rsid w:val="00E0796D"/>
    <w:rsid w:val="00E20DB4"/>
    <w:rsid w:val="00E2117A"/>
    <w:rsid w:val="00E31547"/>
    <w:rsid w:val="00E35FD6"/>
    <w:rsid w:val="00E50203"/>
    <w:rsid w:val="00E56423"/>
    <w:rsid w:val="00E61EC5"/>
    <w:rsid w:val="00E66A69"/>
    <w:rsid w:val="00E7734E"/>
    <w:rsid w:val="00E81991"/>
    <w:rsid w:val="00E90D44"/>
    <w:rsid w:val="00ED1DD7"/>
    <w:rsid w:val="00F003FA"/>
    <w:rsid w:val="00F076AA"/>
    <w:rsid w:val="00F1201D"/>
    <w:rsid w:val="00F13684"/>
    <w:rsid w:val="00F20DA4"/>
    <w:rsid w:val="00F22E0C"/>
    <w:rsid w:val="00F27207"/>
    <w:rsid w:val="00F3400C"/>
    <w:rsid w:val="00F418EE"/>
    <w:rsid w:val="00F43BBF"/>
    <w:rsid w:val="00F5565A"/>
    <w:rsid w:val="00F82B12"/>
    <w:rsid w:val="00FA7F82"/>
    <w:rsid w:val="00FB07C2"/>
    <w:rsid w:val="00FC0521"/>
    <w:rsid w:val="00FE7D52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6A583"/>
  <w15:chartTrackingRefBased/>
  <w15:docId w15:val="{7784BE25-9785-4715-A011-27423E43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485F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2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FDB"/>
  </w:style>
  <w:style w:type="paragraph" w:styleId="Piedepgina">
    <w:name w:val="footer"/>
    <w:basedOn w:val="Normal"/>
    <w:link w:val="PiedepginaCar"/>
    <w:uiPriority w:val="99"/>
    <w:unhideWhenUsed/>
    <w:rsid w:val="00C72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FDB"/>
  </w:style>
  <w:style w:type="paragraph" w:styleId="Textodeglobo">
    <w:name w:val="Balloon Text"/>
    <w:basedOn w:val="Normal"/>
    <w:link w:val="TextodegloboCar"/>
    <w:uiPriority w:val="99"/>
    <w:semiHidden/>
    <w:unhideWhenUsed/>
    <w:rsid w:val="00933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8BD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C423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C4239"/>
  </w:style>
  <w:style w:type="paragraph" w:styleId="Prrafodelista">
    <w:name w:val="List Paragraph"/>
    <w:basedOn w:val="Normal"/>
    <w:uiPriority w:val="34"/>
    <w:qFormat/>
    <w:rsid w:val="000609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F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A75B7B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8C485F"/>
    <w:rPr>
      <w:rFonts w:ascii="Arial" w:eastAsia="Arial" w:hAnsi="Arial" w:cs="Arial"/>
      <w:sz w:val="40"/>
      <w:szCs w:val="4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ision.primera@camara.gov.co" TargetMode="External"/><Relationship Id="rId1" Type="http://schemas.openxmlformats.org/officeDocument/2006/relationships/hyperlink" Target="http://www.cama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1A3E0-3E20-41C6-ABB3-1FA7C08B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2155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Sonia Cortes Castillo</dc:creator>
  <cp:keywords/>
  <dc:description/>
  <cp:lastModifiedBy>Dora Sonia Cortes Castillo</cp:lastModifiedBy>
  <cp:revision>11</cp:revision>
  <cp:lastPrinted>2025-02-20T16:54:00Z</cp:lastPrinted>
  <dcterms:created xsi:type="dcterms:W3CDTF">2025-02-27T15:32:00Z</dcterms:created>
  <dcterms:modified xsi:type="dcterms:W3CDTF">2025-03-12T21:26:00Z</dcterms:modified>
</cp:coreProperties>
</file>