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F6C" w:rsidRDefault="00CF6F6C" w:rsidP="00CF6F6C">
      <w:pPr>
        <w:spacing w:after="0" w:line="240" w:lineRule="auto"/>
        <w:jc w:val="center"/>
        <w:rPr>
          <w:rFonts w:ascii="Arial" w:hAnsi="Arial" w:cs="Arial"/>
          <w:b/>
          <w:sz w:val="24"/>
          <w:szCs w:val="24"/>
        </w:rPr>
      </w:pPr>
    </w:p>
    <w:p w:rsidR="008C485F" w:rsidRPr="00CF6F6C" w:rsidRDefault="00CF6F6C" w:rsidP="00CF6F6C">
      <w:pPr>
        <w:spacing w:after="0" w:line="240" w:lineRule="auto"/>
        <w:jc w:val="center"/>
        <w:rPr>
          <w:rFonts w:ascii="Arial Narrow" w:eastAsia="Century Gothic" w:hAnsi="Arial Narrow" w:cs="Century Gothic"/>
          <w:b/>
          <w:sz w:val="24"/>
          <w:szCs w:val="24"/>
        </w:rPr>
      </w:pPr>
      <w:r w:rsidRPr="00CF6F6C">
        <w:rPr>
          <w:rFonts w:ascii="Arial Narrow" w:hAnsi="Arial Narrow" w:cs="Arial"/>
          <w:b/>
          <w:sz w:val="24"/>
          <w:szCs w:val="24"/>
        </w:rPr>
        <w:t xml:space="preserve">TEXTO APROBADO EN LA COMISIÓN PRIMERA DE LA HONORABLE CÁMARA DE REPRESENTANTES EN PRIMER DEBATE DEL </w:t>
      </w:r>
      <w:r>
        <w:rPr>
          <w:rFonts w:ascii="Arial Narrow" w:hAnsi="Arial Narrow" w:cs="Arial"/>
          <w:b/>
          <w:sz w:val="24"/>
          <w:szCs w:val="24"/>
          <w:lang w:bidi="es-CO"/>
        </w:rPr>
        <w:t>PROYECTO DE LEY No</w:t>
      </w:r>
      <w:r w:rsidRPr="00CF6F6C">
        <w:rPr>
          <w:rFonts w:ascii="Arial Narrow" w:hAnsi="Arial Narrow" w:cs="Arial"/>
          <w:b/>
          <w:sz w:val="24"/>
          <w:szCs w:val="24"/>
          <w:lang w:bidi="es-CO"/>
        </w:rPr>
        <w:t xml:space="preserve">. </w:t>
      </w:r>
      <w:r w:rsidRPr="00CF6F6C">
        <w:rPr>
          <w:rFonts w:ascii="Arial Narrow" w:hAnsi="Arial Narrow"/>
          <w:b/>
          <w:bCs/>
          <w:sz w:val="24"/>
          <w:szCs w:val="24"/>
        </w:rPr>
        <w:t>279 DE 2024 – CÁMARA</w:t>
      </w:r>
      <w:bookmarkStart w:id="0" w:name="_30j0zll"/>
      <w:bookmarkEnd w:id="0"/>
      <w:r>
        <w:rPr>
          <w:rFonts w:ascii="Arial Narrow" w:eastAsia="Century Gothic" w:hAnsi="Arial Narrow" w:cs="Century Gothic"/>
          <w:b/>
          <w:sz w:val="24"/>
          <w:szCs w:val="24"/>
        </w:rPr>
        <w:t xml:space="preserve"> </w:t>
      </w:r>
      <w:r w:rsidRPr="00CF6F6C">
        <w:rPr>
          <w:rFonts w:ascii="Arial Narrow" w:eastAsia="Arial Narrow" w:hAnsi="Arial Narrow" w:cs="Arial Narrow"/>
          <w:b/>
          <w:bCs/>
          <w:sz w:val="24"/>
          <w:szCs w:val="24"/>
        </w:rPr>
        <w:t>“MEDIANTE LA CUAL SE PRORROGA EL DECRETO LEY 893 DE 2017, SE PROMUEVE EL FORTALECIMIENTO INSTITUCIONAL DE LOS MUNICIPIOS PERTENECIENTES A LOS PROGRAMAS DE DESARROLLO CON ENFOQUE TERRITORIAL –PDET– Y SE DICTAN OTRAS DISPOSICIONES”</w:t>
      </w:r>
    </w:p>
    <w:p w:rsidR="008C485F" w:rsidRPr="00CF6F6C" w:rsidRDefault="008C485F" w:rsidP="00CF6F6C">
      <w:pPr>
        <w:spacing w:after="0" w:line="240" w:lineRule="auto"/>
        <w:jc w:val="center"/>
        <w:rPr>
          <w:rFonts w:ascii="Arial Narrow" w:eastAsia="Arial Narrow" w:hAnsi="Arial Narrow" w:cs="Arial Narrow"/>
          <w:b/>
          <w:sz w:val="24"/>
          <w:szCs w:val="24"/>
        </w:rPr>
      </w:pPr>
    </w:p>
    <w:p w:rsidR="008C485F" w:rsidRPr="00CF6F6C" w:rsidRDefault="008C485F" w:rsidP="00CF6F6C">
      <w:pPr>
        <w:spacing w:after="0" w:line="240" w:lineRule="auto"/>
        <w:jc w:val="center"/>
        <w:rPr>
          <w:rFonts w:ascii="Arial Narrow" w:eastAsia="Arial Narrow" w:hAnsi="Arial Narrow" w:cs="Arial Narrow"/>
          <w:b/>
          <w:sz w:val="24"/>
          <w:szCs w:val="24"/>
        </w:rPr>
      </w:pPr>
    </w:p>
    <w:p w:rsidR="008C485F" w:rsidRPr="00CF6F6C" w:rsidRDefault="008C485F" w:rsidP="00CF6F6C">
      <w:pPr>
        <w:spacing w:after="0" w:line="240" w:lineRule="auto"/>
        <w:jc w:val="center"/>
        <w:rPr>
          <w:rFonts w:ascii="Arial Narrow" w:eastAsia="Arial Narrow" w:hAnsi="Arial Narrow" w:cs="Arial Narrow"/>
          <w:b/>
          <w:sz w:val="24"/>
          <w:szCs w:val="24"/>
        </w:rPr>
      </w:pPr>
    </w:p>
    <w:p w:rsidR="008C485F" w:rsidRPr="00CF6F6C" w:rsidRDefault="00CF6F6C" w:rsidP="00CF6F6C">
      <w:pPr>
        <w:spacing w:after="0" w:line="240" w:lineRule="auto"/>
        <w:jc w:val="center"/>
        <w:rPr>
          <w:rFonts w:ascii="Arial Narrow" w:eastAsia="Arial Narrow" w:hAnsi="Arial Narrow" w:cs="Arial Narrow"/>
          <w:b/>
          <w:sz w:val="24"/>
          <w:szCs w:val="24"/>
        </w:rPr>
      </w:pPr>
      <w:r w:rsidRPr="00CF6F6C">
        <w:rPr>
          <w:rFonts w:ascii="Arial Narrow" w:eastAsia="Arial Narrow" w:hAnsi="Arial Narrow" w:cs="Arial Narrow"/>
          <w:b/>
          <w:sz w:val="24"/>
          <w:szCs w:val="24"/>
        </w:rPr>
        <w:t>EL CONGRESO DE COLOMBIA</w:t>
      </w:r>
    </w:p>
    <w:p w:rsidR="008C485F" w:rsidRPr="00CF6F6C" w:rsidRDefault="008C485F" w:rsidP="00CF6F6C">
      <w:pPr>
        <w:spacing w:after="0" w:line="240" w:lineRule="auto"/>
        <w:jc w:val="center"/>
        <w:rPr>
          <w:rFonts w:ascii="Arial Narrow" w:eastAsia="Arial Narrow" w:hAnsi="Arial Narrow" w:cs="Arial Narrow"/>
          <w:b/>
          <w:sz w:val="24"/>
          <w:szCs w:val="24"/>
        </w:rPr>
      </w:pPr>
    </w:p>
    <w:p w:rsidR="008C485F" w:rsidRPr="00CF6F6C" w:rsidRDefault="00CF6F6C" w:rsidP="00CF6F6C">
      <w:pPr>
        <w:spacing w:after="0" w:line="240" w:lineRule="auto"/>
        <w:jc w:val="center"/>
        <w:rPr>
          <w:rFonts w:ascii="Arial Narrow" w:eastAsia="Arial Narrow" w:hAnsi="Arial Narrow" w:cs="Arial Narrow"/>
          <w:b/>
          <w:sz w:val="24"/>
          <w:szCs w:val="24"/>
        </w:rPr>
      </w:pPr>
      <w:r w:rsidRPr="00CF6F6C">
        <w:rPr>
          <w:rFonts w:ascii="Arial Narrow" w:eastAsia="Arial Narrow" w:hAnsi="Arial Narrow" w:cs="Arial Narrow"/>
          <w:b/>
          <w:sz w:val="24"/>
          <w:szCs w:val="24"/>
        </w:rPr>
        <w:t>DECRETA</w:t>
      </w:r>
    </w:p>
    <w:p w:rsidR="008C485F" w:rsidRPr="00CF6F6C" w:rsidRDefault="008C485F" w:rsidP="00CF6F6C">
      <w:pPr>
        <w:spacing w:after="0" w:line="240" w:lineRule="auto"/>
        <w:jc w:val="both"/>
        <w:rPr>
          <w:rFonts w:ascii="Arial Narrow" w:eastAsia="Arial Narrow" w:hAnsi="Arial Narrow" w:cs="Arial Narrow"/>
          <w:b/>
          <w:sz w:val="24"/>
          <w:szCs w:val="24"/>
        </w:rPr>
      </w:pPr>
    </w:p>
    <w:p w:rsidR="008C485F" w:rsidRPr="00CF6F6C" w:rsidRDefault="008C485F" w:rsidP="008C485F">
      <w:pPr>
        <w:jc w:val="both"/>
        <w:rPr>
          <w:rFonts w:ascii="Arial Narrow" w:eastAsia="Arial Narrow" w:hAnsi="Arial Narrow" w:cs="Arial Narrow"/>
          <w:sz w:val="24"/>
          <w:szCs w:val="24"/>
        </w:rPr>
      </w:pPr>
    </w:p>
    <w:p w:rsidR="008C485F" w:rsidRDefault="008C485F" w:rsidP="008C485F">
      <w:pPr>
        <w:jc w:val="both"/>
        <w:rPr>
          <w:rFonts w:ascii="Arial Narrow" w:eastAsia="Arial Narrow" w:hAnsi="Arial Narrow" w:cs="Arial Narrow"/>
          <w:color w:val="000000"/>
          <w:sz w:val="24"/>
          <w:szCs w:val="24"/>
        </w:rPr>
      </w:pPr>
      <w:r>
        <w:rPr>
          <w:rFonts w:ascii="Arial Narrow" w:eastAsia="Arial Narrow" w:hAnsi="Arial Narrow" w:cs="Arial Narrow"/>
          <w:b/>
          <w:sz w:val="24"/>
          <w:szCs w:val="24"/>
        </w:rPr>
        <w:t>ARTÍCULO 1. OBJETO.</w:t>
      </w:r>
      <w:r>
        <w:rPr>
          <w:rFonts w:ascii="Arial Narrow" w:eastAsia="Arial Narrow" w:hAnsi="Arial Narrow" w:cs="Arial Narrow"/>
          <w:sz w:val="24"/>
          <w:szCs w:val="24"/>
        </w:rPr>
        <w:t xml:space="preserve"> L</w:t>
      </w:r>
      <w:r>
        <w:rPr>
          <w:rFonts w:ascii="Arial Narrow" w:eastAsia="Arial Narrow" w:hAnsi="Arial Narrow" w:cs="Arial Narrow"/>
          <w:color w:val="000000"/>
          <w:sz w:val="24"/>
          <w:szCs w:val="24"/>
        </w:rPr>
        <w:t>a presente Ley ti</w:t>
      </w:r>
      <w:r>
        <w:rPr>
          <w:rFonts w:ascii="Arial Narrow" w:eastAsia="Arial Narrow" w:hAnsi="Arial Narrow" w:cs="Arial Narrow"/>
          <w:sz w:val="24"/>
          <w:szCs w:val="24"/>
        </w:rPr>
        <w:t xml:space="preserve">ene como objeto el de </w:t>
      </w:r>
      <w:r>
        <w:rPr>
          <w:rFonts w:ascii="Arial Narrow" w:eastAsia="Arial Narrow" w:hAnsi="Arial Narrow" w:cs="Arial Narrow"/>
          <w:color w:val="000000"/>
          <w:sz w:val="24"/>
          <w:szCs w:val="24"/>
        </w:rPr>
        <w:t xml:space="preserve">modificar el Decreto Ley 893 de 2017 y darle desarrollo normativo a sus disposiciones con el fin de promover el fortalecimiento institucional, técnico y financiero de los municipios </w:t>
      </w:r>
      <w:r>
        <w:rPr>
          <w:rFonts w:ascii="Arial Narrow" w:eastAsia="Arial Narrow" w:hAnsi="Arial Narrow" w:cs="Arial Narrow"/>
          <w:sz w:val="24"/>
          <w:szCs w:val="24"/>
        </w:rPr>
        <w:t xml:space="preserve"> que desarrollen </w:t>
      </w:r>
      <w:r>
        <w:rPr>
          <w:rFonts w:ascii="Arial Narrow" w:eastAsia="Arial Narrow" w:hAnsi="Arial Narrow" w:cs="Arial Narrow"/>
          <w:color w:val="000000"/>
          <w:sz w:val="24"/>
          <w:szCs w:val="24"/>
        </w:rPr>
        <w:t xml:space="preserve">Programas de Desarrollo con Enfoque Territorial –PDET– mediante la disposición de un marco legal </w:t>
      </w:r>
      <w:r>
        <w:rPr>
          <w:rFonts w:ascii="Arial Narrow" w:eastAsia="Arial Narrow" w:hAnsi="Arial Narrow" w:cs="Arial Narrow"/>
          <w:sz w:val="24"/>
          <w:szCs w:val="24"/>
        </w:rPr>
        <w:t xml:space="preserve">ampliado </w:t>
      </w:r>
      <w:r>
        <w:rPr>
          <w:rFonts w:ascii="Arial Narrow" w:eastAsia="Arial Narrow" w:hAnsi="Arial Narrow" w:cs="Arial Narrow"/>
          <w:color w:val="000000"/>
          <w:sz w:val="24"/>
          <w:szCs w:val="24"/>
        </w:rPr>
        <w:t xml:space="preserve">que facilite la articulación de instrumentos de planeación destinados a estos territorios y contribuya a superar barreras sociales, económicas, </w:t>
      </w:r>
      <w:r>
        <w:rPr>
          <w:rFonts w:ascii="Arial Narrow" w:eastAsia="Arial Narrow" w:hAnsi="Arial Narrow" w:cs="Arial Narrow"/>
          <w:sz w:val="24"/>
          <w:szCs w:val="24"/>
        </w:rPr>
        <w:t>institucionales</w:t>
      </w:r>
      <w:r>
        <w:rPr>
          <w:rFonts w:ascii="Arial Narrow" w:eastAsia="Arial Narrow" w:hAnsi="Arial Narrow" w:cs="Arial Narrow"/>
          <w:color w:val="000000"/>
          <w:sz w:val="24"/>
          <w:szCs w:val="24"/>
        </w:rPr>
        <w:t xml:space="preserve"> y demográficas para garantizar la cobertura de los servicios del Estado en las zonas más vulnerables del territorio nacional. </w:t>
      </w:r>
    </w:p>
    <w:p w:rsidR="008C485F" w:rsidRDefault="008C485F" w:rsidP="008C485F">
      <w:pPr>
        <w:jc w:val="both"/>
        <w:rPr>
          <w:rFonts w:ascii="Arial Narrow" w:eastAsia="Arial Narrow" w:hAnsi="Arial Narrow" w:cs="Arial Narrow"/>
          <w:color w:val="000000"/>
          <w:sz w:val="24"/>
          <w:szCs w:val="24"/>
        </w:rPr>
      </w:pPr>
    </w:p>
    <w:p w:rsidR="008C485F" w:rsidRDefault="008C485F" w:rsidP="008C485F">
      <w:pPr>
        <w:jc w:val="both"/>
        <w:rPr>
          <w:rFonts w:ascii="Arial Narrow" w:eastAsia="Arial Narrow" w:hAnsi="Arial Narrow" w:cs="Arial Narrow"/>
          <w:color w:val="000000"/>
          <w:sz w:val="24"/>
          <w:szCs w:val="24"/>
        </w:rPr>
      </w:pPr>
    </w:p>
    <w:p w:rsidR="008C485F" w:rsidRDefault="008C485F" w:rsidP="008C485F">
      <w:pPr>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ARTÍCULO 2. </w:t>
      </w:r>
      <w:r>
        <w:rPr>
          <w:rFonts w:ascii="Arial Narrow" w:eastAsia="Arial Narrow" w:hAnsi="Arial Narrow" w:cs="Arial Narrow"/>
          <w:b/>
          <w:sz w:val="24"/>
          <w:szCs w:val="24"/>
        </w:rPr>
        <w:t>PRÓRROGA</w:t>
      </w:r>
      <w:r>
        <w:rPr>
          <w:rFonts w:ascii="Arial Narrow" w:eastAsia="Arial Narrow" w:hAnsi="Arial Narrow" w:cs="Arial Narrow"/>
          <w:b/>
          <w:color w:val="000000"/>
          <w:sz w:val="24"/>
          <w:szCs w:val="24"/>
        </w:rPr>
        <w:t xml:space="preserve"> EN LA IMPLEMENTACIÓN. </w:t>
      </w:r>
      <w:r>
        <w:rPr>
          <w:rFonts w:ascii="Arial Narrow" w:eastAsia="Arial Narrow" w:hAnsi="Arial Narrow" w:cs="Arial Narrow"/>
          <w:color w:val="000000"/>
          <w:sz w:val="24"/>
          <w:szCs w:val="24"/>
        </w:rPr>
        <w:t xml:space="preserve">Modifíquese el artículo primero del Decreto Ley 893 de 2017, el cual quedará así: </w:t>
      </w:r>
    </w:p>
    <w:p w:rsidR="008C485F" w:rsidRDefault="008C485F" w:rsidP="008C485F">
      <w:pPr>
        <w:jc w:val="both"/>
        <w:rPr>
          <w:rFonts w:ascii="Arial Narrow" w:eastAsia="Arial Narrow" w:hAnsi="Arial Narrow" w:cs="Arial Narrow"/>
          <w:color w:val="000000"/>
          <w:sz w:val="24"/>
          <w:szCs w:val="24"/>
        </w:rPr>
      </w:pPr>
    </w:p>
    <w:p w:rsidR="008C485F" w:rsidRDefault="008C485F" w:rsidP="008C485F">
      <w:pPr>
        <w:ind w:left="708"/>
        <w:jc w:val="both"/>
        <w:rPr>
          <w:rFonts w:ascii="Arial Narrow" w:eastAsia="Arial Narrow" w:hAnsi="Arial Narrow" w:cs="Arial Narrow"/>
          <w:i/>
          <w:color w:val="000000"/>
          <w:sz w:val="24"/>
          <w:szCs w:val="24"/>
        </w:rPr>
      </w:pPr>
      <w:r>
        <w:rPr>
          <w:rFonts w:ascii="Arial Narrow" w:eastAsia="Arial Narrow" w:hAnsi="Arial Narrow" w:cs="Arial Narrow"/>
          <w:b/>
          <w:i/>
          <w:color w:val="000000"/>
          <w:sz w:val="24"/>
          <w:szCs w:val="24"/>
        </w:rPr>
        <w:t>ARTÍCULO 1°.</w:t>
      </w:r>
      <w:r>
        <w:rPr>
          <w:rFonts w:ascii="Arial Narrow" w:eastAsia="Arial Narrow" w:hAnsi="Arial Narrow" w:cs="Arial Narrow"/>
          <w:i/>
          <w:color w:val="000000"/>
          <w:sz w:val="24"/>
          <w:szCs w:val="24"/>
        </w:rPr>
        <w:t> Objeto. Créanse los Programas de Desarrollo con Enfoque Territorial (PDET) como un instrumento de planificación y gestión para implementar de manera prioritaria los planes sectoriales y programas en el marco de la Reforma Rural Integral (RRI) y las medidas pertinentes que establece el Acuerdo Final, en articulación con los planes territoriales, en los municipios priorizados en el presente Decreto de conformidad con los criterios establecidos en el Acuerdo Final.</w:t>
      </w:r>
    </w:p>
    <w:p w:rsidR="008C485F" w:rsidRDefault="008C485F" w:rsidP="008C485F">
      <w:pPr>
        <w:ind w:left="708"/>
        <w:jc w:val="both"/>
        <w:rPr>
          <w:rFonts w:ascii="Arial Narrow" w:eastAsia="Arial Narrow" w:hAnsi="Arial Narrow" w:cs="Arial Narrow"/>
          <w:i/>
          <w:color w:val="000000"/>
          <w:sz w:val="24"/>
          <w:szCs w:val="24"/>
        </w:rPr>
      </w:pPr>
    </w:p>
    <w:p w:rsidR="008C485F" w:rsidRDefault="008C485F" w:rsidP="008C485F">
      <w:pPr>
        <w:ind w:left="720"/>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Los PDET se formularán por una sola vez y tendrán una vigencia de veinte (20) años. Serán coordinados por la Agencia de Renovación del Territorio (ART), en ejercicio de las funciones que le son propias de conformidad con lo dispuesto en el Decreto Ley 2366 de 2015, modificado por el Decreto Ley 2096 de 2016.</w:t>
      </w:r>
    </w:p>
    <w:p w:rsidR="008C485F" w:rsidRDefault="008C485F" w:rsidP="008C485F">
      <w:pPr>
        <w:ind w:left="720"/>
        <w:jc w:val="both"/>
        <w:rPr>
          <w:rFonts w:ascii="Arial Narrow" w:eastAsia="Arial Narrow" w:hAnsi="Arial Narrow" w:cs="Arial Narrow"/>
          <w:i/>
          <w:color w:val="000000"/>
          <w:sz w:val="24"/>
          <w:szCs w:val="24"/>
        </w:rPr>
      </w:pPr>
    </w:p>
    <w:p w:rsidR="008C485F" w:rsidRPr="00CF6F6C" w:rsidRDefault="008C485F" w:rsidP="008C485F">
      <w:pPr>
        <w:ind w:left="720"/>
        <w:jc w:val="both"/>
        <w:rPr>
          <w:rFonts w:ascii="Arial Narrow" w:eastAsia="Arial Narrow" w:hAnsi="Arial Narrow" w:cs="Arial Narrow"/>
          <w:i/>
          <w:color w:val="000000"/>
          <w:sz w:val="24"/>
          <w:szCs w:val="24"/>
        </w:rPr>
      </w:pPr>
      <w:r w:rsidRPr="00CF6F6C">
        <w:rPr>
          <w:rFonts w:ascii="Arial Narrow" w:eastAsia="Arial Narrow" w:hAnsi="Arial Narrow" w:cs="Arial Narrow"/>
          <w:i/>
          <w:color w:val="000000"/>
          <w:sz w:val="24"/>
          <w:szCs w:val="24"/>
        </w:rPr>
        <w:t>PARÁGRAFO: Los planes sectoriales y programas que se creen para la implementación de la RRI incorporarán en su diseño y ejecución el enfoque étnico.</w:t>
      </w:r>
    </w:p>
    <w:p w:rsidR="008C485F" w:rsidRPr="00CF6F6C" w:rsidRDefault="008C485F" w:rsidP="008C485F">
      <w:pPr>
        <w:jc w:val="both"/>
        <w:rPr>
          <w:rFonts w:ascii="Arial Narrow" w:eastAsia="Arial Narrow" w:hAnsi="Arial Narrow" w:cs="Arial Narrow"/>
          <w:i/>
          <w:color w:val="000000"/>
          <w:sz w:val="24"/>
          <w:szCs w:val="24"/>
        </w:rPr>
      </w:pPr>
    </w:p>
    <w:p w:rsidR="008C485F" w:rsidRPr="00CF6F6C" w:rsidRDefault="008C485F" w:rsidP="008C485F">
      <w:pPr>
        <w:jc w:val="both"/>
        <w:rPr>
          <w:rFonts w:ascii="Arial Narrow" w:eastAsia="Arial Narrow" w:hAnsi="Arial Narrow" w:cs="Arial Narrow"/>
          <w:bCs/>
          <w:color w:val="000000"/>
          <w:sz w:val="24"/>
          <w:szCs w:val="24"/>
        </w:rPr>
      </w:pPr>
      <w:r w:rsidRPr="00CF6F6C">
        <w:rPr>
          <w:rFonts w:ascii="Arial Narrow" w:eastAsia="Arial Narrow" w:hAnsi="Arial Narrow" w:cs="Arial Narrow"/>
          <w:b/>
          <w:color w:val="000000"/>
          <w:sz w:val="24"/>
          <w:szCs w:val="24"/>
        </w:rPr>
        <w:t>ARTÍCULO 3. ARMONIZACIÓN Y ARTICULACIÓN.</w:t>
      </w:r>
      <w:r w:rsidRPr="00CF6F6C">
        <w:rPr>
          <w:rFonts w:ascii="Arial Narrow" w:eastAsia="Arial Narrow" w:hAnsi="Arial Narrow" w:cs="Arial Narrow"/>
          <w:bCs/>
          <w:color w:val="000000"/>
          <w:sz w:val="24"/>
          <w:szCs w:val="24"/>
        </w:rPr>
        <w:t xml:space="preserve"> Adiciónese un parágrafo artículo 6 del Decreto Ley 893 de 2017, el cual quedará así:</w:t>
      </w:r>
    </w:p>
    <w:p w:rsidR="008C485F" w:rsidRPr="00CF6F6C" w:rsidRDefault="008C485F" w:rsidP="008C485F">
      <w:pPr>
        <w:jc w:val="both"/>
        <w:rPr>
          <w:rFonts w:ascii="Arial Narrow" w:eastAsia="Arial Narrow" w:hAnsi="Arial Narrow" w:cs="Arial Narrow"/>
          <w:bCs/>
          <w:color w:val="000000"/>
          <w:sz w:val="24"/>
          <w:szCs w:val="24"/>
        </w:rPr>
      </w:pPr>
    </w:p>
    <w:p w:rsidR="008C485F" w:rsidRPr="00CF6F6C" w:rsidRDefault="008C485F" w:rsidP="008C485F">
      <w:pPr>
        <w:ind w:left="708"/>
        <w:jc w:val="both"/>
        <w:rPr>
          <w:rFonts w:ascii="Arial Narrow" w:eastAsia="Arial Narrow" w:hAnsi="Arial Narrow" w:cs="Arial Narrow"/>
          <w:bCs/>
          <w:i/>
          <w:iCs/>
          <w:color w:val="000000"/>
          <w:sz w:val="24"/>
          <w:szCs w:val="24"/>
        </w:rPr>
      </w:pPr>
      <w:r w:rsidRPr="00CF6F6C">
        <w:rPr>
          <w:rFonts w:ascii="Arial Narrow" w:eastAsia="Arial Narrow" w:hAnsi="Arial Narrow" w:cs="Arial Narrow"/>
          <w:b/>
          <w:i/>
          <w:iCs/>
          <w:color w:val="000000"/>
          <w:sz w:val="24"/>
          <w:szCs w:val="24"/>
        </w:rPr>
        <w:t>ARTÍCULO 6.</w:t>
      </w:r>
      <w:r w:rsidRPr="00CF6F6C">
        <w:rPr>
          <w:rFonts w:ascii="Arial Narrow" w:eastAsia="Arial Narrow" w:hAnsi="Arial Narrow" w:cs="Arial Narrow"/>
          <w:bCs/>
          <w:i/>
          <w:iCs/>
          <w:color w:val="000000"/>
          <w:sz w:val="24"/>
          <w:szCs w:val="24"/>
        </w:rPr>
        <w:t xml:space="preserve"> Armonización y articulación. Los PDET y los PATR deberán articularse y armonizarse con el Plan Nacional de Desarrollo, los planes de desarrollo de las entidades territoriales y demás instrumentos de planeación y ordenamiento del territorio, en aplicación de los criterios de coordinación, concurrencia y subsidiariedad, y de conformidad con lo establecido en las normas orgánicas de planeación. Los PDET y los PATR integrarán otros planes del territorio que contribuyan a su transformación. </w:t>
      </w:r>
    </w:p>
    <w:p w:rsidR="008C485F" w:rsidRPr="00CF6F6C" w:rsidRDefault="008C485F" w:rsidP="008C485F">
      <w:pPr>
        <w:ind w:left="708"/>
        <w:jc w:val="both"/>
        <w:rPr>
          <w:rFonts w:ascii="Arial Narrow" w:eastAsia="Arial Narrow" w:hAnsi="Arial Narrow" w:cs="Arial Narrow"/>
          <w:bCs/>
          <w:i/>
          <w:iCs/>
          <w:color w:val="000000"/>
          <w:sz w:val="24"/>
          <w:szCs w:val="24"/>
        </w:rPr>
      </w:pPr>
      <w:r w:rsidRPr="00CF6F6C">
        <w:rPr>
          <w:rFonts w:ascii="Arial Narrow" w:eastAsia="Arial Narrow" w:hAnsi="Arial Narrow" w:cs="Arial Narrow"/>
          <w:bCs/>
          <w:i/>
          <w:iCs/>
          <w:color w:val="000000"/>
          <w:sz w:val="24"/>
          <w:szCs w:val="24"/>
        </w:rPr>
        <w:t xml:space="preserve">  </w:t>
      </w:r>
    </w:p>
    <w:p w:rsidR="008C485F" w:rsidRPr="00CF6F6C" w:rsidRDefault="008C485F" w:rsidP="008C485F">
      <w:pPr>
        <w:ind w:left="708"/>
        <w:jc w:val="both"/>
        <w:rPr>
          <w:rFonts w:ascii="Arial Narrow" w:eastAsia="Arial Narrow" w:hAnsi="Arial Narrow" w:cs="Arial Narrow"/>
          <w:bCs/>
          <w:i/>
          <w:iCs/>
          <w:color w:val="000000"/>
          <w:sz w:val="24"/>
          <w:szCs w:val="24"/>
        </w:rPr>
      </w:pPr>
      <w:r w:rsidRPr="00CF6F6C">
        <w:rPr>
          <w:rFonts w:ascii="Arial Narrow" w:eastAsia="Arial Narrow" w:hAnsi="Arial Narrow" w:cs="Arial Narrow"/>
          <w:bCs/>
          <w:i/>
          <w:iCs/>
          <w:color w:val="000000"/>
          <w:sz w:val="24"/>
          <w:szCs w:val="24"/>
        </w:rPr>
        <w:t xml:space="preserve">PARÁGRAFO 1. En los casos donde el PDET cuya realización esté proyectada para hacerse en las regiones establecidas a través del presente decreto, que incluyan territorios y zonas con presencia de pueblos, comunidades y grupos étnicos, los PATR se armonizarán con los planes de vida, planes de salvaguarda, </w:t>
      </w:r>
      <w:proofErr w:type="spellStart"/>
      <w:r w:rsidRPr="00CF6F6C">
        <w:rPr>
          <w:rFonts w:ascii="Arial Narrow" w:eastAsia="Arial Narrow" w:hAnsi="Arial Narrow" w:cs="Arial Narrow"/>
          <w:bCs/>
          <w:i/>
          <w:iCs/>
          <w:color w:val="000000"/>
          <w:sz w:val="24"/>
          <w:szCs w:val="24"/>
        </w:rPr>
        <w:t>etnodesarrollo</w:t>
      </w:r>
      <w:proofErr w:type="spellEnd"/>
      <w:r w:rsidRPr="00CF6F6C">
        <w:rPr>
          <w:rFonts w:ascii="Arial Narrow" w:eastAsia="Arial Narrow" w:hAnsi="Arial Narrow" w:cs="Arial Narrow"/>
          <w:bCs/>
          <w:i/>
          <w:iCs/>
          <w:color w:val="000000"/>
          <w:sz w:val="24"/>
          <w:szCs w:val="24"/>
        </w:rPr>
        <w:t>, planes de manejo ambiental y ordenamiento territorial o sus equivalentes.</w:t>
      </w:r>
    </w:p>
    <w:p w:rsidR="008C485F" w:rsidRPr="00CF6F6C" w:rsidRDefault="008C485F" w:rsidP="008C485F">
      <w:pPr>
        <w:ind w:left="708"/>
        <w:jc w:val="both"/>
        <w:rPr>
          <w:rFonts w:ascii="Arial Narrow" w:eastAsia="Arial Narrow" w:hAnsi="Arial Narrow" w:cs="Arial Narrow"/>
          <w:bCs/>
          <w:i/>
          <w:iCs/>
          <w:color w:val="000000"/>
          <w:sz w:val="24"/>
          <w:szCs w:val="24"/>
        </w:rPr>
      </w:pPr>
    </w:p>
    <w:p w:rsidR="008C485F" w:rsidRPr="00CF6F6C" w:rsidRDefault="008C485F" w:rsidP="008C485F">
      <w:pPr>
        <w:ind w:left="708"/>
        <w:jc w:val="both"/>
        <w:rPr>
          <w:rFonts w:ascii="Arial Narrow" w:eastAsia="Arial Narrow" w:hAnsi="Arial Narrow" w:cs="Arial Narrow"/>
          <w:bCs/>
          <w:i/>
          <w:iCs/>
          <w:color w:val="000000"/>
          <w:sz w:val="24"/>
          <w:szCs w:val="24"/>
        </w:rPr>
      </w:pPr>
      <w:r w:rsidRPr="00CF6F6C">
        <w:rPr>
          <w:rFonts w:ascii="Arial Narrow" w:eastAsia="Arial Narrow" w:hAnsi="Arial Narrow" w:cs="Arial Narrow"/>
          <w:bCs/>
          <w:i/>
          <w:iCs/>
          <w:color w:val="000000"/>
          <w:sz w:val="24"/>
          <w:szCs w:val="24"/>
        </w:rPr>
        <w:t>PARÁGRAFO 2. Los Planes Nacionales Sectoriales, Planes Integrales de Sustitución y Desarrollo Alternativo, Planes Integrales de Reparación Colectiva, los Planes de Retorno y Reubicación, el Plan Marco de Implementación cuando haya lugar y demás instrumentos derivados del Acuerdo Final deberán articularse con los Programas de Desarrollo con Enfoque Territorial –PDET– y los Planes de Acción para la Transformación Regional –PATR– , garantizando la concurrencia de recursos para su implementación prioritaria, que deberán incluirse en  los planes estratégicos y los planes operativos anuales de  dichas entidades</w:t>
      </w:r>
    </w:p>
    <w:p w:rsidR="008C485F" w:rsidRDefault="008C485F" w:rsidP="008C485F">
      <w:pPr>
        <w:jc w:val="both"/>
        <w:rPr>
          <w:rFonts w:ascii="Arial Narrow" w:eastAsia="Arial Narrow" w:hAnsi="Arial Narrow" w:cs="Arial Narrow"/>
          <w:color w:val="000000"/>
          <w:sz w:val="24"/>
          <w:szCs w:val="24"/>
        </w:rPr>
      </w:pPr>
    </w:p>
    <w:p w:rsidR="008C485F" w:rsidRPr="00AA350B" w:rsidRDefault="008C485F" w:rsidP="008C485F">
      <w:pPr>
        <w:jc w:val="both"/>
        <w:rPr>
          <w:rFonts w:ascii="Arial Narrow" w:eastAsia="Arial Narrow" w:hAnsi="Arial Narrow" w:cs="Arial Narrow"/>
          <w:color w:val="000000"/>
          <w:sz w:val="24"/>
          <w:szCs w:val="24"/>
        </w:rPr>
      </w:pPr>
      <w:r w:rsidRPr="00AA350B">
        <w:rPr>
          <w:rFonts w:ascii="Arial Narrow" w:eastAsia="Arial Narrow" w:hAnsi="Arial Narrow" w:cs="Arial Narrow"/>
          <w:b/>
          <w:color w:val="000000"/>
          <w:sz w:val="24"/>
          <w:szCs w:val="24"/>
        </w:rPr>
        <w:t xml:space="preserve">ARTÍCULO </w:t>
      </w:r>
      <w:r>
        <w:rPr>
          <w:rFonts w:ascii="Arial Narrow" w:eastAsia="Arial Narrow" w:hAnsi="Arial Narrow" w:cs="Arial Narrow"/>
          <w:b/>
          <w:color w:val="000000"/>
          <w:sz w:val="24"/>
          <w:szCs w:val="24"/>
        </w:rPr>
        <w:t>4</w:t>
      </w:r>
      <w:r w:rsidRPr="00AA350B">
        <w:rPr>
          <w:rFonts w:ascii="Arial Narrow" w:eastAsia="Arial Narrow" w:hAnsi="Arial Narrow" w:cs="Arial Narrow"/>
          <w:b/>
          <w:color w:val="000000"/>
          <w:sz w:val="24"/>
          <w:szCs w:val="24"/>
        </w:rPr>
        <w:t>. APOYO AL SANEAMIENTO FISCAL.</w:t>
      </w:r>
      <w:r w:rsidRPr="00AA350B">
        <w:rPr>
          <w:rFonts w:ascii="Arial Narrow" w:eastAsia="Arial Narrow" w:hAnsi="Arial Narrow" w:cs="Arial Narrow"/>
          <w:color w:val="000000"/>
          <w:sz w:val="24"/>
          <w:szCs w:val="24"/>
        </w:rPr>
        <w:t xml:space="preserve"> Modifíquese el artículo 9 del Decreto Ley 893 de 2017 el cual quedará así:</w:t>
      </w:r>
    </w:p>
    <w:p w:rsidR="008C485F" w:rsidRPr="00AA350B" w:rsidRDefault="008C485F" w:rsidP="008C485F">
      <w:pPr>
        <w:jc w:val="both"/>
        <w:rPr>
          <w:rFonts w:ascii="Arial Narrow" w:eastAsia="Arial Narrow" w:hAnsi="Arial Narrow" w:cs="Arial Narrow"/>
          <w:color w:val="000000"/>
          <w:sz w:val="24"/>
          <w:szCs w:val="24"/>
        </w:rPr>
      </w:pPr>
    </w:p>
    <w:p w:rsidR="008C485F" w:rsidRPr="00AA350B" w:rsidRDefault="008C485F" w:rsidP="008C485F">
      <w:pPr>
        <w:ind w:left="708"/>
        <w:jc w:val="both"/>
        <w:rPr>
          <w:rFonts w:ascii="Arial Narrow" w:eastAsia="Arial Narrow" w:hAnsi="Arial Narrow" w:cs="Arial Narrow"/>
          <w:i/>
          <w:iCs/>
          <w:color w:val="000000"/>
          <w:sz w:val="24"/>
          <w:szCs w:val="24"/>
        </w:rPr>
      </w:pPr>
      <w:r w:rsidRPr="00AA350B">
        <w:rPr>
          <w:rFonts w:ascii="Arial Narrow" w:eastAsia="Arial Narrow" w:hAnsi="Arial Narrow" w:cs="Arial Narrow"/>
          <w:b/>
          <w:bCs/>
          <w:i/>
          <w:iCs/>
          <w:color w:val="000000"/>
          <w:sz w:val="24"/>
          <w:szCs w:val="24"/>
        </w:rPr>
        <w:t>ARTÍCULO 9°. Financiación.</w:t>
      </w:r>
      <w:r w:rsidRPr="00AA350B">
        <w:rPr>
          <w:rFonts w:ascii="Arial Narrow" w:eastAsia="Arial Narrow" w:hAnsi="Arial Narrow" w:cs="Arial Narrow"/>
          <w:i/>
          <w:iCs/>
          <w:color w:val="000000"/>
          <w:sz w:val="24"/>
          <w:szCs w:val="24"/>
        </w:rPr>
        <w:t xml:space="preserve"> Para la financiación de los PDET y los PATR el Gobierno Nacional y las entidades territoriales contarán con los recursos del Presupuesto General de la Nación, del Sistema General de Participaciones, del Sistema General de Regalías y las </w:t>
      </w:r>
      <w:r w:rsidRPr="00AA350B">
        <w:rPr>
          <w:rFonts w:ascii="Arial Narrow" w:eastAsia="Arial Narrow" w:hAnsi="Arial Narrow" w:cs="Arial Narrow"/>
          <w:i/>
          <w:iCs/>
          <w:color w:val="000000"/>
          <w:sz w:val="24"/>
          <w:szCs w:val="24"/>
        </w:rPr>
        <w:lastRenderedPageBreak/>
        <w:t>diferentes fuentes de financiación públicas o privadas, conforme a sus respectivos regímenes legales, así como recursos de la cooperación internacional.</w:t>
      </w:r>
    </w:p>
    <w:p w:rsidR="00CF6F6C" w:rsidRDefault="00CF6F6C" w:rsidP="008C485F">
      <w:pPr>
        <w:ind w:left="708"/>
        <w:jc w:val="both"/>
        <w:rPr>
          <w:rFonts w:ascii="Arial Narrow" w:eastAsia="Arial Narrow" w:hAnsi="Arial Narrow" w:cs="Arial Narrow"/>
          <w:i/>
          <w:iCs/>
          <w:color w:val="000000"/>
          <w:sz w:val="24"/>
          <w:szCs w:val="24"/>
        </w:rPr>
      </w:pPr>
    </w:p>
    <w:p w:rsidR="008C485F" w:rsidRPr="00AA350B" w:rsidRDefault="008C485F" w:rsidP="008C485F">
      <w:pPr>
        <w:ind w:left="708"/>
        <w:jc w:val="both"/>
        <w:rPr>
          <w:rFonts w:ascii="Arial Narrow" w:eastAsia="Arial Narrow" w:hAnsi="Arial Narrow" w:cs="Arial Narrow"/>
          <w:i/>
          <w:iCs/>
          <w:color w:val="000000"/>
          <w:sz w:val="24"/>
          <w:szCs w:val="24"/>
        </w:rPr>
      </w:pPr>
      <w:r w:rsidRPr="00AA350B">
        <w:rPr>
          <w:rFonts w:ascii="Arial Narrow" w:eastAsia="Arial Narrow" w:hAnsi="Arial Narrow" w:cs="Arial Narrow"/>
          <w:i/>
          <w:iCs/>
          <w:color w:val="000000"/>
          <w:sz w:val="24"/>
          <w:szCs w:val="24"/>
        </w:rPr>
        <w:t xml:space="preserve">La financiación de los PDET y los PATR se programará en el marco de la sostenibilidad fiscal de acuerdo al marco de gasto de mediano plazo y en estricto cumplimiento de la regla fiscal. En concordancia con el artículo transitorio “Plan de Inversiones para la Paz”, del Acto Legislativo 01 del 2016, estas inversiones serán adicionales a las ya programadas por las entidades públicas del orden nacional y territorial y serán orientadas al cierre de brechas sociales, económicas e institucionales. </w:t>
      </w:r>
    </w:p>
    <w:p w:rsidR="008C485F" w:rsidRPr="00AA350B" w:rsidRDefault="008C485F" w:rsidP="008C485F">
      <w:pPr>
        <w:ind w:left="708"/>
        <w:jc w:val="both"/>
        <w:rPr>
          <w:rFonts w:ascii="Arial Narrow" w:eastAsia="Arial Narrow" w:hAnsi="Arial Narrow" w:cs="Arial Narrow"/>
          <w:i/>
          <w:iCs/>
          <w:color w:val="000000"/>
          <w:sz w:val="24"/>
          <w:szCs w:val="24"/>
        </w:rPr>
      </w:pPr>
    </w:p>
    <w:p w:rsidR="008C485F" w:rsidRPr="00AA350B" w:rsidRDefault="008C485F" w:rsidP="008C485F">
      <w:pPr>
        <w:ind w:left="708"/>
        <w:jc w:val="both"/>
        <w:rPr>
          <w:rFonts w:ascii="Arial Narrow" w:eastAsia="Arial Narrow" w:hAnsi="Arial Narrow" w:cs="Arial Narrow"/>
          <w:color w:val="000000"/>
          <w:sz w:val="24"/>
          <w:szCs w:val="24"/>
        </w:rPr>
      </w:pPr>
      <w:r w:rsidRPr="00AA350B">
        <w:rPr>
          <w:rFonts w:ascii="Arial Narrow" w:eastAsia="Arial Narrow" w:hAnsi="Arial Narrow" w:cs="Arial Narrow"/>
          <w:i/>
          <w:iCs/>
          <w:color w:val="000000"/>
          <w:sz w:val="24"/>
          <w:szCs w:val="24"/>
        </w:rPr>
        <w:t xml:space="preserve">Los municipios PDET podrán, en cualquier momento, contratar créditos en condiciones blandas con entidades financieras de redescuento, quienes implementarán una línea de crédito para tal fin. </w:t>
      </w:r>
    </w:p>
    <w:p w:rsidR="008C485F" w:rsidRDefault="008C485F" w:rsidP="008C485F">
      <w:pPr>
        <w:jc w:val="both"/>
        <w:rPr>
          <w:rFonts w:ascii="Arial Narrow" w:eastAsia="Arial Narrow" w:hAnsi="Arial Narrow" w:cs="Arial Narrow"/>
          <w:b/>
          <w:color w:val="000000"/>
          <w:sz w:val="24"/>
          <w:szCs w:val="24"/>
        </w:rPr>
      </w:pPr>
    </w:p>
    <w:p w:rsidR="008C485F" w:rsidRPr="00AA350B" w:rsidRDefault="008C485F" w:rsidP="008C485F">
      <w:pPr>
        <w:jc w:val="both"/>
        <w:rPr>
          <w:rFonts w:ascii="Arial Narrow" w:eastAsia="Arial Narrow" w:hAnsi="Arial Narrow" w:cs="Arial Narrow"/>
          <w:sz w:val="24"/>
          <w:szCs w:val="24"/>
        </w:rPr>
      </w:pPr>
      <w:r w:rsidRPr="00AA350B">
        <w:rPr>
          <w:rFonts w:ascii="Arial Narrow" w:eastAsia="Arial Narrow" w:hAnsi="Arial Narrow" w:cs="Arial Narrow"/>
          <w:b/>
          <w:sz w:val="24"/>
          <w:szCs w:val="24"/>
        </w:rPr>
        <w:t xml:space="preserve">ARTÍCULO </w:t>
      </w:r>
      <w:r>
        <w:rPr>
          <w:rFonts w:ascii="Arial Narrow" w:eastAsia="Arial Narrow" w:hAnsi="Arial Narrow" w:cs="Arial Narrow"/>
          <w:b/>
          <w:sz w:val="24"/>
          <w:szCs w:val="24"/>
        </w:rPr>
        <w:t>5</w:t>
      </w:r>
      <w:r w:rsidRPr="00AA350B">
        <w:rPr>
          <w:rFonts w:ascii="Arial Narrow" w:eastAsia="Arial Narrow" w:hAnsi="Arial Narrow" w:cs="Arial Narrow"/>
          <w:b/>
          <w:sz w:val="24"/>
          <w:szCs w:val="24"/>
        </w:rPr>
        <w:t xml:space="preserve">. FORTALECIMIENTO DE LA CAPACIDAD DE FORMULACIÓN DE PROYECTOS. </w:t>
      </w:r>
      <w:r w:rsidRPr="00AA350B">
        <w:rPr>
          <w:rFonts w:ascii="Arial Narrow" w:eastAsia="Arial Narrow" w:hAnsi="Arial Narrow" w:cs="Arial Narrow"/>
          <w:sz w:val="24"/>
          <w:szCs w:val="24"/>
        </w:rPr>
        <w:t>Modifíquese el artículo 11 del Decreto Ley 893 de 2017, el cual quedará así:</w:t>
      </w:r>
    </w:p>
    <w:p w:rsidR="008C485F" w:rsidRPr="00AA350B" w:rsidRDefault="008C485F" w:rsidP="008C485F">
      <w:pPr>
        <w:jc w:val="both"/>
        <w:rPr>
          <w:rFonts w:ascii="Arial Narrow" w:eastAsia="Arial Narrow" w:hAnsi="Arial Narrow" w:cs="Arial Narrow"/>
          <w:sz w:val="24"/>
          <w:szCs w:val="24"/>
        </w:rPr>
      </w:pPr>
    </w:p>
    <w:p w:rsidR="008C485F" w:rsidRPr="00AA350B" w:rsidRDefault="008C485F" w:rsidP="008C485F">
      <w:pPr>
        <w:ind w:left="708"/>
        <w:jc w:val="both"/>
        <w:rPr>
          <w:rFonts w:ascii="Arial Narrow" w:eastAsia="Arial Narrow" w:hAnsi="Arial Narrow" w:cs="Arial Narrow"/>
          <w:i/>
          <w:iCs/>
          <w:sz w:val="24"/>
          <w:szCs w:val="24"/>
        </w:rPr>
      </w:pPr>
      <w:r w:rsidRPr="00AA350B">
        <w:rPr>
          <w:rFonts w:ascii="Arial Narrow" w:eastAsia="Arial Narrow" w:hAnsi="Arial Narrow" w:cs="Arial Narrow"/>
          <w:i/>
          <w:iCs/>
          <w:sz w:val="24"/>
          <w:szCs w:val="24"/>
        </w:rPr>
        <w:t xml:space="preserve">Artículo 11. Fortalecimiento de capacidades. Para garantizar la adecuada participación de los actores del territorio en los PDET, el Gobierno nacional, por intermedio de las entidades competentes, pondrá en marcha medidas para fortalecer las capacidades de gobernanza, gestión y planeación, así como de seguimiento, veeduría y control social, respetando la diversidad étnica y cultural e incorporando el enfoque de género. </w:t>
      </w:r>
    </w:p>
    <w:p w:rsidR="008C485F" w:rsidRPr="00AA350B" w:rsidRDefault="008C485F" w:rsidP="008C485F">
      <w:pPr>
        <w:ind w:left="708"/>
        <w:jc w:val="both"/>
        <w:rPr>
          <w:rFonts w:ascii="Arial Narrow" w:eastAsia="Arial Narrow" w:hAnsi="Arial Narrow" w:cs="Arial Narrow"/>
          <w:i/>
          <w:iCs/>
          <w:sz w:val="24"/>
          <w:szCs w:val="24"/>
        </w:rPr>
      </w:pPr>
    </w:p>
    <w:p w:rsidR="008C485F" w:rsidRPr="00AA350B" w:rsidRDefault="008C485F" w:rsidP="008C485F">
      <w:pPr>
        <w:ind w:left="708"/>
        <w:jc w:val="both"/>
        <w:rPr>
          <w:rFonts w:ascii="Arial Narrow" w:eastAsia="Arial Narrow" w:hAnsi="Arial Narrow" w:cs="Arial Narrow"/>
          <w:i/>
          <w:iCs/>
          <w:sz w:val="24"/>
          <w:szCs w:val="24"/>
        </w:rPr>
      </w:pPr>
      <w:r w:rsidRPr="00AA350B">
        <w:rPr>
          <w:rFonts w:ascii="Arial Narrow" w:eastAsia="Arial Narrow" w:hAnsi="Arial Narrow" w:cs="Arial Narrow"/>
          <w:i/>
          <w:iCs/>
          <w:sz w:val="24"/>
          <w:szCs w:val="24"/>
        </w:rPr>
        <w:t>Con tal fin el Gobierno Nacional, por intermedio de Ministerio del Interior, el Departamento Nacional de Planeación, la Unidad de Implementación del Acuerdo Final y la Agencia de Renovación del territorio, adoptará un programa de fortalecimiento de capacidades de los actores territoriales en los municipios beneficiarios de los PDET para garantizar su participación en la implementación de estos programas y facilitar la presentación de proyectos ante las instancias pertinentes.</w:t>
      </w:r>
    </w:p>
    <w:p w:rsidR="008C485F" w:rsidRPr="00AA350B" w:rsidRDefault="008C485F" w:rsidP="008C485F">
      <w:pPr>
        <w:ind w:left="708"/>
        <w:jc w:val="both"/>
        <w:rPr>
          <w:rFonts w:ascii="Arial Narrow" w:eastAsia="Arial Narrow" w:hAnsi="Arial Narrow" w:cs="Arial Narrow"/>
          <w:sz w:val="24"/>
          <w:szCs w:val="24"/>
        </w:rPr>
      </w:pPr>
    </w:p>
    <w:p w:rsidR="008C485F" w:rsidRPr="00AA350B" w:rsidRDefault="008C485F" w:rsidP="008C485F">
      <w:pPr>
        <w:jc w:val="both"/>
        <w:rPr>
          <w:rFonts w:ascii="Arial Narrow" w:eastAsia="Arial Narrow" w:hAnsi="Arial Narrow" w:cs="Arial Narrow"/>
          <w:sz w:val="24"/>
          <w:szCs w:val="24"/>
        </w:rPr>
      </w:pPr>
      <w:r w:rsidRPr="00CF6F6C">
        <w:rPr>
          <w:rFonts w:ascii="Arial Narrow" w:eastAsia="Arial Narrow" w:hAnsi="Arial Narrow" w:cs="Arial Narrow"/>
          <w:b/>
          <w:sz w:val="24"/>
          <w:szCs w:val="24"/>
        </w:rPr>
        <w:t>PARÁGRAFO.</w:t>
      </w:r>
      <w:r w:rsidRPr="00AA350B">
        <w:rPr>
          <w:rFonts w:ascii="Arial Narrow" w:eastAsia="Arial Narrow" w:hAnsi="Arial Narrow" w:cs="Arial Narrow"/>
          <w:sz w:val="24"/>
          <w:szCs w:val="24"/>
        </w:rPr>
        <w:t xml:space="preserve"> El plan referido en el inciso segundo del artículo del Decreto Ley 893 de 2017 modificado según lo dispuesto en este artículo será presentado por el Gobierno Nacional dentro de los seis (6) meses siguientes a la entrada en vigencia de la presente Ley.</w:t>
      </w:r>
    </w:p>
    <w:p w:rsidR="008C485F" w:rsidRDefault="008C485F" w:rsidP="008C485F">
      <w:pPr>
        <w:jc w:val="both"/>
        <w:rPr>
          <w:rFonts w:ascii="Arial Narrow" w:eastAsia="Arial Narrow" w:hAnsi="Arial Narrow" w:cs="Arial Narrow"/>
          <w:b/>
          <w:sz w:val="24"/>
          <w:szCs w:val="24"/>
        </w:rPr>
      </w:pPr>
    </w:p>
    <w:p w:rsidR="008C485F" w:rsidRDefault="008C485F" w:rsidP="008C485F">
      <w:pPr>
        <w:jc w:val="both"/>
        <w:rPr>
          <w:rFonts w:ascii="Arial Narrow" w:eastAsia="Arial Narrow" w:hAnsi="Arial Narrow" w:cs="Arial Narrow"/>
          <w:color w:val="000000"/>
          <w:sz w:val="24"/>
          <w:szCs w:val="24"/>
        </w:rPr>
      </w:pPr>
    </w:p>
    <w:p w:rsidR="008C485F" w:rsidRDefault="008C485F" w:rsidP="008C485F">
      <w:pP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ARTÍCULO 6. SEGUIMIENTO E IMPLEMENTACIÓN.</w:t>
      </w:r>
      <w:r>
        <w:rPr>
          <w:rFonts w:ascii="Arial Narrow" w:eastAsia="Arial Narrow" w:hAnsi="Arial Narrow" w:cs="Arial Narrow"/>
          <w:color w:val="000000"/>
          <w:sz w:val="24"/>
          <w:szCs w:val="24"/>
        </w:rPr>
        <w:t xml:space="preserve"> El Departamento Nacional de Planeación</w:t>
      </w:r>
      <w:r>
        <w:rPr>
          <w:rFonts w:ascii="Arial Narrow" w:eastAsia="Arial Narrow" w:hAnsi="Arial Narrow" w:cs="Arial Narrow"/>
          <w:sz w:val="24"/>
          <w:szCs w:val="24"/>
        </w:rPr>
        <w:t xml:space="preserve"> estructurará</w:t>
      </w:r>
      <w:r>
        <w:rPr>
          <w:rFonts w:ascii="Arial Narrow" w:eastAsia="Arial Narrow" w:hAnsi="Arial Narrow" w:cs="Arial Narrow"/>
          <w:color w:val="000000"/>
          <w:sz w:val="24"/>
          <w:szCs w:val="24"/>
        </w:rPr>
        <w:t xml:space="preserve"> un plan de medidas para el cumplimiento de lo dispuesto en la presente Ley y presentará al Congreso un informe con las disposiciones tomadas desde el Gobierno Nacional y las necesidades legislativas adicionales para el cumplimiento de los objetivos aquí propuestos.</w:t>
      </w:r>
    </w:p>
    <w:p w:rsidR="008C485F" w:rsidRDefault="008C485F" w:rsidP="008C485F">
      <w:pPr>
        <w:jc w:val="both"/>
        <w:rPr>
          <w:rFonts w:ascii="Arial Narrow" w:eastAsia="Arial Narrow" w:hAnsi="Arial Narrow" w:cs="Arial Narrow"/>
          <w:sz w:val="24"/>
          <w:szCs w:val="24"/>
        </w:rPr>
      </w:pPr>
    </w:p>
    <w:p w:rsidR="008C485F" w:rsidRDefault="008C485F" w:rsidP="008C485F">
      <w:pPr>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ARTÍCULO 7. VIGENCIA Y DEROGATORIAS.</w:t>
      </w:r>
      <w:r>
        <w:rPr>
          <w:rFonts w:ascii="Arial Narrow" w:eastAsia="Arial Narrow" w:hAnsi="Arial Narrow" w:cs="Arial Narrow"/>
          <w:color w:val="000000"/>
          <w:sz w:val="24"/>
          <w:szCs w:val="24"/>
        </w:rPr>
        <w:t xml:space="preserve"> La presente Ley rige a partir de su promulgación y deroga todas las disposiciones que le sean expresamente contrarias.</w:t>
      </w:r>
    </w:p>
    <w:p w:rsidR="008C485F" w:rsidRPr="008A302C" w:rsidRDefault="008C485F" w:rsidP="008C485F">
      <w:pPr>
        <w:jc w:val="both"/>
        <w:rPr>
          <w:rFonts w:ascii="Arial Narrow" w:eastAsia="Arial Narrow" w:hAnsi="Arial Narrow" w:cs="Arial Narrow"/>
          <w:color w:val="000000"/>
          <w:sz w:val="24"/>
          <w:szCs w:val="24"/>
        </w:rPr>
      </w:pPr>
    </w:p>
    <w:p w:rsidR="008C485F" w:rsidRPr="00C7658D" w:rsidRDefault="008C485F" w:rsidP="008C485F">
      <w:pPr>
        <w:pBdr>
          <w:top w:val="nil"/>
          <w:left w:val="nil"/>
          <w:bottom w:val="nil"/>
          <w:right w:val="nil"/>
          <w:between w:val="nil"/>
        </w:pBdr>
        <w:jc w:val="both"/>
        <w:rPr>
          <w:rFonts w:ascii="Arial Narrow" w:eastAsia="Arial Narrow" w:hAnsi="Arial Narrow" w:cs="Arial Narrow"/>
          <w:color w:val="000000"/>
          <w:sz w:val="24"/>
          <w:szCs w:val="24"/>
        </w:rPr>
      </w:pPr>
    </w:p>
    <w:p w:rsidR="00C7658D" w:rsidRPr="00C7658D" w:rsidRDefault="00C7658D" w:rsidP="00C7658D">
      <w:pPr>
        <w:tabs>
          <w:tab w:val="left" w:pos="4820"/>
        </w:tabs>
        <w:spacing w:after="0" w:line="240" w:lineRule="auto"/>
        <w:jc w:val="both"/>
        <w:rPr>
          <w:rFonts w:ascii="Arial Narrow" w:eastAsia="Century Gothic" w:hAnsi="Arial Narrow" w:cs="Century Gothic"/>
          <w:sz w:val="24"/>
          <w:szCs w:val="24"/>
          <w:highlight w:val="white"/>
        </w:rPr>
      </w:pPr>
    </w:p>
    <w:p w:rsidR="00C7658D" w:rsidRPr="00C7658D" w:rsidRDefault="00C7658D" w:rsidP="00C7658D">
      <w:pPr>
        <w:tabs>
          <w:tab w:val="left" w:pos="4820"/>
        </w:tabs>
        <w:spacing w:after="0" w:line="240" w:lineRule="auto"/>
        <w:jc w:val="both"/>
        <w:rPr>
          <w:rFonts w:ascii="Arial Narrow" w:eastAsia="Century Gothic" w:hAnsi="Arial Narrow" w:cs="Century Gothic"/>
          <w:sz w:val="24"/>
          <w:szCs w:val="24"/>
          <w:highlight w:val="white"/>
        </w:rPr>
      </w:pPr>
    </w:p>
    <w:p w:rsidR="00C7658D" w:rsidRPr="00C7658D" w:rsidRDefault="00C7658D" w:rsidP="00C7658D">
      <w:pPr>
        <w:tabs>
          <w:tab w:val="left" w:pos="4820"/>
        </w:tabs>
        <w:spacing w:after="0" w:line="240" w:lineRule="auto"/>
        <w:jc w:val="both"/>
        <w:rPr>
          <w:rFonts w:ascii="Arial Narrow" w:eastAsia="Century Gothic" w:hAnsi="Arial Narrow" w:cs="Century Gothic"/>
          <w:sz w:val="24"/>
          <w:szCs w:val="24"/>
          <w:highlight w:val="white"/>
        </w:rPr>
      </w:pPr>
    </w:p>
    <w:p w:rsidR="00C7658D" w:rsidRPr="00C7658D" w:rsidRDefault="00C7658D" w:rsidP="00C7658D">
      <w:pPr>
        <w:tabs>
          <w:tab w:val="left" w:pos="4820"/>
        </w:tabs>
        <w:spacing w:after="0" w:line="240" w:lineRule="auto"/>
        <w:jc w:val="both"/>
        <w:rPr>
          <w:rFonts w:ascii="Arial Narrow" w:eastAsia="Century Gothic" w:hAnsi="Arial Narrow" w:cs="Arial"/>
          <w:sz w:val="24"/>
          <w:szCs w:val="24"/>
          <w:highlight w:val="white"/>
        </w:rPr>
      </w:pPr>
      <w:r w:rsidRPr="00C7658D">
        <w:rPr>
          <w:rFonts w:ascii="Arial Narrow" w:eastAsia="Century Gothic" w:hAnsi="Arial Narrow" w:cs="Arial"/>
          <w:sz w:val="24"/>
          <w:szCs w:val="24"/>
          <w:highlight w:val="white"/>
        </w:rPr>
        <w:t xml:space="preserve">En los anteriores términos fue aprobado </w:t>
      </w:r>
      <w:r w:rsidR="0099350E">
        <w:rPr>
          <w:rFonts w:ascii="Arial Narrow" w:eastAsia="Century Gothic" w:hAnsi="Arial Narrow" w:cs="Arial"/>
          <w:sz w:val="24"/>
          <w:szCs w:val="24"/>
          <w:highlight w:val="white"/>
        </w:rPr>
        <w:t>si</w:t>
      </w:r>
      <w:r w:rsidRPr="00C7658D">
        <w:rPr>
          <w:rFonts w:ascii="Arial Narrow" w:eastAsia="Century Gothic" w:hAnsi="Arial Narrow" w:cs="Arial"/>
          <w:sz w:val="24"/>
          <w:szCs w:val="24"/>
          <w:highlight w:val="white"/>
        </w:rPr>
        <w:t>n modificaciones en primer debate el presente Proyecto de Ley, según consta en el Acta No. 28 de sesión del 11 de diciembre de 2024. Así mismo fue anunciado entre otras fechas el día 10 de diciembre de 2024, según consta en el Acta 05 de Sesión Conjuntas Senado de la República y Cámara de Representantes de esa misma fecha.</w:t>
      </w:r>
    </w:p>
    <w:p w:rsidR="00C7658D" w:rsidRPr="00C7658D" w:rsidRDefault="00C7658D" w:rsidP="00C7658D">
      <w:pPr>
        <w:tabs>
          <w:tab w:val="left" w:pos="5245"/>
        </w:tabs>
        <w:spacing w:after="0" w:line="240" w:lineRule="auto"/>
        <w:rPr>
          <w:rFonts w:ascii="Arial Narrow" w:eastAsia="Century Gothic" w:hAnsi="Arial Narrow" w:cs="Arial"/>
          <w:sz w:val="24"/>
          <w:szCs w:val="24"/>
          <w:highlight w:val="white"/>
        </w:rPr>
      </w:pPr>
    </w:p>
    <w:p w:rsidR="00C7658D" w:rsidRPr="00C7658D" w:rsidRDefault="00C7658D" w:rsidP="00C7658D">
      <w:pPr>
        <w:tabs>
          <w:tab w:val="left" w:pos="5245"/>
          <w:tab w:val="left" w:pos="5529"/>
        </w:tabs>
        <w:spacing w:after="0" w:line="240" w:lineRule="auto"/>
        <w:rPr>
          <w:rFonts w:ascii="Arial Narrow" w:eastAsia="Century Gothic" w:hAnsi="Arial Narrow" w:cs="Arial"/>
          <w:sz w:val="24"/>
          <w:szCs w:val="24"/>
          <w:highlight w:val="white"/>
        </w:rPr>
      </w:pPr>
    </w:p>
    <w:p w:rsidR="00C7658D" w:rsidRPr="00C7658D" w:rsidRDefault="00C7658D" w:rsidP="00C7658D">
      <w:pPr>
        <w:tabs>
          <w:tab w:val="left" w:pos="5245"/>
          <w:tab w:val="left" w:pos="5529"/>
        </w:tabs>
        <w:spacing w:after="0" w:line="240" w:lineRule="auto"/>
        <w:rPr>
          <w:rFonts w:ascii="Arial Narrow" w:eastAsia="Century Gothic" w:hAnsi="Arial Narrow" w:cs="Arial"/>
          <w:sz w:val="24"/>
          <w:szCs w:val="24"/>
          <w:highlight w:val="white"/>
        </w:rPr>
      </w:pPr>
    </w:p>
    <w:p w:rsidR="00C7658D" w:rsidRPr="00C7658D" w:rsidRDefault="00C7658D" w:rsidP="00C7658D">
      <w:pPr>
        <w:tabs>
          <w:tab w:val="left" w:pos="5245"/>
          <w:tab w:val="left" w:pos="5529"/>
        </w:tabs>
        <w:spacing w:after="0" w:line="240" w:lineRule="auto"/>
        <w:rPr>
          <w:rFonts w:ascii="Arial Narrow" w:eastAsia="Century Gothic" w:hAnsi="Arial Narrow" w:cs="Arial"/>
          <w:sz w:val="24"/>
          <w:szCs w:val="24"/>
          <w:highlight w:val="white"/>
        </w:rPr>
      </w:pPr>
    </w:p>
    <w:p w:rsidR="00C7658D" w:rsidRPr="00C7658D" w:rsidRDefault="00C7658D" w:rsidP="00C7658D">
      <w:pPr>
        <w:tabs>
          <w:tab w:val="left" w:pos="5245"/>
          <w:tab w:val="left" w:pos="5529"/>
        </w:tabs>
        <w:spacing w:after="0" w:line="240" w:lineRule="auto"/>
        <w:rPr>
          <w:rFonts w:ascii="Arial Narrow" w:eastAsia="Century Gothic" w:hAnsi="Arial Narrow" w:cs="Arial"/>
          <w:sz w:val="24"/>
          <w:szCs w:val="24"/>
          <w:highlight w:val="white"/>
        </w:rPr>
      </w:pPr>
    </w:p>
    <w:p w:rsidR="00C7658D" w:rsidRPr="00C7658D" w:rsidRDefault="0099350E" w:rsidP="00C7658D">
      <w:pPr>
        <w:tabs>
          <w:tab w:val="left" w:pos="4678"/>
          <w:tab w:val="left" w:pos="5103"/>
        </w:tabs>
        <w:spacing w:after="0" w:line="240" w:lineRule="auto"/>
        <w:rPr>
          <w:rFonts w:ascii="Arial Narrow" w:eastAsia="Century Gothic" w:hAnsi="Arial Narrow" w:cs="Arial"/>
          <w:b/>
          <w:sz w:val="24"/>
          <w:szCs w:val="24"/>
          <w:highlight w:val="white"/>
        </w:rPr>
      </w:pPr>
      <w:r>
        <w:rPr>
          <w:rFonts w:ascii="Arial Narrow" w:eastAsia="Century Gothic" w:hAnsi="Arial Narrow" w:cs="Arial"/>
          <w:b/>
          <w:sz w:val="24"/>
          <w:szCs w:val="24"/>
          <w:highlight w:val="white"/>
        </w:rPr>
        <w:t>JAMES HERMENEGILDO MOSQUERA TORRES</w:t>
      </w:r>
      <w:r w:rsidR="00C7658D" w:rsidRPr="00C7658D">
        <w:rPr>
          <w:rFonts w:ascii="Arial Narrow" w:eastAsia="Century Gothic" w:hAnsi="Arial Narrow" w:cs="Arial"/>
          <w:b/>
          <w:sz w:val="24"/>
          <w:szCs w:val="24"/>
          <w:highlight w:val="white"/>
        </w:rPr>
        <w:t xml:space="preserve"> </w:t>
      </w:r>
      <w:r w:rsidR="00C7658D" w:rsidRPr="00C7658D">
        <w:rPr>
          <w:rFonts w:ascii="Arial Narrow" w:eastAsia="Century Gothic" w:hAnsi="Arial Narrow" w:cs="Arial"/>
          <w:b/>
          <w:sz w:val="24"/>
          <w:szCs w:val="24"/>
          <w:highlight w:val="white"/>
        </w:rPr>
        <w:tab/>
      </w:r>
      <w:r w:rsidR="00C7658D" w:rsidRPr="00C7658D">
        <w:rPr>
          <w:rFonts w:ascii="Arial Narrow" w:eastAsia="Century Gothic" w:hAnsi="Arial Narrow" w:cs="Arial"/>
          <w:b/>
          <w:sz w:val="24"/>
          <w:szCs w:val="24"/>
          <w:highlight w:val="white"/>
        </w:rPr>
        <w:tab/>
        <w:t>ANA PAOLA GARCÍA SOTO</w:t>
      </w:r>
    </w:p>
    <w:p w:rsidR="00C7658D" w:rsidRPr="00C7658D" w:rsidRDefault="00C7658D" w:rsidP="00C7658D">
      <w:pPr>
        <w:tabs>
          <w:tab w:val="left" w:pos="4678"/>
          <w:tab w:val="left" w:pos="5103"/>
        </w:tabs>
        <w:spacing w:after="0" w:line="240" w:lineRule="auto"/>
        <w:rPr>
          <w:rFonts w:ascii="Arial Narrow" w:eastAsia="Century Gothic" w:hAnsi="Arial Narrow" w:cs="Arial"/>
          <w:sz w:val="24"/>
          <w:szCs w:val="24"/>
          <w:highlight w:val="white"/>
        </w:rPr>
      </w:pPr>
      <w:r w:rsidRPr="00C7658D">
        <w:rPr>
          <w:rFonts w:ascii="Arial Narrow" w:eastAsia="Century Gothic" w:hAnsi="Arial Narrow" w:cs="Arial"/>
          <w:sz w:val="24"/>
          <w:szCs w:val="24"/>
          <w:highlight w:val="white"/>
        </w:rPr>
        <w:t>Ponente Único</w:t>
      </w:r>
      <w:r w:rsidRPr="00C7658D">
        <w:rPr>
          <w:rFonts w:ascii="Arial Narrow" w:eastAsia="Century Gothic" w:hAnsi="Arial Narrow" w:cs="Arial"/>
          <w:sz w:val="24"/>
          <w:szCs w:val="24"/>
          <w:highlight w:val="white"/>
        </w:rPr>
        <w:tab/>
      </w:r>
      <w:r w:rsidRPr="00C7658D">
        <w:rPr>
          <w:rFonts w:ascii="Arial Narrow" w:eastAsia="Century Gothic" w:hAnsi="Arial Narrow" w:cs="Arial"/>
          <w:sz w:val="24"/>
          <w:szCs w:val="24"/>
          <w:highlight w:val="white"/>
        </w:rPr>
        <w:tab/>
        <w:t xml:space="preserve">Presidenta </w:t>
      </w:r>
    </w:p>
    <w:p w:rsidR="00C7658D" w:rsidRPr="00C7658D" w:rsidRDefault="00C7658D" w:rsidP="00C7658D">
      <w:pPr>
        <w:tabs>
          <w:tab w:val="left" w:pos="4820"/>
          <w:tab w:val="left" w:pos="5103"/>
        </w:tabs>
        <w:spacing w:after="0" w:line="240" w:lineRule="auto"/>
        <w:rPr>
          <w:rFonts w:ascii="Arial Narrow" w:eastAsia="Century Gothic" w:hAnsi="Arial Narrow" w:cs="Arial"/>
          <w:sz w:val="24"/>
          <w:szCs w:val="24"/>
          <w:highlight w:val="white"/>
        </w:rPr>
      </w:pPr>
    </w:p>
    <w:p w:rsidR="00C7658D" w:rsidRPr="00C7658D" w:rsidRDefault="00C7658D" w:rsidP="00C7658D">
      <w:pPr>
        <w:tabs>
          <w:tab w:val="left" w:pos="4820"/>
          <w:tab w:val="left" w:pos="5103"/>
        </w:tabs>
        <w:spacing w:after="0" w:line="240" w:lineRule="auto"/>
        <w:jc w:val="center"/>
        <w:rPr>
          <w:rFonts w:ascii="Arial Narrow" w:eastAsia="Century Gothic" w:hAnsi="Arial Narrow" w:cs="Arial"/>
          <w:sz w:val="24"/>
          <w:szCs w:val="24"/>
          <w:highlight w:val="white"/>
        </w:rPr>
      </w:pPr>
    </w:p>
    <w:p w:rsidR="00C7658D" w:rsidRPr="00C7658D" w:rsidRDefault="00C7658D" w:rsidP="00C7658D">
      <w:pPr>
        <w:tabs>
          <w:tab w:val="left" w:pos="4820"/>
          <w:tab w:val="left" w:pos="5103"/>
        </w:tabs>
        <w:spacing w:after="0" w:line="240" w:lineRule="auto"/>
        <w:jc w:val="center"/>
        <w:rPr>
          <w:rFonts w:ascii="Arial Narrow" w:eastAsia="Century Gothic" w:hAnsi="Arial Narrow" w:cs="Arial"/>
          <w:sz w:val="24"/>
          <w:szCs w:val="24"/>
          <w:highlight w:val="white"/>
        </w:rPr>
      </w:pPr>
    </w:p>
    <w:p w:rsidR="00C7658D" w:rsidRPr="00C7658D" w:rsidRDefault="00C7658D" w:rsidP="00C7658D">
      <w:pPr>
        <w:tabs>
          <w:tab w:val="left" w:pos="4820"/>
          <w:tab w:val="left" w:pos="5103"/>
        </w:tabs>
        <w:spacing w:after="0" w:line="240" w:lineRule="auto"/>
        <w:jc w:val="center"/>
        <w:rPr>
          <w:rFonts w:ascii="Arial Narrow" w:eastAsia="Century Gothic" w:hAnsi="Arial Narrow" w:cs="Arial"/>
          <w:sz w:val="24"/>
          <w:szCs w:val="24"/>
          <w:highlight w:val="white"/>
        </w:rPr>
      </w:pPr>
    </w:p>
    <w:p w:rsidR="00C7658D" w:rsidRPr="00C7658D" w:rsidRDefault="00C7658D" w:rsidP="00C7658D">
      <w:pPr>
        <w:tabs>
          <w:tab w:val="left" w:pos="4820"/>
          <w:tab w:val="left" w:pos="5103"/>
        </w:tabs>
        <w:spacing w:after="0" w:line="240" w:lineRule="auto"/>
        <w:jc w:val="center"/>
        <w:rPr>
          <w:rFonts w:ascii="Arial Narrow" w:eastAsia="Century Gothic" w:hAnsi="Arial Narrow" w:cs="Arial"/>
          <w:sz w:val="24"/>
          <w:szCs w:val="24"/>
          <w:highlight w:val="white"/>
        </w:rPr>
      </w:pPr>
    </w:p>
    <w:p w:rsidR="00C7658D" w:rsidRPr="00C7658D" w:rsidRDefault="00C7658D" w:rsidP="00C7658D">
      <w:pPr>
        <w:tabs>
          <w:tab w:val="left" w:pos="4678"/>
          <w:tab w:val="left" w:pos="5103"/>
        </w:tabs>
        <w:spacing w:after="0" w:line="240" w:lineRule="auto"/>
        <w:ind w:left="426"/>
        <w:rPr>
          <w:rFonts w:ascii="Arial Narrow" w:eastAsia="Century Gothic" w:hAnsi="Arial Narrow" w:cs="Arial"/>
          <w:b/>
          <w:sz w:val="24"/>
          <w:szCs w:val="24"/>
        </w:rPr>
      </w:pPr>
      <w:r w:rsidRPr="00C7658D">
        <w:rPr>
          <w:rFonts w:ascii="Arial Narrow" w:eastAsia="Century Gothic" w:hAnsi="Arial Narrow" w:cs="Arial"/>
          <w:b/>
          <w:sz w:val="24"/>
          <w:szCs w:val="24"/>
        </w:rPr>
        <w:t xml:space="preserve">                          AMPARO YANETH CALDERON PERDOMO</w:t>
      </w:r>
    </w:p>
    <w:p w:rsidR="00C7658D" w:rsidRPr="00C7658D" w:rsidRDefault="00C7658D" w:rsidP="00C7658D">
      <w:pPr>
        <w:tabs>
          <w:tab w:val="left" w:pos="4678"/>
          <w:tab w:val="left" w:pos="5103"/>
        </w:tabs>
        <w:spacing w:after="0" w:line="240" w:lineRule="auto"/>
        <w:ind w:left="426"/>
        <w:rPr>
          <w:rFonts w:ascii="Arial Narrow" w:eastAsia="Century Gothic" w:hAnsi="Arial Narrow" w:cs="Arial"/>
          <w:sz w:val="24"/>
          <w:szCs w:val="24"/>
          <w:highlight w:val="white"/>
        </w:rPr>
      </w:pPr>
      <w:r w:rsidRPr="00C7658D">
        <w:rPr>
          <w:rFonts w:ascii="Arial Narrow" w:eastAsia="Century Gothic" w:hAnsi="Arial Narrow" w:cs="Arial"/>
          <w:sz w:val="24"/>
          <w:szCs w:val="24"/>
          <w:highlight w:val="white"/>
        </w:rPr>
        <w:t xml:space="preserve">                                                    Secretaria</w:t>
      </w:r>
    </w:p>
    <w:p w:rsidR="008C485F" w:rsidRPr="00C7658D" w:rsidRDefault="008C485F" w:rsidP="008C485F">
      <w:pPr>
        <w:pBdr>
          <w:top w:val="nil"/>
          <w:left w:val="nil"/>
          <w:bottom w:val="nil"/>
          <w:right w:val="nil"/>
          <w:between w:val="nil"/>
        </w:pBdr>
        <w:jc w:val="both"/>
        <w:rPr>
          <w:rFonts w:ascii="Arial Narrow" w:eastAsia="Arial Narrow" w:hAnsi="Arial Narrow" w:cs="Arial Narrow"/>
          <w:color w:val="000000"/>
          <w:sz w:val="24"/>
          <w:szCs w:val="24"/>
        </w:rPr>
      </w:pPr>
    </w:p>
    <w:p w:rsidR="008C485F" w:rsidRDefault="008C485F" w:rsidP="008C485F">
      <w:pPr>
        <w:pBdr>
          <w:top w:val="nil"/>
          <w:left w:val="nil"/>
          <w:bottom w:val="nil"/>
          <w:right w:val="nil"/>
          <w:between w:val="nil"/>
        </w:pBdr>
        <w:jc w:val="both"/>
        <w:rPr>
          <w:rFonts w:ascii="Arial Narrow" w:eastAsia="Arial Narrow" w:hAnsi="Arial Narrow" w:cs="Arial Narrow"/>
          <w:color w:val="000000"/>
          <w:sz w:val="24"/>
          <w:szCs w:val="24"/>
        </w:rPr>
      </w:pPr>
    </w:p>
    <w:p w:rsidR="00CF6F6C" w:rsidRDefault="00CF6F6C" w:rsidP="008C485F">
      <w:pPr>
        <w:pBdr>
          <w:top w:val="nil"/>
          <w:left w:val="nil"/>
          <w:bottom w:val="nil"/>
          <w:right w:val="nil"/>
          <w:between w:val="nil"/>
        </w:pBdr>
        <w:jc w:val="both"/>
        <w:rPr>
          <w:rFonts w:ascii="Arial Narrow" w:eastAsia="Arial Narrow" w:hAnsi="Arial Narrow" w:cs="Arial Narrow"/>
          <w:color w:val="000000"/>
          <w:sz w:val="24"/>
          <w:szCs w:val="24"/>
        </w:rPr>
      </w:pPr>
      <w:bookmarkStart w:id="1" w:name="_GoBack"/>
      <w:bookmarkEnd w:id="1"/>
    </w:p>
    <w:sectPr w:rsidR="00CF6F6C" w:rsidSect="00E66A69">
      <w:headerReference w:type="default" r:id="rId7"/>
      <w:footerReference w:type="default" r:id="rId8"/>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5B6" w:rsidRDefault="001F25B6" w:rsidP="002B77F9">
      <w:pPr>
        <w:spacing w:after="0" w:line="240" w:lineRule="auto"/>
      </w:pPr>
      <w:r>
        <w:separator/>
      </w:r>
    </w:p>
  </w:endnote>
  <w:endnote w:type="continuationSeparator" w:id="0">
    <w:p w:rsidR="001F25B6" w:rsidRDefault="001F25B6"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72FDB" w:rsidRPr="00F31B05" w:rsidRDefault="00C72FDB"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72FDB" w:rsidRPr="00CA7BFC" w:rsidRDefault="00C72FDB"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72FDB" w:rsidRDefault="00C72FDB"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5B6" w:rsidRDefault="001F25B6" w:rsidP="002B77F9">
      <w:pPr>
        <w:spacing w:after="0" w:line="240" w:lineRule="auto"/>
      </w:pPr>
      <w:r>
        <w:separator/>
      </w:r>
    </w:p>
  </w:footnote>
  <w:footnote w:type="continuationSeparator" w:id="0">
    <w:p w:rsidR="001F25B6" w:rsidRDefault="001F25B6"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DB" w:rsidRDefault="001F25B6" w:rsidP="00C72FDB">
    <w:pPr>
      <w:pStyle w:val="Encabezado"/>
      <w:jc w:val="center"/>
    </w:pPr>
    <w:sdt>
      <w:sdtPr>
        <w:id w:val="1036773030"/>
        <w:docPartObj>
          <w:docPartGallery w:val="Page Numbers (Margins)"/>
          <w:docPartUnique/>
        </w:docPartObj>
      </w:sdtPr>
      <w:sdtEndPr/>
      <w:sdtContent>
        <w:r w:rsidR="007118F9">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8F9" w:rsidRDefault="007118F9">
                              <w:pPr>
                                <w:pBdr>
                                  <w:bottom w:val="single" w:sz="4" w:space="1" w:color="auto"/>
                                </w:pBdr>
                              </w:pPr>
                              <w:r>
                                <w:fldChar w:fldCharType="begin"/>
                              </w:r>
                              <w:r>
                                <w:instrText>PAGE   \* MERGEFORMAT</w:instrText>
                              </w:r>
                              <w:r>
                                <w:fldChar w:fldCharType="separate"/>
                              </w:r>
                              <w:r w:rsidR="00752093" w:rsidRPr="00752093">
                                <w:rPr>
                                  <w:noProof/>
                                  <w:lang w:val="es-ES"/>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7118F9" w:rsidRDefault="007118F9">
                        <w:pPr>
                          <w:pBdr>
                            <w:bottom w:val="single" w:sz="4" w:space="1" w:color="auto"/>
                          </w:pBdr>
                        </w:pPr>
                        <w:r>
                          <w:fldChar w:fldCharType="begin"/>
                        </w:r>
                        <w:r>
                          <w:instrText>PAGE   \* MERGEFORMAT</w:instrText>
                        </w:r>
                        <w:r>
                          <w:fldChar w:fldCharType="separate"/>
                        </w:r>
                        <w:r w:rsidR="00752093" w:rsidRPr="00752093">
                          <w:rPr>
                            <w:noProof/>
                            <w:lang w:val="es-ES"/>
                          </w:rPr>
                          <w:t>3</w:t>
                        </w:r>
                        <w:r>
                          <w:fldChar w:fldCharType="end"/>
                        </w:r>
                      </w:p>
                    </w:txbxContent>
                  </v:textbox>
                  <w10:wrap anchorx="margin" anchory="margin"/>
                </v:rect>
              </w:pict>
            </mc:Fallback>
          </mc:AlternateContent>
        </w:r>
      </w:sdtContent>
    </w:sdt>
    <w:r w:rsidR="00C72FDB">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72FDB" w:rsidRDefault="00C72F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7"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8"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num>
  <w:num w:numId="3">
    <w:abstractNumId w:val="9"/>
  </w:num>
  <w:num w:numId="4">
    <w:abstractNumId w:val="1"/>
  </w:num>
  <w:num w:numId="5">
    <w:abstractNumId w:val="2"/>
  </w:num>
  <w:num w:numId="6">
    <w:abstractNumId w:val="6"/>
  </w:num>
  <w:num w:numId="7">
    <w:abstractNumId w:val="0"/>
  </w:num>
  <w:num w:numId="8">
    <w:abstractNumId w:val="13"/>
  </w:num>
  <w:num w:numId="9">
    <w:abstractNumId w:val="8"/>
  </w:num>
  <w:num w:numId="10">
    <w:abstractNumId w:val="10"/>
  </w:num>
  <w:num w:numId="11">
    <w:abstractNumId w:val="19"/>
  </w:num>
  <w:num w:numId="12">
    <w:abstractNumId w:val="15"/>
  </w:num>
  <w:num w:numId="13">
    <w:abstractNumId w:val="18"/>
  </w:num>
  <w:num w:numId="14">
    <w:abstractNumId w:val="14"/>
  </w:num>
  <w:num w:numId="15">
    <w:abstractNumId w:val="12"/>
  </w:num>
  <w:num w:numId="16">
    <w:abstractNumId w:val="16"/>
  </w:num>
  <w:num w:numId="17">
    <w:abstractNumId w:val="11"/>
  </w:num>
  <w:num w:numId="18">
    <w:abstractNumId w:val="3"/>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60965"/>
    <w:rsid w:val="00071BE2"/>
    <w:rsid w:val="00072389"/>
    <w:rsid w:val="000B2703"/>
    <w:rsid w:val="0019687F"/>
    <w:rsid w:val="001A730E"/>
    <w:rsid w:val="001B59F5"/>
    <w:rsid w:val="001C02DA"/>
    <w:rsid w:val="001D46E7"/>
    <w:rsid w:val="001F1108"/>
    <w:rsid w:val="001F25B6"/>
    <w:rsid w:val="001F4B8D"/>
    <w:rsid w:val="00205249"/>
    <w:rsid w:val="00234747"/>
    <w:rsid w:val="00234FE5"/>
    <w:rsid w:val="002502B4"/>
    <w:rsid w:val="00255D5C"/>
    <w:rsid w:val="00260D6F"/>
    <w:rsid w:val="002743DF"/>
    <w:rsid w:val="00286D4E"/>
    <w:rsid w:val="002A00E2"/>
    <w:rsid w:val="002A3EA0"/>
    <w:rsid w:val="002B541B"/>
    <w:rsid w:val="002B77F9"/>
    <w:rsid w:val="002D7DBF"/>
    <w:rsid w:val="002F02B3"/>
    <w:rsid w:val="002F539C"/>
    <w:rsid w:val="00321326"/>
    <w:rsid w:val="00335045"/>
    <w:rsid w:val="00342B29"/>
    <w:rsid w:val="00355892"/>
    <w:rsid w:val="003604D0"/>
    <w:rsid w:val="00376F05"/>
    <w:rsid w:val="003873C2"/>
    <w:rsid w:val="00393CA3"/>
    <w:rsid w:val="00394EAC"/>
    <w:rsid w:val="003C4239"/>
    <w:rsid w:val="003F126E"/>
    <w:rsid w:val="003F5C5D"/>
    <w:rsid w:val="003F7B98"/>
    <w:rsid w:val="003F7F52"/>
    <w:rsid w:val="0043525D"/>
    <w:rsid w:val="00436F33"/>
    <w:rsid w:val="00463B62"/>
    <w:rsid w:val="00464F6C"/>
    <w:rsid w:val="00485F9F"/>
    <w:rsid w:val="0049097B"/>
    <w:rsid w:val="004C0174"/>
    <w:rsid w:val="004C05B3"/>
    <w:rsid w:val="004C57E9"/>
    <w:rsid w:val="004C5D69"/>
    <w:rsid w:val="004D4AE0"/>
    <w:rsid w:val="00511ED4"/>
    <w:rsid w:val="00520C0E"/>
    <w:rsid w:val="00531BD8"/>
    <w:rsid w:val="0054460A"/>
    <w:rsid w:val="00546013"/>
    <w:rsid w:val="0054784F"/>
    <w:rsid w:val="00554A09"/>
    <w:rsid w:val="00566713"/>
    <w:rsid w:val="0057315F"/>
    <w:rsid w:val="00592B55"/>
    <w:rsid w:val="005A2CA1"/>
    <w:rsid w:val="005B4CE4"/>
    <w:rsid w:val="005C604F"/>
    <w:rsid w:val="005D4583"/>
    <w:rsid w:val="005D4CF6"/>
    <w:rsid w:val="005E17D9"/>
    <w:rsid w:val="00615662"/>
    <w:rsid w:val="006263B1"/>
    <w:rsid w:val="00651F09"/>
    <w:rsid w:val="00657E26"/>
    <w:rsid w:val="006842AA"/>
    <w:rsid w:val="006C2025"/>
    <w:rsid w:val="006F5535"/>
    <w:rsid w:val="007118F9"/>
    <w:rsid w:val="00741F4B"/>
    <w:rsid w:val="00752093"/>
    <w:rsid w:val="00767102"/>
    <w:rsid w:val="00770A1E"/>
    <w:rsid w:val="00784634"/>
    <w:rsid w:val="007A64EA"/>
    <w:rsid w:val="007C1176"/>
    <w:rsid w:val="007C791A"/>
    <w:rsid w:val="007F02A1"/>
    <w:rsid w:val="0081409F"/>
    <w:rsid w:val="008214EF"/>
    <w:rsid w:val="0083563E"/>
    <w:rsid w:val="008356FB"/>
    <w:rsid w:val="00836D1A"/>
    <w:rsid w:val="00864666"/>
    <w:rsid w:val="00864E81"/>
    <w:rsid w:val="008948A9"/>
    <w:rsid w:val="008C485F"/>
    <w:rsid w:val="008C4F3D"/>
    <w:rsid w:val="008C5C63"/>
    <w:rsid w:val="008D5251"/>
    <w:rsid w:val="008F3182"/>
    <w:rsid w:val="009230CE"/>
    <w:rsid w:val="00923E69"/>
    <w:rsid w:val="00930B4E"/>
    <w:rsid w:val="0093261F"/>
    <w:rsid w:val="009338BD"/>
    <w:rsid w:val="00971B33"/>
    <w:rsid w:val="00980BCD"/>
    <w:rsid w:val="00986396"/>
    <w:rsid w:val="00993253"/>
    <w:rsid w:val="0099350E"/>
    <w:rsid w:val="009A138B"/>
    <w:rsid w:val="009A58FC"/>
    <w:rsid w:val="009C12A5"/>
    <w:rsid w:val="009F5598"/>
    <w:rsid w:val="00A25E23"/>
    <w:rsid w:val="00A43CC7"/>
    <w:rsid w:val="00A46D79"/>
    <w:rsid w:val="00A75B7B"/>
    <w:rsid w:val="00A75CDA"/>
    <w:rsid w:val="00A872C8"/>
    <w:rsid w:val="00A952CD"/>
    <w:rsid w:val="00A95D13"/>
    <w:rsid w:val="00AB14CD"/>
    <w:rsid w:val="00AD3B2D"/>
    <w:rsid w:val="00AE692D"/>
    <w:rsid w:val="00AF36DE"/>
    <w:rsid w:val="00AF7024"/>
    <w:rsid w:val="00AF764F"/>
    <w:rsid w:val="00B01CAB"/>
    <w:rsid w:val="00B17EFD"/>
    <w:rsid w:val="00B445A7"/>
    <w:rsid w:val="00B45F28"/>
    <w:rsid w:val="00B60DFC"/>
    <w:rsid w:val="00BB52F2"/>
    <w:rsid w:val="00BC47DE"/>
    <w:rsid w:val="00BD4141"/>
    <w:rsid w:val="00C0765C"/>
    <w:rsid w:val="00C41881"/>
    <w:rsid w:val="00C421C4"/>
    <w:rsid w:val="00C5586A"/>
    <w:rsid w:val="00C72FDB"/>
    <w:rsid w:val="00C74091"/>
    <w:rsid w:val="00C7658D"/>
    <w:rsid w:val="00C81DC9"/>
    <w:rsid w:val="00C90D70"/>
    <w:rsid w:val="00C91D4B"/>
    <w:rsid w:val="00CA1400"/>
    <w:rsid w:val="00CF4523"/>
    <w:rsid w:val="00CF6F6C"/>
    <w:rsid w:val="00D33DBE"/>
    <w:rsid w:val="00D42340"/>
    <w:rsid w:val="00D87E48"/>
    <w:rsid w:val="00D911EB"/>
    <w:rsid w:val="00DB30E5"/>
    <w:rsid w:val="00DC15B5"/>
    <w:rsid w:val="00DC757E"/>
    <w:rsid w:val="00DE5B04"/>
    <w:rsid w:val="00DF1873"/>
    <w:rsid w:val="00DF48FD"/>
    <w:rsid w:val="00DF514E"/>
    <w:rsid w:val="00E0796D"/>
    <w:rsid w:val="00E2117A"/>
    <w:rsid w:val="00E35FD6"/>
    <w:rsid w:val="00E50203"/>
    <w:rsid w:val="00E56423"/>
    <w:rsid w:val="00E61EC5"/>
    <w:rsid w:val="00E66A69"/>
    <w:rsid w:val="00E7734E"/>
    <w:rsid w:val="00E81991"/>
    <w:rsid w:val="00ED1DD7"/>
    <w:rsid w:val="00F076AA"/>
    <w:rsid w:val="00F1201D"/>
    <w:rsid w:val="00F20DA4"/>
    <w:rsid w:val="00F22E0C"/>
    <w:rsid w:val="00F27207"/>
    <w:rsid w:val="00F3400C"/>
    <w:rsid w:val="00F43BBF"/>
    <w:rsid w:val="00FB07C2"/>
    <w:rsid w:val="00FC0521"/>
    <w:rsid w:val="00FE7D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1143</Words>
  <Characters>6292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8</cp:revision>
  <cp:lastPrinted>2024-06-13T12:53:00Z</cp:lastPrinted>
  <dcterms:created xsi:type="dcterms:W3CDTF">2024-12-13T17:38:00Z</dcterms:created>
  <dcterms:modified xsi:type="dcterms:W3CDTF">2024-12-16T17:30:00Z</dcterms:modified>
</cp:coreProperties>
</file>