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505" w:rsidRDefault="00350505" w:rsidP="00AA11E8">
      <w:pPr>
        <w:spacing w:line="276" w:lineRule="auto"/>
        <w:jc w:val="center"/>
        <w:rPr>
          <w:rFonts w:ascii="Arial Narrow" w:eastAsia="Century Gothic" w:hAnsi="Arial Narrow" w:cs="Century Gothic"/>
          <w:b/>
          <w:sz w:val="28"/>
          <w:szCs w:val="28"/>
        </w:rPr>
      </w:pPr>
    </w:p>
    <w:p w:rsidR="00AA11E8" w:rsidRDefault="00711980" w:rsidP="00AA11E8">
      <w:pPr>
        <w:spacing w:line="276" w:lineRule="auto"/>
        <w:jc w:val="center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 w:rsidRPr="00AA11E8">
        <w:rPr>
          <w:rFonts w:ascii="Arial Narrow" w:eastAsia="Century Gothic" w:hAnsi="Arial Narrow" w:cs="Century Gothic"/>
          <w:b/>
          <w:sz w:val="28"/>
          <w:szCs w:val="28"/>
        </w:rPr>
        <w:t>TEXTO APROBADO EN PRIMER DEBATE,  EN LA COMISIÓN PRIMERA D</w:t>
      </w:r>
      <w:r w:rsidR="00B0271C" w:rsidRPr="00AA11E8">
        <w:rPr>
          <w:rFonts w:ascii="Arial Narrow" w:eastAsia="Century Gothic" w:hAnsi="Arial Narrow" w:cs="Century Gothic"/>
          <w:b/>
          <w:sz w:val="28"/>
          <w:szCs w:val="28"/>
        </w:rPr>
        <w:t>E LA CÁMARA DE REPRESENTANTES A</w:t>
      </w:r>
      <w:r w:rsidRPr="00AA11E8">
        <w:rPr>
          <w:rFonts w:ascii="Arial Narrow" w:eastAsia="Century Gothic" w:hAnsi="Arial Narrow" w:cs="Century Gothic"/>
          <w:b/>
          <w:sz w:val="28"/>
          <w:szCs w:val="28"/>
        </w:rPr>
        <w:t xml:space="preserve">L PROYECTO DE </w:t>
      </w:r>
      <w:r w:rsidR="008455FF" w:rsidRPr="00AA11E8">
        <w:rPr>
          <w:rFonts w:ascii="Arial Narrow" w:hAnsi="Arial Narrow"/>
          <w:b/>
          <w:sz w:val="28"/>
          <w:szCs w:val="28"/>
        </w:rPr>
        <w:t xml:space="preserve"> LEY No</w:t>
      </w:r>
      <w:r w:rsidRPr="00AA11E8">
        <w:rPr>
          <w:rFonts w:ascii="Arial Narrow" w:hAnsi="Arial Narrow"/>
          <w:b/>
          <w:sz w:val="28"/>
          <w:szCs w:val="28"/>
        </w:rPr>
        <w:t>.</w:t>
      </w:r>
      <w:r w:rsidR="001E0CB5" w:rsidRPr="00AA11E8">
        <w:rPr>
          <w:rFonts w:ascii="Arial Narrow" w:hAnsi="Arial Narrow"/>
          <w:b/>
          <w:sz w:val="28"/>
          <w:szCs w:val="28"/>
        </w:rPr>
        <w:t xml:space="preserve"> </w:t>
      </w:r>
      <w:r w:rsidR="00E74856" w:rsidRPr="00AA11E8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017 DE 2021 CÁMARA </w:t>
      </w:r>
    </w:p>
    <w:p w:rsidR="00E74856" w:rsidRPr="00AA11E8" w:rsidRDefault="00E74856" w:rsidP="00AA11E8">
      <w:pPr>
        <w:spacing w:line="276" w:lineRule="auto"/>
        <w:jc w:val="center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 w:rsidRPr="00AA11E8">
        <w:rPr>
          <w:rFonts w:ascii="Arial Narrow" w:hAnsi="Arial Narrow" w:cs="Arial"/>
          <w:b/>
          <w:bCs/>
          <w:color w:val="000000" w:themeColor="text1"/>
          <w:sz w:val="28"/>
          <w:szCs w:val="28"/>
          <w:lang w:val="es-ES_tradnl"/>
        </w:rPr>
        <w:t>“POR MEDIO DEL CUAL SE ESTABLECEN MEDIDAS QUE PROTEJAN EL DERECHO A LA INTIMIDAD DE LOS CONSUMIDORES FINANCIEROS”</w:t>
      </w:r>
    </w:p>
    <w:p w:rsidR="00E74856" w:rsidRPr="00AA11E8" w:rsidRDefault="00E74856" w:rsidP="00E74856">
      <w:pPr>
        <w:adjustRightInd w:val="0"/>
        <w:spacing w:after="57" w:line="276" w:lineRule="auto"/>
        <w:contextualSpacing/>
        <w:jc w:val="center"/>
        <w:textAlignment w:val="center"/>
        <w:rPr>
          <w:rFonts w:ascii="Arial Narrow" w:hAnsi="Arial Narrow" w:cs="Arial"/>
          <w:b/>
          <w:bCs/>
          <w:color w:val="000000" w:themeColor="text1"/>
          <w:sz w:val="28"/>
          <w:szCs w:val="28"/>
          <w:lang w:val="es-ES_tradnl"/>
        </w:rPr>
      </w:pPr>
    </w:p>
    <w:p w:rsidR="00E74856" w:rsidRPr="00AA11E8" w:rsidRDefault="00E74856" w:rsidP="00E74856">
      <w:pPr>
        <w:adjustRightInd w:val="0"/>
        <w:spacing w:after="57" w:line="276" w:lineRule="auto"/>
        <w:contextualSpacing/>
        <w:jc w:val="center"/>
        <w:textAlignment w:val="center"/>
        <w:rPr>
          <w:rFonts w:ascii="Arial Narrow" w:hAnsi="Arial Narrow" w:cs="Arial"/>
          <w:b/>
          <w:bCs/>
          <w:color w:val="000000" w:themeColor="text1"/>
          <w:sz w:val="28"/>
          <w:szCs w:val="28"/>
          <w:lang w:val="es-ES_tradnl"/>
        </w:rPr>
      </w:pPr>
    </w:p>
    <w:p w:rsidR="00E74856" w:rsidRPr="00AA11E8" w:rsidRDefault="00E74856" w:rsidP="00E74856">
      <w:pPr>
        <w:adjustRightInd w:val="0"/>
        <w:spacing w:after="57" w:line="276" w:lineRule="auto"/>
        <w:contextualSpacing/>
        <w:jc w:val="center"/>
        <w:textAlignment w:val="center"/>
        <w:rPr>
          <w:rFonts w:ascii="Arial Narrow" w:hAnsi="Arial Narrow" w:cs="Arial"/>
          <w:b/>
          <w:bCs/>
          <w:color w:val="000000" w:themeColor="text1"/>
          <w:sz w:val="28"/>
          <w:szCs w:val="28"/>
          <w:lang w:val="es-ES_tradnl"/>
        </w:rPr>
      </w:pPr>
      <w:r w:rsidRPr="00AA11E8">
        <w:rPr>
          <w:rFonts w:ascii="Arial Narrow" w:hAnsi="Arial Narrow" w:cs="Arial"/>
          <w:b/>
          <w:bCs/>
          <w:color w:val="000000" w:themeColor="text1"/>
          <w:sz w:val="28"/>
          <w:szCs w:val="28"/>
          <w:lang w:val="es-ES_tradnl"/>
        </w:rPr>
        <w:t>EL CONGRESO DE COLOMBIA</w:t>
      </w:r>
    </w:p>
    <w:p w:rsidR="00AA11E8" w:rsidRPr="00AA11E8" w:rsidRDefault="00AA11E8" w:rsidP="00E74856">
      <w:pPr>
        <w:adjustRightInd w:val="0"/>
        <w:spacing w:after="57" w:line="276" w:lineRule="auto"/>
        <w:contextualSpacing/>
        <w:jc w:val="center"/>
        <w:textAlignment w:val="center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E74856" w:rsidRPr="00AA11E8" w:rsidRDefault="00E74856" w:rsidP="00E74856">
      <w:pPr>
        <w:adjustRightInd w:val="0"/>
        <w:spacing w:after="57" w:line="276" w:lineRule="auto"/>
        <w:contextualSpacing/>
        <w:jc w:val="center"/>
        <w:textAlignment w:val="center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 w:rsidRPr="00AA11E8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DECRETA</w:t>
      </w:r>
      <w:r w:rsidR="00AA11E8" w:rsidRPr="00AA11E8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:</w:t>
      </w:r>
    </w:p>
    <w:p w:rsidR="00E74856" w:rsidRPr="00AA11E8" w:rsidRDefault="00E74856" w:rsidP="00E74856">
      <w:pPr>
        <w:adjustRightInd w:val="0"/>
        <w:spacing w:after="57" w:line="276" w:lineRule="auto"/>
        <w:contextualSpacing/>
        <w:jc w:val="both"/>
        <w:textAlignment w:val="center"/>
        <w:rPr>
          <w:rFonts w:ascii="Arial Narrow" w:hAnsi="Arial Narrow" w:cs="Arial"/>
          <w:b/>
          <w:bCs/>
          <w:color w:val="000000" w:themeColor="text1"/>
          <w:sz w:val="28"/>
          <w:szCs w:val="28"/>
          <w:lang w:val="es-ES_tradnl"/>
        </w:rPr>
      </w:pPr>
    </w:p>
    <w:p w:rsidR="00E74856" w:rsidRPr="00AA11E8" w:rsidRDefault="00E74856" w:rsidP="00E74856">
      <w:pPr>
        <w:jc w:val="both"/>
        <w:rPr>
          <w:rFonts w:ascii="Arial Narrow" w:eastAsia="Arial" w:hAnsi="Arial Narrow" w:cs="Arial"/>
          <w:color w:val="000000" w:themeColor="text1"/>
          <w:sz w:val="28"/>
          <w:szCs w:val="28"/>
          <w:lang w:val="es-ES_tradnl"/>
        </w:rPr>
      </w:pPr>
    </w:p>
    <w:p w:rsidR="00E74856" w:rsidRPr="00AA11E8" w:rsidRDefault="00E74856" w:rsidP="00E7485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AA11E8">
        <w:rPr>
          <w:rFonts w:ascii="Arial Narrow" w:hAnsi="Arial Narrow"/>
          <w:b/>
          <w:color w:val="000000" w:themeColor="text1"/>
          <w:sz w:val="28"/>
          <w:szCs w:val="28"/>
        </w:rPr>
        <w:t xml:space="preserve">Artículo 1. Objeto. </w:t>
      </w:r>
      <w:r w:rsidRPr="00AA11E8">
        <w:rPr>
          <w:rFonts w:ascii="Arial Narrow" w:hAnsi="Arial Narrow"/>
          <w:color w:val="000000" w:themeColor="text1"/>
          <w:sz w:val="28"/>
          <w:szCs w:val="28"/>
        </w:rPr>
        <w:t>La presente ley tiene por objeto proteger el derecho a la intimidad de los consumidores financieros, durante las horas inhábiles, los fines de semana y días festivos, restringiendo los contactos a través de mensajes de texto, mensajes de datos, llamadas telefónicas, correos electrónicos y similares, provenientes de las entidades vigiladas por la Superintendencia Financiera.</w:t>
      </w:r>
    </w:p>
    <w:p w:rsidR="00AA11E8" w:rsidRPr="00AA11E8" w:rsidRDefault="00AA11E8" w:rsidP="00E74856">
      <w:pPr>
        <w:jc w:val="both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E74856" w:rsidRPr="00AA11E8" w:rsidRDefault="00E74856" w:rsidP="00E7485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AA11E8">
        <w:rPr>
          <w:rFonts w:ascii="Arial Narrow" w:hAnsi="Arial Narrow"/>
          <w:b/>
          <w:color w:val="000000" w:themeColor="text1"/>
          <w:sz w:val="28"/>
          <w:szCs w:val="28"/>
        </w:rPr>
        <w:t>Artículo 2.</w:t>
      </w:r>
      <w:r w:rsidRPr="00AA11E8">
        <w:rPr>
          <w:rFonts w:ascii="Arial Narrow" w:hAnsi="Arial Narrow"/>
          <w:color w:val="000000" w:themeColor="text1"/>
          <w:sz w:val="28"/>
          <w:szCs w:val="28"/>
        </w:rPr>
        <w:t xml:space="preserve"> Las entidades vigiladas usarán para los contactos exclusivamente el canal suministrado al efecto por el consumidor financiero.</w:t>
      </w:r>
    </w:p>
    <w:p w:rsidR="00AA11E8" w:rsidRPr="00AA11E8" w:rsidRDefault="00AA11E8" w:rsidP="00E74856">
      <w:pPr>
        <w:jc w:val="both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E74856" w:rsidRPr="00AA11E8" w:rsidRDefault="00E74856" w:rsidP="00E7485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AA11E8">
        <w:rPr>
          <w:rFonts w:ascii="Arial Narrow" w:hAnsi="Arial Narrow"/>
          <w:b/>
          <w:color w:val="000000" w:themeColor="text1"/>
          <w:sz w:val="28"/>
          <w:szCs w:val="28"/>
        </w:rPr>
        <w:t>Artículo 3.</w:t>
      </w:r>
      <w:r w:rsidRPr="00AA11E8">
        <w:rPr>
          <w:rFonts w:ascii="Arial Narrow" w:hAnsi="Arial Narrow"/>
          <w:color w:val="000000" w:themeColor="text1"/>
          <w:sz w:val="28"/>
          <w:szCs w:val="28"/>
        </w:rPr>
        <w:t xml:space="preserve"> En ningún caso, el consumidor financiero será contactado por más de dos canales durante una misma semana.</w:t>
      </w:r>
    </w:p>
    <w:p w:rsidR="00AA11E8" w:rsidRPr="00AA11E8" w:rsidRDefault="00AA11E8" w:rsidP="00E74856">
      <w:pPr>
        <w:jc w:val="both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E74856" w:rsidRPr="00AA11E8" w:rsidRDefault="00E74856" w:rsidP="00E7485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AA11E8">
        <w:rPr>
          <w:rFonts w:ascii="Arial Narrow" w:hAnsi="Arial Narrow"/>
          <w:b/>
          <w:color w:val="000000" w:themeColor="text1"/>
          <w:sz w:val="28"/>
          <w:szCs w:val="28"/>
        </w:rPr>
        <w:t xml:space="preserve">Artículo 4. </w:t>
      </w:r>
      <w:r w:rsidRPr="00AA11E8">
        <w:rPr>
          <w:rFonts w:ascii="Arial Narrow" w:hAnsi="Arial Narrow"/>
          <w:color w:val="000000" w:themeColor="text1"/>
          <w:sz w:val="28"/>
          <w:szCs w:val="28"/>
        </w:rPr>
        <w:t xml:space="preserve"> En ningún caso, el consumidor financiero será contactado en más de una ocasión durante el mismo día.</w:t>
      </w:r>
    </w:p>
    <w:p w:rsidR="00AA11E8" w:rsidRPr="00AA11E8" w:rsidRDefault="00AA11E8" w:rsidP="00E74856">
      <w:pPr>
        <w:jc w:val="both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E74856" w:rsidRPr="00AA11E8" w:rsidRDefault="00E74856" w:rsidP="00E7485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AA11E8">
        <w:rPr>
          <w:rFonts w:ascii="Arial Narrow" w:hAnsi="Arial Narrow"/>
          <w:b/>
          <w:color w:val="000000" w:themeColor="text1"/>
          <w:sz w:val="28"/>
          <w:szCs w:val="28"/>
        </w:rPr>
        <w:t>Artículo 5.</w:t>
      </w:r>
      <w:r w:rsidRPr="00AA11E8">
        <w:rPr>
          <w:rFonts w:ascii="Arial Narrow" w:hAnsi="Arial Narrow"/>
          <w:color w:val="000000" w:themeColor="text1"/>
          <w:sz w:val="28"/>
          <w:szCs w:val="28"/>
        </w:rPr>
        <w:t xml:space="preserve"> En ningún caso, las entidades vigiladas por la Superintendencia financiera podrán contactar a las referencias, avalista, codeudor y deudor solidario hasta pasados 30 días hábiles desde entrada de la obligación en mora, y el contacto se hará en las mismas condiciones que establece la presente ley.</w:t>
      </w:r>
    </w:p>
    <w:p w:rsidR="00AA11E8" w:rsidRPr="00AA11E8" w:rsidRDefault="00AA11E8" w:rsidP="00E74856">
      <w:pPr>
        <w:jc w:val="both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E74856" w:rsidRPr="00AA11E8" w:rsidRDefault="00E74856" w:rsidP="00E7485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AA11E8">
        <w:rPr>
          <w:rFonts w:ascii="Arial Narrow" w:hAnsi="Arial Narrow"/>
          <w:b/>
          <w:color w:val="000000" w:themeColor="text1"/>
          <w:sz w:val="28"/>
          <w:szCs w:val="28"/>
        </w:rPr>
        <w:t>Artículo 6.</w:t>
      </w:r>
      <w:r w:rsidRPr="00AA11E8">
        <w:rPr>
          <w:rFonts w:ascii="Arial Narrow" w:hAnsi="Arial Narrow"/>
          <w:color w:val="000000" w:themeColor="text1"/>
          <w:sz w:val="28"/>
          <w:szCs w:val="28"/>
        </w:rPr>
        <w:t xml:space="preserve"> Las entidades vigiladas por la Superintendencia financiera deberán contactar al consumidor financiero únicamente los días hábiles, de lunes a viernes, de 8 am a 6 pm.</w:t>
      </w:r>
    </w:p>
    <w:p w:rsidR="00AA11E8" w:rsidRPr="00AA11E8" w:rsidRDefault="00AA11E8" w:rsidP="00E74856">
      <w:pPr>
        <w:jc w:val="both"/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:rsidR="00E74856" w:rsidRPr="00AA11E8" w:rsidRDefault="00E74856" w:rsidP="00E7485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AA11E8">
        <w:rPr>
          <w:rFonts w:ascii="Arial Narrow" w:hAnsi="Arial Narrow"/>
          <w:b/>
          <w:bCs/>
          <w:color w:val="000000" w:themeColor="text1"/>
          <w:sz w:val="28"/>
          <w:szCs w:val="28"/>
        </w:rPr>
        <w:lastRenderedPageBreak/>
        <w:t xml:space="preserve">Artículo 7. </w:t>
      </w:r>
      <w:r w:rsidRPr="00AA11E8">
        <w:rPr>
          <w:rFonts w:ascii="Arial Narrow" w:hAnsi="Arial Narrow"/>
          <w:color w:val="000000" w:themeColor="text1"/>
          <w:sz w:val="28"/>
          <w:szCs w:val="28"/>
        </w:rPr>
        <w:t>Las entidades vigiladas por la Superintendencia financiera deberán abstenerse, salvo autorización escrita, de hacer visitas al domicilio o al lugar de trabajo del consumidor financiero.</w:t>
      </w:r>
    </w:p>
    <w:p w:rsidR="00AA11E8" w:rsidRPr="00AA11E8" w:rsidRDefault="00AA11E8" w:rsidP="00E74856">
      <w:pPr>
        <w:jc w:val="both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E74856" w:rsidRPr="00AA11E8" w:rsidRDefault="00E74856" w:rsidP="00E7485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AA11E8">
        <w:rPr>
          <w:rFonts w:ascii="Arial Narrow" w:hAnsi="Arial Narrow"/>
          <w:b/>
          <w:color w:val="000000" w:themeColor="text1"/>
          <w:sz w:val="28"/>
          <w:szCs w:val="28"/>
        </w:rPr>
        <w:t>Artículo 8.</w:t>
      </w:r>
      <w:r w:rsidRPr="00AA11E8">
        <w:rPr>
          <w:rFonts w:ascii="Arial Narrow" w:hAnsi="Arial Narrow"/>
          <w:color w:val="000000" w:themeColor="text1"/>
          <w:sz w:val="28"/>
          <w:szCs w:val="28"/>
        </w:rPr>
        <w:t xml:space="preserve"> Las entidades vigiladas por la Superintendencia financiera deberán abstenerse de consultar al consumidor financiero el motivo del incumplimiento de la obligación.</w:t>
      </w:r>
    </w:p>
    <w:p w:rsidR="00AA11E8" w:rsidRPr="00AA11E8" w:rsidRDefault="00AA11E8" w:rsidP="00E74856">
      <w:pPr>
        <w:jc w:val="both"/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:rsidR="00E74856" w:rsidRPr="00AA11E8" w:rsidRDefault="00E74856" w:rsidP="00E7485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AA11E8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Artículo 9. </w:t>
      </w:r>
      <w:r w:rsidRPr="00AA11E8">
        <w:rPr>
          <w:rFonts w:ascii="Arial Narrow" w:hAnsi="Arial Narrow"/>
          <w:color w:val="000000" w:themeColor="text1"/>
          <w:sz w:val="28"/>
          <w:szCs w:val="28"/>
        </w:rPr>
        <w:t>Se exceptúan de las medidas anteriores los contactos que tengan como finalidad generar alertas sobre transacciones fraudulentas, inusuales o sospechosas.</w:t>
      </w:r>
    </w:p>
    <w:p w:rsidR="00AA11E8" w:rsidRPr="00AA11E8" w:rsidRDefault="00AA11E8" w:rsidP="00E74856">
      <w:pPr>
        <w:jc w:val="both"/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:rsidR="00E74856" w:rsidRPr="00AA11E8" w:rsidRDefault="00E74856" w:rsidP="00E7485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AA11E8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Artículo 10. </w:t>
      </w:r>
      <w:r w:rsidRPr="00AA11E8">
        <w:rPr>
          <w:rFonts w:ascii="Arial Narrow" w:hAnsi="Arial Narrow"/>
          <w:color w:val="000000" w:themeColor="text1"/>
          <w:sz w:val="28"/>
          <w:szCs w:val="28"/>
        </w:rPr>
        <w:t>El incumplimiento de las medidas de protección de que trata la presente ley, se considerará práctica abusiva en los términos del artículo 12 de la Ley 1328 de 2009, y se sancionará conforme al Capítulo VIII del Título I de la misma y sus normas complementarias.</w:t>
      </w:r>
    </w:p>
    <w:p w:rsidR="00AA11E8" w:rsidRPr="00AA11E8" w:rsidRDefault="00AA11E8" w:rsidP="00E74856">
      <w:pPr>
        <w:jc w:val="both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E74856" w:rsidRPr="00AA11E8" w:rsidRDefault="00E74856" w:rsidP="00E74856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AA11E8">
        <w:rPr>
          <w:rFonts w:ascii="Arial Narrow" w:hAnsi="Arial Narrow"/>
          <w:b/>
          <w:color w:val="000000" w:themeColor="text1"/>
          <w:sz w:val="28"/>
          <w:szCs w:val="28"/>
        </w:rPr>
        <w:t>Artículo 11. Vigencia</w:t>
      </w:r>
      <w:r w:rsidRPr="00AA11E8">
        <w:rPr>
          <w:rFonts w:ascii="Arial Narrow" w:hAnsi="Arial Narrow"/>
          <w:color w:val="000000" w:themeColor="text1"/>
          <w:sz w:val="28"/>
          <w:szCs w:val="28"/>
        </w:rPr>
        <w:t>.  La presente Ley rige a partir de su promulgación y deroga las disposiciones que le sean contrarias.</w:t>
      </w:r>
    </w:p>
    <w:p w:rsidR="00E74856" w:rsidRPr="00AA11E8" w:rsidRDefault="00E74856" w:rsidP="00E74856">
      <w:pPr>
        <w:spacing w:after="200"/>
        <w:jc w:val="both"/>
        <w:rPr>
          <w:rFonts w:ascii="Arial Narrow" w:eastAsia="Arial" w:hAnsi="Arial Narrow" w:cs="Arial"/>
          <w:color w:val="000000" w:themeColor="text1"/>
          <w:sz w:val="28"/>
          <w:szCs w:val="28"/>
        </w:rPr>
      </w:pPr>
    </w:p>
    <w:p w:rsidR="00E74856" w:rsidRPr="00AA11E8" w:rsidRDefault="00E74856" w:rsidP="001E0C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 Narrow" w:eastAsia="Century Gothic" w:hAnsi="Arial Narrow" w:cs="Century Gothic"/>
          <w:b/>
          <w:color w:val="000000"/>
          <w:sz w:val="28"/>
          <w:szCs w:val="28"/>
        </w:rPr>
      </w:pPr>
    </w:p>
    <w:p w:rsidR="008D0B2B" w:rsidRPr="00AA11E8" w:rsidRDefault="008D0B2B">
      <w:pPr>
        <w:spacing w:after="240" w:line="276" w:lineRule="auto"/>
        <w:jc w:val="both"/>
        <w:rPr>
          <w:rFonts w:ascii="Arial Narrow" w:eastAsia="Century Gothic" w:hAnsi="Arial Narrow" w:cs="Century Gothic"/>
          <w:color w:val="000000"/>
          <w:sz w:val="28"/>
          <w:szCs w:val="28"/>
        </w:rPr>
      </w:pPr>
      <w:bookmarkStart w:id="0" w:name="_GoBack"/>
      <w:bookmarkEnd w:id="0"/>
    </w:p>
    <w:p w:rsidR="00D8621E" w:rsidRPr="00AA11E8" w:rsidRDefault="00127274" w:rsidP="00AA11E8">
      <w:pPr>
        <w:spacing w:after="160" w:line="259" w:lineRule="auto"/>
        <w:jc w:val="both"/>
        <w:rPr>
          <w:rFonts w:ascii="Arial Narrow" w:hAnsi="Arial Narrow" w:cs="Arial"/>
          <w:sz w:val="28"/>
          <w:szCs w:val="28"/>
        </w:rPr>
      </w:pPr>
      <w:r w:rsidRPr="00AA11E8">
        <w:rPr>
          <w:rFonts w:ascii="Arial Narrow" w:eastAsia="Century Gothic" w:hAnsi="Arial Narrow" w:cs="Century Gothic"/>
          <w:sz w:val="28"/>
          <w:szCs w:val="28"/>
          <w:highlight w:val="white"/>
        </w:rPr>
        <w:t xml:space="preserve">En los anteriores términos fue aprobado </w:t>
      </w:r>
      <w:r w:rsidR="00AA11E8">
        <w:rPr>
          <w:rFonts w:ascii="Arial Narrow" w:eastAsia="Century Gothic" w:hAnsi="Arial Narrow" w:cs="Century Gothic"/>
          <w:sz w:val="28"/>
          <w:szCs w:val="28"/>
          <w:highlight w:val="white"/>
        </w:rPr>
        <w:t>si</w:t>
      </w:r>
      <w:r w:rsidR="008455FF" w:rsidRPr="00AA11E8">
        <w:rPr>
          <w:rFonts w:ascii="Arial Narrow" w:eastAsia="Century Gothic" w:hAnsi="Arial Narrow" w:cs="Century Gothic"/>
          <w:sz w:val="28"/>
          <w:szCs w:val="28"/>
          <w:highlight w:val="white"/>
        </w:rPr>
        <w:t>n modificaciones el presente P</w:t>
      </w:r>
      <w:r w:rsidRPr="00AA11E8">
        <w:rPr>
          <w:rFonts w:ascii="Arial Narrow" w:eastAsia="Century Gothic" w:hAnsi="Arial Narrow" w:cs="Century Gothic"/>
          <w:sz w:val="28"/>
          <w:szCs w:val="28"/>
          <w:highlight w:val="white"/>
        </w:rPr>
        <w:t>royecto d</w:t>
      </w:r>
      <w:r w:rsidR="008455FF" w:rsidRPr="00AA11E8">
        <w:rPr>
          <w:rFonts w:ascii="Arial Narrow" w:eastAsia="Century Gothic" w:hAnsi="Arial Narrow" w:cs="Century Gothic"/>
          <w:sz w:val="28"/>
          <w:szCs w:val="28"/>
          <w:highlight w:val="white"/>
        </w:rPr>
        <w:t>e Ley según consta en A</w:t>
      </w:r>
      <w:r w:rsidR="006625C1" w:rsidRPr="00AA11E8">
        <w:rPr>
          <w:rFonts w:ascii="Arial Narrow" w:eastAsia="Century Gothic" w:hAnsi="Arial Narrow" w:cs="Century Gothic"/>
          <w:sz w:val="28"/>
          <w:szCs w:val="28"/>
          <w:highlight w:val="white"/>
        </w:rPr>
        <w:t>cta</w:t>
      </w:r>
      <w:r w:rsidR="00AA11E8">
        <w:rPr>
          <w:rFonts w:ascii="Arial Narrow" w:eastAsia="Century Gothic" w:hAnsi="Arial Narrow" w:cs="Century Gothic"/>
          <w:sz w:val="28"/>
          <w:szCs w:val="28"/>
          <w:highlight w:val="white"/>
        </w:rPr>
        <w:t>s</w:t>
      </w:r>
      <w:r w:rsidR="006625C1" w:rsidRPr="00AA11E8">
        <w:rPr>
          <w:rFonts w:ascii="Arial Narrow" w:eastAsia="Century Gothic" w:hAnsi="Arial Narrow" w:cs="Century Gothic"/>
          <w:sz w:val="28"/>
          <w:szCs w:val="28"/>
          <w:highlight w:val="white"/>
        </w:rPr>
        <w:t xml:space="preserve"> </w:t>
      </w:r>
      <w:r w:rsidR="003A3963" w:rsidRPr="00AA11E8">
        <w:rPr>
          <w:rFonts w:ascii="Arial Narrow" w:eastAsia="Century Gothic" w:hAnsi="Arial Narrow" w:cs="Century Gothic"/>
          <w:sz w:val="28"/>
          <w:szCs w:val="28"/>
          <w:highlight w:val="white"/>
        </w:rPr>
        <w:t>No</w:t>
      </w:r>
      <w:r w:rsidR="00AA11E8">
        <w:rPr>
          <w:rFonts w:ascii="Arial Narrow" w:eastAsia="Century Gothic" w:hAnsi="Arial Narrow" w:cs="Century Gothic"/>
          <w:sz w:val="28"/>
          <w:szCs w:val="28"/>
          <w:highlight w:val="white"/>
        </w:rPr>
        <w:t>s</w:t>
      </w:r>
      <w:r w:rsidR="003A3963" w:rsidRPr="00AA11E8">
        <w:rPr>
          <w:rFonts w:ascii="Arial Narrow" w:eastAsia="Century Gothic" w:hAnsi="Arial Narrow" w:cs="Century Gothic"/>
          <w:sz w:val="28"/>
          <w:szCs w:val="28"/>
          <w:highlight w:val="white"/>
        </w:rPr>
        <w:t xml:space="preserve">. </w:t>
      </w:r>
      <w:r w:rsidR="00AA11E8">
        <w:rPr>
          <w:rFonts w:ascii="Arial Narrow" w:eastAsia="Century Gothic" w:hAnsi="Arial Narrow" w:cs="Century Gothic"/>
          <w:sz w:val="28"/>
          <w:szCs w:val="28"/>
          <w:highlight w:val="white"/>
        </w:rPr>
        <w:t xml:space="preserve">27 y </w:t>
      </w:r>
      <w:r w:rsidR="003A3963" w:rsidRPr="00AA11E8">
        <w:rPr>
          <w:rFonts w:ascii="Arial Narrow" w:eastAsia="Century Gothic" w:hAnsi="Arial Narrow" w:cs="Century Gothic"/>
          <w:sz w:val="28"/>
          <w:szCs w:val="28"/>
          <w:highlight w:val="white"/>
        </w:rPr>
        <w:t>2</w:t>
      </w:r>
      <w:r w:rsidR="00AA11E8">
        <w:rPr>
          <w:rFonts w:ascii="Arial Narrow" w:eastAsia="Century Gothic" w:hAnsi="Arial Narrow" w:cs="Century Gothic"/>
          <w:sz w:val="28"/>
          <w:szCs w:val="28"/>
          <w:highlight w:val="white"/>
        </w:rPr>
        <w:t>8</w:t>
      </w:r>
      <w:r w:rsidR="00283BAE">
        <w:rPr>
          <w:rFonts w:ascii="Arial Narrow" w:eastAsia="Century Gothic" w:hAnsi="Arial Narrow" w:cs="Century Gothic"/>
          <w:sz w:val="28"/>
          <w:szCs w:val="28"/>
          <w:highlight w:val="white"/>
        </w:rPr>
        <w:t xml:space="preserve"> de Sesio</w:t>
      </w:r>
      <w:r w:rsidR="008455FF" w:rsidRPr="00AA11E8">
        <w:rPr>
          <w:rFonts w:ascii="Arial Narrow" w:eastAsia="Century Gothic" w:hAnsi="Arial Narrow" w:cs="Century Gothic"/>
          <w:sz w:val="28"/>
          <w:szCs w:val="28"/>
          <w:highlight w:val="white"/>
        </w:rPr>
        <w:t>n</w:t>
      </w:r>
      <w:r w:rsidR="00283BAE">
        <w:rPr>
          <w:rFonts w:ascii="Arial Narrow" w:eastAsia="Century Gothic" w:hAnsi="Arial Narrow" w:cs="Century Gothic"/>
          <w:sz w:val="28"/>
          <w:szCs w:val="28"/>
          <w:highlight w:val="white"/>
        </w:rPr>
        <w:t>es</w:t>
      </w:r>
      <w:r w:rsidR="008455FF" w:rsidRPr="00AA11E8">
        <w:rPr>
          <w:rFonts w:ascii="Arial Narrow" w:eastAsia="Century Gothic" w:hAnsi="Arial Narrow" w:cs="Century Gothic"/>
          <w:sz w:val="28"/>
          <w:szCs w:val="28"/>
          <w:highlight w:val="white"/>
        </w:rPr>
        <w:t xml:space="preserve"> Presencial</w:t>
      </w:r>
      <w:r w:rsidR="00283BAE">
        <w:rPr>
          <w:rFonts w:ascii="Arial Narrow" w:eastAsia="Century Gothic" w:hAnsi="Arial Narrow" w:cs="Century Gothic"/>
          <w:sz w:val="28"/>
          <w:szCs w:val="28"/>
          <w:highlight w:val="white"/>
        </w:rPr>
        <w:t>es</w:t>
      </w:r>
      <w:r w:rsidR="008455FF" w:rsidRPr="00AA11E8">
        <w:rPr>
          <w:rFonts w:ascii="Arial Narrow" w:eastAsia="Century Gothic" w:hAnsi="Arial Narrow" w:cs="Century Gothic"/>
          <w:sz w:val="28"/>
          <w:szCs w:val="28"/>
          <w:highlight w:val="white"/>
        </w:rPr>
        <w:t xml:space="preserve"> </w:t>
      </w:r>
      <w:r w:rsidRPr="00AA11E8">
        <w:rPr>
          <w:rFonts w:ascii="Arial Narrow" w:eastAsia="Century Gothic" w:hAnsi="Arial Narrow" w:cs="Century Gothic"/>
          <w:sz w:val="28"/>
          <w:szCs w:val="28"/>
          <w:highlight w:val="white"/>
        </w:rPr>
        <w:t xml:space="preserve">de </w:t>
      </w:r>
      <w:r w:rsidR="00AA11E8">
        <w:rPr>
          <w:rFonts w:ascii="Arial Narrow" w:eastAsia="Century Gothic" w:hAnsi="Arial Narrow" w:cs="Century Gothic"/>
          <w:sz w:val="28"/>
          <w:szCs w:val="28"/>
          <w:highlight w:val="white"/>
        </w:rPr>
        <w:t>noviembre 03 y noviembre 09</w:t>
      </w:r>
      <w:r w:rsidR="003A3963" w:rsidRPr="00AA11E8">
        <w:rPr>
          <w:rFonts w:ascii="Arial Narrow" w:eastAsia="Century Gothic" w:hAnsi="Arial Narrow" w:cs="Century Gothic"/>
          <w:sz w:val="28"/>
          <w:szCs w:val="28"/>
          <w:highlight w:val="white"/>
        </w:rPr>
        <w:t xml:space="preserve"> </w:t>
      </w:r>
      <w:r w:rsidR="008455FF" w:rsidRPr="00AA11E8">
        <w:rPr>
          <w:rFonts w:ascii="Arial Narrow" w:eastAsia="Century Gothic" w:hAnsi="Arial Narrow" w:cs="Century Gothic"/>
          <w:sz w:val="28"/>
          <w:szCs w:val="28"/>
          <w:highlight w:val="white"/>
        </w:rPr>
        <w:t>de 2021</w:t>
      </w:r>
      <w:r w:rsidR="00AA11E8">
        <w:rPr>
          <w:rFonts w:ascii="Arial Narrow" w:eastAsia="Century Gothic" w:hAnsi="Arial Narrow" w:cs="Century Gothic"/>
          <w:sz w:val="28"/>
          <w:szCs w:val="28"/>
          <w:highlight w:val="white"/>
        </w:rPr>
        <w:t>, respectivamente</w:t>
      </w:r>
      <w:r w:rsidR="008455FF" w:rsidRPr="00AA11E8">
        <w:rPr>
          <w:rFonts w:ascii="Arial Narrow" w:eastAsia="Century Gothic" w:hAnsi="Arial Narrow" w:cs="Century Gothic"/>
          <w:sz w:val="28"/>
          <w:szCs w:val="28"/>
          <w:highlight w:val="white"/>
        </w:rPr>
        <w:t>. A</w:t>
      </w:r>
      <w:r w:rsidR="00AA11E8">
        <w:rPr>
          <w:rFonts w:ascii="Arial Narrow" w:eastAsia="Century Gothic" w:hAnsi="Arial Narrow" w:cs="Century Gothic"/>
          <w:color w:val="000000" w:themeColor="text1"/>
          <w:sz w:val="28"/>
          <w:szCs w:val="28"/>
          <w:highlight w:val="white"/>
        </w:rPr>
        <w:t xml:space="preserve">sí mismo fue anunciado los </w:t>
      </w:r>
      <w:r w:rsidRPr="00AA11E8">
        <w:rPr>
          <w:rFonts w:ascii="Arial Narrow" w:eastAsia="Century Gothic" w:hAnsi="Arial Narrow" w:cs="Century Gothic"/>
          <w:color w:val="000000" w:themeColor="text1"/>
          <w:sz w:val="28"/>
          <w:szCs w:val="28"/>
          <w:highlight w:val="white"/>
        </w:rPr>
        <w:t>día</w:t>
      </w:r>
      <w:r w:rsidR="00AA11E8">
        <w:rPr>
          <w:rFonts w:ascii="Arial Narrow" w:eastAsia="Century Gothic" w:hAnsi="Arial Narrow" w:cs="Century Gothic"/>
          <w:color w:val="000000" w:themeColor="text1"/>
          <w:sz w:val="28"/>
          <w:szCs w:val="28"/>
          <w:highlight w:val="white"/>
        </w:rPr>
        <w:t>s</w:t>
      </w:r>
      <w:r w:rsidRPr="00AA11E8">
        <w:rPr>
          <w:rFonts w:ascii="Arial Narrow" w:eastAsia="Century Gothic" w:hAnsi="Arial Narrow" w:cs="Century Gothic"/>
          <w:color w:val="000000" w:themeColor="text1"/>
          <w:sz w:val="28"/>
          <w:szCs w:val="28"/>
          <w:highlight w:val="white"/>
        </w:rPr>
        <w:t xml:space="preserve"> </w:t>
      </w:r>
      <w:r w:rsidR="00AA11E8">
        <w:rPr>
          <w:rFonts w:ascii="Arial Narrow" w:eastAsia="Century Gothic" w:hAnsi="Arial Narrow" w:cs="Century Gothic"/>
          <w:color w:val="000000" w:themeColor="text1"/>
          <w:sz w:val="28"/>
          <w:szCs w:val="28"/>
          <w:highlight w:val="white"/>
        </w:rPr>
        <w:t>28 de octubre de 2021 según Acta No. 02 Conjuntas Mixta y Acta No. 27 Sesión presencial de noviembre 02 de 2021.</w:t>
      </w:r>
      <w:r w:rsidR="00AA11E8" w:rsidRPr="00AA11E8">
        <w:rPr>
          <w:rFonts w:ascii="Arial Narrow" w:hAnsi="Arial Narrow" w:cs="Arial"/>
          <w:sz w:val="28"/>
          <w:szCs w:val="28"/>
        </w:rPr>
        <w:t xml:space="preserve"> </w:t>
      </w:r>
    </w:p>
    <w:p w:rsidR="00D8621E" w:rsidRPr="00AA11E8" w:rsidRDefault="00D8621E" w:rsidP="006625C1">
      <w:pPr>
        <w:pStyle w:val="Textoindependiente"/>
        <w:rPr>
          <w:rFonts w:ascii="Arial Narrow" w:hAnsi="Arial Narrow" w:cs="Arial"/>
          <w:sz w:val="28"/>
          <w:szCs w:val="28"/>
        </w:rPr>
      </w:pPr>
    </w:p>
    <w:p w:rsidR="00D8621E" w:rsidRPr="00AA11E8" w:rsidRDefault="00D8621E" w:rsidP="006625C1">
      <w:pPr>
        <w:pStyle w:val="Textoindependiente"/>
        <w:rPr>
          <w:rFonts w:ascii="Arial Narrow" w:hAnsi="Arial Narrow" w:cs="Arial"/>
          <w:sz w:val="28"/>
          <w:szCs w:val="28"/>
        </w:rPr>
      </w:pPr>
    </w:p>
    <w:p w:rsidR="00D8621E" w:rsidRPr="00AA11E8" w:rsidRDefault="00D8621E" w:rsidP="008455FF">
      <w:pPr>
        <w:pStyle w:val="Textoindependiente"/>
        <w:rPr>
          <w:rFonts w:ascii="Arial Narrow" w:hAnsi="Arial Narrow" w:cs="Arial"/>
          <w:sz w:val="28"/>
          <w:szCs w:val="28"/>
        </w:rPr>
      </w:pPr>
    </w:p>
    <w:p w:rsidR="00D8621E" w:rsidRPr="00AA11E8" w:rsidRDefault="00D8621E" w:rsidP="008455FF">
      <w:pPr>
        <w:tabs>
          <w:tab w:val="left" w:pos="4820"/>
        </w:tabs>
        <w:jc w:val="center"/>
        <w:rPr>
          <w:rFonts w:ascii="Arial Narrow" w:eastAsia="Century Gothic" w:hAnsi="Arial Narrow" w:cs="Century Gothic"/>
          <w:sz w:val="28"/>
          <w:szCs w:val="28"/>
          <w:highlight w:val="white"/>
        </w:rPr>
      </w:pPr>
    </w:p>
    <w:p w:rsidR="00D8621E" w:rsidRPr="00AA11E8" w:rsidRDefault="006D59FF" w:rsidP="008455FF">
      <w:pPr>
        <w:tabs>
          <w:tab w:val="left" w:pos="4820"/>
        </w:tabs>
        <w:jc w:val="both"/>
        <w:rPr>
          <w:rFonts w:ascii="Arial Narrow" w:eastAsia="Century Gothic" w:hAnsi="Arial Narrow" w:cs="Century Gothic"/>
          <w:sz w:val="28"/>
          <w:szCs w:val="28"/>
          <w:highlight w:val="white"/>
        </w:rPr>
      </w:pPr>
      <w:r>
        <w:rPr>
          <w:rFonts w:ascii="Arial Narrow" w:eastAsia="Century Gothic" w:hAnsi="Arial Narrow" w:cs="Century Gothic"/>
          <w:b/>
          <w:sz w:val="28"/>
          <w:szCs w:val="28"/>
        </w:rPr>
        <w:t>JUAN CARLOS WILLS OSPINA</w:t>
      </w:r>
      <w:r w:rsidR="00D8621E" w:rsidRPr="00AA11E8">
        <w:rPr>
          <w:rFonts w:ascii="Arial Narrow" w:eastAsia="Century Gothic" w:hAnsi="Arial Narrow" w:cs="Century Gothic"/>
          <w:sz w:val="28"/>
          <w:szCs w:val="28"/>
          <w:highlight w:val="white"/>
        </w:rPr>
        <w:tab/>
      </w:r>
      <w:r w:rsidR="00714F62" w:rsidRPr="00AA11E8">
        <w:rPr>
          <w:rFonts w:ascii="Arial Narrow" w:eastAsia="Century Gothic" w:hAnsi="Arial Narrow" w:cs="Century Gothic"/>
          <w:b/>
          <w:sz w:val="28"/>
          <w:szCs w:val="28"/>
        </w:rPr>
        <w:t>JULIO CÉSAR TRIANA QUINTERO</w:t>
      </w:r>
    </w:p>
    <w:p w:rsidR="00D8621E" w:rsidRPr="00AA11E8" w:rsidRDefault="00D8621E" w:rsidP="008455FF">
      <w:pPr>
        <w:tabs>
          <w:tab w:val="left" w:pos="4820"/>
        </w:tabs>
        <w:jc w:val="both"/>
        <w:rPr>
          <w:rFonts w:ascii="Arial Narrow" w:eastAsia="Century Gothic" w:hAnsi="Arial Narrow" w:cs="Century Gothic"/>
          <w:sz w:val="28"/>
          <w:szCs w:val="28"/>
          <w:highlight w:val="white"/>
        </w:rPr>
      </w:pPr>
      <w:r w:rsidRPr="00AA11E8">
        <w:rPr>
          <w:rFonts w:ascii="Arial Narrow" w:eastAsia="Century Gothic" w:hAnsi="Arial Narrow" w:cs="Century Gothic"/>
          <w:sz w:val="28"/>
          <w:szCs w:val="28"/>
          <w:highlight w:val="white"/>
        </w:rPr>
        <w:t xml:space="preserve">Ponente </w:t>
      </w:r>
      <w:r w:rsidR="00714F62" w:rsidRPr="00AA11E8">
        <w:rPr>
          <w:rFonts w:ascii="Arial Narrow" w:eastAsia="Century Gothic" w:hAnsi="Arial Narrow" w:cs="Century Gothic"/>
          <w:sz w:val="28"/>
          <w:szCs w:val="28"/>
          <w:highlight w:val="white"/>
        </w:rPr>
        <w:t>Coordinador</w:t>
      </w:r>
      <w:r w:rsidR="00714F62" w:rsidRPr="00AA11E8">
        <w:rPr>
          <w:rFonts w:ascii="Arial Narrow" w:eastAsia="Century Gothic" w:hAnsi="Arial Narrow" w:cs="Century Gothic"/>
          <w:sz w:val="28"/>
          <w:szCs w:val="28"/>
          <w:highlight w:val="white"/>
        </w:rPr>
        <w:tab/>
        <w:t>Presidente</w:t>
      </w:r>
    </w:p>
    <w:p w:rsidR="00D8621E" w:rsidRPr="00AA11E8" w:rsidRDefault="00D8621E" w:rsidP="00D8621E">
      <w:pPr>
        <w:spacing w:after="160" w:line="259" w:lineRule="auto"/>
        <w:jc w:val="center"/>
        <w:rPr>
          <w:rFonts w:ascii="Arial Narrow" w:eastAsia="Century Gothic" w:hAnsi="Arial Narrow" w:cs="Century Gothic"/>
          <w:sz w:val="28"/>
          <w:szCs w:val="28"/>
          <w:highlight w:val="white"/>
        </w:rPr>
      </w:pPr>
    </w:p>
    <w:p w:rsidR="00D8621E" w:rsidRPr="00AA11E8" w:rsidRDefault="00D8621E" w:rsidP="00D8621E">
      <w:pPr>
        <w:spacing w:after="160" w:line="259" w:lineRule="auto"/>
        <w:jc w:val="center"/>
        <w:rPr>
          <w:rFonts w:ascii="Arial Narrow" w:eastAsia="Century Gothic" w:hAnsi="Arial Narrow" w:cs="Century Gothic"/>
          <w:sz w:val="28"/>
          <w:szCs w:val="28"/>
          <w:highlight w:val="white"/>
        </w:rPr>
      </w:pPr>
    </w:p>
    <w:p w:rsidR="008D0B2B" w:rsidRPr="00AA11E8" w:rsidRDefault="008D0B2B" w:rsidP="006625C1">
      <w:pPr>
        <w:spacing w:after="160" w:line="259" w:lineRule="auto"/>
        <w:rPr>
          <w:rFonts w:ascii="Arial Narrow" w:eastAsia="Century Gothic" w:hAnsi="Arial Narrow" w:cs="Century Gothic"/>
          <w:sz w:val="28"/>
          <w:szCs w:val="28"/>
          <w:highlight w:val="white"/>
        </w:rPr>
      </w:pPr>
      <w:bookmarkStart w:id="1" w:name="_gjdgxs" w:colFirst="0" w:colLast="0"/>
      <w:bookmarkEnd w:id="1"/>
    </w:p>
    <w:p w:rsidR="008D0B2B" w:rsidRPr="00AA11E8" w:rsidRDefault="008455FF" w:rsidP="006625C1">
      <w:pPr>
        <w:tabs>
          <w:tab w:val="left" w:pos="4820"/>
        </w:tabs>
        <w:jc w:val="both"/>
        <w:rPr>
          <w:rFonts w:ascii="Arial Narrow" w:eastAsia="Century Gothic" w:hAnsi="Arial Narrow" w:cs="Century Gothic"/>
          <w:b/>
          <w:sz w:val="28"/>
          <w:szCs w:val="28"/>
          <w:highlight w:val="white"/>
        </w:rPr>
      </w:pPr>
      <w:r w:rsidRPr="00AA11E8">
        <w:rPr>
          <w:rFonts w:ascii="Arial Narrow" w:eastAsia="Century Gothic" w:hAnsi="Arial Narrow" w:cs="Century Gothic"/>
          <w:b/>
          <w:sz w:val="28"/>
          <w:szCs w:val="28"/>
        </w:rPr>
        <w:t xml:space="preserve">            </w:t>
      </w:r>
      <w:r w:rsidR="005A29C3" w:rsidRPr="00AA11E8">
        <w:rPr>
          <w:rFonts w:ascii="Arial Narrow" w:eastAsia="Century Gothic" w:hAnsi="Arial Narrow" w:cs="Century Gothic"/>
          <w:b/>
          <w:sz w:val="28"/>
          <w:szCs w:val="28"/>
        </w:rPr>
        <w:t xml:space="preserve">                      </w:t>
      </w:r>
      <w:r w:rsidR="00127274" w:rsidRPr="00AA11E8">
        <w:rPr>
          <w:rFonts w:ascii="Arial Narrow" w:eastAsia="Century Gothic" w:hAnsi="Arial Narrow" w:cs="Century Gothic"/>
          <w:b/>
          <w:sz w:val="28"/>
          <w:szCs w:val="28"/>
          <w:highlight w:val="white"/>
        </w:rPr>
        <w:t>AMPARO YANETH CALDERON PERDOMO</w:t>
      </w:r>
    </w:p>
    <w:p w:rsidR="008D0B2B" w:rsidRPr="00AA11E8" w:rsidRDefault="008455FF" w:rsidP="006625C1">
      <w:pPr>
        <w:tabs>
          <w:tab w:val="left" w:pos="4820"/>
        </w:tabs>
        <w:jc w:val="both"/>
        <w:rPr>
          <w:rFonts w:ascii="Arial Narrow" w:eastAsia="Century Gothic" w:hAnsi="Arial Narrow" w:cs="Century Gothic"/>
          <w:sz w:val="28"/>
          <w:szCs w:val="28"/>
          <w:highlight w:val="white"/>
        </w:rPr>
      </w:pPr>
      <w:r w:rsidRPr="00AA11E8">
        <w:rPr>
          <w:rFonts w:ascii="Arial Narrow" w:eastAsia="Century Gothic" w:hAnsi="Arial Narrow" w:cs="Century Gothic"/>
          <w:sz w:val="28"/>
          <w:szCs w:val="28"/>
          <w:highlight w:val="white"/>
        </w:rPr>
        <w:t xml:space="preserve">                                                          </w:t>
      </w:r>
      <w:r w:rsidR="00127274" w:rsidRPr="00AA11E8">
        <w:rPr>
          <w:rFonts w:ascii="Arial Narrow" w:eastAsia="Century Gothic" w:hAnsi="Arial Narrow" w:cs="Century Gothic"/>
          <w:sz w:val="28"/>
          <w:szCs w:val="28"/>
          <w:highlight w:val="white"/>
        </w:rPr>
        <w:t>Secretaria</w:t>
      </w:r>
    </w:p>
    <w:sectPr w:rsidR="008D0B2B" w:rsidRPr="00AA11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134" w:right="1134" w:bottom="1418" w:left="1418" w:header="709" w:footer="3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240" w:rsidRDefault="00C31240">
      <w:r>
        <w:separator/>
      </w:r>
    </w:p>
  </w:endnote>
  <w:endnote w:type="continuationSeparator" w:id="0">
    <w:p w:rsidR="00C31240" w:rsidRDefault="00C3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3DE" w:rsidRDefault="006463D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478325"/>
      <w:docPartObj>
        <w:docPartGallery w:val="Page Numbers (Bottom of Page)"/>
        <w:docPartUnique/>
      </w:docPartObj>
    </w:sdtPr>
    <w:sdtEndPr/>
    <w:sdtContent>
      <w:p w:rsidR="006463DE" w:rsidRDefault="006463D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505" w:rsidRPr="00350505">
          <w:rPr>
            <w:noProof/>
            <w:lang w:val="es-ES"/>
          </w:rPr>
          <w:t>2</w:t>
        </w:r>
        <w:r>
          <w:fldChar w:fldCharType="end"/>
        </w:r>
      </w:p>
    </w:sdtContent>
  </w:sdt>
  <w:p w:rsidR="008D0B2B" w:rsidRPr="00D8621E" w:rsidRDefault="008D0B2B">
    <w:pPr>
      <w:tabs>
        <w:tab w:val="center" w:pos="4419"/>
        <w:tab w:val="right" w:pos="8838"/>
      </w:tabs>
      <w:jc w:val="center"/>
      <w:rPr>
        <w:rFonts w:asciiTheme="majorHAnsi" w:eastAsia="Calibri" w:hAnsiTheme="majorHAnsi" w:cstheme="majorHAnsi"/>
        <w:sz w:val="20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3DE" w:rsidRDefault="006463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240" w:rsidRDefault="00C31240">
      <w:r>
        <w:separator/>
      </w:r>
    </w:p>
  </w:footnote>
  <w:footnote w:type="continuationSeparator" w:id="0">
    <w:p w:rsidR="00C31240" w:rsidRDefault="00C31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3DE" w:rsidRDefault="006463D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B2B" w:rsidRDefault="001272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122159" cy="611237"/>
          <wp:effectExtent l="0" t="0" r="0" b="0"/>
          <wp:docPr id="2" name="image2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2159" cy="6112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D0B2B" w:rsidRDefault="008D0B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3DE" w:rsidRDefault="006463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F6BD2"/>
    <w:multiLevelType w:val="multilevel"/>
    <w:tmpl w:val="6CBAAD28"/>
    <w:lvl w:ilvl="0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21AF3"/>
    <w:multiLevelType w:val="hybridMultilevel"/>
    <w:tmpl w:val="0A745726"/>
    <w:lvl w:ilvl="0" w:tplc="E2800722">
      <w:start w:val="1"/>
      <w:numFmt w:val="decimal"/>
      <w:lvlText w:val="%1."/>
      <w:lvlJc w:val="left"/>
      <w:pPr>
        <w:ind w:left="650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F732F1AA">
      <w:numFmt w:val="bullet"/>
      <w:lvlText w:val="•"/>
      <w:lvlJc w:val="left"/>
      <w:pPr>
        <w:ind w:left="1528" w:hanging="269"/>
      </w:pPr>
      <w:rPr>
        <w:rFonts w:hint="default"/>
        <w:lang w:val="es-ES" w:eastAsia="en-US" w:bidi="ar-SA"/>
      </w:rPr>
    </w:lvl>
    <w:lvl w:ilvl="2" w:tplc="B4EEC6E4">
      <w:numFmt w:val="bullet"/>
      <w:lvlText w:val="•"/>
      <w:lvlJc w:val="left"/>
      <w:pPr>
        <w:ind w:left="2396" w:hanging="269"/>
      </w:pPr>
      <w:rPr>
        <w:rFonts w:hint="default"/>
        <w:lang w:val="es-ES" w:eastAsia="en-US" w:bidi="ar-SA"/>
      </w:rPr>
    </w:lvl>
    <w:lvl w:ilvl="3" w:tplc="B734D910">
      <w:numFmt w:val="bullet"/>
      <w:lvlText w:val="•"/>
      <w:lvlJc w:val="left"/>
      <w:pPr>
        <w:ind w:left="3264" w:hanging="269"/>
      </w:pPr>
      <w:rPr>
        <w:rFonts w:hint="default"/>
        <w:lang w:val="es-ES" w:eastAsia="en-US" w:bidi="ar-SA"/>
      </w:rPr>
    </w:lvl>
    <w:lvl w:ilvl="4" w:tplc="D376F494">
      <w:numFmt w:val="bullet"/>
      <w:lvlText w:val="•"/>
      <w:lvlJc w:val="left"/>
      <w:pPr>
        <w:ind w:left="4132" w:hanging="269"/>
      </w:pPr>
      <w:rPr>
        <w:rFonts w:hint="default"/>
        <w:lang w:val="es-ES" w:eastAsia="en-US" w:bidi="ar-SA"/>
      </w:rPr>
    </w:lvl>
    <w:lvl w:ilvl="5" w:tplc="9BE632C8">
      <w:numFmt w:val="bullet"/>
      <w:lvlText w:val="•"/>
      <w:lvlJc w:val="left"/>
      <w:pPr>
        <w:ind w:left="5000" w:hanging="269"/>
      </w:pPr>
      <w:rPr>
        <w:rFonts w:hint="default"/>
        <w:lang w:val="es-ES" w:eastAsia="en-US" w:bidi="ar-SA"/>
      </w:rPr>
    </w:lvl>
    <w:lvl w:ilvl="6" w:tplc="747E9F18">
      <w:numFmt w:val="bullet"/>
      <w:lvlText w:val="•"/>
      <w:lvlJc w:val="left"/>
      <w:pPr>
        <w:ind w:left="5868" w:hanging="269"/>
      </w:pPr>
      <w:rPr>
        <w:rFonts w:hint="default"/>
        <w:lang w:val="es-ES" w:eastAsia="en-US" w:bidi="ar-SA"/>
      </w:rPr>
    </w:lvl>
    <w:lvl w:ilvl="7" w:tplc="C93ED076">
      <w:numFmt w:val="bullet"/>
      <w:lvlText w:val="•"/>
      <w:lvlJc w:val="left"/>
      <w:pPr>
        <w:ind w:left="6736" w:hanging="269"/>
      </w:pPr>
      <w:rPr>
        <w:rFonts w:hint="default"/>
        <w:lang w:val="es-ES" w:eastAsia="en-US" w:bidi="ar-SA"/>
      </w:rPr>
    </w:lvl>
    <w:lvl w:ilvl="8" w:tplc="C8DC1C56">
      <w:numFmt w:val="bullet"/>
      <w:lvlText w:val="•"/>
      <w:lvlJc w:val="left"/>
      <w:pPr>
        <w:ind w:left="7604" w:hanging="269"/>
      </w:pPr>
      <w:rPr>
        <w:rFonts w:hint="default"/>
        <w:lang w:val="es-ES" w:eastAsia="en-US" w:bidi="ar-SA"/>
      </w:rPr>
    </w:lvl>
  </w:abstractNum>
  <w:abstractNum w:abstractNumId="2">
    <w:nsid w:val="43C11249"/>
    <w:multiLevelType w:val="multilevel"/>
    <w:tmpl w:val="34424340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48A08DF"/>
    <w:multiLevelType w:val="hybridMultilevel"/>
    <w:tmpl w:val="58DC5D88"/>
    <w:lvl w:ilvl="0" w:tplc="A92EF6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9282D"/>
    <w:multiLevelType w:val="multilevel"/>
    <w:tmpl w:val="FBC66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2B"/>
    <w:rsid w:val="00035569"/>
    <w:rsid w:val="000562C0"/>
    <w:rsid w:val="00111A48"/>
    <w:rsid w:val="00127274"/>
    <w:rsid w:val="001A63A3"/>
    <w:rsid w:val="001D3409"/>
    <w:rsid w:val="001E0CB5"/>
    <w:rsid w:val="002035CF"/>
    <w:rsid w:val="00213BEE"/>
    <w:rsid w:val="00224C88"/>
    <w:rsid w:val="00237951"/>
    <w:rsid w:val="00283BAE"/>
    <w:rsid w:val="002914E6"/>
    <w:rsid w:val="00350505"/>
    <w:rsid w:val="003A3963"/>
    <w:rsid w:val="004076F1"/>
    <w:rsid w:val="004328C1"/>
    <w:rsid w:val="004A71EF"/>
    <w:rsid w:val="005510C7"/>
    <w:rsid w:val="005A29C3"/>
    <w:rsid w:val="006463DE"/>
    <w:rsid w:val="006625C1"/>
    <w:rsid w:val="006D59FF"/>
    <w:rsid w:val="00711980"/>
    <w:rsid w:val="00714F62"/>
    <w:rsid w:val="00804DD0"/>
    <w:rsid w:val="00814643"/>
    <w:rsid w:val="008455FF"/>
    <w:rsid w:val="00860D79"/>
    <w:rsid w:val="008D0B2B"/>
    <w:rsid w:val="0092289D"/>
    <w:rsid w:val="00945281"/>
    <w:rsid w:val="009A01EB"/>
    <w:rsid w:val="00A101B0"/>
    <w:rsid w:val="00A261FF"/>
    <w:rsid w:val="00AA11E8"/>
    <w:rsid w:val="00B0271C"/>
    <w:rsid w:val="00B47FB2"/>
    <w:rsid w:val="00BC62AA"/>
    <w:rsid w:val="00BD27F5"/>
    <w:rsid w:val="00C31240"/>
    <w:rsid w:val="00C455AB"/>
    <w:rsid w:val="00C75B37"/>
    <w:rsid w:val="00C87A9C"/>
    <w:rsid w:val="00CB27CE"/>
    <w:rsid w:val="00CC76F7"/>
    <w:rsid w:val="00CE0261"/>
    <w:rsid w:val="00D44D19"/>
    <w:rsid w:val="00D8621E"/>
    <w:rsid w:val="00E64AC6"/>
    <w:rsid w:val="00E74856"/>
    <w:rsid w:val="00F03D4B"/>
    <w:rsid w:val="00FB17CC"/>
    <w:rsid w:val="00FB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4242CBC-F2DB-4C32-9B11-332EAE22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625C1"/>
    <w:pPr>
      <w:widowControl w:val="0"/>
      <w:autoSpaceDE w:val="0"/>
      <w:autoSpaceDN w:val="0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25C1"/>
    <w:rPr>
      <w:rFonts w:ascii="Arial MT" w:eastAsia="Arial MT" w:hAnsi="Arial MT" w:cs="Arial MT"/>
      <w:lang w:val="es-ES" w:eastAsia="en-US"/>
    </w:rPr>
  </w:style>
  <w:style w:type="paragraph" w:styleId="Prrafodelista">
    <w:name w:val="List Paragraph"/>
    <w:basedOn w:val="Normal"/>
    <w:uiPriority w:val="34"/>
    <w:qFormat/>
    <w:rsid w:val="006625C1"/>
    <w:pPr>
      <w:widowControl w:val="0"/>
      <w:autoSpaceDE w:val="0"/>
      <w:autoSpaceDN w:val="0"/>
      <w:ind w:left="382"/>
      <w:jc w:val="both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D862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621E"/>
  </w:style>
  <w:style w:type="paragraph" w:styleId="Piedepgina">
    <w:name w:val="footer"/>
    <w:basedOn w:val="Normal"/>
    <w:link w:val="PiedepginaCar"/>
    <w:uiPriority w:val="99"/>
    <w:unhideWhenUsed/>
    <w:rsid w:val="00D862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21E"/>
  </w:style>
  <w:style w:type="paragraph" w:styleId="Textodeglobo">
    <w:name w:val="Balloon Text"/>
    <w:basedOn w:val="Normal"/>
    <w:link w:val="TextodegloboCar"/>
    <w:uiPriority w:val="99"/>
    <w:semiHidden/>
    <w:unhideWhenUsed/>
    <w:rsid w:val="00C455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Paola.Santos</dc:creator>
  <cp:lastModifiedBy>Dora Sonia Cortes Castillo</cp:lastModifiedBy>
  <cp:revision>6</cp:revision>
  <cp:lastPrinted>2021-10-28T19:15:00Z</cp:lastPrinted>
  <dcterms:created xsi:type="dcterms:W3CDTF">2021-11-09T20:10:00Z</dcterms:created>
  <dcterms:modified xsi:type="dcterms:W3CDTF">2021-11-09T20:21:00Z</dcterms:modified>
</cp:coreProperties>
</file>