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80" w:rsidRPr="00711980" w:rsidRDefault="00711980" w:rsidP="00711980">
      <w:pPr>
        <w:spacing w:line="276" w:lineRule="auto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bookmarkStart w:id="0" w:name="_GoBack"/>
      <w:bookmarkEnd w:id="0"/>
      <w:r w:rsidRPr="00711980">
        <w:rPr>
          <w:rFonts w:ascii="Century Gothic" w:eastAsia="Century Gothic" w:hAnsi="Century Gothic" w:cs="Century Gothic"/>
          <w:b/>
          <w:sz w:val="22"/>
          <w:szCs w:val="22"/>
        </w:rPr>
        <w:t xml:space="preserve">TEXTO APROBADO EN PRIMER DEBATE,  EN LA COMISIÓN PRIMERA DE LA CÁMARA DE REPRESENTANTES DEL PROYECTO DE </w:t>
      </w:r>
      <w:r w:rsidR="008455FF">
        <w:rPr>
          <w:rFonts w:ascii="Century Gothic" w:hAnsi="Century Gothic"/>
          <w:b/>
          <w:sz w:val="22"/>
          <w:szCs w:val="22"/>
        </w:rPr>
        <w:t xml:space="preserve"> LEY No</w:t>
      </w:r>
      <w:r w:rsidRPr="00711980">
        <w:rPr>
          <w:rFonts w:ascii="Century Gothic" w:hAnsi="Century Gothic"/>
          <w:b/>
          <w:sz w:val="22"/>
          <w:szCs w:val="22"/>
        </w:rPr>
        <w:t>. 252 DE 2021 CÁMARA</w:t>
      </w:r>
    </w:p>
    <w:p w:rsidR="00711980" w:rsidRPr="00711980" w:rsidRDefault="00711980" w:rsidP="00711980">
      <w:pPr>
        <w:ind w:right="5"/>
        <w:jc w:val="center"/>
        <w:rPr>
          <w:rFonts w:ascii="Century Gothic" w:eastAsia="Arial" w:hAnsi="Century Gothic" w:cs="Arial"/>
          <w:b/>
          <w:color w:val="000000"/>
          <w:sz w:val="22"/>
          <w:szCs w:val="22"/>
        </w:rPr>
      </w:pPr>
      <w:r w:rsidRPr="00711980">
        <w:rPr>
          <w:rFonts w:ascii="Century Gothic" w:eastAsia="Arial" w:hAnsi="Century Gothic" w:cs="Arial"/>
          <w:b/>
          <w:color w:val="000000"/>
          <w:sz w:val="22"/>
          <w:szCs w:val="22"/>
        </w:rPr>
        <w:t>“POR LA CUAL SE ESTABLECE LA POLÍTICA DE ESTADO ‘SACÚDETE’ PARA EL DESARROLLO DE LA JUVENTUD Y LA CONTINUIDAD DEL CURSO DE VIDA DE LOS JÓVENES Y SE DICTAN OTRAS DISPOSICIONES.”</w:t>
      </w:r>
    </w:p>
    <w:p w:rsidR="00711980" w:rsidRPr="00711980" w:rsidRDefault="00711980" w:rsidP="00711980">
      <w:pPr>
        <w:jc w:val="center"/>
        <w:rPr>
          <w:rFonts w:ascii="Century Gothic" w:eastAsia="Arial" w:hAnsi="Century Gothic" w:cs="Arial"/>
          <w:color w:val="000000"/>
          <w:sz w:val="22"/>
          <w:szCs w:val="22"/>
        </w:rPr>
      </w:pPr>
    </w:p>
    <w:p w:rsidR="00711980" w:rsidRPr="00711980" w:rsidRDefault="00711980" w:rsidP="00711980">
      <w:pPr>
        <w:ind w:right="7"/>
        <w:jc w:val="center"/>
        <w:rPr>
          <w:rFonts w:ascii="Century Gothic" w:eastAsia="Arial" w:hAnsi="Century Gothic" w:cs="Arial"/>
          <w:color w:val="000000"/>
          <w:sz w:val="22"/>
          <w:szCs w:val="22"/>
        </w:rPr>
      </w:pPr>
      <w:r w:rsidRPr="00711980">
        <w:rPr>
          <w:rFonts w:ascii="Century Gothic" w:eastAsia="Arial" w:hAnsi="Century Gothic" w:cs="Arial"/>
          <w:b/>
          <w:color w:val="000000"/>
          <w:sz w:val="22"/>
          <w:szCs w:val="22"/>
        </w:rPr>
        <w:t>EL CONGRESO DE COLOMBIA</w:t>
      </w:r>
    </w:p>
    <w:p w:rsidR="00711980" w:rsidRPr="00711980" w:rsidRDefault="00711980" w:rsidP="00711980">
      <w:pPr>
        <w:jc w:val="center"/>
        <w:rPr>
          <w:rFonts w:ascii="Century Gothic" w:eastAsia="Arial" w:hAnsi="Century Gothic" w:cs="Arial"/>
          <w:color w:val="000000"/>
          <w:sz w:val="22"/>
          <w:szCs w:val="22"/>
        </w:rPr>
      </w:pPr>
    </w:p>
    <w:p w:rsidR="00711980" w:rsidRPr="00711980" w:rsidRDefault="00711980" w:rsidP="00711980">
      <w:pPr>
        <w:ind w:right="7"/>
        <w:jc w:val="center"/>
        <w:rPr>
          <w:rFonts w:ascii="Century Gothic" w:eastAsia="Arial" w:hAnsi="Century Gothic" w:cs="Arial"/>
          <w:b/>
          <w:color w:val="000000"/>
          <w:sz w:val="22"/>
          <w:szCs w:val="22"/>
        </w:rPr>
      </w:pPr>
      <w:r w:rsidRPr="00711980">
        <w:rPr>
          <w:rFonts w:ascii="Century Gothic" w:eastAsia="Arial" w:hAnsi="Century Gothic" w:cs="Arial"/>
          <w:b/>
          <w:color w:val="000000"/>
          <w:sz w:val="22"/>
          <w:szCs w:val="22"/>
        </w:rPr>
        <w:t>DECRETA:</w:t>
      </w:r>
    </w:p>
    <w:p w:rsidR="00711980" w:rsidRPr="00711980" w:rsidRDefault="00711980" w:rsidP="00711980">
      <w:pPr>
        <w:ind w:right="7"/>
        <w:jc w:val="center"/>
        <w:rPr>
          <w:rFonts w:ascii="Century Gothic" w:eastAsia="Arial" w:hAnsi="Century Gothic" w:cs="Arial"/>
          <w:color w:val="000000"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1. Objeto.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La presente Ley tiene el propósito de establecer la Política de Estado Sacúdete, la cual establece los criterios para fomentar y gestionar una atención integral que fortalezca el desarrollo y el curso de vida de la juventud en Colombia.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2. Ámbito de aplicación de Sacúdete.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La política pública Sacúdete, adoptada por medio de la presente Ley, deberá ser implementada en </w:t>
      </w:r>
      <w:r w:rsidR="004076F1">
        <w:rPr>
          <w:rFonts w:ascii="Century Gothic" w:eastAsia="Arial" w:hAnsi="Century Gothic" w:cs="Arial"/>
          <w:sz w:val="22"/>
          <w:szCs w:val="22"/>
        </w:rPr>
        <w:t xml:space="preserve">un tiempo no menor a un año en </w:t>
      </w:r>
      <w:r w:rsidRPr="00711980">
        <w:rPr>
          <w:rFonts w:ascii="Century Gothic" w:eastAsia="Arial" w:hAnsi="Century Gothic" w:cs="Arial"/>
          <w:sz w:val="22"/>
          <w:szCs w:val="22"/>
        </w:rPr>
        <w:t>todo el territorio nacional por las entidades públicas, tanto del orden nacional como territorial que incidan sobre el desarrollo del curso de vida de la juve</w:t>
      </w:r>
      <w:r w:rsidR="004076F1">
        <w:rPr>
          <w:rFonts w:ascii="Century Gothic" w:eastAsia="Arial" w:hAnsi="Century Gothic" w:cs="Arial"/>
          <w:sz w:val="22"/>
          <w:szCs w:val="22"/>
        </w:rPr>
        <w:t>ntud con un enfoque territorial y de género.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3. Enfoque de la Política Pública Sacúdete.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La estrategia Sacúdete es una respuesta a las necesidades multidimensionales de la juventud colombiana, en aspectos sociales, económicos, culturales y políticos, al permitir la consolidación de sus trayectorias y formulación de proyectos de vida.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Sacúdete es la estrategia de formación y acompañamiento a adolescentes y jóvenes entre los 14 y 28 años, que les permite estructurar proyectos de vida sostenibles y fuera de la ilegalidad, a partir de metodologías de fortalecimiento de habilidades del siglo XXI y la implementación de acciones en los ámbitos de la salud, educación, empleo, emprendimiento, cultura y formación de la ciudadanía, que contribuyen al tránsito armónico de la adolescencia a la edad adulta, de acuerdo con el concepto de curso de vida.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Dado el aporte de la estrategia Sacúdete a la estructuración de proyectos de vida propios, la prevención y promoción de la vulneración de los derechos de adolescentes y jóvenes, se eleva esta estrategia a Política de Estado, con el objetivo de contribuir a la protección y el goce de los derechos de los adolescentes y jóvenes, de acuerdo con la noción de curso de vida.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Artículo 4. Fases de Sacúdete. </w:t>
      </w:r>
      <w:r w:rsidRPr="00711980">
        <w:rPr>
          <w:rFonts w:ascii="Century Gothic" w:eastAsia="Arial" w:hAnsi="Century Gothic" w:cs="Arial"/>
          <w:sz w:val="22"/>
          <w:szCs w:val="22"/>
        </w:rPr>
        <w:t>La ruta de intervención de la política pública Sacúdete está organizada en tres fases: Inspírate, Enfócate y Transfórmate.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lastRenderedPageBreak/>
        <w:t xml:space="preserve"> </w:t>
      </w:r>
    </w:p>
    <w:p w:rsidR="00711980" w:rsidRPr="00711980" w:rsidRDefault="00711980" w:rsidP="00711980">
      <w:pPr>
        <w:spacing w:line="276" w:lineRule="auto"/>
        <w:ind w:left="20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Inspírate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: Tiene como propósito detonar el talento de los jóvenes mediante el fortalecimiento de la ciudadanía, el ejercicio de los derechos y las habilidades </w:t>
      </w:r>
      <w:r w:rsidRPr="00711980">
        <w:rPr>
          <w:rFonts w:ascii="Century Gothic" w:eastAsia="Arial" w:hAnsi="Century Gothic" w:cs="Arial"/>
          <w:sz w:val="22"/>
          <w:szCs w:val="22"/>
          <w:highlight w:val="white"/>
        </w:rPr>
        <w:t>del siglo XXI</w:t>
      </w:r>
      <w:r w:rsidRPr="00711980">
        <w:rPr>
          <w:rFonts w:ascii="Century Gothic" w:eastAsia="Arial" w:hAnsi="Century Gothic" w:cs="Arial"/>
          <w:sz w:val="22"/>
          <w:szCs w:val="22"/>
        </w:rPr>
        <w:t>, acercando los jóvenes a las mega tendencias, sociales, culturales y tecnológicas. Esto a partir de la aplicación de metodologías y herramientas de aprendizaje, que fomentan la creatividad, innovación, pensamiento crítico, resolución de retos, colaboración y comunicación asertiva.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ind w:left="20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Enfócate</w:t>
      </w:r>
      <w:r w:rsidRPr="00711980">
        <w:rPr>
          <w:rFonts w:ascii="Century Gothic" w:eastAsia="Arial" w:hAnsi="Century Gothic" w:cs="Arial"/>
          <w:sz w:val="22"/>
          <w:szCs w:val="22"/>
        </w:rPr>
        <w:t>: Tiene como propósito poner en práctica las habilidades esenciales y técnicas que permiten a los jóvenes estructurar sus proyectos de vida a partir de una asesoría y acompañamiento que fomente los hábitos para la mentalidad emprendedora, el desarrollo de vocaciones y oficios específicos.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Transfórmate</w:t>
      </w:r>
      <w:r w:rsidRPr="00711980">
        <w:rPr>
          <w:rFonts w:ascii="Century Gothic" w:eastAsia="Arial" w:hAnsi="Century Gothic" w:cs="Arial"/>
          <w:sz w:val="22"/>
          <w:szCs w:val="22"/>
        </w:rPr>
        <w:t>: Tiene como propósito apoyar la materialización de las iniciativas de los jóvenes, a partir de alianzas con los sectores público, privado, academia, cooperación internacional, tercer sector y sociedad civil, con miras a la promoción de las 3E: Educación, Empleo y Emprendimiento.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Artículo 5. Principios de Sacúdete. 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La política pública Sacúdete está cimentada en los principios consagrados en la Constitución Política y la Ley, así como los que contempla el Estatuto de Ciudadanía Juvenil (Ley 1622 de 2013 y 1885 de 2018) y las demás que la modifiquen.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La política pública Sacúdete está fundamentada y se regirá conforme a los siguientes principios: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Inclusión</w:t>
      </w:r>
      <w:r w:rsidR="004076F1">
        <w:rPr>
          <w:rFonts w:ascii="Century Gothic" w:eastAsia="Arial" w:hAnsi="Century Gothic" w:cs="Arial"/>
          <w:b/>
          <w:sz w:val="22"/>
          <w:szCs w:val="22"/>
        </w:rPr>
        <w:t xml:space="preserve"> e Interculturalidad</w:t>
      </w:r>
      <w:r w:rsidRPr="00711980">
        <w:rPr>
          <w:rFonts w:ascii="Century Gothic" w:eastAsia="Arial" w:hAnsi="Century Gothic" w:cs="Arial"/>
          <w:b/>
          <w:sz w:val="22"/>
          <w:szCs w:val="22"/>
        </w:rPr>
        <w:t>: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Reconocer la diversidad de las juventudes en aspectos como su situación socioeconómica, cultural, étnica, de origen, de culto, su libertad de opinión, sus vulnerabilidades, su condición de género y su orientación sexual</w:t>
      </w:r>
      <w:r w:rsidR="004076F1">
        <w:rPr>
          <w:rFonts w:ascii="Century Gothic" w:eastAsia="Arial" w:hAnsi="Century Gothic" w:cs="Arial"/>
          <w:sz w:val="22"/>
          <w:szCs w:val="22"/>
        </w:rPr>
        <w:t xml:space="preserve"> y con ello, salvaguardar sus usos y costumbres</w:t>
      </w:r>
      <w:r w:rsidRPr="00711980">
        <w:rPr>
          <w:rFonts w:ascii="Century Gothic" w:eastAsia="Arial" w:hAnsi="Century Gothic" w:cs="Arial"/>
          <w:sz w:val="22"/>
          <w:szCs w:val="22"/>
        </w:rPr>
        <w:t>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Participación</w:t>
      </w:r>
      <w:r w:rsidRPr="00711980">
        <w:rPr>
          <w:rFonts w:ascii="Century Gothic" w:eastAsia="Arial" w:hAnsi="Century Gothic" w:cs="Arial"/>
          <w:sz w:val="22"/>
          <w:szCs w:val="22"/>
        </w:rPr>
        <w:t>: Garantizar los procesos, escenarios, instrumentos y estímulos necesarios para la participación y decisión de los y las jóvenes sobre las soluciones a sus necesidades y la satisfacción de sus expectativas como ciudadanos, sujetos de derechos y agentes autónomos para conseguir su propia prosperidad.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Corresponsabilidad</w:t>
      </w:r>
      <w:r w:rsidRPr="00711980">
        <w:rPr>
          <w:rFonts w:ascii="Century Gothic" w:eastAsia="Arial" w:hAnsi="Century Gothic" w:cs="Arial"/>
          <w:sz w:val="22"/>
          <w:szCs w:val="22"/>
        </w:rPr>
        <w:t>: Garantizar la cooperación y compromiso del Estado, sociedad y familia, como actores conducentes a garantizar, promover y fortalecer el ejercicio de los derechos de los y las jóvenes en el desarrollo de sus proyectos de vida.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lastRenderedPageBreak/>
        <w:t>Integralidad: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Abordar todas las dimensiones del ser joven, así como los contextos sociales, políticos, económicos, culturales, deportivos y ambientales donde este grupo etario se desarrolla.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Territorialidad: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Desarrollar la política pública desde la proximidad, contexto, diversidad y características propias de cada territorio.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Complementariedad</w:t>
      </w:r>
      <w:r w:rsidRPr="00711980">
        <w:rPr>
          <w:rFonts w:ascii="Century Gothic" w:eastAsia="Arial" w:hAnsi="Century Gothic" w:cs="Arial"/>
          <w:sz w:val="22"/>
          <w:szCs w:val="22"/>
        </w:rPr>
        <w:t>: Articular todas las políticas públicas, programas y estrategias a fin de lograr la integración interinstitucional necesaria para el desarrollo de acciones y metas dirigidas a los y las jóvenes teniendo en cuenta el curso de vida.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Artículo 6. Comisión Intersectorial para la Juventud Sacúdete. </w:t>
      </w:r>
      <w:r w:rsidRPr="00711980">
        <w:rPr>
          <w:rFonts w:ascii="Century Gothic" w:eastAsia="Arial" w:hAnsi="Century Gothic" w:cs="Arial"/>
          <w:sz w:val="22"/>
          <w:szCs w:val="22"/>
        </w:rPr>
        <w:t>Créese la Comisión Intersectorial para la juventud Sacúdete. La cual estará presidida por la Consejería Presidencial para la Juventud - Colombia Joven y estará integrada por: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Consejero Presidencial para la Juventud.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Director del Departamento Administrativo de la Presidencia de la República, o su delegado, que deberá pertenecer al nivel directivo.</w:t>
      </w:r>
    </w:p>
    <w:p w:rsid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del Interior, o su delegado, que deberá ser un Viceministro.</w:t>
      </w:r>
    </w:p>
    <w:p w:rsidR="00C87A9C" w:rsidRPr="00711980" w:rsidRDefault="00C87A9C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El Ministro de Hacienda y Crédito Público,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Justicia y del Derecho,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Trabajo,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Salud y Protección Social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Ambiente y Desarrollo Sostenible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Agricultura y Desarrollo Rural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Ciencia, Tecnología e Innovación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Comercio, Industria y Turismo,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Educación Nacional,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Cultura, o su delegado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Vivienda, Ciudad y Territorio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Deporte,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Ministro de las Tecnologías de la Información y las Comunicaciones, o su delegado, que deberá ser un Viceministro.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lastRenderedPageBreak/>
        <w:t>El Director del Departamento Administrativo Nacional de Estadística o su delegado, que deberá pertenecer al nivel directivo de la entidad.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Director General del Departamento Nacional de Planeación, o su delegado, que deberá pertenecer al nivel directivo de la entidad.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Director del Departamento Administrativo de la Prosperidad Social o su delegado, que deberá pertenecer al nivel directivo de la entidad.</w:t>
      </w:r>
    </w:p>
    <w:p w:rsidR="00711980" w:rsidRP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Director del Instituto Colombiano de Bienestar Familiar (ICBF), o su delegado, que deberá pertenecer al nivel directivo de la entidad.</w:t>
      </w:r>
    </w:p>
    <w:p w:rsidR="00711980" w:rsidRDefault="00711980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 w:rsidRPr="00711980">
        <w:rPr>
          <w:rFonts w:ascii="Century Gothic" w:eastAsia="Arial" w:hAnsi="Century Gothic" w:cs="Arial"/>
        </w:rPr>
        <w:t>El Director del Servicio Nacional de Aprendizaje (SENA) o su delegado que deberá pertenecer al nivel directivo de la entidad.</w:t>
      </w:r>
    </w:p>
    <w:p w:rsidR="00C87A9C" w:rsidRPr="00711980" w:rsidRDefault="00C87A9C" w:rsidP="00711980">
      <w:pPr>
        <w:pStyle w:val="Prrafode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Century Gothic" w:eastAsia="Arial" w:hAnsi="Century Gothic" w:cs="Arial"/>
        </w:rPr>
      </w:pPr>
      <w:r>
        <w:rPr>
          <w:rFonts w:ascii="Century Gothic" w:eastAsia="Arial" w:hAnsi="Century Gothic" w:cs="Arial"/>
        </w:rPr>
        <w:t>El Presidente del Consejo Nacional de Juventud.</w:t>
      </w:r>
    </w:p>
    <w:p w:rsidR="00711980" w:rsidRPr="00711980" w:rsidRDefault="00711980" w:rsidP="00711980">
      <w:pPr>
        <w:spacing w:line="256" w:lineRule="auto"/>
        <w:ind w:left="20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PARÁGRAFO 1. </w:t>
      </w:r>
      <w:r w:rsidRPr="00711980">
        <w:rPr>
          <w:rFonts w:ascii="Century Gothic" w:eastAsia="Arial" w:hAnsi="Century Gothic" w:cs="Arial"/>
          <w:sz w:val="22"/>
          <w:szCs w:val="22"/>
        </w:rPr>
        <w:t>La Comisión tendrá por objeto la coordinación para la implementación nacional y territorial de la Política Pública Sacúdete, teniendo en cuenta los lineamientos impartidos por el Consejo Nacional de Políticas Públicas de la Juventud.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La Comisión Intersectorial para la Juventud Sacúdete, articulará y definirá mecanismos de trabajo conjunto con las diferentes entidades, agencias, organismos, sociedad civil y comisiones intersectoriales, espacios de concertación de grupos sociales o étnicos, o de trabajo interinstitucional, que aborden temas relacionados con la juventud, principalmente en temas de educación, empleo y emprendimiento.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PARÁGRAFO 2.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Sin perjuicio de lo anterior, se podrán invitar a aquellas entidades u organismos que la Comisión Intersectorial para la Juventud Sacúdete considere.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PARÁGRAFO 3. </w:t>
      </w:r>
      <w:r w:rsidRPr="00711980">
        <w:rPr>
          <w:rFonts w:ascii="Century Gothic" w:eastAsia="Arial" w:hAnsi="Century Gothic" w:cs="Arial"/>
          <w:sz w:val="22"/>
          <w:szCs w:val="22"/>
        </w:rPr>
        <w:t>El Gobierno Nacional reglamentará el funcionamiento, operación y demás aspectos de la Comisión Intersectorial para la Juventud Sacúdete que no se encuentren regulados en esta Ley, en un plazo no mayor a seis (6) meses contados a partir de su entrada en vigencia.</w:t>
      </w:r>
    </w:p>
    <w:p w:rsidR="00945281" w:rsidRDefault="00945281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</w:p>
    <w:p w:rsidR="00945281" w:rsidRPr="00945281" w:rsidRDefault="00945281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  <w:r w:rsidRPr="00945281">
        <w:rPr>
          <w:rFonts w:ascii="Century Gothic" w:eastAsia="Arial" w:hAnsi="Century Gothic" w:cs="Arial"/>
          <w:b/>
          <w:sz w:val="22"/>
          <w:szCs w:val="22"/>
        </w:rPr>
        <w:t>PARÁGRAFO 4.</w:t>
      </w:r>
      <w:r>
        <w:rPr>
          <w:rFonts w:ascii="Century Gothic" w:eastAsia="Arial" w:hAnsi="Century Gothic" w:cs="Arial"/>
          <w:b/>
          <w:sz w:val="22"/>
          <w:szCs w:val="22"/>
        </w:rPr>
        <w:t xml:space="preserve"> </w:t>
      </w:r>
      <w:r>
        <w:rPr>
          <w:rFonts w:ascii="Century Gothic" w:eastAsia="Arial" w:hAnsi="Century Gothic" w:cs="Arial"/>
          <w:sz w:val="22"/>
          <w:szCs w:val="22"/>
        </w:rPr>
        <w:t>Se deberá invitar a un representante de los coordinadores de juventud a través de las asociaciones de entidades territoriales.</w:t>
      </w:r>
      <w:r w:rsidRPr="00945281">
        <w:rPr>
          <w:rFonts w:ascii="Century Gothic" w:eastAsia="Arial" w:hAnsi="Century Gothic" w:cs="Arial"/>
          <w:b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7. Funciones de la Comisión Intersectorial para la Juventud Sacúdete.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Son funciones de la Comisión Intersectorial para la Juventud Sacúdete las siguientes:</w:t>
      </w:r>
    </w:p>
    <w:p w:rsidR="00711980" w:rsidRPr="00711980" w:rsidRDefault="00711980" w:rsidP="00711980">
      <w:pPr>
        <w:spacing w:line="256" w:lineRule="auto"/>
        <w:rPr>
          <w:rFonts w:ascii="Century Gothic" w:eastAsia="Arial" w:hAnsi="Century Gothic" w:cs="Arial"/>
          <w:sz w:val="22"/>
          <w:szCs w:val="22"/>
        </w:rPr>
      </w:pPr>
    </w:p>
    <w:p w:rsidR="00711980" w:rsidRPr="00711980" w:rsidRDefault="00711980" w:rsidP="00711980">
      <w:pPr>
        <w:spacing w:line="276" w:lineRule="auto"/>
        <w:ind w:left="702" w:hanging="342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1. Coordinar la implementación de Sacúdete, en los niveles nacional, departamental, distrital y municipal con enfoque territorial.</w:t>
      </w:r>
    </w:p>
    <w:p w:rsidR="00711980" w:rsidRPr="00711980" w:rsidRDefault="00711980" w:rsidP="00711980">
      <w:pPr>
        <w:spacing w:line="276" w:lineRule="auto"/>
        <w:ind w:left="720" w:hanging="360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2.</w:t>
      </w:r>
      <w:r w:rsidRPr="00711980">
        <w:rPr>
          <w:rFonts w:ascii="Century Gothic" w:eastAsia="Arial" w:hAnsi="Century Gothic" w:cs="Arial"/>
          <w:sz w:val="22"/>
          <w:szCs w:val="22"/>
        </w:rPr>
        <w:tab/>
        <w:t>Coordinar la gestión y articulación interinstitucional para la ejecución e implementación de Sacúdete.</w:t>
      </w:r>
    </w:p>
    <w:p w:rsidR="00711980" w:rsidRPr="00711980" w:rsidRDefault="00711980" w:rsidP="00711980">
      <w:pPr>
        <w:spacing w:line="276" w:lineRule="auto"/>
        <w:ind w:left="720" w:hanging="360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lastRenderedPageBreak/>
        <w:t>3.</w:t>
      </w:r>
      <w:r w:rsidRPr="00711980">
        <w:rPr>
          <w:rFonts w:ascii="Century Gothic" w:eastAsia="Arial" w:hAnsi="Century Gothic" w:cs="Arial"/>
          <w:sz w:val="22"/>
          <w:szCs w:val="22"/>
        </w:rPr>
        <w:tab/>
        <w:t>Establecer lineamientos para la implementación de la estrategia como una política pública de Estado, teniendo en cuenta lo establecido por el Consejo Nacional de Políticas Públicas de la Juventud.</w:t>
      </w:r>
    </w:p>
    <w:p w:rsidR="00711980" w:rsidRPr="00711980" w:rsidRDefault="00711980" w:rsidP="00711980">
      <w:pPr>
        <w:spacing w:line="276" w:lineRule="auto"/>
        <w:ind w:left="720" w:hanging="360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4.</w:t>
      </w:r>
      <w:r w:rsidRPr="00711980">
        <w:rPr>
          <w:rFonts w:ascii="Century Gothic" w:eastAsia="Arial" w:hAnsi="Century Gothic" w:cs="Arial"/>
          <w:sz w:val="22"/>
          <w:szCs w:val="22"/>
        </w:rPr>
        <w:tab/>
        <w:t>Recomendar una estrategia financiera con el fin de ampliar la cobertura de Sacúdete.</w:t>
      </w:r>
    </w:p>
    <w:p w:rsidR="00711980" w:rsidRPr="00711980" w:rsidRDefault="00711980" w:rsidP="00711980">
      <w:pPr>
        <w:spacing w:line="276" w:lineRule="auto"/>
        <w:ind w:left="720" w:hanging="360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5.</w:t>
      </w:r>
      <w:r w:rsidRPr="00711980">
        <w:rPr>
          <w:rFonts w:ascii="Century Gothic" w:eastAsia="Arial" w:hAnsi="Century Gothic" w:cs="Arial"/>
          <w:sz w:val="22"/>
          <w:szCs w:val="22"/>
        </w:rPr>
        <w:tab/>
        <w:t>Diseñar herramientas de asociación público-privados en asuntos relacionados con juventudes.</w:t>
      </w:r>
    </w:p>
    <w:p w:rsidR="00711980" w:rsidRPr="00711980" w:rsidRDefault="00711980" w:rsidP="00711980">
      <w:pPr>
        <w:spacing w:line="276" w:lineRule="auto"/>
        <w:ind w:left="720" w:hanging="360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6.</w:t>
      </w:r>
      <w:r w:rsidRPr="00711980">
        <w:rPr>
          <w:rFonts w:ascii="Century Gothic" w:eastAsia="Arial" w:hAnsi="Century Gothic" w:cs="Arial"/>
          <w:sz w:val="22"/>
          <w:szCs w:val="22"/>
        </w:rPr>
        <w:tab/>
        <w:t>Hacer seguimiento y evaluación de la política pública Sacúdete.</w:t>
      </w:r>
    </w:p>
    <w:p w:rsidR="00711980" w:rsidRPr="00711980" w:rsidRDefault="00945281" w:rsidP="00945281">
      <w:pPr>
        <w:spacing w:line="276" w:lineRule="auto"/>
        <w:ind w:left="720" w:hanging="360"/>
        <w:rPr>
          <w:rFonts w:ascii="Century Gothic" w:eastAsia="Arial" w:hAnsi="Century Gothic" w:cs="Arial"/>
          <w:sz w:val="22"/>
          <w:szCs w:val="22"/>
        </w:rPr>
      </w:pPr>
      <w:r>
        <w:rPr>
          <w:rFonts w:ascii="Century Gothic" w:eastAsia="Arial" w:hAnsi="Century Gothic" w:cs="Arial"/>
          <w:sz w:val="22"/>
          <w:szCs w:val="22"/>
        </w:rPr>
        <w:t>7.</w:t>
      </w:r>
      <w:r>
        <w:rPr>
          <w:rFonts w:ascii="Century Gothic" w:eastAsia="Arial" w:hAnsi="Century Gothic" w:cs="Arial"/>
          <w:sz w:val="22"/>
          <w:szCs w:val="22"/>
        </w:rPr>
        <w:tab/>
      </w:r>
      <w:r w:rsidR="00711980" w:rsidRPr="00711980">
        <w:rPr>
          <w:rFonts w:ascii="Century Gothic" w:eastAsia="Arial" w:hAnsi="Century Gothic" w:cs="Arial"/>
          <w:sz w:val="22"/>
          <w:szCs w:val="22"/>
        </w:rPr>
        <w:t>Establecer los mecanismos que permitan y convoquen al cumplimiento de lo aquí expuesto.</w:t>
      </w: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PARÁGRAFO: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El Gobierno Nacional </w:t>
      </w:r>
      <w:r w:rsidR="00945281">
        <w:rPr>
          <w:rFonts w:ascii="Century Gothic" w:eastAsia="Arial" w:hAnsi="Century Gothic" w:cs="Arial"/>
          <w:sz w:val="22"/>
          <w:szCs w:val="22"/>
        </w:rPr>
        <w:t>fijará el reglamento de la Comisión Intersectorial para la Juventud Sacúdete y reglamentará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lo dispuesto en el presente artículo, en un plazo no mayor a seis (6) meses contados a partir de su entrada en vigencia.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Artículo 8. Articulación de la Política Pública Sacúdete. </w:t>
      </w:r>
      <w:r w:rsidRPr="00711980">
        <w:rPr>
          <w:rFonts w:ascii="Century Gothic" w:eastAsia="Arial" w:hAnsi="Century Gothic" w:cs="Arial"/>
          <w:sz w:val="22"/>
          <w:szCs w:val="22"/>
        </w:rPr>
        <w:t>La Consejería Presidencial para la Juventud - Colombia Joven o quien haga sus veces, tendrá la función de gestionar y articular la implementación de la política pública Sacúdete en el marco de los lineamientos expedidos por la Comisión Intersectorial para la Juventud Sacúdete.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Al igual que brindar asesoría y asistencia técnica a todas las entidades para el conocimiento, difusión y correcta implementación de la política pública Sacúdete.</w:t>
      </w: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Artículo 9. Implementación de la Política Pública Sacúdete. 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El Instituto Colombiano de Bienestar Familiar tendrá a su cargo la implementación de la estrategia metodológica y establece la línea técnica de la política pública Sacúdete, con el concurso de la Comisión Intersectorial para la Juventud Sacúdete y de las demás entidades que esta defina, teniendo en cuenta los lineamientos emitidos desde el Consejo Nacional de Políticas Públicas de la Juventud. </w:t>
      </w: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PARÁGRAFO: </w:t>
      </w:r>
      <w:r w:rsidRPr="00711980">
        <w:rPr>
          <w:rFonts w:ascii="Century Gothic" w:eastAsia="Arial" w:hAnsi="Century Gothic" w:cs="Arial"/>
          <w:sz w:val="22"/>
          <w:szCs w:val="22"/>
        </w:rPr>
        <w:t>Están vinculadas a la Política Pública Sacúdete todas las entidades que integran la Comisión Intersectorial para la Juventud Sacúdete, las entidades miembros del Consejo Nacional de Políticas Públicas de la Juventud y todas aquellas que este órgano determine como necesarias para la implementación y ejecución.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 xml:space="preserve">Artículo 10. Gestión intersectorial para la implementación de Sacúdete. </w:t>
      </w:r>
      <w:r w:rsidRPr="00711980">
        <w:rPr>
          <w:rFonts w:ascii="Century Gothic" w:eastAsia="Arial" w:hAnsi="Century Gothic" w:cs="Arial"/>
          <w:sz w:val="22"/>
          <w:szCs w:val="22"/>
        </w:rPr>
        <w:t>Las entidades públicas de los órdenes nacional y territorial, así como los actores de la sociedad (familias, comunidad, sociedad civil, academia, empresa privada, organizaciones no gubernamentales, entre otras) desarrollarán una acción organizada, concurrente y coordinada para lograr una articulación que contribuya a la protección y el goce de los derechos de los adolescentes y jóvenes en el marco de la política pública Sacúdete.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lastRenderedPageBreak/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Las entidades del orden nacional y territorial, promoverán la implementación de la política pública Sacúdete, con su oferta dirigida a los jóvenes.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Así mismo, las entidades del orden nacional y territorial estarán obligadas a suministrar de manera periódica a la Comisión Intersectorial para la Juventud Sacúdete, la información que compete a sus programas, planes y estrategias dirigidas o que tengan incidencia sobre la población joven cumpliendo con los criterios de calidad y oportunidad de acuerdo a la reglamentación que expida el Gobierno Nacional.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El Instituto Colombiano de Bienestar Familiar (ICBF) y la Consejería Presidencial para la Juventud promoverán la participación que fortalezca la política pública Sacúdete.</w:t>
      </w: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11. Alianzas para la implementación de Sacúdete.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Para la implementación y consolidación de Sacúdete, las entidades públicas, y en especial la Consejería Presidencial para la Juventud y el Instituto Colombiano de Bienestar Familiar (ICBF), podrán realizar alianzas con personas naturales o jurídicas de los sectores público y privado y del orden nacional o internacional. </w:t>
      </w: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PARÁGRAFO: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En la ejecución de las alianzas de orden internacional a las que se refiere el presente artículo, las entidades y los contratistas, deberán observar lo dispuesto en la Ley 80 de 1993 y el artículo 20 de la Ley</w:t>
      </w:r>
      <w:r w:rsidR="00945281">
        <w:rPr>
          <w:rFonts w:ascii="Century Gothic" w:eastAsia="Arial" w:hAnsi="Century Gothic" w:cs="Arial"/>
          <w:sz w:val="22"/>
          <w:szCs w:val="22"/>
        </w:rPr>
        <w:t xml:space="preserve"> 1150 de 200</w:t>
      </w:r>
      <w:r w:rsidRPr="00711980">
        <w:rPr>
          <w:rFonts w:ascii="Century Gothic" w:eastAsia="Arial" w:hAnsi="Century Gothic" w:cs="Arial"/>
          <w:sz w:val="22"/>
          <w:szCs w:val="22"/>
        </w:rPr>
        <w:t>7 y las que los modifiquen.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12. Seguimiento y Evaluación de Sacúdete</w:t>
      </w:r>
      <w:r w:rsidRPr="00711980">
        <w:rPr>
          <w:rFonts w:ascii="Century Gothic" w:eastAsia="Arial" w:hAnsi="Century Gothic" w:cs="Arial"/>
          <w:sz w:val="22"/>
          <w:szCs w:val="22"/>
        </w:rPr>
        <w:t>. El Departamento Nacional de Planeación – DNP, en el marco del Sistema Nacional de Evaluación de Gestión y Resultados (Sinergia), desarrollará junto a la Comisión Intersectorial para la Juventud Sacúdete un plan estratégico que permita hacer seguimiento a la implementación de la política pública Sacúdete.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 xml:space="preserve">De igual forma, desarrollarán la evaluación de resultados de la política pública Sacúdete, con el fin de generar recomendaciones que contribuyan a mejorar el desempeño y logro de los objetivos finales de ésta.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13. Financiación de Sacúdete.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El Gobierno Nacional proyectará y garantizará los recursos para la implementación de Sacúdete de acuerdo con el Marco Fiscal de Mediano Plazo y el Marco de Gasto de Mediano Plazo. La proyección de recursos se hará sobre la base de las metas de cobertura y gestión que se definan en el marco de la Comisión Intersectorial para la Juventud Sacúdete. Por su parte, las entidades del orden nacional y territorial incluirán en su proceso anual de planeación y programación presupuestal, los recursos destinados para su implementación y ejecución.</w:t>
      </w:r>
    </w:p>
    <w:p w:rsidR="00711980" w:rsidRPr="00711980" w:rsidRDefault="00711980" w:rsidP="00711980">
      <w:pPr>
        <w:spacing w:line="25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lastRenderedPageBreak/>
        <w:t xml:space="preserve"> 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sz w:val="22"/>
          <w:szCs w:val="22"/>
        </w:rPr>
        <w:t>Para el desarrollo e implementación de esta política pública, se podrán destinar recursos de las entidades públicas del orden nacional y territorial en el marco de su autonomía, de organismos multilaterales, de convenios de cooperación internacional y de convenios con organizaciones privadas.</w:t>
      </w: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b/>
          <w:sz w:val="22"/>
          <w:szCs w:val="22"/>
        </w:rPr>
      </w:pPr>
    </w:p>
    <w:p w:rsidR="00711980" w:rsidRPr="00711980" w:rsidRDefault="00711980" w:rsidP="00711980">
      <w:pPr>
        <w:spacing w:line="276" w:lineRule="auto"/>
        <w:jc w:val="both"/>
        <w:rPr>
          <w:rFonts w:ascii="Century Gothic" w:eastAsia="Arial" w:hAnsi="Century Gothic" w:cs="Arial"/>
          <w:sz w:val="22"/>
          <w:szCs w:val="22"/>
        </w:rPr>
      </w:pPr>
      <w:r w:rsidRPr="00711980">
        <w:rPr>
          <w:rFonts w:ascii="Century Gothic" w:eastAsia="Arial" w:hAnsi="Century Gothic" w:cs="Arial"/>
          <w:b/>
          <w:sz w:val="22"/>
          <w:szCs w:val="22"/>
        </w:rPr>
        <w:t>Artículo 14. Vigencia.</w:t>
      </w:r>
      <w:r w:rsidRPr="00711980">
        <w:rPr>
          <w:rFonts w:ascii="Century Gothic" w:eastAsia="Arial" w:hAnsi="Century Gothic" w:cs="Arial"/>
          <w:sz w:val="22"/>
          <w:szCs w:val="22"/>
        </w:rPr>
        <w:t xml:space="preserve"> La presente Ley rige desde su sanción y deroga las demás normas que le sean contrarias.</w:t>
      </w:r>
    </w:p>
    <w:p w:rsidR="00711980" w:rsidRPr="00711980" w:rsidRDefault="00711980" w:rsidP="00711980">
      <w:pPr>
        <w:spacing w:line="276" w:lineRule="auto"/>
        <w:rPr>
          <w:rFonts w:ascii="Century Gothic" w:eastAsia="Arial" w:hAnsi="Century Gothic" w:cs="Arial"/>
          <w:sz w:val="22"/>
          <w:szCs w:val="22"/>
        </w:rPr>
      </w:pPr>
    </w:p>
    <w:p w:rsidR="008D0B2B" w:rsidRPr="00711980" w:rsidRDefault="008D0B2B">
      <w:pPr>
        <w:spacing w:after="240"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8D0B2B" w:rsidRPr="00711980" w:rsidRDefault="00127274">
      <w:pPr>
        <w:spacing w:after="160" w:line="259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</w:pPr>
      <w:r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En los anteriores términos fue aprobado 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>con modificaciones el presente P</w:t>
      </w:r>
      <w:r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>royecto d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>e Ley según consta en A</w:t>
      </w:r>
      <w:r w:rsidR="006625C1"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cta </w:t>
      </w:r>
      <w:r w:rsidR="003A3963"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>No. 2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5 de Sesión Presencial </w:t>
      </w:r>
      <w:r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de </w:t>
      </w:r>
      <w:r w:rsidR="006625C1"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>octubre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26</w:t>
      </w:r>
      <w:r w:rsidR="003A3963"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>de 2021. A</w:t>
      </w:r>
      <w:r w:rsidRPr="00711980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 xml:space="preserve">sí mismo fue anunciado el día </w:t>
      </w:r>
      <w:r w:rsidR="008455FF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>13</w:t>
      </w:r>
      <w:r w:rsidRPr="00711980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 xml:space="preserve"> de </w:t>
      </w:r>
      <w:r w:rsidR="003A3963" w:rsidRPr="00711980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>octubre</w:t>
      </w:r>
      <w:r w:rsidRPr="00711980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 xml:space="preserve"> de 2021, según consta en el acta </w:t>
      </w:r>
      <w:r w:rsidR="003A3963" w:rsidRPr="00711980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>2</w:t>
      </w:r>
      <w:r w:rsidR="008455FF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>4 de Sesión Presencial</w:t>
      </w:r>
      <w:r w:rsidRPr="00711980">
        <w:rPr>
          <w:rFonts w:ascii="Century Gothic" w:eastAsia="Century Gothic" w:hAnsi="Century Gothic" w:cs="Century Gothic"/>
          <w:color w:val="000000" w:themeColor="text1"/>
          <w:sz w:val="22"/>
          <w:szCs w:val="22"/>
          <w:highlight w:val="white"/>
        </w:rPr>
        <w:t xml:space="preserve"> de esa misma fecha.</w:t>
      </w:r>
    </w:p>
    <w:p w:rsidR="00D8621E" w:rsidRPr="00711980" w:rsidRDefault="00D8621E" w:rsidP="006625C1">
      <w:pPr>
        <w:pStyle w:val="Textoindependiente"/>
        <w:rPr>
          <w:rFonts w:ascii="Century Gothic" w:hAnsi="Century Gothic" w:cs="Arial"/>
          <w:sz w:val="22"/>
          <w:szCs w:val="22"/>
        </w:rPr>
      </w:pPr>
    </w:p>
    <w:p w:rsidR="00D8621E" w:rsidRPr="00711980" w:rsidRDefault="00D8621E" w:rsidP="006625C1">
      <w:pPr>
        <w:pStyle w:val="Textoindependiente"/>
        <w:rPr>
          <w:rFonts w:ascii="Century Gothic" w:hAnsi="Century Gothic" w:cs="Arial"/>
          <w:sz w:val="22"/>
          <w:szCs w:val="22"/>
        </w:rPr>
      </w:pPr>
    </w:p>
    <w:p w:rsidR="00D8621E" w:rsidRPr="00711980" w:rsidRDefault="00D8621E" w:rsidP="006625C1">
      <w:pPr>
        <w:pStyle w:val="Textoindependiente"/>
        <w:rPr>
          <w:rFonts w:ascii="Century Gothic" w:hAnsi="Century Gothic" w:cs="Arial"/>
          <w:sz w:val="22"/>
          <w:szCs w:val="22"/>
        </w:rPr>
      </w:pPr>
    </w:p>
    <w:p w:rsidR="00D8621E" w:rsidRPr="00711980" w:rsidRDefault="00D8621E" w:rsidP="008455FF">
      <w:pPr>
        <w:pStyle w:val="Textoindependiente"/>
        <w:rPr>
          <w:rFonts w:ascii="Century Gothic" w:hAnsi="Century Gothic" w:cs="Arial"/>
          <w:sz w:val="22"/>
          <w:szCs w:val="22"/>
        </w:rPr>
      </w:pPr>
    </w:p>
    <w:p w:rsidR="00D8621E" w:rsidRPr="00711980" w:rsidRDefault="00D8621E" w:rsidP="008455FF">
      <w:pPr>
        <w:tabs>
          <w:tab w:val="left" w:pos="4820"/>
        </w:tabs>
        <w:jc w:val="center"/>
        <w:rPr>
          <w:rFonts w:ascii="Century Gothic" w:eastAsia="Century Gothic" w:hAnsi="Century Gothic" w:cs="Century Gothic"/>
          <w:sz w:val="22"/>
          <w:szCs w:val="22"/>
          <w:highlight w:val="white"/>
        </w:rPr>
      </w:pPr>
    </w:p>
    <w:p w:rsidR="00D8621E" w:rsidRPr="00711980" w:rsidRDefault="008455FF" w:rsidP="008455FF">
      <w:pPr>
        <w:tabs>
          <w:tab w:val="left" w:pos="4820"/>
        </w:tabs>
        <w:jc w:val="both"/>
        <w:rPr>
          <w:rFonts w:ascii="Century Gothic" w:eastAsia="Century Gothic" w:hAnsi="Century Gothic" w:cs="Century Gothic"/>
          <w:sz w:val="22"/>
          <w:szCs w:val="22"/>
          <w:highlight w:val="white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JULIO CÉSAR TRIANA QUINTERO</w:t>
      </w:r>
      <w:r w:rsidR="00D8621E"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ab/>
      </w:r>
      <w:r>
        <w:rPr>
          <w:rFonts w:ascii="Century Gothic" w:eastAsia="Century Gothic" w:hAnsi="Century Gothic" w:cs="Century Gothic"/>
          <w:b/>
          <w:sz w:val="22"/>
          <w:szCs w:val="22"/>
        </w:rPr>
        <w:t>MARGARITA M. RESTREPO ARANGO</w:t>
      </w:r>
    </w:p>
    <w:p w:rsidR="00D8621E" w:rsidRPr="00711980" w:rsidRDefault="00D8621E" w:rsidP="008455FF">
      <w:pPr>
        <w:tabs>
          <w:tab w:val="left" w:pos="4820"/>
        </w:tabs>
        <w:jc w:val="both"/>
        <w:rPr>
          <w:rFonts w:ascii="Century Gothic" w:eastAsia="Century Gothic" w:hAnsi="Century Gothic" w:cs="Century Gothic"/>
          <w:sz w:val="22"/>
          <w:szCs w:val="22"/>
          <w:highlight w:val="white"/>
        </w:rPr>
      </w:pPr>
      <w:r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Ponente 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>Coordinador</w:t>
      </w:r>
      <w:r w:rsidR="008455FF">
        <w:rPr>
          <w:rFonts w:ascii="Century Gothic" w:eastAsia="Century Gothic" w:hAnsi="Century Gothic" w:cs="Century Gothic"/>
          <w:sz w:val="22"/>
          <w:szCs w:val="22"/>
          <w:highlight w:val="white"/>
        </w:rPr>
        <w:tab/>
        <w:t>Vicepresidenta</w:t>
      </w:r>
    </w:p>
    <w:p w:rsidR="00D8621E" w:rsidRPr="00711980" w:rsidRDefault="00D8621E" w:rsidP="00D8621E">
      <w:pPr>
        <w:spacing w:after="160" w:line="259" w:lineRule="auto"/>
        <w:jc w:val="center"/>
        <w:rPr>
          <w:rFonts w:ascii="Century Gothic" w:eastAsia="Century Gothic" w:hAnsi="Century Gothic" w:cs="Century Gothic"/>
          <w:sz w:val="22"/>
          <w:szCs w:val="22"/>
          <w:highlight w:val="white"/>
        </w:rPr>
      </w:pPr>
    </w:p>
    <w:p w:rsidR="00D8621E" w:rsidRPr="00711980" w:rsidRDefault="00D8621E" w:rsidP="00D8621E">
      <w:pPr>
        <w:spacing w:after="160" w:line="259" w:lineRule="auto"/>
        <w:jc w:val="center"/>
        <w:rPr>
          <w:rFonts w:ascii="Century Gothic" w:eastAsia="Century Gothic" w:hAnsi="Century Gothic" w:cs="Century Gothic"/>
          <w:sz w:val="22"/>
          <w:szCs w:val="22"/>
          <w:highlight w:val="white"/>
        </w:rPr>
      </w:pPr>
    </w:p>
    <w:p w:rsidR="00D8621E" w:rsidRPr="00711980" w:rsidRDefault="00D8621E" w:rsidP="00D8621E">
      <w:pPr>
        <w:spacing w:after="160" w:line="259" w:lineRule="auto"/>
        <w:jc w:val="center"/>
        <w:rPr>
          <w:rFonts w:ascii="Century Gothic" w:eastAsia="Century Gothic" w:hAnsi="Century Gothic" w:cs="Century Gothic"/>
          <w:sz w:val="22"/>
          <w:szCs w:val="22"/>
          <w:highlight w:val="white"/>
        </w:rPr>
      </w:pPr>
    </w:p>
    <w:p w:rsidR="008D0B2B" w:rsidRPr="00711980" w:rsidRDefault="008D0B2B" w:rsidP="006625C1">
      <w:pPr>
        <w:spacing w:after="160" w:line="259" w:lineRule="auto"/>
        <w:rPr>
          <w:rFonts w:ascii="Century Gothic" w:eastAsia="Century Gothic" w:hAnsi="Century Gothic" w:cs="Century Gothic"/>
          <w:sz w:val="22"/>
          <w:szCs w:val="22"/>
          <w:highlight w:val="white"/>
        </w:rPr>
      </w:pPr>
      <w:bookmarkStart w:id="1" w:name="_gjdgxs" w:colFirst="0" w:colLast="0"/>
      <w:bookmarkEnd w:id="1"/>
    </w:p>
    <w:p w:rsidR="008D0B2B" w:rsidRPr="00711980" w:rsidRDefault="008455FF" w:rsidP="006625C1">
      <w:pPr>
        <w:tabs>
          <w:tab w:val="left" w:pos="4820"/>
        </w:tabs>
        <w:jc w:val="both"/>
        <w:rPr>
          <w:rFonts w:ascii="Century Gothic" w:eastAsia="Century Gothic" w:hAnsi="Century Gothic" w:cs="Century Gothic"/>
          <w:b/>
          <w:sz w:val="22"/>
          <w:szCs w:val="22"/>
          <w:highlight w:val="white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                                           </w:t>
      </w:r>
      <w:r w:rsidR="00127274" w:rsidRPr="00711980">
        <w:rPr>
          <w:rFonts w:ascii="Century Gothic" w:eastAsia="Century Gothic" w:hAnsi="Century Gothic" w:cs="Century Gothic"/>
          <w:b/>
          <w:sz w:val="22"/>
          <w:szCs w:val="22"/>
          <w:highlight w:val="white"/>
        </w:rPr>
        <w:t>AMPARO YANETH CALDERON PERDOMO</w:t>
      </w:r>
    </w:p>
    <w:p w:rsidR="008D0B2B" w:rsidRPr="00711980" w:rsidRDefault="008455FF" w:rsidP="006625C1">
      <w:pPr>
        <w:tabs>
          <w:tab w:val="left" w:pos="4820"/>
        </w:tabs>
        <w:jc w:val="both"/>
        <w:rPr>
          <w:rFonts w:ascii="Century Gothic" w:eastAsia="Century Gothic" w:hAnsi="Century Gothic" w:cs="Century Gothic"/>
          <w:sz w:val="22"/>
          <w:szCs w:val="22"/>
          <w:highlight w:val="white"/>
        </w:rPr>
      </w:pPr>
      <w:r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                                                           </w:t>
      </w:r>
      <w:r w:rsidR="00127274" w:rsidRPr="00711980">
        <w:rPr>
          <w:rFonts w:ascii="Century Gothic" w:eastAsia="Century Gothic" w:hAnsi="Century Gothic" w:cs="Century Gothic"/>
          <w:sz w:val="22"/>
          <w:szCs w:val="22"/>
          <w:highlight w:val="white"/>
        </w:rPr>
        <w:t>Secretaria</w:t>
      </w:r>
    </w:p>
    <w:sectPr w:rsidR="008D0B2B" w:rsidRPr="00711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418" w:left="1418" w:header="709" w:footer="3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5D5" w:rsidRDefault="009835D5">
      <w:r>
        <w:separator/>
      </w:r>
    </w:p>
  </w:endnote>
  <w:endnote w:type="continuationSeparator" w:id="0">
    <w:p w:rsidR="009835D5" w:rsidRDefault="0098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78325"/>
      <w:docPartObj>
        <w:docPartGallery w:val="Page Numbers (Bottom of Page)"/>
        <w:docPartUnique/>
      </w:docPartObj>
    </w:sdtPr>
    <w:sdtEndPr/>
    <w:sdtContent>
      <w:p w:rsidR="006463DE" w:rsidRDefault="006463D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76F" w:rsidRPr="00A0676F">
          <w:rPr>
            <w:noProof/>
            <w:lang w:val="es-ES"/>
          </w:rPr>
          <w:t>7</w:t>
        </w:r>
        <w:r>
          <w:fldChar w:fldCharType="end"/>
        </w:r>
      </w:p>
    </w:sdtContent>
  </w:sdt>
  <w:p w:rsidR="008D0B2B" w:rsidRPr="00D8621E" w:rsidRDefault="008D0B2B">
    <w:pPr>
      <w:tabs>
        <w:tab w:val="center" w:pos="4419"/>
        <w:tab w:val="right" w:pos="8838"/>
      </w:tabs>
      <w:jc w:val="center"/>
      <w:rPr>
        <w:rFonts w:asciiTheme="majorHAnsi" w:eastAsia="Calibri" w:hAnsiTheme="majorHAnsi" w:cstheme="majorHAnsi"/>
        <w:sz w:val="20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5D5" w:rsidRDefault="009835D5">
      <w:r>
        <w:separator/>
      </w:r>
    </w:p>
  </w:footnote>
  <w:footnote w:type="continuationSeparator" w:id="0">
    <w:p w:rsidR="009835D5" w:rsidRDefault="00983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2B" w:rsidRDefault="001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122159" cy="611237"/>
          <wp:effectExtent l="0" t="0" r="0" b="0"/>
          <wp:docPr id="2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2159" cy="611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0B2B" w:rsidRDefault="008D0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BD2"/>
    <w:multiLevelType w:val="multilevel"/>
    <w:tmpl w:val="6CBAAD28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1AF3"/>
    <w:multiLevelType w:val="hybridMultilevel"/>
    <w:tmpl w:val="0A745726"/>
    <w:lvl w:ilvl="0" w:tplc="E2800722">
      <w:start w:val="1"/>
      <w:numFmt w:val="decimal"/>
      <w:lvlText w:val="%1."/>
      <w:lvlJc w:val="left"/>
      <w:pPr>
        <w:ind w:left="65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732F1AA">
      <w:numFmt w:val="bullet"/>
      <w:lvlText w:val="•"/>
      <w:lvlJc w:val="left"/>
      <w:pPr>
        <w:ind w:left="1528" w:hanging="269"/>
      </w:pPr>
      <w:rPr>
        <w:rFonts w:hint="default"/>
        <w:lang w:val="es-ES" w:eastAsia="en-US" w:bidi="ar-SA"/>
      </w:rPr>
    </w:lvl>
    <w:lvl w:ilvl="2" w:tplc="B4EEC6E4">
      <w:numFmt w:val="bullet"/>
      <w:lvlText w:val="•"/>
      <w:lvlJc w:val="left"/>
      <w:pPr>
        <w:ind w:left="2396" w:hanging="269"/>
      </w:pPr>
      <w:rPr>
        <w:rFonts w:hint="default"/>
        <w:lang w:val="es-ES" w:eastAsia="en-US" w:bidi="ar-SA"/>
      </w:rPr>
    </w:lvl>
    <w:lvl w:ilvl="3" w:tplc="B734D910">
      <w:numFmt w:val="bullet"/>
      <w:lvlText w:val="•"/>
      <w:lvlJc w:val="left"/>
      <w:pPr>
        <w:ind w:left="3264" w:hanging="269"/>
      </w:pPr>
      <w:rPr>
        <w:rFonts w:hint="default"/>
        <w:lang w:val="es-ES" w:eastAsia="en-US" w:bidi="ar-SA"/>
      </w:rPr>
    </w:lvl>
    <w:lvl w:ilvl="4" w:tplc="D376F494">
      <w:numFmt w:val="bullet"/>
      <w:lvlText w:val="•"/>
      <w:lvlJc w:val="left"/>
      <w:pPr>
        <w:ind w:left="4132" w:hanging="269"/>
      </w:pPr>
      <w:rPr>
        <w:rFonts w:hint="default"/>
        <w:lang w:val="es-ES" w:eastAsia="en-US" w:bidi="ar-SA"/>
      </w:rPr>
    </w:lvl>
    <w:lvl w:ilvl="5" w:tplc="9BE632C8">
      <w:numFmt w:val="bullet"/>
      <w:lvlText w:val="•"/>
      <w:lvlJc w:val="left"/>
      <w:pPr>
        <w:ind w:left="5000" w:hanging="269"/>
      </w:pPr>
      <w:rPr>
        <w:rFonts w:hint="default"/>
        <w:lang w:val="es-ES" w:eastAsia="en-US" w:bidi="ar-SA"/>
      </w:rPr>
    </w:lvl>
    <w:lvl w:ilvl="6" w:tplc="747E9F18">
      <w:numFmt w:val="bullet"/>
      <w:lvlText w:val="•"/>
      <w:lvlJc w:val="left"/>
      <w:pPr>
        <w:ind w:left="5868" w:hanging="269"/>
      </w:pPr>
      <w:rPr>
        <w:rFonts w:hint="default"/>
        <w:lang w:val="es-ES" w:eastAsia="en-US" w:bidi="ar-SA"/>
      </w:rPr>
    </w:lvl>
    <w:lvl w:ilvl="7" w:tplc="C93ED076">
      <w:numFmt w:val="bullet"/>
      <w:lvlText w:val="•"/>
      <w:lvlJc w:val="left"/>
      <w:pPr>
        <w:ind w:left="6736" w:hanging="269"/>
      </w:pPr>
      <w:rPr>
        <w:rFonts w:hint="default"/>
        <w:lang w:val="es-ES" w:eastAsia="en-US" w:bidi="ar-SA"/>
      </w:rPr>
    </w:lvl>
    <w:lvl w:ilvl="8" w:tplc="C8DC1C56">
      <w:numFmt w:val="bullet"/>
      <w:lvlText w:val="•"/>
      <w:lvlJc w:val="left"/>
      <w:pPr>
        <w:ind w:left="7604" w:hanging="269"/>
      </w:pPr>
      <w:rPr>
        <w:rFonts w:hint="default"/>
        <w:lang w:val="es-ES" w:eastAsia="en-US" w:bidi="ar-SA"/>
      </w:rPr>
    </w:lvl>
  </w:abstractNum>
  <w:abstractNum w:abstractNumId="2">
    <w:nsid w:val="548A08DF"/>
    <w:multiLevelType w:val="hybridMultilevel"/>
    <w:tmpl w:val="58DC5D88"/>
    <w:lvl w:ilvl="0" w:tplc="A92EF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9282D"/>
    <w:multiLevelType w:val="multilevel"/>
    <w:tmpl w:val="FBC66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B"/>
    <w:rsid w:val="00035569"/>
    <w:rsid w:val="00127274"/>
    <w:rsid w:val="002035CF"/>
    <w:rsid w:val="002914E6"/>
    <w:rsid w:val="003A3963"/>
    <w:rsid w:val="004076F1"/>
    <w:rsid w:val="004328C1"/>
    <w:rsid w:val="006463DE"/>
    <w:rsid w:val="006625C1"/>
    <w:rsid w:val="00711980"/>
    <w:rsid w:val="00814643"/>
    <w:rsid w:val="008455FF"/>
    <w:rsid w:val="008D0B2B"/>
    <w:rsid w:val="00945281"/>
    <w:rsid w:val="009835D5"/>
    <w:rsid w:val="00A0676F"/>
    <w:rsid w:val="00A101B0"/>
    <w:rsid w:val="00B47FB2"/>
    <w:rsid w:val="00BD27F5"/>
    <w:rsid w:val="00C455AB"/>
    <w:rsid w:val="00C87A9C"/>
    <w:rsid w:val="00CC76F7"/>
    <w:rsid w:val="00CE0261"/>
    <w:rsid w:val="00D44D19"/>
    <w:rsid w:val="00D8621E"/>
    <w:rsid w:val="00E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242CBC-F2DB-4C32-9B11-332EAE2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625C1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C1"/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34"/>
    <w:qFormat/>
    <w:rsid w:val="006625C1"/>
    <w:pPr>
      <w:widowControl w:val="0"/>
      <w:autoSpaceDE w:val="0"/>
      <w:autoSpaceDN w:val="0"/>
      <w:ind w:left="382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21E"/>
  </w:style>
  <w:style w:type="paragraph" w:styleId="Piedepgina">
    <w:name w:val="footer"/>
    <w:basedOn w:val="Normal"/>
    <w:link w:val="Piedepgina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21E"/>
  </w:style>
  <w:style w:type="paragraph" w:styleId="Textodeglobo">
    <w:name w:val="Balloon Text"/>
    <w:basedOn w:val="Normal"/>
    <w:link w:val="TextodegloboCar"/>
    <w:uiPriority w:val="99"/>
    <w:semiHidden/>
    <w:unhideWhenUsed/>
    <w:rsid w:val="00C455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2347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Paola.Santos</dc:creator>
  <cp:lastModifiedBy>Dora Sonia Cortes Castillo</cp:lastModifiedBy>
  <cp:revision>8</cp:revision>
  <dcterms:created xsi:type="dcterms:W3CDTF">2021-10-26T21:38:00Z</dcterms:created>
  <dcterms:modified xsi:type="dcterms:W3CDTF">2021-10-28T19:23:00Z</dcterms:modified>
</cp:coreProperties>
</file>