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Pr="00777AB4" w:rsidRDefault="000703D1" w:rsidP="007F6D4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777AB4">
        <w:rPr>
          <w:rFonts w:ascii="Times New Roman" w:hAnsi="Times New Roman" w:cs="Times New Roman"/>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5BC303B" w14:textId="77777777" w:rsidR="0062133F" w:rsidRPr="00AA2564" w:rsidRDefault="007F6D4F" w:rsidP="0062133F">
      <w:pPr>
        <w:pBdr>
          <w:top w:val="nil"/>
          <w:left w:val="nil"/>
          <w:bottom w:val="nil"/>
          <w:right w:val="nil"/>
          <w:between w:val="nil"/>
        </w:pBdr>
        <w:spacing w:before="240" w:after="240" w:line="276" w:lineRule="auto"/>
        <w:jc w:val="center"/>
        <w:rPr>
          <w:rFonts w:ascii="Arial" w:eastAsia="Century Gothic" w:hAnsi="Arial" w:cs="Arial"/>
          <w:b/>
          <w:color w:val="000000"/>
          <w:sz w:val="24"/>
          <w:szCs w:val="24"/>
          <w:lang w:val="es-ES_tradnl"/>
        </w:rPr>
      </w:pPr>
      <w:r w:rsidRPr="00AA2564">
        <w:rPr>
          <w:rFonts w:ascii="Arial" w:eastAsia="Century Gothic" w:hAnsi="Arial" w:cs="Arial"/>
          <w:b/>
          <w:color w:val="000000"/>
          <w:sz w:val="24"/>
          <w:szCs w:val="24"/>
          <w:lang w:val="es-ES_tradnl"/>
        </w:rPr>
        <w:t>TEXTO APROBADO EN LA COMISION PRIMERA DE LA HONORABLE CÁMARA DE REP</w:t>
      </w:r>
      <w:r w:rsidR="00576838" w:rsidRPr="00AA2564">
        <w:rPr>
          <w:rFonts w:ascii="Arial" w:eastAsia="Century Gothic" w:hAnsi="Arial" w:cs="Arial"/>
          <w:b/>
          <w:color w:val="000000"/>
          <w:sz w:val="24"/>
          <w:szCs w:val="24"/>
          <w:lang w:val="es-ES_tradnl"/>
        </w:rPr>
        <w:t xml:space="preserve">RESENTANTES EN PRIMER DEBATE </w:t>
      </w:r>
    </w:p>
    <w:p w14:paraId="31F998AF" w14:textId="4760237C" w:rsidR="00B87151" w:rsidRPr="00AA2564" w:rsidRDefault="00576838" w:rsidP="00AA2564">
      <w:pPr>
        <w:pBdr>
          <w:top w:val="nil"/>
          <w:left w:val="nil"/>
          <w:bottom w:val="nil"/>
          <w:right w:val="nil"/>
          <w:between w:val="nil"/>
        </w:pBdr>
        <w:spacing w:before="240" w:after="240" w:line="276" w:lineRule="auto"/>
        <w:jc w:val="center"/>
        <w:rPr>
          <w:rFonts w:ascii="Arial" w:eastAsia="Arial" w:hAnsi="Arial" w:cs="Arial"/>
          <w:b/>
          <w:sz w:val="24"/>
          <w:szCs w:val="24"/>
          <w:lang w:val="es-ES_tradnl"/>
        </w:rPr>
      </w:pPr>
      <w:r w:rsidRPr="00AA2564">
        <w:rPr>
          <w:rFonts w:ascii="Arial" w:eastAsia="Century Gothic" w:hAnsi="Arial" w:cs="Arial"/>
          <w:b/>
          <w:color w:val="000000"/>
          <w:sz w:val="24"/>
          <w:szCs w:val="24"/>
          <w:lang w:val="es-ES_tradnl"/>
        </w:rPr>
        <w:t xml:space="preserve">AL </w:t>
      </w:r>
      <w:r w:rsidR="0062133F" w:rsidRPr="00AA2564">
        <w:rPr>
          <w:rFonts w:ascii="Arial" w:hAnsi="Arial" w:cs="Arial"/>
          <w:b/>
          <w:bCs/>
          <w:sz w:val="24"/>
          <w:szCs w:val="24"/>
          <w:shd w:val="clear" w:color="auto" w:fill="FFFFFF"/>
        </w:rPr>
        <w:t xml:space="preserve">PROYECTO DE LEY No. </w:t>
      </w:r>
      <w:r w:rsidR="00B87151" w:rsidRPr="00AA2564">
        <w:rPr>
          <w:rFonts w:ascii="Arial" w:hAnsi="Arial" w:cs="Arial"/>
          <w:b/>
          <w:sz w:val="24"/>
          <w:szCs w:val="24"/>
        </w:rPr>
        <w:t>006 DE 2021 CÁMARA</w:t>
      </w:r>
      <w:r w:rsidR="00B87151" w:rsidRPr="00AA2564">
        <w:rPr>
          <w:rFonts w:ascii="Arial" w:eastAsia="Century Gothic" w:hAnsi="Arial" w:cs="Arial"/>
          <w:b/>
          <w:sz w:val="24"/>
          <w:szCs w:val="24"/>
        </w:rPr>
        <w:t xml:space="preserve">, ACUMULADO CON </w:t>
      </w:r>
      <w:r w:rsidR="00B87151" w:rsidRPr="00AA2564">
        <w:rPr>
          <w:rFonts w:ascii="Arial" w:hAnsi="Arial" w:cs="Arial"/>
          <w:b/>
          <w:sz w:val="24"/>
          <w:szCs w:val="24"/>
        </w:rPr>
        <w:t>PROYECTO DE LEY 135 DE 2021 CÁMARA “POR MEDIO DE LA CUAL SE ESTABLECEN SEDES ALTERNAS DE LA PRESIDENCIA DE LA REPÚBLICA PARA TODOS LOS EFECTOS, DEL CONGRESO DE LA REPÚBLICA Y DE ALGUNOS MINISTERIOS, Y SE ESTABLECEN OTRAS DISPOSICIONES”</w:t>
      </w:r>
    </w:p>
    <w:p w14:paraId="6073A606" w14:textId="77777777" w:rsidR="00AA2564" w:rsidRDefault="00AA2564" w:rsidP="00B87151">
      <w:pPr>
        <w:ind w:right="51"/>
        <w:contextualSpacing/>
        <w:jc w:val="center"/>
        <w:rPr>
          <w:rFonts w:ascii="Arial" w:hAnsi="Arial" w:cs="Arial"/>
          <w:b/>
          <w:sz w:val="24"/>
          <w:szCs w:val="24"/>
        </w:rPr>
      </w:pPr>
    </w:p>
    <w:p w14:paraId="4F6349D7" w14:textId="77777777" w:rsidR="00B87151" w:rsidRPr="00AA2564" w:rsidRDefault="00B87151" w:rsidP="00B87151">
      <w:pPr>
        <w:ind w:right="51"/>
        <w:contextualSpacing/>
        <w:jc w:val="center"/>
        <w:rPr>
          <w:rFonts w:ascii="Arial" w:hAnsi="Arial" w:cs="Arial"/>
          <w:b/>
          <w:sz w:val="24"/>
          <w:szCs w:val="24"/>
        </w:rPr>
      </w:pPr>
      <w:r w:rsidRPr="00AA2564">
        <w:rPr>
          <w:rFonts w:ascii="Arial" w:hAnsi="Arial" w:cs="Arial"/>
          <w:b/>
          <w:sz w:val="24"/>
          <w:szCs w:val="24"/>
        </w:rPr>
        <w:t>EL CONGRESO DE LA REPÚBLICA DE COLOMBIA</w:t>
      </w:r>
    </w:p>
    <w:p w14:paraId="2F1495E6" w14:textId="77777777" w:rsidR="00B87151" w:rsidRPr="00AA2564" w:rsidRDefault="00B87151" w:rsidP="00B87151">
      <w:pPr>
        <w:ind w:right="51"/>
        <w:contextualSpacing/>
        <w:jc w:val="center"/>
        <w:rPr>
          <w:rFonts w:ascii="Arial" w:hAnsi="Arial" w:cs="Arial"/>
          <w:b/>
          <w:sz w:val="24"/>
          <w:szCs w:val="24"/>
        </w:rPr>
      </w:pPr>
    </w:p>
    <w:p w14:paraId="43C75566" w14:textId="61499F5D" w:rsidR="00B87151" w:rsidRPr="00AA2564" w:rsidRDefault="00B87151" w:rsidP="00B87151">
      <w:pPr>
        <w:ind w:right="51"/>
        <w:jc w:val="center"/>
        <w:rPr>
          <w:rFonts w:ascii="Arial" w:hAnsi="Arial" w:cs="Arial"/>
          <w:b/>
          <w:sz w:val="24"/>
          <w:szCs w:val="24"/>
        </w:rPr>
      </w:pPr>
      <w:r w:rsidRPr="00AA2564">
        <w:rPr>
          <w:rFonts w:ascii="Arial" w:hAnsi="Arial" w:cs="Arial"/>
          <w:b/>
          <w:sz w:val="24"/>
          <w:szCs w:val="24"/>
        </w:rPr>
        <w:t>DECRETA</w:t>
      </w:r>
      <w:r w:rsidR="00AA2564">
        <w:rPr>
          <w:rFonts w:ascii="Arial" w:hAnsi="Arial" w:cs="Arial"/>
          <w:b/>
          <w:sz w:val="24"/>
          <w:szCs w:val="24"/>
        </w:rPr>
        <w:t>:</w:t>
      </w:r>
    </w:p>
    <w:p w14:paraId="4FB51BF4" w14:textId="77777777" w:rsidR="00AA2564" w:rsidRDefault="00AA2564" w:rsidP="00B87151">
      <w:pPr>
        <w:ind w:right="51"/>
        <w:jc w:val="both"/>
        <w:rPr>
          <w:rFonts w:ascii="Arial" w:hAnsi="Arial" w:cs="Arial"/>
          <w:b/>
          <w:bCs/>
          <w:kern w:val="36"/>
          <w:sz w:val="24"/>
          <w:szCs w:val="24"/>
          <w:lang w:eastAsia="es-CO"/>
        </w:rPr>
      </w:pPr>
    </w:p>
    <w:p w14:paraId="5123F069" w14:textId="77777777" w:rsidR="00B87151" w:rsidRPr="00EE26EA" w:rsidRDefault="00B87151" w:rsidP="00B87151">
      <w:pPr>
        <w:ind w:right="51"/>
        <w:jc w:val="both"/>
        <w:rPr>
          <w:rFonts w:ascii="Arial" w:hAnsi="Arial" w:cs="Arial"/>
          <w:sz w:val="24"/>
          <w:szCs w:val="24"/>
        </w:rPr>
      </w:pPr>
      <w:r w:rsidRPr="00AA2564">
        <w:rPr>
          <w:rFonts w:ascii="Arial" w:hAnsi="Arial" w:cs="Arial"/>
          <w:b/>
          <w:bCs/>
          <w:kern w:val="36"/>
          <w:sz w:val="24"/>
          <w:szCs w:val="24"/>
          <w:lang w:eastAsia="es-CO"/>
        </w:rPr>
        <w:t>ART</w:t>
      </w:r>
      <w:r w:rsidRPr="00EE26EA">
        <w:rPr>
          <w:rFonts w:ascii="Arial" w:hAnsi="Arial" w:cs="Arial"/>
          <w:b/>
          <w:bCs/>
          <w:kern w:val="36"/>
          <w:sz w:val="24"/>
          <w:szCs w:val="24"/>
          <w:lang w:eastAsia="es-CO"/>
        </w:rPr>
        <w:t>ÍCULO 1. Objeto.</w:t>
      </w:r>
      <w:r w:rsidRPr="00EE26EA">
        <w:rPr>
          <w:rFonts w:ascii="Arial" w:hAnsi="Arial" w:cs="Arial"/>
          <w:bCs/>
          <w:kern w:val="36"/>
          <w:sz w:val="24"/>
          <w:szCs w:val="24"/>
          <w:lang w:eastAsia="es-CO"/>
        </w:rPr>
        <w:t xml:space="preserve"> La presente ley tiene por objeto establecer sedes alternas para la Presidencia de la República, el Congreso de la República y los ministerios del poder ejecutivo.</w:t>
      </w:r>
    </w:p>
    <w:p w14:paraId="71FE4F6E" w14:textId="77777777" w:rsidR="00AA2564" w:rsidRDefault="00AA2564" w:rsidP="00B87151">
      <w:pPr>
        <w:ind w:left="-82"/>
        <w:jc w:val="both"/>
        <w:rPr>
          <w:rFonts w:ascii="Arial" w:eastAsia="Times New Roman" w:hAnsi="Arial" w:cs="Arial"/>
          <w:b/>
          <w:bCs/>
          <w:sz w:val="24"/>
          <w:szCs w:val="24"/>
          <w:lang w:eastAsia="es-CO"/>
        </w:rPr>
      </w:pPr>
    </w:p>
    <w:p w14:paraId="6ACADB7C" w14:textId="77777777" w:rsidR="00B87151" w:rsidRPr="00EE26EA" w:rsidRDefault="00B87151" w:rsidP="00B87151">
      <w:pPr>
        <w:ind w:left="-82"/>
        <w:jc w:val="both"/>
        <w:rPr>
          <w:rFonts w:ascii="Arial" w:eastAsia="Times New Roman" w:hAnsi="Arial" w:cs="Arial"/>
          <w:b/>
          <w:bCs/>
          <w:sz w:val="24"/>
          <w:szCs w:val="24"/>
          <w:lang w:eastAsia="es-CO"/>
        </w:rPr>
      </w:pPr>
      <w:r w:rsidRPr="00EE26EA">
        <w:rPr>
          <w:rFonts w:ascii="Arial" w:eastAsia="Times New Roman" w:hAnsi="Arial" w:cs="Arial"/>
          <w:b/>
          <w:bCs/>
          <w:sz w:val="24"/>
          <w:szCs w:val="24"/>
          <w:lang w:eastAsia="es-CO"/>
        </w:rPr>
        <w:t xml:space="preserve">ARTÍCULO 2.  </w:t>
      </w:r>
      <w:r w:rsidRPr="00EE26EA">
        <w:rPr>
          <w:rFonts w:ascii="Arial" w:eastAsia="Times New Roman" w:hAnsi="Arial" w:cs="Arial"/>
          <w:bCs/>
          <w:sz w:val="24"/>
          <w:szCs w:val="24"/>
          <w:lang w:eastAsia="es-CO"/>
        </w:rPr>
        <w:t>Modifíquese el artículo 47 de la Ley 768 de 2002, así:</w:t>
      </w:r>
    </w:p>
    <w:p w14:paraId="0353211B" w14:textId="77777777" w:rsidR="00B87151" w:rsidRPr="005564D7" w:rsidRDefault="00B87151" w:rsidP="00B87151">
      <w:pPr>
        <w:ind w:left="708"/>
        <w:jc w:val="both"/>
        <w:rPr>
          <w:rFonts w:ascii="Arial" w:eastAsia="Times New Roman" w:hAnsi="Arial" w:cs="Arial"/>
          <w:sz w:val="24"/>
          <w:szCs w:val="24"/>
          <w:lang w:eastAsia="es-CO"/>
        </w:rPr>
      </w:pPr>
      <w:r w:rsidRPr="00C226CC">
        <w:rPr>
          <w:rFonts w:ascii="Arial" w:eastAsia="Times New Roman" w:hAnsi="Arial" w:cs="Arial"/>
          <w:b/>
          <w:bCs/>
          <w:sz w:val="24"/>
          <w:szCs w:val="24"/>
          <w:lang w:eastAsia="es-CO"/>
        </w:rPr>
        <w:t>Artículo 47.</w:t>
      </w:r>
      <w:r w:rsidRPr="00C226CC">
        <w:rPr>
          <w:rFonts w:ascii="Arial" w:eastAsia="Times New Roman" w:hAnsi="Arial" w:cs="Arial"/>
          <w:i/>
          <w:iCs/>
          <w:sz w:val="24"/>
          <w:szCs w:val="24"/>
          <w:lang w:eastAsia="es-CO"/>
        </w:rPr>
        <w:t> Sedes alternas.</w:t>
      </w:r>
      <w:r w:rsidRPr="00C226CC">
        <w:rPr>
          <w:rFonts w:ascii="Arial" w:eastAsia="Times New Roman" w:hAnsi="Arial" w:cs="Arial"/>
          <w:sz w:val="24"/>
          <w:szCs w:val="24"/>
          <w:lang w:eastAsia="es-CO"/>
        </w:rPr>
        <w:t xml:space="preserve"> El Distrito Turístico y Cultural de Cartagena de Indias cumplirá el papel de sede alterna de la Presidencia y del Congreso de la República para todos los efectos. Así mismo, El Distrito Turístico y Cultural de Cartagena de Indias será sede alterna del Ministerio de Relaciones Exteriores y del Ministerio de Comercio, Industria, y Turismo; el Distrito Especial y Portuario de Barranquilla, será sede alterna de Ministerio de Transporte y; el Distrito Turístico Cultural e Histórico de Santa Marta, será la sede alterna del Ministerio de Ambiente y Desarrollo Sostenible. </w:t>
      </w:r>
    </w:p>
    <w:p w14:paraId="2729C26E" w14:textId="77777777" w:rsidR="00B87151" w:rsidRPr="00C226CC" w:rsidRDefault="00B87151" w:rsidP="00B87151">
      <w:pPr>
        <w:ind w:left="708"/>
        <w:jc w:val="both"/>
        <w:rPr>
          <w:rFonts w:ascii="Arial" w:hAnsi="Arial" w:cs="Arial"/>
          <w:sz w:val="24"/>
          <w:szCs w:val="24"/>
        </w:rPr>
      </w:pPr>
      <w:r w:rsidRPr="00C226CC">
        <w:rPr>
          <w:rFonts w:ascii="Arial" w:hAnsi="Arial" w:cs="Arial"/>
          <w:b/>
          <w:sz w:val="24"/>
          <w:szCs w:val="24"/>
        </w:rPr>
        <w:t>Parágrafo.</w:t>
      </w:r>
      <w:r w:rsidRPr="00C226CC">
        <w:rPr>
          <w:rFonts w:ascii="Arial" w:hAnsi="Arial" w:cs="Arial"/>
          <w:sz w:val="24"/>
          <w:szCs w:val="24"/>
        </w:rPr>
        <w:t xml:space="preserve"> El Ministerio de Relaciones Exteriores en asocio con las autoridades, instituciones de educación superior, gremios, asociaciones y sindicatos de los distritos, </w:t>
      </w:r>
      <w:proofErr w:type="gramStart"/>
      <w:r w:rsidRPr="00C226CC">
        <w:rPr>
          <w:rFonts w:ascii="Arial" w:hAnsi="Arial" w:cs="Arial"/>
          <w:sz w:val="24"/>
          <w:szCs w:val="24"/>
        </w:rPr>
        <w:t>organizará</w:t>
      </w:r>
      <w:proofErr w:type="gramEnd"/>
      <w:r w:rsidRPr="00C226CC">
        <w:rPr>
          <w:rFonts w:ascii="Arial" w:hAnsi="Arial" w:cs="Arial"/>
          <w:sz w:val="24"/>
          <w:szCs w:val="24"/>
        </w:rPr>
        <w:t xml:space="preserve"> y pondrá en funcionamiento un centro de estudios internacionales para el área del Caribe, cuya sede principal será la ciudad de Cartagena. Sin embargo, algunos de sus programas podrán desarrollarse en las ciudades de Barranquilla y Santa Marta, donde podrán funcionar también algunas de sus dependencias. </w:t>
      </w:r>
    </w:p>
    <w:p w14:paraId="0814C398" w14:textId="77777777" w:rsidR="00B87151" w:rsidRDefault="00B87151" w:rsidP="00B87151">
      <w:pPr>
        <w:spacing w:after="0"/>
        <w:ind w:left="-82"/>
        <w:jc w:val="both"/>
        <w:rPr>
          <w:rFonts w:ascii="Arial" w:hAnsi="Arial" w:cs="Arial"/>
          <w:b/>
          <w:sz w:val="24"/>
          <w:szCs w:val="24"/>
          <w:u w:val="single"/>
          <w:shd w:val="clear" w:color="auto" w:fill="FFFFFF"/>
        </w:rPr>
      </w:pPr>
      <w:r w:rsidRPr="00EE26EA">
        <w:rPr>
          <w:rFonts w:ascii="Arial" w:hAnsi="Arial" w:cs="Arial"/>
          <w:b/>
          <w:sz w:val="24"/>
          <w:szCs w:val="24"/>
        </w:rPr>
        <w:lastRenderedPageBreak/>
        <w:t>ARTÍCULO 3.</w:t>
      </w:r>
      <w:r w:rsidRPr="00EE26EA">
        <w:rPr>
          <w:rFonts w:ascii="Arial" w:hAnsi="Arial" w:cs="Arial"/>
          <w:sz w:val="24"/>
          <w:szCs w:val="24"/>
        </w:rPr>
        <w:t xml:space="preserve"> El Gobierno Nacional en un plazo no superior a un (1) año, contado a partir de la promulgación de la presente ley, convocará a </w:t>
      </w:r>
      <w:r w:rsidRPr="00EE26EA">
        <w:rPr>
          <w:rFonts w:ascii="Arial" w:eastAsia="ArialMT" w:hAnsi="Arial" w:cs="Arial"/>
          <w:sz w:val="24"/>
          <w:szCs w:val="24"/>
        </w:rPr>
        <w:t xml:space="preserve">una Comisión Interinstitucional para definir, planear y hacer seguimiento a la instalación de las sedes alternas de los Ministerios que se establecerán en los Distritos </w:t>
      </w:r>
      <w:r w:rsidRPr="00EE26EA">
        <w:rPr>
          <w:rFonts w:ascii="Arial" w:eastAsia="Times New Roman" w:hAnsi="Arial" w:cs="Arial"/>
          <w:sz w:val="24"/>
          <w:szCs w:val="24"/>
          <w:lang w:eastAsia="es-CO"/>
        </w:rPr>
        <w:t xml:space="preserve">Turístico y Cultural de </w:t>
      </w:r>
      <w:r w:rsidRPr="00EE26EA">
        <w:rPr>
          <w:rFonts w:ascii="Arial" w:eastAsia="ArialMT" w:hAnsi="Arial" w:cs="Arial"/>
          <w:sz w:val="24"/>
          <w:szCs w:val="24"/>
        </w:rPr>
        <w:t>Cartagena,</w:t>
      </w:r>
      <w:r w:rsidRPr="00EE26EA">
        <w:rPr>
          <w:rFonts w:ascii="Arial" w:eastAsia="Times New Roman" w:hAnsi="Arial" w:cs="Arial"/>
          <w:sz w:val="24"/>
          <w:szCs w:val="24"/>
          <w:lang w:eastAsia="es-CO"/>
        </w:rPr>
        <w:t xml:space="preserve"> Especial y Portuario de Barranquilla; y Turístico Cultural e Histórico de Santa Marta. Para el efecto, se regirá por</w:t>
      </w:r>
      <w:r w:rsidRPr="00EE26EA">
        <w:rPr>
          <w:rFonts w:ascii="Arial" w:hAnsi="Arial" w:cs="Arial"/>
          <w:sz w:val="24"/>
          <w:szCs w:val="24"/>
        </w:rPr>
        <w:t xml:space="preserve"> lo establecido en el artículo 7 de la Ley Orgánica 2082 de 2021. </w:t>
      </w:r>
    </w:p>
    <w:p w14:paraId="1FA0493B" w14:textId="77777777" w:rsidR="00B87151" w:rsidRPr="00EE26EA" w:rsidRDefault="00B87151" w:rsidP="00B87151">
      <w:pPr>
        <w:spacing w:after="0"/>
        <w:ind w:left="-82"/>
        <w:jc w:val="both"/>
        <w:rPr>
          <w:rFonts w:ascii="Arial" w:hAnsi="Arial" w:cs="Arial"/>
          <w:b/>
          <w:sz w:val="24"/>
          <w:szCs w:val="24"/>
          <w:u w:val="single"/>
          <w:shd w:val="clear" w:color="auto" w:fill="FFFFFF"/>
        </w:rPr>
      </w:pPr>
    </w:p>
    <w:p w14:paraId="632619F3" w14:textId="77777777" w:rsidR="00B87151" w:rsidRPr="00EE26EA" w:rsidRDefault="00B87151" w:rsidP="00B87151">
      <w:pPr>
        <w:spacing w:after="0"/>
        <w:ind w:left="-82"/>
        <w:jc w:val="both"/>
        <w:rPr>
          <w:rFonts w:ascii="Arial" w:hAnsi="Arial" w:cs="Arial"/>
          <w:sz w:val="24"/>
          <w:szCs w:val="24"/>
          <w:shd w:val="clear" w:color="auto" w:fill="FFFFFF"/>
        </w:rPr>
      </w:pPr>
      <w:r w:rsidRPr="00EE26EA">
        <w:rPr>
          <w:rFonts w:ascii="Arial" w:hAnsi="Arial" w:cs="Arial"/>
          <w:b/>
          <w:sz w:val="24"/>
          <w:szCs w:val="24"/>
          <w:shd w:val="clear" w:color="auto" w:fill="FFFFFF"/>
        </w:rPr>
        <w:t>PARÁGRAFO 1.</w:t>
      </w:r>
      <w:r w:rsidRPr="00EE26EA">
        <w:rPr>
          <w:rFonts w:ascii="Arial" w:hAnsi="Arial" w:cs="Arial"/>
          <w:sz w:val="24"/>
          <w:szCs w:val="24"/>
          <w:shd w:val="clear" w:color="auto" w:fill="FFFFFF"/>
        </w:rPr>
        <w:t xml:space="preserve"> Dicha Comisión </w:t>
      </w:r>
      <w:r>
        <w:rPr>
          <w:rFonts w:ascii="Arial" w:hAnsi="Arial" w:cs="Arial"/>
          <w:sz w:val="24"/>
          <w:szCs w:val="24"/>
          <w:shd w:val="clear" w:color="auto" w:fill="FFFFFF"/>
        </w:rPr>
        <w:t xml:space="preserve">interinstitucional </w:t>
      </w:r>
      <w:r w:rsidRPr="00EE26EA">
        <w:rPr>
          <w:rFonts w:ascii="Arial" w:hAnsi="Arial" w:cs="Arial"/>
          <w:sz w:val="24"/>
          <w:szCs w:val="24"/>
          <w:shd w:val="clear" w:color="auto" w:fill="FFFFFF"/>
        </w:rPr>
        <w:t xml:space="preserve">deberá estar integrada, al menos, por: </w:t>
      </w:r>
    </w:p>
    <w:p w14:paraId="47BE5DFD" w14:textId="77777777" w:rsidR="00B87151" w:rsidRPr="00EE26EA" w:rsidRDefault="00B87151" w:rsidP="00B87151">
      <w:pPr>
        <w:pStyle w:val="Prrafodelista"/>
        <w:numPr>
          <w:ilvl w:val="0"/>
          <w:numId w:val="72"/>
        </w:numPr>
        <w:spacing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Alta Consejería para las Regiones</w:t>
      </w:r>
    </w:p>
    <w:p w14:paraId="6D287D29" w14:textId="77777777" w:rsidR="00B87151" w:rsidRPr="00EE26EA" w:rsidRDefault="00B87151" w:rsidP="00B87151">
      <w:pPr>
        <w:pStyle w:val="Prrafodelista"/>
        <w:numPr>
          <w:ilvl w:val="0"/>
          <w:numId w:val="72"/>
        </w:numPr>
        <w:spacing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El Departamento Nacional de Planeación </w:t>
      </w:r>
    </w:p>
    <w:p w14:paraId="45568E52" w14:textId="77777777" w:rsidR="00B87151" w:rsidRPr="00EE26EA" w:rsidRDefault="00B87151" w:rsidP="00B87151">
      <w:pPr>
        <w:pStyle w:val="Prrafodelista"/>
        <w:numPr>
          <w:ilvl w:val="0"/>
          <w:numId w:val="72"/>
        </w:numPr>
        <w:spacing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El Departamento de la Función Pública</w:t>
      </w:r>
    </w:p>
    <w:p w14:paraId="249EC685" w14:textId="77777777" w:rsidR="00B87151" w:rsidRPr="00EE26EA" w:rsidRDefault="00B87151" w:rsidP="00B87151">
      <w:pPr>
        <w:pStyle w:val="Prrafodelista"/>
        <w:numPr>
          <w:ilvl w:val="0"/>
          <w:numId w:val="72"/>
        </w:numPr>
        <w:autoSpaceDE w:val="0"/>
        <w:autoSpaceDN w:val="0"/>
        <w:adjustRightInd w:val="0"/>
        <w:spacing w:after="0"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 xml:space="preserve">Las Alcaldías Distritales de Barranquilla, Santa Marta y Cartagena </w:t>
      </w:r>
    </w:p>
    <w:p w14:paraId="7A3290EA" w14:textId="77777777" w:rsidR="00B87151" w:rsidRPr="00EE26EA" w:rsidRDefault="00B87151" w:rsidP="00B87151">
      <w:pPr>
        <w:pStyle w:val="Prrafodelista"/>
        <w:numPr>
          <w:ilvl w:val="0"/>
          <w:numId w:val="72"/>
        </w:numPr>
        <w:spacing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Las Comisiones Especiales de Seguimiento al Proceso de Descentralización y Ordenamiento Territorial del Senado de la República y la Cámara de Representantes</w:t>
      </w:r>
    </w:p>
    <w:p w14:paraId="00EE4E7B" w14:textId="77777777" w:rsidR="00B87151" w:rsidRPr="00EE26EA" w:rsidRDefault="00B87151" w:rsidP="00B87151">
      <w:pPr>
        <w:pStyle w:val="Prrafodelista"/>
        <w:numPr>
          <w:ilvl w:val="0"/>
          <w:numId w:val="72"/>
        </w:numPr>
        <w:spacing w:line="276" w:lineRule="auto"/>
        <w:jc w:val="both"/>
        <w:rPr>
          <w:rFonts w:ascii="Arial" w:eastAsia="Times New Roman" w:hAnsi="Arial" w:cs="Arial"/>
          <w:sz w:val="24"/>
          <w:szCs w:val="24"/>
          <w:lang w:eastAsia="es-CO"/>
        </w:rPr>
      </w:pPr>
      <w:r w:rsidRPr="00EE26EA">
        <w:rPr>
          <w:rFonts w:ascii="Arial" w:eastAsia="Times New Roman" w:hAnsi="Arial" w:cs="Arial"/>
          <w:sz w:val="24"/>
          <w:szCs w:val="24"/>
          <w:lang w:eastAsia="es-CO"/>
        </w:rPr>
        <w:t>La Comisión de Ordenamiento Territorial del Senado de la República y la Cámara de Representantes</w:t>
      </w:r>
    </w:p>
    <w:p w14:paraId="514586B2" w14:textId="77777777" w:rsidR="00B87151" w:rsidRPr="00EE26EA" w:rsidRDefault="00B87151" w:rsidP="00B87151">
      <w:pPr>
        <w:pStyle w:val="Prrafodelista"/>
        <w:ind w:left="278"/>
        <w:jc w:val="both"/>
        <w:rPr>
          <w:rFonts w:ascii="Arial" w:eastAsia="Times New Roman" w:hAnsi="Arial" w:cs="Arial"/>
          <w:sz w:val="24"/>
          <w:szCs w:val="24"/>
          <w:lang w:eastAsia="es-CO"/>
        </w:rPr>
      </w:pPr>
    </w:p>
    <w:p w14:paraId="734D357A" w14:textId="77777777" w:rsidR="00B87151" w:rsidRPr="00EE26EA" w:rsidRDefault="00B87151" w:rsidP="00B87151">
      <w:pPr>
        <w:spacing w:after="0"/>
        <w:jc w:val="both"/>
        <w:rPr>
          <w:rFonts w:ascii="Arial" w:hAnsi="Arial" w:cs="Arial"/>
          <w:sz w:val="24"/>
          <w:szCs w:val="24"/>
        </w:rPr>
      </w:pPr>
      <w:r w:rsidRPr="00EE26EA">
        <w:rPr>
          <w:rFonts w:ascii="Arial" w:hAnsi="Arial" w:cs="Arial"/>
          <w:b/>
          <w:bCs/>
          <w:sz w:val="24"/>
          <w:szCs w:val="24"/>
        </w:rPr>
        <w:t>PARÁGRAFO 2.</w:t>
      </w:r>
      <w:r w:rsidRPr="00EE26EA">
        <w:rPr>
          <w:rFonts w:ascii="Arial" w:hAnsi="Arial" w:cs="Arial"/>
          <w:sz w:val="24"/>
          <w:szCs w:val="24"/>
        </w:rPr>
        <w:t xml:space="preserve"> </w:t>
      </w:r>
      <w:r w:rsidRPr="00EE26EA">
        <w:rPr>
          <w:rFonts w:ascii="Arial" w:eastAsia="Times New Roman" w:hAnsi="Arial" w:cs="Arial"/>
          <w:sz w:val="24"/>
          <w:szCs w:val="24"/>
          <w:lang w:eastAsia="es-CO"/>
        </w:rPr>
        <w:t>Para l</w:t>
      </w:r>
      <w:r w:rsidRPr="00EE26EA">
        <w:rPr>
          <w:rFonts w:ascii="Arial" w:hAnsi="Arial" w:cs="Arial"/>
          <w:sz w:val="24"/>
          <w:szCs w:val="24"/>
        </w:rPr>
        <w:t>os demás Ministerios a los que se refiere el artículo 17 de la Ley 1444 de 2011 y/o los que la ley cree o modifique en el futuro, será potestativo de Gobierno Nacional decidir su sede alterna, en un plazo no superior a un año.</w:t>
      </w:r>
    </w:p>
    <w:p w14:paraId="74097451" w14:textId="77777777" w:rsidR="00B87151" w:rsidRPr="00EE26EA" w:rsidRDefault="00B87151" w:rsidP="00B87151">
      <w:pPr>
        <w:spacing w:after="0"/>
        <w:jc w:val="both"/>
        <w:rPr>
          <w:rFonts w:ascii="Arial" w:hAnsi="Arial" w:cs="Arial"/>
          <w:sz w:val="24"/>
          <w:szCs w:val="24"/>
        </w:rPr>
      </w:pPr>
    </w:p>
    <w:p w14:paraId="29C02FF4" w14:textId="77777777" w:rsidR="00B87151" w:rsidRDefault="00B87151" w:rsidP="00B87151">
      <w:pPr>
        <w:spacing w:after="0"/>
        <w:jc w:val="both"/>
        <w:rPr>
          <w:rFonts w:ascii="Arial" w:hAnsi="Arial" w:cs="Arial"/>
          <w:sz w:val="24"/>
          <w:szCs w:val="24"/>
          <w:shd w:val="clear" w:color="auto" w:fill="FFFFFF"/>
        </w:rPr>
      </w:pPr>
      <w:r w:rsidRPr="00EE26EA">
        <w:rPr>
          <w:rFonts w:ascii="Arial" w:hAnsi="Arial" w:cs="Arial"/>
          <w:b/>
          <w:sz w:val="24"/>
          <w:szCs w:val="24"/>
        </w:rPr>
        <w:t>ARTÍCULO 4.</w:t>
      </w:r>
      <w:r w:rsidRPr="00EE26EA">
        <w:rPr>
          <w:rFonts w:ascii="Arial" w:hAnsi="Arial" w:cs="Arial"/>
          <w:sz w:val="24"/>
          <w:szCs w:val="24"/>
        </w:rPr>
        <w:t xml:space="preserve"> </w:t>
      </w:r>
      <w:r w:rsidRPr="00B87151">
        <w:rPr>
          <w:rFonts w:ascii="Arial" w:hAnsi="Arial" w:cs="Arial"/>
          <w:b/>
          <w:i/>
          <w:sz w:val="24"/>
          <w:szCs w:val="24"/>
        </w:rPr>
        <w:t>Vigencia y derogatoria.</w:t>
      </w:r>
      <w:r w:rsidRPr="00EE26EA">
        <w:rPr>
          <w:rFonts w:ascii="Arial" w:hAnsi="Arial" w:cs="Arial"/>
          <w:i/>
          <w:sz w:val="24"/>
          <w:szCs w:val="24"/>
        </w:rPr>
        <w:t xml:space="preserve"> </w:t>
      </w:r>
      <w:r w:rsidRPr="00EE26EA">
        <w:rPr>
          <w:rFonts w:ascii="Arial" w:hAnsi="Arial" w:cs="Arial"/>
          <w:sz w:val="24"/>
          <w:szCs w:val="24"/>
          <w:shd w:val="clear" w:color="auto" w:fill="FFFFFF"/>
        </w:rPr>
        <w:t>La presente ley rige a partir de su promulgación, deroga y modifica todas las disposiciones que le sean contrarias.</w:t>
      </w:r>
    </w:p>
    <w:p w14:paraId="4CFC661A" w14:textId="77777777" w:rsidR="00B87151" w:rsidRDefault="00B87151" w:rsidP="00B87151">
      <w:pPr>
        <w:spacing w:after="0"/>
        <w:jc w:val="both"/>
        <w:rPr>
          <w:rFonts w:ascii="Arial" w:hAnsi="Arial" w:cs="Arial"/>
          <w:sz w:val="24"/>
          <w:szCs w:val="24"/>
          <w:shd w:val="clear" w:color="auto" w:fill="FFFFFF"/>
        </w:rPr>
      </w:pPr>
    </w:p>
    <w:p w14:paraId="1E332FB4" w14:textId="77777777" w:rsidR="00B87151" w:rsidRDefault="00B87151" w:rsidP="00851002">
      <w:pPr>
        <w:spacing w:after="0" w:line="240" w:lineRule="auto"/>
        <w:jc w:val="both"/>
        <w:rPr>
          <w:rFonts w:ascii="Times New Roman" w:eastAsia="Times New Roman" w:hAnsi="Times New Roman" w:cs="Times New Roman"/>
          <w:b/>
          <w:sz w:val="24"/>
          <w:szCs w:val="24"/>
          <w:lang w:eastAsia="es-CO"/>
        </w:rPr>
      </w:pPr>
    </w:p>
    <w:p w14:paraId="686DB546" w14:textId="0FF2791A" w:rsidR="00564A37" w:rsidRPr="00AA2564" w:rsidRDefault="00564A37" w:rsidP="00564A37">
      <w:pPr>
        <w:jc w:val="both"/>
        <w:rPr>
          <w:rFonts w:ascii="Arial" w:eastAsia="Times New Roman" w:hAnsi="Arial" w:cs="Arial"/>
          <w:b/>
          <w:sz w:val="24"/>
          <w:szCs w:val="24"/>
          <w:lang w:eastAsia="es-CO"/>
        </w:rPr>
      </w:pPr>
      <w:r w:rsidRPr="00AA2564">
        <w:rPr>
          <w:rFonts w:ascii="Arial" w:hAnsi="Arial" w:cs="Arial"/>
          <w:sz w:val="24"/>
          <w:szCs w:val="24"/>
        </w:rPr>
        <w:t>En</w:t>
      </w:r>
      <w:r w:rsidRPr="00AA2564">
        <w:rPr>
          <w:rFonts w:ascii="Arial" w:hAnsi="Arial" w:cs="Arial"/>
          <w:sz w:val="24"/>
          <w:szCs w:val="24"/>
          <w:lang w:val="es-ES" w:eastAsia="es-ES"/>
        </w:rPr>
        <w:t xml:space="preserve"> los ant</w:t>
      </w:r>
      <w:r w:rsidR="00AA2564">
        <w:rPr>
          <w:rFonts w:ascii="Arial" w:hAnsi="Arial" w:cs="Arial"/>
          <w:sz w:val="24"/>
          <w:szCs w:val="24"/>
          <w:lang w:val="es-ES" w:eastAsia="es-ES"/>
        </w:rPr>
        <w:t>eriores términos fue aprobado si</w:t>
      </w:r>
      <w:r w:rsidRPr="00AA2564">
        <w:rPr>
          <w:rFonts w:ascii="Arial" w:hAnsi="Arial" w:cs="Arial"/>
          <w:sz w:val="24"/>
          <w:szCs w:val="24"/>
          <w:lang w:val="es-ES" w:eastAsia="es-ES"/>
        </w:rPr>
        <w:t>n modificaciones el presente Proyecto de</w:t>
      </w:r>
      <w:r w:rsidR="00AA2564">
        <w:rPr>
          <w:rFonts w:ascii="Arial" w:hAnsi="Arial" w:cs="Arial"/>
          <w:sz w:val="24"/>
          <w:szCs w:val="24"/>
          <w:lang w:val="es-ES" w:eastAsia="es-ES"/>
        </w:rPr>
        <w:t xml:space="preserve"> Ley según consta en Acta No. 44 de Sesión Presencial de Junio 06</w:t>
      </w:r>
      <w:r w:rsidRPr="00AA2564">
        <w:rPr>
          <w:rFonts w:ascii="Arial" w:hAnsi="Arial" w:cs="Arial"/>
          <w:sz w:val="24"/>
          <w:szCs w:val="24"/>
          <w:lang w:val="es-ES" w:eastAsia="es-ES"/>
        </w:rPr>
        <w:t xml:space="preserve"> de 2022. Anu</w:t>
      </w:r>
      <w:r w:rsidR="00AA2564">
        <w:rPr>
          <w:rFonts w:ascii="Arial" w:hAnsi="Arial" w:cs="Arial"/>
          <w:sz w:val="24"/>
          <w:szCs w:val="24"/>
          <w:lang w:val="es-ES" w:eastAsia="es-ES"/>
        </w:rPr>
        <w:t>nciado entre otras fechas, el 11</w:t>
      </w:r>
      <w:r w:rsidRPr="00AA2564">
        <w:rPr>
          <w:rFonts w:ascii="Arial" w:hAnsi="Arial" w:cs="Arial"/>
          <w:sz w:val="24"/>
          <w:szCs w:val="24"/>
          <w:lang w:val="es-ES" w:eastAsia="es-ES"/>
        </w:rPr>
        <w:t xml:space="preserve"> de Mayo de 2022 s</w:t>
      </w:r>
      <w:r w:rsidR="00AA2564">
        <w:rPr>
          <w:rFonts w:ascii="Arial" w:hAnsi="Arial" w:cs="Arial"/>
          <w:sz w:val="24"/>
          <w:szCs w:val="24"/>
          <w:lang w:val="es-ES" w:eastAsia="es-ES"/>
        </w:rPr>
        <w:t>egún consta en Acta No. 43</w:t>
      </w:r>
      <w:r w:rsidRPr="00AA2564">
        <w:rPr>
          <w:rFonts w:ascii="Arial" w:hAnsi="Arial" w:cs="Arial"/>
          <w:sz w:val="24"/>
          <w:szCs w:val="24"/>
          <w:lang w:val="es-ES" w:eastAsia="es-ES"/>
        </w:rPr>
        <w:t xml:space="preserve"> </w:t>
      </w:r>
      <w:r w:rsidR="00AA2564">
        <w:rPr>
          <w:rFonts w:ascii="Arial" w:hAnsi="Arial" w:cs="Arial"/>
          <w:sz w:val="24"/>
          <w:szCs w:val="24"/>
          <w:lang w:val="es-ES" w:eastAsia="es-ES"/>
        </w:rPr>
        <w:t xml:space="preserve">de </w:t>
      </w:r>
      <w:r w:rsidRPr="00AA2564">
        <w:rPr>
          <w:rFonts w:ascii="Arial" w:hAnsi="Arial" w:cs="Arial"/>
          <w:sz w:val="24"/>
          <w:szCs w:val="24"/>
          <w:lang w:val="es-ES" w:eastAsia="es-ES"/>
        </w:rPr>
        <w:t xml:space="preserve">Sesión </w:t>
      </w:r>
      <w:r w:rsidR="00AA2564">
        <w:rPr>
          <w:rFonts w:ascii="Arial" w:hAnsi="Arial" w:cs="Arial"/>
          <w:sz w:val="24"/>
          <w:szCs w:val="24"/>
          <w:lang w:val="es-ES" w:eastAsia="es-ES"/>
        </w:rPr>
        <w:t>Presencial.</w:t>
      </w:r>
      <w:r w:rsidRPr="00AA2564">
        <w:rPr>
          <w:rFonts w:ascii="Arial" w:eastAsia="Times New Roman" w:hAnsi="Arial" w:cs="Arial"/>
          <w:b/>
          <w:sz w:val="24"/>
          <w:szCs w:val="24"/>
          <w:lang w:eastAsia="es-CO"/>
        </w:rPr>
        <w:t xml:space="preserve"> </w:t>
      </w:r>
    </w:p>
    <w:p w14:paraId="53D034F7" w14:textId="77777777" w:rsidR="00564A37" w:rsidRPr="00AA2564" w:rsidRDefault="00564A37" w:rsidP="00564A37">
      <w:pPr>
        <w:spacing w:after="0" w:line="240" w:lineRule="auto"/>
        <w:jc w:val="both"/>
        <w:rPr>
          <w:rFonts w:ascii="Arial" w:eastAsia="Times New Roman" w:hAnsi="Arial" w:cs="Arial"/>
          <w:b/>
          <w:sz w:val="24"/>
          <w:szCs w:val="24"/>
          <w:lang w:eastAsia="es-CO"/>
        </w:rPr>
      </w:pPr>
    </w:p>
    <w:p w14:paraId="64A53FFE" w14:textId="77777777" w:rsidR="00494AAD" w:rsidRPr="00AA2564" w:rsidRDefault="00494AAD" w:rsidP="00ED247F">
      <w:pPr>
        <w:spacing w:after="0" w:line="240" w:lineRule="auto"/>
        <w:jc w:val="both"/>
        <w:rPr>
          <w:rFonts w:ascii="Arial" w:eastAsia="Times New Roman" w:hAnsi="Arial" w:cs="Arial"/>
          <w:b/>
          <w:sz w:val="24"/>
          <w:szCs w:val="24"/>
          <w:lang w:eastAsia="es-CO"/>
        </w:rPr>
      </w:pPr>
    </w:p>
    <w:p w14:paraId="608C17A5" w14:textId="211F088F" w:rsidR="00ED247F" w:rsidRPr="00AA2564" w:rsidRDefault="00AA2564"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CÉSAR A. LORDUY MALDONADO</w:t>
      </w:r>
      <w:r w:rsidR="00742023" w:rsidRPr="00AA2564">
        <w:rPr>
          <w:rFonts w:ascii="Arial" w:eastAsia="Times New Roman" w:hAnsi="Arial" w:cs="Arial"/>
          <w:b/>
          <w:sz w:val="24"/>
          <w:szCs w:val="24"/>
          <w:lang w:eastAsia="es-CO"/>
        </w:rPr>
        <w:tab/>
      </w:r>
      <w:r w:rsidR="00DB3A57" w:rsidRPr="00AA2564">
        <w:rPr>
          <w:rFonts w:ascii="Arial" w:eastAsia="Times New Roman" w:hAnsi="Arial" w:cs="Arial"/>
          <w:b/>
          <w:sz w:val="24"/>
          <w:szCs w:val="24"/>
          <w:lang w:eastAsia="es-CO"/>
        </w:rPr>
        <w:t xml:space="preserve">          </w:t>
      </w:r>
      <w:r w:rsidR="00ED247F" w:rsidRPr="00AA2564">
        <w:rPr>
          <w:rFonts w:ascii="Arial" w:eastAsia="Times New Roman" w:hAnsi="Arial" w:cs="Arial"/>
          <w:b/>
          <w:sz w:val="24"/>
          <w:szCs w:val="24"/>
          <w:lang w:eastAsia="es-CO"/>
        </w:rPr>
        <w:t>JULIO CÉSAR TRIANA QUINTERO</w:t>
      </w:r>
    </w:p>
    <w:p w14:paraId="744E25F8" w14:textId="07E7899A" w:rsidR="00ED247F" w:rsidRPr="00AA2564" w:rsidRDefault="003B5426" w:rsidP="00ED247F">
      <w:pPr>
        <w:spacing w:after="0" w:line="240" w:lineRule="auto"/>
        <w:jc w:val="both"/>
        <w:rPr>
          <w:rFonts w:ascii="Arial" w:eastAsia="Times New Roman" w:hAnsi="Arial" w:cs="Arial"/>
          <w:sz w:val="24"/>
          <w:szCs w:val="24"/>
          <w:lang w:eastAsia="es-CO"/>
        </w:rPr>
      </w:pPr>
      <w:r w:rsidRPr="00AA2564">
        <w:rPr>
          <w:rFonts w:ascii="Arial" w:eastAsia="Times New Roman" w:hAnsi="Arial" w:cs="Arial"/>
          <w:sz w:val="24"/>
          <w:szCs w:val="24"/>
          <w:lang w:eastAsia="es-CO"/>
        </w:rPr>
        <w:t>Ponente C</w:t>
      </w:r>
      <w:r w:rsidR="00DB3A57" w:rsidRPr="00AA2564">
        <w:rPr>
          <w:rFonts w:ascii="Arial" w:eastAsia="Times New Roman" w:hAnsi="Arial" w:cs="Arial"/>
          <w:sz w:val="24"/>
          <w:szCs w:val="24"/>
          <w:lang w:eastAsia="es-CO"/>
        </w:rPr>
        <w:t>oordinador</w:t>
      </w:r>
      <w:r w:rsidR="00DB3A57" w:rsidRPr="00AA2564">
        <w:rPr>
          <w:rFonts w:ascii="Arial" w:eastAsia="Times New Roman" w:hAnsi="Arial" w:cs="Arial"/>
          <w:sz w:val="24"/>
          <w:szCs w:val="24"/>
          <w:lang w:eastAsia="es-CO"/>
        </w:rPr>
        <w:tab/>
      </w:r>
      <w:r w:rsidR="00DB3A57" w:rsidRPr="00AA2564">
        <w:rPr>
          <w:rFonts w:ascii="Arial" w:eastAsia="Times New Roman" w:hAnsi="Arial" w:cs="Arial"/>
          <w:sz w:val="24"/>
          <w:szCs w:val="24"/>
          <w:lang w:eastAsia="es-CO"/>
        </w:rPr>
        <w:tab/>
      </w:r>
      <w:r w:rsidR="00DB3A57" w:rsidRPr="00AA2564">
        <w:rPr>
          <w:rFonts w:ascii="Arial" w:eastAsia="Times New Roman" w:hAnsi="Arial" w:cs="Arial"/>
          <w:sz w:val="24"/>
          <w:szCs w:val="24"/>
          <w:lang w:eastAsia="es-CO"/>
        </w:rPr>
        <w:tab/>
        <w:t xml:space="preserve">          P</w:t>
      </w:r>
      <w:r w:rsidR="00ED247F" w:rsidRPr="00AA2564">
        <w:rPr>
          <w:rFonts w:ascii="Arial" w:eastAsia="Times New Roman" w:hAnsi="Arial" w:cs="Arial"/>
          <w:sz w:val="24"/>
          <w:szCs w:val="24"/>
          <w:lang w:eastAsia="es-CO"/>
        </w:rPr>
        <w:t>residente</w:t>
      </w:r>
    </w:p>
    <w:p w14:paraId="3294E3AB" w14:textId="77777777" w:rsidR="00494AAD" w:rsidRPr="00AA2564" w:rsidRDefault="00494AAD" w:rsidP="00ED247F">
      <w:pPr>
        <w:spacing w:after="0" w:line="240" w:lineRule="auto"/>
        <w:jc w:val="both"/>
        <w:rPr>
          <w:rFonts w:ascii="Arial" w:eastAsia="Times New Roman" w:hAnsi="Arial" w:cs="Arial"/>
          <w:b/>
          <w:sz w:val="24"/>
          <w:szCs w:val="24"/>
          <w:lang w:eastAsia="es-CO"/>
        </w:rPr>
      </w:pPr>
    </w:p>
    <w:p w14:paraId="6AAA3F30" w14:textId="77777777" w:rsidR="00DB3A57" w:rsidRPr="00AA2564" w:rsidRDefault="00DB3A57" w:rsidP="00ED247F">
      <w:pPr>
        <w:spacing w:after="0" w:line="240" w:lineRule="auto"/>
        <w:jc w:val="both"/>
        <w:rPr>
          <w:rFonts w:ascii="Arial" w:eastAsia="Times New Roman" w:hAnsi="Arial" w:cs="Arial"/>
          <w:b/>
          <w:sz w:val="24"/>
          <w:szCs w:val="24"/>
          <w:lang w:eastAsia="es-CO"/>
        </w:rPr>
      </w:pPr>
    </w:p>
    <w:p w14:paraId="0EEC1B22" w14:textId="77777777" w:rsidR="00167AA0" w:rsidRPr="00AA2564" w:rsidRDefault="00167AA0" w:rsidP="00ED247F">
      <w:pPr>
        <w:spacing w:after="0" w:line="240" w:lineRule="auto"/>
        <w:jc w:val="both"/>
        <w:rPr>
          <w:rFonts w:ascii="Arial" w:eastAsia="Times New Roman" w:hAnsi="Arial" w:cs="Arial"/>
          <w:b/>
          <w:sz w:val="24"/>
          <w:szCs w:val="24"/>
          <w:lang w:eastAsia="es-CO"/>
        </w:rPr>
      </w:pPr>
    </w:p>
    <w:p w14:paraId="09326F79" w14:textId="77777777" w:rsidR="00ED247F" w:rsidRPr="00AA2564" w:rsidRDefault="00ED247F" w:rsidP="00ED247F">
      <w:pPr>
        <w:spacing w:after="0" w:line="240" w:lineRule="auto"/>
        <w:jc w:val="both"/>
        <w:rPr>
          <w:rFonts w:ascii="Arial" w:eastAsia="Times New Roman" w:hAnsi="Arial" w:cs="Arial"/>
          <w:b/>
          <w:sz w:val="24"/>
          <w:szCs w:val="24"/>
          <w:lang w:eastAsia="es-CO"/>
        </w:rPr>
      </w:pPr>
    </w:p>
    <w:p w14:paraId="5BD887A4" w14:textId="1F344540" w:rsidR="00DF170E" w:rsidRPr="00AA2564" w:rsidRDefault="00494AAD" w:rsidP="00DF170E">
      <w:pPr>
        <w:spacing w:after="0" w:line="240" w:lineRule="auto"/>
        <w:jc w:val="both"/>
        <w:rPr>
          <w:rFonts w:ascii="Arial" w:eastAsia="Times New Roman" w:hAnsi="Arial" w:cs="Arial"/>
          <w:b/>
          <w:sz w:val="24"/>
          <w:szCs w:val="24"/>
          <w:lang w:eastAsia="es-CO"/>
        </w:rPr>
      </w:pPr>
      <w:r w:rsidRPr="00AA2564">
        <w:rPr>
          <w:rFonts w:ascii="Arial" w:eastAsia="Times New Roman" w:hAnsi="Arial" w:cs="Arial"/>
          <w:b/>
          <w:sz w:val="24"/>
          <w:szCs w:val="24"/>
          <w:lang w:eastAsia="es-CO"/>
        </w:rPr>
        <w:tab/>
      </w:r>
      <w:r w:rsidRPr="00AA2564">
        <w:rPr>
          <w:rFonts w:ascii="Arial" w:eastAsia="Times New Roman" w:hAnsi="Arial" w:cs="Arial"/>
          <w:b/>
          <w:sz w:val="24"/>
          <w:szCs w:val="24"/>
          <w:lang w:eastAsia="es-CO"/>
        </w:rPr>
        <w:tab/>
      </w:r>
      <w:r w:rsidRPr="00AA2564">
        <w:rPr>
          <w:rFonts w:ascii="Arial" w:eastAsia="Times New Roman" w:hAnsi="Arial" w:cs="Arial"/>
          <w:b/>
          <w:sz w:val="24"/>
          <w:szCs w:val="24"/>
          <w:lang w:eastAsia="es-CO"/>
        </w:rPr>
        <w:tab/>
        <w:t xml:space="preserve">   </w:t>
      </w:r>
      <w:r w:rsidR="00DF170E" w:rsidRPr="00AA2564">
        <w:rPr>
          <w:rFonts w:ascii="Arial" w:eastAsia="Times New Roman" w:hAnsi="Arial" w:cs="Arial"/>
          <w:b/>
          <w:sz w:val="24"/>
          <w:szCs w:val="24"/>
          <w:lang w:eastAsia="es-CO"/>
        </w:rPr>
        <w:t>AMPARO Y. CALDERON PERDOMO</w:t>
      </w:r>
    </w:p>
    <w:p w14:paraId="588C3E94" w14:textId="57ADECE6" w:rsidR="00BF34E3" w:rsidRPr="00AA2564" w:rsidRDefault="008420C0" w:rsidP="00494AAD">
      <w:pPr>
        <w:tabs>
          <w:tab w:val="center" w:pos="4419"/>
        </w:tabs>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w:t>
      </w:r>
      <w:bookmarkStart w:id="0" w:name="_GoBack"/>
      <w:bookmarkEnd w:id="0"/>
      <w:r w:rsidR="00DF170E" w:rsidRPr="00AA2564">
        <w:rPr>
          <w:rFonts w:ascii="Arial" w:eastAsia="Times New Roman" w:hAnsi="Arial" w:cs="Arial"/>
          <w:sz w:val="24"/>
          <w:szCs w:val="24"/>
          <w:lang w:eastAsia="es-CO"/>
        </w:rPr>
        <w:t xml:space="preserve">         Secretaria</w:t>
      </w:r>
    </w:p>
    <w:sectPr w:rsidR="00BF34E3" w:rsidRPr="00AA2564"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40627" w14:textId="77777777" w:rsidR="001C3939" w:rsidRDefault="001C3939" w:rsidP="00F464B3">
      <w:pPr>
        <w:spacing w:after="0" w:line="240" w:lineRule="auto"/>
      </w:pPr>
      <w:r>
        <w:separator/>
      </w:r>
    </w:p>
  </w:endnote>
  <w:endnote w:type="continuationSeparator" w:id="0">
    <w:p w14:paraId="5CEF667D" w14:textId="77777777" w:rsidR="001C3939" w:rsidRDefault="001C393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8420C0" w:rsidRPr="008420C0">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A81E2" w14:textId="77777777" w:rsidR="001C3939" w:rsidRDefault="001C3939" w:rsidP="00F464B3">
      <w:pPr>
        <w:spacing w:after="0" w:line="240" w:lineRule="auto"/>
      </w:pPr>
      <w:r>
        <w:separator/>
      </w:r>
    </w:p>
  </w:footnote>
  <w:footnote w:type="continuationSeparator" w:id="0">
    <w:p w14:paraId="60BD1FF8" w14:textId="77777777" w:rsidR="001C3939" w:rsidRDefault="001C3939"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5C2114F7"/>
    <w:multiLevelType w:val="hybridMultilevel"/>
    <w:tmpl w:val="EF4E0B88"/>
    <w:lvl w:ilvl="0" w:tplc="3F04C93E">
      <w:start w:val="3"/>
      <w:numFmt w:val="bullet"/>
      <w:lvlText w:val="-"/>
      <w:lvlJc w:val="left"/>
      <w:pPr>
        <w:ind w:left="278" w:hanging="360"/>
      </w:pPr>
      <w:rPr>
        <w:rFonts w:ascii="Arial" w:eastAsia="Times New Roman" w:hAnsi="Arial" w:cs="Arial" w:hint="default"/>
      </w:rPr>
    </w:lvl>
    <w:lvl w:ilvl="1" w:tplc="240A0003" w:tentative="1">
      <w:start w:val="1"/>
      <w:numFmt w:val="bullet"/>
      <w:lvlText w:val="o"/>
      <w:lvlJc w:val="left"/>
      <w:pPr>
        <w:ind w:left="998" w:hanging="360"/>
      </w:pPr>
      <w:rPr>
        <w:rFonts w:ascii="Courier New" w:hAnsi="Courier New" w:cs="Courier New" w:hint="default"/>
      </w:rPr>
    </w:lvl>
    <w:lvl w:ilvl="2" w:tplc="240A0005" w:tentative="1">
      <w:start w:val="1"/>
      <w:numFmt w:val="bullet"/>
      <w:lvlText w:val=""/>
      <w:lvlJc w:val="left"/>
      <w:pPr>
        <w:ind w:left="1718" w:hanging="360"/>
      </w:pPr>
      <w:rPr>
        <w:rFonts w:ascii="Wingdings" w:hAnsi="Wingdings" w:hint="default"/>
      </w:rPr>
    </w:lvl>
    <w:lvl w:ilvl="3" w:tplc="240A0001" w:tentative="1">
      <w:start w:val="1"/>
      <w:numFmt w:val="bullet"/>
      <w:lvlText w:val=""/>
      <w:lvlJc w:val="left"/>
      <w:pPr>
        <w:ind w:left="2438" w:hanging="360"/>
      </w:pPr>
      <w:rPr>
        <w:rFonts w:ascii="Symbol" w:hAnsi="Symbol" w:hint="default"/>
      </w:rPr>
    </w:lvl>
    <w:lvl w:ilvl="4" w:tplc="240A0003" w:tentative="1">
      <w:start w:val="1"/>
      <w:numFmt w:val="bullet"/>
      <w:lvlText w:val="o"/>
      <w:lvlJc w:val="left"/>
      <w:pPr>
        <w:ind w:left="3158" w:hanging="360"/>
      </w:pPr>
      <w:rPr>
        <w:rFonts w:ascii="Courier New" w:hAnsi="Courier New" w:cs="Courier New" w:hint="default"/>
      </w:rPr>
    </w:lvl>
    <w:lvl w:ilvl="5" w:tplc="240A0005" w:tentative="1">
      <w:start w:val="1"/>
      <w:numFmt w:val="bullet"/>
      <w:lvlText w:val=""/>
      <w:lvlJc w:val="left"/>
      <w:pPr>
        <w:ind w:left="3878" w:hanging="360"/>
      </w:pPr>
      <w:rPr>
        <w:rFonts w:ascii="Wingdings" w:hAnsi="Wingdings" w:hint="default"/>
      </w:rPr>
    </w:lvl>
    <w:lvl w:ilvl="6" w:tplc="240A0001" w:tentative="1">
      <w:start w:val="1"/>
      <w:numFmt w:val="bullet"/>
      <w:lvlText w:val=""/>
      <w:lvlJc w:val="left"/>
      <w:pPr>
        <w:ind w:left="4598" w:hanging="360"/>
      </w:pPr>
      <w:rPr>
        <w:rFonts w:ascii="Symbol" w:hAnsi="Symbol" w:hint="default"/>
      </w:rPr>
    </w:lvl>
    <w:lvl w:ilvl="7" w:tplc="240A0003" w:tentative="1">
      <w:start w:val="1"/>
      <w:numFmt w:val="bullet"/>
      <w:lvlText w:val="o"/>
      <w:lvlJc w:val="left"/>
      <w:pPr>
        <w:ind w:left="5318" w:hanging="360"/>
      </w:pPr>
      <w:rPr>
        <w:rFonts w:ascii="Courier New" w:hAnsi="Courier New" w:cs="Courier New" w:hint="default"/>
      </w:rPr>
    </w:lvl>
    <w:lvl w:ilvl="8" w:tplc="240A0005" w:tentative="1">
      <w:start w:val="1"/>
      <w:numFmt w:val="bullet"/>
      <w:lvlText w:val=""/>
      <w:lvlJc w:val="left"/>
      <w:pPr>
        <w:ind w:left="6038" w:hanging="360"/>
      </w:pPr>
      <w:rPr>
        <w:rFonts w:ascii="Wingdings" w:hAnsi="Wingdings" w:hint="default"/>
      </w:rPr>
    </w:lvl>
  </w:abstractNum>
  <w:abstractNum w:abstractNumId="48">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0090640"/>
    <w:multiLevelType w:val="multilevel"/>
    <w:tmpl w:val="D3C0F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3"/>
  </w:num>
  <w:num w:numId="2">
    <w:abstractNumId w:val="40"/>
  </w:num>
  <w:num w:numId="3">
    <w:abstractNumId w:val="42"/>
  </w:num>
  <w:num w:numId="4">
    <w:abstractNumId w:val="27"/>
  </w:num>
  <w:num w:numId="5">
    <w:abstractNumId w:val="38"/>
  </w:num>
  <w:num w:numId="6">
    <w:abstractNumId w:val="49"/>
  </w:num>
  <w:num w:numId="7">
    <w:abstractNumId w:val="65"/>
  </w:num>
  <w:num w:numId="8">
    <w:abstractNumId w:val="7"/>
  </w:num>
  <w:num w:numId="9">
    <w:abstractNumId w:val="11"/>
  </w:num>
  <w:num w:numId="10">
    <w:abstractNumId w:val="44"/>
  </w:num>
  <w:num w:numId="11">
    <w:abstractNumId w:val="52"/>
  </w:num>
  <w:num w:numId="12">
    <w:abstractNumId w:val="56"/>
  </w:num>
  <w:num w:numId="13">
    <w:abstractNumId w:val="50"/>
  </w:num>
  <w:num w:numId="14">
    <w:abstractNumId w:val="61"/>
  </w:num>
  <w:num w:numId="15">
    <w:abstractNumId w:val="46"/>
  </w:num>
  <w:num w:numId="16">
    <w:abstractNumId w:val="14"/>
  </w:num>
  <w:num w:numId="17">
    <w:abstractNumId w:val="10"/>
  </w:num>
  <w:num w:numId="18">
    <w:abstractNumId w:val="20"/>
  </w:num>
  <w:num w:numId="19">
    <w:abstractNumId w:val="22"/>
  </w:num>
  <w:num w:numId="20">
    <w:abstractNumId w:val="62"/>
  </w:num>
  <w:num w:numId="21">
    <w:abstractNumId w:val="34"/>
  </w:num>
  <w:num w:numId="22">
    <w:abstractNumId w:val="67"/>
  </w:num>
  <w:num w:numId="23">
    <w:abstractNumId w:val="26"/>
  </w:num>
  <w:num w:numId="24">
    <w:abstractNumId w:val="6"/>
  </w:num>
  <w:num w:numId="25">
    <w:abstractNumId w:val="3"/>
  </w:num>
  <w:num w:numId="26">
    <w:abstractNumId w:val="25"/>
  </w:num>
  <w:num w:numId="27">
    <w:abstractNumId w:val="58"/>
  </w:num>
  <w:num w:numId="28">
    <w:abstractNumId w:val="23"/>
  </w:num>
  <w:num w:numId="29">
    <w:abstractNumId w:val="70"/>
  </w:num>
  <w:num w:numId="30">
    <w:abstractNumId w:val="69"/>
  </w:num>
  <w:num w:numId="31">
    <w:abstractNumId w:val="35"/>
  </w:num>
  <w:num w:numId="32">
    <w:abstractNumId w:val="57"/>
  </w:num>
  <w:num w:numId="33">
    <w:abstractNumId w:val="15"/>
  </w:num>
  <w:num w:numId="34">
    <w:abstractNumId w:val="17"/>
  </w:num>
  <w:num w:numId="35">
    <w:abstractNumId w:val="59"/>
  </w:num>
  <w:num w:numId="36">
    <w:abstractNumId w:val="60"/>
  </w:num>
  <w:num w:numId="37">
    <w:abstractNumId w:val="71"/>
  </w:num>
  <w:num w:numId="38">
    <w:abstractNumId w:val="19"/>
  </w:num>
  <w:num w:numId="39">
    <w:abstractNumId w:val="29"/>
  </w:num>
  <w:num w:numId="40">
    <w:abstractNumId w:val="32"/>
  </w:num>
  <w:num w:numId="41">
    <w:abstractNumId w:val="39"/>
  </w:num>
  <w:num w:numId="42">
    <w:abstractNumId w:val="55"/>
  </w:num>
  <w:num w:numId="43">
    <w:abstractNumId w:val="41"/>
  </w:num>
  <w:num w:numId="44">
    <w:abstractNumId w:val="24"/>
  </w:num>
  <w:num w:numId="45">
    <w:abstractNumId w:val="30"/>
  </w:num>
  <w:num w:numId="46">
    <w:abstractNumId w:val="63"/>
  </w:num>
  <w:num w:numId="47">
    <w:abstractNumId w:val="13"/>
  </w:num>
  <w:num w:numId="48">
    <w:abstractNumId w:val="0"/>
  </w:num>
  <w:num w:numId="49">
    <w:abstractNumId w:val="5"/>
  </w:num>
  <w:num w:numId="50">
    <w:abstractNumId w:val="1"/>
  </w:num>
  <w:num w:numId="51">
    <w:abstractNumId w:val="12"/>
  </w:num>
  <w:num w:numId="52">
    <w:abstractNumId w:val="68"/>
  </w:num>
  <w:num w:numId="53">
    <w:abstractNumId w:val="37"/>
  </w:num>
  <w:num w:numId="54">
    <w:abstractNumId w:val="4"/>
  </w:num>
  <w:num w:numId="55">
    <w:abstractNumId w:val="53"/>
  </w:num>
  <w:num w:numId="56">
    <w:abstractNumId w:val="51"/>
  </w:num>
  <w:num w:numId="57">
    <w:abstractNumId w:val="8"/>
  </w:num>
  <w:num w:numId="58">
    <w:abstractNumId w:val="2"/>
  </w:num>
  <w:num w:numId="59">
    <w:abstractNumId w:val="21"/>
  </w:num>
  <w:num w:numId="60">
    <w:abstractNumId w:val="48"/>
  </w:num>
  <w:num w:numId="61">
    <w:abstractNumId w:val="18"/>
  </w:num>
  <w:num w:numId="62">
    <w:abstractNumId w:val="28"/>
  </w:num>
  <w:num w:numId="63">
    <w:abstractNumId w:val="33"/>
  </w:num>
  <w:num w:numId="64">
    <w:abstractNumId w:val="66"/>
  </w:num>
  <w:num w:numId="65">
    <w:abstractNumId w:val="36"/>
  </w:num>
  <w:num w:numId="66">
    <w:abstractNumId w:val="54"/>
  </w:num>
  <w:num w:numId="67">
    <w:abstractNumId w:val="64"/>
  </w:num>
  <w:num w:numId="68">
    <w:abstractNumId w:val="31"/>
  </w:num>
  <w:num w:numId="69">
    <w:abstractNumId w:val="45"/>
  </w:num>
  <w:num w:numId="70">
    <w:abstractNumId w:val="16"/>
  </w:num>
  <w:num w:numId="71">
    <w:abstractNumId w:val="9"/>
  </w:num>
  <w:num w:numId="72">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14AE"/>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939"/>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2101"/>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32F0"/>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5EC5"/>
    <w:rsid w:val="003877D7"/>
    <w:rsid w:val="00394054"/>
    <w:rsid w:val="00397DD8"/>
    <w:rsid w:val="003A0A0B"/>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56C52"/>
    <w:rsid w:val="00560475"/>
    <w:rsid w:val="00560D2E"/>
    <w:rsid w:val="005630E2"/>
    <w:rsid w:val="00564A37"/>
    <w:rsid w:val="0056770C"/>
    <w:rsid w:val="00570C05"/>
    <w:rsid w:val="00571FB4"/>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2C96"/>
    <w:rsid w:val="005C5BAD"/>
    <w:rsid w:val="005C685F"/>
    <w:rsid w:val="005C7D3E"/>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1B5A"/>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0594"/>
    <w:rsid w:val="00704C38"/>
    <w:rsid w:val="0071209F"/>
    <w:rsid w:val="00723C8B"/>
    <w:rsid w:val="00730794"/>
    <w:rsid w:val="00732537"/>
    <w:rsid w:val="00736FFD"/>
    <w:rsid w:val="00742023"/>
    <w:rsid w:val="0074444A"/>
    <w:rsid w:val="00747ABC"/>
    <w:rsid w:val="0075240B"/>
    <w:rsid w:val="007538D4"/>
    <w:rsid w:val="00756A1B"/>
    <w:rsid w:val="00762608"/>
    <w:rsid w:val="00766BD4"/>
    <w:rsid w:val="00770E18"/>
    <w:rsid w:val="0077125D"/>
    <w:rsid w:val="00772333"/>
    <w:rsid w:val="00773E0C"/>
    <w:rsid w:val="00777AB4"/>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19AF"/>
    <w:rsid w:val="008420C0"/>
    <w:rsid w:val="008445C9"/>
    <w:rsid w:val="008468BF"/>
    <w:rsid w:val="00851002"/>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871D5"/>
    <w:rsid w:val="00896F08"/>
    <w:rsid w:val="00897A77"/>
    <w:rsid w:val="008A58CD"/>
    <w:rsid w:val="008B4C69"/>
    <w:rsid w:val="008C3F1F"/>
    <w:rsid w:val="008C5DB8"/>
    <w:rsid w:val="008C6A67"/>
    <w:rsid w:val="008D2ED6"/>
    <w:rsid w:val="008D3094"/>
    <w:rsid w:val="008D5E3D"/>
    <w:rsid w:val="008D6682"/>
    <w:rsid w:val="008E061B"/>
    <w:rsid w:val="008E1115"/>
    <w:rsid w:val="008E3786"/>
    <w:rsid w:val="008F02EB"/>
    <w:rsid w:val="009001F3"/>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284C"/>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2564"/>
    <w:rsid w:val="00AA3DC5"/>
    <w:rsid w:val="00AB0713"/>
    <w:rsid w:val="00AC2BEA"/>
    <w:rsid w:val="00AC2CFC"/>
    <w:rsid w:val="00AC4826"/>
    <w:rsid w:val="00AC585F"/>
    <w:rsid w:val="00AC64BD"/>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87151"/>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221C"/>
    <w:rsid w:val="00CB66E3"/>
    <w:rsid w:val="00CC1D60"/>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1DDC"/>
    <w:rsid w:val="00D93774"/>
    <w:rsid w:val="00DA2698"/>
    <w:rsid w:val="00DA3876"/>
    <w:rsid w:val="00DA4785"/>
    <w:rsid w:val="00DB34C5"/>
    <w:rsid w:val="00DB3A57"/>
    <w:rsid w:val="00DB4642"/>
    <w:rsid w:val="00DB6710"/>
    <w:rsid w:val="00DB693E"/>
    <w:rsid w:val="00DC2ED4"/>
    <w:rsid w:val="00DC6A81"/>
    <w:rsid w:val="00DC6DE7"/>
    <w:rsid w:val="00DC7559"/>
    <w:rsid w:val="00DC7DDC"/>
    <w:rsid w:val="00DD654D"/>
    <w:rsid w:val="00DD7098"/>
    <w:rsid w:val="00DD7587"/>
    <w:rsid w:val="00DE4AB3"/>
    <w:rsid w:val="00DF170E"/>
    <w:rsid w:val="00DF66B5"/>
    <w:rsid w:val="00E03E9B"/>
    <w:rsid w:val="00E05FB7"/>
    <w:rsid w:val="00E079E5"/>
    <w:rsid w:val="00E12387"/>
    <w:rsid w:val="00E15245"/>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1C9F"/>
    <w:rsid w:val="00F3324F"/>
    <w:rsid w:val="00F3751E"/>
    <w:rsid w:val="00F41D78"/>
    <w:rsid w:val="00F43992"/>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29B2"/>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7FCD-CCC3-46B2-89CF-467D89F5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5</cp:revision>
  <cp:lastPrinted>2021-11-30T20:47:00Z</cp:lastPrinted>
  <dcterms:created xsi:type="dcterms:W3CDTF">2022-06-07T20:18:00Z</dcterms:created>
  <dcterms:modified xsi:type="dcterms:W3CDTF">2022-06-07T21:27:00Z</dcterms:modified>
</cp:coreProperties>
</file>