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3C3C2F0A" w:rsidR="007F6D4F" w:rsidRDefault="005916CC" w:rsidP="004621DF">
      <w:pPr>
        <w:pBdr>
          <w:top w:val="nil"/>
          <w:left w:val="nil"/>
          <w:bottom w:val="nil"/>
          <w:right w:val="nil"/>
          <w:between w:val="nil"/>
        </w:pBdr>
        <w:spacing w:after="0" w:line="240" w:lineRule="auto"/>
        <w:jc w:val="center"/>
        <w:rPr>
          <w:rFonts w:ascii="Garamond" w:eastAsia="Century Gothic" w:hAnsi="Garamond" w:cs="Century Gothic"/>
          <w:b/>
          <w:color w:val="000000"/>
          <w:lang w:val="es-ES_tradnl"/>
        </w:rPr>
      </w:pPr>
      <w:r w:rsidRPr="00777AB4">
        <w:rPr>
          <w:rFonts w:ascii="Times New Roman" w:hAnsi="Times New Roman" w:cs="Times New Roman"/>
          <w:noProof/>
          <w:color w:val="000000"/>
          <w:sz w:val="24"/>
          <w:szCs w:val="24"/>
          <w:lang w:eastAsia="es-CO"/>
        </w:rPr>
        <w:drawing>
          <wp:inline distT="0" distB="0" distL="0" distR="0" wp14:anchorId="6BE556D1" wp14:editId="58407501">
            <wp:extent cx="2122159" cy="611237"/>
            <wp:effectExtent l="0" t="0" r="0" b="0"/>
            <wp:docPr id="1"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208DC05" w14:textId="77777777" w:rsidR="005916CC" w:rsidRPr="000260BD" w:rsidRDefault="005916CC" w:rsidP="004621DF">
      <w:pPr>
        <w:pBdr>
          <w:top w:val="nil"/>
          <w:left w:val="nil"/>
          <w:bottom w:val="nil"/>
          <w:right w:val="nil"/>
          <w:between w:val="nil"/>
        </w:pBdr>
        <w:spacing w:after="0" w:line="240" w:lineRule="auto"/>
        <w:jc w:val="center"/>
        <w:rPr>
          <w:rFonts w:ascii="Bookman Old Style" w:eastAsia="Century Gothic" w:hAnsi="Bookman Old Style" w:cs="Century Gothic"/>
          <w:b/>
          <w:color w:val="000000"/>
          <w:sz w:val="24"/>
          <w:szCs w:val="24"/>
          <w:lang w:val="es-ES_tradnl"/>
        </w:rPr>
      </w:pPr>
    </w:p>
    <w:p w14:paraId="32DFDC72" w14:textId="77777777" w:rsidR="005916CC" w:rsidRPr="000260BD" w:rsidRDefault="005916CC" w:rsidP="004621DF">
      <w:pPr>
        <w:pBdr>
          <w:top w:val="nil"/>
          <w:left w:val="nil"/>
          <w:bottom w:val="nil"/>
          <w:right w:val="nil"/>
          <w:between w:val="nil"/>
        </w:pBdr>
        <w:spacing w:after="0" w:line="240" w:lineRule="auto"/>
        <w:jc w:val="center"/>
        <w:rPr>
          <w:rFonts w:ascii="Bookman Old Style" w:eastAsia="Century Gothic" w:hAnsi="Bookman Old Style" w:cs="Century Gothic"/>
          <w:b/>
          <w:color w:val="000000"/>
          <w:sz w:val="24"/>
          <w:szCs w:val="24"/>
          <w:lang w:val="es-ES_tradnl"/>
        </w:rPr>
      </w:pPr>
    </w:p>
    <w:p w14:paraId="243E390F" w14:textId="77777777" w:rsidR="004621DF" w:rsidRPr="000260BD" w:rsidRDefault="007F6D4F" w:rsidP="004621DF">
      <w:pPr>
        <w:pBdr>
          <w:top w:val="nil"/>
          <w:left w:val="nil"/>
          <w:bottom w:val="nil"/>
          <w:right w:val="nil"/>
          <w:between w:val="nil"/>
        </w:pBdr>
        <w:spacing w:after="0" w:line="240" w:lineRule="auto"/>
        <w:jc w:val="center"/>
        <w:rPr>
          <w:rFonts w:ascii="Bookman Old Style" w:eastAsia="Century Gothic" w:hAnsi="Bookman Old Style" w:cs="Arial"/>
          <w:b/>
          <w:color w:val="000000"/>
          <w:sz w:val="24"/>
          <w:szCs w:val="24"/>
          <w:lang w:val="es-ES_tradnl"/>
        </w:rPr>
      </w:pPr>
      <w:r w:rsidRPr="000260BD">
        <w:rPr>
          <w:rFonts w:ascii="Bookman Old Style" w:eastAsia="Century Gothic" w:hAnsi="Bookman Old Style" w:cs="Arial"/>
          <w:b/>
          <w:color w:val="000000"/>
          <w:sz w:val="24"/>
          <w:szCs w:val="24"/>
          <w:lang w:val="es-ES_tradnl"/>
        </w:rPr>
        <w:t>TEXTO APROBADO EN LA COMISION PRIMERA DE LA HONORABLE CÁMARA DE REP</w:t>
      </w:r>
      <w:r w:rsidR="00576838" w:rsidRPr="000260BD">
        <w:rPr>
          <w:rFonts w:ascii="Bookman Old Style" w:eastAsia="Century Gothic" w:hAnsi="Bookman Old Style" w:cs="Arial"/>
          <w:b/>
          <w:color w:val="000000"/>
          <w:sz w:val="24"/>
          <w:szCs w:val="24"/>
          <w:lang w:val="es-ES_tradnl"/>
        </w:rPr>
        <w:t>RESENTANTES EN PRIMER DEBATE</w:t>
      </w:r>
    </w:p>
    <w:p w14:paraId="086552BE" w14:textId="63569A09" w:rsidR="000260BD" w:rsidRPr="000260BD" w:rsidRDefault="00576838" w:rsidP="000260BD">
      <w:pPr>
        <w:pBdr>
          <w:top w:val="nil"/>
          <w:left w:val="nil"/>
          <w:bottom w:val="nil"/>
          <w:right w:val="nil"/>
          <w:between w:val="nil"/>
        </w:pBdr>
        <w:spacing w:after="0" w:line="240" w:lineRule="auto"/>
        <w:jc w:val="center"/>
        <w:rPr>
          <w:rFonts w:ascii="Bookman Old Style" w:eastAsia="Calibri" w:hAnsi="Bookman Old Style" w:cs="Arial"/>
          <w:b/>
          <w:sz w:val="24"/>
          <w:szCs w:val="24"/>
          <w:lang w:eastAsia="es-CO"/>
        </w:rPr>
      </w:pPr>
      <w:r w:rsidRPr="000260BD">
        <w:rPr>
          <w:rFonts w:ascii="Bookman Old Style" w:eastAsia="Century Gothic" w:hAnsi="Bookman Old Style" w:cs="Arial"/>
          <w:b/>
          <w:color w:val="000000"/>
          <w:sz w:val="24"/>
          <w:szCs w:val="24"/>
          <w:lang w:val="es-ES_tradnl"/>
        </w:rPr>
        <w:t xml:space="preserve"> AL </w:t>
      </w:r>
      <w:r w:rsidR="0062133F" w:rsidRPr="000260BD">
        <w:rPr>
          <w:rFonts w:ascii="Bookman Old Style" w:hAnsi="Bookman Old Style" w:cs="Arial"/>
          <w:b/>
          <w:bCs/>
          <w:sz w:val="24"/>
          <w:szCs w:val="24"/>
          <w:shd w:val="clear" w:color="auto" w:fill="FFFFFF"/>
        </w:rPr>
        <w:t xml:space="preserve">PROYECTO DE LEY No. </w:t>
      </w:r>
      <w:r w:rsidR="000260BD" w:rsidRPr="000260BD">
        <w:rPr>
          <w:rFonts w:ascii="Bookman Old Style" w:eastAsia="Bookman Old Style" w:hAnsi="Bookman Old Style" w:cs="Bookman Old Style"/>
          <w:b/>
          <w:color w:val="000000"/>
          <w:sz w:val="24"/>
          <w:szCs w:val="24"/>
        </w:rPr>
        <w:t>007 DE 2022 CÁMARA.</w:t>
      </w:r>
    </w:p>
    <w:p w14:paraId="7800693C" w14:textId="77777777" w:rsidR="000260BD" w:rsidRDefault="000260BD" w:rsidP="000260BD">
      <w:pPr>
        <w:pBdr>
          <w:top w:val="nil"/>
          <w:left w:val="nil"/>
          <w:bottom w:val="nil"/>
          <w:right w:val="nil"/>
          <w:between w:val="nil"/>
        </w:pBdr>
        <w:jc w:val="center"/>
        <w:rPr>
          <w:rFonts w:ascii="Bookman Old Style" w:eastAsia="Bookman Old Style" w:hAnsi="Bookman Old Style" w:cs="Bookman Old Style"/>
          <w:i/>
          <w:color w:val="000000"/>
          <w:sz w:val="24"/>
          <w:szCs w:val="24"/>
        </w:rPr>
      </w:pPr>
      <w:r w:rsidRPr="000260BD">
        <w:rPr>
          <w:rFonts w:ascii="Bookman Old Style" w:eastAsia="Bookman Old Style" w:hAnsi="Bookman Old Style" w:cs="Bookman Old Style"/>
          <w:i/>
          <w:color w:val="000000"/>
          <w:sz w:val="24"/>
          <w:szCs w:val="24"/>
        </w:rPr>
        <w:t xml:space="preserve"> </w:t>
      </w:r>
    </w:p>
    <w:p w14:paraId="289D5F35" w14:textId="157C9C13" w:rsidR="000260BD" w:rsidRPr="000260BD" w:rsidRDefault="00773A5D" w:rsidP="00773A5D">
      <w:pPr>
        <w:pBdr>
          <w:top w:val="nil"/>
          <w:left w:val="nil"/>
          <w:bottom w:val="nil"/>
          <w:right w:val="nil"/>
          <w:between w:val="nil"/>
        </w:pBdr>
        <w:jc w:val="center"/>
        <w:rPr>
          <w:rFonts w:ascii="Bookman Old Style" w:eastAsia="Bookman Old Style" w:hAnsi="Bookman Old Style" w:cs="Bookman Old Style"/>
          <w:b/>
          <w:i/>
          <w:color w:val="000000"/>
          <w:sz w:val="24"/>
          <w:szCs w:val="24"/>
        </w:rPr>
      </w:pPr>
      <w:r>
        <w:rPr>
          <w:rFonts w:ascii="Bookman Old Style" w:eastAsia="Bookman Old Style" w:hAnsi="Bookman Old Style" w:cs="Bookman Old Style"/>
          <w:b/>
          <w:i/>
          <w:color w:val="000000"/>
          <w:sz w:val="24"/>
          <w:szCs w:val="24"/>
        </w:rPr>
        <w:t xml:space="preserve">“POR EL CUAL SE PROHIBEN </w:t>
      </w:r>
      <w:r w:rsidR="000260BD" w:rsidRPr="000260BD">
        <w:rPr>
          <w:rFonts w:ascii="Bookman Old Style" w:eastAsia="Bookman Old Style" w:hAnsi="Bookman Old Style" w:cs="Bookman Old Style"/>
          <w:b/>
          <w:i/>
          <w:color w:val="000000"/>
          <w:sz w:val="24"/>
          <w:szCs w:val="24"/>
        </w:rPr>
        <w:t>LAS PRÁCTICAS TAURINAS EN EL TERRITORIO NACIONAL Y SE DICTAN OTRAS DISPOSICIONES”</w:t>
      </w:r>
    </w:p>
    <w:p w14:paraId="385A4840" w14:textId="0976E4FD" w:rsidR="000260BD" w:rsidRPr="000260BD" w:rsidRDefault="000260BD" w:rsidP="000260BD">
      <w:pPr>
        <w:pBdr>
          <w:top w:val="nil"/>
          <w:left w:val="nil"/>
          <w:bottom w:val="nil"/>
          <w:right w:val="nil"/>
          <w:between w:val="nil"/>
        </w:pBdr>
        <w:ind w:right="40"/>
        <w:jc w:val="center"/>
        <w:rPr>
          <w:rFonts w:ascii="Bookman Old Style" w:eastAsia="Bookman Old Style" w:hAnsi="Bookman Old Style" w:cs="Bookman Old Style"/>
          <w:b/>
          <w:color w:val="000000"/>
          <w:sz w:val="24"/>
          <w:szCs w:val="24"/>
        </w:rPr>
      </w:pPr>
      <w:r w:rsidRPr="000260BD">
        <w:rPr>
          <w:rFonts w:ascii="Bookman Old Style" w:eastAsia="Bookman Old Style" w:hAnsi="Bookman Old Style" w:cs="Bookman Old Style"/>
          <w:b/>
          <w:color w:val="000000"/>
          <w:sz w:val="24"/>
          <w:szCs w:val="24"/>
        </w:rPr>
        <w:t xml:space="preserve"> </w:t>
      </w:r>
    </w:p>
    <w:p w14:paraId="7A928A7A" w14:textId="531D363F" w:rsidR="000260BD" w:rsidRPr="000260BD" w:rsidRDefault="000260BD" w:rsidP="000260BD">
      <w:pPr>
        <w:pBdr>
          <w:top w:val="nil"/>
          <w:left w:val="nil"/>
          <w:bottom w:val="nil"/>
          <w:right w:val="nil"/>
          <w:between w:val="nil"/>
        </w:pBdr>
        <w:ind w:right="40"/>
        <w:jc w:val="center"/>
        <w:rPr>
          <w:rFonts w:ascii="Bookman Old Style" w:eastAsia="Bookman Old Style" w:hAnsi="Bookman Old Style" w:cs="Bookman Old Style"/>
          <w:b/>
          <w:color w:val="000000"/>
          <w:sz w:val="24"/>
          <w:szCs w:val="24"/>
        </w:rPr>
      </w:pPr>
      <w:r w:rsidRPr="000260BD">
        <w:rPr>
          <w:rFonts w:ascii="Bookman Old Style" w:eastAsia="Bookman Old Style" w:hAnsi="Bookman Old Style" w:cs="Bookman Old Style"/>
          <w:b/>
          <w:color w:val="000000"/>
          <w:sz w:val="24"/>
          <w:szCs w:val="24"/>
        </w:rPr>
        <w:t>EL CONGRESO DE COLOMBIA</w:t>
      </w:r>
    </w:p>
    <w:p w14:paraId="797B1253" w14:textId="0F3CEF4A" w:rsidR="000260BD" w:rsidRPr="000260BD" w:rsidRDefault="000260BD" w:rsidP="000260BD">
      <w:pPr>
        <w:pBdr>
          <w:top w:val="nil"/>
          <w:left w:val="nil"/>
          <w:bottom w:val="nil"/>
          <w:right w:val="nil"/>
          <w:between w:val="nil"/>
        </w:pBdr>
        <w:ind w:right="40"/>
        <w:rPr>
          <w:rFonts w:ascii="Bookman Old Style" w:eastAsia="Bookman Old Style" w:hAnsi="Bookman Old Style" w:cs="Bookman Old Style"/>
          <w:b/>
          <w:color w:val="000000"/>
          <w:sz w:val="24"/>
          <w:szCs w:val="24"/>
        </w:rPr>
      </w:pPr>
    </w:p>
    <w:p w14:paraId="017AF962" w14:textId="77777777" w:rsidR="000260BD" w:rsidRPr="000260BD" w:rsidRDefault="000260BD" w:rsidP="000260BD">
      <w:pPr>
        <w:pBdr>
          <w:top w:val="nil"/>
          <w:left w:val="nil"/>
          <w:bottom w:val="nil"/>
          <w:right w:val="nil"/>
          <w:between w:val="nil"/>
        </w:pBdr>
        <w:ind w:right="40"/>
        <w:jc w:val="center"/>
        <w:rPr>
          <w:rFonts w:ascii="Bookman Old Style" w:eastAsia="Bookman Old Style" w:hAnsi="Bookman Old Style" w:cs="Bookman Old Style"/>
          <w:b/>
          <w:color w:val="000000"/>
          <w:sz w:val="24"/>
          <w:szCs w:val="24"/>
        </w:rPr>
      </w:pPr>
      <w:r w:rsidRPr="000260BD">
        <w:rPr>
          <w:rFonts w:ascii="Bookman Old Style" w:eastAsia="Bookman Old Style" w:hAnsi="Bookman Old Style" w:cs="Bookman Old Style"/>
          <w:b/>
          <w:color w:val="000000"/>
          <w:sz w:val="24"/>
          <w:szCs w:val="24"/>
        </w:rPr>
        <w:t>DECRETA:</w:t>
      </w:r>
    </w:p>
    <w:p w14:paraId="65BDE88F" w14:textId="77777777" w:rsidR="000260BD" w:rsidRPr="000260BD" w:rsidRDefault="000260BD" w:rsidP="000260BD">
      <w:pPr>
        <w:pBdr>
          <w:top w:val="nil"/>
          <w:left w:val="nil"/>
          <w:bottom w:val="nil"/>
          <w:right w:val="nil"/>
          <w:between w:val="nil"/>
        </w:pBdr>
        <w:rPr>
          <w:rFonts w:ascii="Bookman Old Style" w:eastAsia="Bookman Old Style" w:hAnsi="Bookman Old Style" w:cs="Bookman Old Style"/>
          <w:color w:val="000000"/>
          <w:sz w:val="24"/>
          <w:szCs w:val="24"/>
        </w:rPr>
      </w:pPr>
    </w:p>
    <w:p w14:paraId="418FAC7D" w14:textId="7777777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b/>
          <w:color w:val="000000"/>
          <w:sz w:val="24"/>
          <w:szCs w:val="24"/>
        </w:rPr>
        <w:t>Artículo 1</w:t>
      </w:r>
      <w:r w:rsidRPr="000260BD">
        <w:rPr>
          <w:rFonts w:ascii="Bookman Old Style" w:eastAsia="Bookman Old Style" w:hAnsi="Bookman Old Style" w:cs="Bookman Old Style"/>
          <w:color w:val="000000"/>
          <w:sz w:val="24"/>
          <w:szCs w:val="24"/>
        </w:rPr>
        <w:t xml:space="preserve">. </w:t>
      </w:r>
      <w:r w:rsidRPr="000260BD">
        <w:rPr>
          <w:rFonts w:ascii="Bookman Old Style" w:eastAsia="Bookman Old Style" w:hAnsi="Bookman Old Style" w:cs="Bookman Old Style"/>
          <w:b/>
          <w:color w:val="000000"/>
          <w:sz w:val="24"/>
          <w:szCs w:val="24"/>
        </w:rPr>
        <w:t>Objeto</w:t>
      </w:r>
      <w:r w:rsidRPr="000260BD">
        <w:rPr>
          <w:rFonts w:ascii="Bookman Old Style" w:eastAsia="Bookman Old Style" w:hAnsi="Bookman Old Style" w:cs="Bookman Old Style"/>
          <w:color w:val="000000"/>
          <w:sz w:val="24"/>
          <w:szCs w:val="24"/>
        </w:rPr>
        <w:t>. La presente ley tiene por objeto avanzar en el reconocimiento de los animales como seres sintientes, sujetos de una protección constitucional y legal especial, a través de la prohibición de las prácticas taurinas en todo el territorio nacional, como expresiones de maltrato, crueldad y violencia.</w:t>
      </w:r>
    </w:p>
    <w:p w14:paraId="3FD903FD" w14:textId="7777777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p>
    <w:p w14:paraId="037ACCD1" w14:textId="7777777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b/>
          <w:color w:val="000000"/>
          <w:sz w:val="24"/>
          <w:szCs w:val="24"/>
        </w:rPr>
        <w:t>Artículo 2º.</w:t>
      </w:r>
      <w:r w:rsidRPr="000260BD">
        <w:rPr>
          <w:rFonts w:ascii="Bookman Old Style" w:eastAsia="Bookman Old Style" w:hAnsi="Bookman Old Style" w:cs="Bookman Old Style"/>
          <w:color w:val="000000"/>
          <w:sz w:val="24"/>
          <w:szCs w:val="24"/>
        </w:rPr>
        <w:t xml:space="preserve"> </w:t>
      </w:r>
      <w:r w:rsidRPr="000260BD">
        <w:rPr>
          <w:rFonts w:ascii="Bookman Old Style" w:eastAsia="Bookman Old Style" w:hAnsi="Bookman Old Style" w:cs="Bookman Old Style"/>
          <w:b/>
          <w:color w:val="000000"/>
          <w:sz w:val="24"/>
          <w:szCs w:val="24"/>
        </w:rPr>
        <w:t>Ámbito de aplicación</w:t>
      </w:r>
      <w:r w:rsidRPr="000260BD">
        <w:rPr>
          <w:rFonts w:ascii="Bookman Old Style" w:eastAsia="Bookman Old Style" w:hAnsi="Bookman Old Style" w:cs="Bookman Old Style"/>
          <w:color w:val="000000"/>
          <w:sz w:val="24"/>
          <w:szCs w:val="24"/>
        </w:rPr>
        <w:t>. Las disposiciones contenidas en la presente ley serán aplicables en todo el territorio nacional.</w:t>
      </w:r>
      <w:r w:rsidRPr="000260BD">
        <w:rPr>
          <w:rFonts w:ascii="Bookman Old Style" w:eastAsia="Bookman Old Style" w:hAnsi="Bookman Old Style" w:cs="Bookman Old Style"/>
          <w:color w:val="000000"/>
          <w:sz w:val="24"/>
          <w:szCs w:val="24"/>
        </w:rPr>
        <w:tab/>
      </w:r>
    </w:p>
    <w:p w14:paraId="1910217B" w14:textId="7777777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color w:val="000000"/>
          <w:sz w:val="24"/>
          <w:szCs w:val="24"/>
        </w:rPr>
        <w:t xml:space="preserve"> </w:t>
      </w:r>
    </w:p>
    <w:p w14:paraId="1AE11DF7" w14:textId="77777777" w:rsidR="000260BD" w:rsidRPr="000260BD" w:rsidRDefault="000260BD" w:rsidP="000260BD">
      <w:pP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b/>
          <w:color w:val="000000"/>
          <w:sz w:val="24"/>
          <w:szCs w:val="24"/>
        </w:rPr>
        <w:t>Artículo 3º</w:t>
      </w:r>
      <w:r w:rsidRPr="000260BD">
        <w:rPr>
          <w:rFonts w:ascii="Bookman Old Style" w:eastAsia="Bookman Old Style" w:hAnsi="Bookman Old Style" w:cs="Bookman Old Style"/>
          <w:color w:val="000000"/>
          <w:sz w:val="24"/>
          <w:szCs w:val="24"/>
        </w:rPr>
        <w:t xml:space="preserve">. </w:t>
      </w:r>
      <w:r w:rsidRPr="000260BD">
        <w:rPr>
          <w:rFonts w:ascii="Bookman Old Style" w:eastAsia="Bookman Old Style" w:hAnsi="Bookman Old Style" w:cs="Bookman Old Style"/>
          <w:b/>
          <w:color w:val="000000"/>
          <w:sz w:val="24"/>
          <w:szCs w:val="24"/>
        </w:rPr>
        <w:t>Prohibición.</w:t>
      </w:r>
      <w:r w:rsidRPr="000260BD">
        <w:rPr>
          <w:rFonts w:ascii="Bookman Old Style" w:eastAsia="Bookman Old Style" w:hAnsi="Bookman Old Style" w:cs="Bookman Old Style"/>
          <w:color w:val="000000"/>
          <w:sz w:val="24"/>
          <w:szCs w:val="24"/>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49473BA3" w14:textId="405278EF" w:rsidR="000260BD" w:rsidRPr="000260BD" w:rsidRDefault="000260BD" w:rsidP="000260BD">
      <w:pPr>
        <w:jc w:val="both"/>
        <w:rPr>
          <w:rFonts w:ascii="Bookman Old Style" w:eastAsia="Bookman Old Style" w:hAnsi="Bookman Old Style" w:cs="Bookman Old Style"/>
          <w:color w:val="000000"/>
          <w:sz w:val="24"/>
          <w:szCs w:val="24"/>
        </w:rPr>
      </w:pPr>
      <w:r w:rsidRPr="003C554A">
        <w:rPr>
          <w:rFonts w:ascii="Bookman Old Style" w:eastAsia="Bookman Old Style" w:hAnsi="Bookman Old Style" w:cs="Bookman Old Style"/>
          <w:b/>
          <w:color w:val="000000"/>
          <w:sz w:val="24"/>
          <w:szCs w:val="24"/>
        </w:rPr>
        <w:t>Parágrafo.</w:t>
      </w:r>
      <w:r>
        <w:rPr>
          <w:rFonts w:ascii="Bookman Old Style" w:eastAsia="Bookman Old Style" w:hAnsi="Bookman Old Style" w:cs="Bookman Old Style"/>
          <w:color w:val="000000"/>
          <w:sz w:val="24"/>
          <w:szCs w:val="24"/>
        </w:rPr>
        <w:t xml:space="preserve"> El incumplimiento de la prohibición prevista en el presente artículo, dará lugar a la imposición de las sanciones establecidas en el artículo 10 y 11 de la Ley 84 de 1989 modificados por el artículo 4 y 9, respectivamente, de la Ley 1774 de 2016 o las normas que la modifiquen, deroguen o sustituyan. </w:t>
      </w:r>
    </w:p>
    <w:p w14:paraId="4CC7AAD0" w14:textId="2C899FD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b/>
          <w:color w:val="000000"/>
          <w:sz w:val="24"/>
          <w:szCs w:val="24"/>
        </w:rPr>
        <w:lastRenderedPageBreak/>
        <w:t xml:space="preserve">Artículo 4.  </w:t>
      </w:r>
      <w:r w:rsidRPr="000260BD">
        <w:rPr>
          <w:rFonts w:ascii="Bookman Old Style" w:eastAsia="Bookman Old Style" w:hAnsi="Bookman Old Style" w:cs="Bookman Old Style"/>
          <w:color w:val="000000"/>
          <w:sz w:val="24"/>
          <w:szCs w:val="24"/>
        </w:rPr>
        <w:t xml:space="preserve">El </w:t>
      </w:r>
      <w:r>
        <w:rPr>
          <w:rFonts w:ascii="Bookman Old Style" w:eastAsia="Bookman Old Style" w:hAnsi="Bookman Old Style" w:cs="Bookman Old Style"/>
          <w:color w:val="000000"/>
          <w:sz w:val="24"/>
          <w:szCs w:val="24"/>
        </w:rPr>
        <w:t xml:space="preserve">Ministerio de Ambiente y Desarrollo Sostenible, en conjunto con el Ministerio del Trabajo, el Ministerio de Educación y el Ministerio del Interior y garantizando la participación de los sectores que tengan intereses, </w:t>
      </w:r>
      <w:r w:rsidRPr="000260BD">
        <w:rPr>
          <w:rFonts w:ascii="Bookman Old Style" w:eastAsia="Bookman Old Style" w:hAnsi="Bookman Old Style" w:cs="Bookman Old Style"/>
          <w:color w:val="000000"/>
          <w:sz w:val="24"/>
          <w:szCs w:val="24"/>
        </w:rPr>
        <w:t xml:space="preserve">en el marco de sus competencias, tendrá un plazo de seis (6) meses contados a partir de la expedición de la presente ley para </w:t>
      </w:r>
      <w:r>
        <w:rPr>
          <w:rFonts w:ascii="Bookman Old Style" w:eastAsia="Bookman Old Style" w:hAnsi="Bookman Old Style" w:cs="Bookman Old Style"/>
          <w:color w:val="000000"/>
          <w:sz w:val="24"/>
          <w:szCs w:val="24"/>
        </w:rPr>
        <w:t xml:space="preserve">elaborar un Plan de Adaptación Laboral con el cual garantizan programas efectivos de reconversión </w:t>
      </w:r>
      <w:r w:rsidRPr="000260BD">
        <w:rPr>
          <w:rFonts w:ascii="Bookman Old Style" w:eastAsia="Bookman Old Style" w:hAnsi="Bookman Old Style" w:cs="Bookman Old Style"/>
          <w:color w:val="000000"/>
          <w:sz w:val="24"/>
          <w:szCs w:val="24"/>
        </w:rPr>
        <w:t>económica para las personas que demuestren que sus ingresos y sustento económico principal, se derivan de las actividades de las que trata el artículo 3.</w:t>
      </w:r>
    </w:p>
    <w:p w14:paraId="22F0DC29" w14:textId="77777777" w:rsidR="000260BD" w:rsidRPr="000260BD" w:rsidRDefault="000260BD" w:rsidP="000260BD">
      <w:pPr>
        <w:pBdr>
          <w:top w:val="nil"/>
          <w:left w:val="nil"/>
          <w:bottom w:val="nil"/>
          <w:right w:val="nil"/>
          <w:between w:val="nil"/>
        </w:pBdr>
        <w:jc w:val="both"/>
        <w:rPr>
          <w:rFonts w:ascii="Bookman Old Style" w:eastAsia="Bookman Old Style" w:hAnsi="Bookman Old Style" w:cs="Bookman Old Style"/>
          <w:color w:val="000000"/>
          <w:sz w:val="24"/>
          <w:szCs w:val="24"/>
        </w:rPr>
      </w:pPr>
    </w:p>
    <w:p w14:paraId="0D3AC845" w14:textId="77777777" w:rsidR="000260BD" w:rsidRPr="000260BD" w:rsidRDefault="000260BD" w:rsidP="000260BD">
      <w:pPr>
        <w:jc w:val="both"/>
        <w:rPr>
          <w:rFonts w:ascii="Bookman Old Style" w:eastAsia="Bookman Old Style" w:hAnsi="Bookman Old Style" w:cs="Bookman Old Style"/>
          <w:color w:val="000000"/>
          <w:sz w:val="24"/>
          <w:szCs w:val="24"/>
        </w:rPr>
      </w:pPr>
      <w:r w:rsidRPr="000260BD">
        <w:rPr>
          <w:rFonts w:ascii="Bookman Old Style" w:eastAsia="Bookman Old Style" w:hAnsi="Bookman Old Style" w:cs="Bookman Old Style"/>
          <w:b/>
          <w:color w:val="000000"/>
          <w:sz w:val="24"/>
          <w:szCs w:val="24"/>
        </w:rPr>
        <w:t>Artículo 5º</w:t>
      </w:r>
      <w:r w:rsidRPr="000260BD">
        <w:rPr>
          <w:rFonts w:ascii="Bookman Old Style" w:eastAsia="Bookman Old Style" w:hAnsi="Bookman Old Style" w:cs="Bookman Old Style"/>
          <w:color w:val="000000"/>
          <w:sz w:val="24"/>
          <w:szCs w:val="24"/>
        </w:rPr>
        <w:t xml:space="preserve">. </w:t>
      </w:r>
      <w:r w:rsidRPr="000260BD">
        <w:rPr>
          <w:rFonts w:ascii="Bookman Old Style" w:eastAsia="Bookman Old Style" w:hAnsi="Bookman Old Style" w:cs="Bookman Old Style"/>
          <w:b/>
          <w:color w:val="000000"/>
          <w:sz w:val="24"/>
          <w:szCs w:val="24"/>
        </w:rPr>
        <w:t>Vigencia.</w:t>
      </w:r>
      <w:r w:rsidRPr="000260BD">
        <w:rPr>
          <w:rFonts w:ascii="Bookman Old Style" w:eastAsia="Bookman Old Style" w:hAnsi="Bookman Old Style" w:cs="Bookman Old Style"/>
          <w:color w:val="000000"/>
          <w:sz w:val="24"/>
          <w:szCs w:val="24"/>
        </w:rPr>
        <w:t xml:space="preserve"> La presente ley rige a partir de la fecha de su expedición y deroga la Ley 916 de 2004, Reglamento Nacional Taurino, así como las expresiones “</w:t>
      </w:r>
      <w:r w:rsidRPr="000260BD">
        <w:rPr>
          <w:rFonts w:ascii="Bookman Old Style" w:eastAsia="Bookman Old Style" w:hAnsi="Bookman Old Style" w:cs="Bookman Old Style"/>
          <w:i/>
          <w:color w:val="000000"/>
          <w:sz w:val="24"/>
          <w:szCs w:val="24"/>
        </w:rPr>
        <w:t xml:space="preserve">corridas de toros, rejoneo, novilladas, becerradas y tientas”, </w:t>
      </w:r>
      <w:r w:rsidRPr="000260BD">
        <w:rPr>
          <w:rFonts w:ascii="Bookman Old Style" w:eastAsia="Bookman Old Style" w:hAnsi="Bookman Old Style" w:cs="Bookman Old Style"/>
          <w:color w:val="000000"/>
          <w:sz w:val="24"/>
          <w:szCs w:val="24"/>
        </w:rPr>
        <w:t>contenidas en el artículo 7 de la Ley 84 de 1989.</w:t>
      </w:r>
    </w:p>
    <w:p w14:paraId="0DE86BA4" w14:textId="77777777" w:rsidR="000260BD" w:rsidRPr="000260BD" w:rsidRDefault="000260BD" w:rsidP="00DE0F69">
      <w:pPr>
        <w:spacing w:line="276" w:lineRule="auto"/>
        <w:jc w:val="center"/>
        <w:rPr>
          <w:rFonts w:ascii="Bookman Old Style" w:hAnsi="Bookman Old Style" w:cs="Arial"/>
          <w:b/>
          <w:sz w:val="24"/>
          <w:szCs w:val="24"/>
        </w:rPr>
      </w:pPr>
    </w:p>
    <w:p w14:paraId="28761DD0" w14:textId="77777777" w:rsidR="000260BD" w:rsidRPr="000260BD" w:rsidRDefault="000260BD" w:rsidP="00DE0F69">
      <w:pPr>
        <w:spacing w:line="276" w:lineRule="auto"/>
        <w:jc w:val="center"/>
        <w:rPr>
          <w:rFonts w:ascii="Bookman Old Style" w:hAnsi="Bookman Old Style" w:cs="Arial"/>
          <w:b/>
          <w:sz w:val="24"/>
          <w:szCs w:val="24"/>
        </w:rPr>
      </w:pPr>
    </w:p>
    <w:p w14:paraId="563073C8" w14:textId="32D34E76" w:rsidR="00DE0F69" w:rsidRPr="000260BD" w:rsidRDefault="00DE0F69" w:rsidP="00DE0F69">
      <w:pPr>
        <w:jc w:val="both"/>
        <w:rPr>
          <w:rFonts w:ascii="Bookman Old Style" w:eastAsia="Times New Roman" w:hAnsi="Bookman Old Style" w:cs="Arial"/>
          <w:b/>
          <w:sz w:val="24"/>
          <w:szCs w:val="24"/>
          <w:lang w:eastAsia="es-CO"/>
        </w:rPr>
      </w:pPr>
      <w:r w:rsidRPr="000260BD">
        <w:rPr>
          <w:rFonts w:ascii="Bookman Old Style" w:hAnsi="Bookman Old Style" w:cs="Arial"/>
          <w:sz w:val="24"/>
          <w:szCs w:val="24"/>
        </w:rPr>
        <w:t>En</w:t>
      </w:r>
      <w:r w:rsidRPr="000260BD">
        <w:rPr>
          <w:rFonts w:ascii="Bookman Old Style" w:hAnsi="Bookman Old Style" w:cs="Arial"/>
          <w:sz w:val="24"/>
          <w:szCs w:val="24"/>
          <w:lang w:val="es-ES" w:eastAsia="es-ES"/>
        </w:rPr>
        <w:t xml:space="preserve"> los anteriores términos fue aprobado con modificaciones el presente Proyecto de</w:t>
      </w:r>
      <w:r w:rsidR="00773A5D">
        <w:rPr>
          <w:rFonts w:ascii="Bookman Old Style" w:hAnsi="Bookman Old Style" w:cs="Arial"/>
          <w:sz w:val="24"/>
          <w:szCs w:val="24"/>
          <w:lang w:val="es-ES" w:eastAsia="es-ES"/>
        </w:rPr>
        <w:t xml:space="preserve"> Ley según consta en Actas No. 06 de Sesión de Agosto 30 </w:t>
      </w:r>
      <w:r w:rsidR="009501D7">
        <w:rPr>
          <w:rFonts w:ascii="Bookman Old Style" w:hAnsi="Bookman Old Style" w:cs="Arial"/>
          <w:sz w:val="24"/>
          <w:szCs w:val="24"/>
          <w:lang w:val="es-ES" w:eastAsia="es-ES"/>
        </w:rPr>
        <w:t>de</w:t>
      </w:r>
      <w:r w:rsidR="00B82098">
        <w:rPr>
          <w:rFonts w:ascii="Bookman Old Style" w:hAnsi="Bookman Old Style" w:cs="Arial"/>
          <w:sz w:val="24"/>
          <w:szCs w:val="24"/>
          <w:lang w:val="es-ES" w:eastAsia="es-ES"/>
        </w:rPr>
        <w:t xml:space="preserve"> 2022 </w:t>
      </w:r>
      <w:r w:rsidR="00773A5D">
        <w:rPr>
          <w:rFonts w:ascii="Bookman Old Style" w:hAnsi="Bookman Old Style" w:cs="Arial"/>
          <w:sz w:val="24"/>
          <w:szCs w:val="24"/>
          <w:lang w:val="es-ES" w:eastAsia="es-ES"/>
        </w:rPr>
        <w:t>y Acta  No. 07 de Sesión</w:t>
      </w:r>
      <w:r w:rsidRPr="000260BD">
        <w:rPr>
          <w:rFonts w:ascii="Bookman Old Style" w:hAnsi="Bookman Old Style" w:cs="Arial"/>
          <w:sz w:val="24"/>
          <w:szCs w:val="24"/>
          <w:lang w:val="es-ES" w:eastAsia="es-ES"/>
        </w:rPr>
        <w:t xml:space="preserve"> de </w:t>
      </w:r>
      <w:r w:rsidR="00773A5D">
        <w:rPr>
          <w:rFonts w:ascii="Bookman Old Style" w:hAnsi="Bookman Old Style" w:cs="Arial"/>
          <w:sz w:val="24"/>
          <w:szCs w:val="24"/>
          <w:lang w:val="es-ES" w:eastAsia="es-ES"/>
        </w:rPr>
        <w:t>Agosto 31</w:t>
      </w:r>
      <w:r w:rsidR="00B82098">
        <w:rPr>
          <w:rFonts w:ascii="Bookman Old Style" w:hAnsi="Bookman Old Style" w:cs="Arial"/>
          <w:sz w:val="24"/>
          <w:szCs w:val="24"/>
          <w:lang w:val="es-ES" w:eastAsia="es-ES"/>
        </w:rPr>
        <w:t xml:space="preserve"> </w:t>
      </w:r>
      <w:r w:rsidRPr="000260BD">
        <w:rPr>
          <w:rFonts w:ascii="Bookman Old Style" w:hAnsi="Bookman Old Style" w:cs="Arial"/>
          <w:sz w:val="24"/>
          <w:szCs w:val="24"/>
          <w:lang w:val="es-ES" w:eastAsia="es-ES"/>
        </w:rPr>
        <w:t xml:space="preserve">de 2022. Anunciado entre otras fechas, el </w:t>
      </w:r>
      <w:r w:rsidR="00773A5D">
        <w:rPr>
          <w:rFonts w:ascii="Bookman Old Style" w:hAnsi="Bookman Old Style" w:cs="Arial"/>
          <w:sz w:val="24"/>
          <w:szCs w:val="24"/>
          <w:lang w:val="es-ES" w:eastAsia="es-ES"/>
        </w:rPr>
        <w:t>23 de Agosto</w:t>
      </w:r>
      <w:r w:rsidRPr="000260BD">
        <w:rPr>
          <w:rFonts w:ascii="Bookman Old Style" w:hAnsi="Bookman Old Style" w:cs="Arial"/>
          <w:sz w:val="24"/>
          <w:szCs w:val="24"/>
          <w:lang w:val="es-ES" w:eastAsia="es-ES"/>
        </w:rPr>
        <w:t xml:space="preserve"> de 2022</w:t>
      </w:r>
      <w:r w:rsidR="00773A5D">
        <w:rPr>
          <w:rFonts w:ascii="Bookman Old Style" w:hAnsi="Bookman Old Style" w:cs="Arial"/>
          <w:sz w:val="24"/>
          <w:szCs w:val="24"/>
          <w:lang w:val="es-ES" w:eastAsia="es-ES"/>
        </w:rPr>
        <w:t xml:space="preserve"> según consta en Acta No. 05 y el 30 de Agosto de 2022 según consta en Acta No. 06.</w:t>
      </w:r>
    </w:p>
    <w:p w14:paraId="1BD69E38" w14:textId="77777777" w:rsidR="00DE0F69" w:rsidRPr="000260BD" w:rsidRDefault="00DE0F69" w:rsidP="00DE0F69">
      <w:pPr>
        <w:spacing w:after="0" w:line="240" w:lineRule="auto"/>
        <w:jc w:val="both"/>
        <w:rPr>
          <w:rFonts w:ascii="Bookman Old Style" w:eastAsia="Times New Roman" w:hAnsi="Bookman Old Style" w:cs="Arial"/>
          <w:b/>
          <w:sz w:val="24"/>
          <w:szCs w:val="24"/>
          <w:lang w:eastAsia="es-CO"/>
        </w:rPr>
      </w:pPr>
    </w:p>
    <w:p w14:paraId="19051645" w14:textId="77777777" w:rsidR="00865F9B" w:rsidRPr="000260BD" w:rsidRDefault="00865F9B" w:rsidP="00DF170E">
      <w:pPr>
        <w:spacing w:after="0" w:line="240" w:lineRule="auto"/>
        <w:jc w:val="both"/>
        <w:rPr>
          <w:rFonts w:ascii="Bookman Old Style" w:eastAsia="Times New Roman" w:hAnsi="Bookman Old Style" w:cs="Arial"/>
          <w:b/>
          <w:sz w:val="24"/>
          <w:szCs w:val="24"/>
          <w:lang w:eastAsia="es-CO"/>
        </w:rPr>
      </w:pPr>
    </w:p>
    <w:p w14:paraId="4B887407" w14:textId="77777777" w:rsidR="00167AA0" w:rsidRPr="000260BD" w:rsidRDefault="00167AA0" w:rsidP="00DF170E">
      <w:pPr>
        <w:spacing w:after="0" w:line="240" w:lineRule="auto"/>
        <w:jc w:val="both"/>
        <w:rPr>
          <w:rFonts w:ascii="Bookman Old Style" w:eastAsia="Times New Roman" w:hAnsi="Bookman Old Style" w:cs="Arial"/>
          <w:b/>
          <w:sz w:val="24"/>
          <w:szCs w:val="24"/>
          <w:lang w:eastAsia="es-CO"/>
        </w:rPr>
      </w:pPr>
    </w:p>
    <w:p w14:paraId="73806588" w14:textId="77777777" w:rsidR="00BB3C7B" w:rsidRPr="000260BD" w:rsidRDefault="00BB3C7B" w:rsidP="00DF170E">
      <w:pPr>
        <w:spacing w:after="0" w:line="240" w:lineRule="auto"/>
        <w:jc w:val="both"/>
        <w:rPr>
          <w:rFonts w:ascii="Bookman Old Style" w:eastAsia="Times New Roman" w:hAnsi="Bookman Old Style" w:cs="Arial"/>
          <w:b/>
          <w:sz w:val="24"/>
          <w:szCs w:val="24"/>
          <w:lang w:eastAsia="es-CO"/>
        </w:rPr>
      </w:pPr>
    </w:p>
    <w:p w14:paraId="64A53FFE" w14:textId="77777777" w:rsidR="00494AAD" w:rsidRPr="000260BD" w:rsidRDefault="00494AAD" w:rsidP="00ED247F">
      <w:pPr>
        <w:spacing w:after="0" w:line="240" w:lineRule="auto"/>
        <w:jc w:val="both"/>
        <w:rPr>
          <w:rFonts w:ascii="Bookman Old Style" w:eastAsia="Times New Roman" w:hAnsi="Bookman Old Style" w:cs="Arial"/>
          <w:b/>
          <w:sz w:val="24"/>
          <w:szCs w:val="24"/>
          <w:lang w:eastAsia="es-CO"/>
        </w:rPr>
      </w:pPr>
    </w:p>
    <w:p w14:paraId="608C17A5" w14:textId="13D23078" w:rsidR="00ED247F" w:rsidRPr="000260BD" w:rsidRDefault="00773A5D" w:rsidP="00ED247F">
      <w:pPr>
        <w:spacing w:after="0" w:line="240" w:lineRule="auto"/>
        <w:jc w:val="both"/>
        <w:rPr>
          <w:rFonts w:ascii="Bookman Old Style" w:eastAsia="Times New Roman" w:hAnsi="Bookman Old Style" w:cs="Arial"/>
          <w:b/>
          <w:sz w:val="24"/>
          <w:szCs w:val="24"/>
          <w:lang w:eastAsia="es-CO"/>
        </w:rPr>
      </w:pPr>
      <w:r>
        <w:rPr>
          <w:rFonts w:ascii="Bookman Old Style" w:eastAsia="Times New Roman" w:hAnsi="Bookman Old Style" w:cs="Arial"/>
          <w:b/>
          <w:sz w:val="24"/>
          <w:szCs w:val="24"/>
          <w:lang w:eastAsia="es-CO"/>
        </w:rPr>
        <w:t>JUAN CARLOS LOZADA VARGAS</w:t>
      </w:r>
      <w:r>
        <w:rPr>
          <w:rFonts w:ascii="Bookman Old Style" w:eastAsia="Times New Roman" w:hAnsi="Bookman Old Style" w:cs="Arial"/>
          <w:b/>
          <w:sz w:val="24"/>
          <w:szCs w:val="24"/>
          <w:lang w:eastAsia="es-CO"/>
        </w:rPr>
        <w:tab/>
      </w:r>
      <w:r>
        <w:rPr>
          <w:rFonts w:ascii="Bookman Old Style" w:eastAsia="Times New Roman" w:hAnsi="Bookman Old Style" w:cs="Arial"/>
          <w:b/>
          <w:sz w:val="24"/>
          <w:szCs w:val="24"/>
          <w:lang w:eastAsia="es-CO"/>
        </w:rPr>
        <w:tab/>
        <w:t>JUAN CARLOS WILLS OSPINA</w:t>
      </w:r>
    </w:p>
    <w:p w14:paraId="75139BE4" w14:textId="019A39AC" w:rsidR="00ED247F" w:rsidRPr="000260BD" w:rsidRDefault="003B5426" w:rsidP="00ED247F">
      <w:pPr>
        <w:spacing w:after="0" w:line="240" w:lineRule="auto"/>
        <w:jc w:val="both"/>
        <w:rPr>
          <w:rFonts w:ascii="Bookman Old Style" w:eastAsia="Times New Roman" w:hAnsi="Bookman Old Style" w:cs="Arial"/>
          <w:sz w:val="24"/>
          <w:szCs w:val="24"/>
          <w:lang w:eastAsia="es-CO"/>
        </w:rPr>
      </w:pPr>
      <w:r w:rsidRPr="000260BD">
        <w:rPr>
          <w:rFonts w:ascii="Bookman Old Style" w:eastAsia="Times New Roman" w:hAnsi="Bookman Old Style" w:cs="Arial"/>
          <w:sz w:val="24"/>
          <w:szCs w:val="24"/>
          <w:lang w:eastAsia="es-CO"/>
        </w:rPr>
        <w:t>Ponente C</w:t>
      </w:r>
      <w:r w:rsidR="00ED247F" w:rsidRPr="000260BD">
        <w:rPr>
          <w:rFonts w:ascii="Bookman Old Style" w:eastAsia="Times New Roman" w:hAnsi="Bookman Old Style" w:cs="Arial"/>
          <w:sz w:val="24"/>
          <w:szCs w:val="24"/>
          <w:lang w:eastAsia="es-CO"/>
        </w:rPr>
        <w:t>oordinador</w:t>
      </w:r>
      <w:r w:rsidR="00ED247F" w:rsidRPr="000260BD">
        <w:rPr>
          <w:rFonts w:ascii="Bookman Old Style" w:eastAsia="Times New Roman" w:hAnsi="Bookman Old Style" w:cs="Arial"/>
          <w:sz w:val="24"/>
          <w:szCs w:val="24"/>
          <w:lang w:eastAsia="es-CO"/>
        </w:rPr>
        <w:tab/>
      </w:r>
      <w:r w:rsidR="00ED247F" w:rsidRPr="000260BD">
        <w:rPr>
          <w:rFonts w:ascii="Bookman Old Style" w:eastAsia="Times New Roman" w:hAnsi="Bookman Old Style" w:cs="Arial"/>
          <w:sz w:val="24"/>
          <w:szCs w:val="24"/>
          <w:lang w:eastAsia="es-CO"/>
        </w:rPr>
        <w:tab/>
      </w:r>
      <w:r w:rsidR="00ED247F" w:rsidRPr="000260BD">
        <w:rPr>
          <w:rFonts w:ascii="Bookman Old Style" w:eastAsia="Times New Roman" w:hAnsi="Bookman Old Style" w:cs="Arial"/>
          <w:sz w:val="24"/>
          <w:szCs w:val="24"/>
          <w:lang w:eastAsia="es-CO"/>
        </w:rPr>
        <w:tab/>
      </w:r>
      <w:r w:rsidR="00ED247F" w:rsidRPr="000260BD">
        <w:rPr>
          <w:rFonts w:ascii="Bookman Old Style" w:eastAsia="Times New Roman" w:hAnsi="Bookman Old Style" w:cs="Arial"/>
          <w:sz w:val="24"/>
          <w:szCs w:val="24"/>
          <w:lang w:eastAsia="es-CO"/>
        </w:rPr>
        <w:tab/>
        <w:t>Presidente</w:t>
      </w:r>
    </w:p>
    <w:p w14:paraId="3294E3AB" w14:textId="77777777" w:rsidR="00494AAD" w:rsidRPr="000260BD" w:rsidRDefault="00494AAD" w:rsidP="00ED247F">
      <w:pPr>
        <w:spacing w:after="0" w:line="240" w:lineRule="auto"/>
        <w:jc w:val="both"/>
        <w:rPr>
          <w:rFonts w:ascii="Bookman Old Style" w:eastAsia="Times New Roman" w:hAnsi="Bookman Old Style" w:cs="Arial"/>
          <w:b/>
          <w:sz w:val="24"/>
          <w:szCs w:val="24"/>
          <w:lang w:eastAsia="es-CO"/>
        </w:rPr>
      </w:pPr>
    </w:p>
    <w:p w14:paraId="0EEC1B22" w14:textId="77777777" w:rsidR="00167AA0" w:rsidRPr="000260BD" w:rsidRDefault="00167AA0" w:rsidP="00ED247F">
      <w:pPr>
        <w:spacing w:after="0" w:line="240" w:lineRule="auto"/>
        <w:jc w:val="both"/>
        <w:rPr>
          <w:rFonts w:ascii="Bookman Old Style" w:eastAsia="Times New Roman" w:hAnsi="Bookman Old Style" w:cs="Arial"/>
          <w:b/>
          <w:sz w:val="24"/>
          <w:szCs w:val="24"/>
          <w:lang w:eastAsia="es-CO"/>
        </w:rPr>
      </w:pPr>
    </w:p>
    <w:p w14:paraId="192154B3" w14:textId="77777777" w:rsidR="00234EB6" w:rsidRPr="000260BD" w:rsidRDefault="00234EB6" w:rsidP="00ED247F">
      <w:pPr>
        <w:spacing w:after="0" w:line="240" w:lineRule="auto"/>
        <w:jc w:val="both"/>
        <w:rPr>
          <w:rFonts w:ascii="Bookman Old Style" w:eastAsia="Times New Roman" w:hAnsi="Bookman Old Style" w:cs="Arial"/>
          <w:b/>
          <w:sz w:val="24"/>
          <w:szCs w:val="24"/>
          <w:lang w:eastAsia="es-CO"/>
        </w:rPr>
      </w:pPr>
    </w:p>
    <w:p w14:paraId="2EBB09D5" w14:textId="77777777" w:rsidR="00234EB6" w:rsidRPr="000260BD" w:rsidRDefault="00234EB6" w:rsidP="00ED247F">
      <w:pPr>
        <w:spacing w:after="0" w:line="240" w:lineRule="auto"/>
        <w:jc w:val="both"/>
        <w:rPr>
          <w:rFonts w:ascii="Bookman Old Style" w:eastAsia="Times New Roman" w:hAnsi="Bookman Old Style" w:cs="Arial"/>
          <w:b/>
          <w:sz w:val="24"/>
          <w:szCs w:val="24"/>
          <w:lang w:eastAsia="es-CO"/>
        </w:rPr>
      </w:pPr>
    </w:p>
    <w:p w14:paraId="09326F79" w14:textId="77777777" w:rsidR="00ED247F" w:rsidRPr="000260BD" w:rsidRDefault="00ED247F" w:rsidP="00ED247F">
      <w:pPr>
        <w:spacing w:after="0" w:line="240" w:lineRule="auto"/>
        <w:jc w:val="both"/>
        <w:rPr>
          <w:rFonts w:ascii="Bookman Old Style" w:eastAsia="Times New Roman" w:hAnsi="Bookman Old Style" w:cs="Arial"/>
          <w:b/>
          <w:sz w:val="24"/>
          <w:szCs w:val="24"/>
          <w:lang w:eastAsia="es-CO"/>
        </w:rPr>
      </w:pPr>
    </w:p>
    <w:p w14:paraId="5BD887A4" w14:textId="18365025" w:rsidR="00DF170E" w:rsidRPr="000260BD" w:rsidRDefault="00234EB6" w:rsidP="00DF170E">
      <w:pPr>
        <w:spacing w:after="0" w:line="240" w:lineRule="auto"/>
        <w:jc w:val="both"/>
        <w:rPr>
          <w:rFonts w:ascii="Bookman Old Style" w:eastAsia="Times New Roman" w:hAnsi="Bookman Old Style" w:cs="Arial"/>
          <w:b/>
          <w:sz w:val="24"/>
          <w:szCs w:val="24"/>
          <w:lang w:eastAsia="es-CO"/>
        </w:rPr>
      </w:pPr>
      <w:r w:rsidRPr="000260BD">
        <w:rPr>
          <w:rFonts w:ascii="Bookman Old Style" w:eastAsia="Times New Roman" w:hAnsi="Bookman Old Style" w:cs="Arial"/>
          <w:b/>
          <w:sz w:val="24"/>
          <w:szCs w:val="24"/>
          <w:lang w:eastAsia="es-CO"/>
        </w:rPr>
        <w:t xml:space="preserve">   </w:t>
      </w:r>
      <w:r w:rsidR="00494AAD" w:rsidRPr="000260BD">
        <w:rPr>
          <w:rFonts w:ascii="Bookman Old Style" w:eastAsia="Times New Roman" w:hAnsi="Bookman Old Style" w:cs="Arial"/>
          <w:b/>
          <w:sz w:val="24"/>
          <w:szCs w:val="24"/>
          <w:lang w:eastAsia="es-CO"/>
        </w:rPr>
        <w:tab/>
      </w:r>
      <w:r w:rsidR="00494AAD" w:rsidRPr="000260BD">
        <w:rPr>
          <w:rFonts w:ascii="Bookman Old Style" w:eastAsia="Times New Roman" w:hAnsi="Bookman Old Style" w:cs="Arial"/>
          <w:b/>
          <w:sz w:val="24"/>
          <w:szCs w:val="24"/>
          <w:lang w:eastAsia="es-CO"/>
        </w:rPr>
        <w:tab/>
      </w:r>
      <w:r w:rsidR="00494AAD" w:rsidRPr="000260BD">
        <w:rPr>
          <w:rFonts w:ascii="Bookman Old Style" w:eastAsia="Times New Roman" w:hAnsi="Bookman Old Style" w:cs="Arial"/>
          <w:b/>
          <w:sz w:val="24"/>
          <w:szCs w:val="24"/>
          <w:lang w:eastAsia="es-CO"/>
        </w:rPr>
        <w:tab/>
        <w:t xml:space="preserve">   </w:t>
      </w:r>
      <w:r w:rsidR="00DF170E" w:rsidRPr="000260BD">
        <w:rPr>
          <w:rFonts w:ascii="Bookman Old Style" w:eastAsia="Times New Roman" w:hAnsi="Bookman Old Style" w:cs="Arial"/>
          <w:b/>
          <w:sz w:val="24"/>
          <w:szCs w:val="24"/>
          <w:lang w:eastAsia="es-CO"/>
        </w:rPr>
        <w:t>AMPARO Y. CALDERON PERDOMO</w:t>
      </w:r>
    </w:p>
    <w:p w14:paraId="588C3E94" w14:textId="1430627F" w:rsidR="00BF34E3" w:rsidRPr="000260BD" w:rsidRDefault="00234EB6" w:rsidP="00494AAD">
      <w:pPr>
        <w:tabs>
          <w:tab w:val="center" w:pos="4419"/>
        </w:tabs>
        <w:spacing w:after="0" w:line="240" w:lineRule="auto"/>
        <w:jc w:val="both"/>
        <w:rPr>
          <w:rFonts w:ascii="Bookman Old Style" w:eastAsia="Times New Roman" w:hAnsi="Bookman Old Style" w:cs="Arial"/>
          <w:sz w:val="24"/>
          <w:szCs w:val="24"/>
          <w:lang w:eastAsia="es-CO"/>
        </w:rPr>
      </w:pPr>
      <w:r w:rsidRPr="000260BD">
        <w:rPr>
          <w:rFonts w:ascii="Bookman Old Style" w:eastAsia="Times New Roman" w:hAnsi="Bookman Old Style" w:cs="Arial"/>
          <w:sz w:val="24"/>
          <w:szCs w:val="24"/>
          <w:lang w:eastAsia="es-CO"/>
        </w:rPr>
        <w:t xml:space="preserve">                                             </w:t>
      </w:r>
      <w:r w:rsidR="009501D7">
        <w:rPr>
          <w:rFonts w:ascii="Bookman Old Style" w:eastAsia="Times New Roman" w:hAnsi="Bookman Old Style" w:cs="Arial"/>
          <w:sz w:val="24"/>
          <w:szCs w:val="24"/>
          <w:lang w:eastAsia="es-CO"/>
        </w:rPr>
        <w:t xml:space="preserve">     </w:t>
      </w:r>
      <w:bookmarkStart w:id="0" w:name="_GoBack"/>
      <w:bookmarkEnd w:id="0"/>
      <w:r w:rsidR="00DF170E" w:rsidRPr="000260BD">
        <w:rPr>
          <w:rFonts w:ascii="Bookman Old Style" w:eastAsia="Times New Roman" w:hAnsi="Bookman Old Style" w:cs="Arial"/>
          <w:sz w:val="24"/>
          <w:szCs w:val="24"/>
          <w:lang w:eastAsia="es-CO"/>
        </w:rPr>
        <w:t>Secretaria</w:t>
      </w:r>
    </w:p>
    <w:sectPr w:rsidR="00BF34E3" w:rsidRPr="000260BD"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1047C" w14:textId="77777777" w:rsidR="00F45AD6" w:rsidRDefault="00F45AD6" w:rsidP="00F464B3">
      <w:pPr>
        <w:spacing w:after="0" w:line="240" w:lineRule="auto"/>
      </w:pPr>
      <w:r>
        <w:separator/>
      </w:r>
    </w:p>
  </w:endnote>
  <w:endnote w:type="continuationSeparator" w:id="0">
    <w:p w14:paraId="4B79BC3D" w14:textId="77777777" w:rsidR="00F45AD6" w:rsidRDefault="00F45AD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9501D7" w:rsidRPr="009501D7">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F61BC" w14:textId="77777777" w:rsidR="00F45AD6" w:rsidRDefault="00F45AD6" w:rsidP="00F464B3">
      <w:pPr>
        <w:spacing w:after="0" w:line="240" w:lineRule="auto"/>
      </w:pPr>
      <w:r>
        <w:separator/>
      </w:r>
    </w:p>
  </w:footnote>
  <w:footnote w:type="continuationSeparator" w:id="0">
    <w:p w14:paraId="2F6B90D4" w14:textId="77777777" w:rsidR="00F45AD6" w:rsidRDefault="00F45AD6"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5"/>
  </w:num>
  <w:num w:numId="2">
    <w:abstractNumId w:val="32"/>
  </w:num>
  <w:num w:numId="3">
    <w:abstractNumId w:val="34"/>
  </w:num>
  <w:num w:numId="4">
    <w:abstractNumId w:val="21"/>
  </w:num>
  <w:num w:numId="5">
    <w:abstractNumId w:val="29"/>
  </w:num>
  <w:num w:numId="6">
    <w:abstractNumId w:val="39"/>
  </w:num>
  <w:num w:numId="7">
    <w:abstractNumId w:val="54"/>
  </w:num>
  <w:num w:numId="8">
    <w:abstractNumId w:val="5"/>
  </w:num>
  <w:num w:numId="9">
    <w:abstractNumId w:val="8"/>
  </w:num>
  <w:num w:numId="10">
    <w:abstractNumId w:val="36"/>
  </w:num>
  <w:num w:numId="11">
    <w:abstractNumId w:val="41"/>
  </w:num>
  <w:num w:numId="12">
    <w:abstractNumId w:val="43"/>
  </w:num>
  <w:num w:numId="13">
    <w:abstractNumId w:val="40"/>
  </w:num>
  <w:num w:numId="14">
    <w:abstractNumId w:val="49"/>
  </w:num>
  <w:num w:numId="15">
    <w:abstractNumId w:val="37"/>
  </w:num>
  <w:num w:numId="16">
    <w:abstractNumId w:val="11"/>
  </w:num>
  <w:num w:numId="17">
    <w:abstractNumId w:val="7"/>
  </w:num>
  <w:num w:numId="18">
    <w:abstractNumId w:val="15"/>
  </w:num>
  <w:num w:numId="19">
    <w:abstractNumId w:val="16"/>
  </w:num>
  <w:num w:numId="20">
    <w:abstractNumId w:val="50"/>
  </w:num>
  <w:num w:numId="21">
    <w:abstractNumId w:val="26"/>
  </w:num>
  <w:num w:numId="22">
    <w:abstractNumId w:val="55"/>
  </w:num>
  <w:num w:numId="23">
    <w:abstractNumId w:val="20"/>
  </w:num>
  <w:num w:numId="24">
    <w:abstractNumId w:val="4"/>
  </w:num>
  <w:num w:numId="25">
    <w:abstractNumId w:val="2"/>
  </w:num>
  <w:num w:numId="26">
    <w:abstractNumId w:val="19"/>
  </w:num>
  <w:num w:numId="27">
    <w:abstractNumId w:val="46"/>
  </w:num>
  <w:num w:numId="28">
    <w:abstractNumId w:val="17"/>
  </w:num>
  <w:num w:numId="29">
    <w:abstractNumId w:val="57"/>
  </w:num>
  <w:num w:numId="30">
    <w:abstractNumId w:val="56"/>
  </w:num>
  <w:num w:numId="31">
    <w:abstractNumId w:val="27"/>
  </w:num>
  <w:num w:numId="32">
    <w:abstractNumId w:val="45"/>
  </w:num>
  <w:num w:numId="33">
    <w:abstractNumId w:val="12"/>
  </w:num>
  <w:num w:numId="34">
    <w:abstractNumId w:val="13"/>
  </w:num>
  <w:num w:numId="35">
    <w:abstractNumId w:val="47"/>
  </w:num>
  <w:num w:numId="36">
    <w:abstractNumId w:val="48"/>
  </w:num>
  <w:num w:numId="37">
    <w:abstractNumId w:val="58"/>
  </w:num>
  <w:num w:numId="38">
    <w:abstractNumId w:val="14"/>
  </w:num>
  <w:num w:numId="39">
    <w:abstractNumId w:val="23"/>
  </w:num>
  <w:num w:numId="40">
    <w:abstractNumId w:val="25"/>
  </w:num>
  <w:num w:numId="41">
    <w:abstractNumId w:val="30"/>
  </w:num>
  <w:num w:numId="42">
    <w:abstractNumId w:val="42"/>
  </w:num>
  <w:num w:numId="43">
    <w:abstractNumId w:val="33"/>
  </w:num>
  <w:num w:numId="44">
    <w:abstractNumId w:val="18"/>
  </w:num>
  <w:num w:numId="45">
    <w:abstractNumId w:val="24"/>
  </w:num>
  <w:num w:numId="46">
    <w:abstractNumId w:val="52"/>
  </w:num>
  <w:num w:numId="47">
    <w:abstractNumId w:val="10"/>
  </w:num>
  <w:num w:numId="48">
    <w:abstractNumId w:val="0"/>
  </w:num>
  <w:num w:numId="49">
    <w:abstractNumId w:val="3"/>
  </w:num>
  <w:num w:numId="50">
    <w:abstractNumId w:val="1"/>
  </w:num>
  <w:num w:numId="51">
    <w:abstractNumId w:val="9"/>
  </w:num>
  <w:num w:numId="52">
    <w:abstractNumId w:val="38"/>
  </w:num>
  <w:num w:numId="53">
    <w:abstractNumId w:val="6"/>
  </w:num>
  <w:num w:numId="54">
    <w:abstractNumId w:val="28"/>
  </w:num>
  <w:num w:numId="55">
    <w:abstractNumId w:val="44"/>
  </w:num>
  <w:num w:numId="56">
    <w:abstractNumId w:val="51"/>
  </w:num>
  <w:num w:numId="57">
    <w:abstractNumId w:val="31"/>
  </w:num>
  <w:num w:numId="58">
    <w:abstractNumId w:val="53"/>
  </w:num>
  <w:num w:numId="59">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60BD"/>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EEB"/>
    <w:rsid w:val="00234EB6"/>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0F69"/>
    <w:rsid w:val="00DE4AB3"/>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EF3E-0103-4A84-8CF2-6E325882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2022-05-17T13:48:00Z</cp:lastPrinted>
  <dcterms:created xsi:type="dcterms:W3CDTF">2022-08-31T20:11:00Z</dcterms:created>
  <dcterms:modified xsi:type="dcterms:W3CDTF">2022-09-01T19:39:00Z</dcterms:modified>
</cp:coreProperties>
</file>