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73" w:rsidRDefault="00987073">
      <w:pPr>
        <w:rPr>
          <w:rFonts w:ascii="Arial Narrow" w:eastAsia="Arial Narrow" w:hAnsi="Arial Narrow" w:cs="Arial Narrow"/>
          <w:sz w:val="24"/>
          <w:szCs w:val="24"/>
        </w:rPr>
      </w:pPr>
    </w:p>
    <w:p w:rsidR="00987073" w:rsidRDefault="00090880">
      <w:pPr>
        <w:rPr>
          <w:rFonts w:ascii="Arial Narrow" w:eastAsia="Arial Narrow" w:hAnsi="Arial Narrow" w:cs="Arial Narrow"/>
          <w:sz w:val="24"/>
          <w:szCs w:val="24"/>
        </w:rPr>
      </w:pPr>
      <w:bookmarkStart w:id="0" w:name="_GoBack"/>
      <w:r>
        <w:rPr>
          <w:rFonts w:ascii="Arial Narrow" w:eastAsia="Arial Narrow" w:hAnsi="Arial Narrow" w:cs="Arial Narrow"/>
          <w:sz w:val="24"/>
          <w:szCs w:val="24"/>
        </w:rPr>
        <w:t>Bogotá, 21 octubre de 2024</w:t>
      </w:r>
    </w:p>
    <w:p w:rsidR="00987073" w:rsidRDefault="00987073">
      <w:pPr>
        <w:rPr>
          <w:rFonts w:ascii="Arial Narrow" w:eastAsia="Arial Narrow" w:hAnsi="Arial Narrow" w:cs="Arial Narrow"/>
          <w:sz w:val="24"/>
          <w:szCs w:val="24"/>
        </w:rPr>
      </w:pPr>
    </w:p>
    <w:p w:rsidR="00987073" w:rsidRDefault="00090880">
      <w:pPr>
        <w:rPr>
          <w:rFonts w:ascii="Arial Narrow" w:eastAsia="Arial Narrow" w:hAnsi="Arial Narrow" w:cs="Arial Narrow"/>
          <w:sz w:val="24"/>
          <w:szCs w:val="24"/>
        </w:rPr>
      </w:pPr>
      <w:r>
        <w:rPr>
          <w:rFonts w:ascii="Arial Narrow" w:eastAsia="Arial Narrow" w:hAnsi="Arial Narrow" w:cs="Arial Narrow"/>
          <w:sz w:val="24"/>
          <w:szCs w:val="24"/>
        </w:rPr>
        <w:t>Doctora</w:t>
      </w:r>
    </w:p>
    <w:p w:rsidR="00987073" w:rsidRDefault="00090880">
      <w:pPr>
        <w:rPr>
          <w:rFonts w:ascii="Arial Narrow" w:eastAsia="Arial Narrow" w:hAnsi="Arial Narrow" w:cs="Arial Narrow"/>
          <w:b/>
          <w:sz w:val="24"/>
          <w:szCs w:val="24"/>
        </w:rPr>
      </w:pPr>
      <w:r>
        <w:rPr>
          <w:rFonts w:ascii="Arial Narrow" w:eastAsia="Arial Narrow" w:hAnsi="Arial Narrow" w:cs="Arial Narrow"/>
          <w:b/>
          <w:sz w:val="24"/>
          <w:szCs w:val="24"/>
        </w:rPr>
        <w:t>ANA PAOLA GARCÍA SOTO.</w:t>
      </w:r>
    </w:p>
    <w:p w:rsidR="00987073" w:rsidRDefault="00090880">
      <w:pPr>
        <w:rPr>
          <w:rFonts w:ascii="Arial Narrow" w:eastAsia="Arial Narrow" w:hAnsi="Arial Narrow" w:cs="Arial Narrow"/>
          <w:sz w:val="24"/>
          <w:szCs w:val="24"/>
        </w:rPr>
      </w:pPr>
      <w:r>
        <w:rPr>
          <w:rFonts w:ascii="Arial Narrow" w:eastAsia="Arial Narrow" w:hAnsi="Arial Narrow" w:cs="Arial Narrow"/>
          <w:sz w:val="24"/>
          <w:szCs w:val="24"/>
        </w:rPr>
        <w:t>Presidenta</w:t>
      </w:r>
    </w:p>
    <w:p w:rsidR="00987073" w:rsidRDefault="00090880">
      <w:pPr>
        <w:rPr>
          <w:rFonts w:ascii="Arial Narrow" w:eastAsia="Arial Narrow" w:hAnsi="Arial Narrow" w:cs="Arial Narrow"/>
          <w:sz w:val="24"/>
          <w:szCs w:val="24"/>
        </w:rPr>
      </w:pPr>
      <w:r>
        <w:rPr>
          <w:rFonts w:ascii="Arial Narrow" w:eastAsia="Arial Narrow" w:hAnsi="Arial Narrow" w:cs="Arial Narrow"/>
          <w:sz w:val="24"/>
          <w:szCs w:val="24"/>
        </w:rPr>
        <w:t>Comisión Primera Constitucional</w:t>
      </w:r>
    </w:p>
    <w:p w:rsidR="00987073" w:rsidRDefault="00090880">
      <w:pPr>
        <w:rPr>
          <w:rFonts w:ascii="Arial Narrow" w:eastAsia="Arial Narrow" w:hAnsi="Arial Narrow" w:cs="Arial Narrow"/>
          <w:sz w:val="24"/>
          <w:szCs w:val="24"/>
        </w:rPr>
      </w:pPr>
      <w:r>
        <w:rPr>
          <w:rFonts w:ascii="Arial Narrow" w:eastAsia="Arial Narrow" w:hAnsi="Arial Narrow" w:cs="Arial Narrow"/>
          <w:sz w:val="24"/>
          <w:szCs w:val="24"/>
        </w:rPr>
        <w:t>Cámara de Representantes</w:t>
      </w:r>
    </w:p>
    <w:p w:rsidR="00987073" w:rsidRDefault="00090880">
      <w:pPr>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987073" w:rsidRDefault="00090880">
      <w:pPr>
        <w:jc w:val="both"/>
        <w:rPr>
          <w:rFonts w:ascii="Arial Narrow" w:eastAsia="Arial Narrow" w:hAnsi="Arial Narrow" w:cs="Arial Narrow"/>
          <w:sz w:val="24"/>
          <w:szCs w:val="24"/>
        </w:rPr>
      </w:pPr>
      <w:r>
        <w:rPr>
          <w:rFonts w:ascii="Arial Narrow" w:eastAsia="Arial Narrow" w:hAnsi="Arial Narrow" w:cs="Arial Narrow"/>
          <w:b/>
          <w:sz w:val="24"/>
          <w:szCs w:val="24"/>
        </w:rPr>
        <w:t>Asunto</w:t>
      </w:r>
      <w:r>
        <w:rPr>
          <w:rFonts w:ascii="Arial Narrow" w:eastAsia="Arial Narrow" w:hAnsi="Arial Narrow" w:cs="Arial Narrow"/>
          <w:sz w:val="24"/>
          <w:szCs w:val="24"/>
        </w:rPr>
        <w:t>: Informe de ponencia NEGATIVA para primer debate del Proyecto de Ley No. 266 de 2024 Cámara “Por medio de la cual se crea el Reporte Público de Secuestrados y se dictan otras disposiciones.”</w:t>
      </w:r>
    </w:p>
    <w:p w:rsidR="00987073" w:rsidRDefault="00987073">
      <w:pPr>
        <w:jc w:val="both"/>
        <w:rPr>
          <w:rFonts w:ascii="Arial Narrow" w:eastAsia="Arial Narrow" w:hAnsi="Arial Narrow" w:cs="Arial Narrow"/>
          <w:sz w:val="24"/>
          <w:szCs w:val="24"/>
        </w:rPr>
      </w:pPr>
    </w:p>
    <w:p w:rsidR="00987073" w:rsidRDefault="00090880">
      <w:pPr>
        <w:jc w:val="both"/>
        <w:rPr>
          <w:rFonts w:ascii="Arial Narrow" w:eastAsia="Arial Narrow" w:hAnsi="Arial Narrow" w:cs="Arial Narrow"/>
          <w:b/>
          <w:sz w:val="24"/>
          <w:szCs w:val="24"/>
        </w:rPr>
      </w:pPr>
      <w:r>
        <w:rPr>
          <w:rFonts w:ascii="Arial Narrow" w:eastAsia="Arial Narrow" w:hAnsi="Arial Narrow" w:cs="Arial Narrow"/>
          <w:b/>
          <w:sz w:val="24"/>
          <w:szCs w:val="24"/>
        </w:rPr>
        <w:t>Honorable Representante:</w:t>
      </w:r>
    </w:p>
    <w:p w:rsidR="00987073" w:rsidRDefault="00987073">
      <w:pPr>
        <w:jc w:val="both"/>
        <w:rPr>
          <w:rFonts w:ascii="Arial Narrow" w:eastAsia="Arial Narrow" w:hAnsi="Arial Narrow" w:cs="Arial Narrow"/>
          <w:sz w:val="24"/>
          <w:szCs w:val="24"/>
        </w:rPr>
      </w:pPr>
    </w:p>
    <w:p w:rsidR="00987073" w:rsidRDefault="00090880">
      <w:pPr>
        <w:jc w:val="both"/>
        <w:rPr>
          <w:rFonts w:ascii="Arial Narrow" w:eastAsia="Arial Narrow" w:hAnsi="Arial Narrow" w:cs="Arial Narrow"/>
          <w:sz w:val="24"/>
          <w:szCs w:val="24"/>
        </w:rPr>
      </w:pPr>
      <w:r>
        <w:rPr>
          <w:rFonts w:ascii="Arial Narrow" w:eastAsia="Arial Narrow" w:hAnsi="Arial Narrow" w:cs="Arial Narrow"/>
          <w:sz w:val="24"/>
          <w:szCs w:val="24"/>
        </w:rPr>
        <w:t>De conformidad con el encargo conferi</w:t>
      </w:r>
      <w:r>
        <w:rPr>
          <w:rFonts w:ascii="Arial Narrow" w:eastAsia="Arial Narrow" w:hAnsi="Arial Narrow" w:cs="Arial Narrow"/>
          <w:sz w:val="24"/>
          <w:szCs w:val="24"/>
        </w:rPr>
        <w:t>do por la Honorable Mesa Directiva de la Comisión Primera Constitucional de la Cámara de Representantes del Congreso de la República y en consonancia con lo prescrito en el artículo 156 de la Ley 5 de 1992, nos permitimos presentar informe de Ponencia para</w:t>
      </w:r>
      <w:r>
        <w:rPr>
          <w:rFonts w:ascii="Arial Narrow" w:eastAsia="Arial Narrow" w:hAnsi="Arial Narrow" w:cs="Arial Narrow"/>
          <w:sz w:val="24"/>
          <w:szCs w:val="24"/>
        </w:rPr>
        <w:t xml:space="preserve"> primer debate del Proyecto de Ley No. 266 de 2024 Cámara “Por medio de la cual se crea el Reporte Público de Secuestrados y se dictan otras disposiciones.” con base en las siguientes consideraciones: </w:t>
      </w:r>
    </w:p>
    <w:p w:rsidR="00987073" w:rsidRDefault="00987073">
      <w:pPr>
        <w:jc w:val="both"/>
        <w:rPr>
          <w:rFonts w:ascii="Arial Narrow" w:eastAsia="Arial Narrow" w:hAnsi="Arial Narrow" w:cs="Arial Narrow"/>
          <w:sz w:val="24"/>
          <w:szCs w:val="24"/>
        </w:rPr>
      </w:pPr>
    </w:p>
    <w:p w:rsidR="00987073" w:rsidRDefault="00987073">
      <w:pPr>
        <w:jc w:val="both"/>
        <w:rPr>
          <w:rFonts w:ascii="Arial Narrow" w:eastAsia="Arial Narrow" w:hAnsi="Arial Narrow" w:cs="Arial Narrow"/>
          <w:sz w:val="24"/>
          <w:szCs w:val="24"/>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87073">
        <w:tc>
          <w:tcPr>
            <w:tcW w:w="4514" w:type="dxa"/>
            <w:shd w:val="clear" w:color="auto" w:fill="auto"/>
            <w:tcMar>
              <w:top w:w="100" w:type="dxa"/>
              <w:left w:w="100" w:type="dxa"/>
              <w:bottom w:w="100" w:type="dxa"/>
              <w:right w:w="100" w:type="dxa"/>
            </w:tcMar>
          </w:tcPr>
          <w:p w:rsidR="00987073" w:rsidRDefault="00090880">
            <w:pPr>
              <w:widowControl w:val="0"/>
              <w:pBdr>
                <w:top w:val="nil"/>
                <w:left w:val="nil"/>
                <w:bottom w:val="nil"/>
                <w:right w:val="nil"/>
                <w:between w:val="nil"/>
              </w:pBdr>
              <w:rPr>
                <w:rFonts w:ascii="Arial Narrow" w:eastAsia="Arial Narrow" w:hAnsi="Arial Narrow" w:cs="Arial Narrow"/>
                <w:b/>
                <w:sz w:val="24"/>
                <w:szCs w:val="24"/>
              </w:rPr>
            </w:pPr>
            <w:r>
              <w:rPr>
                <w:rFonts w:ascii="Arial Narrow" w:eastAsia="Arial Narrow" w:hAnsi="Arial Narrow" w:cs="Arial Narrow"/>
                <w:b/>
                <w:sz w:val="24"/>
                <w:szCs w:val="24"/>
              </w:rPr>
              <w:t xml:space="preserve">Número de Proyecto de Ley </w:t>
            </w:r>
          </w:p>
        </w:tc>
        <w:tc>
          <w:tcPr>
            <w:tcW w:w="4514" w:type="dxa"/>
            <w:shd w:val="clear" w:color="auto" w:fill="auto"/>
            <w:tcMar>
              <w:top w:w="100" w:type="dxa"/>
              <w:left w:w="100" w:type="dxa"/>
              <w:bottom w:w="100" w:type="dxa"/>
              <w:right w:w="100" w:type="dxa"/>
            </w:tcMar>
          </w:tcPr>
          <w:p w:rsidR="00987073" w:rsidRDefault="00090880">
            <w:pPr>
              <w:widowControl w:val="0"/>
              <w:pBdr>
                <w:top w:val="nil"/>
                <w:left w:val="nil"/>
                <w:bottom w:val="nil"/>
                <w:right w:val="nil"/>
                <w:between w:val="nil"/>
              </w:pBdr>
              <w:jc w:val="center"/>
              <w:rPr>
                <w:rFonts w:ascii="Arial Narrow" w:eastAsia="Arial Narrow" w:hAnsi="Arial Narrow" w:cs="Arial Narrow"/>
                <w:b/>
                <w:sz w:val="24"/>
                <w:szCs w:val="24"/>
              </w:rPr>
            </w:pPr>
            <w:r>
              <w:rPr>
                <w:rFonts w:ascii="Arial Narrow" w:eastAsia="Arial Narrow" w:hAnsi="Arial Narrow" w:cs="Arial Narrow"/>
                <w:b/>
                <w:sz w:val="24"/>
                <w:szCs w:val="24"/>
              </w:rPr>
              <w:t>266 de 2024 Cámara</w:t>
            </w:r>
          </w:p>
        </w:tc>
      </w:tr>
      <w:tr w:rsidR="00987073">
        <w:tc>
          <w:tcPr>
            <w:tcW w:w="4514" w:type="dxa"/>
            <w:shd w:val="clear" w:color="auto" w:fill="auto"/>
            <w:tcMar>
              <w:top w:w="100" w:type="dxa"/>
              <w:left w:w="100" w:type="dxa"/>
              <w:bottom w:w="100" w:type="dxa"/>
              <w:right w:w="100" w:type="dxa"/>
            </w:tcMar>
          </w:tcPr>
          <w:p w:rsidR="00987073" w:rsidRDefault="00090880">
            <w:pPr>
              <w:widowControl w:val="0"/>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Título</w:t>
            </w:r>
          </w:p>
        </w:tc>
        <w:tc>
          <w:tcPr>
            <w:tcW w:w="4514" w:type="dxa"/>
            <w:shd w:val="clear" w:color="auto" w:fill="auto"/>
            <w:tcMar>
              <w:top w:w="100" w:type="dxa"/>
              <w:left w:w="100" w:type="dxa"/>
              <w:bottom w:w="100" w:type="dxa"/>
              <w:right w:w="100" w:type="dxa"/>
            </w:tcMar>
          </w:tcPr>
          <w:p w:rsidR="00987073" w:rsidRDefault="00090880">
            <w:pPr>
              <w:jc w:val="both"/>
              <w:rPr>
                <w:rFonts w:ascii="Arial Narrow" w:eastAsia="Arial Narrow" w:hAnsi="Arial Narrow" w:cs="Arial Narrow"/>
                <w:i/>
                <w:sz w:val="24"/>
                <w:szCs w:val="24"/>
              </w:rPr>
            </w:pPr>
            <w:r>
              <w:rPr>
                <w:rFonts w:ascii="Arial Narrow" w:eastAsia="Arial Narrow" w:hAnsi="Arial Narrow" w:cs="Arial Narrow"/>
                <w:i/>
                <w:sz w:val="24"/>
                <w:szCs w:val="24"/>
              </w:rPr>
              <w:t>Por medio de la cual se crea el Reporte Público de Secuestrados y se dictan otras disposiciones</w:t>
            </w:r>
          </w:p>
        </w:tc>
      </w:tr>
      <w:tr w:rsidR="00987073">
        <w:tc>
          <w:tcPr>
            <w:tcW w:w="4514" w:type="dxa"/>
            <w:shd w:val="clear" w:color="auto" w:fill="auto"/>
            <w:tcMar>
              <w:top w:w="100" w:type="dxa"/>
              <w:left w:w="100" w:type="dxa"/>
              <w:bottom w:w="100" w:type="dxa"/>
              <w:right w:w="100" w:type="dxa"/>
            </w:tcMar>
          </w:tcPr>
          <w:p w:rsidR="00987073" w:rsidRDefault="00090880">
            <w:pPr>
              <w:widowControl w:val="0"/>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Autores</w:t>
            </w:r>
          </w:p>
        </w:tc>
        <w:tc>
          <w:tcPr>
            <w:tcW w:w="4514" w:type="dxa"/>
            <w:shd w:val="clear" w:color="auto" w:fill="auto"/>
            <w:tcMar>
              <w:top w:w="100" w:type="dxa"/>
              <w:left w:w="100" w:type="dxa"/>
              <w:bottom w:w="100" w:type="dxa"/>
              <w:right w:w="100" w:type="dxa"/>
            </w:tcMar>
          </w:tcPr>
          <w:p w:rsidR="00987073" w:rsidRDefault="00090880">
            <w:pPr>
              <w:widowControl w:val="0"/>
              <w:pBdr>
                <w:top w:val="nil"/>
                <w:left w:val="nil"/>
                <w:bottom w:val="nil"/>
                <w:right w:val="nil"/>
                <w:between w:val="nil"/>
              </w:pBdr>
              <w:jc w:val="both"/>
              <w:rPr>
                <w:rFonts w:ascii="Arial Narrow" w:eastAsia="Arial Narrow" w:hAnsi="Arial Narrow" w:cs="Arial Narrow"/>
                <w:sz w:val="24"/>
                <w:szCs w:val="24"/>
              </w:rPr>
            </w:pPr>
            <w:proofErr w:type="spellStart"/>
            <w:r>
              <w:rPr>
                <w:rFonts w:ascii="Arial Narrow" w:eastAsia="Arial Narrow" w:hAnsi="Arial Narrow" w:cs="Arial Narrow"/>
                <w:sz w:val="24"/>
                <w:szCs w:val="24"/>
              </w:rPr>
              <w:t>H.R.</w:t>
            </w:r>
            <w:hyperlink r:id="rId7">
              <w:r>
                <w:rPr>
                  <w:rFonts w:ascii="Arial Narrow" w:eastAsia="Arial Narrow" w:hAnsi="Arial Narrow" w:cs="Arial Narrow"/>
                  <w:sz w:val="24"/>
                  <w:szCs w:val="24"/>
                </w:rPr>
                <w:t>José</w:t>
              </w:r>
              <w:proofErr w:type="spellEnd"/>
              <w:r>
                <w:rPr>
                  <w:rFonts w:ascii="Arial Narrow" w:eastAsia="Arial Narrow" w:hAnsi="Arial Narrow" w:cs="Arial Narrow"/>
                  <w:sz w:val="24"/>
                  <w:szCs w:val="24"/>
                </w:rPr>
                <w:t xml:space="preserve"> Jaime </w:t>
              </w:r>
              <w:proofErr w:type="spellStart"/>
              <w:r>
                <w:rPr>
                  <w:rFonts w:ascii="Arial Narrow" w:eastAsia="Arial Narrow" w:hAnsi="Arial Narrow" w:cs="Arial Narrow"/>
                  <w:sz w:val="24"/>
                  <w:szCs w:val="24"/>
                </w:rPr>
                <w:t>Uscátegui</w:t>
              </w:r>
              <w:proofErr w:type="spellEnd"/>
              <w:r>
                <w:rPr>
                  <w:rFonts w:ascii="Arial Narrow" w:eastAsia="Arial Narrow" w:hAnsi="Arial Narrow" w:cs="Arial Narrow"/>
                  <w:sz w:val="24"/>
                  <w:szCs w:val="24"/>
                </w:rPr>
                <w:t xml:space="preserve"> Pastrana</w:t>
              </w:r>
            </w:hyperlink>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H.R.</w:t>
            </w:r>
            <w:hyperlink r:id="rId8">
              <w:r>
                <w:rPr>
                  <w:rFonts w:ascii="Arial Narrow" w:eastAsia="Arial Narrow" w:hAnsi="Arial Narrow" w:cs="Arial Narrow"/>
                  <w:sz w:val="24"/>
                  <w:szCs w:val="24"/>
                </w:rPr>
                <w:t>Carlos</w:t>
              </w:r>
              <w:proofErr w:type="spellEnd"/>
              <w:r>
                <w:rPr>
                  <w:rFonts w:ascii="Arial Narrow" w:eastAsia="Arial Narrow" w:hAnsi="Arial Narrow" w:cs="Arial Narrow"/>
                  <w:sz w:val="24"/>
                  <w:szCs w:val="24"/>
                </w:rPr>
                <w:t xml:space="preserve"> Edward Osorio Aguiar</w:t>
              </w:r>
            </w:hyperlink>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H.R.</w:t>
            </w:r>
            <w:hyperlink r:id="rId9">
              <w:r>
                <w:rPr>
                  <w:rFonts w:ascii="Arial Narrow" w:eastAsia="Arial Narrow" w:hAnsi="Arial Narrow" w:cs="Arial Narrow"/>
                  <w:sz w:val="24"/>
                  <w:szCs w:val="24"/>
                </w:rPr>
                <w:t>Álvaro</w:t>
              </w:r>
              <w:proofErr w:type="spellEnd"/>
              <w:r>
                <w:rPr>
                  <w:rFonts w:ascii="Arial Narrow" w:eastAsia="Arial Narrow" w:hAnsi="Arial Narrow" w:cs="Arial Narrow"/>
                  <w:sz w:val="24"/>
                  <w:szCs w:val="24"/>
                </w:rPr>
                <w:t xml:space="preserve"> Leonel Rueda caballero</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10">
              <w:r>
                <w:rPr>
                  <w:rFonts w:ascii="Arial Narrow" w:eastAsia="Arial Narrow" w:hAnsi="Arial Narrow" w:cs="Arial Narrow"/>
                  <w:sz w:val="24"/>
                  <w:szCs w:val="24"/>
                </w:rPr>
                <w:t>Hugo</w:t>
              </w:r>
              <w:proofErr w:type="spellEnd"/>
              <w:r>
                <w:rPr>
                  <w:rFonts w:ascii="Arial Narrow" w:eastAsia="Arial Narrow" w:hAnsi="Arial Narrow" w:cs="Arial Narrow"/>
                  <w:sz w:val="24"/>
                  <w:szCs w:val="24"/>
                </w:rPr>
                <w:t xml:space="preserve"> Danilo Lozano Pimiento</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11">
              <w:r>
                <w:rPr>
                  <w:rFonts w:ascii="Arial Narrow" w:eastAsia="Arial Narrow" w:hAnsi="Arial Narrow" w:cs="Arial Narrow"/>
                  <w:sz w:val="24"/>
                  <w:szCs w:val="24"/>
                </w:rPr>
                <w:t>Miguel</w:t>
              </w:r>
              <w:proofErr w:type="spellEnd"/>
              <w:r>
                <w:rPr>
                  <w:rFonts w:ascii="Arial Narrow" w:eastAsia="Arial Narrow" w:hAnsi="Arial Narrow" w:cs="Arial Narrow"/>
                  <w:sz w:val="24"/>
                  <w:szCs w:val="24"/>
                </w:rPr>
                <w:t xml:space="preserve"> Abraham Polo </w:t>
              </w:r>
              <w:proofErr w:type="spellStart"/>
              <w:r>
                <w:rPr>
                  <w:rFonts w:ascii="Arial Narrow" w:eastAsia="Arial Narrow" w:hAnsi="Arial Narrow" w:cs="Arial Narrow"/>
                  <w:sz w:val="24"/>
                  <w:szCs w:val="24"/>
                </w:rPr>
                <w:t>Polo</w:t>
              </w:r>
              <w:proofErr w:type="spellEnd"/>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12">
              <w:r>
                <w:rPr>
                  <w:rFonts w:ascii="Arial Narrow" w:eastAsia="Arial Narrow" w:hAnsi="Arial Narrow" w:cs="Arial Narrow"/>
                  <w:sz w:val="24"/>
                  <w:szCs w:val="24"/>
                </w:rPr>
                <w:t>Yulieth</w:t>
              </w:r>
              <w:proofErr w:type="spellEnd"/>
              <w:r>
                <w:rPr>
                  <w:rFonts w:ascii="Arial Narrow" w:eastAsia="Arial Narrow" w:hAnsi="Arial Narrow" w:cs="Arial Narrow"/>
                  <w:sz w:val="24"/>
                  <w:szCs w:val="24"/>
                </w:rPr>
                <w:t xml:space="preserve"> Andrea Sánchez Carreño</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13">
              <w:r>
                <w:rPr>
                  <w:rFonts w:ascii="Arial Narrow" w:eastAsia="Arial Narrow" w:hAnsi="Arial Narrow" w:cs="Arial Narrow"/>
                  <w:sz w:val="24"/>
                  <w:szCs w:val="24"/>
                </w:rPr>
                <w:t>Eduard</w:t>
              </w:r>
              <w:proofErr w:type="spellEnd"/>
              <w:r>
                <w:rPr>
                  <w:rFonts w:ascii="Arial Narrow" w:eastAsia="Arial Narrow" w:hAnsi="Arial Narrow" w:cs="Arial Narrow"/>
                  <w:sz w:val="24"/>
                  <w:szCs w:val="24"/>
                </w:rPr>
                <w:t xml:space="preserve"> Alexis Triana Rincón</w:t>
              </w:r>
            </w:hyperlink>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H.R.</w:t>
            </w:r>
            <w:hyperlink r:id="rId14">
              <w:r>
                <w:rPr>
                  <w:rFonts w:ascii="Arial Narrow" w:eastAsia="Arial Narrow" w:hAnsi="Arial Narrow" w:cs="Arial Narrow"/>
                  <w:sz w:val="24"/>
                  <w:szCs w:val="24"/>
                </w:rPr>
                <w:t>Germán</w:t>
              </w:r>
              <w:proofErr w:type="spellEnd"/>
              <w:r>
                <w:rPr>
                  <w:rFonts w:ascii="Arial Narrow" w:eastAsia="Arial Narrow" w:hAnsi="Arial Narrow" w:cs="Arial Narrow"/>
                  <w:sz w:val="24"/>
                  <w:szCs w:val="24"/>
                </w:rPr>
                <w:t xml:space="preserve"> Rogelio Rozo Anís</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15">
              <w:r>
                <w:rPr>
                  <w:rFonts w:ascii="Arial Narrow" w:eastAsia="Arial Narrow" w:hAnsi="Arial Narrow" w:cs="Arial Narrow"/>
                  <w:sz w:val="24"/>
                  <w:szCs w:val="24"/>
                </w:rPr>
                <w:t>Erika</w:t>
              </w:r>
              <w:proofErr w:type="spellEnd"/>
              <w:r>
                <w:rPr>
                  <w:rFonts w:ascii="Arial Narrow" w:eastAsia="Arial Narrow" w:hAnsi="Arial Narrow" w:cs="Arial Narrow"/>
                  <w:sz w:val="24"/>
                  <w:szCs w:val="24"/>
                </w:rPr>
                <w:t xml:space="preserve"> Tatiana Sánchez Pinto</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16">
              <w:r>
                <w:rPr>
                  <w:rFonts w:ascii="Arial Narrow" w:eastAsia="Arial Narrow" w:hAnsi="Arial Narrow" w:cs="Arial Narrow"/>
                  <w:sz w:val="24"/>
                  <w:szCs w:val="24"/>
                </w:rPr>
                <w:t>Delcy</w:t>
              </w:r>
              <w:proofErr w:type="spellEnd"/>
              <w:r>
                <w:rPr>
                  <w:rFonts w:ascii="Arial Narrow" w:eastAsia="Arial Narrow" w:hAnsi="Arial Narrow" w:cs="Arial Narrow"/>
                  <w:sz w:val="24"/>
                  <w:szCs w:val="24"/>
                </w:rPr>
                <w:t xml:space="preserve"> Esperanza Isaza Buenaventura</w:t>
              </w:r>
            </w:hyperlink>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H.R.</w:t>
            </w:r>
            <w:hyperlink r:id="rId17">
              <w:r>
                <w:rPr>
                  <w:rFonts w:ascii="Arial Narrow" w:eastAsia="Arial Narrow" w:hAnsi="Arial Narrow" w:cs="Arial Narrow"/>
                  <w:sz w:val="24"/>
                  <w:szCs w:val="24"/>
                </w:rPr>
                <w:t>Cristian</w:t>
              </w:r>
              <w:proofErr w:type="spellEnd"/>
              <w:r>
                <w:rPr>
                  <w:rFonts w:ascii="Arial Narrow" w:eastAsia="Arial Narrow" w:hAnsi="Arial Narrow" w:cs="Arial Narrow"/>
                  <w:sz w:val="24"/>
                  <w:szCs w:val="24"/>
                </w:rPr>
                <w:t xml:space="preserve"> Danilo Avendaño Fino</w:t>
              </w:r>
            </w:hyperlink>
          </w:p>
        </w:tc>
      </w:tr>
      <w:tr w:rsidR="00987073">
        <w:tc>
          <w:tcPr>
            <w:tcW w:w="4514" w:type="dxa"/>
            <w:shd w:val="clear" w:color="auto" w:fill="auto"/>
            <w:tcMar>
              <w:top w:w="100" w:type="dxa"/>
              <w:left w:w="100" w:type="dxa"/>
              <w:bottom w:w="100" w:type="dxa"/>
              <w:right w:w="100" w:type="dxa"/>
            </w:tcMar>
          </w:tcPr>
          <w:p w:rsidR="00987073" w:rsidRDefault="00090880">
            <w:pPr>
              <w:widowControl w:val="0"/>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Ponentes</w:t>
            </w:r>
          </w:p>
        </w:tc>
        <w:tc>
          <w:tcPr>
            <w:tcW w:w="4514" w:type="dxa"/>
            <w:shd w:val="clear" w:color="auto" w:fill="auto"/>
            <w:tcMar>
              <w:top w:w="100" w:type="dxa"/>
              <w:left w:w="100" w:type="dxa"/>
              <w:bottom w:w="100" w:type="dxa"/>
              <w:right w:w="100" w:type="dxa"/>
            </w:tcMar>
          </w:tcPr>
          <w:p w:rsidR="00987073" w:rsidRDefault="00090880">
            <w:pPr>
              <w:widowControl w:val="0"/>
              <w:shd w:val="clear" w:color="auto" w:fill="FFFFFF"/>
              <w:rPr>
                <w:rFonts w:ascii="Arial Narrow" w:eastAsia="Arial Narrow" w:hAnsi="Arial Narrow" w:cs="Arial Narrow"/>
                <w:sz w:val="24"/>
                <w:szCs w:val="24"/>
              </w:rPr>
            </w:pPr>
            <w:r>
              <w:rPr>
                <w:rFonts w:ascii="Arial Narrow" w:eastAsia="Arial Narrow" w:hAnsi="Arial Narrow" w:cs="Arial Narrow"/>
                <w:sz w:val="24"/>
                <w:szCs w:val="24"/>
              </w:rPr>
              <w:t xml:space="preserve">H.R. </w:t>
            </w:r>
            <w:hyperlink r:id="rId18">
              <w:r>
                <w:rPr>
                  <w:rFonts w:ascii="Arial Narrow" w:eastAsia="Arial Narrow" w:hAnsi="Arial Narrow" w:cs="Arial Narrow"/>
                  <w:sz w:val="24"/>
                  <w:szCs w:val="24"/>
                </w:rPr>
                <w:t xml:space="preserve">José Jaime </w:t>
              </w:r>
              <w:proofErr w:type="spellStart"/>
              <w:r>
                <w:rPr>
                  <w:rFonts w:ascii="Arial Narrow" w:eastAsia="Arial Narrow" w:hAnsi="Arial Narrow" w:cs="Arial Narrow"/>
                  <w:sz w:val="24"/>
                  <w:szCs w:val="24"/>
                </w:rPr>
                <w:t>Uscátegui</w:t>
              </w:r>
              <w:proofErr w:type="spellEnd"/>
              <w:r>
                <w:rPr>
                  <w:rFonts w:ascii="Arial Narrow" w:eastAsia="Arial Narrow" w:hAnsi="Arial Narrow" w:cs="Arial Narrow"/>
                  <w:sz w:val="24"/>
                  <w:szCs w:val="24"/>
                </w:rPr>
                <w:t xml:space="preserve"> Pastrana</w:t>
              </w:r>
            </w:hyperlink>
            <w:r>
              <w:rPr>
                <w:rFonts w:ascii="Arial Narrow" w:eastAsia="Arial Narrow" w:hAnsi="Arial Narrow" w:cs="Arial Narrow"/>
                <w:sz w:val="24"/>
                <w:szCs w:val="24"/>
              </w:rPr>
              <w:t xml:space="preserve">-C,H.R. </w:t>
            </w:r>
            <w:hyperlink r:id="rId19">
              <w:r>
                <w:rPr>
                  <w:rFonts w:ascii="Arial Narrow" w:eastAsia="Arial Narrow" w:hAnsi="Arial Narrow" w:cs="Arial Narrow"/>
                  <w:sz w:val="24"/>
                  <w:szCs w:val="24"/>
                </w:rPr>
                <w:t xml:space="preserve">Ruth Amelia </w:t>
              </w:r>
              <w:proofErr w:type="spellStart"/>
              <w:r>
                <w:rPr>
                  <w:rFonts w:ascii="Arial Narrow" w:eastAsia="Arial Narrow" w:hAnsi="Arial Narrow" w:cs="Arial Narrow"/>
                  <w:sz w:val="24"/>
                  <w:szCs w:val="24"/>
                </w:rPr>
                <w:t>Caycedo</w:t>
              </w:r>
              <w:proofErr w:type="spellEnd"/>
              <w:r>
                <w:rPr>
                  <w:rFonts w:ascii="Arial Narrow" w:eastAsia="Arial Narrow" w:hAnsi="Arial Narrow" w:cs="Arial Narrow"/>
                  <w:sz w:val="24"/>
                  <w:szCs w:val="24"/>
                </w:rPr>
                <w:t xml:space="preserve"> Rosero</w:t>
              </w:r>
            </w:hyperlink>
            <w:r>
              <w:rPr>
                <w:rFonts w:ascii="Arial Narrow" w:eastAsia="Arial Narrow" w:hAnsi="Arial Narrow" w:cs="Arial Narrow"/>
                <w:sz w:val="24"/>
                <w:szCs w:val="24"/>
              </w:rPr>
              <w:t xml:space="preserve">-C. PONENTES:H.R. </w:t>
            </w:r>
            <w:hyperlink r:id="rId20">
              <w:r>
                <w:rPr>
                  <w:rFonts w:ascii="Arial Narrow" w:eastAsia="Arial Narrow" w:hAnsi="Arial Narrow" w:cs="Arial Narrow"/>
                  <w:sz w:val="24"/>
                  <w:szCs w:val="24"/>
                </w:rPr>
                <w:t xml:space="preserve">Pedro José </w:t>
              </w:r>
              <w:proofErr w:type="spellStart"/>
              <w:r>
                <w:rPr>
                  <w:rFonts w:ascii="Arial Narrow" w:eastAsia="Arial Narrow" w:hAnsi="Arial Narrow" w:cs="Arial Narrow"/>
                  <w:sz w:val="24"/>
                  <w:szCs w:val="24"/>
                </w:rPr>
                <w:t>Súarez</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Vacca</w:t>
              </w:r>
            </w:hyperlink>
            <w:r>
              <w:rPr>
                <w:rFonts w:ascii="Arial Narrow" w:eastAsia="Arial Narrow" w:hAnsi="Arial Narrow" w:cs="Arial Narrow"/>
                <w:sz w:val="24"/>
                <w:szCs w:val="24"/>
              </w:rPr>
              <w:t>,H.R</w:t>
            </w:r>
            <w:proofErr w:type="spellEnd"/>
            <w:r>
              <w:rPr>
                <w:rFonts w:ascii="Arial Narrow" w:eastAsia="Arial Narrow" w:hAnsi="Arial Narrow" w:cs="Arial Narrow"/>
                <w:sz w:val="24"/>
                <w:szCs w:val="24"/>
              </w:rPr>
              <w:t xml:space="preserve">. </w:t>
            </w:r>
            <w:hyperlink r:id="rId21">
              <w:r>
                <w:rPr>
                  <w:rFonts w:ascii="Arial Narrow" w:eastAsia="Arial Narrow" w:hAnsi="Arial Narrow" w:cs="Arial Narrow"/>
                  <w:sz w:val="24"/>
                  <w:szCs w:val="24"/>
                </w:rPr>
                <w:t>Piedad Correal Rubiano</w:t>
              </w:r>
            </w:hyperlink>
            <w:r>
              <w:rPr>
                <w:rFonts w:ascii="Arial Narrow" w:eastAsia="Arial Narrow" w:hAnsi="Arial Narrow" w:cs="Arial Narrow"/>
                <w:sz w:val="24"/>
                <w:szCs w:val="24"/>
              </w:rPr>
              <w:t xml:space="preserve">, H.R. </w:t>
            </w:r>
            <w:hyperlink r:id="rId22">
              <w:r>
                <w:rPr>
                  <w:rFonts w:ascii="Arial Narrow" w:eastAsia="Arial Narrow" w:hAnsi="Arial Narrow" w:cs="Arial Narrow"/>
                  <w:sz w:val="24"/>
                  <w:szCs w:val="24"/>
                </w:rPr>
                <w:t xml:space="preserve">Jennifer </w:t>
              </w:r>
              <w:proofErr w:type="spellStart"/>
              <w:r>
                <w:rPr>
                  <w:rFonts w:ascii="Arial Narrow" w:eastAsia="Arial Narrow" w:hAnsi="Arial Narrow" w:cs="Arial Narrow"/>
                  <w:sz w:val="24"/>
                  <w:szCs w:val="24"/>
                </w:rPr>
                <w:t>Dalley</w:t>
              </w:r>
              <w:proofErr w:type="spellEnd"/>
              <w:r>
                <w:rPr>
                  <w:rFonts w:ascii="Arial Narrow" w:eastAsia="Arial Narrow" w:hAnsi="Arial Narrow" w:cs="Arial Narrow"/>
                  <w:sz w:val="24"/>
                  <w:szCs w:val="24"/>
                </w:rPr>
                <w:t xml:space="preserve"> Pedraza Sandoval</w:t>
              </w:r>
            </w:hyperlink>
            <w:r>
              <w:rPr>
                <w:rFonts w:ascii="Arial Narrow" w:eastAsia="Arial Narrow" w:hAnsi="Arial Narrow" w:cs="Arial Narrow"/>
                <w:sz w:val="24"/>
                <w:szCs w:val="24"/>
              </w:rPr>
              <w:t xml:space="preserve">, H.R. </w:t>
            </w:r>
            <w:hyperlink r:id="rId23">
              <w:proofErr w:type="spellStart"/>
              <w:r>
                <w:rPr>
                  <w:rFonts w:ascii="Arial Narrow" w:eastAsia="Arial Narrow" w:hAnsi="Arial Narrow" w:cs="Arial Narrow"/>
                  <w:sz w:val="24"/>
                  <w:szCs w:val="24"/>
                </w:rPr>
                <w:t>Gersel</w:t>
              </w:r>
              <w:proofErr w:type="spellEnd"/>
              <w:r>
                <w:rPr>
                  <w:rFonts w:ascii="Arial Narrow" w:eastAsia="Arial Narrow" w:hAnsi="Arial Narrow" w:cs="Arial Narrow"/>
                  <w:sz w:val="24"/>
                  <w:szCs w:val="24"/>
                </w:rPr>
                <w:t xml:space="preserve"> Luis Pérez </w:t>
              </w:r>
              <w:proofErr w:type="spellStart"/>
              <w:r>
                <w:rPr>
                  <w:rFonts w:ascii="Arial Narrow" w:eastAsia="Arial Narrow" w:hAnsi="Arial Narrow" w:cs="Arial Narrow"/>
                  <w:sz w:val="24"/>
                  <w:szCs w:val="24"/>
                </w:rPr>
                <w:t>Altamiranda</w:t>
              </w:r>
            </w:hyperlink>
            <w:r>
              <w:rPr>
                <w:rFonts w:ascii="Arial Narrow" w:eastAsia="Arial Narrow" w:hAnsi="Arial Narrow" w:cs="Arial Narrow"/>
                <w:sz w:val="24"/>
                <w:szCs w:val="24"/>
              </w:rPr>
              <w:t>,H.R</w:t>
            </w:r>
            <w:proofErr w:type="spellEnd"/>
            <w:r>
              <w:rPr>
                <w:rFonts w:ascii="Arial Narrow" w:eastAsia="Arial Narrow" w:hAnsi="Arial Narrow" w:cs="Arial Narrow"/>
                <w:sz w:val="24"/>
                <w:szCs w:val="24"/>
              </w:rPr>
              <w:t xml:space="preserve">. </w:t>
            </w:r>
            <w:hyperlink r:id="rId24">
              <w:r>
                <w:rPr>
                  <w:rFonts w:ascii="Arial Narrow" w:eastAsia="Arial Narrow" w:hAnsi="Arial Narrow" w:cs="Arial Narrow"/>
                  <w:sz w:val="24"/>
                  <w:szCs w:val="24"/>
                </w:rPr>
                <w:t>Astrid Sánchez Montes De Oca</w:t>
              </w:r>
            </w:hyperlink>
            <w:r>
              <w:rPr>
                <w:rFonts w:ascii="Arial Narrow" w:eastAsia="Arial Narrow" w:hAnsi="Arial Narrow" w:cs="Arial Narrow"/>
                <w:sz w:val="24"/>
                <w:szCs w:val="24"/>
              </w:rPr>
              <w:t xml:space="preserve">, H.R. </w:t>
            </w:r>
            <w:hyperlink r:id="rId25">
              <w:r>
                <w:rPr>
                  <w:rFonts w:ascii="Arial Narrow" w:eastAsia="Arial Narrow" w:hAnsi="Arial Narrow" w:cs="Arial Narrow"/>
                  <w:sz w:val="24"/>
                  <w:szCs w:val="24"/>
                </w:rPr>
                <w:t xml:space="preserve">Diógenes Quintero </w:t>
              </w:r>
              <w:proofErr w:type="spellStart"/>
              <w:r>
                <w:rPr>
                  <w:rFonts w:ascii="Arial Narrow" w:eastAsia="Arial Narrow" w:hAnsi="Arial Narrow" w:cs="Arial Narrow"/>
                  <w:sz w:val="24"/>
                  <w:szCs w:val="24"/>
                </w:rPr>
                <w:t>Amaya</w:t>
              </w:r>
            </w:hyperlink>
            <w:r>
              <w:rPr>
                <w:rFonts w:ascii="Arial Narrow" w:eastAsia="Arial Narrow" w:hAnsi="Arial Narrow" w:cs="Arial Narrow"/>
                <w:sz w:val="24"/>
                <w:szCs w:val="24"/>
              </w:rPr>
              <w:t>,H.R</w:t>
            </w:r>
            <w:proofErr w:type="spellEnd"/>
            <w:r>
              <w:rPr>
                <w:rFonts w:ascii="Arial Narrow" w:eastAsia="Arial Narrow" w:hAnsi="Arial Narrow" w:cs="Arial Narrow"/>
                <w:sz w:val="24"/>
                <w:szCs w:val="24"/>
              </w:rPr>
              <w:t xml:space="preserve">. </w:t>
            </w:r>
            <w:hyperlink r:id="rId26">
              <w:r>
                <w:rPr>
                  <w:rFonts w:ascii="Arial Narrow" w:eastAsia="Arial Narrow" w:hAnsi="Arial Narrow" w:cs="Arial Narrow"/>
                  <w:sz w:val="24"/>
                  <w:szCs w:val="24"/>
                </w:rPr>
                <w:t xml:space="preserve">Luis </w:t>
              </w:r>
              <w:r>
                <w:rPr>
                  <w:rFonts w:ascii="Arial Narrow" w:eastAsia="Arial Narrow" w:hAnsi="Arial Narrow" w:cs="Arial Narrow"/>
                  <w:sz w:val="24"/>
                  <w:szCs w:val="24"/>
                </w:rPr>
                <w:lastRenderedPageBreak/>
                <w:t xml:space="preserve">Alberto Albán </w:t>
              </w:r>
              <w:proofErr w:type="spellStart"/>
              <w:r>
                <w:rPr>
                  <w:rFonts w:ascii="Arial Narrow" w:eastAsia="Arial Narrow" w:hAnsi="Arial Narrow" w:cs="Arial Narrow"/>
                  <w:sz w:val="24"/>
                  <w:szCs w:val="24"/>
                </w:rPr>
                <w:t>Urbano</w:t>
              </w:r>
            </w:hyperlink>
            <w:r>
              <w:rPr>
                <w:rFonts w:ascii="Arial Narrow" w:eastAsia="Arial Narrow" w:hAnsi="Arial Narrow" w:cs="Arial Narrow"/>
                <w:sz w:val="24"/>
                <w:szCs w:val="24"/>
              </w:rPr>
              <w:t>,H.R</w:t>
            </w:r>
            <w:proofErr w:type="spellEnd"/>
            <w:r>
              <w:rPr>
                <w:rFonts w:ascii="Arial Narrow" w:eastAsia="Arial Narrow" w:hAnsi="Arial Narrow" w:cs="Arial Narrow"/>
                <w:sz w:val="24"/>
                <w:szCs w:val="24"/>
              </w:rPr>
              <w:t xml:space="preserve">. </w:t>
            </w:r>
            <w:hyperlink r:id="rId27">
              <w:proofErr w:type="spellStart"/>
              <w:r>
                <w:rPr>
                  <w:rFonts w:ascii="Arial Narrow" w:eastAsia="Arial Narrow" w:hAnsi="Arial Narrow" w:cs="Arial Narrow"/>
                  <w:sz w:val="24"/>
                  <w:szCs w:val="24"/>
                </w:rPr>
                <w:t>Marelen</w:t>
              </w:r>
              <w:proofErr w:type="spellEnd"/>
              <w:r>
                <w:rPr>
                  <w:rFonts w:ascii="Arial Narrow" w:eastAsia="Arial Narrow" w:hAnsi="Arial Narrow" w:cs="Arial Narrow"/>
                  <w:sz w:val="24"/>
                  <w:szCs w:val="24"/>
                </w:rPr>
                <w:t xml:space="preserve"> Castillo Torres</w:t>
              </w:r>
            </w:hyperlink>
            <w:r>
              <w:rPr>
                <w:rFonts w:ascii="Arial Narrow" w:eastAsia="Arial Narrow" w:hAnsi="Arial Narrow" w:cs="Arial Narrow"/>
                <w:sz w:val="24"/>
                <w:szCs w:val="24"/>
              </w:rPr>
              <w:t>.</w:t>
            </w:r>
          </w:p>
        </w:tc>
      </w:tr>
      <w:tr w:rsidR="00987073">
        <w:tc>
          <w:tcPr>
            <w:tcW w:w="4514" w:type="dxa"/>
            <w:shd w:val="clear" w:color="auto" w:fill="auto"/>
            <w:tcMar>
              <w:top w:w="100" w:type="dxa"/>
              <w:left w:w="100" w:type="dxa"/>
              <w:bottom w:w="100" w:type="dxa"/>
              <w:right w:w="100" w:type="dxa"/>
            </w:tcMar>
          </w:tcPr>
          <w:p w:rsidR="00987073" w:rsidRDefault="00090880">
            <w:pPr>
              <w:widowControl w:val="0"/>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Ponencia </w:t>
            </w:r>
          </w:p>
        </w:tc>
        <w:tc>
          <w:tcPr>
            <w:tcW w:w="4514" w:type="dxa"/>
            <w:shd w:val="clear" w:color="auto" w:fill="auto"/>
            <w:tcMar>
              <w:top w:w="100" w:type="dxa"/>
              <w:left w:w="100" w:type="dxa"/>
              <w:bottom w:w="100" w:type="dxa"/>
              <w:right w:w="100" w:type="dxa"/>
            </w:tcMar>
          </w:tcPr>
          <w:p w:rsidR="00987073" w:rsidRDefault="00090880">
            <w:pPr>
              <w:widowControl w:val="0"/>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Negativa</w:t>
            </w:r>
          </w:p>
        </w:tc>
      </w:tr>
    </w:tbl>
    <w:p w:rsidR="00987073" w:rsidRDefault="00090880">
      <w:pPr>
        <w:shd w:val="clear" w:color="auto" w:fill="FFFFFF"/>
        <w:spacing w:after="16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rsidR="00987073" w:rsidRDefault="00090880">
      <w:pPr>
        <w:shd w:val="clear" w:color="auto" w:fill="FFFFFF"/>
        <w:spacing w:after="16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w:t>
      </w:r>
    </w:p>
    <w:p w:rsidR="00987073" w:rsidRDefault="00090880">
      <w:pPr>
        <w:shd w:val="clear" w:color="auto" w:fill="FFFFFF"/>
        <w:spacing w:after="160"/>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_______________________________________</w:t>
      </w:r>
      <w:r w:rsidR="00C312F0">
        <w:rPr>
          <w:rFonts w:ascii="Arial Narrow" w:eastAsia="Arial Narrow" w:hAnsi="Arial Narrow" w:cs="Arial Narrow"/>
          <w:b/>
          <w:sz w:val="24"/>
          <w:szCs w:val="24"/>
        </w:rPr>
        <w:t xml:space="preserve">      </w:t>
      </w:r>
      <w:r w:rsidR="00C312F0">
        <w:rPr>
          <w:rFonts w:ascii="Arial Narrow" w:eastAsia="Arial Narrow" w:hAnsi="Arial Narrow" w:cs="Arial Narrow"/>
          <w:b/>
          <w:sz w:val="24"/>
          <w:szCs w:val="24"/>
        </w:rPr>
        <w:t>___________</w:t>
      </w:r>
      <w:r w:rsidR="00C312F0">
        <w:rPr>
          <w:rFonts w:ascii="Arial Narrow" w:eastAsia="Arial Narrow" w:hAnsi="Arial Narrow" w:cs="Arial Narrow"/>
          <w:b/>
          <w:sz w:val="24"/>
          <w:szCs w:val="24"/>
        </w:rPr>
        <w:t>____________________________</w:t>
      </w:r>
    </w:p>
    <w:p w:rsidR="00987073" w:rsidRDefault="00090880">
      <w:pPr>
        <w:shd w:val="clear" w:color="auto" w:fill="FFFFFF"/>
        <w:jc w:val="both"/>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PEDRO JOSÉ SUÁREZ VACCA                                       JENNIFER DALLEY PEDRAZA SANDOVAL</w:t>
      </w:r>
    </w:p>
    <w:p w:rsidR="00987073" w:rsidRDefault="00090880">
      <w:pPr>
        <w:shd w:val="clear" w:color="auto" w:fill="FFFFFF"/>
        <w:jc w:val="both"/>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 xml:space="preserve">Representante a la Cámara por Boyacá                  </w:t>
      </w:r>
      <w:r>
        <w:rPr>
          <w:rFonts w:ascii="Arial Narrow" w:eastAsia="Arial Narrow" w:hAnsi="Arial Narrow" w:cs="Arial Narrow"/>
          <w:color w:val="222222"/>
          <w:sz w:val="24"/>
          <w:szCs w:val="24"/>
        </w:rPr>
        <w:t xml:space="preserve">          Representante a la Cámara por Bogotá</w:t>
      </w:r>
    </w:p>
    <w:p w:rsidR="00987073" w:rsidRDefault="00090880">
      <w:pPr>
        <w:shd w:val="clear" w:color="auto" w:fill="FFFFFF"/>
        <w:jc w:val="both"/>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Pacto Histórico.                                                                  Partido Dignidad y Compromiso.</w:t>
      </w:r>
    </w:p>
    <w:p w:rsidR="00987073" w:rsidRDefault="00987073">
      <w:pPr>
        <w:rPr>
          <w:rFonts w:ascii="Arial Narrow" w:eastAsia="Arial Narrow" w:hAnsi="Arial Narrow" w:cs="Arial Narrow"/>
          <w:b/>
          <w:sz w:val="24"/>
          <w:szCs w:val="24"/>
        </w:rPr>
      </w:pPr>
    </w:p>
    <w:p w:rsidR="00987073" w:rsidRDefault="00987073">
      <w:pPr>
        <w:jc w:val="center"/>
        <w:rPr>
          <w:rFonts w:ascii="Arial Narrow" w:eastAsia="Arial Narrow" w:hAnsi="Arial Narrow" w:cs="Arial Narrow"/>
          <w:b/>
          <w:sz w:val="24"/>
          <w:szCs w:val="24"/>
        </w:rPr>
      </w:pPr>
    </w:p>
    <w:p w:rsidR="00987073" w:rsidRDefault="00090880">
      <w:pPr>
        <w:jc w:val="center"/>
        <w:rPr>
          <w:rFonts w:ascii="Arial Narrow" w:eastAsia="Arial Narrow" w:hAnsi="Arial Narrow" w:cs="Arial Narrow"/>
          <w:b/>
          <w:sz w:val="24"/>
          <w:szCs w:val="24"/>
        </w:rPr>
      </w:pPr>
      <w:r>
        <w:rPr>
          <w:rFonts w:ascii="Arial Narrow" w:eastAsia="Arial Narrow" w:hAnsi="Arial Narrow" w:cs="Arial Narrow"/>
          <w:b/>
          <w:sz w:val="24"/>
          <w:szCs w:val="24"/>
        </w:rPr>
        <w:t>INFORME DE PONENCIA NEGATIVA PARA PRIMER DEBATE DEL PROYECTO DE LEY N° 266 DE 2024 CÁMARA “POR MEDIO DE LA CUAL SE CREA EL REPORTE PÚBLICO DE SECUESTRADOS Y SE DICTAN OTRAS DISPOSICIONES”</w:t>
      </w:r>
    </w:p>
    <w:p w:rsidR="00987073" w:rsidRDefault="00987073">
      <w:pPr>
        <w:jc w:val="center"/>
        <w:rPr>
          <w:rFonts w:ascii="Arial Narrow" w:eastAsia="Arial Narrow" w:hAnsi="Arial Narrow" w:cs="Arial Narrow"/>
          <w:sz w:val="24"/>
          <w:szCs w:val="24"/>
        </w:rPr>
      </w:pPr>
    </w:p>
    <w:p w:rsidR="00987073" w:rsidRDefault="00090880">
      <w:pPr>
        <w:jc w:val="center"/>
        <w:rPr>
          <w:rFonts w:ascii="Arial Narrow" w:eastAsia="Arial Narrow" w:hAnsi="Arial Narrow" w:cs="Arial Narrow"/>
          <w:b/>
          <w:sz w:val="24"/>
          <w:szCs w:val="24"/>
        </w:rPr>
      </w:pPr>
      <w:r>
        <w:rPr>
          <w:rFonts w:ascii="Arial Narrow" w:eastAsia="Arial Narrow" w:hAnsi="Arial Narrow" w:cs="Arial Narrow"/>
          <w:b/>
          <w:sz w:val="24"/>
          <w:szCs w:val="24"/>
        </w:rPr>
        <w:t>TABLA DE CONTENIDO</w:t>
      </w:r>
    </w:p>
    <w:p w:rsidR="00987073" w:rsidRDefault="00090880">
      <w:pPr>
        <w:numPr>
          <w:ilvl w:val="0"/>
          <w:numId w:val="3"/>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TRÁMITE LEGISLATIVO. </w:t>
      </w:r>
    </w:p>
    <w:p w:rsidR="00987073" w:rsidRDefault="00090880">
      <w:pPr>
        <w:numPr>
          <w:ilvl w:val="0"/>
          <w:numId w:val="3"/>
        </w:numPr>
        <w:jc w:val="both"/>
        <w:rPr>
          <w:rFonts w:ascii="Arial Narrow" w:eastAsia="Arial Narrow" w:hAnsi="Arial Narrow" w:cs="Arial Narrow"/>
          <w:sz w:val="24"/>
          <w:szCs w:val="24"/>
        </w:rPr>
      </w:pPr>
      <w:r>
        <w:rPr>
          <w:rFonts w:ascii="Arial Narrow" w:eastAsia="Arial Narrow" w:hAnsi="Arial Narrow" w:cs="Arial Narrow"/>
          <w:sz w:val="24"/>
          <w:szCs w:val="24"/>
        </w:rPr>
        <w:t>SÍNTESIS DEL PROYECTO.</w:t>
      </w:r>
    </w:p>
    <w:p w:rsidR="00987073" w:rsidRDefault="00090880">
      <w:pPr>
        <w:numPr>
          <w:ilvl w:val="0"/>
          <w:numId w:val="3"/>
        </w:numPr>
        <w:jc w:val="both"/>
        <w:rPr>
          <w:rFonts w:ascii="Arial Narrow" w:eastAsia="Arial Narrow" w:hAnsi="Arial Narrow" w:cs="Arial Narrow"/>
          <w:sz w:val="24"/>
          <w:szCs w:val="24"/>
        </w:rPr>
      </w:pPr>
      <w:r>
        <w:rPr>
          <w:rFonts w:ascii="Arial Narrow" w:eastAsia="Arial Narrow" w:hAnsi="Arial Narrow" w:cs="Arial Narrow"/>
          <w:sz w:val="24"/>
          <w:szCs w:val="24"/>
        </w:rPr>
        <w:t>JUS</w:t>
      </w:r>
      <w:r>
        <w:rPr>
          <w:rFonts w:ascii="Arial Narrow" w:eastAsia="Arial Narrow" w:hAnsi="Arial Narrow" w:cs="Arial Narrow"/>
          <w:sz w:val="24"/>
          <w:szCs w:val="24"/>
        </w:rPr>
        <w:t>TIFICACIÓN DE LA PONENCIA NEGATIVA.</w:t>
      </w:r>
    </w:p>
    <w:p w:rsidR="00987073" w:rsidRDefault="00090880">
      <w:pPr>
        <w:numPr>
          <w:ilvl w:val="0"/>
          <w:numId w:val="3"/>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CONFLICTO DE INTERESES </w:t>
      </w:r>
    </w:p>
    <w:p w:rsidR="00987073" w:rsidRDefault="00090880">
      <w:pPr>
        <w:numPr>
          <w:ilvl w:val="0"/>
          <w:numId w:val="3"/>
        </w:numPr>
        <w:jc w:val="both"/>
        <w:rPr>
          <w:rFonts w:ascii="Arial Narrow" w:eastAsia="Arial Narrow" w:hAnsi="Arial Narrow" w:cs="Arial Narrow"/>
          <w:sz w:val="24"/>
          <w:szCs w:val="24"/>
        </w:rPr>
      </w:pPr>
      <w:r>
        <w:rPr>
          <w:rFonts w:ascii="Arial Narrow" w:eastAsia="Arial Narrow" w:hAnsi="Arial Narrow" w:cs="Arial Narrow"/>
          <w:sz w:val="24"/>
          <w:szCs w:val="24"/>
        </w:rPr>
        <w:t>PROPOSICIÓN.</w:t>
      </w:r>
    </w:p>
    <w:p w:rsidR="00987073" w:rsidRDefault="00987073">
      <w:pPr>
        <w:jc w:val="both"/>
        <w:rPr>
          <w:rFonts w:ascii="Arial Narrow" w:eastAsia="Arial Narrow" w:hAnsi="Arial Narrow" w:cs="Arial Narrow"/>
          <w:sz w:val="24"/>
          <w:szCs w:val="24"/>
        </w:rPr>
      </w:pPr>
    </w:p>
    <w:p w:rsidR="00987073" w:rsidRDefault="00090880">
      <w:pPr>
        <w:numPr>
          <w:ilvl w:val="0"/>
          <w:numId w:val="2"/>
        </w:numPr>
        <w:jc w:val="both"/>
        <w:rPr>
          <w:rFonts w:ascii="Arial Narrow" w:eastAsia="Arial Narrow" w:hAnsi="Arial Narrow" w:cs="Arial Narrow"/>
          <w:b/>
          <w:sz w:val="24"/>
          <w:szCs w:val="24"/>
        </w:rPr>
      </w:pPr>
      <w:r>
        <w:rPr>
          <w:rFonts w:ascii="Arial Narrow" w:eastAsia="Arial Narrow" w:hAnsi="Arial Narrow" w:cs="Arial Narrow"/>
          <w:b/>
          <w:sz w:val="24"/>
          <w:szCs w:val="24"/>
        </w:rPr>
        <w:t>TRÁMITE LEGISLATIVO.</w:t>
      </w:r>
    </w:p>
    <w:p w:rsidR="00987073" w:rsidRDefault="00987073">
      <w:pPr>
        <w:jc w:val="both"/>
        <w:rPr>
          <w:rFonts w:ascii="Arial Narrow" w:eastAsia="Arial Narrow" w:hAnsi="Arial Narrow" w:cs="Arial Narrow"/>
          <w:sz w:val="24"/>
          <w:szCs w:val="24"/>
        </w:rPr>
      </w:pPr>
    </w:p>
    <w:p w:rsidR="00987073" w:rsidRDefault="00090880">
      <w:pPr>
        <w:jc w:val="both"/>
        <w:rPr>
          <w:rFonts w:ascii="Arial Narrow" w:eastAsia="Arial Narrow" w:hAnsi="Arial Narrow" w:cs="Arial Narrow"/>
          <w:b/>
          <w:sz w:val="24"/>
          <w:szCs w:val="24"/>
        </w:rPr>
      </w:pPr>
      <w:r>
        <w:rPr>
          <w:rFonts w:ascii="Arial Narrow" w:eastAsia="Arial Narrow" w:hAnsi="Arial Narrow" w:cs="Arial Narrow"/>
          <w:sz w:val="24"/>
          <w:szCs w:val="24"/>
        </w:rPr>
        <w:t>El 29 de agosto de 2024 fue radicado el Proyecto de Ley 266 de 2024 Cámara “Por medio de la cual se crea el reporte público de secuestrados y se dictan otras di</w:t>
      </w:r>
      <w:r>
        <w:rPr>
          <w:rFonts w:ascii="Arial Narrow" w:eastAsia="Arial Narrow" w:hAnsi="Arial Narrow" w:cs="Arial Narrow"/>
          <w:sz w:val="24"/>
          <w:szCs w:val="24"/>
        </w:rPr>
        <w:t xml:space="preserve">sposiciones” por los y las congresistas </w:t>
      </w:r>
      <w:proofErr w:type="spellStart"/>
      <w:r>
        <w:rPr>
          <w:rFonts w:ascii="Arial Narrow" w:eastAsia="Arial Narrow" w:hAnsi="Arial Narrow" w:cs="Arial Narrow"/>
          <w:sz w:val="24"/>
          <w:szCs w:val="24"/>
        </w:rPr>
        <w:t>H.R.</w:t>
      </w:r>
      <w:hyperlink r:id="rId28">
        <w:r>
          <w:rPr>
            <w:rFonts w:ascii="Arial Narrow" w:eastAsia="Arial Narrow" w:hAnsi="Arial Narrow" w:cs="Arial Narrow"/>
            <w:sz w:val="24"/>
            <w:szCs w:val="24"/>
          </w:rPr>
          <w:t>José</w:t>
        </w:r>
        <w:proofErr w:type="spellEnd"/>
        <w:r>
          <w:rPr>
            <w:rFonts w:ascii="Arial Narrow" w:eastAsia="Arial Narrow" w:hAnsi="Arial Narrow" w:cs="Arial Narrow"/>
            <w:sz w:val="24"/>
            <w:szCs w:val="24"/>
          </w:rPr>
          <w:t xml:space="preserve"> Jaime </w:t>
        </w:r>
        <w:proofErr w:type="spellStart"/>
        <w:r>
          <w:rPr>
            <w:rFonts w:ascii="Arial Narrow" w:eastAsia="Arial Narrow" w:hAnsi="Arial Narrow" w:cs="Arial Narrow"/>
            <w:sz w:val="24"/>
            <w:szCs w:val="24"/>
          </w:rPr>
          <w:t>Uscátegui</w:t>
        </w:r>
        <w:proofErr w:type="spellEnd"/>
        <w:r>
          <w:rPr>
            <w:rFonts w:ascii="Arial Narrow" w:eastAsia="Arial Narrow" w:hAnsi="Arial Narrow" w:cs="Arial Narrow"/>
            <w:sz w:val="24"/>
            <w:szCs w:val="24"/>
          </w:rPr>
          <w:t xml:space="preserve"> Pastrana</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29">
        <w:r>
          <w:rPr>
            <w:rFonts w:ascii="Arial Narrow" w:eastAsia="Arial Narrow" w:hAnsi="Arial Narrow" w:cs="Arial Narrow"/>
            <w:sz w:val="24"/>
            <w:szCs w:val="24"/>
          </w:rPr>
          <w:t>Carlos</w:t>
        </w:r>
        <w:proofErr w:type="spellEnd"/>
        <w:r>
          <w:rPr>
            <w:rFonts w:ascii="Arial Narrow" w:eastAsia="Arial Narrow" w:hAnsi="Arial Narrow" w:cs="Arial Narrow"/>
            <w:sz w:val="24"/>
            <w:szCs w:val="24"/>
          </w:rPr>
          <w:t xml:space="preserve"> Edward Osorio Aguiar</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30">
        <w:r>
          <w:rPr>
            <w:rFonts w:ascii="Arial Narrow" w:eastAsia="Arial Narrow" w:hAnsi="Arial Narrow" w:cs="Arial Narrow"/>
            <w:sz w:val="24"/>
            <w:szCs w:val="24"/>
          </w:rPr>
          <w:t>Álvaro</w:t>
        </w:r>
        <w:proofErr w:type="spellEnd"/>
        <w:r>
          <w:rPr>
            <w:rFonts w:ascii="Arial Narrow" w:eastAsia="Arial Narrow" w:hAnsi="Arial Narrow" w:cs="Arial Narrow"/>
            <w:sz w:val="24"/>
            <w:szCs w:val="24"/>
          </w:rPr>
          <w:t xml:space="preserve"> Leonel Rueda caballero</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31">
        <w:r>
          <w:rPr>
            <w:rFonts w:ascii="Arial Narrow" w:eastAsia="Arial Narrow" w:hAnsi="Arial Narrow" w:cs="Arial Narrow"/>
            <w:sz w:val="24"/>
            <w:szCs w:val="24"/>
          </w:rPr>
          <w:t>Hugo</w:t>
        </w:r>
        <w:proofErr w:type="spellEnd"/>
        <w:r>
          <w:rPr>
            <w:rFonts w:ascii="Arial Narrow" w:eastAsia="Arial Narrow" w:hAnsi="Arial Narrow" w:cs="Arial Narrow"/>
            <w:sz w:val="24"/>
            <w:szCs w:val="24"/>
          </w:rPr>
          <w:t xml:space="preserve"> Danilo Lozano Pimiento</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32">
        <w:r>
          <w:rPr>
            <w:rFonts w:ascii="Arial Narrow" w:eastAsia="Arial Narrow" w:hAnsi="Arial Narrow" w:cs="Arial Narrow"/>
            <w:sz w:val="24"/>
            <w:szCs w:val="24"/>
          </w:rPr>
          <w:t>Miguel</w:t>
        </w:r>
        <w:proofErr w:type="spellEnd"/>
        <w:r>
          <w:rPr>
            <w:rFonts w:ascii="Arial Narrow" w:eastAsia="Arial Narrow" w:hAnsi="Arial Narrow" w:cs="Arial Narrow"/>
            <w:sz w:val="24"/>
            <w:szCs w:val="24"/>
          </w:rPr>
          <w:t xml:space="preserve"> Abraham Polo </w:t>
        </w:r>
        <w:proofErr w:type="spellStart"/>
        <w:r>
          <w:rPr>
            <w:rFonts w:ascii="Arial Narrow" w:eastAsia="Arial Narrow" w:hAnsi="Arial Narrow" w:cs="Arial Narrow"/>
            <w:sz w:val="24"/>
            <w:szCs w:val="24"/>
          </w:rPr>
          <w:t>Polo</w:t>
        </w:r>
        <w:proofErr w:type="spellEnd"/>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33">
        <w:r>
          <w:rPr>
            <w:rFonts w:ascii="Arial Narrow" w:eastAsia="Arial Narrow" w:hAnsi="Arial Narrow" w:cs="Arial Narrow"/>
            <w:sz w:val="24"/>
            <w:szCs w:val="24"/>
          </w:rPr>
          <w:t>Yulieth</w:t>
        </w:r>
        <w:proofErr w:type="spellEnd"/>
        <w:r>
          <w:rPr>
            <w:rFonts w:ascii="Arial Narrow" w:eastAsia="Arial Narrow" w:hAnsi="Arial Narrow" w:cs="Arial Narrow"/>
            <w:sz w:val="24"/>
            <w:szCs w:val="24"/>
          </w:rPr>
          <w:t xml:space="preserve"> Andrea </w:t>
        </w:r>
        <w:r>
          <w:rPr>
            <w:rFonts w:ascii="Arial Narrow" w:eastAsia="Arial Narrow" w:hAnsi="Arial Narrow" w:cs="Arial Narrow"/>
            <w:sz w:val="24"/>
            <w:szCs w:val="24"/>
          </w:rPr>
          <w:t>Sánchez Carreño</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34">
        <w:r>
          <w:rPr>
            <w:rFonts w:ascii="Arial Narrow" w:eastAsia="Arial Narrow" w:hAnsi="Arial Narrow" w:cs="Arial Narrow"/>
            <w:sz w:val="24"/>
            <w:szCs w:val="24"/>
          </w:rPr>
          <w:t>Eduard</w:t>
        </w:r>
        <w:proofErr w:type="spellEnd"/>
        <w:r>
          <w:rPr>
            <w:rFonts w:ascii="Arial Narrow" w:eastAsia="Arial Narrow" w:hAnsi="Arial Narrow" w:cs="Arial Narrow"/>
            <w:sz w:val="24"/>
            <w:szCs w:val="24"/>
          </w:rPr>
          <w:t xml:space="preserve"> Alexis Triana Rincón</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35">
        <w:r>
          <w:rPr>
            <w:rFonts w:ascii="Arial Narrow" w:eastAsia="Arial Narrow" w:hAnsi="Arial Narrow" w:cs="Arial Narrow"/>
            <w:sz w:val="24"/>
            <w:szCs w:val="24"/>
          </w:rPr>
          <w:t>Germán</w:t>
        </w:r>
        <w:proofErr w:type="spellEnd"/>
        <w:r>
          <w:rPr>
            <w:rFonts w:ascii="Arial Narrow" w:eastAsia="Arial Narrow" w:hAnsi="Arial Narrow" w:cs="Arial Narrow"/>
            <w:sz w:val="24"/>
            <w:szCs w:val="24"/>
          </w:rPr>
          <w:t xml:space="preserve"> Rogelio Rozo Anís</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36">
        <w:r>
          <w:rPr>
            <w:rFonts w:ascii="Arial Narrow" w:eastAsia="Arial Narrow" w:hAnsi="Arial Narrow" w:cs="Arial Narrow"/>
            <w:sz w:val="24"/>
            <w:szCs w:val="24"/>
          </w:rPr>
          <w:t>Erika</w:t>
        </w:r>
        <w:proofErr w:type="spellEnd"/>
        <w:r>
          <w:rPr>
            <w:rFonts w:ascii="Arial Narrow" w:eastAsia="Arial Narrow" w:hAnsi="Arial Narrow" w:cs="Arial Narrow"/>
            <w:sz w:val="24"/>
            <w:szCs w:val="24"/>
          </w:rPr>
          <w:t xml:space="preserve"> Tatiana Sánchez Pinto</w:t>
        </w:r>
      </w:hyperlink>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H.R.</w:t>
      </w:r>
      <w:hyperlink r:id="rId37">
        <w:r>
          <w:rPr>
            <w:rFonts w:ascii="Arial Narrow" w:eastAsia="Arial Narrow" w:hAnsi="Arial Narrow" w:cs="Arial Narrow"/>
            <w:sz w:val="24"/>
            <w:szCs w:val="24"/>
          </w:rPr>
          <w:t>Delcy</w:t>
        </w:r>
        <w:proofErr w:type="spellEnd"/>
        <w:r>
          <w:rPr>
            <w:rFonts w:ascii="Arial Narrow" w:eastAsia="Arial Narrow" w:hAnsi="Arial Narrow" w:cs="Arial Narrow"/>
            <w:sz w:val="24"/>
            <w:szCs w:val="24"/>
          </w:rPr>
          <w:t xml:space="preserve"> Esperanza Isaza Buenaventura</w:t>
        </w:r>
      </w:hyperlink>
      <w:r>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H.R.</w:t>
      </w:r>
      <w:hyperlink r:id="rId38">
        <w:r>
          <w:rPr>
            <w:rFonts w:ascii="Arial Narrow" w:eastAsia="Arial Narrow" w:hAnsi="Arial Narrow" w:cs="Arial Narrow"/>
            <w:sz w:val="24"/>
            <w:szCs w:val="24"/>
          </w:rPr>
          <w:t>Cristian</w:t>
        </w:r>
        <w:proofErr w:type="spellEnd"/>
        <w:r>
          <w:rPr>
            <w:rFonts w:ascii="Arial Narrow" w:eastAsia="Arial Narrow" w:hAnsi="Arial Narrow" w:cs="Arial Narrow"/>
            <w:sz w:val="24"/>
            <w:szCs w:val="24"/>
          </w:rPr>
          <w:t xml:space="preserve"> Danilo Avendaño Fino</w:t>
        </w:r>
      </w:hyperlink>
      <w:r>
        <w:rPr>
          <w:rFonts w:ascii="Arial Narrow" w:eastAsia="Arial Narrow" w:hAnsi="Arial Narrow" w:cs="Arial Narrow"/>
          <w:b/>
          <w:sz w:val="24"/>
          <w:szCs w:val="24"/>
        </w:rPr>
        <w:t>.</w:t>
      </w:r>
    </w:p>
    <w:p w:rsidR="00987073" w:rsidRDefault="00987073">
      <w:pPr>
        <w:jc w:val="both"/>
        <w:rPr>
          <w:rFonts w:ascii="Arial Narrow" w:eastAsia="Arial Narrow" w:hAnsi="Arial Narrow" w:cs="Arial Narrow"/>
          <w:b/>
          <w:sz w:val="24"/>
          <w:szCs w:val="24"/>
        </w:rPr>
      </w:pPr>
    </w:p>
    <w:p w:rsidR="00987073" w:rsidRDefault="00090880">
      <w:pPr>
        <w:jc w:val="both"/>
        <w:rPr>
          <w:rFonts w:ascii="Arial Narrow" w:eastAsia="Arial Narrow" w:hAnsi="Arial Narrow" w:cs="Arial Narrow"/>
          <w:sz w:val="24"/>
          <w:szCs w:val="24"/>
        </w:rPr>
      </w:pPr>
      <w:r>
        <w:rPr>
          <w:rFonts w:ascii="Arial Narrow" w:eastAsia="Arial Narrow" w:hAnsi="Arial Narrow" w:cs="Arial Narrow"/>
          <w:sz w:val="24"/>
          <w:szCs w:val="24"/>
        </w:rPr>
        <w:t>Posteriormente, la Mesa Directiva de la Comisión Primera Constitucional Permanente de la Cámara de Representantes designó como c</w:t>
      </w:r>
      <w:r>
        <w:rPr>
          <w:rFonts w:ascii="Arial Narrow" w:eastAsia="Arial Narrow" w:hAnsi="Arial Narrow" w:cs="Arial Narrow"/>
          <w:sz w:val="24"/>
          <w:szCs w:val="24"/>
        </w:rPr>
        <w:t xml:space="preserve">oordinadores ponentes a los Honorables Representantes </w:t>
      </w:r>
      <w:hyperlink r:id="rId39">
        <w:r>
          <w:rPr>
            <w:rFonts w:ascii="Arial Narrow" w:eastAsia="Arial Narrow" w:hAnsi="Arial Narrow" w:cs="Arial Narrow"/>
            <w:sz w:val="24"/>
            <w:szCs w:val="24"/>
          </w:rPr>
          <w:t xml:space="preserve">José Jaime </w:t>
        </w:r>
        <w:proofErr w:type="spellStart"/>
        <w:r>
          <w:rPr>
            <w:rFonts w:ascii="Arial Narrow" w:eastAsia="Arial Narrow" w:hAnsi="Arial Narrow" w:cs="Arial Narrow"/>
            <w:sz w:val="24"/>
            <w:szCs w:val="24"/>
          </w:rPr>
          <w:t>Uscátegui</w:t>
        </w:r>
        <w:proofErr w:type="spellEnd"/>
        <w:r>
          <w:rPr>
            <w:rFonts w:ascii="Arial Narrow" w:eastAsia="Arial Narrow" w:hAnsi="Arial Narrow" w:cs="Arial Narrow"/>
            <w:sz w:val="24"/>
            <w:szCs w:val="24"/>
          </w:rPr>
          <w:t xml:space="preserve"> Pastrana</w:t>
        </w:r>
      </w:hyperlink>
      <w:r>
        <w:rPr>
          <w:rFonts w:ascii="Arial Narrow" w:eastAsia="Arial Narrow" w:hAnsi="Arial Narrow" w:cs="Arial Narrow"/>
          <w:sz w:val="24"/>
          <w:szCs w:val="24"/>
        </w:rPr>
        <w:t xml:space="preserve"> y  </w:t>
      </w:r>
      <w:hyperlink r:id="rId40">
        <w:r>
          <w:rPr>
            <w:rFonts w:ascii="Arial Narrow" w:eastAsia="Arial Narrow" w:hAnsi="Arial Narrow" w:cs="Arial Narrow"/>
            <w:sz w:val="24"/>
            <w:szCs w:val="24"/>
          </w:rPr>
          <w:t xml:space="preserve">Ruth Amelia </w:t>
        </w:r>
        <w:proofErr w:type="spellStart"/>
        <w:r>
          <w:rPr>
            <w:rFonts w:ascii="Arial Narrow" w:eastAsia="Arial Narrow" w:hAnsi="Arial Narrow" w:cs="Arial Narrow"/>
            <w:sz w:val="24"/>
            <w:szCs w:val="24"/>
          </w:rPr>
          <w:t>Caycedo</w:t>
        </w:r>
        <w:proofErr w:type="spellEnd"/>
        <w:r>
          <w:rPr>
            <w:rFonts w:ascii="Arial Narrow" w:eastAsia="Arial Narrow" w:hAnsi="Arial Narrow" w:cs="Arial Narrow"/>
            <w:sz w:val="24"/>
            <w:szCs w:val="24"/>
          </w:rPr>
          <w:t xml:space="preserve"> Rosero</w:t>
        </w:r>
      </w:hyperlink>
      <w:r>
        <w:rPr>
          <w:rFonts w:ascii="Arial Narrow" w:eastAsia="Arial Narrow" w:hAnsi="Arial Narrow" w:cs="Arial Narrow"/>
          <w:sz w:val="24"/>
          <w:szCs w:val="24"/>
        </w:rPr>
        <w:t xml:space="preserve">, y como ponentes a los Honorable representantes  </w:t>
      </w:r>
      <w:hyperlink r:id="rId41">
        <w:r>
          <w:rPr>
            <w:rFonts w:ascii="Arial Narrow" w:eastAsia="Arial Narrow" w:hAnsi="Arial Narrow" w:cs="Arial Narrow"/>
            <w:sz w:val="24"/>
            <w:szCs w:val="24"/>
          </w:rPr>
          <w:t xml:space="preserve">Pedro José </w:t>
        </w:r>
        <w:proofErr w:type="spellStart"/>
        <w:r>
          <w:rPr>
            <w:rFonts w:ascii="Arial Narrow" w:eastAsia="Arial Narrow" w:hAnsi="Arial Narrow" w:cs="Arial Narrow"/>
            <w:sz w:val="24"/>
            <w:szCs w:val="24"/>
          </w:rPr>
          <w:t>Súarez</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Vacca</w:t>
        </w:r>
        <w:proofErr w:type="spellEnd"/>
      </w:hyperlink>
      <w:r>
        <w:rPr>
          <w:rFonts w:ascii="Arial Narrow" w:eastAsia="Arial Narrow" w:hAnsi="Arial Narrow" w:cs="Arial Narrow"/>
          <w:sz w:val="24"/>
          <w:szCs w:val="24"/>
        </w:rPr>
        <w:t xml:space="preserve">, </w:t>
      </w:r>
      <w:hyperlink r:id="rId42">
        <w:r>
          <w:rPr>
            <w:rFonts w:ascii="Arial Narrow" w:eastAsia="Arial Narrow" w:hAnsi="Arial Narrow" w:cs="Arial Narrow"/>
            <w:sz w:val="24"/>
            <w:szCs w:val="24"/>
          </w:rPr>
          <w:t>Piedad Correal Rubiano</w:t>
        </w:r>
      </w:hyperlink>
      <w:r>
        <w:rPr>
          <w:rFonts w:ascii="Arial Narrow" w:eastAsia="Arial Narrow" w:hAnsi="Arial Narrow" w:cs="Arial Narrow"/>
          <w:sz w:val="24"/>
          <w:szCs w:val="24"/>
        </w:rPr>
        <w:t xml:space="preserve">,  </w:t>
      </w:r>
      <w:hyperlink r:id="rId43">
        <w:r>
          <w:rPr>
            <w:rFonts w:ascii="Arial Narrow" w:eastAsia="Arial Narrow" w:hAnsi="Arial Narrow" w:cs="Arial Narrow"/>
            <w:sz w:val="24"/>
            <w:szCs w:val="24"/>
          </w:rPr>
          <w:t xml:space="preserve">Jennifer </w:t>
        </w:r>
        <w:proofErr w:type="spellStart"/>
        <w:r>
          <w:rPr>
            <w:rFonts w:ascii="Arial Narrow" w:eastAsia="Arial Narrow" w:hAnsi="Arial Narrow" w:cs="Arial Narrow"/>
            <w:sz w:val="24"/>
            <w:szCs w:val="24"/>
          </w:rPr>
          <w:t>Dalley</w:t>
        </w:r>
        <w:proofErr w:type="spellEnd"/>
        <w:r>
          <w:rPr>
            <w:rFonts w:ascii="Arial Narrow" w:eastAsia="Arial Narrow" w:hAnsi="Arial Narrow" w:cs="Arial Narrow"/>
            <w:sz w:val="24"/>
            <w:szCs w:val="24"/>
          </w:rPr>
          <w:t xml:space="preserve"> Pedraza Sandoval</w:t>
        </w:r>
      </w:hyperlink>
      <w:r>
        <w:rPr>
          <w:rFonts w:ascii="Arial Narrow" w:eastAsia="Arial Narrow" w:hAnsi="Arial Narrow" w:cs="Arial Narrow"/>
          <w:sz w:val="24"/>
          <w:szCs w:val="24"/>
        </w:rPr>
        <w:t xml:space="preserve">, </w:t>
      </w:r>
      <w:hyperlink r:id="rId44">
        <w:proofErr w:type="spellStart"/>
        <w:r>
          <w:rPr>
            <w:rFonts w:ascii="Arial Narrow" w:eastAsia="Arial Narrow" w:hAnsi="Arial Narrow" w:cs="Arial Narrow"/>
            <w:sz w:val="24"/>
            <w:szCs w:val="24"/>
          </w:rPr>
          <w:t>Gersel</w:t>
        </w:r>
        <w:proofErr w:type="spellEnd"/>
        <w:r>
          <w:rPr>
            <w:rFonts w:ascii="Arial Narrow" w:eastAsia="Arial Narrow" w:hAnsi="Arial Narrow" w:cs="Arial Narrow"/>
            <w:sz w:val="24"/>
            <w:szCs w:val="24"/>
          </w:rPr>
          <w:t xml:space="preserve"> Luis Pérez </w:t>
        </w:r>
        <w:proofErr w:type="spellStart"/>
        <w:r>
          <w:rPr>
            <w:rFonts w:ascii="Arial Narrow" w:eastAsia="Arial Narrow" w:hAnsi="Arial Narrow" w:cs="Arial Narrow"/>
            <w:sz w:val="24"/>
            <w:szCs w:val="24"/>
          </w:rPr>
          <w:t>Altamiranda</w:t>
        </w:r>
        <w:proofErr w:type="spellEnd"/>
      </w:hyperlink>
      <w:r>
        <w:rPr>
          <w:rFonts w:ascii="Arial Narrow" w:eastAsia="Arial Narrow" w:hAnsi="Arial Narrow" w:cs="Arial Narrow"/>
          <w:sz w:val="24"/>
          <w:szCs w:val="24"/>
        </w:rPr>
        <w:t xml:space="preserve">, </w:t>
      </w:r>
      <w:hyperlink r:id="rId45">
        <w:r>
          <w:rPr>
            <w:rFonts w:ascii="Arial Narrow" w:eastAsia="Arial Narrow" w:hAnsi="Arial Narrow" w:cs="Arial Narrow"/>
            <w:sz w:val="24"/>
            <w:szCs w:val="24"/>
          </w:rPr>
          <w:t>Astrid Sánchez Montes De Oca</w:t>
        </w:r>
      </w:hyperlink>
      <w:r>
        <w:rPr>
          <w:rFonts w:ascii="Arial Narrow" w:eastAsia="Arial Narrow" w:hAnsi="Arial Narrow" w:cs="Arial Narrow"/>
          <w:sz w:val="24"/>
          <w:szCs w:val="24"/>
        </w:rPr>
        <w:t xml:space="preserve">,  </w:t>
      </w:r>
      <w:hyperlink r:id="rId46">
        <w:r>
          <w:rPr>
            <w:rFonts w:ascii="Arial Narrow" w:eastAsia="Arial Narrow" w:hAnsi="Arial Narrow" w:cs="Arial Narrow"/>
            <w:sz w:val="24"/>
            <w:szCs w:val="24"/>
          </w:rPr>
          <w:t>Diógenes Quinte</w:t>
        </w:r>
        <w:r>
          <w:rPr>
            <w:rFonts w:ascii="Arial Narrow" w:eastAsia="Arial Narrow" w:hAnsi="Arial Narrow" w:cs="Arial Narrow"/>
            <w:sz w:val="24"/>
            <w:szCs w:val="24"/>
          </w:rPr>
          <w:t>ro Amaya</w:t>
        </w:r>
      </w:hyperlink>
      <w:r>
        <w:rPr>
          <w:rFonts w:ascii="Arial Narrow" w:eastAsia="Arial Narrow" w:hAnsi="Arial Narrow" w:cs="Arial Narrow"/>
          <w:sz w:val="24"/>
          <w:szCs w:val="24"/>
        </w:rPr>
        <w:t xml:space="preserve">, </w:t>
      </w:r>
      <w:hyperlink r:id="rId47">
        <w:r>
          <w:rPr>
            <w:rFonts w:ascii="Arial Narrow" w:eastAsia="Arial Narrow" w:hAnsi="Arial Narrow" w:cs="Arial Narrow"/>
            <w:sz w:val="24"/>
            <w:szCs w:val="24"/>
          </w:rPr>
          <w:t>Luis Alberto Albán Urbano</w:t>
        </w:r>
      </w:hyperlink>
      <w:r>
        <w:rPr>
          <w:rFonts w:ascii="Arial Narrow" w:eastAsia="Arial Narrow" w:hAnsi="Arial Narrow" w:cs="Arial Narrow"/>
          <w:sz w:val="24"/>
          <w:szCs w:val="24"/>
        </w:rPr>
        <w:t xml:space="preserve">, </w:t>
      </w:r>
      <w:hyperlink r:id="rId48">
        <w:proofErr w:type="spellStart"/>
        <w:r>
          <w:rPr>
            <w:rFonts w:ascii="Arial Narrow" w:eastAsia="Arial Narrow" w:hAnsi="Arial Narrow" w:cs="Arial Narrow"/>
            <w:sz w:val="24"/>
            <w:szCs w:val="24"/>
          </w:rPr>
          <w:t>Marelen</w:t>
        </w:r>
        <w:proofErr w:type="spellEnd"/>
        <w:r>
          <w:rPr>
            <w:rFonts w:ascii="Arial Narrow" w:eastAsia="Arial Narrow" w:hAnsi="Arial Narrow" w:cs="Arial Narrow"/>
            <w:sz w:val="24"/>
            <w:szCs w:val="24"/>
          </w:rPr>
          <w:t xml:space="preserve"> Castillo Torres</w:t>
        </w:r>
      </w:hyperlink>
      <w:r>
        <w:rPr>
          <w:rFonts w:ascii="Arial Narrow" w:eastAsia="Arial Narrow" w:hAnsi="Arial Narrow" w:cs="Arial Narrow"/>
          <w:sz w:val="24"/>
          <w:szCs w:val="24"/>
        </w:rPr>
        <w:t>.</w:t>
      </w:r>
    </w:p>
    <w:p w:rsidR="00987073" w:rsidRDefault="00987073">
      <w:pPr>
        <w:jc w:val="both"/>
        <w:rPr>
          <w:rFonts w:ascii="Arial Narrow" w:eastAsia="Arial Narrow" w:hAnsi="Arial Narrow" w:cs="Arial Narrow"/>
          <w:sz w:val="24"/>
          <w:szCs w:val="24"/>
        </w:rPr>
      </w:pPr>
    </w:p>
    <w:p w:rsidR="00987073" w:rsidRDefault="00090880">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día 10 y 17 de </w:t>
      </w:r>
      <w:proofErr w:type="spellStart"/>
      <w:r>
        <w:rPr>
          <w:rFonts w:ascii="Arial Narrow" w:eastAsia="Arial Narrow" w:hAnsi="Arial Narrow" w:cs="Arial Narrow"/>
          <w:sz w:val="24"/>
          <w:szCs w:val="24"/>
        </w:rPr>
        <w:t>de</w:t>
      </w:r>
      <w:proofErr w:type="spellEnd"/>
      <w:r>
        <w:rPr>
          <w:rFonts w:ascii="Arial Narrow" w:eastAsia="Arial Narrow" w:hAnsi="Arial Narrow" w:cs="Arial Narrow"/>
          <w:sz w:val="24"/>
          <w:szCs w:val="24"/>
        </w:rPr>
        <w:t xml:space="preserve"> octubre, los ponentes Pedro </w:t>
      </w:r>
      <w:proofErr w:type="spellStart"/>
      <w:r>
        <w:rPr>
          <w:rFonts w:ascii="Arial Narrow" w:eastAsia="Arial Narrow" w:hAnsi="Arial Narrow" w:cs="Arial Narrow"/>
          <w:sz w:val="24"/>
          <w:szCs w:val="24"/>
        </w:rPr>
        <w:t>Jose</w:t>
      </w:r>
      <w:proofErr w:type="spellEnd"/>
      <w:r>
        <w:rPr>
          <w:rFonts w:ascii="Arial Narrow" w:eastAsia="Arial Narrow" w:hAnsi="Arial Narrow" w:cs="Arial Narrow"/>
          <w:sz w:val="24"/>
          <w:szCs w:val="24"/>
        </w:rPr>
        <w:t xml:space="preserve"> Suarez </w:t>
      </w:r>
      <w:proofErr w:type="spellStart"/>
      <w:r>
        <w:rPr>
          <w:rFonts w:ascii="Arial Narrow" w:eastAsia="Arial Narrow" w:hAnsi="Arial Narrow" w:cs="Arial Narrow"/>
          <w:sz w:val="24"/>
          <w:szCs w:val="24"/>
        </w:rPr>
        <w:t>Vacca</w:t>
      </w:r>
      <w:proofErr w:type="spellEnd"/>
      <w:r>
        <w:rPr>
          <w:rFonts w:ascii="Arial Narrow" w:eastAsia="Arial Narrow" w:hAnsi="Arial Narrow" w:cs="Arial Narrow"/>
          <w:sz w:val="24"/>
          <w:szCs w:val="24"/>
        </w:rPr>
        <w:t xml:space="preserve"> y Jennifer </w:t>
      </w:r>
      <w:proofErr w:type="spellStart"/>
      <w:r>
        <w:rPr>
          <w:rFonts w:ascii="Arial Narrow" w:eastAsia="Arial Narrow" w:hAnsi="Arial Narrow" w:cs="Arial Narrow"/>
          <w:sz w:val="24"/>
          <w:szCs w:val="24"/>
        </w:rPr>
        <w:t>Dalley</w:t>
      </w:r>
      <w:proofErr w:type="spellEnd"/>
      <w:r>
        <w:rPr>
          <w:rFonts w:ascii="Arial Narrow" w:eastAsia="Arial Narrow" w:hAnsi="Arial Narrow" w:cs="Arial Narrow"/>
          <w:sz w:val="24"/>
          <w:szCs w:val="24"/>
        </w:rPr>
        <w:t xml:space="preserve"> Pedraza Sandoval solicitaron los conceptos técnicos- jurídicos sobre el contenido del presente proyecto a las siguientes entidades: La Fiscalía General de la Nación, el Mi</w:t>
      </w:r>
      <w:r>
        <w:rPr>
          <w:rFonts w:ascii="Arial Narrow" w:eastAsia="Arial Narrow" w:hAnsi="Arial Narrow" w:cs="Arial Narrow"/>
          <w:sz w:val="24"/>
          <w:szCs w:val="24"/>
        </w:rPr>
        <w:t xml:space="preserve">nisterio de Defensa, la Oficina del Alto Comisionado </w:t>
      </w:r>
      <w:r>
        <w:rPr>
          <w:rFonts w:ascii="Arial Narrow" w:eastAsia="Arial Narrow" w:hAnsi="Arial Narrow" w:cs="Arial Narrow"/>
          <w:sz w:val="24"/>
          <w:szCs w:val="24"/>
        </w:rPr>
        <w:lastRenderedPageBreak/>
        <w:t xml:space="preserve">para la Paz, la Defensoría del Pueblo, el  Consejo de Política Criminal, la UARIV, el Centro Nacional de Memoria Histórica y el Observatorio de Derechos Humanos y Conflictividades de </w:t>
      </w:r>
      <w:proofErr w:type="spellStart"/>
      <w:r>
        <w:rPr>
          <w:rFonts w:ascii="Arial Narrow" w:eastAsia="Arial Narrow" w:hAnsi="Arial Narrow" w:cs="Arial Narrow"/>
          <w:sz w:val="24"/>
          <w:szCs w:val="24"/>
        </w:rPr>
        <w:t>Indepaz</w:t>
      </w:r>
      <w:proofErr w:type="spellEnd"/>
      <w:r>
        <w:rPr>
          <w:rFonts w:ascii="Arial Narrow" w:eastAsia="Arial Narrow" w:hAnsi="Arial Narrow" w:cs="Arial Narrow"/>
          <w:sz w:val="24"/>
          <w:szCs w:val="24"/>
        </w:rPr>
        <w:t>.</w:t>
      </w:r>
    </w:p>
    <w:p w:rsidR="00987073" w:rsidRDefault="00987073">
      <w:pPr>
        <w:jc w:val="both"/>
        <w:rPr>
          <w:rFonts w:ascii="Arial Narrow" w:eastAsia="Arial Narrow" w:hAnsi="Arial Narrow" w:cs="Arial Narrow"/>
          <w:b/>
          <w:sz w:val="24"/>
          <w:szCs w:val="24"/>
        </w:rPr>
      </w:pPr>
    </w:p>
    <w:p w:rsidR="00987073" w:rsidRDefault="00090880">
      <w:pPr>
        <w:numPr>
          <w:ilvl w:val="0"/>
          <w:numId w:val="2"/>
        </w:numPr>
        <w:jc w:val="both"/>
        <w:rPr>
          <w:rFonts w:ascii="Arial Narrow" w:eastAsia="Arial Narrow" w:hAnsi="Arial Narrow" w:cs="Arial Narrow"/>
          <w:b/>
          <w:sz w:val="24"/>
          <w:szCs w:val="24"/>
        </w:rPr>
      </w:pPr>
      <w:r>
        <w:rPr>
          <w:rFonts w:ascii="Arial Narrow" w:eastAsia="Arial Narrow" w:hAnsi="Arial Narrow" w:cs="Arial Narrow"/>
          <w:b/>
          <w:sz w:val="24"/>
          <w:szCs w:val="24"/>
        </w:rPr>
        <w:t>SÍNTESIS D</w:t>
      </w:r>
      <w:r>
        <w:rPr>
          <w:rFonts w:ascii="Arial Narrow" w:eastAsia="Arial Narrow" w:hAnsi="Arial Narrow" w:cs="Arial Narrow"/>
          <w:b/>
          <w:sz w:val="24"/>
          <w:szCs w:val="24"/>
        </w:rPr>
        <w:t xml:space="preserve">EL PROYECTO. </w:t>
      </w:r>
    </w:p>
    <w:p w:rsidR="00987073" w:rsidRDefault="00987073">
      <w:pPr>
        <w:jc w:val="both"/>
        <w:rPr>
          <w:rFonts w:ascii="Arial Narrow" w:eastAsia="Arial Narrow" w:hAnsi="Arial Narrow" w:cs="Arial Narrow"/>
          <w:b/>
          <w:sz w:val="24"/>
          <w:szCs w:val="24"/>
        </w:rPr>
      </w:pPr>
    </w:p>
    <w:p w:rsidR="00987073" w:rsidRDefault="00090880">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El proyecto de ley consta de 7 artículos, en los cuales se desarrolla el objeto de la iniciativa basado en la creación de un reporte público de secuestrados, que estará a cargo del Ministerio de Defensa en articulación con el Alto Comisionad</w:t>
      </w:r>
      <w:r>
        <w:rPr>
          <w:rFonts w:ascii="Arial Narrow" w:eastAsia="Arial Narrow" w:hAnsi="Arial Narrow" w:cs="Arial Narrow"/>
          <w:sz w:val="24"/>
          <w:szCs w:val="24"/>
        </w:rPr>
        <w:t xml:space="preserve">o para la paz, la Defensoría del Pueblo y la Fiscalía General, compuesto por dos elementos: El listado de los casos y las cifras de secuestros. </w:t>
      </w:r>
    </w:p>
    <w:p w:rsidR="00987073" w:rsidRDefault="00090880">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El listado debe contener como mínimo el nombre completo del secuestrado, si la víctima es un civil o un miembro</w:t>
      </w:r>
      <w:r>
        <w:rPr>
          <w:rFonts w:ascii="Arial Narrow" w:eastAsia="Arial Narrow" w:hAnsi="Arial Narrow" w:cs="Arial Narrow"/>
          <w:sz w:val="24"/>
          <w:szCs w:val="24"/>
        </w:rPr>
        <w:t xml:space="preserve"> de la fuerza pública, sexo, edad, fecha del secuestro, posible grupo armado o victimario, foto y si este se encuentra en cautiverio o si ya fue liberado. En este componente también se incluyen los secuestros ocurridos en el exterior. Por su parte las cifr</w:t>
      </w:r>
      <w:r>
        <w:rPr>
          <w:rFonts w:ascii="Arial Narrow" w:eastAsia="Arial Narrow" w:hAnsi="Arial Narrow" w:cs="Arial Narrow"/>
          <w:sz w:val="24"/>
          <w:szCs w:val="24"/>
        </w:rPr>
        <w:t xml:space="preserve">as segregaran por departamento, mes y año, junto al sexo y edad, etc. </w:t>
      </w:r>
    </w:p>
    <w:p w:rsidR="00987073" w:rsidRDefault="00090880">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Dicho reporte como se mencionó será público por lo cual, estará publicado en la página web del Ministerio de Defensa, además de que los casos serán difundidos cada 15 días por los medio</w:t>
      </w:r>
      <w:r>
        <w:rPr>
          <w:rFonts w:ascii="Arial Narrow" w:eastAsia="Arial Narrow" w:hAnsi="Arial Narrow" w:cs="Arial Narrow"/>
          <w:sz w:val="24"/>
          <w:szCs w:val="24"/>
        </w:rPr>
        <w:t xml:space="preserve">s de comunicación en las franjas con mayor audiencia. </w:t>
      </w:r>
    </w:p>
    <w:p w:rsidR="00987073" w:rsidRDefault="00987073">
      <w:pPr>
        <w:jc w:val="both"/>
        <w:rPr>
          <w:rFonts w:ascii="Arial Narrow" w:eastAsia="Arial Narrow" w:hAnsi="Arial Narrow" w:cs="Arial Narrow"/>
          <w:b/>
          <w:sz w:val="24"/>
          <w:szCs w:val="24"/>
        </w:rPr>
      </w:pPr>
    </w:p>
    <w:p w:rsidR="00987073" w:rsidRDefault="00090880">
      <w:pPr>
        <w:numPr>
          <w:ilvl w:val="0"/>
          <w:numId w:val="2"/>
        </w:numPr>
        <w:jc w:val="both"/>
        <w:rPr>
          <w:rFonts w:ascii="Arial Narrow" w:eastAsia="Arial Narrow" w:hAnsi="Arial Narrow" w:cs="Arial Narrow"/>
          <w:b/>
          <w:sz w:val="24"/>
          <w:szCs w:val="24"/>
        </w:rPr>
      </w:pPr>
      <w:r>
        <w:rPr>
          <w:rFonts w:ascii="Arial Narrow" w:eastAsia="Arial Narrow" w:hAnsi="Arial Narrow" w:cs="Arial Narrow"/>
          <w:b/>
          <w:sz w:val="24"/>
          <w:szCs w:val="24"/>
        </w:rPr>
        <w:t>JUSTIFICACIÓN DE LA PONENCIA NEGATIVA.</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proyecto de ley propone la creación del Reporte Público de Secuestrados con un objetivo </w:t>
      </w:r>
      <w:proofErr w:type="gramStart"/>
      <w:r>
        <w:rPr>
          <w:rFonts w:ascii="Arial Narrow" w:eastAsia="Arial Narrow" w:hAnsi="Arial Narrow" w:cs="Arial Narrow"/>
          <w:sz w:val="24"/>
          <w:szCs w:val="24"/>
        </w:rPr>
        <w:t>que</w:t>
      </w:r>
      <w:proofErr w:type="gramEnd"/>
      <w:r>
        <w:rPr>
          <w:rFonts w:ascii="Arial Narrow" w:eastAsia="Arial Narrow" w:hAnsi="Arial Narrow" w:cs="Arial Narrow"/>
          <w:sz w:val="24"/>
          <w:szCs w:val="24"/>
        </w:rPr>
        <w:t xml:space="preserve"> aunque loable puede presentar serias complicaciones y preocupaciones que no se pueden pasar por alto. </w:t>
      </w:r>
      <w:proofErr w:type="gramStart"/>
      <w:r>
        <w:rPr>
          <w:rFonts w:ascii="Arial Narrow" w:eastAsia="Arial Narrow" w:hAnsi="Arial Narrow" w:cs="Arial Narrow"/>
          <w:sz w:val="24"/>
          <w:szCs w:val="24"/>
        </w:rPr>
        <w:t>Pues</w:t>
      </w:r>
      <w:proofErr w:type="gramEnd"/>
      <w:r>
        <w:rPr>
          <w:rFonts w:ascii="Arial Narrow" w:eastAsia="Arial Narrow" w:hAnsi="Arial Narrow" w:cs="Arial Narrow"/>
          <w:sz w:val="24"/>
          <w:szCs w:val="24"/>
        </w:rPr>
        <w:t xml:space="preserve"> aunque la presente iniciativa legislativa busca visibi</w:t>
      </w:r>
      <w:r>
        <w:rPr>
          <w:rFonts w:ascii="Arial Narrow" w:eastAsia="Arial Narrow" w:hAnsi="Arial Narrow" w:cs="Arial Narrow"/>
          <w:sz w:val="24"/>
          <w:szCs w:val="24"/>
        </w:rPr>
        <w:t>lizar los casos de secuestro y facilitar la pronta liberación de las víctimas, tal como está la propuesta puede conllevar dificultades respecto a la publicidad de la información, la convencionalidad con normas internacionales en materia de Derecho Internac</w:t>
      </w:r>
      <w:r>
        <w:rPr>
          <w:rFonts w:ascii="Arial Narrow" w:eastAsia="Arial Narrow" w:hAnsi="Arial Narrow" w:cs="Arial Narrow"/>
          <w:sz w:val="24"/>
          <w:szCs w:val="24"/>
        </w:rPr>
        <w:t xml:space="preserve">ional Humanitario y finalmente su implementación; entre algunas otras que expondremos a continuación y que justifican la presente ponencia negativa. </w:t>
      </w:r>
    </w:p>
    <w:p w:rsidR="00987073" w:rsidRDefault="00090880">
      <w:p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3.1 Vulneración del principio legal de la información y el derecho a la intimidad</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 primer lugar, es cruc</w:t>
      </w:r>
      <w:r>
        <w:rPr>
          <w:rFonts w:ascii="Arial Narrow" w:eastAsia="Arial Narrow" w:hAnsi="Arial Narrow" w:cs="Arial Narrow"/>
          <w:sz w:val="24"/>
          <w:szCs w:val="24"/>
        </w:rPr>
        <w:t>ial destacar que la publicación de información sensible sobre las víctimas de secuestro vulnera el principio de reserva legal de la información. Este principio se basa en la necesidad de proteger la vida, la dignidad y la integridad de las personas afectad</w:t>
      </w:r>
      <w:r>
        <w:rPr>
          <w:rFonts w:ascii="Arial Narrow" w:eastAsia="Arial Narrow" w:hAnsi="Arial Narrow" w:cs="Arial Narrow"/>
          <w:sz w:val="24"/>
          <w:szCs w:val="24"/>
        </w:rPr>
        <w:t>as, así como de sus familias. La propuesta de listar públicamente nombres, edades, ubicaciones y detalles del secuestro no sólo despoja a las víctimas de su privacidad, sino que también puede poner en riesgo su seguridad personal y la de su familia, al exp</w:t>
      </w:r>
      <w:r>
        <w:rPr>
          <w:rFonts w:ascii="Arial Narrow" w:eastAsia="Arial Narrow" w:hAnsi="Arial Narrow" w:cs="Arial Narrow"/>
          <w:sz w:val="24"/>
          <w:szCs w:val="24"/>
        </w:rPr>
        <w:t xml:space="preserve">onerles en todos los medios. </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La divulgación de datos tan delicados transforma a las víctimas en objetos de exhibición, lo que es profundamente deshumanizante. Al hacer pública esta información, estamos no sólo violando su derecho a la intimidad, sino tamb</w:t>
      </w:r>
      <w:r>
        <w:rPr>
          <w:rFonts w:ascii="Arial Narrow" w:eastAsia="Arial Narrow" w:hAnsi="Arial Narrow" w:cs="Arial Narrow"/>
          <w:sz w:val="24"/>
          <w:szCs w:val="24"/>
        </w:rPr>
        <w:t>ién potencialmente incrementando el riesgo de represalias por parte de los captores, quienes podrían verse motivados a actuar con mayor violencia o a cambiar sus tácticas ante la presión mediática y pública.</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Adicionalmente, esta iniciativa afecta gravement</w:t>
      </w:r>
      <w:r>
        <w:rPr>
          <w:rFonts w:ascii="Arial Narrow" w:eastAsia="Arial Narrow" w:hAnsi="Arial Narrow" w:cs="Arial Narrow"/>
          <w:sz w:val="24"/>
          <w:szCs w:val="24"/>
        </w:rPr>
        <w:t xml:space="preserve">e a las familias de las víctimas. La exposición pública de su sufrimiento no solo agrava el trauma que ya están experimentando, sino que también puede aumentar la estigmatización social y el riesgo </w:t>
      </w:r>
      <w:proofErr w:type="gramStart"/>
      <w:r>
        <w:rPr>
          <w:rFonts w:ascii="Arial Narrow" w:eastAsia="Arial Narrow" w:hAnsi="Arial Narrow" w:cs="Arial Narrow"/>
          <w:sz w:val="24"/>
          <w:szCs w:val="24"/>
        </w:rPr>
        <w:t>en  su</w:t>
      </w:r>
      <w:proofErr w:type="gramEnd"/>
      <w:r>
        <w:rPr>
          <w:rFonts w:ascii="Arial Narrow" w:eastAsia="Arial Narrow" w:hAnsi="Arial Narrow" w:cs="Arial Narrow"/>
          <w:sz w:val="24"/>
          <w:szCs w:val="24"/>
        </w:rPr>
        <w:t xml:space="preserve"> seguridad. Las familias merecen espacio para buscar</w:t>
      </w:r>
      <w:r>
        <w:rPr>
          <w:rFonts w:ascii="Arial Narrow" w:eastAsia="Arial Narrow" w:hAnsi="Arial Narrow" w:cs="Arial Narrow"/>
          <w:sz w:val="24"/>
          <w:szCs w:val="24"/>
        </w:rPr>
        <w:t xml:space="preserve"> justicia y sanación sin la presión de ser observadas y juzgadas por el público.</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Asimismo, la propuesta carece de mecanismos adecuados que garanticen la protección de la información personal. A pesar de los buenos deseos de los entes responsables, la reali</w:t>
      </w:r>
      <w:r>
        <w:rPr>
          <w:rFonts w:ascii="Arial Narrow" w:eastAsia="Arial Narrow" w:hAnsi="Arial Narrow" w:cs="Arial Narrow"/>
          <w:sz w:val="24"/>
          <w:szCs w:val="24"/>
        </w:rPr>
        <w:t>dad es que la filtración y el mal uso de datos sensibles son problemas comunes en la era digital. Una vez que esta información esté disponible públicamente, se torna casi imposible controlar su difusión y uso.</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Así las cosas, aunque la intención de aumentar</w:t>
      </w:r>
      <w:r>
        <w:rPr>
          <w:rFonts w:ascii="Arial Narrow" w:eastAsia="Arial Narrow" w:hAnsi="Arial Narrow" w:cs="Arial Narrow"/>
          <w:sz w:val="24"/>
          <w:szCs w:val="24"/>
        </w:rPr>
        <w:t xml:space="preserve"> la visibilidad de los casos de secuestro es comprensible, el método propuesto resulta sumamente inconveniente y perjudicial. La protección de la privacidad y la dignidad de las víctimas debe ser la prioridad en cualquier esfuerzo para abordar esta problem</w:t>
      </w:r>
      <w:r>
        <w:rPr>
          <w:rFonts w:ascii="Arial Narrow" w:eastAsia="Arial Narrow" w:hAnsi="Arial Narrow" w:cs="Arial Narrow"/>
          <w:sz w:val="24"/>
          <w:szCs w:val="24"/>
        </w:rPr>
        <w:t>ática. Instamos a reconsiderar esta iniciativa y a explorar alternativas que permitan visibilizar el problema sin poner en riesgo a quienes ya han sufrido tanto. La entrega de información biográfica de personas que podrían estar atravesando momentos difíci</w:t>
      </w:r>
      <w:r>
        <w:rPr>
          <w:rFonts w:ascii="Arial Narrow" w:eastAsia="Arial Narrow" w:hAnsi="Arial Narrow" w:cs="Arial Narrow"/>
          <w:sz w:val="24"/>
          <w:szCs w:val="24"/>
        </w:rPr>
        <w:t xml:space="preserve">les puede llevar a una </w:t>
      </w:r>
      <w:proofErr w:type="spellStart"/>
      <w:r>
        <w:rPr>
          <w:rFonts w:ascii="Arial Narrow" w:eastAsia="Arial Narrow" w:hAnsi="Arial Narrow" w:cs="Arial Narrow"/>
          <w:sz w:val="24"/>
          <w:szCs w:val="24"/>
        </w:rPr>
        <w:t>revictimización</w:t>
      </w:r>
      <w:proofErr w:type="spellEnd"/>
      <w:r>
        <w:rPr>
          <w:rFonts w:ascii="Arial Narrow" w:eastAsia="Arial Narrow" w:hAnsi="Arial Narrow" w:cs="Arial Narrow"/>
          <w:sz w:val="24"/>
          <w:szCs w:val="24"/>
        </w:rPr>
        <w:t xml:space="preserve">. Por lo tanto, es fundamental asegurar que esta información no sea difundida ni entregada de manera indiscriminada. </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Conforme a lo anterior, la publicidad de archivos relacionados con personas secuestradas vulnera el </w:t>
      </w:r>
      <w:r>
        <w:rPr>
          <w:rFonts w:ascii="Arial Narrow" w:eastAsia="Arial Narrow" w:hAnsi="Arial Narrow" w:cs="Arial Narrow"/>
          <w:sz w:val="24"/>
          <w:szCs w:val="24"/>
        </w:rPr>
        <w:t>principio de reserva legal, ya que la información contenida en dichos archivos puede afectar el derecho a la intimidad de las personas potencialmente vinculadas al delito, así como el de terceros. En cumplimiento del deber de garantizar este derecho fundam</w:t>
      </w:r>
      <w:r>
        <w:rPr>
          <w:rFonts w:ascii="Arial Narrow" w:eastAsia="Arial Narrow" w:hAnsi="Arial Narrow" w:cs="Arial Narrow"/>
          <w:sz w:val="24"/>
          <w:szCs w:val="24"/>
        </w:rPr>
        <w:t>ental, tal como lo establece la Ley 594 de 2000, conocida como la "Ley General de Archivos", en su artículo 27, así como los demás derechos consagrados en la Constitución y la legislación vigente, afirmamos que esta información debe ser considerada como pr</w:t>
      </w:r>
      <w:r>
        <w:rPr>
          <w:rFonts w:ascii="Arial Narrow" w:eastAsia="Arial Narrow" w:hAnsi="Arial Narrow" w:cs="Arial Narrow"/>
          <w:sz w:val="24"/>
          <w:szCs w:val="24"/>
        </w:rPr>
        <w:t>otegida por una reserva legal.</w:t>
      </w:r>
    </w:p>
    <w:p w:rsidR="00987073" w:rsidRDefault="00090880">
      <w:pPr>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Esto se debe a que la información en cuestión tiene un alto grado de sensibilidad, ya que forma parte de la intimidad de las personas que presuntamente están siendo víctimas del flagelo del secuestro. Este derecho está especi</w:t>
      </w:r>
      <w:r>
        <w:rPr>
          <w:rFonts w:ascii="Arial Narrow" w:eastAsia="Arial Narrow" w:hAnsi="Arial Narrow" w:cs="Arial Narrow"/>
          <w:sz w:val="24"/>
          <w:szCs w:val="24"/>
        </w:rPr>
        <w:t xml:space="preserve">almente protegido por el artículo 15 de la Constitución Política de Colombia, que establece: “Todas las personas tienen derecho a su intimidad personal y familiar y a su buen nombre, </w:t>
      </w:r>
      <w:r>
        <w:rPr>
          <w:rFonts w:ascii="Arial Narrow" w:eastAsia="Arial Narrow" w:hAnsi="Arial Narrow" w:cs="Arial Narrow"/>
          <w:b/>
          <w:sz w:val="24"/>
          <w:szCs w:val="24"/>
          <w:u w:val="single"/>
        </w:rPr>
        <w:t>y el Estado debe respetarlos y hacerlos respetar</w:t>
      </w:r>
      <w:r>
        <w:rPr>
          <w:rFonts w:ascii="Arial Narrow" w:eastAsia="Arial Narrow" w:hAnsi="Arial Narrow" w:cs="Arial Narrow"/>
          <w:sz w:val="24"/>
          <w:szCs w:val="24"/>
        </w:rPr>
        <w:t xml:space="preserve">” (negrillas y subrayado </w:t>
      </w:r>
      <w:r>
        <w:rPr>
          <w:rFonts w:ascii="Arial Narrow" w:eastAsia="Arial Narrow" w:hAnsi="Arial Narrow" w:cs="Arial Narrow"/>
          <w:sz w:val="24"/>
          <w:szCs w:val="24"/>
        </w:rPr>
        <w:t>fuera del texto original).</w:t>
      </w:r>
    </w:p>
    <w:p w:rsidR="00987073" w:rsidRDefault="00090880">
      <w:pPr>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Asimismo, la Constitución Nacional en su artículo 74 establece que “</w:t>
      </w:r>
      <w:r>
        <w:rPr>
          <w:rFonts w:ascii="Arial Narrow" w:eastAsia="Arial Narrow" w:hAnsi="Arial Narrow" w:cs="Arial Narrow"/>
          <w:i/>
          <w:sz w:val="24"/>
          <w:szCs w:val="24"/>
        </w:rPr>
        <w:t xml:space="preserve">Todas las personas tienen derecho a acceder a los documentos públicos </w:t>
      </w:r>
      <w:r>
        <w:rPr>
          <w:rFonts w:ascii="Arial Narrow" w:eastAsia="Arial Narrow" w:hAnsi="Arial Narrow" w:cs="Arial Narrow"/>
          <w:b/>
          <w:i/>
          <w:sz w:val="24"/>
          <w:szCs w:val="24"/>
        </w:rPr>
        <w:t>salvo los casos que establezca la ley.”</w:t>
      </w:r>
      <w:r>
        <w:rPr>
          <w:rFonts w:ascii="Arial Narrow" w:eastAsia="Arial Narrow" w:hAnsi="Arial Narrow" w:cs="Arial Narrow"/>
          <w:sz w:val="24"/>
          <w:szCs w:val="24"/>
        </w:rPr>
        <w:t xml:space="preserve"> </w:t>
      </w:r>
    </w:p>
    <w:p w:rsidR="00987073" w:rsidRDefault="00090880">
      <w:pPr>
        <w:shd w:val="clear" w:color="auto" w:fill="FFFFFF"/>
        <w:spacing w:before="240" w:after="240"/>
        <w:jc w:val="both"/>
        <w:rPr>
          <w:rFonts w:ascii="Arial Narrow" w:eastAsia="Arial Narrow" w:hAnsi="Arial Narrow" w:cs="Arial Narrow"/>
          <w:i/>
          <w:sz w:val="24"/>
          <w:szCs w:val="24"/>
        </w:rPr>
      </w:pPr>
      <w:r>
        <w:rPr>
          <w:rFonts w:ascii="Arial Narrow" w:eastAsia="Arial Narrow" w:hAnsi="Arial Narrow" w:cs="Arial Narrow"/>
          <w:sz w:val="24"/>
          <w:szCs w:val="24"/>
        </w:rPr>
        <w:t>Lo cual es concordante con las diferentes disposic</w:t>
      </w:r>
      <w:r>
        <w:rPr>
          <w:rFonts w:ascii="Arial Narrow" w:eastAsia="Arial Narrow" w:hAnsi="Arial Narrow" w:cs="Arial Narrow"/>
          <w:sz w:val="24"/>
          <w:szCs w:val="24"/>
        </w:rPr>
        <w:t>iones del Código de Procedimiento Administrativo y de lo Contencioso Administrativo que citamos a continuación:</w:t>
      </w:r>
      <w:r>
        <w:rPr>
          <w:rFonts w:ascii="Arial Narrow" w:eastAsia="Arial Narrow" w:hAnsi="Arial Narrow" w:cs="Arial Narrow"/>
          <w:i/>
          <w:sz w:val="24"/>
          <w:szCs w:val="24"/>
        </w:rPr>
        <w:t xml:space="preserve"> </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Artículo 3°. Principios. Todas las autoridades deberán interpretar y aplicar las disposiciones que regulan las actuaciones y procedimiento</w:t>
      </w:r>
      <w:r>
        <w:rPr>
          <w:rFonts w:ascii="Arial Narrow" w:eastAsia="Arial Narrow" w:hAnsi="Arial Narrow" w:cs="Arial Narrow"/>
          <w:i/>
          <w:sz w:val="24"/>
          <w:szCs w:val="24"/>
        </w:rPr>
        <w:t xml:space="preserve">s administrativos a la luz de los principios consagrados en la Constitución Política, en la Parte Primera de este Código y en las leyes especiales. (…) </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8. En virtud del principio de transparencia, la actividad administrativa es del dominio público, por consiguiente, toda persona puede conocer las actuaciones de la administración, </w:t>
      </w:r>
      <w:r>
        <w:rPr>
          <w:rFonts w:ascii="Arial Narrow" w:eastAsia="Arial Narrow" w:hAnsi="Arial Narrow" w:cs="Arial Narrow"/>
          <w:b/>
          <w:i/>
          <w:sz w:val="24"/>
          <w:szCs w:val="24"/>
        </w:rPr>
        <w:t>salvo reserva legal</w:t>
      </w:r>
      <w:r>
        <w:rPr>
          <w:rFonts w:ascii="Arial Narrow" w:eastAsia="Arial Narrow" w:hAnsi="Arial Narrow" w:cs="Arial Narrow"/>
          <w:i/>
          <w:sz w:val="24"/>
          <w:szCs w:val="24"/>
        </w:rPr>
        <w:t>. (…)</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lastRenderedPageBreak/>
        <w:t>Artículo 5º. Derechos de las personas ante las auto</w:t>
      </w:r>
      <w:r>
        <w:rPr>
          <w:rFonts w:ascii="Arial Narrow" w:eastAsia="Arial Narrow" w:hAnsi="Arial Narrow" w:cs="Arial Narrow"/>
          <w:i/>
          <w:sz w:val="24"/>
          <w:szCs w:val="24"/>
        </w:rPr>
        <w:t>ridades. En sus relaciones con las autoridades toda persona tiene derecho a: (…)</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 </w:t>
      </w:r>
      <w:r>
        <w:rPr>
          <w:rFonts w:ascii="Arial Narrow" w:eastAsia="Arial Narrow" w:hAnsi="Arial Narrow" w:cs="Arial Narrow"/>
          <w:i/>
          <w:sz w:val="24"/>
          <w:szCs w:val="24"/>
        </w:rPr>
        <w:t xml:space="preserve">2. Conocer, </w:t>
      </w:r>
      <w:r>
        <w:rPr>
          <w:rFonts w:ascii="Arial Narrow" w:eastAsia="Arial Narrow" w:hAnsi="Arial Narrow" w:cs="Arial Narrow"/>
          <w:b/>
          <w:i/>
          <w:sz w:val="24"/>
          <w:szCs w:val="24"/>
        </w:rPr>
        <w:t>salvo expresa reserva legal</w:t>
      </w:r>
      <w:r>
        <w:rPr>
          <w:rFonts w:ascii="Arial Narrow" w:eastAsia="Arial Narrow" w:hAnsi="Arial Narrow" w:cs="Arial Narrow"/>
          <w:i/>
          <w:sz w:val="24"/>
          <w:szCs w:val="24"/>
        </w:rPr>
        <w:t>, el estado de cualquier actuación o trámite y obtener copias, a su costa, de los respectivos documentos.</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3. </w:t>
      </w:r>
      <w:r>
        <w:rPr>
          <w:rFonts w:ascii="Arial Narrow" w:eastAsia="Arial Narrow" w:hAnsi="Arial Narrow" w:cs="Arial Narrow"/>
          <w:b/>
          <w:i/>
          <w:sz w:val="24"/>
          <w:szCs w:val="24"/>
        </w:rPr>
        <w:t>Salvo reserva legal</w:t>
      </w:r>
      <w:r>
        <w:rPr>
          <w:rFonts w:ascii="Arial Narrow" w:eastAsia="Arial Narrow" w:hAnsi="Arial Narrow" w:cs="Arial Narrow"/>
          <w:i/>
          <w:sz w:val="24"/>
          <w:szCs w:val="24"/>
        </w:rPr>
        <w:t>, obte</w:t>
      </w:r>
      <w:r>
        <w:rPr>
          <w:rFonts w:ascii="Arial Narrow" w:eastAsia="Arial Narrow" w:hAnsi="Arial Narrow" w:cs="Arial Narrow"/>
          <w:i/>
          <w:sz w:val="24"/>
          <w:szCs w:val="24"/>
        </w:rPr>
        <w:t>ner información que repose en los registros y archivos públicos en los términos previstos por la Constitución y las leyes.</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w:t>
      </w:r>
      <w:r>
        <w:rPr>
          <w:rFonts w:ascii="Arial Narrow" w:eastAsia="Arial Narrow" w:hAnsi="Arial Narrow" w:cs="Arial Narrow"/>
          <w:sz w:val="24"/>
          <w:szCs w:val="24"/>
        </w:rPr>
        <w:t>Artículo 36.</w:t>
      </w:r>
      <w:r>
        <w:rPr>
          <w:rFonts w:ascii="Arial Narrow" w:eastAsia="Arial Narrow" w:hAnsi="Arial Narrow" w:cs="Arial Narrow"/>
          <w:i/>
          <w:sz w:val="24"/>
          <w:szCs w:val="24"/>
        </w:rPr>
        <w:t xml:space="preserve"> Formación y examen de expedientes. Los documentos y diligencias relacionados con una misma actuación se organizarán en </w:t>
      </w:r>
      <w:r>
        <w:rPr>
          <w:rFonts w:ascii="Arial Narrow" w:eastAsia="Arial Narrow" w:hAnsi="Arial Narrow" w:cs="Arial Narrow"/>
          <w:i/>
          <w:sz w:val="24"/>
          <w:szCs w:val="24"/>
        </w:rPr>
        <w:t xml:space="preserve">un solo expediente, al cual se acumularán, con el fin de evitar decisiones contradictorias, de oficio o a petición de interesado, cualesquiera otros que se tramiten ante la misma autoridad. </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Si las actuaciones se </w:t>
      </w:r>
      <w:r>
        <w:rPr>
          <w:rFonts w:ascii="Arial Narrow" w:eastAsia="Arial Narrow" w:hAnsi="Arial Narrow" w:cs="Arial Narrow"/>
          <w:b/>
          <w:i/>
          <w:sz w:val="24"/>
          <w:szCs w:val="24"/>
        </w:rPr>
        <w:t>tramitaren</w:t>
      </w:r>
      <w:r>
        <w:rPr>
          <w:rFonts w:ascii="Arial Narrow" w:eastAsia="Arial Narrow" w:hAnsi="Arial Narrow" w:cs="Arial Narrow"/>
          <w:i/>
          <w:sz w:val="24"/>
          <w:szCs w:val="24"/>
        </w:rPr>
        <w:t xml:space="preserve"> ante distintas autoridades, la a</w:t>
      </w:r>
      <w:r>
        <w:rPr>
          <w:rFonts w:ascii="Arial Narrow" w:eastAsia="Arial Narrow" w:hAnsi="Arial Narrow" w:cs="Arial Narrow"/>
          <w:i/>
          <w:sz w:val="24"/>
          <w:szCs w:val="24"/>
        </w:rPr>
        <w:t xml:space="preserve">cumulación se hará en la entidad u organismo donde se realizó la primera actuación. Si alguna de ellas se opone a la acumulación, podrá acudirse, sin más trámite, al mecanismo de definición de competencias administrativas. </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Con los documentos que por manda</w:t>
      </w:r>
      <w:r>
        <w:rPr>
          <w:rFonts w:ascii="Arial Narrow" w:eastAsia="Arial Narrow" w:hAnsi="Arial Narrow" w:cs="Arial Narrow"/>
          <w:i/>
          <w:sz w:val="24"/>
          <w:szCs w:val="24"/>
        </w:rPr>
        <w:t>to de la Constitución Política o de la ley tengan el carácter de reservados y obren dentro de un expediente, se hará cuaderno separado.</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Cualquier persona tendrá derecho a examinar los expedientes en el estado en que se encuentren, </w:t>
      </w:r>
      <w:r>
        <w:rPr>
          <w:rFonts w:ascii="Arial Narrow" w:eastAsia="Arial Narrow" w:hAnsi="Arial Narrow" w:cs="Arial Narrow"/>
          <w:b/>
          <w:i/>
          <w:sz w:val="24"/>
          <w:szCs w:val="24"/>
        </w:rPr>
        <w:t>salvo los documentos o c</w:t>
      </w:r>
      <w:r>
        <w:rPr>
          <w:rFonts w:ascii="Arial Narrow" w:eastAsia="Arial Narrow" w:hAnsi="Arial Narrow" w:cs="Arial Narrow"/>
          <w:b/>
          <w:i/>
          <w:sz w:val="24"/>
          <w:szCs w:val="24"/>
        </w:rPr>
        <w:t>uadernos sujetos a reserva</w:t>
      </w:r>
      <w:r>
        <w:rPr>
          <w:rFonts w:ascii="Arial Narrow" w:eastAsia="Arial Narrow" w:hAnsi="Arial Narrow" w:cs="Arial Narrow"/>
          <w:i/>
          <w:sz w:val="24"/>
          <w:szCs w:val="24"/>
        </w:rPr>
        <w:t xml:space="preserve"> y a obtener copias y certificaciones sobre los mismos, las cuales se entregarán en los plazos señalados en el artículo 14.” (Resaltado por fuera de texto) </w:t>
      </w:r>
    </w:p>
    <w:p w:rsidR="00987073" w:rsidRDefault="00090880">
      <w:pPr>
        <w:shd w:val="clear" w:color="auto" w:fill="FFFFFF"/>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En este sentido, lo anteriormente expuesto sugiere que todos los archivos</w:t>
      </w:r>
      <w:r>
        <w:rPr>
          <w:rFonts w:ascii="Arial Narrow" w:eastAsia="Arial Narrow" w:hAnsi="Arial Narrow" w:cs="Arial Narrow"/>
          <w:b/>
          <w:sz w:val="24"/>
          <w:szCs w:val="24"/>
        </w:rPr>
        <w:t xml:space="preserve"> relacionados con la intimidad de las personas en el contexto del flagelo del secuestro están protegidos por una Reserva Legal especial. Esta reserva es estricta, lo que significa que no se trata de una simple Reserva Legal, sino que abarca un nivel de pro</w:t>
      </w:r>
      <w:r>
        <w:rPr>
          <w:rFonts w:ascii="Arial Narrow" w:eastAsia="Arial Narrow" w:hAnsi="Arial Narrow" w:cs="Arial Narrow"/>
          <w:b/>
          <w:sz w:val="24"/>
          <w:szCs w:val="24"/>
        </w:rPr>
        <w:t>tección más profundo y riguroso.</w:t>
      </w:r>
    </w:p>
    <w:p w:rsidR="00987073" w:rsidRDefault="00090880">
      <w:pPr>
        <w:shd w:val="clear" w:color="auto" w:fill="FFFFFF"/>
        <w:spacing w:before="240" w:after="240"/>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 En ese contexto es importante traer a colación lo estipulado en la Ley 1755 de 2015, en donde en su artículo 24 establece:</w:t>
      </w:r>
      <w:r>
        <w:rPr>
          <w:rFonts w:ascii="Arial Narrow" w:eastAsia="Arial Narrow" w:hAnsi="Arial Narrow" w:cs="Arial Narrow"/>
          <w:i/>
          <w:sz w:val="24"/>
          <w:szCs w:val="24"/>
        </w:rPr>
        <w:t xml:space="preserve"> </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Artículo 24. </w:t>
      </w:r>
      <w:r>
        <w:rPr>
          <w:rFonts w:ascii="Arial Narrow" w:eastAsia="Arial Narrow" w:hAnsi="Arial Narrow" w:cs="Arial Narrow"/>
          <w:b/>
          <w:i/>
          <w:sz w:val="24"/>
          <w:szCs w:val="24"/>
        </w:rPr>
        <w:t>Informaciones y documentos reservados</w:t>
      </w:r>
      <w:r>
        <w:rPr>
          <w:rFonts w:ascii="Arial Narrow" w:eastAsia="Arial Narrow" w:hAnsi="Arial Narrow" w:cs="Arial Narrow"/>
          <w:i/>
          <w:sz w:val="24"/>
          <w:szCs w:val="24"/>
        </w:rPr>
        <w:t xml:space="preserve">. Sólo tendrán carácter reservado las informaciones y documentos expresamente </w:t>
      </w:r>
      <w:r>
        <w:rPr>
          <w:rFonts w:ascii="Arial Narrow" w:eastAsia="Arial Narrow" w:hAnsi="Arial Narrow" w:cs="Arial Narrow"/>
          <w:b/>
          <w:i/>
          <w:sz w:val="24"/>
          <w:szCs w:val="24"/>
        </w:rPr>
        <w:t>sometidos a reserva por la Constitución o la ley, y en ESPECIAL:</w:t>
      </w:r>
    </w:p>
    <w:p w:rsidR="00987073" w:rsidRDefault="00090880">
      <w:pPr>
        <w:spacing w:after="60"/>
        <w:ind w:left="1420" w:hanging="360"/>
        <w:jc w:val="both"/>
        <w:rPr>
          <w:rFonts w:ascii="Arial Narrow" w:eastAsia="Arial Narrow" w:hAnsi="Arial Narrow" w:cs="Arial Narrow"/>
          <w:b/>
          <w:i/>
          <w:sz w:val="24"/>
          <w:szCs w:val="24"/>
        </w:rPr>
      </w:pPr>
      <w:r>
        <w:rPr>
          <w:rFonts w:ascii="Arial Narrow" w:eastAsia="Arial Narrow" w:hAnsi="Arial Narrow" w:cs="Arial Narrow"/>
          <w:b/>
          <w:i/>
          <w:sz w:val="24"/>
          <w:szCs w:val="24"/>
        </w:rPr>
        <w:t>1.</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b/>
          <w:i/>
          <w:sz w:val="24"/>
          <w:szCs w:val="24"/>
        </w:rPr>
        <w:t>Los relacionados con la defensa o seguridad nacionales.</w:t>
      </w:r>
    </w:p>
    <w:p w:rsidR="00987073" w:rsidRDefault="00090880">
      <w:pPr>
        <w:spacing w:before="240" w:after="240"/>
        <w:ind w:left="1420" w:hanging="360"/>
        <w:jc w:val="both"/>
        <w:rPr>
          <w:rFonts w:ascii="Arial Narrow" w:eastAsia="Arial Narrow" w:hAnsi="Arial Narrow" w:cs="Arial Narrow"/>
          <w:i/>
          <w:sz w:val="24"/>
          <w:szCs w:val="24"/>
        </w:rPr>
      </w:pPr>
      <w:r>
        <w:rPr>
          <w:rFonts w:ascii="Arial Narrow" w:eastAsia="Arial Narrow" w:hAnsi="Arial Narrow" w:cs="Arial Narrow"/>
          <w:b/>
          <w:i/>
          <w:sz w:val="24"/>
          <w:szCs w:val="24"/>
        </w:rPr>
        <w:t>2.</w:t>
      </w:r>
      <w:r>
        <w:rPr>
          <w:rFonts w:ascii="Arial Narrow" w:eastAsia="Arial Narrow" w:hAnsi="Arial Narrow" w:cs="Arial Narrow"/>
          <w:sz w:val="24"/>
          <w:szCs w:val="24"/>
        </w:rPr>
        <w:t xml:space="preserve">     </w:t>
      </w:r>
      <w:r>
        <w:rPr>
          <w:rFonts w:ascii="Arial Narrow" w:eastAsia="Arial Narrow" w:hAnsi="Arial Narrow" w:cs="Arial Narrow"/>
          <w:i/>
          <w:sz w:val="24"/>
          <w:szCs w:val="24"/>
        </w:rPr>
        <w:t>Las instrucciones en materia diplomática o s</w:t>
      </w:r>
      <w:r>
        <w:rPr>
          <w:rFonts w:ascii="Arial Narrow" w:eastAsia="Arial Narrow" w:hAnsi="Arial Narrow" w:cs="Arial Narrow"/>
          <w:i/>
          <w:sz w:val="24"/>
          <w:szCs w:val="24"/>
        </w:rPr>
        <w:t>obre negociaciones reservadas.</w:t>
      </w:r>
    </w:p>
    <w:p w:rsidR="00987073" w:rsidRDefault="00090880">
      <w:pPr>
        <w:ind w:left="1420" w:right="200" w:hanging="360"/>
        <w:jc w:val="both"/>
        <w:rPr>
          <w:rFonts w:ascii="Arial Narrow" w:eastAsia="Arial Narrow" w:hAnsi="Arial Narrow" w:cs="Arial Narrow"/>
          <w:i/>
          <w:sz w:val="24"/>
          <w:szCs w:val="24"/>
        </w:rPr>
      </w:pPr>
      <w:r>
        <w:rPr>
          <w:rFonts w:ascii="Arial Narrow" w:eastAsia="Arial Narrow" w:hAnsi="Arial Narrow" w:cs="Arial Narrow"/>
          <w:b/>
          <w:i/>
          <w:sz w:val="24"/>
          <w:szCs w:val="24"/>
        </w:rPr>
        <w:t>3.</w:t>
      </w:r>
      <w:r>
        <w:rPr>
          <w:rFonts w:ascii="Arial Narrow" w:eastAsia="Arial Narrow" w:hAnsi="Arial Narrow" w:cs="Arial Narrow"/>
          <w:sz w:val="24"/>
          <w:szCs w:val="24"/>
        </w:rPr>
        <w:t xml:space="preserve">   </w:t>
      </w:r>
      <w:r>
        <w:rPr>
          <w:rFonts w:ascii="Arial Narrow" w:eastAsia="Arial Narrow" w:hAnsi="Arial Narrow" w:cs="Arial Narrow"/>
          <w:b/>
          <w:i/>
          <w:sz w:val="24"/>
          <w:szCs w:val="24"/>
        </w:rPr>
        <w:t>Los que involucren derechos a la privacidad e intimidad de las personas</w:t>
      </w:r>
      <w:r>
        <w:rPr>
          <w:rFonts w:ascii="Arial Narrow" w:eastAsia="Arial Narrow" w:hAnsi="Arial Narrow" w:cs="Arial Narrow"/>
          <w:i/>
          <w:sz w:val="24"/>
          <w:szCs w:val="24"/>
        </w:rPr>
        <w:t>, incluidas en las hojas de vida, la historia laboral y los expedientes pensiona les y demás registros de personal que obren en los archivos de las i</w:t>
      </w:r>
      <w:r>
        <w:rPr>
          <w:rFonts w:ascii="Arial Narrow" w:eastAsia="Arial Narrow" w:hAnsi="Arial Narrow" w:cs="Arial Narrow"/>
          <w:i/>
          <w:sz w:val="24"/>
          <w:szCs w:val="24"/>
        </w:rPr>
        <w:t>nstituciones públicas o privadas, así como la historia clínica.</w:t>
      </w:r>
    </w:p>
    <w:p w:rsidR="00987073" w:rsidRDefault="00090880">
      <w:pPr>
        <w:spacing w:after="60"/>
        <w:ind w:left="1420" w:hanging="360"/>
        <w:jc w:val="both"/>
        <w:rPr>
          <w:rFonts w:ascii="Arial Narrow" w:eastAsia="Arial Narrow" w:hAnsi="Arial Narrow" w:cs="Arial Narrow"/>
          <w:i/>
          <w:sz w:val="24"/>
          <w:szCs w:val="24"/>
        </w:rPr>
      </w:pPr>
      <w:r>
        <w:rPr>
          <w:rFonts w:ascii="Arial Narrow" w:eastAsia="Arial Narrow" w:hAnsi="Arial Narrow" w:cs="Arial Narrow"/>
          <w:b/>
          <w:i/>
          <w:sz w:val="24"/>
          <w:szCs w:val="24"/>
        </w:rPr>
        <w:lastRenderedPageBreak/>
        <w:t>4.</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i/>
          <w:sz w:val="24"/>
          <w:szCs w:val="24"/>
        </w:rPr>
        <w:t>Los relativos a las condiciones financieras de las operaciones de crédito público y tesorería que realice la nación, así como a los estudios técnicos de valoración de los activos de la nación. Estos documentos e informaciones estarán sometidos a reserva po</w:t>
      </w:r>
      <w:r>
        <w:rPr>
          <w:rFonts w:ascii="Arial Narrow" w:eastAsia="Arial Narrow" w:hAnsi="Arial Narrow" w:cs="Arial Narrow"/>
          <w:i/>
          <w:sz w:val="24"/>
          <w:szCs w:val="24"/>
        </w:rPr>
        <w:t>r un término de seis (6) meses contados a partir de la realización de la respectiva operación.</w:t>
      </w:r>
    </w:p>
    <w:p w:rsidR="00987073" w:rsidRDefault="00090880">
      <w:pPr>
        <w:spacing w:after="60"/>
        <w:ind w:left="1420" w:hanging="360"/>
        <w:jc w:val="both"/>
        <w:rPr>
          <w:rFonts w:ascii="Arial Narrow" w:eastAsia="Arial Narrow" w:hAnsi="Arial Narrow" w:cs="Arial Narrow"/>
          <w:i/>
          <w:sz w:val="24"/>
          <w:szCs w:val="24"/>
        </w:rPr>
      </w:pPr>
      <w:r>
        <w:rPr>
          <w:rFonts w:ascii="Arial Narrow" w:eastAsia="Arial Narrow" w:hAnsi="Arial Narrow" w:cs="Arial Narrow"/>
          <w:b/>
          <w:i/>
          <w:sz w:val="24"/>
          <w:szCs w:val="24"/>
        </w:rPr>
        <w:t>5.</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i/>
          <w:sz w:val="24"/>
          <w:szCs w:val="24"/>
        </w:rPr>
        <w:t>Los datos referentes a la información financiera y comercial, en los términos de la Ley Estatutaria 1266 de 2008.</w:t>
      </w:r>
    </w:p>
    <w:p w:rsidR="00987073" w:rsidRDefault="00090880">
      <w:pPr>
        <w:spacing w:before="240" w:after="240"/>
        <w:ind w:left="1420" w:hanging="360"/>
        <w:jc w:val="both"/>
        <w:rPr>
          <w:rFonts w:ascii="Arial Narrow" w:eastAsia="Arial Narrow" w:hAnsi="Arial Narrow" w:cs="Arial Narrow"/>
          <w:sz w:val="24"/>
          <w:szCs w:val="24"/>
        </w:rPr>
      </w:pPr>
      <w:r>
        <w:rPr>
          <w:rFonts w:ascii="Arial Narrow" w:eastAsia="Arial Narrow" w:hAnsi="Arial Narrow" w:cs="Arial Narrow"/>
          <w:b/>
          <w:sz w:val="24"/>
          <w:szCs w:val="24"/>
        </w:rPr>
        <w:t>6.</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r>
      <w:r>
        <w:rPr>
          <w:rFonts w:ascii="Arial Narrow" w:eastAsia="Arial Narrow" w:hAnsi="Arial Narrow" w:cs="Arial Narrow"/>
          <w:i/>
          <w:sz w:val="24"/>
          <w:szCs w:val="24"/>
        </w:rPr>
        <w:t>Los protegidos por el secreto comer</w:t>
      </w:r>
      <w:r>
        <w:rPr>
          <w:rFonts w:ascii="Arial Narrow" w:eastAsia="Arial Narrow" w:hAnsi="Arial Narrow" w:cs="Arial Narrow"/>
          <w:i/>
          <w:sz w:val="24"/>
          <w:szCs w:val="24"/>
        </w:rPr>
        <w:t xml:space="preserve">cial o industrial, así como los planes estratégicos de las empresas </w:t>
      </w:r>
      <w:r>
        <w:rPr>
          <w:rFonts w:ascii="Arial Narrow" w:eastAsia="Arial Narrow" w:hAnsi="Arial Narrow" w:cs="Arial Narrow"/>
          <w:sz w:val="24"/>
          <w:szCs w:val="24"/>
        </w:rPr>
        <w:t>públicas de servicios públicos.</w:t>
      </w:r>
    </w:p>
    <w:p w:rsidR="00987073" w:rsidRDefault="00090880">
      <w:pPr>
        <w:spacing w:before="240" w:after="240"/>
        <w:ind w:left="1420" w:hanging="360"/>
        <w:jc w:val="both"/>
        <w:rPr>
          <w:rFonts w:ascii="Arial Narrow" w:eastAsia="Arial Narrow" w:hAnsi="Arial Narrow" w:cs="Arial Narrow"/>
          <w:sz w:val="24"/>
          <w:szCs w:val="24"/>
        </w:rPr>
      </w:pPr>
      <w:r>
        <w:rPr>
          <w:rFonts w:ascii="Arial Narrow" w:eastAsia="Arial Narrow" w:hAnsi="Arial Narrow" w:cs="Arial Narrow"/>
          <w:b/>
          <w:sz w:val="24"/>
          <w:szCs w:val="24"/>
        </w:rPr>
        <w:t>7.</w:t>
      </w:r>
      <w:r>
        <w:rPr>
          <w:rFonts w:ascii="Arial Narrow" w:eastAsia="Arial Narrow" w:hAnsi="Arial Narrow" w:cs="Arial Narrow"/>
          <w:sz w:val="24"/>
          <w:szCs w:val="24"/>
        </w:rPr>
        <w:t xml:space="preserve">   </w:t>
      </w:r>
      <w:r>
        <w:rPr>
          <w:rFonts w:ascii="Arial Narrow" w:eastAsia="Arial Narrow" w:hAnsi="Arial Narrow" w:cs="Arial Narrow"/>
          <w:sz w:val="24"/>
          <w:szCs w:val="24"/>
        </w:rPr>
        <w:tab/>
        <w:t>Los amparados por el secreto profesional.</w:t>
      </w:r>
    </w:p>
    <w:p w:rsidR="00987073" w:rsidRDefault="00090880">
      <w:pPr>
        <w:spacing w:after="240"/>
        <w:ind w:left="1420" w:hanging="360"/>
        <w:jc w:val="both"/>
        <w:rPr>
          <w:rFonts w:ascii="Arial Narrow" w:eastAsia="Arial Narrow" w:hAnsi="Arial Narrow" w:cs="Arial Narrow"/>
          <w:i/>
          <w:sz w:val="24"/>
          <w:szCs w:val="24"/>
        </w:rPr>
      </w:pPr>
      <w:r>
        <w:rPr>
          <w:rFonts w:ascii="Arial Narrow" w:eastAsia="Arial Narrow" w:hAnsi="Arial Narrow" w:cs="Arial Narrow"/>
          <w:b/>
          <w:sz w:val="24"/>
          <w:szCs w:val="24"/>
        </w:rPr>
        <w:t>8.</w:t>
      </w:r>
      <w:r>
        <w:rPr>
          <w:rFonts w:ascii="Arial Narrow" w:eastAsia="Arial Narrow" w:hAnsi="Arial Narrow" w:cs="Arial Narrow"/>
          <w:sz w:val="24"/>
          <w:szCs w:val="24"/>
        </w:rPr>
        <w:t xml:space="preserve">       Los datos genéticos humanos.</w:t>
      </w:r>
      <w:r>
        <w:rPr>
          <w:rFonts w:ascii="Arial Narrow" w:eastAsia="Arial Narrow" w:hAnsi="Arial Narrow" w:cs="Arial Narrow"/>
          <w:i/>
          <w:sz w:val="24"/>
          <w:szCs w:val="24"/>
        </w:rPr>
        <w:t xml:space="preserve"> </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Entonces el articulado reitera y reafirma la especial reserva legal q</w:t>
      </w:r>
      <w:r>
        <w:rPr>
          <w:rFonts w:ascii="Arial Narrow" w:eastAsia="Arial Narrow" w:hAnsi="Arial Narrow" w:cs="Arial Narrow"/>
          <w:i/>
          <w:sz w:val="24"/>
          <w:szCs w:val="24"/>
        </w:rPr>
        <w:t xml:space="preserve">ue ostenta los documentos y la información relacionada con datos sensibles de las posibles víctimas del secuestro y sus familiares, es así como por el numeral 3° del citado artículo, es decir, aparte de ser </w:t>
      </w:r>
      <w:r>
        <w:rPr>
          <w:rFonts w:ascii="Arial Narrow" w:eastAsia="Arial Narrow" w:hAnsi="Arial Narrow" w:cs="Arial Narrow"/>
          <w:b/>
          <w:i/>
          <w:sz w:val="24"/>
          <w:szCs w:val="24"/>
        </w:rPr>
        <w:t>estricta es especial</w:t>
      </w:r>
      <w:r>
        <w:rPr>
          <w:rFonts w:ascii="Arial Narrow" w:eastAsia="Arial Narrow" w:hAnsi="Arial Narrow" w:cs="Arial Narrow"/>
          <w:i/>
          <w:sz w:val="24"/>
          <w:szCs w:val="24"/>
        </w:rPr>
        <w:t>. (…)”</w:t>
      </w:r>
    </w:p>
    <w:p w:rsidR="00987073" w:rsidRDefault="00090880">
      <w:pPr>
        <w:shd w:val="clear" w:color="auto" w:fill="FFFFFF"/>
        <w:spacing w:before="240" w:after="240"/>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De la misma forma, el </w:t>
      </w:r>
      <w:r>
        <w:rPr>
          <w:rFonts w:ascii="Arial Narrow" w:eastAsia="Arial Narrow" w:hAnsi="Arial Narrow" w:cs="Arial Narrow"/>
          <w:sz w:val="24"/>
          <w:szCs w:val="24"/>
        </w:rPr>
        <w:t xml:space="preserve">artículo 25 de la mencionada ley </w:t>
      </w:r>
      <w:r>
        <w:rPr>
          <w:rFonts w:ascii="Arial Narrow" w:eastAsia="Arial Narrow" w:hAnsi="Arial Narrow" w:cs="Arial Narrow"/>
          <w:b/>
          <w:sz w:val="24"/>
          <w:szCs w:val="24"/>
        </w:rPr>
        <w:t xml:space="preserve">establece la manera en que deben ser contestadas </w:t>
      </w:r>
      <w:r>
        <w:rPr>
          <w:rFonts w:ascii="Arial Narrow" w:eastAsia="Arial Narrow" w:hAnsi="Arial Narrow" w:cs="Arial Narrow"/>
          <w:sz w:val="24"/>
          <w:szCs w:val="24"/>
        </w:rPr>
        <w:t>las solicitudes de información y documentos reservados de la siguiente forma:</w:t>
      </w:r>
      <w:r>
        <w:rPr>
          <w:rFonts w:ascii="Arial Narrow" w:eastAsia="Arial Narrow" w:hAnsi="Arial Narrow" w:cs="Arial Narrow"/>
          <w:i/>
          <w:sz w:val="24"/>
          <w:szCs w:val="24"/>
        </w:rPr>
        <w:t xml:space="preserve"> </w:t>
      </w:r>
    </w:p>
    <w:p w:rsidR="00987073" w:rsidRDefault="00090880">
      <w:pPr>
        <w:shd w:val="clear" w:color="auto" w:fill="FFFFFF"/>
        <w:spacing w:before="240" w:after="240"/>
        <w:ind w:left="70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w:t>
      </w:r>
      <w:r>
        <w:rPr>
          <w:rFonts w:ascii="Arial Narrow" w:eastAsia="Arial Narrow" w:hAnsi="Arial Narrow" w:cs="Arial Narrow"/>
          <w:b/>
          <w:i/>
          <w:sz w:val="24"/>
          <w:szCs w:val="24"/>
        </w:rPr>
        <w:t xml:space="preserve">Artículo 25. Rechazo de las peticiones de información por motivo de reserva. </w:t>
      </w:r>
      <w:r>
        <w:rPr>
          <w:rFonts w:ascii="Arial Narrow" w:eastAsia="Arial Narrow" w:hAnsi="Arial Narrow" w:cs="Arial Narrow"/>
          <w:i/>
          <w:sz w:val="24"/>
          <w:szCs w:val="24"/>
        </w:rPr>
        <w:t>Toda decisión</w:t>
      </w:r>
      <w:r>
        <w:rPr>
          <w:rFonts w:ascii="Arial Narrow" w:eastAsia="Arial Narrow" w:hAnsi="Arial Narrow" w:cs="Arial Narrow"/>
          <w:i/>
          <w:sz w:val="24"/>
          <w:szCs w:val="24"/>
        </w:rPr>
        <w:t xml:space="preserve"> que rechace la petición de informaciones o documentos será motivada, indicará en forma precisa las disposiciones legales que impiden la entrega de información o documentos pertinentes y deberá notificarse al peticionario. Contra la decisión que rechace la</w:t>
      </w:r>
      <w:r>
        <w:rPr>
          <w:rFonts w:ascii="Arial Narrow" w:eastAsia="Arial Narrow" w:hAnsi="Arial Narrow" w:cs="Arial Narrow"/>
          <w:i/>
          <w:sz w:val="24"/>
          <w:szCs w:val="24"/>
        </w:rPr>
        <w:t xml:space="preserve"> petición de informaciones o documentos por motivos de reserva legal, no procede recurso alguno, salvo lo previsto en el artículo siguiente.</w:t>
      </w:r>
    </w:p>
    <w:p w:rsidR="00987073" w:rsidRDefault="00090880">
      <w:pPr>
        <w:shd w:val="clear" w:color="auto" w:fill="FFFFFF"/>
        <w:spacing w:before="240" w:after="240"/>
        <w:ind w:left="700"/>
        <w:jc w:val="both"/>
        <w:rPr>
          <w:rFonts w:ascii="Arial Narrow" w:eastAsia="Arial Narrow" w:hAnsi="Arial Narrow" w:cs="Arial Narrow"/>
          <w:sz w:val="24"/>
          <w:szCs w:val="24"/>
        </w:rPr>
      </w:pPr>
      <w:r>
        <w:rPr>
          <w:rFonts w:ascii="Arial Narrow" w:eastAsia="Arial Narrow" w:hAnsi="Arial Narrow" w:cs="Arial Narrow"/>
          <w:i/>
          <w:sz w:val="24"/>
          <w:szCs w:val="24"/>
        </w:rPr>
        <w:t xml:space="preserve">La restricción por reserva legal no se extenderá a otras piezas del respectivo expediente o actuación que no estén </w:t>
      </w:r>
      <w:r>
        <w:rPr>
          <w:rFonts w:ascii="Arial Narrow" w:eastAsia="Arial Narrow" w:hAnsi="Arial Narrow" w:cs="Arial Narrow"/>
          <w:i/>
          <w:sz w:val="24"/>
          <w:szCs w:val="24"/>
        </w:rPr>
        <w:t>cubiertas por ella.</w:t>
      </w:r>
      <w:r>
        <w:rPr>
          <w:rFonts w:ascii="Arial Narrow" w:eastAsia="Arial Narrow" w:hAnsi="Arial Narrow" w:cs="Arial Narrow"/>
          <w:sz w:val="24"/>
          <w:szCs w:val="24"/>
        </w:rPr>
        <w:t xml:space="preserve"> (…)”</w:t>
      </w:r>
    </w:p>
    <w:p w:rsidR="00987073" w:rsidRDefault="00090880">
      <w:pPr>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Asimismo, el artículo 27 de la aludida ley </w:t>
      </w:r>
      <w:r>
        <w:rPr>
          <w:rFonts w:ascii="Arial Narrow" w:eastAsia="Arial Narrow" w:hAnsi="Arial Narrow" w:cs="Arial Narrow"/>
          <w:b/>
          <w:sz w:val="24"/>
          <w:szCs w:val="24"/>
        </w:rPr>
        <w:t xml:space="preserve">estipula las excepciones a la reserva legal </w:t>
      </w:r>
      <w:r>
        <w:rPr>
          <w:rFonts w:ascii="Arial Narrow" w:eastAsia="Arial Narrow" w:hAnsi="Arial Narrow" w:cs="Arial Narrow"/>
          <w:sz w:val="24"/>
          <w:szCs w:val="24"/>
        </w:rPr>
        <w:t>de la siguiente forma:</w:t>
      </w:r>
    </w:p>
    <w:p w:rsidR="00987073" w:rsidRDefault="00090880">
      <w:pPr>
        <w:shd w:val="clear" w:color="auto" w:fill="FFFFFF"/>
        <w:spacing w:before="240" w:after="240"/>
        <w:ind w:left="700"/>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b/>
          <w:sz w:val="24"/>
          <w:szCs w:val="24"/>
        </w:rPr>
        <w:t xml:space="preserve"> Artículo 27. </w:t>
      </w:r>
      <w:r>
        <w:rPr>
          <w:rFonts w:ascii="Arial Narrow" w:eastAsia="Arial Narrow" w:hAnsi="Arial Narrow" w:cs="Arial Narrow"/>
          <w:b/>
          <w:i/>
          <w:sz w:val="24"/>
          <w:szCs w:val="24"/>
        </w:rPr>
        <w:t xml:space="preserve">Inaplicabilidad de las excepciones. </w:t>
      </w:r>
      <w:r>
        <w:rPr>
          <w:rFonts w:ascii="Arial Narrow" w:eastAsia="Arial Narrow" w:hAnsi="Arial Narrow" w:cs="Arial Narrow"/>
          <w:sz w:val="24"/>
          <w:szCs w:val="24"/>
        </w:rPr>
        <w:t>El carácter reservado de una información o de determinados document</w:t>
      </w:r>
      <w:r>
        <w:rPr>
          <w:rFonts w:ascii="Arial Narrow" w:eastAsia="Arial Narrow" w:hAnsi="Arial Narrow" w:cs="Arial Narrow"/>
          <w:sz w:val="24"/>
          <w:szCs w:val="24"/>
        </w:rPr>
        <w:t>os, no será oponible a las autoridades judiciales, legislativas, ni a las autoridades administrativas que, siendo constitucional o legalmente competentes para ello, los soliciten para el debido ejercicio de sus funciones. Corresponde a dichas autoridades a</w:t>
      </w:r>
      <w:r>
        <w:rPr>
          <w:rFonts w:ascii="Arial Narrow" w:eastAsia="Arial Narrow" w:hAnsi="Arial Narrow" w:cs="Arial Narrow"/>
          <w:sz w:val="24"/>
          <w:szCs w:val="24"/>
        </w:rPr>
        <w:t>segurar la reserva de las informaciones y documentos que lleguen a conocer en desarrollo de lo previsto en este artículo. (…)”</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 igual sentido, la Ley 1712 de 2014 “…por medio de la cual se creó la Ley de Transparencia y del Derecho de Acceso a la Informa</w:t>
      </w:r>
      <w:r>
        <w:rPr>
          <w:rFonts w:ascii="Arial Narrow" w:eastAsia="Arial Narrow" w:hAnsi="Arial Narrow" w:cs="Arial Narrow"/>
          <w:sz w:val="24"/>
          <w:szCs w:val="24"/>
        </w:rPr>
        <w:t>ción Pública Nacional y se dictan otras disposiciones…”, señaló:</w:t>
      </w:r>
    </w:p>
    <w:p w:rsidR="00987073" w:rsidRDefault="00090880">
      <w:pPr>
        <w:spacing w:before="240" w:after="240"/>
        <w:ind w:left="7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“…Artículo 18. Información exceptuada por daño de derechos a personas naturales o jurídicas. Es toda aquella información pública clasificada, cuyo acceso podrá ser rechazado o denegado de manera motivada y por escrito, siempre que el acceso pudiere causar </w:t>
      </w:r>
      <w:r>
        <w:rPr>
          <w:rFonts w:ascii="Arial Narrow" w:eastAsia="Arial Narrow" w:hAnsi="Arial Narrow" w:cs="Arial Narrow"/>
          <w:sz w:val="24"/>
          <w:szCs w:val="24"/>
        </w:rPr>
        <w:t>un daño a los siguientes derechos:</w:t>
      </w:r>
    </w:p>
    <w:p w:rsidR="00987073" w:rsidRDefault="00090880">
      <w:pPr>
        <w:spacing w:before="240" w:after="240"/>
        <w:ind w:left="700"/>
        <w:jc w:val="both"/>
        <w:rPr>
          <w:rFonts w:ascii="Arial Narrow" w:eastAsia="Arial Narrow" w:hAnsi="Arial Narrow" w:cs="Arial Narrow"/>
          <w:sz w:val="24"/>
          <w:szCs w:val="24"/>
        </w:rPr>
      </w:pPr>
      <w:r>
        <w:rPr>
          <w:rFonts w:ascii="Arial Narrow" w:eastAsia="Arial Narrow" w:hAnsi="Arial Narrow" w:cs="Arial Narrow"/>
          <w:sz w:val="24"/>
          <w:szCs w:val="24"/>
        </w:rPr>
        <w:t>a) El derecho de toda persona a la intimidad, bajo las limitaciones propias que impone la condición de servidor público, en concordancia con lo estipulado.</w:t>
      </w:r>
    </w:p>
    <w:p w:rsidR="00987073" w:rsidRDefault="00090880">
      <w:pPr>
        <w:spacing w:before="240" w:after="240"/>
        <w:ind w:left="700"/>
        <w:jc w:val="both"/>
        <w:rPr>
          <w:rFonts w:ascii="Arial Narrow" w:eastAsia="Arial Narrow" w:hAnsi="Arial Narrow" w:cs="Arial Narrow"/>
          <w:sz w:val="24"/>
          <w:szCs w:val="24"/>
        </w:rPr>
      </w:pPr>
      <w:r>
        <w:rPr>
          <w:rFonts w:ascii="Arial Narrow" w:eastAsia="Arial Narrow" w:hAnsi="Arial Narrow" w:cs="Arial Narrow"/>
          <w:sz w:val="24"/>
          <w:szCs w:val="24"/>
        </w:rPr>
        <w:t>b) El derecho de toda persona a la vida, la salud o la seguridad…</w:t>
      </w:r>
      <w:r>
        <w:rPr>
          <w:rFonts w:ascii="Arial Narrow" w:eastAsia="Arial Narrow" w:hAnsi="Arial Narrow" w:cs="Arial Narrow"/>
          <w:sz w:val="24"/>
          <w:szCs w:val="24"/>
        </w:rPr>
        <w:t>”.</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Al analizar  la vulneración del derecho fundamental a la intimidad de la víctima y su familia,  consagrado en el artículo 15 de la carta magna, el cual establece “el derecho de todas las personas a gozar de un espacio personal y familiar sin la injerenc</w:t>
      </w:r>
      <w:r>
        <w:rPr>
          <w:rFonts w:ascii="Arial Narrow" w:eastAsia="Arial Narrow" w:hAnsi="Arial Narrow" w:cs="Arial Narrow"/>
          <w:sz w:val="24"/>
          <w:szCs w:val="24"/>
        </w:rPr>
        <w:t>ia o el conocimiento de ajenos” según lo estipulado en la sentencia SU- 355/ 2022, donde se explica que este derecho incluye la facultad  para mantener en secreto lo que sucede en su vida privada y de ejercer control sobre la información que lo podría afec</w:t>
      </w:r>
      <w:r>
        <w:rPr>
          <w:rFonts w:ascii="Arial Narrow" w:eastAsia="Arial Narrow" w:hAnsi="Arial Narrow" w:cs="Arial Narrow"/>
          <w:sz w:val="24"/>
          <w:szCs w:val="24"/>
        </w:rPr>
        <w:t xml:space="preserve">tar o a su familia. Además, de resaltar que dicha información está sujeta a reserva. Lo cual se transgrede con la creación del reporte público al divulgar datos personales sensibles tales como el nombre completo de la víctima junto a la foto, la edad y el </w:t>
      </w:r>
      <w:r>
        <w:rPr>
          <w:rFonts w:ascii="Arial Narrow" w:eastAsia="Arial Narrow" w:hAnsi="Arial Narrow" w:cs="Arial Narrow"/>
          <w:sz w:val="24"/>
          <w:szCs w:val="24"/>
        </w:rPr>
        <w:t>sexo, y cierta información del secuestro como es la fecha, el lugar y el nombre del posible victimario. Dichos datos hacen parte de la vida personal de la víctima y de su familia, donde confluye una experiencia traumática y personal como es el secuestro, a</w:t>
      </w:r>
      <w:r>
        <w:rPr>
          <w:rFonts w:ascii="Arial Narrow" w:eastAsia="Arial Narrow" w:hAnsi="Arial Narrow" w:cs="Arial Narrow"/>
          <w:sz w:val="24"/>
          <w:szCs w:val="24"/>
        </w:rPr>
        <w:t xml:space="preserve">demás, de que al revelar su identidad como se mencionó </w:t>
      </w:r>
      <w:proofErr w:type="gramStart"/>
      <w:r>
        <w:rPr>
          <w:rFonts w:ascii="Arial Narrow" w:eastAsia="Arial Narrow" w:hAnsi="Arial Narrow" w:cs="Arial Narrow"/>
          <w:sz w:val="24"/>
          <w:szCs w:val="24"/>
        </w:rPr>
        <w:t>anteriormente  se</w:t>
      </w:r>
      <w:proofErr w:type="gramEnd"/>
      <w:r>
        <w:rPr>
          <w:rFonts w:ascii="Arial Narrow" w:eastAsia="Arial Narrow" w:hAnsi="Arial Narrow" w:cs="Arial Narrow"/>
          <w:sz w:val="24"/>
          <w:szCs w:val="24"/>
        </w:rPr>
        <w:t xml:space="preserve"> podría colocar en peligro su integridad y seguridad debido a las represalias que podría tomar los grupos armados o los victimarios. </w:t>
      </w:r>
    </w:p>
    <w:p w:rsidR="00987073" w:rsidRDefault="00090880">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 xml:space="preserve">Ahora bien, es menester recordar que este derecho </w:t>
      </w:r>
      <w:r>
        <w:rPr>
          <w:rFonts w:ascii="Arial Narrow" w:eastAsia="Arial Narrow" w:hAnsi="Arial Narrow" w:cs="Arial Narrow"/>
          <w:sz w:val="24"/>
          <w:szCs w:val="24"/>
        </w:rPr>
        <w:t>se encuentra intrínsecamente ligado a principios como la dignidad humana y al derecho del habeas data, este último, es concebido como el derecho que tiene toda persona a conocer, actualizar y rectificar las informaciones que se hayan recogido sobre ellas e</w:t>
      </w:r>
      <w:r>
        <w:rPr>
          <w:rFonts w:ascii="Arial Narrow" w:eastAsia="Arial Narrow" w:hAnsi="Arial Narrow" w:cs="Arial Narrow"/>
          <w:sz w:val="24"/>
          <w:szCs w:val="24"/>
        </w:rPr>
        <w:t>n bases de datos o archivo, que se encuentra consagrado en el mismo artículo del derecho a la intimidad y que son regulados en la ley estatutaria 1581 del 2012 donde se dictan las disposiciones generales para la protección de los datos personales, establec</w:t>
      </w:r>
      <w:r>
        <w:rPr>
          <w:rFonts w:ascii="Arial Narrow" w:eastAsia="Arial Narrow" w:hAnsi="Arial Narrow" w:cs="Arial Narrow"/>
          <w:sz w:val="24"/>
          <w:szCs w:val="24"/>
        </w:rPr>
        <w:t>iendo los principios para el tratamiento de los datos personales tales como el principio de la libertad según el cual el tratamiento de los datos, entendido como la recolección, almacenamiento, uso, circulación o supresión de los datos personales, sólo pue</w:t>
      </w:r>
      <w:r>
        <w:rPr>
          <w:rFonts w:ascii="Arial Narrow" w:eastAsia="Arial Narrow" w:hAnsi="Arial Narrow" w:cs="Arial Narrow"/>
          <w:sz w:val="24"/>
          <w:szCs w:val="24"/>
        </w:rPr>
        <w:t>de ejercerse con el consentimiento previo, expreso e informado del titular; el principio de finalidad, en el que se enmarca que el tratamiento de los datos debe obedecer a una finalidad legítima de acuerdo a la constitución, y el principio de  acceso y cir</w:t>
      </w:r>
      <w:r>
        <w:rPr>
          <w:rFonts w:ascii="Arial Narrow" w:eastAsia="Arial Narrow" w:hAnsi="Arial Narrow" w:cs="Arial Narrow"/>
          <w:sz w:val="24"/>
          <w:szCs w:val="24"/>
        </w:rPr>
        <w:t>culación restringido donde se estipula que los datos personales, a excepción de los que sean de públicos, no podrán estar disponibles en internet u otros medios de divulgación masiva.</w:t>
      </w:r>
    </w:p>
    <w:p w:rsidR="00987073" w:rsidRDefault="00090880">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 xml:space="preserve">Atendiendo a lo anterior, el reporte público que propone el proyecto de </w:t>
      </w:r>
      <w:r>
        <w:rPr>
          <w:rFonts w:ascii="Arial Narrow" w:eastAsia="Arial Narrow" w:hAnsi="Arial Narrow" w:cs="Arial Narrow"/>
          <w:sz w:val="24"/>
          <w:szCs w:val="24"/>
        </w:rPr>
        <w:t>ley contravendría la norma y los pronunciamientos de la Corte Constitucional mencionados anteriormente, en el sentido de que el tratamiento de los datos recopilados en el reporte requerirán la autorización previa, consentida  e informada lo cual no se cont</w:t>
      </w:r>
      <w:r>
        <w:rPr>
          <w:rFonts w:ascii="Arial Narrow" w:eastAsia="Arial Narrow" w:hAnsi="Arial Narrow" w:cs="Arial Narrow"/>
          <w:sz w:val="24"/>
          <w:szCs w:val="24"/>
        </w:rPr>
        <w:t>empla en la iniciativa, ya que se entiende como algo intrínseco a la denuncia,  anudado al hecho de que al ser datos personales propios de la esfera de la privacidad como se enunció, cuentan con reserva por lo que no podrán ser divulgados por medios de com</w:t>
      </w:r>
      <w:r>
        <w:rPr>
          <w:rFonts w:ascii="Arial Narrow" w:eastAsia="Arial Narrow" w:hAnsi="Arial Narrow" w:cs="Arial Narrow"/>
          <w:sz w:val="24"/>
          <w:szCs w:val="24"/>
        </w:rPr>
        <w:t xml:space="preserve">unicación u otras esferas en la que el acceso no sea técnicamente controlable. </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En segundo lugar, es necesario hablar de las implicaciones adicionales que traería la creación del reporte público de secuestrado, las cuales se encuentran ligadas a la vulnera</w:t>
      </w:r>
      <w:r>
        <w:rPr>
          <w:rFonts w:ascii="Arial Narrow" w:eastAsia="Arial Narrow" w:hAnsi="Arial Narrow" w:cs="Arial Narrow"/>
          <w:sz w:val="24"/>
          <w:szCs w:val="24"/>
        </w:rPr>
        <w:t xml:space="preserve">ción del derecho a la intimidad expuesto anteriormente. Estas implicaciones podrían resultar contraproducentes a las problemáticas que pretende solucionar la iniciativa tales como atacar el </w:t>
      </w:r>
      <w:proofErr w:type="spellStart"/>
      <w:r>
        <w:rPr>
          <w:rFonts w:ascii="Arial Narrow" w:eastAsia="Arial Narrow" w:hAnsi="Arial Narrow" w:cs="Arial Narrow"/>
          <w:sz w:val="24"/>
          <w:szCs w:val="24"/>
        </w:rPr>
        <w:t>subregistro</w:t>
      </w:r>
      <w:proofErr w:type="spellEnd"/>
      <w:r>
        <w:rPr>
          <w:rFonts w:ascii="Arial Narrow" w:eastAsia="Arial Narrow" w:hAnsi="Arial Narrow" w:cs="Arial Narrow"/>
          <w:sz w:val="24"/>
          <w:szCs w:val="24"/>
        </w:rPr>
        <w:t xml:space="preserve"> de los casos y visibilizar a las víctimas para abogar </w:t>
      </w:r>
      <w:r>
        <w:rPr>
          <w:rFonts w:ascii="Arial Narrow" w:eastAsia="Arial Narrow" w:hAnsi="Arial Narrow" w:cs="Arial Narrow"/>
          <w:sz w:val="24"/>
          <w:szCs w:val="24"/>
        </w:rPr>
        <w:t xml:space="preserve">por su liberación y la protección de su integridad.  La divulgación y difusión de las listas de casos de secuestros en los medios de comunicación cada 15 días en la franja horaria de mayor audiencia, donde se contemplarán los datos mínimos señalados en el </w:t>
      </w:r>
      <w:r>
        <w:rPr>
          <w:rFonts w:ascii="Arial Narrow" w:eastAsia="Arial Narrow" w:hAnsi="Arial Narrow" w:cs="Arial Narrow"/>
          <w:sz w:val="24"/>
          <w:szCs w:val="24"/>
        </w:rPr>
        <w:t xml:space="preserve">articulado como la foto, podría ocasionar la segunda victimización también llamada </w:t>
      </w:r>
      <w:proofErr w:type="spellStart"/>
      <w:r>
        <w:rPr>
          <w:rFonts w:ascii="Arial Narrow" w:eastAsia="Arial Narrow" w:hAnsi="Arial Narrow" w:cs="Arial Narrow"/>
          <w:sz w:val="24"/>
          <w:szCs w:val="24"/>
        </w:rPr>
        <w:t>revictimización</w:t>
      </w:r>
      <w:proofErr w:type="spellEnd"/>
      <w:r>
        <w:rPr>
          <w:rFonts w:ascii="Arial Narrow" w:eastAsia="Arial Narrow" w:hAnsi="Arial Narrow" w:cs="Arial Narrow"/>
          <w:sz w:val="24"/>
          <w:szCs w:val="24"/>
        </w:rPr>
        <w:t xml:space="preserve"> junto a la tercera victimización tanto para la víctima como su familia.  </w:t>
      </w:r>
    </w:p>
    <w:p w:rsidR="00987073" w:rsidRDefault="00090880">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 menester resaltar que las familias de los secuestrados también son concebidas </w:t>
      </w:r>
      <w:proofErr w:type="gramStart"/>
      <w:r>
        <w:rPr>
          <w:rFonts w:ascii="Arial Narrow" w:eastAsia="Arial Narrow" w:hAnsi="Arial Narrow" w:cs="Arial Narrow"/>
          <w:sz w:val="24"/>
          <w:szCs w:val="24"/>
        </w:rPr>
        <w:t>co</w:t>
      </w:r>
      <w:r>
        <w:rPr>
          <w:rFonts w:ascii="Arial Narrow" w:eastAsia="Arial Narrow" w:hAnsi="Arial Narrow" w:cs="Arial Narrow"/>
          <w:sz w:val="24"/>
          <w:szCs w:val="24"/>
        </w:rPr>
        <w:t>mo  víctimas</w:t>
      </w:r>
      <w:proofErr w:type="gramEnd"/>
      <w:r>
        <w:rPr>
          <w:rFonts w:ascii="Arial Narrow" w:eastAsia="Arial Narrow" w:hAnsi="Arial Narrow" w:cs="Arial Narrow"/>
          <w:sz w:val="24"/>
          <w:szCs w:val="24"/>
        </w:rPr>
        <w:t xml:space="preserve"> por el artículo 3° de la ley 1448 del 2011, debido a los efectos psicológicos que experimentan durante y después del secuestro, que llegan a ser asimilables con los de la víctima principal. Es así, como las familias experimentan un evento trau</w:t>
      </w:r>
      <w:r>
        <w:rPr>
          <w:rFonts w:ascii="Arial Narrow" w:eastAsia="Arial Narrow" w:hAnsi="Arial Narrow" w:cs="Arial Narrow"/>
          <w:sz w:val="24"/>
          <w:szCs w:val="24"/>
        </w:rPr>
        <w:t>mático crónico causado por la incertidumbre que se vive sobre el estado del secuestrado, proceso llamado “muerte suspendida” junto a la “</w:t>
      </w:r>
      <w:proofErr w:type="spellStart"/>
      <w:r>
        <w:rPr>
          <w:rFonts w:ascii="Arial Narrow" w:eastAsia="Arial Narrow" w:hAnsi="Arial Narrow" w:cs="Arial Narrow"/>
          <w:sz w:val="24"/>
          <w:szCs w:val="24"/>
        </w:rPr>
        <w:t>traumatización</w:t>
      </w:r>
      <w:proofErr w:type="spellEnd"/>
      <w:r>
        <w:rPr>
          <w:rFonts w:ascii="Arial Narrow" w:eastAsia="Arial Narrow" w:hAnsi="Arial Narrow" w:cs="Arial Narrow"/>
          <w:sz w:val="24"/>
          <w:szCs w:val="24"/>
        </w:rPr>
        <w:t xml:space="preserve"> secundaria” enmarcada en el desarrollo de síntomas de estrés postraumático a causa de conocer la experie</w:t>
      </w:r>
      <w:r>
        <w:rPr>
          <w:rFonts w:ascii="Arial Narrow" w:eastAsia="Arial Narrow" w:hAnsi="Arial Narrow" w:cs="Arial Narrow"/>
          <w:sz w:val="24"/>
          <w:szCs w:val="24"/>
        </w:rPr>
        <w:t>ncia traumática de un ser querido (</w:t>
      </w:r>
      <w:proofErr w:type="spellStart"/>
      <w:r>
        <w:rPr>
          <w:rFonts w:ascii="Arial Narrow" w:eastAsia="Arial Narrow" w:hAnsi="Arial Narrow" w:cs="Arial Narrow"/>
          <w:sz w:val="24"/>
          <w:szCs w:val="24"/>
          <w:highlight w:val="white"/>
        </w:rPr>
        <w:t>Figley</w:t>
      </w:r>
      <w:proofErr w:type="spellEnd"/>
      <w:r>
        <w:rPr>
          <w:rFonts w:ascii="Arial Narrow" w:eastAsia="Arial Narrow" w:hAnsi="Arial Narrow" w:cs="Arial Narrow"/>
          <w:sz w:val="24"/>
          <w:szCs w:val="24"/>
          <w:highlight w:val="white"/>
        </w:rPr>
        <w:t xml:space="preserve"> &amp; Kleber</w:t>
      </w:r>
      <w:r>
        <w:rPr>
          <w:rFonts w:ascii="Arial Narrow" w:eastAsia="Arial Narrow" w:hAnsi="Arial Narrow" w:cs="Arial Narrow"/>
          <w:sz w:val="24"/>
          <w:szCs w:val="24"/>
        </w:rPr>
        <w:t>,1995</w:t>
      </w:r>
      <w:proofErr w:type="gramStart"/>
      <w:r>
        <w:rPr>
          <w:rFonts w:ascii="Arial Narrow" w:eastAsia="Arial Narrow" w:hAnsi="Arial Narrow" w:cs="Arial Narrow"/>
          <w:sz w:val="24"/>
          <w:szCs w:val="24"/>
        </w:rPr>
        <w:t>) .</w:t>
      </w:r>
      <w:proofErr w:type="gramEnd"/>
      <w:r>
        <w:rPr>
          <w:rFonts w:ascii="Arial Narrow" w:eastAsia="Arial Narrow" w:hAnsi="Arial Narrow" w:cs="Arial Narrow"/>
          <w:sz w:val="24"/>
          <w:szCs w:val="24"/>
        </w:rPr>
        <w:t xml:space="preserve"> Además, de que tal como lo señala Navia y Ossa (2001) mientras que la persona secuestrada se encuentra privada de la libertad bajo el control arbitrario de los secuestradores, su familia está virtualmente cautiva al tener que enfrentarse constante</w:t>
      </w:r>
      <w:r>
        <w:rPr>
          <w:rFonts w:ascii="Arial Narrow" w:eastAsia="Arial Narrow" w:hAnsi="Arial Narrow" w:cs="Arial Narrow"/>
          <w:sz w:val="24"/>
          <w:szCs w:val="24"/>
        </w:rPr>
        <w:t>mente a las amenazas de los raptores, la negociación del pago, etc. Todo esto, desencadena una serie de secuelas como la depresión, la ansiedad fóbica y la obsesión debido al estado de soledad y desconfianza, al dudar de todas las personas que lo rodean co</w:t>
      </w:r>
      <w:r>
        <w:rPr>
          <w:rFonts w:ascii="Arial Narrow" w:eastAsia="Arial Narrow" w:hAnsi="Arial Narrow" w:cs="Arial Narrow"/>
          <w:sz w:val="24"/>
          <w:szCs w:val="24"/>
        </w:rPr>
        <w:t>mo el posible enemigo o raptor.</w:t>
      </w:r>
    </w:p>
    <w:p w:rsidR="00987073" w:rsidRDefault="00090880">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 xml:space="preserve">Ahora bien, se entiende como </w:t>
      </w:r>
      <w:proofErr w:type="spellStart"/>
      <w:r>
        <w:rPr>
          <w:rFonts w:ascii="Arial Narrow" w:eastAsia="Arial Narrow" w:hAnsi="Arial Narrow" w:cs="Arial Narrow"/>
          <w:sz w:val="24"/>
          <w:szCs w:val="24"/>
        </w:rPr>
        <w:t>revictimización</w:t>
      </w:r>
      <w:proofErr w:type="spellEnd"/>
      <w:r>
        <w:rPr>
          <w:rFonts w:ascii="Arial Narrow" w:eastAsia="Arial Narrow" w:hAnsi="Arial Narrow" w:cs="Arial Narrow"/>
          <w:sz w:val="24"/>
          <w:szCs w:val="24"/>
        </w:rPr>
        <w:t xml:space="preserve"> aquella situación o proceso en la que la víctima a causa de la exposición o experiencia derivada de la victimización primaria experimenta una nueva violación a sus derechos, reviv</w:t>
      </w:r>
      <w:r>
        <w:rPr>
          <w:rFonts w:ascii="Arial Narrow" w:eastAsia="Arial Narrow" w:hAnsi="Arial Narrow" w:cs="Arial Narrow"/>
          <w:sz w:val="24"/>
          <w:szCs w:val="24"/>
        </w:rPr>
        <w:t xml:space="preserve">iendo las experiencias traumáticas, asumiendo reiteradamente el papel de víctima, lo cual trae consigo impactos psicológicos, sociales, judiciales, económicas, etc. Dicha </w:t>
      </w:r>
      <w:proofErr w:type="spellStart"/>
      <w:r>
        <w:rPr>
          <w:rFonts w:ascii="Arial Narrow" w:eastAsia="Arial Narrow" w:hAnsi="Arial Narrow" w:cs="Arial Narrow"/>
          <w:sz w:val="24"/>
          <w:szCs w:val="24"/>
        </w:rPr>
        <w:t>revictimización</w:t>
      </w:r>
      <w:proofErr w:type="spellEnd"/>
      <w:r>
        <w:rPr>
          <w:rFonts w:ascii="Arial Narrow" w:eastAsia="Arial Narrow" w:hAnsi="Arial Narrow" w:cs="Arial Narrow"/>
          <w:sz w:val="24"/>
          <w:szCs w:val="24"/>
        </w:rPr>
        <w:t xml:space="preserve"> no solo es ocasionada por las instituciones estatales, también por lo</w:t>
      </w:r>
      <w:r>
        <w:rPr>
          <w:rFonts w:ascii="Arial Narrow" w:eastAsia="Arial Narrow" w:hAnsi="Arial Narrow" w:cs="Arial Narrow"/>
          <w:sz w:val="24"/>
          <w:szCs w:val="24"/>
        </w:rPr>
        <w:t xml:space="preserve">s medios de comunicación quienes suelen revelar detalles íntimos de las víctimas junto a la divulgación insensible de estos.  </w:t>
      </w:r>
    </w:p>
    <w:p w:rsidR="00987073" w:rsidRDefault="00090880">
      <w:pPr>
        <w:shd w:val="clear" w:color="auto" w:fill="FFFFFF"/>
        <w:spacing w:after="160"/>
        <w:jc w:val="both"/>
        <w:rPr>
          <w:rFonts w:ascii="Arial Narrow" w:eastAsia="Arial Narrow" w:hAnsi="Arial Narrow" w:cs="Arial Narrow"/>
          <w:sz w:val="24"/>
          <w:szCs w:val="24"/>
        </w:rPr>
      </w:pPr>
      <w:r>
        <w:rPr>
          <w:rFonts w:ascii="Arial Narrow" w:eastAsia="Arial Narrow" w:hAnsi="Arial Narrow" w:cs="Arial Narrow"/>
          <w:sz w:val="24"/>
          <w:szCs w:val="24"/>
        </w:rPr>
        <w:t>Es así como en el caso concreto del reporte, la exposición pública de la intimidad del secuestrado y de su familia, que se hará d</w:t>
      </w:r>
      <w:r>
        <w:rPr>
          <w:rFonts w:ascii="Arial Narrow" w:eastAsia="Arial Narrow" w:hAnsi="Arial Narrow" w:cs="Arial Narrow"/>
          <w:sz w:val="24"/>
          <w:szCs w:val="24"/>
        </w:rPr>
        <w:t>e forma constante al estipularse que se realizará cada 15 días, exacerbaría en primer lugar la angustia de las familias, causando sufrimientos adicionales, al temer por las represalias que puedan tomar los grupos armados o el victimario, seguido, del hecho</w:t>
      </w:r>
      <w:r>
        <w:rPr>
          <w:rFonts w:ascii="Arial Narrow" w:eastAsia="Arial Narrow" w:hAnsi="Arial Narrow" w:cs="Arial Narrow"/>
          <w:sz w:val="24"/>
          <w:szCs w:val="24"/>
        </w:rPr>
        <w:t xml:space="preserve"> de que las víctimas podrían revivir continuamente las experiencias traumática, al ver las fotos, los nombre de sus seres queridos y los detalles del secuestro, por lo cual se estaría dando paso a la </w:t>
      </w:r>
      <w:proofErr w:type="spellStart"/>
      <w:r>
        <w:rPr>
          <w:rFonts w:ascii="Arial Narrow" w:eastAsia="Arial Narrow" w:hAnsi="Arial Narrow" w:cs="Arial Narrow"/>
          <w:sz w:val="24"/>
          <w:szCs w:val="24"/>
        </w:rPr>
        <w:t>revictimización</w:t>
      </w:r>
      <w:proofErr w:type="spellEnd"/>
      <w:r>
        <w:rPr>
          <w:rFonts w:ascii="Arial Narrow" w:eastAsia="Arial Narrow" w:hAnsi="Arial Narrow" w:cs="Arial Narrow"/>
          <w:sz w:val="24"/>
          <w:szCs w:val="24"/>
        </w:rPr>
        <w:t xml:space="preserve">. </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 esto, se le agrega la preocupación d</w:t>
      </w:r>
      <w:r>
        <w:rPr>
          <w:rFonts w:ascii="Arial Narrow" w:eastAsia="Arial Narrow" w:hAnsi="Arial Narrow" w:cs="Arial Narrow"/>
          <w:sz w:val="24"/>
          <w:szCs w:val="24"/>
        </w:rPr>
        <w:t xml:space="preserve">e que dichos datos al ser “públicos” puedan ser empleados por los medios de comunicación y/o terceros para generar sensacionalismo al provocar el morbo sobre la situación afectando aún más a las víctimas, junto a la posible manipulación de estos, mediante </w:t>
      </w:r>
      <w:r>
        <w:rPr>
          <w:rFonts w:ascii="Arial Narrow" w:eastAsia="Arial Narrow" w:hAnsi="Arial Narrow" w:cs="Arial Narrow"/>
          <w:sz w:val="24"/>
          <w:szCs w:val="24"/>
        </w:rPr>
        <w:t>narrativas alteradas y/o erróneas, que replicarán los estereotipos y la estigmatización que ya se posee en la sociedad colombiana alrededor de los secuestros.  Lo anterior en razón, de que en la iniciativa no se reglamenta ni se designa la reglamentación d</w:t>
      </w:r>
      <w:r>
        <w:rPr>
          <w:rFonts w:ascii="Arial Narrow" w:eastAsia="Arial Narrow" w:hAnsi="Arial Narrow" w:cs="Arial Narrow"/>
          <w:sz w:val="24"/>
          <w:szCs w:val="24"/>
        </w:rPr>
        <w:t>e la difusión mediática y solo se menciona que se “deberá hacer difusión de las personas que continúan secuestradas” facilitando el empleo de los datos a su conveniencia y abriendo de nuevo los debates acerca de la libre expresión vs la responsabilidad éti</w:t>
      </w:r>
      <w:r>
        <w:rPr>
          <w:rFonts w:ascii="Arial Narrow" w:eastAsia="Arial Narrow" w:hAnsi="Arial Narrow" w:cs="Arial Narrow"/>
          <w:sz w:val="24"/>
          <w:szCs w:val="24"/>
        </w:rPr>
        <w:t>ca.</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Lo cierto es que esto, también podría dar lugar a la victimización terciaria definida como “señalamiento de la sociedad hacia la víctima, el olvido del Estado hacia la misma (dilatación del proceso, reparación, etc.); es el prolongamiento de los proces</w:t>
      </w:r>
      <w:r>
        <w:rPr>
          <w:rFonts w:ascii="Arial Narrow" w:eastAsia="Arial Narrow" w:hAnsi="Arial Narrow" w:cs="Arial Narrow"/>
          <w:sz w:val="24"/>
          <w:szCs w:val="24"/>
        </w:rPr>
        <w:t>os, en el cual no se proporciona respuesta de resultados a las víctimas” (Mantilla, 2015) ya que la exposición pública de datos tan sensibles e íntimos en especial de un acontecimiento como el secuestro podría ocasionar la discriminación y el estigma hacia</w:t>
      </w:r>
      <w:r>
        <w:rPr>
          <w:rFonts w:ascii="Arial Narrow" w:eastAsia="Arial Narrow" w:hAnsi="Arial Narrow" w:cs="Arial Narrow"/>
          <w:sz w:val="24"/>
          <w:szCs w:val="24"/>
        </w:rPr>
        <w:t xml:space="preserve"> las </w:t>
      </w:r>
      <w:proofErr w:type="spellStart"/>
      <w:r>
        <w:rPr>
          <w:rFonts w:ascii="Arial Narrow" w:eastAsia="Arial Narrow" w:hAnsi="Arial Narrow" w:cs="Arial Narrow"/>
          <w:sz w:val="24"/>
          <w:szCs w:val="24"/>
        </w:rPr>
        <w:t>victimas</w:t>
      </w:r>
      <w:proofErr w:type="spellEnd"/>
      <w:r>
        <w:rPr>
          <w:rFonts w:ascii="Arial Narrow" w:eastAsia="Arial Narrow" w:hAnsi="Arial Narrow" w:cs="Arial Narrow"/>
          <w:sz w:val="24"/>
          <w:szCs w:val="24"/>
        </w:rPr>
        <w:t xml:space="preserve">, es así, como estas ya no sólo tendrían que lidiar con el evento </w:t>
      </w:r>
      <w:proofErr w:type="spellStart"/>
      <w:r>
        <w:rPr>
          <w:rFonts w:ascii="Arial Narrow" w:eastAsia="Arial Narrow" w:hAnsi="Arial Narrow" w:cs="Arial Narrow"/>
          <w:sz w:val="24"/>
          <w:szCs w:val="24"/>
        </w:rPr>
        <w:t>traumatico</w:t>
      </w:r>
      <w:proofErr w:type="spellEnd"/>
      <w:r>
        <w:rPr>
          <w:rFonts w:ascii="Arial Narrow" w:eastAsia="Arial Narrow" w:hAnsi="Arial Narrow" w:cs="Arial Narrow"/>
          <w:sz w:val="24"/>
          <w:szCs w:val="24"/>
        </w:rPr>
        <w:t xml:space="preserve"> sino también con los señalamientos y comentarios de los demás que aumentarían la presencia de </w:t>
      </w:r>
      <w:proofErr w:type="spellStart"/>
      <w:r>
        <w:rPr>
          <w:rFonts w:ascii="Arial Narrow" w:eastAsia="Arial Narrow" w:hAnsi="Arial Narrow" w:cs="Arial Narrow"/>
          <w:sz w:val="24"/>
          <w:szCs w:val="24"/>
        </w:rPr>
        <w:t>patologias</w:t>
      </w:r>
      <w:proofErr w:type="spellEnd"/>
      <w:r>
        <w:rPr>
          <w:rFonts w:ascii="Arial Narrow" w:eastAsia="Arial Narrow" w:hAnsi="Arial Narrow" w:cs="Arial Narrow"/>
          <w:sz w:val="24"/>
          <w:szCs w:val="24"/>
        </w:rPr>
        <w:t xml:space="preserve"> como la ansiedad. Además, de que el hecho de que la informaci</w:t>
      </w:r>
      <w:r>
        <w:rPr>
          <w:rFonts w:ascii="Arial Narrow" w:eastAsia="Arial Narrow" w:hAnsi="Arial Narrow" w:cs="Arial Narrow"/>
          <w:sz w:val="24"/>
          <w:szCs w:val="24"/>
        </w:rPr>
        <w:t xml:space="preserve">ón se haga pública no garantiza la celeridad ni eficacia del proceso de respuesta institucional o la mejora de las medidas de investigación, ya </w:t>
      </w:r>
      <w:proofErr w:type="gramStart"/>
      <w:r>
        <w:rPr>
          <w:rFonts w:ascii="Arial Narrow" w:eastAsia="Arial Narrow" w:hAnsi="Arial Narrow" w:cs="Arial Narrow"/>
          <w:sz w:val="24"/>
          <w:szCs w:val="24"/>
        </w:rPr>
        <w:t>que</w:t>
      </w:r>
      <w:proofErr w:type="gramEnd"/>
      <w:r>
        <w:rPr>
          <w:rFonts w:ascii="Arial Narrow" w:eastAsia="Arial Narrow" w:hAnsi="Arial Narrow" w:cs="Arial Narrow"/>
          <w:sz w:val="24"/>
          <w:szCs w:val="24"/>
        </w:rPr>
        <w:t xml:space="preserve"> por el contrario, podría colocar en riesgo la investigación, al exhibir la denuncia de la familia de la víct</w:t>
      </w:r>
      <w:r>
        <w:rPr>
          <w:rFonts w:ascii="Arial Narrow" w:eastAsia="Arial Narrow" w:hAnsi="Arial Narrow" w:cs="Arial Narrow"/>
          <w:sz w:val="24"/>
          <w:szCs w:val="24"/>
        </w:rPr>
        <w:t>ima y los datos recolectados en el desarrollo de la investigación</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No obstante, las implicaciones que traería el reporte no se limitan sólo a los tipos de violencia. Al tener en el listado datos como el lugar y la fecha del secuestro, junto al grupo armado </w:t>
      </w:r>
      <w:r>
        <w:rPr>
          <w:rFonts w:ascii="Arial Narrow" w:eastAsia="Arial Narrow" w:hAnsi="Arial Narrow" w:cs="Arial Narrow"/>
          <w:sz w:val="24"/>
          <w:szCs w:val="24"/>
        </w:rPr>
        <w:t>responsable o victimario, que serán divulgados mediante el enlace y en los medios de comunicación, daría lugar a diversos manejos de la información por parte de terceros, como grupos armados y podría ocasionar la intensificación del conflicto. Dentro de el</w:t>
      </w:r>
      <w:r>
        <w:rPr>
          <w:rFonts w:ascii="Arial Narrow" w:eastAsia="Arial Narrow" w:hAnsi="Arial Narrow" w:cs="Arial Narrow"/>
          <w:sz w:val="24"/>
          <w:szCs w:val="24"/>
        </w:rPr>
        <w:t>las se enmarca, la posibilidad de que grupos armados distintos a los que poseen privado de la libertad al secuestrado, empleen los datos para amenazar y chantajear a la familia haciéndoles creer que son los responsables del secuestro, lo cual terminaría si</w:t>
      </w:r>
      <w:r>
        <w:rPr>
          <w:rFonts w:ascii="Arial Narrow" w:eastAsia="Arial Narrow" w:hAnsi="Arial Narrow" w:cs="Arial Narrow"/>
          <w:sz w:val="24"/>
          <w:szCs w:val="24"/>
        </w:rPr>
        <w:t>endo perjudicial para el proceso de la investigación y de la negociación</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Al analizar la pertinencia de la iniciativa a la luz de todo lo expuesto anteriormente, es posible evidenciar que el hecho de que el reporte sea público podría ocasionar la disminució</w:t>
      </w:r>
      <w:r>
        <w:rPr>
          <w:rFonts w:ascii="Arial Narrow" w:eastAsia="Arial Narrow" w:hAnsi="Arial Narrow" w:cs="Arial Narrow"/>
          <w:sz w:val="24"/>
          <w:szCs w:val="24"/>
        </w:rPr>
        <w:t xml:space="preserve">n de las denuncias por secuestros, a causa del temor  a la represalias, fenómeno que ya sucede en la actualidad y que se exacerbaría con la idea de que la denuncia sea divulgada en medios de comunicación, ocasionando la creación de un mayor número de </w:t>
      </w:r>
      <w:proofErr w:type="spellStart"/>
      <w:r>
        <w:rPr>
          <w:rFonts w:ascii="Arial Narrow" w:eastAsia="Arial Narrow" w:hAnsi="Arial Narrow" w:cs="Arial Narrow"/>
          <w:sz w:val="24"/>
          <w:szCs w:val="24"/>
        </w:rPr>
        <w:t>subre</w:t>
      </w:r>
      <w:r>
        <w:rPr>
          <w:rFonts w:ascii="Arial Narrow" w:eastAsia="Arial Narrow" w:hAnsi="Arial Narrow" w:cs="Arial Narrow"/>
          <w:sz w:val="24"/>
          <w:szCs w:val="24"/>
        </w:rPr>
        <w:t>gistros</w:t>
      </w:r>
      <w:proofErr w:type="spellEnd"/>
      <w:r>
        <w:rPr>
          <w:rFonts w:ascii="Arial Narrow" w:eastAsia="Arial Narrow" w:hAnsi="Arial Narrow" w:cs="Arial Narrow"/>
          <w:sz w:val="24"/>
          <w:szCs w:val="24"/>
        </w:rPr>
        <w:t xml:space="preserve">, instrumento que se pretende mitigar con la iniciativa. Además, de que la divulgación de la </w:t>
      </w:r>
      <w:proofErr w:type="gramStart"/>
      <w:r>
        <w:rPr>
          <w:rFonts w:ascii="Arial Narrow" w:eastAsia="Arial Narrow" w:hAnsi="Arial Narrow" w:cs="Arial Narrow"/>
          <w:sz w:val="24"/>
          <w:szCs w:val="24"/>
        </w:rPr>
        <w:t>información  conjuntamente</w:t>
      </w:r>
      <w:proofErr w:type="gramEnd"/>
      <w:r>
        <w:rPr>
          <w:rFonts w:ascii="Arial Narrow" w:eastAsia="Arial Narrow" w:hAnsi="Arial Narrow" w:cs="Arial Narrow"/>
          <w:sz w:val="24"/>
          <w:szCs w:val="24"/>
        </w:rPr>
        <w:t xml:space="preserve"> a los impactos ya mencionados, podría afectar el desarrollo adecuado de la investigación y del proceso de negociación, perjudican</w:t>
      </w:r>
      <w:r>
        <w:rPr>
          <w:rFonts w:ascii="Arial Narrow" w:eastAsia="Arial Narrow" w:hAnsi="Arial Narrow" w:cs="Arial Narrow"/>
          <w:sz w:val="24"/>
          <w:szCs w:val="24"/>
        </w:rPr>
        <w:t xml:space="preserve">do la administración de justicia y la pronta liberación del secuestrado, contrario a la premisa de que la </w:t>
      </w:r>
      <w:proofErr w:type="spellStart"/>
      <w:r>
        <w:rPr>
          <w:rFonts w:ascii="Arial Narrow" w:eastAsia="Arial Narrow" w:hAnsi="Arial Narrow" w:cs="Arial Narrow"/>
          <w:sz w:val="24"/>
          <w:szCs w:val="24"/>
        </w:rPr>
        <w:t>visibilización</w:t>
      </w:r>
      <w:proofErr w:type="spellEnd"/>
      <w:r>
        <w:rPr>
          <w:rFonts w:ascii="Arial Narrow" w:eastAsia="Arial Narrow" w:hAnsi="Arial Narrow" w:cs="Arial Narrow"/>
          <w:sz w:val="24"/>
          <w:szCs w:val="24"/>
        </w:rPr>
        <w:t xml:space="preserve"> abogaría por su pronta liberación.  </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Conjuntamente, al establecer que el reporte estaría en cabeza de la Fiscalía General de la Nación,</w:t>
      </w:r>
      <w:r>
        <w:rPr>
          <w:rFonts w:ascii="Arial Narrow" w:eastAsia="Arial Narrow" w:hAnsi="Arial Narrow" w:cs="Arial Narrow"/>
          <w:sz w:val="24"/>
          <w:szCs w:val="24"/>
        </w:rPr>
        <w:t xml:space="preserve"> el Alto Comisionado para la paz, la Defensoría del Pueblo y el Ministerio de Defensa se estaría dando lugar a la duplicidad de funciones de dichas entidades. Sumado al hecho de que la divulgación del reporte implicaría un impacto fiscal que no se encuentr</w:t>
      </w:r>
      <w:r>
        <w:rPr>
          <w:rFonts w:ascii="Arial Narrow" w:eastAsia="Arial Narrow" w:hAnsi="Arial Narrow" w:cs="Arial Narrow"/>
          <w:sz w:val="24"/>
          <w:szCs w:val="24"/>
        </w:rPr>
        <w:t>a contemplado a mediano ni largo plazo. Anudado al hecho de que si bien, se comprende la necesidad de obtener cifras y datos claros y unificados, esto se podría realizar mediante un decreto donde se desarrolle un registro de cifras confidencial y unificado</w:t>
      </w:r>
      <w:r>
        <w:rPr>
          <w:rFonts w:ascii="Arial Narrow" w:eastAsia="Arial Narrow" w:hAnsi="Arial Narrow" w:cs="Arial Narrow"/>
          <w:sz w:val="24"/>
          <w:szCs w:val="24"/>
        </w:rPr>
        <w:t xml:space="preserve"> de las víctimas, cuyo acceso sea restringido.</w:t>
      </w:r>
    </w:p>
    <w:p w:rsidR="00987073" w:rsidRDefault="00090880">
      <w:p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3.2 Lo que dicta el Derecho Internacional Humanitario y algunos casos internacionales</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Colombia ha ratificado los Convenios de Ginebra y sus Protocolos Adicionales, donde se </w:t>
      </w:r>
      <w:proofErr w:type="gramStart"/>
      <w:r>
        <w:rPr>
          <w:rFonts w:ascii="Arial Narrow" w:eastAsia="Arial Narrow" w:hAnsi="Arial Narrow" w:cs="Arial Narrow"/>
          <w:sz w:val="24"/>
          <w:szCs w:val="24"/>
        </w:rPr>
        <w:t>dispone  claramente</w:t>
      </w:r>
      <w:proofErr w:type="gramEnd"/>
      <w:r>
        <w:rPr>
          <w:rFonts w:ascii="Arial Narrow" w:eastAsia="Arial Narrow" w:hAnsi="Arial Narrow" w:cs="Arial Narrow"/>
          <w:sz w:val="24"/>
          <w:szCs w:val="24"/>
        </w:rPr>
        <w:t xml:space="preserve"> que el secuestro</w:t>
      </w:r>
      <w:r>
        <w:rPr>
          <w:rFonts w:ascii="Arial Narrow" w:eastAsia="Arial Narrow" w:hAnsi="Arial Narrow" w:cs="Arial Narrow"/>
          <w:sz w:val="24"/>
          <w:szCs w:val="24"/>
        </w:rPr>
        <w:t xml:space="preserve"> o toma de rehenes, es considerado en el marco de un conflicto armado, un crimen de guerra y debe ser condenado por el Estado y por la sociedad. Asimismo, insta a los Grupos Armados Organizados a respetar las normas del Derecho Internacional Humanitario qu</w:t>
      </w:r>
      <w:r>
        <w:rPr>
          <w:rFonts w:ascii="Arial Narrow" w:eastAsia="Arial Narrow" w:hAnsi="Arial Narrow" w:cs="Arial Narrow"/>
          <w:sz w:val="24"/>
          <w:szCs w:val="24"/>
        </w:rPr>
        <w:t xml:space="preserve">e buscan los </w:t>
      </w:r>
      <w:r>
        <w:rPr>
          <w:rFonts w:ascii="Arial Narrow" w:eastAsia="Arial Narrow" w:hAnsi="Arial Narrow" w:cs="Arial Narrow"/>
          <w:sz w:val="24"/>
          <w:szCs w:val="24"/>
        </w:rPr>
        <w:lastRenderedPageBreak/>
        <w:t xml:space="preserve">menores daños </w:t>
      </w:r>
      <w:proofErr w:type="gramStart"/>
      <w:r>
        <w:rPr>
          <w:rFonts w:ascii="Arial Narrow" w:eastAsia="Arial Narrow" w:hAnsi="Arial Narrow" w:cs="Arial Narrow"/>
          <w:sz w:val="24"/>
          <w:szCs w:val="24"/>
        </w:rPr>
        <w:t>a  la</w:t>
      </w:r>
      <w:proofErr w:type="gramEnd"/>
      <w:r>
        <w:rPr>
          <w:rFonts w:ascii="Arial Narrow" w:eastAsia="Arial Narrow" w:hAnsi="Arial Narrow" w:cs="Arial Narrow"/>
          <w:sz w:val="24"/>
          <w:szCs w:val="24"/>
        </w:rPr>
        <w:t xml:space="preserve"> población  civil en el contexto de guerra y por ende, a evitar este tipo de actuaciones que constituyen infracciones graves al DIH. </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Específicamente en el marco de un Conflicto Armado No internacional (CANI) las normas que </w:t>
      </w:r>
      <w:r>
        <w:rPr>
          <w:rFonts w:ascii="Arial Narrow" w:eastAsia="Arial Narrow" w:hAnsi="Arial Narrow" w:cs="Arial Narrow"/>
          <w:sz w:val="24"/>
          <w:szCs w:val="24"/>
        </w:rPr>
        <w:t>prohíben la toma de rehenes son, la 96 de las normas consuetudinarias del DIH</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el Artículo 3 Común de los Convenios de Ginebra de 1949 y en el artículo 4 del Protocolo II adicional de 1977. “Además, en este Protocolo se introducen disposiciones para prote</w:t>
      </w:r>
      <w:r>
        <w:rPr>
          <w:rFonts w:ascii="Arial Narrow" w:eastAsia="Arial Narrow" w:hAnsi="Arial Narrow" w:cs="Arial Narrow"/>
          <w:sz w:val="24"/>
          <w:szCs w:val="24"/>
        </w:rPr>
        <w:t>ger a las personas civiles, influyendo en la conducción misma de las hostilidades. A este respecto, en el párrafo segundo del artículo 13 titulado «Protección de la población civil», se estipula que «quedan prohibidos los actos o amenazas de violencia cuya</w:t>
      </w:r>
      <w:r>
        <w:rPr>
          <w:rFonts w:ascii="Arial Narrow" w:eastAsia="Arial Narrow" w:hAnsi="Arial Narrow" w:cs="Arial Narrow"/>
          <w:sz w:val="24"/>
          <w:szCs w:val="24"/>
        </w:rPr>
        <w:t xml:space="preserve"> finalidad principal sea aterrorizar a la población civil».” (CICR, p.223)</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Respecto al deber del Estado estos instrumentos han buscado ser orientadores a partir de sus principios y normas, en ese sentido se encuentran:</w:t>
      </w:r>
    </w:p>
    <w:p w:rsidR="00987073" w:rsidRDefault="00090880">
      <w:pPr>
        <w:spacing w:before="240" w:after="240"/>
        <w:ind w:left="720"/>
        <w:jc w:val="both"/>
        <w:rPr>
          <w:rFonts w:ascii="Arial Narrow" w:eastAsia="Arial Narrow" w:hAnsi="Arial Narrow" w:cs="Arial Narrow"/>
          <w:sz w:val="24"/>
          <w:szCs w:val="24"/>
        </w:rPr>
      </w:pPr>
      <w:r>
        <w:rPr>
          <w:rFonts w:ascii="Arial Narrow" w:eastAsia="Arial Narrow" w:hAnsi="Arial Narrow" w:cs="Arial Narrow"/>
          <w:b/>
          <w:sz w:val="24"/>
          <w:szCs w:val="24"/>
        </w:rPr>
        <w:t>Norma 158</w:t>
      </w:r>
      <w:r>
        <w:rPr>
          <w:rFonts w:ascii="Arial Narrow" w:eastAsia="Arial Narrow" w:hAnsi="Arial Narrow" w:cs="Arial Narrow"/>
          <w:sz w:val="24"/>
          <w:szCs w:val="24"/>
        </w:rPr>
        <w:t>. Los Estados deberán invest</w:t>
      </w:r>
      <w:r>
        <w:rPr>
          <w:rFonts w:ascii="Arial Narrow" w:eastAsia="Arial Narrow" w:hAnsi="Arial Narrow" w:cs="Arial Narrow"/>
          <w:sz w:val="24"/>
          <w:szCs w:val="24"/>
        </w:rPr>
        <w:t>igar los crímenes de guerra presuntamente cometidos por sus ciudadanos o sus fuerzas armadas, así como en su territorio, y encausar, si procede, a los imputados. Deberán asimismo investigar otros crímenes de guerra que sean de su competencia y encausar, si</w:t>
      </w:r>
      <w:r>
        <w:rPr>
          <w:rFonts w:ascii="Arial Narrow" w:eastAsia="Arial Narrow" w:hAnsi="Arial Narrow" w:cs="Arial Narrow"/>
          <w:sz w:val="24"/>
          <w:szCs w:val="24"/>
        </w:rPr>
        <w:t xml:space="preserve"> procede, a los imputados. [CAI/CANI]</w:t>
      </w:r>
    </w:p>
    <w:p w:rsidR="00987073" w:rsidRDefault="00090880">
      <w:pPr>
        <w:spacing w:before="240" w:after="240"/>
        <w:ind w:left="720"/>
        <w:jc w:val="both"/>
        <w:rPr>
          <w:rFonts w:ascii="Arial Narrow" w:eastAsia="Arial Narrow" w:hAnsi="Arial Narrow" w:cs="Arial Narrow"/>
          <w:sz w:val="24"/>
          <w:szCs w:val="24"/>
        </w:rPr>
      </w:pPr>
      <w:r>
        <w:rPr>
          <w:rFonts w:ascii="Arial Narrow" w:eastAsia="Arial Narrow" w:hAnsi="Arial Narrow" w:cs="Arial Narrow"/>
          <w:b/>
          <w:sz w:val="24"/>
          <w:szCs w:val="24"/>
        </w:rPr>
        <w:t>Norma 161.</w:t>
      </w:r>
      <w:r>
        <w:rPr>
          <w:rFonts w:ascii="Arial Narrow" w:eastAsia="Arial Narrow" w:hAnsi="Arial Narrow" w:cs="Arial Narrow"/>
          <w:sz w:val="24"/>
          <w:szCs w:val="24"/>
        </w:rPr>
        <w:t xml:space="preserve"> Los Estados se esforzarán en cooperar todo lo posible entre ellos a fin de facilitar la investigación de los crímenes de guerra y el enjuiciamiento de los imputados. [CAI/CANI].</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Es importante anotar, que los</w:t>
      </w:r>
      <w:r>
        <w:rPr>
          <w:rFonts w:ascii="Arial Narrow" w:eastAsia="Arial Narrow" w:hAnsi="Arial Narrow" w:cs="Arial Narrow"/>
          <w:sz w:val="24"/>
          <w:szCs w:val="24"/>
        </w:rPr>
        <w:t xml:space="preserve"> instrumentos del DIH que abordan los CANI, dedican su articulado especialmente a la protección de la población civil en el contexto de la guerra; por lo cual especifica las infracciones graves que se deben evitar cometer por las partes del conflicto. Y au</w:t>
      </w:r>
      <w:r>
        <w:rPr>
          <w:rFonts w:ascii="Arial Narrow" w:eastAsia="Arial Narrow" w:hAnsi="Arial Narrow" w:cs="Arial Narrow"/>
          <w:sz w:val="24"/>
          <w:szCs w:val="24"/>
        </w:rPr>
        <w:t>nque no disponen un sistema de enjuiciamiento o investigación de las infracciones graves en un conflicto interno, sí es un marco normativo de protección a las personas civiles en el marco de la guerra complementario a lo dispuesto por la ratificada Convenc</w:t>
      </w:r>
      <w:r>
        <w:rPr>
          <w:rFonts w:ascii="Arial Narrow" w:eastAsia="Arial Narrow" w:hAnsi="Arial Narrow" w:cs="Arial Narrow"/>
          <w:sz w:val="24"/>
          <w:szCs w:val="24"/>
        </w:rPr>
        <w:t>ión Internacional Contra la Toma de Rehenes", adoptada por la Asamblea General de las Naciones Unidas el diecisiete (17) de diciembre de mil novecientos setenta y nueve (1979) y ratificada por Colombia en el 2003:</w:t>
      </w:r>
    </w:p>
    <w:p w:rsidR="00987073" w:rsidRDefault="00090880">
      <w:pPr>
        <w:spacing w:before="240" w:after="240"/>
        <w:ind w:left="720"/>
        <w:jc w:val="both"/>
        <w:rPr>
          <w:rFonts w:ascii="Arial Narrow" w:eastAsia="Arial Narrow" w:hAnsi="Arial Narrow" w:cs="Arial Narrow"/>
          <w:sz w:val="24"/>
          <w:szCs w:val="24"/>
        </w:rPr>
      </w:pPr>
      <w:r>
        <w:rPr>
          <w:rFonts w:ascii="Arial Narrow" w:eastAsia="Arial Narrow" w:hAnsi="Arial Narrow" w:cs="Arial Narrow"/>
          <w:b/>
          <w:sz w:val="24"/>
          <w:szCs w:val="24"/>
        </w:rPr>
        <w:t>“Artículo 1.</w:t>
      </w:r>
      <w:r>
        <w:rPr>
          <w:rFonts w:ascii="Arial Narrow" w:eastAsia="Arial Narrow" w:hAnsi="Arial Narrow" w:cs="Arial Narrow"/>
          <w:sz w:val="24"/>
          <w:szCs w:val="24"/>
        </w:rPr>
        <w:t xml:space="preserve"> Toda persona que se apodere d</w:t>
      </w:r>
      <w:r>
        <w:rPr>
          <w:rFonts w:ascii="Arial Narrow" w:eastAsia="Arial Narrow" w:hAnsi="Arial Narrow" w:cs="Arial Narrow"/>
          <w:sz w:val="24"/>
          <w:szCs w:val="24"/>
        </w:rPr>
        <w:t>e otra (que en adelante se denominará "el rehén") o la detenga, y amenace con matarla, herirla o mantenerla detenida a fin de obligar a un tercero, a saber, un Estado, una organización internacional intergubernamental, una persona natural o jurídica o un g</w:t>
      </w:r>
      <w:r>
        <w:rPr>
          <w:rFonts w:ascii="Arial Narrow" w:eastAsia="Arial Narrow" w:hAnsi="Arial Narrow" w:cs="Arial Narrow"/>
          <w:sz w:val="24"/>
          <w:szCs w:val="24"/>
        </w:rPr>
        <w:t>rupo de personas, a una acción u omisión como condición explícita o implícita para la liberación del rehén, comete el delito de toma de rehenes en el sentido de la presente convención.”</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De igual forma, en el Artículo 18 del Protocolo II Adicional dispone que se emprenderán acciones de socorro y ayuda humanitario siempre y cuando se considere pertinente. Al respecto:</w:t>
      </w:r>
    </w:p>
    <w:p w:rsidR="00987073" w:rsidRDefault="00090880">
      <w:pPr>
        <w:spacing w:before="240" w:after="240"/>
        <w:ind w:left="720"/>
        <w:jc w:val="both"/>
        <w:rPr>
          <w:rFonts w:ascii="Arial Narrow" w:eastAsia="Arial Narrow" w:hAnsi="Arial Narrow" w:cs="Arial Narrow"/>
          <w:sz w:val="24"/>
          <w:szCs w:val="24"/>
        </w:rPr>
      </w:pPr>
      <w:r>
        <w:rPr>
          <w:rFonts w:ascii="Arial Narrow" w:eastAsia="Arial Narrow" w:hAnsi="Arial Narrow" w:cs="Arial Narrow"/>
          <w:sz w:val="24"/>
          <w:szCs w:val="24"/>
        </w:rPr>
        <w:t>“ante una violación del derecho internacional humanitario, como es el cas</w:t>
      </w:r>
      <w:r>
        <w:rPr>
          <w:rFonts w:ascii="Arial Narrow" w:eastAsia="Arial Narrow" w:hAnsi="Arial Narrow" w:cs="Arial Narrow"/>
          <w:sz w:val="24"/>
          <w:szCs w:val="24"/>
        </w:rPr>
        <w:t xml:space="preserve">o de la toma de rehenes, el CICR determina, en cada caso, la actitud que ha de adoptar, esencialmente según </w:t>
      </w:r>
      <w:r>
        <w:rPr>
          <w:rFonts w:ascii="Arial Narrow" w:eastAsia="Arial Narrow" w:hAnsi="Arial Narrow" w:cs="Arial Narrow"/>
          <w:sz w:val="24"/>
          <w:szCs w:val="24"/>
        </w:rPr>
        <w:lastRenderedPageBreak/>
        <w:t>un criterio; el interés de las víctimas que está encargado de</w:t>
      </w:r>
      <w:r>
        <w:rPr>
          <w:rFonts w:ascii="Arial Narrow" w:eastAsia="Arial Narrow" w:hAnsi="Arial Narrow" w:cs="Arial Narrow"/>
          <w:b/>
          <w:sz w:val="24"/>
          <w:szCs w:val="24"/>
        </w:rPr>
        <w:t xml:space="preserve"> proteger y asistir</w:t>
      </w:r>
      <w:r>
        <w:rPr>
          <w:rFonts w:ascii="Arial Narrow" w:eastAsia="Arial Narrow" w:hAnsi="Arial Narrow" w:cs="Arial Narrow"/>
          <w:sz w:val="24"/>
          <w:szCs w:val="24"/>
        </w:rPr>
        <w:t>. Su cometido específico de intermediario neutral entre las partes e</w:t>
      </w:r>
      <w:r>
        <w:rPr>
          <w:rFonts w:ascii="Arial Narrow" w:eastAsia="Arial Narrow" w:hAnsi="Arial Narrow" w:cs="Arial Narrow"/>
          <w:sz w:val="24"/>
          <w:szCs w:val="24"/>
        </w:rPr>
        <w:t>n un conflicto, su deber de tratar sin discriminación a todas las victimas de conflictos armados, obligan al CICR, ante violaciones comprobadas o supuestas contra el derecho internacional humanitario, a no actuar antes de haber calculado cuidadosamente las</w:t>
      </w:r>
      <w:r>
        <w:rPr>
          <w:rFonts w:ascii="Arial Narrow" w:eastAsia="Arial Narrow" w:hAnsi="Arial Narrow" w:cs="Arial Narrow"/>
          <w:sz w:val="24"/>
          <w:szCs w:val="24"/>
        </w:rPr>
        <w:t xml:space="preserve"> consecuencias que su reacción pueda tener para las víctimas.” (CICR, p.227)</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El Comité Internacional de la Cruz Roja ha intervenido humanitariamente en algunos resonantes actos de toma de rehenes, como el caso ocurrido en la embajada de República Dominican</w:t>
      </w:r>
      <w:r>
        <w:rPr>
          <w:rFonts w:ascii="Arial Narrow" w:eastAsia="Arial Narrow" w:hAnsi="Arial Narrow" w:cs="Arial Narrow"/>
          <w:sz w:val="24"/>
          <w:szCs w:val="24"/>
        </w:rPr>
        <w:t>a en Bogotá, donde fungieron como visitantes de las condiciones humanitarias de los rehenes y posteriormente mediadores en la negociación manteniendo su estatuto imparcial y facilitando la liberación. Si bien el Comité, no especifica un protocolo de libera</w:t>
      </w:r>
      <w:r>
        <w:rPr>
          <w:rFonts w:ascii="Arial Narrow" w:eastAsia="Arial Narrow" w:hAnsi="Arial Narrow" w:cs="Arial Narrow"/>
          <w:sz w:val="24"/>
          <w:szCs w:val="24"/>
        </w:rPr>
        <w:t xml:space="preserve">ción de los rehenes, en sus comunicaciones y documentos, ponen de manifiesto la rigurosidad de cada paso que adelantan en aras de proteger a las personas civiles y de garantizarles su </w:t>
      </w:r>
      <w:proofErr w:type="gramStart"/>
      <w:r>
        <w:rPr>
          <w:rFonts w:ascii="Arial Narrow" w:eastAsia="Arial Narrow" w:hAnsi="Arial Narrow" w:cs="Arial Narrow"/>
          <w:sz w:val="24"/>
          <w:szCs w:val="24"/>
        </w:rPr>
        <w:t>seguridad</w:t>
      </w:r>
      <w:proofErr w:type="gramEnd"/>
      <w:r>
        <w:rPr>
          <w:rFonts w:ascii="Arial Narrow" w:eastAsia="Arial Narrow" w:hAnsi="Arial Narrow" w:cs="Arial Narrow"/>
          <w:sz w:val="24"/>
          <w:szCs w:val="24"/>
        </w:rPr>
        <w:t xml:space="preserve"> así como la de sus familias. </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Todo lo anterior para decir que </w:t>
      </w:r>
      <w:r>
        <w:rPr>
          <w:rFonts w:ascii="Arial Narrow" w:eastAsia="Arial Narrow" w:hAnsi="Arial Narrow" w:cs="Arial Narrow"/>
          <w:sz w:val="24"/>
          <w:szCs w:val="24"/>
        </w:rPr>
        <w:t>el deber del Estado interpretado a la luz de lo dispuesto por el DIH, debe ser la difusión y el despliegue de los medios necesarios para el cumplimiento y respeto de las normas anteriormente mencionadas por los Grupos Armados Estatales y No Estatales. El C</w:t>
      </w:r>
      <w:r>
        <w:rPr>
          <w:rFonts w:ascii="Arial Narrow" w:eastAsia="Arial Narrow" w:hAnsi="Arial Narrow" w:cs="Arial Narrow"/>
          <w:sz w:val="24"/>
          <w:szCs w:val="24"/>
        </w:rPr>
        <w:t>omité Internacional de la Cruz Roja (CICR) y Amnistía Internacional, han emitido numerosas recomendaciones para abordar el problema del secuestro. Estas recomendaciones se basan en los principios fundamentales del derecho internacional humanitario, los der</w:t>
      </w:r>
      <w:r>
        <w:rPr>
          <w:rFonts w:ascii="Arial Narrow" w:eastAsia="Arial Narrow" w:hAnsi="Arial Narrow" w:cs="Arial Narrow"/>
          <w:sz w:val="24"/>
          <w:szCs w:val="24"/>
        </w:rPr>
        <w:t>echos humanos y la justicia internacional.</w:t>
      </w:r>
    </w:p>
    <w:p w:rsidR="00987073" w:rsidRDefault="00090880">
      <w:pPr>
        <w:numPr>
          <w:ilvl w:val="0"/>
          <w:numId w:val="1"/>
        </w:numPr>
        <w:spacing w:before="240"/>
        <w:jc w:val="both"/>
        <w:rPr>
          <w:rFonts w:ascii="Arial Narrow" w:eastAsia="Arial Narrow" w:hAnsi="Arial Narrow" w:cs="Arial Narrow"/>
          <w:sz w:val="24"/>
          <w:szCs w:val="24"/>
        </w:rPr>
      </w:pPr>
      <w:r>
        <w:rPr>
          <w:rFonts w:ascii="Arial Narrow" w:eastAsia="Arial Narrow" w:hAnsi="Arial Narrow" w:cs="Arial Narrow"/>
          <w:b/>
          <w:sz w:val="24"/>
          <w:szCs w:val="24"/>
        </w:rPr>
        <w:t>Condena inequívoca del secuestro:</w:t>
      </w:r>
      <w:r>
        <w:rPr>
          <w:rFonts w:ascii="Arial Narrow" w:eastAsia="Arial Narrow" w:hAnsi="Arial Narrow" w:cs="Arial Narrow"/>
          <w:sz w:val="24"/>
          <w:szCs w:val="24"/>
        </w:rPr>
        <w:t xml:space="preserve"> Las organizaciones internacionales condenan el secuestro en todas sus formas, ya que constituye una grave violación de los derechos humanos y del derecho internacional humanitario</w:t>
      </w:r>
      <w:r>
        <w:rPr>
          <w:rFonts w:ascii="Arial Narrow" w:eastAsia="Arial Narrow" w:hAnsi="Arial Narrow" w:cs="Arial Narrow"/>
          <w:sz w:val="24"/>
          <w:szCs w:val="24"/>
        </w:rPr>
        <w:t>.</w:t>
      </w:r>
    </w:p>
    <w:p w:rsidR="00987073" w:rsidRDefault="00090880">
      <w:pPr>
        <w:numPr>
          <w:ilvl w:val="0"/>
          <w:numId w:val="1"/>
        </w:numPr>
        <w:jc w:val="both"/>
        <w:rPr>
          <w:rFonts w:ascii="Arial Narrow" w:eastAsia="Arial Narrow" w:hAnsi="Arial Narrow" w:cs="Arial Narrow"/>
          <w:sz w:val="24"/>
          <w:szCs w:val="24"/>
        </w:rPr>
      </w:pPr>
      <w:r>
        <w:rPr>
          <w:rFonts w:ascii="Arial Narrow" w:eastAsia="Arial Narrow" w:hAnsi="Arial Narrow" w:cs="Arial Narrow"/>
          <w:b/>
          <w:sz w:val="24"/>
          <w:szCs w:val="24"/>
        </w:rPr>
        <w:t>Protección de las víctimas:</w:t>
      </w:r>
      <w:r>
        <w:rPr>
          <w:rFonts w:ascii="Arial Narrow" w:eastAsia="Arial Narrow" w:hAnsi="Arial Narrow" w:cs="Arial Narrow"/>
          <w:sz w:val="24"/>
          <w:szCs w:val="24"/>
        </w:rPr>
        <w:t xml:space="preserve"> Se enfatiza la necesidad de brindar protección a las víctimas de secuestro, tanto físicas como psicológicas. Esto incluye garantizar su seguridad, acceso a atención médica y asistencia legal.</w:t>
      </w:r>
    </w:p>
    <w:p w:rsidR="00987073" w:rsidRDefault="00090880">
      <w:pPr>
        <w:numPr>
          <w:ilvl w:val="0"/>
          <w:numId w:val="1"/>
        </w:num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Investigación y enjuiciamiento de </w:t>
      </w:r>
      <w:r>
        <w:rPr>
          <w:rFonts w:ascii="Arial Narrow" w:eastAsia="Arial Narrow" w:hAnsi="Arial Narrow" w:cs="Arial Narrow"/>
          <w:b/>
          <w:sz w:val="24"/>
          <w:szCs w:val="24"/>
        </w:rPr>
        <w:t xml:space="preserve">los responsables: </w:t>
      </w:r>
      <w:r>
        <w:rPr>
          <w:rFonts w:ascii="Arial Narrow" w:eastAsia="Arial Narrow" w:hAnsi="Arial Narrow" w:cs="Arial Narrow"/>
          <w:sz w:val="24"/>
          <w:szCs w:val="24"/>
        </w:rPr>
        <w:t>Se insta a los Estados a investigar de manera exhaustiva todos los casos de secuestro y a enjuiciar a los responsables ante tribunales civiles o militares, según corresponda.</w:t>
      </w:r>
    </w:p>
    <w:p w:rsidR="00987073" w:rsidRDefault="00090880">
      <w:pPr>
        <w:numPr>
          <w:ilvl w:val="0"/>
          <w:numId w:val="1"/>
        </w:num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Prevención del secuestro: </w:t>
      </w:r>
      <w:r>
        <w:rPr>
          <w:rFonts w:ascii="Arial Narrow" w:eastAsia="Arial Narrow" w:hAnsi="Arial Narrow" w:cs="Arial Narrow"/>
          <w:sz w:val="24"/>
          <w:szCs w:val="24"/>
        </w:rPr>
        <w:t>Se promueven medidas para prevenir el</w:t>
      </w:r>
      <w:r>
        <w:rPr>
          <w:rFonts w:ascii="Arial Narrow" w:eastAsia="Arial Narrow" w:hAnsi="Arial Narrow" w:cs="Arial Narrow"/>
          <w:sz w:val="24"/>
          <w:szCs w:val="24"/>
        </w:rPr>
        <w:t xml:space="preserve"> secuestro, como el fortalecimiento de las instituciones estatales, la promoción de la cultura de la legalidad y la cooperación internacional.</w:t>
      </w:r>
    </w:p>
    <w:p w:rsidR="00987073" w:rsidRDefault="00090880">
      <w:pPr>
        <w:numPr>
          <w:ilvl w:val="0"/>
          <w:numId w:val="1"/>
        </w:numPr>
        <w:jc w:val="both"/>
        <w:rPr>
          <w:rFonts w:ascii="Arial Narrow" w:eastAsia="Arial Narrow" w:hAnsi="Arial Narrow" w:cs="Arial Narrow"/>
          <w:sz w:val="24"/>
          <w:szCs w:val="24"/>
        </w:rPr>
      </w:pPr>
      <w:r>
        <w:rPr>
          <w:rFonts w:ascii="Arial Narrow" w:eastAsia="Arial Narrow" w:hAnsi="Arial Narrow" w:cs="Arial Narrow"/>
          <w:b/>
          <w:sz w:val="24"/>
          <w:szCs w:val="24"/>
        </w:rPr>
        <w:t>Respeto a los derechos de los detenidos</w:t>
      </w:r>
      <w:r>
        <w:rPr>
          <w:rFonts w:ascii="Arial Narrow" w:eastAsia="Arial Narrow" w:hAnsi="Arial Narrow" w:cs="Arial Narrow"/>
          <w:sz w:val="24"/>
          <w:szCs w:val="24"/>
        </w:rPr>
        <w:t>: En caso de que los secuestradores sean capturados, se debe garantizar qu</w:t>
      </w:r>
      <w:r>
        <w:rPr>
          <w:rFonts w:ascii="Arial Narrow" w:eastAsia="Arial Narrow" w:hAnsi="Arial Narrow" w:cs="Arial Narrow"/>
          <w:sz w:val="24"/>
          <w:szCs w:val="24"/>
        </w:rPr>
        <w:t>e sean tratados de acuerdo con las normas internacionales de derechos humanos, incluyendo el derecho a un juicio justo.</w:t>
      </w:r>
    </w:p>
    <w:p w:rsidR="00987073" w:rsidRDefault="00090880">
      <w:pPr>
        <w:numPr>
          <w:ilvl w:val="0"/>
          <w:numId w:val="1"/>
        </w:numPr>
        <w:spacing w:after="24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Cooperación </w:t>
      </w:r>
      <w:proofErr w:type="spellStart"/>
      <w:proofErr w:type="gramStart"/>
      <w:r>
        <w:rPr>
          <w:rFonts w:ascii="Arial Narrow" w:eastAsia="Arial Narrow" w:hAnsi="Arial Narrow" w:cs="Arial Narrow"/>
          <w:b/>
          <w:sz w:val="24"/>
          <w:szCs w:val="24"/>
        </w:rPr>
        <w:t>internacional</w:t>
      </w:r>
      <w:r>
        <w:rPr>
          <w:rFonts w:ascii="Arial Narrow" w:eastAsia="Arial Narrow" w:hAnsi="Arial Narrow" w:cs="Arial Narrow"/>
          <w:sz w:val="24"/>
          <w:szCs w:val="24"/>
        </w:rPr>
        <w:t>:Se</w:t>
      </w:r>
      <w:proofErr w:type="spellEnd"/>
      <w:proofErr w:type="gramEnd"/>
      <w:r>
        <w:rPr>
          <w:rFonts w:ascii="Arial Narrow" w:eastAsia="Arial Narrow" w:hAnsi="Arial Narrow" w:cs="Arial Narrow"/>
          <w:sz w:val="24"/>
          <w:szCs w:val="24"/>
        </w:rPr>
        <w:t xml:space="preserve"> fomenta la cooperación entre los Estados para combatir el secuestro, a través del intercambio de información, la asistencia mutua en materia de investigación y el fortalecimiento de los mecanismos de extradición.</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 conclusión, las organizaciones inter</w:t>
      </w:r>
      <w:r>
        <w:rPr>
          <w:rFonts w:ascii="Arial Narrow" w:eastAsia="Arial Narrow" w:hAnsi="Arial Narrow" w:cs="Arial Narrow"/>
          <w:sz w:val="24"/>
          <w:szCs w:val="24"/>
        </w:rPr>
        <w:t>nacionales de derechos humanos desempeñan un papel fundamental en la lucha contra el secuestro como orientadores o como mediadores si es el caso. Sus recomendaciones ofrecen un marco de referencia para que los Estados adopten medidas efectivas para preveni</w:t>
      </w:r>
      <w:r>
        <w:rPr>
          <w:rFonts w:ascii="Arial Narrow" w:eastAsia="Arial Narrow" w:hAnsi="Arial Narrow" w:cs="Arial Narrow"/>
          <w:sz w:val="24"/>
          <w:szCs w:val="24"/>
        </w:rPr>
        <w:t xml:space="preserve">r y combatir este delito, y garantizar la protección de las víctimas; sin embargo, en toda la revisión </w:t>
      </w:r>
      <w:r>
        <w:rPr>
          <w:rFonts w:ascii="Arial Narrow" w:eastAsia="Arial Narrow" w:hAnsi="Arial Narrow" w:cs="Arial Narrow"/>
          <w:sz w:val="24"/>
          <w:szCs w:val="24"/>
        </w:rPr>
        <w:lastRenderedPageBreak/>
        <w:t>de las normas y de la literatura, no se encuentran recomendaciones orientadas a la publicación de la información relacionada a los casos de secuestro y m</w:t>
      </w:r>
      <w:r>
        <w:rPr>
          <w:rFonts w:ascii="Arial Narrow" w:eastAsia="Arial Narrow" w:hAnsi="Arial Narrow" w:cs="Arial Narrow"/>
          <w:sz w:val="24"/>
          <w:szCs w:val="24"/>
        </w:rPr>
        <w:t>enos de manera sistemática a través de los medios públicos. Por lo que, puede interpretarse que no cumple el principio de protección de la población civil que no participa en las hostilidades, pues la medida del presente PL puede poner en riesgo las víctim</w:t>
      </w:r>
      <w:r>
        <w:rPr>
          <w:rFonts w:ascii="Arial Narrow" w:eastAsia="Arial Narrow" w:hAnsi="Arial Narrow" w:cs="Arial Narrow"/>
          <w:sz w:val="24"/>
          <w:szCs w:val="24"/>
        </w:rPr>
        <w:t xml:space="preserve">as, sus familias y la población civil que se encuentra en medio de los enfrentamientos entre las partes. </w:t>
      </w:r>
    </w:p>
    <w:p w:rsidR="00987073" w:rsidRDefault="00090880">
      <w:p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3.3 Las limitaciones institucionales para su implementación </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Se ha abordado anteriormente los argumentos que ponen en tela de juicio la pertinencia de</w:t>
      </w:r>
      <w:r>
        <w:rPr>
          <w:rFonts w:ascii="Arial Narrow" w:eastAsia="Arial Narrow" w:hAnsi="Arial Narrow" w:cs="Arial Narrow"/>
          <w:sz w:val="24"/>
          <w:szCs w:val="24"/>
        </w:rPr>
        <w:t xml:space="preserve"> la iniciativa en materia jurídica por una posible violación al principio de reserva de la información legal, así como del derecho a la intimidad; como por su falta de alineación con las recomendaciones emitidas por las autoridades en materia humanitaria a</w:t>
      </w:r>
      <w:r>
        <w:rPr>
          <w:rFonts w:ascii="Arial Narrow" w:eastAsia="Arial Narrow" w:hAnsi="Arial Narrow" w:cs="Arial Narrow"/>
          <w:sz w:val="24"/>
          <w:szCs w:val="24"/>
        </w:rPr>
        <w:t xml:space="preserve"> nivel internacional. No obstante, cabe mencionar que surgen también preocupaciones en cuanto a la implementación y aplicación a través de la institucionalidad actual, pues al buscar los conceptos de las entidades llamadas a encargarse del registro público</w:t>
      </w:r>
      <w:r>
        <w:rPr>
          <w:rFonts w:ascii="Arial Narrow" w:eastAsia="Arial Narrow" w:hAnsi="Arial Narrow" w:cs="Arial Narrow"/>
          <w:sz w:val="24"/>
          <w:szCs w:val="24"/>
        </w:rPr>
        <w:t>, se advierte que NO hay aún un concepto solicitado ni del Ministerio de Defensa, ni de la Defensoría del Pueblo, ni de la Fiscalía General de la Nación; lo que refleja una falta de armonización y coordinación interinstitucional en la construcción de la pr</w:t>
      </w:r>
      <w:r>
        <w:rPr>
          <w:rFonts w:ascii="Arial Narrow" w:eastAsia="Arial Narrow" w:hAnsi="Arial Narrow" w:cs="Arial Narrow"/>
          <w:sz w:val="24"/>
          <w:szCs w:val="24"/>
        </w:rPr>
        <w:t>opuesta y por ende, una falla para su posible implementación.</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igual forma, en el informe de ponencia para primer debate lo(a)s autores argumentan que hay un alto </w:t>
      </w:r>
      <w:proofErr w:type="spellStart"/>
      <w:r>
        <w:rPr>
          <w:rFonts w:ascii="Arial Narrow" w:eastAsia="Arial Narrow" w:hAnsi="Arial Narrow" w:cs="Arial Narrow"/>
          <w:sz w:val="24"/>
          <w:szCs w:val="24"/>
        </w:rPr>
        <w:t>subregistro</w:t>
      </w:r>
      <w:proofErr w:type="spellEnd"/>
      <w:r>
        <w:rPr>
          <w:rFonts w:ascii="Arial Narrow" w:eastAsia="Arial Narrow" w:hAnsi="Arial Narrow" w:cs="Arial Narrow"/>
          <w:sz w:val="24"/>
          <w:szCs w:val="24"/>
        </w:rPr>
        <w:t xml:space="preserve"> de los casos de secuestro o toma de rehenes en el marco del conflicto armado, n</w:t>
      </w:r>
      <w:r>
        <w:rPr>
          <w:rFonts w:ascii="Arial Narrow" w:eastAsia="Arial Narrow" w:hAnsi="Arial Narrow" w:cs="Arial Narrow"/>
          <w:sz w:val="24"/>
          <w:szCs w:val="24"/>
        </w:rPr>
        <w:t>o obstante, no anotan que se explica fundamentalmente por el miedo de las familias de las víctimas de represalias o de afectaciones en su seguridad; es decir, se abstienen de reportar los casos. (Defensoría del Pueblo, 2023) En ese sentido resultaría más l</w:t>
      </w:r>
      <w:r>
        <w:rPr>
          <w:rFonts w:ascii="Arial Narrow" w:eastAsia="Arial Narrow" w:hAnsi="Arial Narrow" w:cs="Arial Narrow"/>
          <w:sz w:val="24"/>
          <w:szCs w:val="24"/>
        </w:rPr>
        <w:t>ógico en lugar de promover su publicidad y su exposición, aumentar los mecanismos y los recursos necesarios para garantizar a las familias de las víctimas, protección y acompañamiento para su denuncia. La Defensoría del Pueblo a través de sus delegadas, pe</w:t>
      </w:r>
      <w:r>
        <w:rPr>
          <w:rFonts w:ascii="Arial Narrow" w:eastAsia="Arial Narrow" w:hAnsi="Arial Narrow" w:cs="Arial Narrow"/>
          <w:sz w:val="24"/>
          <w:szCs w:val="24"/>
        </w:rPr>
        <w:t>ro específicamente, a través del Sistema de Alertas Tempranas, tiene activo un observatorio permanente que monitorea en territorio las infracciones al DIDH y al DIH</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 existe ya una institucionalidad que registra de manera constante las cifras sobre secuest</w:t>
      </w:r>
      <w:r>
        <w:rPr>
          <w:rFonts w:ascii="Arial Narrow" w:eastAsia="Arial Narrow" w:hAnsi="Arial Narrow" w:cs="Arial Narrow"/>
          <w:sz w:val="24"/>
          <w:szCs w:val="24"/>
        </w:rPr>
        <w:t>ro, pero nada permite afirmar que la publicación de los casos reportados promueva un reporte más oportuno de las familias de las víctimas que se han abstenido, y en cambio sí puede tener el efecto contrario.</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Es importante anotar que este flagelo tiene un c</w:t>
      </w:r>
      <w:r>
        <w:rPr>
          <w:rFonts w:ascii="Arial Narrow" w:eastAsia="Arial Narrow" w:hAnsi="Arial Narrow" w:cs="Arial Narrow"/>
          <w:sz w:val="24"/>
          <w:szCs w:val="24"/>
        </w:rPr>
        <w:t>arácter complejo y no puede considerarse un simple asunto de cifras o registros, por el contrario, se saben de sobremanera las consecuencias que deja en las víctimas y en sus familiares este delito. De ese modo, no puede abordarse a la ligera, ni de manera</w:t>
      </w:r>
      <w:r>
        <w:rPr>
          <w:rFonts w:ascii="Arial Narrow" w:eastAsia="Arial Narrow" w:hAnsi="Arial Narrow" w:cs="Arial Narrow"/>
          <w:sz w:val="24"/>
          <w:szCs w:val="24"/>
        </w:rPr>
        <w:t xml:space="preserve"> superficial, es fundamental encontrar consensos entre las organizaciones internacionales humanitarias, las entidades públicas relacionadas, las organizaciones de víctimas y demás </w:t>
      </w:r>
      <w:proofErr w:type="spellStart"/>
      <w:r>
        <w:rPr>
          <w:rFonts w:ascii="Arial Narrow" w:eastAsia="Arial Narrow" w:hAnsi="Arial Narrow" w:cs="Arial Narrow"/>
          <w:sz w:val="24"/>
          <w:szCs w:val="24"/>
        </w:rPr>
        <w:t>ONG’s</w:t>
      </w:r>
      <w:proofErr w:type="spellEnd"/>
      <w:r>
        <w:rPr>
          <w:rFonts w:ascii="Arial Narrow" w:eastAsia="Arial Narrow" w:hAnsi="Arial Narrow" w:cs="Arial Narrow"/>
          <w:sz w:val="24"/>
          <w:szCs w:val="24"/>
        </w:rPr>
        <w:t xml:space="preserve"> dedicadas a su estudio o atención; respecto a las nuevas medidas que p</w:t>
      </w:r>
      <w:r>
        <w:rPr>
          <w:rFonts w:ascii="Arial Narrow" w:eastAsia="Arial Narrow" w:hAnsi="Arial Narrow" w:cs="Arial Narrow"/>
          <w:sz w:val="24"/>
          <w:szCs w:val="24"/>
        </w:rPr>
        <w:t xml:space="preserve">ueda adoptar el Estado colombiano para combatirlo, prevenirlo y sancionarlo. La Comisión de la Verdad anota sobre el secuestro: </w:t>
      </w:r>
      <w:proofErr w:type="gramStart"/>
      <w:r>
        <w:rPr>
          <w:rFonts w:ascii="Arial Narrow" w:eastAsia="Arial Narrow" w:hAnsi="Arial Narrow" w:cs="Arial Narrow"/>
          <w:sz w:val="24"/>
          <w:szCs w:val="24"/>
        </w:rPr>
        <w:t>“ La</w:t>
      </w:r>
      <w:proofErr w:type="gramEnd"/>
      <w:r>
        <w:rPr>
          <w:rFonts w:ascii="Arial Narrow" w:eastAsia="Arial Narrow" w:hAnsi="Arial Narrow" w:cs="Arial Narrow"/>
          <w:sz w:val="24"/>
          <w:szCs w:val="24"/>
        </w:rPr>
        <w:t xml:space="preserve"> victimización y el dolor no cesan el día de la liberación, el canje o la fuga” precisamente, porque las secuelas son mayore</w:t>
      </w:r>
      <w:r>
        <w:rPr>
          <w:rFonts w:ascii="Arial Narrow" w:eastAsia="Arial Narrow" w:hAnsi="Arial Narrow" w:cs="Arial Narrow"/>
          <w:sz w:val="24"/>
          <w:szCs w:val="24"/>
        </w:rPr>
        <w:t xml:space="preserve">s y por ende, la movilización institucional debe centrarse en la seguridad y el </w:t>
      </w:r>
      <w:r>
        <w:rPr>
          <w:rFonts w:ascii="Arial Narrow" w:eastAsia="Arial Narrow" w:hAnsi="Arial Narrow" w:cs="Arial Narrow"/>
          <w:sz w:val="24"/>
          <w:szCs w:val="24"/>
        </w:rPr>
        <w:lastRenderedPageBreak/>
        <w:t>acompañamiento de las víctimas y sus familias, más que en la exhibición de las cifras en los medios públicos.</w:t>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Finalmente, no sobra decir que persisten preocupaciones en cuanto </w:t>
      </w:r>
      <w:r>
        <w:rPr>
          <w:rFonts w:ascii="Arial Narrow" w:eastAsia="Arial Narrow" w:hAnsi="Arial Narrow" w:cs="Arial Narrow"/>
          <w:sz w:val="24"/>
          <w:szCs w:val="24"/>
        </w:rPr>
        <w:t>a la efectividad de la medida que propone el PL para el problema que significa el secuestro en el país. Pues no hay argumentos para afirmar que tendría efectos positivos y efectivos en cuanto al objeto que persigue. Se halla a través del monitoreo de prens</w:t>
      </w:r>
      <w:r>
        <w:rPr>
          <w:rFonts w:ascii="Arial Narrow" w:eastAsia="Arial Narrow" w:hAnsi="Arial Narrow" w:cs="Arial Narrow"/>
          <w:sz w:val="24"/>
          <w:szCs w:val="24"/>
        </w:rPr>
        <w:t xml:space="preserve">a, un pequeño reporte de la Fundación </w:t>
      </w:r>
      <w:proofErr w:type="spellStart"/>
      <w:r>
        <w:rPr>
          <w:rFonts w:ascii="Arial Narrow" w:eastAsia="Arial Narrow" w:hAnsi="Arial Narrow" w:cs="Arial Narrow"/>
          <w:sz w:val="24"/>
          <w:szCs w:val="24"/>
        </w:rPr>
        <w:t>Gabo</w:t>
      </w:r>
      <w:proofErr w:type="spellEnd"/>
      <w:r>
        <w:rPr>
          <w:rFonts w:ascii="Arial Narrow" w:eastAsia="Arial Narrow" w:hAnsi="Arial Narrow" w:cs="Arial Narrow"/>
          <w:sz w:val="24"/>
          <w:szCs w:val="24"/>
        </w:rPr>
        <w:t xml:space="preserve"> sobre el tema, donde se le pregunta a varios periodistas qué opinan sobre la exposición de información sobre el secuestro, y ellos mismos conciben que el derecho primario en un caso de secuestro es el de la seguri</w:t>
      </w:r>
      <w:r>
        <w:rPr>
          <w:rFonts w:ascii="Arial Narrow" w:eastAsia="Arial Narrow" w:hAnsi="Arial Narrow" w:cs="Arial Narrow"/>
          <w:sz w:val="24"/>
          <w:szCs w:val="24"/>
        </w:rPr>
        <w:t>dad de la víctima, sobre el de la información de la gente.</w:t>
      </w:r>
      <w:r>
        <w:rPr>
          <w:rFonts w:ascii="Arial Narrow" w:eastAsia="Arial Narrow" w:hAnsi="Arial Narrow" w:cs="Arial Narrow"/>
          <w:sz w:val="24"/>
          <w:szCs w:val="24"/>
          <w:vertAlign w:val="superscript"/>
        </w:rPr>
        <w:footnoteReference w:id="3"/>
      </w:r>
    </w:p>
    <w:p w:rsidR="00987073" w:rsidRDefault="00090880">
      <w:pPr>
        <w:spacing w:before="240" w:after="240"/>
        <w:jc w:val="both"/>
        <w:rPr>
          <w:rFonts w:ascii="Arial Narrow" w:eastAsia="Arial Narrow" w:hAnsi="Arial Narrow" w:cs="Arial Narrow"/>
          <w:sz w:val="24"/>
          <w:szCs w:val="24"/>
        </w:rPr>
      </w:pPr>
      <w:r>
        <w:rPr>
          <w:rFonts w:ascii="Arial Narrow" w:eastAsia="Arial Narrow" w:hAnsi="Arial Narrow" w:cs="Arial Narrow"/>
          <w:noProof/>
          <w:sz w:val="24"/>
          <w:szCs w:val="24"/>
        </w:rPr>
        <w:drawing>
          <wp:inline distT="114300" distB="114300" distL="114300" distR="114300">
            <wp:extent cx="5731200" cy="1587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9"/>
                    <a:srcRect/>
                    <a:stretch>
                      <a:fillRect/>
                    </a:stretch>
                  </pic:blipFill>
                  <pic:spPr>
                    <a:xfrm>
                      <a:off x="0" y="0"/>
                      <a:ext cx="5731200" cy="1587500"/>
                    </a:xfrm>
                    <a:prstGeom prst="rect">
                      <a:avLst/>
                    </a:prstGeom>
                    <a:ln/>
                  </pic:spPr>
                </pic:pic>
              </a:graphicData>
            </a:graphic>
          </wp:inline>
        </w:drawing>
      </w:r>
    </w:p>
    <w:p w:rsidR="00987073" w:rsidRDefault="00090880">
      <w:pPr>
        <w:numPr>
          <w:ilvl w:val="0"/>
          <w:numId w:val="2"/>
        </w:numPr>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CONFLICTO DE INTERESES.</w:t>
      </w:r>
    </w:p>
    <w:p w:rsidR="00987073" w:rsidRDefault="00090880">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ARTÍCULO 286. Régimen de conflicto de interés de los congresistas. Todos los congresistas deberán declarar los conflictos de intereses que pudieran surgir en el ejercicio</w:t>
      </w:r>
      <w:r>
        <w:rPr>
          <w:rFonts w:ascii="Arial Narrow" w:eastAsia="Arial Narrow" w:hAnsi="Arial Narrow" w:cs="Arial Narrow"/>
          <w:sz w:val="24"/>
          <w:szCs w:val="24"/>
        </w:rPr>
        <w:t xml:space="preserve"> de sus funciones. Se entiende como conflicto de interés una situación donde la discusión o votación de un proyecto de ley o acto legislativo o artículo, pueda resultar en un beneficio particular, actual y directo a favor del congresista. a) Beneficio part</w:t>
      </w:r>
      <w:r>
        <w:rPr>
          <w:rFonts w:ascii="Arial Narrow" w:eastAsia="Arial Narrow" w:hAnsi="Arial Narrow" w:cs="Arial Narrow"/>
          <w:sz w:val="24"/>
          <w:szCs w:val="24"/>
        </w:rPr>
        <w:t>icular: aquel que otorga un privilegio o genera ganancias o crea indemnizaciones económicas o elimina obligaciones a favor del congresista de las que no gozan el resto de los ciudadanos. Modifique normas que afecten investigaciones penales, disciplinarias,</w:t>
      </w:r>
      <w:r>
        <w:rPr>
          <w:rFonts w:ascii="Arial Narrow" w:eastAsia="Arial Narrow" w:hAnsi="Arial Narrow" w:cs="Arial Narrow"/>
          <w:sz w:val="24"/>
          <w:szCs w:val="24"/>
        </w:rPr>
        <w:t xml:space="preserve"> fiscales o administrativas a las que se encuentre formalmente vinculado. b) Beneficio actual: aquel que efectivamente se configura en las circunstancias presentes y existentes al momento en el que el congresista participa de la decisión c) Beneficio direc</w:t>
      </w:r>
      <w:r>
        <w:rPr>
          <w:rFonts w:ascii="Arial Narrow" w:eastAsia="Arial Narrow" w:hAnsi="Arial Narrow" w:cs="Arial Narrow"/>
          <w:sz w:val="24"/>
          <w:szCs w:val="24"/>
        </w:rPr>
        <w:t xml:space="preserve">to: aquel que se produzca de forma específica respecto del congresista, de su cónyuge, compañero o compañera permanente, o parientes dentro del segundo grado de consanguinidad, segundo de afinidad o primero civil.”  </w:t>
      </w:r>
    </w:p>
    <w:p w:rsidR="00987073" w:rsidRDefault="00987073">
      <w:pPr>
        <w:shd w:val="clear" w:color="auto" w:fill="FFFFFF"/>
        <w:jc w:val="both"/>
        <w:rPr>
          <w:rFonts w:ascii="Arial Narrow" w:eastAsia="Arial Narrow" w:hAnsi="Arial Narrow" w:cs="Arial Narrow"/>
          <w:sz w:val="24"/>
          <w:szCs w:val="24"/>
        </w:rPr>
      </w:pPr>
    </w:p>
    <w:p w:rsidR="00987073" w:rsidRDefault="00090880">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Atendiendo el anterior apartado legal, se considera que en el caso de esta ponencia no existen circunstancias que eventualmente puedan generar un conflicto de interés por parte de los congresistas que participen de la discusión y votación. Lo anterior, ent</w:t>
      </w:r>
      <w:r>
        <w:rPr>
          <w:rFonts w:ascii="Arial Narrow" w:eastAsia="Arial Narrow" w:hAnsi="Arial Narrow" w:cs="Arial Narrow"/>
          <w:sz w:val="24"/>
          <w:szCs w:val="24"/>
        </w:rPr>
        <w:t xml:space="preserve">endiendo que el carácter de lo propuesto por la iniciativa legislativa resulta en un efecto general. </w:t>
      </w:r>
    </w:p>
    <w:p w:rsidR="00987073" w:rsidRDefault="00987073">
      <w:pPr>
        <w:shd w:val="clear" w:color="auto" w:fill="FFFFFF"/>
        <w:jc w:val="both"/>
        <w:rPr>
          <w:rFonts w:ascii="Arial Narrow" w:eastAsia="Arial Narrow" w:hAnsi="Arial Narrow" w:cs="Arial Narrow"/>
          <w:sz w:val="24"/>
          <w:szCs w:val="24"/>
        </w:rPr>
      </w:pPr>
    </w:p>
    <w:p w:rsidR="00987073" w:rsidRDefault="00090880">
      <w:pPr>
        <w:numPr>
          <w:ilvl w:val="0"/>
          <w:numId w:val="2"/>
        </w:numPr>
        <w:shd w:val="clear" w:color="auto" w:fill="FFFFFF"/>
        <w:jc w:val="both"/>
        <w:rPr>
          <w:rFonts w:ascii="Arial Narrow" w:eastAsia="Arial Narrow" w:hAnsi="Arial Narrow" w:cs="Arial Narrow"/>
          <w:b/>
          <w:sz w:val="24"/>
          <w:szCs w:val="24"/>
        </w:rPr>
      </w:pPr>
      <w:r>
        <w:rPr>
          <w:rFonts w:ascii="Arial Narrow" w:eastAsia="Arial Narrow" w:hAnsi="Arial Narrow" w:cs="Arial Narrow"/>
          <w:b/>
          <w:sz w:val="24"/>
          <w:szCs w:val="24"/>
        </w:rPr>
        <w:t>PROPOSICIÓN.</w:t>
      </w:r>
    </w:p>
    <w:p w:rsidR="00987073" w:rsidRDefault="00987073">
      <w:pPr>
        <w:shd w:val="clear" w:color="auto" w:fill="FFFFFF"/>
        <w:jc w:val="both"/>
        <w:rPr>
          <w:rFonts w:ascii="Arial Narrow" w:eastAsia="Arial Narrow" w:hAnsi="Arial Narrow" w:cs="Arial Narrow"/>
          <w:b/>
          <w:sz w:val="24"/>
          <w:szCs w:val="24"/>
        </w:rPr>
      </w:pPr>
    </w:p>
    <w:p w:rsidR="00987073" w:rsidRDefault="00090880">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Considerando los argumentos expuestos, presentamos </w:t>
      </w:r>
      <w:r>
        <w:rPr>
          <w:rFonts w:ascii="Arial Narrow" w:eastAsia="Arial Narrow" w:hAnsi="Arial Narrow" w:cs="Arial Narrow"/>
          <w:b/>
          <w:sz w:val="24"/>
          <w:szCs w:val="24"/>
        </w:rPr>
        <w:t>PONENCIA NEGATIVA</w:t>
      </w:r>
      <w:r>
        <w:rPr>
          <w:rFonts w:ascii="Arial Narrow" w:eastAsia="Arial Narrow" w:hAnsi="Arial Narrow" w:cs="Arial Narrow"/>
          <w:sz w:val="24"/>
          <w:szCs w:val="24"/>
        </w:rPr>
        <w:t xml:space="preserve"> y solicitamos a la Comisión Primera de la Cámara de Representantes </w:t>
      </w:r>
      <w:r>
        <w:rPr>
          <w:rFonts w:ascii="Arial Narrow" w:eastAsia="Arial Narrow" w:hAnsi="Arial Narrow" w:cs="Arial Narrow"/>
          <w:b/>
          <w:sz w:val="24"/>
          <w:szCs w:val="24"/>
        </w:rPr>
        <w:t>ARC</w:t>
      </w:r>
      <w:r>
        <w:rPr>
          <w:rFonts w:ascii="Arial Narrow" w:eastAsia="Arial Narrow" w:hAnsi="Arial Narrow" w:cs="Arial Narrow"/>
          <w:b/>
          <w:sz w:val="24"/>
          <w:szCs w:val="24"/>
        </w:rPr>
        <w:t>HIVAR</w:t>
      </w:r>
      <w:r>
        <w:rPr>
          <w:rFonts w:ascii="Arial Narrow" w:eastAsia="Arial Narrow" w:hAnsi="Arial Narrow" w:cs="Arial Narrow"/>
          <w:sz w:val="24"/>
          <w:szCs w:val="24"/>
        </w:rPr>
        <w:t xml:space="preserve"> el Proyecto de Ley 266 del 2024 </w:t>
      </w:r>
      <w:proofErr w:type="gramStart"/>
      <w:r>
        <w:rPr>
          <w:rFonts w:ascii="Arial Narrow" w:eastAsia="Arial Narrow" w:hAnsi="Arial Narrow" w:cs="Arial Narrow"/>
          <w:sz w:val="24"/>
          <w:szCs w:val="24"/>
        </w:rPr>
        <w:t>Cámara  “</w:t>
      </w:r>
      <w:proofErr w:type="gramEnd"/>
      <w:r>
        <w:rPr>
          <w:rFonts w:ascii="Arial Narrow" w:eastAsia="Arial Narrow" w:hAnsi="Arial Narrow" w:cs="Arial Narrow"/>
          <w:sz w:val="24"/>
          <w:szCs w:val="24"/>
        </w:rPr>
        <w:t>Por medio de la cual se crea el Reporte Público de Secuestrados y se dictan otras disposiciones.”</w:t>
      </w:r>
    </w:p>
    <w:p w:rsidR="00987073" w:rsidRDefault="00987073">
      <w:pPr>
        <w:shd w:val="clear" w:color="auto" w:fill="FFFFFF"/>
        <w:jc w:val="both"/>
        <w:rPr>
          <w:rFonts w:ascii="Arial Narrow" w:eastAsia="Arial Narrow" w:hAnsi="Arial Narrow" w:cs="Arial Narrow"/>
          <w:sz w:val="24"/>
          <w:szCs w:val="24"/>
        </w:rPr>
      </w:pPr>
    </w:p>
    <w:p w:rsidR="00987073" w:rsidRDefault="00987073">
      <w:pPr>
        <w:rPr>
          <w:rFonts w:ascii="Arial Narrow" w:eastAsia="Arial Narrow" w:hAnsi="Arial Narrow" w:cs="Arial Narrow"/>
          <w:sz w:val="24"/>
          <w:szCs w:val="24"/>
        </w:rPr>
      </w:pPr>
    </w:p>
    <w:p w:rsidR="00987073" w:rsidRDefault="00090880">
      <w:pPr>
        <w:rPr>
          <w:rFonts w:ascii="Arial Narrow" w:eastAsia="Arial Narrow" w:hAnsi="Arial Narrow" w:cs="Arial Narrow"/>
          <w:b/>
          <w:sz w:val="24"/>
          <w:szCs w:val="24"/>
        </w:rPr>
      </w:pPr>
      <w:r>
        <w:rPr>
          <w:rFonts w:ascii="Arial Narrow" w:eastAsia="Arial Narrow" w:hAnsi="Arial Narrow" w:cs="Arial Narrow"/>
          <w:sz w:val="24"/>
          <w:szCs w:val="24"/>
        </w:rPr>
        <w:t xml:space="preserve">                                                                       </w:t>
      </w:r>
    </w:p>
    <w:p w:rsidR="00987073" w:rsidRDefault="00090880">
      <w:pPr>
        <w:shd w:val="clear" w:color="auto" w:fill="FFFFFF"/>
        <w:spacing w:after="160"/>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_____________________________________</w:t>
      </w:r>
      <w:r w:rsidR="00C312F0">
        <w:rPr>
          <w:rFonts w:ascii="Arial Narrow" w:eastAsia="Arial Narrow" w:hAnsi="Arial Narrow" w:cs="Arial Narrow"/>
          <w:b/>
          <w:sz w:val="24"/>
          <w:szCs w:val="24"/>
        </w:rPr>
        <w:t>_</w:t>
      </w:r>
      <w:r>
        <w:rPr>
          <w:rFonts w:ascii="Arial Narrow" w:eastAsia="Arial Narrow" w:hAnsi="Arial Narrow" w:cs="Arial Narrow"/>
          <w:b/>
          <w:sz w:val="24"/>
          <w:szCs w:val="24"/>
        </w:rPr>
        <w:t xml:space="preserve">      </w:t>
      </w:r>
      <w:r w:rsidR="00C312F0">
        <w:rPr>
          <w:rFonts w:ascii="Arial Narrow" w:eastAsia="Arial Narrow" w:hAnsi="Arial Narrow" w:cs="Arial Narrow"/>
          <w:b/>
          <w:sz w:val="24"/>
          <w:szCs w:val="24"/>
        </w:rPr>
        <w:t>_____________________________________</w:t>
      </w:r>
      <w:r w:rsidR="00C312F0">
        <w:rPr>
          <w:rFonts w:ascii="Arial Narrow" w:eastAsia="Arial Narrow" w:hAnsi="Arial Narrow" w:cs="Arial Narrow"/>
          <w:b/>
          <w:sz w:val="24"/>
          <w:szCs w:val="24"/>
        </w:rPr>
        <w:t>____</w:t>
      </w:r>
      <w:r w:rsidR="00C312F0">
        <w:rPr>
          <w:rFonts w:ascii="Arial Narrow" w:eastAsia="Arial Narrow" w:hAnsi="Arial Narrow" w:cs="Arial Narrow"/>
          <w:b/>
          <w:sz w:val="24"/>
          <w:szCs w:val="24"/>
        </w:rPr>
        <w:t xml:space="preserve">    </w:t>
      </w:r>
      <w:r>
        <w:rPr>
          <w:rFonts w:ascii="Arial Narrow" w:eastAsia="Arial Narrow" w:hAnsi="Arial Narrow" w:cs="Arial Narrow"/>
          <w:b/>
          <w:sz w:val="24"/>
          <w:szCs w:val="24"/>
        </w:rPr>
        <w:t xml:space="preserve">          </w:t>
      </w:r>
    </w:p>
    <w:p w:rsidR="00987073" w:rsidRDefault="00090880">
      <w:pPr>
        <w:shd w:val="clear" w:color="auto" w:fill="FFFFFF"/>
        <w:jc w:val="both"/>
        <w:rPr>
          <w:rFonts w:ascii="Arial Narrow" w:eastAsia="Arial Narrow" w:hAnsi="Arial Narrow" w:cs="Arial Narrow"/>
          <w:b/>
          <w:color w:val="222222"/>
          <w:sz w:val="24"/>
          <w:szCs w:val="24"/>
        </w:rPr>
      </w:pPr>
      <w:r>
        <w:rPr>
          <w:rFonts w:ascii="Arial Narrow" w:eastAsia="Arial Narrow" w:hAnsi="Arial Narrow" w:cs="Arial Narrow"/>
          <w:b/>
          <w:color w:val="222222"/>
          <w:sz w:val="24"/>
          <w:szCs w:val="24"/>
        </w:rPr>
        <w:t>PEDRO JOSÉ SUÁREZ VACCA                                       JENNIFER DALLEY PEDRAZA SANDOVAL</w:t>
      </w:r>
    </w:p>
    <w:p w:rsidR="00987073" w:rsidRDefault="00090880">
      <w:pPr>
        <w:shd w:val="clear" w:color="auto" w:fill="FFFFFF"/>
        <w:jc w:val="both"/>
        <w:rPr>
          <w:rFonts w:ascii="Arial Narrow" w:eastAsia="Arial Narrow" w:hAnsi="Arial Narrow" w:cs="Arial Narrow"/>
          <w:color w:val="222222"/>
          <w:sz w:val="24"/>
          <w:szCs w:val="24"/>
        </w:rPr>
      </w:pPr>
      <w:r>
        <w:rPr>
          <w:rFonts w:ascii="Arial Narrow" w:eastAsia="Arial Narrow" w:hAnsi="Arial Narrow" w:cs="Arial Narrow"/>
          <w:color w:val="222222"/>
          <w:sz w:val="24"/>
          <w:szCs w:val="24"/>
        </w:rPr>
        <w:t>Representante a la Cámara por Boyacá                            Representante a la Cámara por Bogotá</w:t>
      </w:r>
    </w:p>
    <w:p w:rsidR="00987073" w:rsidRDefault="00090880">
      <w:pPr>
        <w:shd w:val="clear" w:color="auto" w:fill="FFFFFF"/>
        <w:jc w:val="both"/>
        <w:rPr>
          <w:rFonts w:ascii="Arial Narrow" w:eastAsia="Arial Narrow" w:hAnsi="Arial Narrow" w:cs="Arial Narrow"/>
          <w:b/>
          <w:sz w:val="24"/>
          <w:szCs w:val="24"/>
        </w:rPr>
      </w:pPr>
      <w:r>
        <w:rPr>
          <w:rFonts w:ascii="Arial Narrow" w:eastAsia="Arial Narrow" w:hAnsi="Arial Narrow" w:cs="Arial Narrow"/>
          <w:color w:val="222222"/>
          <w:sz w:val="24"/>
          <w:szCs w:val="24"/>
        </w:rPr>
        <w:t>Pacto Histórico.                                                                  Partido Dignidad y Compromiso</w:t>
      </w:r>
    </w:p>
    <w:p w:rsidR="00987073" w:rsidRDefault="00987073">
      <w:pPr>
        <w:shd w:val="clear" w:color="auto" w:fill="FFFFFF"/>
        <w:jc w:val="both"/>
        <w:rPr>
          <w:rFonts w:ascii="Arial Narrow" w:eastAsia="Arial Narrow" w:hAnsi="Arial Narrow" w:cs="Arial Narrow"/>
          <w:sz w:val="24"/>
          <w:szCs w:val="24"/>
        </w:rPr>
      </w:pPr>
    </w:p>
    <w:p w:rsidR="00987073" w:rsidRDefault="00090880">
      <w:pPr>
        <w:spacing w:before="240" w:after="240"/>
        <w:jc w:val="both"/>
        <w:rPr>
          <w:rFonts w:ascii="Arial Narrow" w:eastAsia="Arial Narrow" w:hAnsi="Arial Narrow" w:cs="Arial Narrow"/>
          <w:b/>
          <w:color w:val="1A1A1A"/>
          <w:sz w:val="24"/>
          <w:szCs w:val="24"/>
          <w:highlight w:val="white"/>
        </w:rPr>
      </w:pPr>
      <w:r>
        <w:rPr>
          <w:rFonts w:ascii="Arial Narrow" w:eastAsia="Arial Narrow" w:hAnsi="Arial Narrow" w:cs="Arial Narrow"/>
          <w:b/>
          <w:color w:val="1A1A1A"/>
          <w:sz w:val="24"/>
          <w:szCs w:val="24"/>
          <w:highlight w:val="white"/>
        </w:rPr>
        <w:t xml:space="preserve">REFERENCIAS. </w:t>
      </w:r>
    </w:p>
    <w:p w:rsidR="00987073" w:rsidRDefault="00090880">
      <w:pPr>
        <w:spacing w:before="240" w:after="240"/>
        <w:jc w:val="both"/>
        <w:rPr>
          <w:rFonts w:ascii="Arial Narrow" w:eastAsia="Arial Narrow" w:hAnsi="Arial Narrow" w:cs="Arial Narrow"/>
          <w:color w:val="1A1A1A"/>
          <w:sz w:val="24"/>
          <w:szCs w:val="24"/>
          <w:highlight w:val="white"/>
        </w:rPr>
      </w:pPr>
      <w:r>
        <w:rPr>
          <w:rFonts w:ascii="Arial Narrow" w:eastAsia="Arial Narrow" w:hAnsi="Arial Narrow" w:cs="Arial Narrow"/>
          <w:color w:val="1A1A1A"/>
          <w:sz w:val="24"/>
          <w:szCs w:val="24"/>
          <w:highlight w:val="white"/>
        </w:rPr>
        <w:t xml:space="preserve">C. R </w:t>
      </w:r>
      <w:proofErr w:type="spellStart"/>
      <w:r>
        <w:rPr>
          <w:rFonts w:ascii="Arial Narrow" w:eastAsia="Arial Narrow" w:hAnsi="Arial Narrow" w:cs="Arial Narrow"/>
          <w:color w:val="1A1A1A"/>
          <w:sz w:val="24"/>
          <w:szCs w:val="24"/>
          <w:highlight w:val="white"/>
        </w:rPr>
        <w:t>Figley</w:t>
      </w:r>
      <w:proofErr w:type="spellEnd"/>
      <w:r>
        <w:rPr>
          <w:rFonts w:ascii="Arial Narrow" w:eastAsia="Arial Narrow" w:hAnsi="Arial Narrow" w:cs="Arial Narrow"/>
          <w:color w:val="1A1A1A"/>
          <w:sz w:val="24"/>
          <w:szCs w:val="24"/>
          <w:highlight w:val="white"/>
        </w:rPr>
        <w:t xml:space="preserve">, y R. J. </w:t>
      </w:r>
      <w:proofErr w:type="spellStart"/>
      <w:r>
        <w:rPr>
          <w:rFonts w:ascii="Arial Narrow" w:eastAsia="Arial Narrow" w:hAnsi="Arial Narrow" w:cs="Arial Narrow"/>
          <w:color w:val="1A1A1A"/>
          <w:sz w:val="24"/>
          <w:szCs w:val="24"/>
          <w:highlight w:val="white"/>
        </w:rPr>
        <w:t>Kleber</w:t>
      </w:r>
      <w:proofErr w:type="spellEnd"/>
      <w:r>
        <w:rPr>
          <w:rFonts w:ascii="Arial Narrow" w:eastAsia="Arial Narrow" w:hAnsi="Arial Narrow" w:cs="Arial Narrow"/>
          <w:color w:val="1A1A1A"/>
          <w:sz w:val="24"/>
          <w:szCs w:val="24"/>
          <w:highlight w:val="white"/>
        </w:rPr>
        <w:t>,</w:t>
      </w:r>
      <w:r>
        <w:rPr>
          <w:rFonts w:ascii="Arial Narrow" w:eastAsia="Arial Narrow" w:hAnsi="Arial Narrow" w:cs="Arial Narrow"/>
          <w:color w:val="1A1A1A"/>
          <w:sz w:val="24"/>
          <w:szCs w:val="24"/>
          <w:highlight w:val="white"/>
        </w:rPr>
        <w:t xml:space="preserve"> "</w:t>
      </w:r>
      <w:proofErr w:type="spellStart"/>
      <w:r>
        <w:rPr>
          <w:rFonts w:ascii="Arial Narrow" w:eastAsia="Arial Narrow" w:hAnsi="Arial Narrow" w:cs="Arial Narrow"/>
          <w:color w:val="1A1A1A"/>
          <w:sz w:val="24"/>
          <w:szCs w:val="24"/>
          <w:highlight w:val="white"/>
        </w:rPr>
        <w:t>Beyond</w:t>
      </w:r>
      <w:proofErr w:type="spellEnd"/>
      <w:r>
        <w:rPr>
          <w:rFonts w:ascii="Arial Narrow" w:eastAsia="Arial Narrow" w:hAnsi="Arial Narrow" w:cs="Arial Narrow"/>
          <w:color w:val="1A1A1A"/>
          <w:sz w:val="24"/>
          <w:szCs w:val="24"/>
          <w:highlight w:val="white"/>
        </w:rPr>
        <w:t xml:space="preserve"> </w:t>
      </w:r>
      <w:proofErr w:type="spellStart"/>
      <w:r>
        <w:rPr>
          <w:rFonts w:ascii="Arial Narrow" w:eastAsia="Arial Narrow" w:hAnsi="Arial Narrow" w:cs="Arial Narrow"/>
          <w:color w:val="1A1A1A"/>
          <w:sz w:val="24"/>
          <w:szCs w:val="24"/>
          <w:highlight w:val="white"/>
        </w:rPr>
        <w:t>the</w:t>
      </w:r>
      <w:proofErr w:type="spellEnd"/>
      <w:r>
        <w:rPr>
          <w:rFonts w:ascii="Arial Narrow" w:eastAsia="Arial Narrow" w:hAnsi="Arial Narrow" w:cs="Arial Narrow"/>
          <w:color w:val="1A1A1A"/>
          <w:sz w:val="24"/>
          <w:szCs w:val="24"/>
          <w:highlight w:val="white"/>
        </w:rPr>
        <w:t xml:space="preserve"> "</w:t>
      </w:r>
      <w:proofErr w:type="spellStart"/>
      <w:r>
        <w:rPr>
          <w:rFonts w:ascii="Arial Narrow" w:eastAsia="Arial Narrow" w:hAnsi="Arial Narrow" w:cs="Arial Narrow"/>
          <w:color w:val="1A1A1A"/>
          <w:sz w:val="24"/>
          <w:szCs w:val="24"/>
          <w:highlight w:val="white"/>
        </w:rPr>
        <w:t>Victim</w:t>
      </w:r>
      <w:proofErr w:type="spellEnd"/>
      <w:r>
        <w:rPr>
          <w:rFonts w:ascii="Arial Narrow" w:eastAsia="Arial Narrow" w:hAnsi="Arial Narrow" w:cs="Arial Narrow"/>
          <w:color w:val="1A1A1A"/>
          <w:sz w:val="24"/>
          <w:szCs w:val="24"/>
          <w:highlight w:val="white"/>
        </w:rPr>
        <w:t xml:space="preserve">": </w:t>
      </w:r>
      <w:proofErr w:type="spellStart"/>
      <w:r>
        <w:rPr>
          <w:rFonts w:ascii="Arial Narrow" w:eastAsia="Arial Narrow" w:hAnsi="Arial Narrow" w:cs="Arial Narrow"/>
          <w:color w:val="1A1A1A"/>
          <w:sz w:val="24"/>
          <w:szCs w:val="24"/>
          <w:highlight w:val="white"/>
        </w:rPr>
        <w:t>Secondary</w:t>
      </w:r>
      <w:proofErr w:type="spellEnd"/>
      <w:r>
        <w:rPr>
          <w:rFonts w:ascii="Arial Narrow" w:eastAsia="Arial Narrow" w:hAnsi="Arial Narrow" w:cs="Arial Narrow"/>
          <w:color w:val="1A1A1A"/>
          <w:sz w:val="24"/>
          <w:szCs w:val="24"/>
          <w:highlight w:val="white"/>
        </w:rPr>
        <w:t xml:space="preserve"> </w:t>
      </w:r>
      <w:proofErr w:type="spellStart"/>
      <w:r>
        <w:rPr>
          <w:rFonts w:ascii="Arial Narrow" w:eastAsia="Arial Narrow" w:hAnsi="Arial Narrow" w:cs="Arial Narrow"/>
          <w:color w:val="1A1A1A"/>
          <w:sz w:val="24"/>
          <w:szCs w:val="24"/>
          <w:highlight w:val="white"/>
        </w:rPr>
        <w:t>Traumactic</w:t>
      </w:r>
      <w:proofErr w:type="spellEnd"/>
      <w:r>
        <w:rPr>
          <w:rFonts w:ascii="Arial Narrow" w:eastAsia="Arial Narrow" w:hAnsi="Arial Narrow" w:cs="Arial Narrow"/>
          <w:color w:val="1A1A1A"/>
          <w:sz w:val="24"/>
          <w:szCs w:val="24"/>
          <w:highlight w:val="white"/>
        </w:rPr>
        <w:t xml:space="preserve"> Stress", en </w:t>
      </w:r>
      <w:proofErr w:type="spellStart"/>
      <w:r>
        <w:rPr>
          <w:rFonts w:ascii="Arial Narrow" w:eastAsia="Arial Narrow" w:hAnsi="Arial Narrow" w:cs="Arial Narrow"/>
          <w:color w:val="1A1A1A"/>
          <w:sz w:val="24"/>
          <w:szCs w:val="24"/>
          <w:highlight w:val="white"/>
        </w:rPr>
        <w:t>Beyond</w:t>
      </w:r>
      <w:proofErr w:type="spellEnd"/>
      <w:r>
        <w:rPr>
          <w:rFonts w:ascii="Arial Narrow" w:eastAsia="Arial Narrow" w:hAnsi="Arial Narrow" w:cs="Arial Narrow"/>
          <w:color w:val="1A1A1A"/>
          <w:sz w:val="24"/>
          <w:szCs w:val="24"/>
          <w:highlight w:val="white"/>
        </w:rPr>
        <w:t xml:space="preserve"> Trauma. Cultural and </w:t>
      </w:r>
      <w:proofErr w:type="spellStart"/>
      <w:r>
        <w:rPr>
          <w:rFonts w:ascii="Arial Narrow" w:eastAsia="Arial Narrow" w:hAnsi="Arial Narrow" w:cs="Arial Narrow"/>
          <w:color w:val="1A1A1A"/>
          <w:sz w:val="24"/>
          <w:szCs w:val="24"/>
          <w:highlight w:val="white"/>
        </w:rPr>
        <w:t>Societal</w:t>
      </w:r>
      <w:proofErr w:type="spellEnd"/>
      <w:r>
        <w:rPr>
          <w:rFonts w:ascii="Arial Narrow" w:eastAsia="Arial Narrow" w:hAnsi="Arial Narrow" w:cs="Arial Narrow"/>
          <w:color w:val="1A1A1A"/>
          <w:sz w:val="24"/>
          <w:szCs w:val="24"/>
          <w:highlight w:val="white"/>
        </w:rPr>
        <w:t xml:space="preserve"> </w:t>
      </w:r>
      <w:proofErr w:type="spellStart"/>
      <w:r>
        <w:rPr>
          <w:rFonts w:ascii="Arial Narrow" w:eastAsia="Arial Narrow" w:hAnsi="Arial Narrow" w:cs="Arial Narrow"/>
          <w:color w:val="1A1A1A"/>
          <w:sz w:val="24"/>
          <w:szCs w:val="24"/>
          <w:highlight w:val="white"/>
        </w:rPr>
        <w:t>Dymamics</w:t>
      </w:r>
      <w:proofErr w:type="spellEnd"/>
      <w:r>
        <w:rPr>
          <w:rFonts w:ascii="Arial Narrow" w:eastAsia="Arial Narrow" w:hAnsi="Arial Narrow" w:cs="Arial Narrow"/>
          <w:color w:val="1A1A1A"/>
          <w:sz w:val="24"/>
          <w:szCs w:val="24"/>
          <w:highlight w:val="white"/>
        </w:rPr>
        <w:t xml:space="preserve">, N. Y., </w:t>
      </w:r>
      <w:proofErr w:type="spellStart"/>
      <w:r>
        <w:rPr>
          <w:rFonts w:ascii="Arial Narrow" w:eastAsia="Arial Narrow" w:hAnsi="Arial Narrow" w:cs="Arial Narrow"/>
          <w:color w:val="1A1A1A"/>
          <w:sz w:val="24"/>
          <w:szCs w:val="24"/>
          <w:highlight w:val="white"/>
        </w:rPr>
        <w:t>Plenum</w:t>
      </w:r>
      <w:proofErr w:type="spellEnd"/>
      <w:r>
        <w:rPr>
          <w:rFonts w:ascii="Arial Narrow" w:eastAsia="Arial Narrow" w:hAnsi="Arial Narrow" w:cs="Arial Narrow"/>
          <w:color w:val="1A1A1A"/>
          <w:sz w:val="24"/>
          <w:szCs w:val="24"/>
          <w:highlight w:val="white"/>
        </w:rPr>
        <w:t xml:space="preserve"> </w:t>
      </w:r>
      <w:proofErr w:type="spellStart"/>
      <w:r>
        <w:rPr>
          <w:rFonts w:ascii="Arial Narrow" w:eastAsia="Arial Narrow" w:hAnsi="Arial Narrow" w:cs="Arial Narrow"/>
          <w:color w:val="1A1A1A"/>
          <w:sz w:val="24"/>
          <w:szCs w:val="24"/>
          <w:highlight w:val="white"/>
        </w:rPr>
        <w:t>Press</w:t>
      </w:r>
      <w:proofErr w:type="spellEnd"/>
      <w:r>
        <w:rPr>
          <w:rFonts w:ascii="Arial Narrow" w:eastAsia="Arial Narrow" w:hAnsi="Arial Narrow" w:cs="Arial Narrow"/>
          <w:color w:val="1A1A1A"/>
          <w:sz w:val="24"/>
          <w:szCs w:val="24"/>
          <w:highlight w:val="white"/>
        </w:rPr>
        <w:t>, 1995.</w:t>
      </w:r>
    </w:p>
    <w:p w:rsidR="00987073" w:rsidRDefault="00090880">
      <w:pPr>
        <w:spacing w:before="240" w:after="240"/>
        <w:jc w:val="both"/>
        <w:rPr>
          <w:rFonts w:ascii="Arial Narrow" w:eastAsia="Arial Narrow" w:hAnsi="Arial Narrow" w:cs="Arial Narrow"/>
          <w:color w:val="1A1A1A"/>
          <w:sz w:val="24"/>
          <w:szCs w:val="24"/>
          <w:highlight w:val="white"/>
        </w:rPr>
      </w:pPr>
      <w:r>
        <w:rPr>
          <w:rFonts w:ascii="Arial Narrow" w:eastAsia="Arial Narrow" w:hAnsi="Arial Narrow" w:cs="Arial Narrow"/>
          <w:color w:val="1A1A1A"/>
          <w:sz w:val="24"/>
          <w:szCs w:val="24"/>
          <w:highlight w:val="white"/>
        </w:rPr>
        <w:t xml:space="preserve">CICR, (1989) </w:t>
      </w:r>
      <w:r>
        <w:rPr>
          <w:rFonts w:ascii="Arial Narrow" w:eastAsia="Arial Narrow" w:hAnsi="Arial Narrow" w:cs="Arial Narrow"/>
          <w:i/>
          <w:color w:val="1A1A1A"/>
          <w:sz w:val="24"/>
          <w:szCs w:val="24"/>
          <w:highlight w:val="white"/>
        </w:rPr>
        <w:t>Revista Internacional de la Cruz Roja</w:t>
      </w:r>
      <w:r>
        <w:rPr>
          <w:rFonts w:ascii="Arial Narrow" w:eastAsia="Arial Narrow" w:hAnsi="Arial Narrow" w:cs="Arial Narrow"/>
          <w:color w:val="1A1A1A"/>
          <w:sz w:val="24"/>
          <w:szCs w:val="24"/>
          <w:highlight w:val="white"/>
        </w:rPr>
        <w:t xml:space="preserve"> , </w:t>
      </w:r>
      <w:proofErr w:type="spellStart"/>
      <w:r>
        <w:rPr>
          <w:rFonts w:ascii="Arial Narrow" w:eastAsia="Arial Narrow" w:hAnsi="Arial Narrow" w:cs="Arial Narrow"/>
          <w:color w:val="1A1A1A"/>
          <w:sz w:val="24"/>
          <w:szCs w:val="24"/>
          <w:highlight w:val="white"/>
        </w:rPr>
        <w:t>Volume</w:t>
      </w:r>
      <w:proofErr w:type="spellEnd"/>
      <w:r>
        <w:rPr>
          <w:rFonts w:ascii="Arial Narrow" w:eastAsia="Arial Narrow" w:hAnsi="Arial Narrow" w:cs="Arial Narrow"/>
          <w:color w:val="1A1A1A"/>
          <w:sz w:val="24"/>
          <w:szCs w:val="24"/>
          <w:highlight w:val="white"/>
        </w:rPr>
        <w:t xml:space="preserve"> 14 , </w:t>
      </w:r>
      <w:proofErr w:type="spellStart"/>
      <w:r>
        <w:rPr>
          <w:rFonts w:ascii="Arial Narrow" w:eastAsia="Arial Narrow" w:hAnsi="Arial Narrow" w:cs="Arial Narrow"/>
          <w:color w:val="1A1A1A"/>
          <w:sz w:val="24"/>
          <w:szCs w:val="24"/>
          <w:highlight w:val="white"/>
        </w:rPr>
        <w:t>Issue</w:t>
      </w:r>
      <w:proofErr w:type="spellEnd"/>
      <w:r>
        <w:rPr>
          <w:rFonts w:ascii="Arial Narrow" w:eastAsia="Arial Narrow" w:hAnsi="Arial Narrow" w:cs="Arial Narrow"/>
          <w:color w:val="1A1A1A"/>
          <w:sz w:val="24"/>
          <w:szCs w:val="24"/>
          <w:highlight w:val="white"/>
        </w:rPr>
        <w:t xml:space="preserve"> 93 , pp. 210 - 232 DOI: </w:t>
      </w:r>
      <w:hyperlink r:id="rId50">
        <w:r>
          <w:rPr>
            <w:rFonts w:ascii="Arial Narrow" w:eastAsia="Arial Narrow" w:hAnsi="Arial Narrow" w:cs="Arial Narrow"/>
            <w:color w:val="1155CC"/>
            <w:sz w:val="24"/>
            <w:szCs w:val="24"/>
            <w:highlight w:val="white"/>
            <w:u w:val="single"/>
          </w:rPr>
          <w:t>https://doi.org/10.1017/S0250569X00015466</w:t>
        </w:r>
      </w:hyperlink>
    </w:p>
    <w:p w:rsidR="00987073" w:rsidRDefault="00090880">
      <w:pPr>
        <w:spacing w:before="240" w:after="240"/>
        <w:jc w:val="both"/>
        <w:rPr>
          <w:rFonts w:ascii="Arial Narrow" w:eastAsia="Arial Narrow" w:hAnsi="Arial Narrow" w:cs="Arial Narrow"/>
          <w:color w:val="1A1A1A"/>
          <w:sz w:val="24"/>
          <w:szCs w:val="24"/>
          <w:highlight w:val="white"/>
        </w:rPr>
      </w:pPr>
      <w:r>
        <w:rPr>
          <w:rFonts w:ascii="Arial Narrow" w:eastAsia="Arial Narrow" w:hAnsi="Arial Narrow" w:cs="Arial Narrow"/>
          <w:color w:val="1A1A1A"/>
          <w:sz w:val="24"/>
          <w:szCs w:val="24"/>
          <w:highlight w:val="white"/>
        </w:rPr>
        <w:t xml:space="preserve">CICR (2005) Lista de normas consuetudinarias del Derecho Internacional Humanitario. </w:t>
      </w:r>
    </w:p>
    <w:p w:rsidR="00987073" w:rsidRDefault="00090880">
      <w:pPr>
        <w:spacing w:before="240" w:after="240"/>
        <w:jc w:val="both"/>
        <w:rPr>
          <w:rFonts w:ascii="Arial Narrow" w:eastAsia="Arial Narrow" w:hAnsi="Arial Narrow" w:cs="Arial Narrow"/>
          <w:color w:val="1A1A1A"/>
          <w:sz w:val="24"/>
          <w:szCs w:val="24"/>
          <w:highlight w:val="white"/>
        </w:rPr>
      </w:pPr>
      <w:r>
        <w:rPr>
          <w:rFonts w:ascii="Arial Narrow" w:eastAsia="Arial Narrow" w:hAnsi="Arial Narrow" w:cs="Arial Narrow"/>
          <w:color w:val="1A1A1A"/>
          <w:sz w:val="24"/>
          <w:szCs w:val="24"/>
          <w:highlight w:val="white"/>
        </w:rPr>
        <w:t xml:space="preserve">Mantilla S. La </w:t>
      </w:r>
      <w:proofErr w:type="spellStart"/>
      <w:r>
        <w:rPr>
          <w:rFonts w:ascii="Arial Narrow" w:eastAsia="Arial Narrow" w:hAnsi="Arial Narrow" w:cs="Arial Narrow"/>
          <w:color w:val="1A1A1A"/>
          <w:sz w:val="24"/>
          <w:szCs w:val="24"/>
          <w:highlight w:val="white"/>
        </w:rPr>
        <w:t>revictimización</w:t>
      </w:r>
      <w:proofErr w:type="spellEnd"/>
      <w:r>
        <w:rPr>
          <w:rFonts w:ascii="Arial Narrow" w:eastAsia="Arial Narrow" w:hAnsi="Arial Narrow" w:cs="Arial Narrow"/>
          <w:color w:val="1A1A1A"/>
          <w:sz w:val="24"/>
          <w:szCs w:val="24"/>
          <w:highlight w:val="white"/>
        </w:rPr>
        <w:t xml:space="preserve"> como causal del silencio de la víctima. Rev. </w:t>
      </w:r>
      <w:proofErr w:type="spellStart"/>
      <w:r>
        <w:rPr>
          <w:rFonts w:ascii="Arial Narrow" w:eastAsia="Arial Narrow" w:hAnsi="Arial Narrow" w:cs="Arial Narrow"/>
          <w:color w:val="1A1A1A"/>
          <w:sz w:val="24"/>
          <w:szCs w:val="24"/>
          <w:highlight w:val="white"/>
        </w:rPr>
        <w:t>cienc</w:t>
      </w:r>
      <w:proofErr w:type="spellEnd"/>
      <w:r>
        <w:rPr>
          <w:rFonts w:ascii="Arial Narrow" w:eastAsia="Arial Narrow" w:hAnsi="Arial Narrow" w:cs="Arial Narrow"/>
          <w:color w:val="1A1A1A"/>
          <w:sz w:val="24"/>
          <w:szCs w:val="24"/>
          <w:highlight w:val="white"/>
        </w:rPr>
        <w:t xml:space="preserve">. forenses Honduras. 2015; 1(2): 3-12 </w:t>
      </w:r>
    </w:p>
    <w:p w:rsidR="00987073" w:rsidRDefault="00090880">
      <w:pPr>
        <w:spacing w:before="240" w:after="240"/>
        <w:jc w:val="both"/>
        <w:rPr>
          <w:rFonts w:ascii="Arial Narrow" w:eastAsia="Arial Narrow" w:hAnsi="Arial Narrow" w:cs="Arial Narrow"/>
          <w:color w:val="1A1A1A"/>
          <w:sz w:val="24"/>
          <w:szCs w:val="24"/>
          <w:highlight w:val="white"/>
        </w:rPr>
      </w:pPr>
      <w:r>
        <w:rPr>
          <w:rFonts w:ascii="Arial Narrow" w:eastAsia="Arial Narrow" w:hAnsi="Arial Narrow" w:cs="Arial Narrow"/>
          <w:color w:val="1A1A1A"/>
          <w:sz w:val="24"/>
          <w:szCs w:val="24"/>
          <w:highlight w:val="white"/>
        </w:rPr>
        <w:t>Protocolo adicional a los Convenios de Ginebra del 12 de agosto de 1949 relativo a la protección de las víctimas de los conflictos armad</w:t>
      </w:r>
      <w:r>
        <w:rPr>
          <w:rFonts w:ascii="Arial Narrow" w:eastAsia="Arial Narrow" w:hAnsi="Arial Narrow" w:cs="Arial Narrow"/>
          <w:color w:val="1A1A1A"/>
          <w:sz w:val="24"/>
          <w:szCs w:val="24"/>
          <w:highlight w:val="white"/>
        </w:rPr>
        <w:t>os sin carácter internacional. (1978)</w:t>
      </w:r>
    </w:p>
    <w:p w:rsidR="00987073" w:rsidRDefault="00090880">
      <w:pPr>
        <w:spacing w:before="240" w:after="240"/>
        <w:jc w:val="both"/>
        <w:rPr>
          <w:rFonts w:ascii="Arial Narrow" w:eastAsia="Arial Narrow" w:hAnsi="Arial Narrow" w:cs="Arial Narrow"/>
          <w:color w:val="1A1A1A"/>
          <w:sz w:val="24"/>
          <w:szCs w:val="24"/>
          <w:highlight w:val="white"/>
        </w:rPr>
      </w:pPr>
      <w:r>
        <w:rPr>
          <w:rFonts w:ascii="Arial Narrow" w:eastAsia="Arial Narrow" w:hAnsi="Arial Narrow" w:cs="Arial Narrow"/>
          <w:color w:val="1A1A1A"/>
          <w:sz w:val="24"/>
          <w:szCs w:val="24"/>
          <w:highlight w:val="white"/>
        </w:rPr>
        <w:t xml:space="preserve">Navia, C. E. &amp; Ossa, M. (2001). El secuestro, un trauma </w:t>
      </w:r>
      <w:proofErr w:type="spellStart"/>
      <w:r>
        <w:rPr>
          <w:rFonts w:ascii="Arial Narrow" w:eastAsia="Arial Narrow" w:hAnsi="Arial Narrow" w:cs="Arial Narrow"/>
          <w:color w:val="1A1A1A"/>
          <w:sz w:val="24"/>
          <w:szCs w:val="24"/>
          <w:highlight w:val="white"/>
        </w:rPr>
        <w:t>psico</w:t>
      </w:r>
      <w:proofErr w:type="spellEnd"/>
      <w:r>
        <w:rPr>
          <w:rFonts w:ascii="Arial Narrow" w:eastAsia="Arial Narrow" w:hAnsi="Arial Narrow" w:cs="Arial Narrow"/>
          <w:color w:val="1A1A1A"/>
          <w:sz w:val="24"/>
          <w:szCs w:val="24"/>
          <w:highlight w:val="white"/>
        </w:rPr>
        <w:t>-social. Revista de Estudios Sociales, 9, 67-63.</w:t>
      </w:r>
    </w:p>
    <w:p w:rsidR="00987073" w:rsidRDefault="00987073">
      <w:pPr>
        <w:spacing w:before="240" w:after="240"/>
        <w:jc w:val="both"/>
        <w:rPr>
          <w:rFonts w:ascii="Arial Narrow" w:eastAsia="Arial Narrow" w:hAnsi="Arial Narrow" w:cs="Arial Narrow"/>
          <w:color w:val="1A1A1A"/>
          <w:sz w:val="24"/>
          <w:szCs w:val="24"/>
          <w:highlight w:val="white"/>
        </w:rPr>
      </w:pPr>
    </w:p>
    <w:bookmarkEnd w:id="0"/>
    <w:p w:rsidR="00987073" w:rsidRDefault="00987073">
      <w:pPr>
        <w:spacing w:before="240" w:after="240"/>
        <w:jc w:val="both"/>
        <w:rPr>
          <w:rFonts w:ascii="Arial Narrow" w:eastAsia="Arial Narrow" w:hAnsi="Arial Narrow" w:cs="Arial Narrow"/>
          <w:color w:val="1A1A1A"/>
          <w:sz w:val="24"/>
          <w:szCs w:val="24"/>
          <w:highlight w:val="white"/>
        </w:rPr>
      </w:pPr>
    </w:p>
    <w:p w:rsidR="00987073" w:rsidRDefault="00987073">
      <w:pPr>
        <w:spacing w:before="240" w:after="240"/>
        <w:jc w:val="both"/>
        <w:rPr>
          <w:rFonts w:ascii="Arial Narrow" w:eastAsia="Arial Narrow" w:hAnsi="Arial Narrow" w:cs="Arial Narrow"/>
          <w:color w:val="1A1A1A"/>
          <w:sz w:val="24"/>
          <w:szCs w:val="24"/>
          <w:highlight w:val="white"/>
        </w:rPr>
      </w:pPr>
    </w:p>
    <w:sectPr w:rsidR="00987073">
      <w:headerReference w:type="default" r:id="rId51"/>
      <w:footerReference w:type="default" r:id="rId5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80" w:rsidRDefault="00090880">
      <w:pPr>
        <w:spacing w:line="240" w:lineRule="auto"/>
      </w:pPr>
      <w:r>
        <w:separator/>
      </w:r>
    </w:p>
  </w:endnote>
  <w:endnote w:type="continuationSeparator" w:id="0">
    <w:p w:rsidR="00090880" w:rsidRDefault="00090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073" w:rsidRDefault="009870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80" w:rsidRDefault="00090880">
      <w:pPr>
        <w:spacing w:line="240" w:lineRule="auto"/>
      </w:pPr>
      <w:r>
        <w:separator/>
      </w:r>
    </w:p>
  </w:footnote>
  <w:footnote w:type="continuationSeparator" w:id="0">
    <w:p w:rsidR="00090880" w:rsidRDefault="00090880">
      <w:pPr>
        <w:spacing w:line="240" w:lineRule="auto"/>
      </w:pPr>
      <w:r>
        <w:continuationSeparator/>
      </w:r>
    </w:p>
  </w:footnote>
  <w:footnote w:id="1">
    <w:p w:rsidR="00987073" w:rsidRDefault="00090880">
      <w:pPr>
        <w:spacing w:line="240" w:lineRule="auto"/>
        <w:rPr>
          <w:sz w:val="20"/>
          <w:szCs w:val="20"/>
        </w:rPr>
      </w:pPr>
      <w:r>
        <w:rPr>
          <w:vertAlign w:val="superscript"/>
        </w:rPr>
        <w:footnoteRef/>
      </w:r>
      <w:r>
        <w:rPr>
          <w:sz w:val="20"/>
          <w:szCs w:val="20"/>
        </w:rPr>
        <w:t xml:space="preserve"> Bases de datos del CICR sobre las normas consuetudinarias del DIH https://ihl-databases.icrc.org/es/customary-ihl/v1</w:t>
      </w:r>
    </w:p>
  </w:footnote>
  <w:footnote w:id="2">
    <w:p w:rsidR="00987073" w:rsidRDefault="00090880">
      <w:pPr>
        <w:spacing w:line="240" w:lineRule="auto"/>
        <w:rPr>
          <w:sz w:val="20"/>
          <w:szCs w:val="20"/>
        </w:rPr>
      </w:pPr>
      <w:r>
        <w:rPr>
          <w:vertAlign w:val="superscript"/>
        </w:rPr>
        <w:footnoteRef/>
      </w:r>
      <w:r>
        <w:rPr>
          <w:sz w:val="20"/>
          <w:szCs w:val="20"/>
        </w:rPr>
        <w:t xml:space="preserve"> Defensoría del Pueblo en El Espectador (2023) https://www.elespectador.com/judicial/defensoria-del-pueblo-alerta-sobre-aumento-de-secues</w:t>
      </w:r>
      <w:r>
        <w:rPr>
          <w:sz w:val="20"/>
          <w:szCs w:val="20"/>
        </w:rPr>
        <w:t>tros-en-colombia/</w:t>
      </w:r>
    </w:p>
  </w:footnote>
  <w:footnote w:id="3">
    <w:p w:rsidR="00987073" w:rsidRDefault="00090880">
      <w:pPr>
        <w:spacing w:line="240" w:lineRule="auto"/>
        <w:rPr>
          <w:sz w:val="20"/>
          <w:szCs w:val="20"/>
        </w:rPr>
      </w:pPr>
      <w:r>
        <w:rPr>
          <w:vertAlign w:val="superscript"/>
        </w:rPr>
        <w:footnoteRef/>
      </w:r>
      <w:r>
        <w:rPr>
          <w:sz w:val="20"/>
          <w:szCs w:val="20"/>
        </w:rPr>
        <w:t xml:space="preserve"> ¿Debe la prensa dar información sobre casos de secuestro mientras son investigados? (2018) https://fundaciongabo.org/es/consultorio-etico/consulta/1929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073" w:rsidRDefault="009870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B1B58"/>
    <w:multiLevelType w:val="multilevel"/>
    <w:tmpl w:val="64D6D11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9A7E88"/>
    <w:multiLevelType w:val="multilevel"/>
    <w:tmpl w:val="08CE3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9B03B9"/>
    <w:multiLevelType w:val="multilevel"/>
    <w:tmpl w:val="DB888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73"/>
    <w:rsid w:val="00090880"/>
    <w:rsid w:val="006928C7"/>
    <w:rsid w:val="00987073"/>
    <w:rsid w:val="00C31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B647"/>
  <w15:docId w15:val="{8D3C25A4-F70A-4D70-9FB6-92A2144F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C312F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1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eduard-alexis-triana-rincon" TargetMode="External"/><Relationship Id="rId18" Type="http://schemas.openxmlformats.org/officeDocument/2006/relationships/hyperlink" Target="https://www.camara.gov.co/representantes/jose-jaime-uscategui-pastrana" TargetMode="External"/><Relationship Id="rId26" Type="http://schemas.openxmlformats.org/officeDocument/2006/relationships/hyperlink" Target="https://www.camara.gov.co/representantes/luis-alberto-alban-urbano" TargetMode="External"/><Relationship Id="rId39" Type="http://schemas.openxmlformats.org/officeDocument/2006/relationships/hyperlink" Target="https://www.camara.gov.co/representantes/jose-jaime-uscategui-pastrana" TargetMode="External"/><Relationship Id="rId21" Type="http://schemas.openxmlformats.org/officeDocument/2006/relationships/hyperlink" Target="https://www.camara.gov.co/representantes/piedad-correal-rubiano" TargetMode="External"/><Relationship Id="rId34" Type="http://schemas.openxmlformats.org/officeDocument/2006/relationships/hyperlink" Target="https://www.camara.gov.co/representantes/eduard-alexis-triana-rincon" TargetMode="External"/><Relationship Id="rId42" Type="http://schemas.openxmlformats.org/officeDocument/2006/relationships/hyperlink" Target="https://www.camara.gov.co/representantes/piedad-correal-rubiano" TargetMode="External"/><Relationship Id="rId47" Type="http://schemas.openxmlformats.org/officeDocument/2006/relationships/hyperlink" Target="https://www.camara.gov.co/representantes/luis-alberto-alban-urbano" TargetMode="External"/><Relationship Id="rId50" Type="http://schemas.openxmlformats.org/officeDocument/2006/relationships/hyperlink" Target="https://doi.org/10.1017/S0250569X00015466" TargetMode="External"/><Relationship Id="rId7" Type="http://schemas.openxmlformats.org/officeDocument/2006/relationships/hyperlink" Target="https://www.camara.gov.co/representantes/jose-jaime-uscategui-pastrana" TargetMode="External"/><Relationship Id="rId2" Type="http://schemas.openxmlformats.org/officeDocument/2006/relationships/styles" Target="styles.xml"/><Relationship Id="rId16" Type="http://schemas.openxmlformats.org/officeDocument/2006/relationships/hyperlink" Target="https://www.camara.gov.co/representantes/delcy-esperanza-isaza-buenaventura" TargetMode="External"/><Relationship Id="rId29" Type="http://schemas.openxmlformats.org/officeDocument/2006/relationships/hyperlink" Target="https://www.camara.gov.co/representantes/carlos-edward-osorio-aguiar" TargetMode="External"/><Relationship Id="rId11" Type="http://schemas.openxmlformats.org/officeDocument/2006/relationships/hyperlink" Target="https://www.camara.gov.co/representantes/miguel-abraham-polo-polo" TargetMode="External"/><Relationship Id="rId24" Type="http://schemas.openxmlformats.org/officeDocument/2006/relationships/hyperlink" Target="https://www.camara.gov.co/representantes/astrid-sanchez-montes-de-oca" TargetMode="External"/><Relationship Id="rId32" Type="http://schemas.openxmlformats.org/officeDocument/2006/relationships/hyperlink" Target="https://www.camara.gov.co/representantes/miguel-abraham-polo-polo" TargetMode="External"/><Relationship Id="rId37" Type="http://schemas.openxmlformats.org/officeDocument/2006/relationships/hyperlink" Target="https://www.camara.gov.co/representantes/delcy-esperanza-isaza-buenaventura" TargetMode="External"/><Relationship Id="rId40" Type="http://schemas.openxmlformats.org/officeDocument/2006/relationships/hyperlink" Target="https://www.camara.gov.co/representantes/ruth-amelia-caycedo-rosero" TargetMode="External"/><Relationship Id="rId45" Type="http://schemas.openxmlformats.org/officeDocument/2006/relationships/hyperlink" Target="https://www.camara.gov.co/representantes/astrid-sanchez-montes-de-oca"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mara.gov.co/representantes/hugo-danilo-lozano-pimiento" TargetMode="External"/><Relationship Id="rId19" Type="http://schemas.openxmlformats.org/officeDocument/2006/relationships/hyperlink" Target="https://www.camara.gov.co/representantes/ruth-amelia-caycedo-rosero" TargetMode="External"/><Relationship Id="rId31" Type="http://schemas.openxmlformats.org/officeDocument/2006/relationships/hyperlink" Target="https://www.camara.gov.co/representantes/hugo-danilo-lozano-pimiento" TargetMode="External"/><Relationship Id="rId44" Type="http://schemas.openxmlformats.org/officeDocument/2006/relationships/hyperlink" Target="https://www.camara.gov.co/representantes/gersel-luis-perez-altamiranda"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mara.gov.co/representantes/alvaro-leonel-rueda-caballero" TargetMode="External"/><Relationship Id="rId14" Type="http://schemas.openxmlformats.org/officeDocument/2006/relationships/hyperlink" Target="https://www.camara.gov.co/representantes/german-rogelio-rozo-anis" TargetMode="External"/><Relationship Id="rId22" Type="http://schemas.openxmlformats.org/officeDocument/2006/relationships/hyperlink" Target="https://www.camara.gov.co/representantes/jennifer-dalley-pedraza-sandoval" TargetMode="External"/><Relationship Id="rId27" Type="http://schemas.openxmlformats.org/officeDocument/2006/relationships/hyperlink" Target="https://www.camara.gov.co/representantes/marelen-castillo-torres" TargetMode="External"/><Relationship Id="rId30" Type="http://schemas.openxmlformats.org/officeDocument/2006/relationships/hyperlink" Target="https://www.camara.gov.co/representantes/alvaro-leonel-rueda-caballero" TargetMode="External"/><Relationship Id="rId35" Type="http://schemas.openxmlformats.org/officeDocument/2006/relationships/hyperlink" Target="https://www.camara.gov.co/representantes/german-rogelio-rozo-anis" TargetMode="External"/><Relationship Id="rId43" Type="http://schemas.openxmlformats.org/officeDocument/2006/relationships/hyperlink" Target="https://www.camara.gov.co/representantes/jennifer-dalley-pedraza-sandoval" TargetMode="External"/><Relationship Id="rId48" Type="http://schemas.openxmlformats.org/officeDocument/2006/relationships/hyperlink" Target="https://www.camara.gov.co/representantes/marelen-castillo-torres" TargetMode="External"/><Relationship Id="rId8" Type="http://schemas.openxmlformats.org/officeDocument/2006/relationships/hyperlink" Target="https://www.camara.gov.co/representantes/carlos-edward-osorio-aguiar"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camara.gov.co/representantes/yulieth-andrea-sanchez-carreno" TargetMode="External"/><Relationship Id="rId17" Type="http://schemas.openxmlformats.org/officeDocument/2006/relationships/hyperlink" Target="https://www.camara.gov.co/representantes/cristian-danilo-avendano-fino" TargetMode="External"/><Relationship Id="rId25" Type="http://schemas.openxmlformats.org/officeDocument/2006/relationships/hyperlink" Target="https://www.camara.gov.co/representantes/diogenes-quintero-amaya" TargetMode="External"/><Relationship Id="rId33" Type="http://schemas.openxmlformats.org/officeDocument/2006/relationships/hyperlink" Target="https://www.camara.gov.co/representantes/yulieth-andrea-sanchez-carreno" TargetMode="External"/><Relationship Id="rId38" Type="http://schemas.openxmlformats.org/officeDocument/2006/relationships/hyperlink" Target="https://www.camara.gov.co/representantes/cristian-danilo-avendano-fino" TargetMode="External"/><Relationship Id="rId46" Type="http://schemas.openxmlformats.org/officeDocument/2006/relationships/hyperlink" Target="https://www.camara.gov.co/representantes/diogenes-quintero-amaya" TargetMode="External"/><Relationship Id="rId20" Type="http://schemas.openxmlformats.org/officeDocument/2006/relationships/hyperlink" Target="https://www.camara.gov.co/representantes/pedro-jose-suarez-vacca" TargetMode="External"/><Relationship Id="rId41" Type="http://schemas.openxmlformats.org/officeDocument/2006/relationships/hyperlink" Target="https://www.camara.gov.co/representantes/pedro-jose-suarez-vacc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mara.gov.co/representantes/erika-tatiana-sanchez-pinto" TargetMode="External"/><Relationship Id="rId23" Type="http://schemas.openxmlformats.org/officeDocument/2006/relationships/hyperlink" Target="https://www.camara.gov.co/representantes/gersel-luis-perez-altamiranda" TargetMode="External"/><Relationship Id="rId28" Type="http://schemas.openxmlformats.org/officeDocument/2006/relationships/hyperlink" Target="https://www.camara.gov.co/representantes/jose-jaime-uscategui-pastrana" TargetMode="External"/><Relationship Id="rId36" Type="http://schemas.openxmlformats.org/officeDocument/2006/relationships/hyperlink" Target="https://www.camara.gov.co/representantes/erika-tatiana-sanchez-pinto" TargetMode="External"/><Relationship Id="rId4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6936</Words>
  <Characters>38154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Katerin Gómez Arenas</cp:lastModifiedBy>
  <cp:revision>2</cp:revision>
  <cp:lastPrinted>2024-10-21T21:51:00Z</cp:lastPrinted>
  <dcterms:created xsi:type="dcterms:W3CDTF">2024-10-21T20:17:00Z</dcterms:created>
  <dcterms:modified xsi:type="dcterms:W3CDTF">2024-10-21T22:28:00Z</dcterms:modified>
</cp:coreProperties>
</file>