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39DB0" w14:textId="3595416E" w:rsidR="003572F2" w:rsidRDefault="003572F2" w:rsidP="00266F05">
      <w:pPr>
        <w:spacing w:before="45" w:after="15" w:line="276" w:lineRule="auto"/>
        <w:ind w:right="30"/>
        <w:jc w:val="both"/>
        <w:rPr>
          <w:rFonts w:ascii="Times New Roman" w:hAnsi="Times New Roman" w:cs="Times New Roman"/>
          <w:b/>
          <w:sz w:val="24"/>
          <w:szCs w:val="24"/>
        </w:rPr>
      </w:pPr>
    </w:p>
    <w:p w14:paraId="2C5CA084" w14:textId="44F756EE" w:rsidR="00953A9A" w:rsidRPr="00953A9A" w:rsidRDefault="003572F2" w:rsidP="002045B8">
      <w:pPr>
        <w:spacing w:after="0" w:line="276" w:lineRule="auto"/>
        <w:jc w:val="center"/>
        <w:rPr>
          <w:rFonts w:ascii="Century Gothic" w:hAnsi="Century Gothic" w:cs="Arial"/>
          <w:b/>
        </w:rPr>
      </w:pPr>
      <w:r w:rsidRPr="00953A9A">
        <w:rPr>
          <w:rFonts w:ascii="Century Gothic" w:eastAsia="Arial" w:hAnsi="Century Gothic" w:cs="Arial"/>
          <w:b/>
          <w:lang w:val="es-ES_tradnl"/>
        </w:rPr>
        <w:t xml:space="preserve">TEXTO APROBADO EN LA COMISIÓN PRIMERA DE LA HONORABLE CAMARA DE REPRESENTANTES EN PRIMER </w:t>
      </w:r>
      <w:proofErr w:type="gramStart"/>
      <w:r w:rsidRPr="00953A9A">
        <w:rPr>
          <w:rFonts w:ascii="Century Gothic" w:eastAsia="Arial" w:hAnsi="Century Gothic" w:cs="Arial"/>
          <w:b/>
          <w:lang w:val="es-ES_tradnl"/>
        </w:rPr>
        <w:t>DEBATE</w:t>
      </w:r>
      <w:r w:rsidR="002045B8">
        <w:rPr>
          <w:rFonts w:ascii="Century Gothic" w:eastAsia="Arial" w:hAnsi="Century Gothic" w:cs="Arial"/>
          <w:b/>
          <w:lang w:val="es-ES_tradnl"/>
        </w:rPr>
        <w:t xml:space="preserve"> </w:t>
      </w:r>
      <w:r w:rsidR="00953A9A" w:rsidRPr="00953A9A">
        <w:rPr>
          <w:rFonts w:ascii="Century Gothic" w:hAnsi="Century Gothic" w:cs="Arial"/>
          <w:b/>
        </w:rPr>
        <w:t xml:space="preserve"> AL</w:t>
      </w:r>
      <w:proofErr w:type="gramEnd"/>
      <w:r w:rsidR="00953A9A" w:rsidRPr="00953A9A">
        <w:rPr>
          <w:rFonts w:ascii="Century Gothic" w:hAnsi="Century Gothic" w:cs="Arial"/>
          <w:b/>
        </w:rPr>
        <w:t xml:space="preserve"> PROYECTO DE LEY ESTATUTARIA No. 004 DE 2020 CÁMARA “POR MEDIO DE LA CUAL SE GENERA UN ALIVIO AL SECTOR AGROPECUARIO, PARA EL PEQUEÑO PRODUCTOR, JÓVENES, MUJERES RURALES Y VÍCTIMAS.”</w:t>
      </w:r>
    </w:p>
    <w:p w14:paraId="7A0236BA" w14:textId="77777777" w:rsidR="00203BAF" w:rsidRDefault="00203BAF" w:rsidP="00953A9A">
      <w:pPr>
        <w:shd w:val="clear" w:color="auto" w:fill="FFFFFF"/>
        <w:jc w:val="center"/>
        <w:rPr>
          <w:rFonts w:ascii="Century Gothic" w:hAnsi="Century Gothic" w:cs="Arial"/>
          <w:b/>
        </w:rPr>
      </w:pPr>
    </w:p>
    <w:p w14:paraId="7886C097" w14:textId="73AAC987" w:rsidR="00953A9A" w:rsidRPr="00953A9A" w:rsidRDefault="00953A9A" w:rsidP="00953A9A">
      <w:pPr>
        <w:shd w:val="clear" w:color="auto" w:fill="FFFFFF"/>
        <w:jc w:val="center"/>
        <w:rPr>
          <w:rFonts w:ascii="Century Gothic" w:hAnsi="Century Gothic" w:cs="Arial"/>
          <w:b/>
        </w:rPr>
      </w:pPr>
      <w:r w:rsidRPr="00953A9A">
        <w:rPr>
          <w:rFonts w:ascii="Century Gothic" w:hAnsi="Century Gothic" w:cs="Arial"/>
          <w:b/>
        </w:rPr>
        <w:t>EL CONGRESO DE COLOMBIA</w:t>
      </w:r>
    </w:p>
    <w:p w14:paraId="64975C7C" w14:textId="17B17C6D" w:rsidR="00953A9A" w:rsidRDefault="00953A9A" w:rsidP="00953A9A">
      <w:pPr>
        <w:jc w:val="center"/>
        <w:rPr>
          <w:rFonts w:ascii="Century Gothic" w:hAnsi="Century Gothic" w:cs="Arial"/>
          <w:b/>
        </w:rPr>
      </w:pPr>
      <w:r w:rsidRPr="00953A9A">
        <w:rPr>
          <w:rFonts w:ascii="Century Gothic" w:hAnsi="Century Gothic" w:cs="Arial"/>
          <w:b/>
        </w:rPr>
        <w:t>DECRETA:</w:t>
      </w:r>
    </w:p>
    <w:p w14:paraId="0EFF1899" w14:textId="77777777" w:rsidR="00953A9A" w:rsidRPr="00953A9A" w:rsidRDefault="00953A9A" w:rsidP="00953A9A">
      <w:pPr>
        <w:jc w:val="center"/>
        <w:rPr>
          <w:rFonts w:ascii="Century Gothic" w:hAnsi="Century Gothic" w:cs="Arial"/>
          <w:b/>
        </w:rPr>
      </w:pPr>
    </w:p>
    <w:p w14:paraId="1DC3F62A" w14:textId="1B27DA1C" w:rsidR="00953A9A" w:rsidRPr="008B5447" w:rsidRDefault="00953A9A" w:rsidP="00953A9A">
      <w:pPr>
        <w:jc w:val="both"/>
        <w:rPr>
          <w:rFonts w:ascii="Century Gothic" w:eastAsia="Times New Roman" w:hAnsi="Century Gothic" w:cs="Arial"/>
          <w:b/>
          <w:bCs/>
          <w:color w:val="000000" w:themeColor="text1"/>
          <w:lang w:eastAsia="es-CO"/>
        </w:rPr>
      </w:pPr>
      <w:r w:rsidRPr="008B5447">
        <w:rPr>
          <w:rFonts w:ascii="Century Gothic" w:eastAsia="Times New Roman" w:hAnsi="Century Gothic" w:cs="Arial"/>
          <w:b/>
          <w:bCs/>
          <w:color w:val="000000" w:themeColor="text1"/>
          <w:lang w:eastAsia="es-CO"/>
        </w:rPr>
        <w:t xml:space="preserve">Artículo 1. </w:t>
      </w:r>
      <w:r w:rsidR="00C13EA7">
        <w:rPr>
          <w:rFonts w:ascii="Century Gothic" w:eastAsia="Times New Roman" w:hAnsi="Century Gothic" w:cs="Arial"/>
          <w:bCs/>
          <w:color w:val="000000" w:themeColor="text1"/>
          <w:lang w:eastAsia="es-CO"/>
        </w:rPr>
        <w:t>Adiciónense tres (3) parágrafos a</w:t>
      </w:r>
      <w:r w:rsidRPr="008B5447">
        <w:rPr>
          <w:rFonts w:ascii="Century Gothic" w:eastAsia="Times New Roman" w:hAnsi="Century Gothic" w:cs="Arial"/>
          <w:bCs/>
          <w:color w:val="000000" w:themeColor="text1"/>
          <w:lang w:eastAsia="es-CO"/>
        </w:rPr>
        <w:t xml:space="preserve">l </w:t>
      </w:r>
      <w:r w:rsidR="00C13EA7">
        <w:rPr>
          <w:rFonts w:ascii="Century Gothic" w:eastAsia="Times New Roman" w:hAnsi="Century Gothic" w:cs="Arial"/>
          <w:bCs/>
          <w:color w:val="000000" w:themeColor="text1"/>
          <w:lang w:eastAsia="es-CO"/>
        </w:rPr>
        <w:t>A</w:t>
      </w:r>
      <w:r w:rsidRPr="008B5447">
        <w:rPr>
          <w:rFonts w:ascii="Century Gothic" w:eastAsia="Times New Roman" w:hAnsi="Century Gothic" w:cs="Arial"/>
          <w:bCs/>
          <w:color w:val="000000" w:themeColor="text1"/>
          <w:lang w:eastAsia="es-CO"/>
        </w:rPr>
        <w:t xml:space="preserve">rtículo 13 de la </w:t>
      </w:r>
      <w:r w:rsidR="00C13EA7">
        <w:rPr>
          <w:rFonts w:ascii="Century Gothic" w:eastAsia="Times New Roman" w:hAnsi="Century Gothic" w:cs="Arial"/>
          <w:bCs/>
          <w:color w:val="000000" w:themeColor="text1"/>
          <w:lang w:eastAsia="es-CO"/>
        </w:rPr>
        <w:t>L</w:t>
      </w:r>
      <w:r w:rsidRPr="008B5447">
        <w:rPr>
          <w:rFonts w:ascii="Century Gothic" w:eastAsia="Times New Roman" w:hAnsi="Century Gothic" w:cs="Arial"/>
          <w:bCs/>
          <w:color w:val="000000" w:themeColor="text1"/>
          <w:lang w:eastAsia="es-CO"/>
        </w:rPr>
        <w:t>ey 1266 de 2008</w:t>
      </w:r>
      <w:r w:rsidR="00C13EA7">
        <w:rPr>
          <w:rFonts w:ascii="Century Gothic" w:eastAsia="Times New Roman" w:hAnsi="Century Gothic" w:cs="Arial"/>
          <w:bCs/>
          <w:color w:val="000000" w:themeColor="text1"/>
          <w:lang w:eastAsia="es-CO"/>
        </w:rPr>
        <w:t xml:space="preserve">, los cuales quedarán </w:t>
      </w:r>
      <w:r w:rsidRPr="008B5447">
        <w:rPr>
          <w:rFonts w:ascii="Century Gothic" w:eastAsia="Times New Roman" w:hAnsi="Century Gothic" w:cs="Arial"/>
          <w:bCs/>
          <w:color w:val="000000" w:themeColor="text1"/>
          <w:lang w:eastAsia="es-CO"/>
        </w:rPr>
        <w:t xml:space="preserve">así:  </w:t>
      </w:r>
    </w:p>
    <w:p w14:paraId="01C75911" w14:textId="77777777" w:rsidR="00953A9A" w:rsidRPr="008B5447" w:rsidRDefault="00953A9A" w:rsidP="00953A9A">
      <w:pPr>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
          <w:bCs/>
          <w:color w:val="000000" w:themeColor="text1"/>
          <w:lang w:eastAsia="es-CO"/>
        </w:rPr>
        <w:t>Artículo 13. Permanencia de la información</w:t>
      </w:r>
      <w:r w:rsidRPr="008B5447">
        <w:rPr>
          <w:rFonts w:ascii="Century Gothic" w:eastAsia="Times New Roman" w:hAnsi="Century Gothic" w:cs="Arial"/>
          <w:bCs/>
          <w:color w:val="000000" w:themeColor="text1"/>
          <w:lang w:eastAsia="es-CO"/>
        </w:rPr>
        <w:t xml:space="preserve">. La información de carácter positivo permanecerá de manera indefinida en los bancos de datos de los operadores de información. </w:t>
      </w:r>
    </w:p>
    <w:p w14:paraId="57B0904E" w14:textId="7816D88B" w:rsidR="00953A9A" w:rsidRPr="008B5447" w:rsidRDefault="00953A9A" w:rsidP="00953A9A">
      <w:pPr>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Cs/>
          <w:color w:val="000000" w:themeColor="text1"/>
          <w:lang w:eastAsia="es-CO"/>
        </w:rPr>
        <w:t>Los datos cuyo contenido haga referencia al tiempo de mora, tipo de cobro, estado de la cartera y en general, aquellos datos referentes a una situación de incumplimiento de</w:t>
      </w:r>
      <w:r w:rsidR="00EE74ED">
        <w:rPr>
          <w:rFonts w:ascii="Century Gothic" w:eastAsia="Times New Roman" w:hAnsi="Century Gothic" w:cs="Arial"/>
          <w:bCs/>
          <w:color w:val="000000" w:themeColor="text1"/>
          <w:lang w:eastAsia="es-CO"/>
        </w:rPr>
        <w:t xml:space="preserve"> obligaciones, </w:t>
      </w:r>
      <w:r w:rsidRPr="008B5447">
        <w:rPr>
          <w:rFonts w:ascii="Century Gothic" w:eastAsia="Times New Roman" w:hAnsi="Century Gothic" w:cs="Arial"/>
          <w:bCs/>
          <w:color w:val="000000" w:themeColor="text1"/>
          <w:lang w:eastAsia="es-CO"/>
        </w:rPr>
        <w:t>se regirán por un término máximo de permanencia</w:t>
      </w:r>
      <w:r>
        <w:rPr>
          <w:rFonts w:ascii="Century Gothic" w:eastAsia="Times New Roman" w:hAnsi="Century Gothic" w:cs="Arial"/>
          <w:bCs/>
          <w:color w:val="000000" w:themeColor="text1"/>
          <w:lang w:eastAsia="es-CO"/>
        </w:rPr>
        <w:t>,</w:t>
      </w:r>
      <w:r w:rsidRPr="008B5447">
        <w:rPr>
          <w:rFonts w:ascii="Century Gothic" w:eastAsia="Times New Roman" w:hAnsi="Century Gothic" w:cs="Arial"/>
          <w:bCs/>
          <w:color w:val="000000" w:themeColor="text1"/>
          <w:lang w:eastAsia="es-CO"/>
        </w:rPr>
        <w:t xml:space="preserve"> vencido el cual deberá ser retirado de los bancos de datos por el operador, de forma que los usuarios no puedan acceder o consultar dicha información. El término de permanencia de esta información será de cuatro (4) años contados a partir de la fecha en que sean pagadas las cuotas vencidas o sea pagada la obligación vencida. </w:t>
      </w:r>
    </w:p>
    <w:p w14:paraId="45C590A7" w14:textId="058F0AC8" w:rsidR="00953A9A" w:rsidRDefault="00953A9A" w:rsidP="00953A9A">
      <w:pPr>
        <w:jc w:val="both"/>
        <w:rPr>
          <w:rFonts w:ascii="Century Gothic" w:eastAsia="Times New Roman" w:hAnsi="Century Gothic" w:cs="Arial"/>
          <w:color w:val="000000" w:themeColor="text1"/>
          <w:lang w:eastAsia="es-CO"/>
        </w:rPr>
      </w:pPr>
      <w:r w:rsidRPr="00953A9A">
        <w:rPr>
          <w:rFonts w:ascii="Century Gothic" w:eastAsia="Times New Roman" w:hAnsi="Century Gothic" w:cs="Arial"/>
          <w:b/>
          <w:bCs/>
          <w:color w:val="000000" w:themeColor="text1"/>
          <w:lang w:eastAsia="es-CO"/>
        </w:rPr>
        <w:t xml:space="preserve">PARÁGRAFO </w:t>
      </w:r>
      <w:r w:rsidR="00EE74ED">
        <w:rPr>
          <w:rFonts w:ascii="Century Gothic" w:eastAsia="Times New Roman" w:hAnsi="Century Gothic" w:cs="Arial"/>
          <w:b/>
          <w:bCs/>
          <w:color w:val="000000" w:themeColor="text1"/>
          <w:lang w:eastAsia="es-CO"/>
        </w:rPr>
        <w:t>PRIMER</w:t>
      </w:r>
      <w:r w:rsidRPr="00953A9A">
        <w:rPr>
          <w:rFonts w:ascii="Century Gothic" w:eastAsia="Times New Roman" w:hAnsi="Century Gothic" w:cs="Arial"/>
          <w:b/>
          <w:bCs/>
          <w:color w:val="000000" w:themeColor="text1"/>
          <w:lang w:eastAsia="es-CO"/>
        </w:rPr>
        <w:t>O.</w:t>
      </w:r>
      <w:r>
        <w:rPr>
          <w:rFonts w:ascii="Century Gothic" w:eastAsia="Times New Roman" w:hAnsi="Century Gothic" w:cs="Arial"/>
          <w:color w:val="000000" w:themeColor="text1"/>
          <w:lang w:eastAsia="es-CO"/>
        </w:rPr>
        <w:t xml:space="preserve"> Los reportes de información negativa sobre incumplimiento de obligaciones no procederán, cuando el saldo final de la obligación sea inferior al 5% de un (1) salario mínimo mensual legal vigente (SMMLV).</w:t>
      </w:r>
    </w:p>
    <w:p w14:paraId="2F7DA052" w14:textId="0E823939" w:rsidR="00637688" w:rsidRDefault="00953A9A" w:rsidP="00953A9A">
      <w:pPr>
        <w:jc w:val="both"/>
        <w:rPr>
          <w:rFonts w:ascii="Century Gothic" w:eastAsia="Times New Roman" w:hAnsi="Century Gothic" w:cs="Arial"/>
          <w:color w:val="000000" w:themeColor="text1"/>
          <w:lang w:eastAsia="es-CO"/>
        </w:rPr>
      </w:pPr>
      <w:r w:rsidRPr="00953A9A">
        <w:rPr>
          <w:rFonts w:ascii="Century Gothic" w:eastAsia="Times New Roman" w:hAnsi="Century Gothic" w:cs="Arial"/>
          <w:b/>
          <w:bCs/>
          <w:color w:val="000000" w:themeColor="text1"/>
          <w:lang w:eastAsia="es-CO"/>
        </w:rPr>
        <w:t xml:space="preserve">PARÁGRAFO </w:t>
      </w:r>
      <w:r w:rsidR="00EE74ED">
        <w:rPr>
          <w:rFonts w:ascii="Century Gothic" w:eastAsia="Times New Roman" w:hAnsi="Century Gothic" w:cs="Arial"/>
          <w:b/>
          <w:bCs/>
          <w:color w:val="000000" w:themeColor="text1"/>
          <w:lang w:eastAsia="es-CO"/>
        </w:rPr>
        <w:t>SEGUND</w:t>
      </w:r>
      <w:r w:rsidRPr="00953A9A">
        <w:rPr>
          <w:rFonts w:ascii="Century Gothic" w:eastAsia="Times New Roman" w:hAnsi="Century Gothic" w:cs="Arial"/>
          <w:b/>
          <w:bCs/>
          <w:color w:val="000000" w:themeColor="text1"/>
          <w:lang w:eastAsia="es-CO"/>
        </w:rPr>
        <w:t xml:space="preserve">O. </w:t>
      </w:r>
      <w:r>
        <w:rPr>
          <w:rFonts w:ascii="Century Gothic" w:eastAsia="Times New Roman" w:hAnsi="Century Gothic" w:cs="Arial"/>
          <w:color w:val="000000" w:themeColor="text1"/>
          <w:lang w:eastAsia="es-CO"/>
        </w:rPr>
        <w:t xml:space="preserve">La información negativa producto del incumplimiento del pago </w:t>
      </w:r>
      <w:r w:rsidR="00637688">
        <w:rPr>
          <w:rFonts w:ascii="Century Gothic" w:eastAsia="Times New Roman" w:hAnsi="Century Gothic" w:cs="Arial"/>
          <w:color w:val="000000" w:themeColor="text1"/>
          <w:lang w:eastAsia="es-CO"/>
        </w:rPr>
        <w:t>en los créditos agropecuarios definidos por el Fondo para el Financiamiento del Sector Agropecuario – Finagro – como de pequeños productores, jóvenes y mujeres rurales, será suprimida de manera inmediata una vez se haya pagado las cuotas vencidas o sea pagada la obligación vencida de los mismos. Este beneficio también aplicará para los créditos agropecuarios tomados por las víctimas que trata la Ley 1448 de 2011.</w:t>
      </w:r>
    </w:p>
    <w:p w14:paraId="610F1CAA" w14:textId="24A839F5" w:rsidR="00953A9A" w:rsidRPr="00953A9A" w:rsidRDefault="00637688" w:rsidP="00953A9A">
      <w:pPr>
        <w:jc w:val="both"/>
        <w:rPr>
          <w:rFonts w:ascii="Century Gothic" w:eastAsia="Times New Roman" w:hAnsi="Century Gothic" w:cs="Arial"/>
          <w:color w:val="000000" w:themeColor="text1"/>
          <w:lang w:eastAsia="es-CO"/>
        </w:rPr>
      </w:pPr>
      <w:r w:rsidRPr="00637688">
        <w:rPr>
          <w:rFonts w:ascii="Century Gothic" w:eastAsia="Times New Roman" w:hAnsi="Century Gothic" w:cs="Arial"/>
          <w:b/>
          <w:bCs/>
          <w:color w:val="000000" w:themeColor="text1"/>
          <w:lang w:eastAsia="es-CO"/>
        </w:rPr>
        <w:t>PARÁGRAFO TRANSITORIO.</w:t>
      </w:r>
      <w:r>
        <w:rPr>
          <w:rFonts w:ascii="Century Gothic" w:eastAsia="Times New Roman" w:hAnsi="Century Gothic" w:cs="Arial"/>
          <w:color w:val="000000" w:themeColor="text1"/>
          <w:lang w:eastAsia="es-CO"/>
        </w:rPr>
        <w:t xml:space="preserve"> Lo previsto en el parágrafo </w:t>
      </w:r>
      <w:r w:rsidR="00232EEB">
        <w:rPr>
          <w:rFonts w:ascii="Century Gothic" w:eastAsia="Times New Roman" w:hAnsi="Century Gothic" w:cs="Arial"/>
          <w:color w:val="000000" w:themeColor="text1"/>
          <w:lang w:eastAsia="es-CO"/>
        </w:rPr>
        <w:t>1</w:t>
      </w:r>
      <w:r>
        <w:rPr>
          <w:rFonts w:ascii="Century Gothic" w:eastAsia="Times New Roman" w:hAnsi="Century Gothic" w:cs="Arial"/>
          <w:color w:val="000000" w:themeColor="text1"/>
          <w:lang w:eastAsia="es-CO"/>
        </w:rPr>
        <w:t xml:space="preserve">° y </w:t>
      </w:r>
      <w:r w:rsidR="00232EEB">
        <w:rPr>
          <w:rFonts w:ascii="Century Gothic" w:eastAsia="Times New Roman" w:hAnsi="Century Gothic" w:cs="Arial"/>
          <w:color w:val="000000" w:themeColor="text1"/>
          <w:lang w:eastAsia="es-CO"/>
        </w:rPr>
        <w:t>2</w:t>
      </w:r>
      <w:r>
        <w:rPr>
          <w:rFonts w:ascii="Century Gothic" w:eastAsia="Times New Roman" w:hAnsi="Century Gothic" w:cs="Arial"/>
          <w:color w:val="000000" w:themeColor="text1"/>
          <w:lang w:eastAsia="es-CO"/>
        </w:rPr>
        <w:t xml:space="preserve">° solo será exigible dentro de los 24 meses siguientes contados a partir de la vigencia de la presente ley. </w:t>
      </w:r>
    </w:p>
    <w:p w14:paraId="744E1F70" w14:textId="77777777" w:rsidR="00C13EA7" w:rsidRDefault="00C13EA7" w:rsidP="00953A9A">
      <w:pPr>
        <w:jc w:val="both"/>
        <w:rPr>
          <w:rFonts w:ascii="Century Gothic" w:eastAsia="Times New Roman" w:hAnsi="Century Gothic" w:cs="Arial"/>
          <w:b/>
          <w:bCs/>
          <w:color w:val="000000" w:themeColor="text1"/>
          <w:lang w:eastAsia="es-CO"/>
        </w:rPr>
      </w:pPr>
    </w:p>
    <w:p w14:paraId="3D5E391D" w14:textId="6E74076F" w:rsidR="000B7FC7" w:rsidRDefault="000B7FC7" w:rsidP="00953A9A">
      <w:pPr>
        <w:jc w:val="both"/>
        <w:rPr>
          <w:rFonts w:ascii="Century Gothic" w:eastAsia="Times New Roman" w:hAnsi="Century Gothic" w:cs="Arial"/>
          <w:color w:val="000000" w:themeColor="text1"/>
          <w:lang w:eastAsia="es-CO"/>
        </w:rPr>
      </w:pPr>
      <w:r>
        <w:rPr>
          <w:rFonts w:ascii="Century Gothic" w:eastAsia="Times New Roman" w:hAnsi="Century Gothic" w:cs="Arial"/>
          <w:b/>
          <w:bCs/>
          <w:color w:val="000000" w:themeColor="text1"/>
          <w:lang w:eastAsia="es-CO"/>
        </w:rPr>
        <w:t xml:space="preserve">Artículo </w:t>
      </w:r>
      <w:r w:rsidR="00C13EA7">
        <w:rPr>
          <w:rFonts w:ascii="Century Gothic" w:eastAsia="Times New Roman" w:hAnsi="Century Gothic" w:cs="Arial"/>
          <w:b/>
          <w:bCs/>
          <w:color w:val="000000" w:themeColor="text1"/>
          <w:lang w:eastAsia="es-CO"/>
        </w:rPr>
        <w:t>2</w:t>
      </w:r>
      <w:r>
        <w:rPr>
          <w:rFonts w:ascii="Century Gothic" w:eastAsia="Times New Roman" w:hAnsi="Century Gothic" w:cs="Arial"/>
          <w:b/>
          <w:bCs/>
          <w:color w:val="000000" w:themeColor="text1"/>
          <w:lang w:eastAsia="es-CO"/>
        </w:rPr>
        <w:t xml:space="preserve">. </w:t>
      </w:r>
      <w:r>
        <w:rPr>
          <w:rFonts w:ascii="Century Gothic" w:eastAsia="Times New Roman" w:hAnsi="Century Gothic" w:cs="Arial"/>
          <w:color w:val="000000" w:themeColor="text1"/>
          <w:lang w:eastAsia="es-CO"/>
        </w:rPr>
        <w:t>Adiciónese un p</w:t>
      </w:r>
      <w:r w:rsidR="00E470B0">
        <w:rPr>
          <w:rFonts w:ascii="Century Gothic" w:eastAsia="Times New Roman" w:hAnsi="Century Gothic" w:cs="Arial"/>
          <w:color w:val="000000" w:themeColor="text1"/>
          <w:lang w:eastAsia="es-CO"/>
        </w:rPr>
        <w:t>a</w:t>
      </w:r>
      <w:r>
        <w:rPr>
          <w:rFonts w:ascii="Century Gothic" w:eastAsia="Times New Roman" w:hAnsi="Century Gothic" w:cs="Arial"/>
          <w:color w:val="000000" w:themeColor="text1"/>
          <w:lang w:eastAsia="es-CO"/>
        </w:rPr>
        <w:t>r</w:t>
      </w:r>
      <w:r w:rsidR="00E470B0">
        <w:rPr>
          <w:rFonts w:ascii="Century Gothic" w:eastAsia="Times New Roman" w:hAnsi="Century Gothic" w:cs="Arial"/>
          <w:color w:val="000000" w:themeColor="text1"/>
          <w:lang w:eastAsia="es-CO"/>
        </w:rPr>
        <w:t>á</w:t>
      </w:r>
      <w:r>
        <w:rPr>
          <w:rFonts w:ascii="Century Gothic" w:eastAsia="Times New Roman" w:hAnsi="Century Gothic" w:cs="Arial"/>
          <w:color w:val="000000" w:themeColor="text1"/>
          <w:lang w:eastAsia="es-CO"/>
        </w:rPr>
        <w:t xml:space="preserve">grafo al </w:t>
      </w:r>
      <w:r w:rsidR="00E470B0">
        <w:rPr>
          <w:rFonts w:ascii="Century Gothic" w:eastAsia="Times New Roman" w:hAnsi="Century Gothic" w:cs="Arial"/>
          <w:color w:val="000000" w:themeColor="text1"/>
          <w:lang w:eastAsia="es-CO"/>
        </w:rPr>
        <w:t>A</w:t>
      </w:r>
      <w:r>
        <w:rPr>
          <w:rFonts w:ascii="Century Gothic" w:eastAsia="Times New Roman" w:hAnsi="Century Gothic" w:cs="Arial"/>
          <w:color w:val="000000" w:themeColor="text1"/>
          <w:lang w:eastAsia="es-CO"/>
        </w:rPr>
        <w:t xml:space="preserve">rtículo 31 de la </w:t>
      </w:r>
      <w:r w:rsidR="00A0558D">
        <w:rPr>
          <w:rFonts w:ascii="Century Gothic" w:eastAsia="Times New Roman" w:hAnsi="Century Gothic" w:cs="Arial"/>
          <w:color w:val="000000" w:themeColor="text1"/>
          <w:lang w:eastAsia="es-CO"/>
        </w:rPr>
        <w:t>L</w:t>
      </w:r>
      <w:r>
        <w:rPr>
          <w:rFonts w:ascii="Century Gothic" w:eastAsia="Times New Roman" w:hAnsi="Century Gothic" w:cs="Arial"/>
          <w:color w:val="000000" w:themeColor="text1"/>
          <w:lang w:eastAsia="es-CO"/>
        </w:rPr>
        <w:t>ey 16 de 1990.</w:t>
      </w:r>
    </w:p>
    <w:p w14:paraId="42CACB93" w14:textId="5D24ECD5" w:rsidR="000B7FC7" w:rsidRDefault="000B7FC7" w:rsidP="00953A9A">
      <w:pPr>
        <w:jc w:val="both"/>
        <w:rPr>
          <w:rFonts w:ascii="Century Gothic" w:eastAsia="Times New Roman" w:hAnsi="Century Gothic" w:cs="Arial"/>
          <w:color w:val="000000" w:themeColor="text1"/>
          <w:lang w:eastAsia="es-CO"/>
        </w:rPr>
      </w:pPr>
      <w:r w:rsidRPr="000B7FC7">
        <w:rPr>
          <w:rFonts w:ascii="Century Gothic" w:eastAsia="Times New Roman" w:hAnsi="Century Gothic" w:cs="Arial"/>
          <w:b/>
          <w:bCs/>
          <w:color w:val="000000" w:themeColor="text1"/>
          <w:lang w:eastAsia="es-CO"/>
        </w:rPr>
        <w:t xml:space="preserve">Artículo 31. Monto de las obligaciones a cubrir. </w:t>
      </w:r>
      <w:r>
        <w:rPr>
          <w:rFonts w:ascii="Century Gothic" w:eastAsia="Times New Roman" w:hAnsi="Century Gothic" w:cs="Arial"/>
          <w:color w:val="000000" w:themeColor="text1"/>
          <w:lang w:eastAsia="es-CO"/>
        </w:rPr>
        <w:t xml:space="preserve">El monto máximo de las obligaciones a respaldar por el Fondo Agropecuario de Garantías será definido periódicamente por </w:t>
      </w:r>
      <w:bookmarkStart w:id="0" w:name="_Hlk56525368"/>
      <w:r>
        <w:rPr>
          <w:rFonts w:ascii="Century Gothic" w:eastAsia="Times New Roman" w:hAnsi="Century Gothic" w:cs="Arial"/>
          <w:color w:val="000000" w:themeColor="text1"/>
          <w:lang w:eastAsia="es-CO"/>
        </w:rPr>
        <w:t>la Comisión Nacional de Crédito Agropecuario.</w:t>
      </w:r>
      <w:bookmarkEnd w:id="0"/>
    </w:p>
    <w:p w14:paraId="6C9E7F1E" w14:textId="1A9CF263" w:rsidR="000B7FC7" w:rsidRDefault="000B7FC7" w:rsidP="00953A9A">
      <w:pPr>
        <w:jc w:val="both"/>
        <w:rPr>
          <w:rFonts w:ascii="Century Gothic" w:eastAsia="Times New Roman" w:hAnsi="Century Gothic" w:cs="Arial"/>
          <w:color w:val="000000" w:themeColor="text1"/>
          <w:lang w:eastAsia="es-CO"/>
        </w:rPr>
      </w:pPr>
      <w:r>
        <w:rPr>
          <w:rFonts w:ascii="Century Gothic" w:eastAsia="Times New Roman" w:hAnsi="Century Gothic" w:cs="Arial"/>
          <w:b/>
          <w:bCs/>
          <w:color w:val="000000" w:themeColor="text1"/>
          <w:lang w:eastAsia="es-CO"/>
        </w:rPr>
        <w:t xml:space="preserve">PARÁGRAFO. </w:t>
      </w:r>
      <w:r>
        <w:rPr>
          <w:rFonts w:ascii="Century Gothic" w:eastAsia="Times New Roman" w:hAnsi="Century Gothic" w:cs="Arial"/>
          <w:color w:val="000000" w:themeColor="text1"/>
          <w:lang w:eastAsia="es-CO"/>
        </w:rPr>
        <w:t>La Comisión Nacional de Crédito Agropecuario establecerá condiciones especiales para los pequeños productores, jóvenes, mujeres rurales</w:t>
      </w:r>
      <w:r w:rsidR="00E470B0">
        <w:rPr>
          <w:rFonts w:ascii="Century Gothic" w:eastAsia="Times New Roman" w:hAnsi="Century Gothic" w:cs="Arial"/>
          <w:color w:val="000000" w:themeColor="text1"/>
          <w:lang w:eastAsia="es-CO"/>
        </w:rPr>
        <w:t xml:space="preserve"> </w:t>
      </w:r>
      <w:r>
        <w:rPr>
          <w:rFonts w:ascii="Century Gothic" w:eastAsia="Times New Roman" w:hAnsi="Century Gothic" w:cs="Arial"/>
          <w:color w:val="000000" w:themeColor="text1"/>
          <w:lang w:eastAsia="es-CO"/>
        </w:rPr>
        <w:t xml:space="preserve">y víctimas del conflicto, </w:t>
      </w:r>
      <w:r w:rsidR="00E470B0">
        <w:rPr>
          <w:rFonts w:ascii="Century Gothic" w:eastAsia="Times New Roman" w:hAnsi="Century Gothic" w:cs="Arial"/>
          <w:color w:val="000000" w:themeColor="text1"/>
          <w:lang w:eastAsia="es-CO"/>
        </w:rPr>
        <w:t>garantizando así una cobertura del 100% de las obligaciones a respaldar.</w:t>
      </w:r>
    </w:p>
    <w:p w14:paraId="38A35EAE" w14:textId="77777777" w:rsidR="00C13EA7" w:rsidRDefault="00C13EA7" w:rsidP="00953A9A">
      <w:pPr>
        <w:jc w:val="both"/>
        <w:rPr>
          <w:rFonts w:ascii="Century Gothic" w:eastAsia="Times New Roman" w:hAnsi="Century Gothic" w:cs="Arial"/>
          <w:b/>
          <w:bCs/>
          <w:color w:val="000000" w:themeColor="text1"/>
          <w:lang w:eastAsia="es-CO"/>
        </w:rPr>
      </w:pPr>
    </w:p>
    <w:p w14:paraId="120B8D5E" w14:textId="662871D1" w:rsidR="00E470B0" w:rsidRDefault="00E470B0" w:rsidP="00953A9A">
      <w:pPr>
        <w:jc w:val="both"/>
        <w:rPr>
          <w:rFonts w:ascii="Century Gothic" w:eastAsia="Times New Roman" w:hAnsi="Century Gothic" w:cs="Arial"/>
          <w:color w:val="000000" w:themeColor="text1"/>
          <w:lang w:eastAsia="es-CO"/>
        </w:rPr>
      </w:pPr>
      <w:r>
        <w:rPr>
          <w:rFonts w:ascii="Century Gothic" w:eastAsia="Times New Roman" w:hAnsi="Century Gothic" w:cs="Arial"/>
          <w:b/>
          <w:bCs/>
          <w:color w:val="000000" w:themeColor="text1"/>
          <w:lang w:eastAsia="es-CO"/>
        </w:rPr>
        <w:t xml:space="preserve">Artículo </w:t>
      </w:r>
      <w:r w:rsidR="00C13EA7">
        <w:rPr>
          <w:rFonts w:ascii="Century Gothic" w:eastAsia="Times New Roman" w:hAnsi="Century Gothic" w:cs="Arial"/>
          <w:b/>
          <w:bCs/>
          <w:color w:val="000000" w:themeColor="text1"/>
          <w:lang w:eastAsia="es-CO"/>
        </w:rPr>
        <w:t>3</w:t>
      </w:r>
      <w:r>
        <w:rPr>
          <w:rFonts w:ascii="Century Gothic" w:eastAsia="Times New Roman" w:hAnsi="Century Gothic" w:cs="Arial"/>
          <w:b/>
          <w:bCs/>
          <w:color w:val="000000" w:themeColor="text1"/>
          <w:lang w:eastAsia="es-CO"/>
        </w:rPr>
        <w:t xml:space="preserve">. </w:t>
      </w:r>
      <w:r>
        <w:rPr>
          <w:rFonts w:ascii="Century Gothic" w:eastAsia="Times New Roman" w:hAnsi="Century Gothic" w:cs="Arial"/>
          <w:color w:val="000000" w:themeColor="text1"/>
          <w:lang w:eastAsia="es-CO"/>
        </w:rPr>
        <w:t>Modifíquese el parágrafo 1 del Artículo 231 del Decreto Ley 663 de 1993.</w:t>
      </w:r>
    </w:p>
    <w:p w14:paraId="3CEE10FF" w14:textId="0ECB1067" w:rsidR="00E470B0" w:rsidRPr="00E470B0" w:rsidRDefault="00E470B0" w:rsidP="00953A9A">
      <w:pPr>
        <w:jc w:val="both"/>
        <w:rPr>
          <w:rFonts w:ascii="Century Gothic" w:eastAsia="Times New Roman" w:hAnsi="Century Gothic" w:cs="Arial"/>
          <w:color w:val="000000" w:themeColor="text1"/>
          <w:lang w:eastAsia="es-CO"/>
        </w:rPr>
      </w:pPr>
      <w:r>
        <w:rPr>
          <w:rFonts w:ascii="Century Gothic" w:eastAsia="Times New Roman" w:hAnsi="Century Gothic" w:cs="Arial"/>
          <w:b/>
          <w:bCs/>
          <w:color w:val="000000" w:themeColor="text1"/>
          <w:lang w:eastAsia="es-CO"/>
        </w:rPr>
        <w:t xml:space="preserve">Parágrafo 1°. </w:t>
      </w:r>
      <w:r>
        <w:rPr>
          <w:rFonts w:ascii="Century Gothic" w:eastAsia="Times New Roman" w:hAnsi="Century Gothic" w:cs="Arial"/>
          <w:color w:val="000000" w:themeColor="text1"/>
          <w:lang w:eastAsia="es-CO"/>
        </w:rPr>
        <w:t xml:space="preserve">La Comisión Nacional de Crédito Agropecuario determinará las condiciones económicas de los usuarios garantizados, la cuantía individual de los créditos u operaciones susceptibles de garantías, la cobertura y las comisiones de las garantías y la reglamentación operativa del Fondo. Para el efecto, se priorizará a los pequeños productores, jóvenes, mujeres rurales y víctimas del conflicto fomentando intereses y garantías preferenciales, sin perjuicio del otorgamiento de garantías a los medianos y grandes, de acuerdo con los lineamientos de la política agropecuaria y rural.  </w:t>
      </w:r>
    </w:p>
    <w:p w14:paraId="4E17125E" w14:textId="77777777" w:rsidR="00C13EA7" w:rsidRDefault="00C13EA7" w:rsidP="00C13EA7">
      <w:pPr>
        <w:jc w:val="both"/>
        <w:rPr>
          <w:rFonts w:ascii="Century Gothic" w:eastAsia="Times New Roman" w:hAnsi="Century Gothic" w:cs="Arial"/>
          <w:b/>
          <w:bCs/>
          <w:color w:val="000000" w:themeColor="text1"/>
          <w:lang w:eastAsia="es-CO"/>
        </w:rPr>
      </w:pPr>
    </w:p>
    <w:p w14:paraId="7A70865D" w14:textId="1F3BA434" w:rsidR="00C13EA7" w:rsidRDefault="00C13EA7" w:rsidP="00C13EA7">
      <w:pPr>
        <w:jc w:val="both"/>
        <w:rPr>
          <w:rFonts w:ascii="Century Gothic" w:eastAsia="Times New Roman" w:hAnsi="Century Gothic" w:cs="Arial"/>
          <w:color w:val="000000" w:themeColor="text1"/>
          <w:lang w:eastAsia="es-CO"/>
        </w:rPr>
      </w:pPr>
      <w:r>
        <w:rPr>
          <w:rFonts w:ascii="Century Gothic" w:eastAsia="Times New Roman" w:hAnsi="Century Gothic" w:cs="Arial"/>
          <w:b/>
          <w:bCs/>
          <w:color w:val="000000" w:themeColor="text1"/>
          <w:lang w:eastAsia="es-CO"/>
        </w:rPr>
        <w:t xml:space="preserve">Artículo 4. </w:t>
      </w:r>
      <w:r>
        <w:rPr>
          <w:rFonts w:ascii="Century Gothic" w:eastAsia="Times New Roman" w:hAnsi="Century Gothic" w:cs="Arial"/>
          <w:color w:val="000000" w:themeColor="text1"/>
          <w:lang w:eastAsia="es-CO"/>
        </w:rPr>
        <w:t>Modifíquese el Artículo 2.1.2.2.3 del Decreto 1071 de 2015 el cual quedará así:</w:t>
      </w:r>
    </w:p>
    <w:p w14:paraId="49DF8CFA" w14:textId="77777777" w:rsidR="00C13EA7" w:rsidRDefault="00C13EA7" w:rsidP="00C13EA7">
      <w:pPr>
        <w:jc w:val="both"/>
        <w:rPr>
          <w:rFonts w:ascii="Century Gothic" w:eastAsia="Times New Roman" w:hAnsi="Century Gothic" w:cs="Arial"/>
          <w:color w:val="000000" w:themeColor="text1"/>
          <w:lang w:eastAsia="es-CO"/>
        </w:rPr>
      </w:pPr>
      <w:r w:rsidRPr="000B7FC7">
        <w:rPr>
          <w:rFonts w:ascii="Century Gothic" w:eastAsia="Times New Roman" w:hAnsi="Century Gothic" w:cs="Arial"/>
          <w:b/>
          <w:bCs/>
          <w:color w:val="000000" w:themeColor="text1"/>
          <w:lang w:eastAsia="es-CO"/>
        </w:rPr>
        <w:t>Artículo 2.1.2.2.3. Coberturas.</w:t>
      </w:r>
      <w:r>
        <w:rPr>
          <w:rFonts w:ascii="Century Gothic" w:eastAsia="Times New Roman" w:hAnsi="Century Gothic" w:cs="Arial"/>
          <w:b/>
          <w:bCs/>
          <w:color w:val="000000" w:themeColor="text1"/>
          <w:lang w:eastAsia="es-CO"/>
        </w:rPr>
        <w:t xml:space="preserve"> </w:t>
      </w:r>
      <w:r>
        <w:rPr>
          <w:rFonts w:ascii="Century Gothic" w:eastAsia="Times New Roman" w:hAnsi="Century Gothic" w:cs="Arial"/>
          <w:color w:val="000000" w:themeColor="text1"/>
          <w:lang w:eastAsia="es-CO"/>
        </w:rPr>
        <w:t>Las coberturas de garantía por tipo de productor podrán ser de hasta del cien por ciento (100%) del valor del capital en el caso de los pequeños productores, mujeres rurales, jóvenes rurales y víctimas del conflicto armado, de hasta el sesenta por ciento (60%) en los medianos y de hasta el cincuenta por ciento (50%) en los grandes productores.</w:t>
      </w:r>
    </w:p>
    <w:p w14:paraId="203041F1" w14:textId="77777777" w:rsidR="00C13EA7" w:rsidRDefault="00C13EA7" w:rsidP="00C13EA7">
      <w:pPr>
        <w:jc w:val="both"/>
        <w:rPr>
          <w:rFonts w:ascii="Century Gothic" w:eastAsia="Times New Roman" w:hAnsi="Century Gothic" w:cs="Arial"/>
          <w:color w:val="000000" w:themeColor="text1"/>
          <w:lang w:eastAsia="es-CO"/>
        </w:rPr>
      </w:pPr>
    </w:p>
    <w:p w14:paraId="3CDDA857" w14:textId="4E91A79F" w:rsidR="00953A9A" w:rsidRPr="008B5447" w:rsidRDefault="00953A9A" w:rsidP="00953A9A">
      <w:pPr>
        <w:jc w:val="both"/>
        <w:rPr>
          <w:rFonts w:ascii="Century Gothic" w:eastAsia="Times New Roman" w:hAnsi="Century Gothic" w:cs="Arial"/>
          <w:bCs/>
          <w:color w:val="000000" w:themeColor="text1"/>
          <w:lang w:eastAsia="es-CO"/>
        </w:rPr>
      </w:pPr>
      <w:r w:rsidRPr="008B5447">
        <w:rPr>
          <w:rFonts w:ascii="Century Gothic" w:eastAsia="Times New Roman" w:hAnsi="Century Gothic" w:cs="Arial"/>
          <w:b/>
          <w:bCs/>
          <w:color w:val="000000" w:themeColor="text1"/>
          <w:lang w:eastAsia="es-CO"/>
        </w:rPr>
        <w:t xml:space="preserve">Artículo </w:t>
      </w:r>
      <w:r w:rsidR="00E470B0">
        <w:rPr>
          <w:rFonts w:ascii="Century Gothic" w:eastAsia="Times New Roman" w:hAnsi="Century Gothic" w:cs="Arial"/>
          <w:b/>
          <w:bCs/>
          <w:color w:val="000000" w:themeColor="text1"/>
          <w:lang w:eastAsia="es-CO"/>
        </w:rPr>
        <w:t>5</w:t>
      </w:r>
      <w:r w:rsidRPr="008B5447">
        <w:rPr>
          <w:rFonts w:ascii="Century Gothic" w:eastAsia="Times New Roman" w:hAnsi="Century Gothic" w:cs="Arial"/>
          <w:b/>
          <w:bCs/>
          <w:color w:val="000000" w:themeColor="text1"/>
          <w:lang w:eastAsia="es-CO"/>
        </w:rPr>
        <w:t xml:space="preserve">. </w:t>
      </w:r>
      <w:r w:rsidRPr="008B5447">
        <w:rPr>
          <w:rFonts w:ascii="Century Gothic" w:eastAsia="Times New Roman" w:hAnsi="Century Gothic" w:cs="Arial"/>
          <w:bCs/>
          <w:color w:val="000000" w:themeColor="text1"/>
          <w:lang w:eastAsia="es-CO"/>
        </w:rPr>
        <w:t>La presente ley rige a partir de su fecha de promulgación</w:t>
      </w:r>
      <w:r>
        <w:rPr>
          <w:rFonts w:ascii="Century Gothic" w:eastAsia="Times New Roman" w:hAnsi="Century Gothic" w:cs="Arial"/>
          <w:bCs/>
          <w:color w:val="000000" w:themeColor="text1"/>
          <w:lang w:eastAsia="es-CO"/>
        </w:rPr>
        <w:t>.</w:t>
      </w:r>
    </w:p>
    <w:p w14:paraId="1E8FE767" w14:textId="77777777" w:rsidR="00953A9A" w:rsidRDefault="00953A9A" w:rsidP="00953A9A">
      <w:pPr>
        <w:rPr>
          <w:rFonts w:ascii="Century Gothic" w:hAnsi="Century Gothic" w:cs="Arial"/>
        </w:rPr>
      </w:pPr>
    </w:p>
    <w:p w14:paraId="6441826B" w14:textId="598D12C2" w:rsidR="00A01305" w:rsidRPr="00C13EA7" w:rsidRDefault="00CA4DEE" w:rsidP="0085794F">
      <w:pPr>
        <w:spacing w:line="276" w:lineRule="auto"/>
        <w:jc w:val="both"/>
        <w:rPr>
          <w:rFonts w:ascii="Century Gothic" w:hAnsi="Century Gothic" w:cs="Arial"/>
          <w:color w:val="000000"/>
          <w:lang w:val="es-ES" w:eastAsia="es-ES"/>
        </w:rPr>
      </w:pPr>
      <w:r w:rsidRPr="00C13EA7">
        <w:rPr>
          <w:rFonts w:ascii="Century Gothic" w:hAnsi="Century Gothic" w:cs="Arial"/>
          <w:color w:val="000000"/>
          <w:lang w:val="es-ES" w:eastAsia="es-ES"/>
        </w:rPr>
        <w:t xml:space="preserve">En los anteriores términos fue aprobado con modificaciones el presente Proyecto de Ley Estatutaria según consta en Acta No. </w:t>
      </w:r>
      <w:r w:rsidR="00C13EA7">
        <w:rPr>
          <w:rFonts w:ascii="Century Gothic" w:hAnsi="Century Gothic" w:cs="Arial"/>
          <w:color w:val="000000"/>
          <w:lang w:val="es-ES" w:eastAsia="es-ES"/>
        </w:rPr>
        <w:t>2</w:t>
      </w:r>
      <w:r w:rsidR="004E422C" w:rsidRPr="00C13EA7">
        <w:rPr>
          <w:rFonts w:ascii="Century Gothic" w:hAnsi="Century Gothic" w:cs="Arial"/>
          <w:color w:val="000000"/>
          <w:lang w:val="es-ES" w:eastAsia="es-ES"/>
        </w:rPr>
        <w:t>6</w:t>
      </w:r>
      <w:r w:rsidRPr="00C13EA7">
        <w:rPr>
          <w:rFonts w:ascii="Century Gothic" w:hAnsi="Century Gothic" w:cs="Arial"/>
          <w:color w:val="000000"/>
          <w:lang w:val="es-ES" w:eastAsia="es-ES"/>
        </w:rPr>
        <w:t xml:space="preserve"> de sesión </w:t>
      </w:r>
      <w:r w:rsidR="00C13EA7">
        <w:rPr>
          <w:rFonts w:ascii="Century Gothic" w:hAnsi="Century Gothic" w:cs="Arial"/>
          <w:color w:val="000000"/>
          <w:lang w:val="es-ES" w:eastAsia="es-ES"/>
        </w:rPr>
        <w:t xml:space="preserve">remota </w:t>
      </w:r>
      <w:r w:rsidRPr="00C13EA7">
        <w:rPr>
          <w:rFonts w:ascii="Century Gothic" w:hAnsi="Century Gothic" w:cs="Arial"/>
          <w:color w:val="000000"/>
          <w:lang w:val="es-ES" w:eastAsia="es-ES"/>
        </w:rPr>
        <w:t>de</w:t>
      </w:r>
      <w:r w:rsidR="004E422C" w:rsidRPr="00C13EA7">
        <w:rPr>
          <w:rFonts w:ascii="Century Gothic" w:hAnsi="Century Gothic" w:cs="Arial"/>
          <w:color w:val="000000"/>
          <w:lang w:val="es-ES" w:eastAsia="es-ES"/>
        </w:rPr>
        <w:t xml:space="preserve"> </w:t>
      </w:r>
      <w:r w:rsidR="00C13EA7">
        <w:rPr>
          <w:rFonts w:ascii="Century Gothic" w:hAnsi="Century Gothic" w:cs="Arial"/>
          <w:color w:val="000000"/>
          <w:lang w:val="es-ES" w:eastAsia="es-ES"/>
        </w:rPr>
        <w:t>novi</w:t>
      </w:r>
      <w:r w:rsidR="004E422C" w:rsidRPr="00C13EA7">
        <w:rPr>
          <w:rFonts w:ascii="Century Gothic" w:hAnsi="Century Gothic" w:cs="Arial"/>
          <w:color w:val="000000"/>
          <w:lang w:val="es-ES" w:eastAsia="es-ES"/>
        </w:rPr>
        <w:t xml:space="preserve">embre </w:t>
      </w:r>
      <w:r w:rsidR="00C13EA7">
        <w:rPr>
          <w:rFonts w:ascii="Century Gothic" w:hAnsi="Century Gothic" w:cs="Arial"/>
          <w:color w:val="000000"/>
          <w:lang w:val="es-ES" w:eastAsia="es-ES"/>
        </w:rPr>
        <w:t>17</w:t>
      </w:r>
      <w:r w:rsidR="004E422C" w:rsidRPr="00C13EA7">
        <w:rPr>
          <w:rFonts w:ascii="Century Gothic" w:hAnsi="Century Gothic" w:cs="Arial"/>
          <w:color w:val="000000"/>
          <w:lang w:val="es-ES" w:eastAsia="es-ES"/>
        </w:rPr>
        <w:t xml:space="preserve"> de 2020</w:t>
      </w:r>
      <w:r w:rsidR="00C13EA7">
        <w:rPr>
          <w:rFonts w:ascii="Century Gothic" w:hAnsi="Century Gothic" w:cs="Arial"/>
          <w:color w:val="000000"/>
          <w:lang w:val="es-ES" w:eastAsia="es-ES"/>
        </w:rPr>
        <w:t xml:space="preserve">. </w:t>
      </w:r>
      <w:r w:rsidRPr="00C13EA7">
        <w:rPr>
          <w:rFonts w:ascii="Century Gothic" w:hAnsi="Century Gothic" w:cs="Arial"/>
          <w:color w:val="000000"/>
          <w:lang w:val="es-ES" w:eastAsia="es-ES"/>
        </w:rPr>
        <w:t xml:space="preserve">Anunciado entre otras fechas, el </w:t>
      </w:r>
      <w:r w:rsidR="004E422C" w:rsidRPr="00C13EA7">
        <w:rPr>
          <w:rFonts w:ascii="Century Gothic" w:hAnsi="Century Gothic" w:cs="Arial"/>
          <w:color w:val="000000"/>
          <w:lang w:val="es-ES" w:eastAsia="es-ES"/>
        </w:rPr>
        <w:t>1</w:t>
      </w:r>
      <w:r w:rsidR="00C13EA7">
        <w:rPr>
          <w:rFonts w:ascii="Century Gothic" w:hAnsi="Century Gothic" w:cs="Arial"/>
          <w:color w:val="000000"/>
          <w:lang w:val="es-ES" w:eastAsia="es-ES"/>
        </w:rPr>
        <w:t>3</w:t>
      </w:r>
      <w:r w:rsidRPr="00C13EA7">
        <w:rPr>
          <w:rFonts w:ascii="Century Gothic" w:hAnsi="Century Gothic" w:cs="Arial"/>
          <w:color w:val="000000"/>
          <w:lang w:val="es-ES" w:eastAsia="es-ES"/>
        </w:rPr>
        <w:t xml:space="preserve"> de </w:t>
      </w:r>
      <w:r w:rsidR="00C13EA7">
        <w:rPr>
          <w:rFonts w:ascii="Century Gothic" w:hAnsi="Century Gothic" w:cs="Arial"/>
          <w:color w:val="000000"/>
          <w:lang w:val="es-ES" w:eastAsia="es-ES"/>
        </w:rPr>
        <w:t>novi</w:t>
      </w:r>
      <w:r w:rsidR="004E422C" w:rsidRPr="00C13EA7">
        <w:rPr>
          <w:rFonts w:ascii="Century Gothic" w:hAnsi="Century Gothic" w:cs="Arial"/>
          <w:color w:val="000000"/>
          <w:lang w:val="es-ES" w:eastAsia="es-ES"/>
        </w:rPr>
        <w:t>embre</w:t>
      </w:r>
      <w:r w:rsidRPr="00C13EA7">
        <w:rPr>
          <w:rFonts w:ascii="Century Gothic" w:hAnsi="Century Gothic" w:cs="Arial"/>
          <w:color w:val="000000"/>
          <w:lang w:val="es-ES" w:eastAsia="es-ES"/>
        </w:rPr>
        <w:t xml:space="preserve"> de 2020 según consta en Acta No. </w:t>
      </w:r>
      <w:r w:rsidR="00C13EA7">
        <w:rPr>
          <w:rFonts w:ascii="Century Gothic" w:hAnsi="Century Gothic" w:cs="Arial"/>
          <w:color w:val="000000"/>
          <w:lang w:val="es-ES" w:eastAsia="es-ES"/>
        </w:rPr>
        <w:t>07</w:t>
      </w:r>
      <w:r w:rsidRPr="00C13EA7">
        <w:rPr>
          <w:rFonts w:ascii="Century Gothic" w:hAnsi="Century Gothic" w:cs="Arial"/>
          <w:color w:val="000000"/>
          <w:lang w:val="es-ES" w:eastAsia="es-ES"/>
        </w:rPr>
        <w:t xml:space="preserve"> de sesión </w:t>
      </w:r>
      <w:r w:rsidR="00C13EA7">
        <w:rPr>
          <w:rFonts w:ascii="Century Gothic" w:hAnsi="Century Gothic" w:cs="Arial"/>
          <w:color w:val="000000"/>
          <w:lang w:val="es-ES" w:eastAsia="es-ES"/>
        </w:rPr>
        <w:t xml:space="preserve">conjuntas </w:t>
      </w:r>
      <w:r w:rsidR="00D8350D">
        <w:rPr>
          <w:rFonts w:ascii="Century Gothic" w:hAnsi="Century Gothic" w:cs="Arial"/>
          <w:color w:val="000000"/>
          <w:lang w:val="es-ES" w:eastAsia="es-ES"/>
        </w:rPr>
        <w:t xml:space="preserve">presencial mixta de </w:t>
      </w:r>
      <w:r w:rsidR="00EF39A3">
        <w:rPr>
          <w:rFonts w:ascii="Century Gothic" w:hAnsi="Century Gothic" w:cs="Arial"/>
          <w:color w:val="000000"/>
          <w:lang w:val="es-ES" w:eastAsia="es-ES"/>
        </w:rPr>
        <w:t xml:space="preserve">Comisiones Primeras </w:t>
      </w:r>
      <w:r w:rsidR="00D8350D">
        <w:rPr>
          <w:rFonts w:ascii="Century Gothic" w:hAnsi="Century Gothic" w:cs="Arial"/>
          <w:color w:val="000000"/>
          <w:lang w:val="es-ES" w:eastAsia="es-ES"/>
        </w:rPr>
        <w:lastRenderedPageBreak/>
        <w:t xml:space="preserve">Constitucionales </w:t>
      </w:r>
      <w:r w:rsidR="00EF39A3">
        <w:rPr>
          <w:rFonts w:ascii="Century Gothic" w:hAnsi="Century Gothic" w:cs="Arial"/>
          <w:color w:val="000000"/>
          <w:lang w:val="es-ES" w:eastAsia="es-ES"/>
        </w:rPr>
        <w:t>de Senado de la República y Cámara de Representantes</w:t>
      </w:r>
      <w:r w:rsidR="00D8350D">
        <w:rPr>
          <w:rFonts w:ascii="Century Gothic" w:hAnsi="Century Gothic" w:cs="Arial"/>
          <w:color w:val="000000"/>
          <w:lang w:val="es-ES" w:eastAsia="es-ES"/>
        </w:rPr>
        <w:t xml:space="preserve">, </w:t>
      </w:r>
      <w:r w:rsidR="00834B6E" w:rsidRPr="00C13EA7">
        <w:rPr>
          <w:rFonts w:ascii="Century Gothic" w:hAnsi="Century Gothic" w:cs="Arial"/>
          <w:color w:val="000000"/>
          <w:lang w:val="es-ES" w:eastAsia="es-ES"/>
        </w:rPr>
        <w:t>de la misma fecha</w:t>
      </w:r>
      <w:r w:rsidRPr="00C13EA7">
        <w:rPr>
          <w:rFonts w:ascii="Century Gothic" w:hAnsi="Century Gothic" w:cs="Arial"/>
          <w:color w:val="000000"/>
          <w:lang w:val="es-ES" w:eastAsia="es-ES"/>
        </w:rPr>
        <w:t>.</w:t>
      </w:r>
    </w:p>
    <w:p w14:paraId="403520D5" w14:textId="7E817C2F" w:rsidR="00BF34E3" w:rsidRPr="00C13EA7" w:rsidRDefault="00BF34E3" w:rsidP="00503E9D">
      <w:pPr>
        <w:spacing w:before="45" w:after="15" w:line="276" w:lineRule="auto"/>
        <w:ind w:right="30"/>
        <w:jc w:val="both"/>
        <w:rPr>
          <w:rFonts w:ascii="Century Gothic" w:eastAsia="Times New Roman" w:hAnsi="Century Gothic" w:cs="Arial"/>
          <w:b/>
          <w:color w:val="000000"/>
          <w:lang w:eastAsia="es-CO"/>
        </w:rPr>
      </w:pPr>
    </w:p>
    <w:p w14:paraId="0B78667B" w14:textId="2CE26B55" w:rsidR="00A01C1A" w:rsidRDefault="00A01C1A" w:rsidP="00503E9D">
      <w:pPr>
        <w:spacing w:before="45" w:after="15" w:line="276" w:lineRule="auto"/>
        <w:ind w:right="30"/>
        <w:jc w:val="both"/>
        <w:rPr>
          <w:rFonts w:ascii="Century Gothic" w:eastAsia="Times New Roman" w:hAnsi="Century Gothic" w:cs="Arial"/>
          <w:b/>
          <w:color w:val="000000"/>
          <w:lang w:eastAsia="es-CO"/>
        </w:rPr>
      </w:pPr>
    </w:p>
    <w:p w14:paraId="0429AD84" w14:textId="773E9EC1" w:rsidR="004A594D" w:rsidRDefault="004A594D" w:rsidP="00503E9D">
      <w:pPr>
        <w:spacing w:before="45" w:after="15" w:line="276" w:lineRule="auto"/>
        <w:ind w:right="30"/>
        <w:jc w:val="both"/>
        <w:rPr>
          <w:rFonts w:ascii="Century Gothic" w:eastAsia="Times New Roman" w:hAnsi="Century Gothic" w:cs="Arial"/>
          <w:b/>
          <w:color w:val="000000"/>
          <w:lang w:eastAsia="es-CO"/>
        </w:rPr>
      </w:pPr>
    </w:p>
    <w:p w14:paraId="67E4E940" w14:textId="5C4B76D8" w:rsidR="004A594D" w:rsidRDefault="004A594D" w:rsidP="00503E9D">
      <w:pPr>
        <w:spacing w:before="45" w:after="15" w:line="276" w:lineRule="auto"/>
        <w:ind w:right="30"/>
        <w:jc w:val="both"/>
        <w:rPr>
          <w:rFonts w:ascii="Century Gothic" w:eastAsia="Times New Roman" w:hAnsi="Century Gothic" w:cs="Arial"/>
          <w:b/>
          <w:color w:val="000000"/>
          <w:lang w:eastAsia="es-CO"/>
        </w:rPr>
      </w:pPr>
    </w:p>
    <w:p w14:paraId="340B7849" w14:textId="4BF0BF5A" w:rsidR="004A594D" w:rsidRPr="00C13EA7" w:rsidRDefault="004A594D" w:rsidP="00503E9D">
      <w:pPr>
        <w:spacing w:before="45" w:after="15" w:line="276" w:lineRule="auto"/>
        <w:ind w:right="30"/>
        <w:jc w:val="both"/>
        <w:rPr>
          <w:rFonts w:ascii="Century Gothic" w:eastAsia="Times New Roman" w:hAnsi="Century Gothic" w:cs="Arial"/>
          <w:b/>
          <w:color w:val="000000"/>
          <w:lang w:eastAsia="es-CO"/>
        </w:rPr>
      </w:pPr>
    </w:p>
    <w:p w14:paraId="51395CAD" w14:textId="0AE24A76" w:rsidR="009304B1" w:rsidRPr="00C13EA7" w:rsidRDefault="009304B1" w:rsidP="00503E9D">
      <w:pPr>
        <w:spacing w:before="45" w:after="15" w:line="276" w:lineRule="auto"/>
        <w:ind w:right="30"/>
        <w:jc w:val="both"/>
        <w:rPr>
          <w:rFonts w:ascii="Century Gothic" w:eastAsia="Times New Roman" w:hAnsi="Century Gothic" w:cs="Arial"/>
          <w:b/>
          <w:color w:val="000000"/>
          <w:lang w:eastAsia="es-CO"/>
        </w:rPr>
      </w:pPr>
    </w:p>
    <w:p w14:paraId="20A535C3" w14:textId="71429BD9" w:rsidR="00CA4DEE" w:rsidRPr="00C13EA7" w:rsidRDefault="00D8350D" w:rsidP="00503E9D">
      <w:pPr>
        <w:spacing w:before="45" w:after="15" w:line="276" w:lineRule="auto"/>
        <w:ind w:right="30"/>
        <w:jc w:val="both"/>
        <w:rPr>
          <w:rFonts w:ascii="Century Gothic" w:eastAsia="Times New Roman" w:hAnsi="Century Gothic" w:cs="Arial"/>
          <w:b/>
          <w:color w:val="000000"/>
          <w:lang w:eastAsia="es-CO"/>
        </w:rPr>
      </w:pPr>
      <w:r>
        <w:rPr>
          <w:rFonts w:ascii="Century Gothic" w:eastAsia="Times New Roman" w:hAnsi="Century Gothic" w:cs="Arial"/>
          <w:b/>
          <w:color w:val="000000"/>
          <w:lang w:eastAsia="es-CO"/>
        </w:rPr>
        <w:t>ADRIANA MAGALI MATIZ VARGAS</w:t>
      </w:r>
      <w:r w:rsidR="00654984" w:rsidRPr="00C13EA7">
        <w:rPr>
          <w:rFonts w:ascii="Century Gothic" w:eastAsia="Times New Roman" w:hAnsi="Century Gothic" w:cs="Arial"/>
          <w:b/>
          <w:color w:val="000000"/>
          <w:lang w:eastAsia="es-CO"/>
        </w:rPr>
        <w:tab/>
      </w:r>
      <w:r w:rsidR="00654984" w:rsidRPr="00C13EA7">
        <w:rPr>
          <w:rFonts w:ascii="Century Gothic" w:eastAsia="Times New Roman" w:hAnsi="Century Gothic" w:cs="Arial"/>
          <w:b/>
          <w:color w:val="000000"/>
          <w:lang w:eastAsia="es-CO"/>
        </w:rPr>
        <w:tab/>
      </w:r>
      <w:r>
        <w:rPr>
          <w:rFonts w:ascii="Century Gothic" w:eastAsia="Times New Roman" w:hAnsi="Century Gothic" w:cs="Arial"/>
          <w:b/>
          <w:color w:val="000000"/>
          <w:lang w:eastAsia="es-CO"/>
        </w:rPr>
        <w:t>GABRIEL JAIME VALLEJO CHUJFI</w:t>
      </w:r>
    </w:p>
    <w:p w14:paraId="7D0C364E" w14:textId="1D2D60E2" w:rsidR="00654984" w:rsidRPr="00C13EA7" w:rsidRDefault="00654984" w:rsidP="00503E9D">
      <w:pPr>
        <w:spacing w:before="45" w:after="15" w:line="276" w:lineRule="auto"/>
        <w:ind w:right="30"/>
        <w:jc w:val="both"/>
        <w:rPr>
          <w:rFonts w:ascii="Century Gothic" w:eastAsia="Times New Roman" w:hAnsi="Century Gothic" w:cs="Arial"/>
          <w:color w:val="000000"/>
          <w:lang w:eastAsia="es-CO"/>
        </w:rPr>
      </w:pPr>
      <w:r w:rsidRPr="00C13EA7">
        <w:rPr>
          <w:rFonts w:ascii="Century Gothic" w:eastAsia="Times New Roman" w:hAnsi="Century Gothic" w:cs="Arial"/>
          <w:color w:val="000000"/>
          <w:lang w:eastAsia="es-CO"/>
        </w:rPr>
        <w:t>Ponente Coordinador</w:t>
      </w:r>
      <w:r w:rsidRPr="00C13EA7">
        <w:rPr>
          <w:rFonts w:ascii="Century Gothic" w:eastAsia="Times New Roman" w:hAnsi="Century Gothic" w:cs="Arial"/>
          <w:color w:val="000000"/>
          <w:lang w:eastAsia="es-CO"/>
        </w:rPr>
        <w:tab/>
      </w:r>
      <w:r w:rsidRPr="00C13EA7">
        <w:rPr>
          <w:rFonts w:ascii="Century Gothic" w:eastAsia="Times New Roman" w:hAnsi="Century Gothic" w:cs="Arial"/>
          <w:color w:val="000000"/>
          <w:lang w:eastAsia="es-CO"/>
        </w:rPr>
        <w:tab/>
      </w:r>
      <w:r w:rsidRPr="00C13EA7">
        <w:rPr>
          <w:rFonts w:ascii="Century Gothic" w:eastAsia="Times New Roman" w:hAnsi="Century Gothic" w:cs="Arial"/>
          <w:color w:val="000000"/>
          <w:lang w:eastAsia="es-CO"/>
        </w:rPr>
        <w:tab/>
      </w:r>
      <w:r w:rsidRPr="00C13EA7">
        <w:rPr>
          <w:rFonts w:ascii="Century Gothic" w:eastAsia="Times New Roman" w:hAnsi="Century Gothic" w:cs="Arial"/>
          <w:color w:val="000000"/>
          <w:lang w:eastAsia="es-CO"/>
        </w:rPr>
        <w:tab/>
      </w:r>
      <w:r w:rsidR="00D8350D">
        <w:rPr>
          <w:rFonts w:ascii="Century Gothic" w:eastAsia="Times New Roman" w:hAnsi="Century Gothic" w:cs="Arial"/>
          <w:color w:val="000000"/>
          <w:lang w:eastAsia="es-CO"/>
        </w:rPr>
        <w:t>Ponente Coordinador</w:t>
      </w:r>
    </w:p>
    <w:p w14:paraId="588C3E94" w14:textId="70CB55A3" w:rsidR="00BF34E3" w:rsidRPr="00C13EA7" w:rsidRDefault="00BF34E3" w:rsidP="00503E9D">
      <w:pPr>
        <w:spacing w:before="45" w:after="15" w:line="276" w:lineRule="auto"/>
        <w:ind w:right="30"/>
        <w:jc w:val="both"/>
        <w:rPr>
          <w:rFonts w:ascii="Century Gothic" w:eastAsia="Times New Roman" w:hAnsi="Century Gothic" w:cs="Arial"/>
          <w:color w:val="000000"/>
          <w:lang w:eastAsia="es-CO"/>
        </w:rPr>
      </w:pPr>
    </w:p>
    <w:p w14:paraId="43A150AA" w14:textId="0DD33763" w:rsidR="00A01C1A" w:rsidRDefault="00A01C1A" w:rsidP="00503E9D">
      <w:pPr>
        <w:spacing w:before="45" w:after="15" w:line="276" w:lineRule="auto"/>
        <w:ind w:right="30"/>
        <w:jc w:val="both"/>
        <w:rPr>
          <w:rFonts w:ascii="Century Gothic" w:eastAsia="Times New Roman" w:hAnsi="Century Gothic" w:cs="Arial"/>
          <w:color w:val="000000"/>
          <w:lang w:eastAsia="es-CO"/>
        </w:rPr>
      </w:pPr>
    </w:p>
    <w:p w14:paraId="7B0097B2" w14:textId="5D9DAA3A" w:rsidR="004A594D" w:rsidRDefault="004A594D" w:rsidP="00503E9D">
      <w:pPr>
        <w:spacing w:before="45" w:after="15" w:line="276" w:lineRule="auto"/>
        <w:ind w:right="30"/>
        <w:jc w:val="both"/>
        <w:rPr>
          <w:rFonts w:ascii="Century Gothic" w:eastAsia="Times New Roman" w:hAnsi="Century Gothic" w:cs="Arial"/>
          <w:color w:val="000000"/>
          <w:lang w:eastAsia="es-CO"/>
        </w:rPr>
      </w:pPr>
    </w:p>
    <w:p w14:paraId="3E330325" w14:textId="2D02990D" w:rsidR="004A594D" w:rsidRDefault="004A594D" w:rsidP="00503E9D">
      <w:pPr>
        <w:spacing w:before="45" w:after="15" w:line="276" w:lineRule="auto"/>
        <w:ind w:right="30"/>
        <w:jc w:val="both"/>
        <w:rPr>
          <w:rFonts w:ascii="Century Gothic" w:eastAsia="Times New Roman" w:hAnsi="Century Gothic" w:cs="Arial"/>
          <w:color w:val="000000"/>
          <w:lang w:eastAsia="es-CO"/>
        </w:rPr>
      </w:pPr>
      <w:bookmarkStart w:id="1" w:name="_GoBack"/>
      <w:bookmarkEnd w:id="1"/>
    </w:p>
    <w:p w14:paraId="76A19203" w14:textId="5D196A50" w:rsidR="004A594D" w:rsidRDefault="004A594D" w:rsidP="00503E9D">
      <w:pPr>
        <w:spacing w:before="45" w:after="15" w:line="276" w:lineRule="auto"/>
        <w:ind w:right="30"/>
        <w:jc w:val="both"/>
        <w:rPr>
          <w:rFonts w:ascii="Century Gothic" w:eastAsia="Times New Roman" w:hAnsi="Century Gothic" w:cs="Arial"/>
          <w:color w:val="000000"/>
          <w:lang w:eastAsia="es-CO"/>
        </w:rPr>
      </w:pPr>
    </w:p>
    <w:p w14:paraId="33107992" w14:textId="15DBE012" w:rsidR="004A594D" w:rsidRDefault="004A594D" w:rsidP="00503E9D">
      <w:pPr>
        <w:spacing w:before="45" w:after="15" w:line="276" w:lineRule="auto"/>
        <w:ind w:right="30"/>
        <w:jc w:val="both"/>
        <w:rPr>
          <w:rFonts w:ascii="Century Gothic" w:eastAsia="Times New Roman" w:hAnsi="Century Gothic" w:cs="Arial"/>
          <w:color w:val="000000"/>
          <w:lang w:eastAsia="es-CO"/>
        </w:rPr>
      </w:pPr>
    </w:p>
    <w:p w14:paraId="2F2FC605" w14:textId="77777777" w:rsidR="004A594D" w:rsidRPr="00C13EA7" w:rsidRDefault="004A594D" w:rsidP="00503E9D">
      <w:pPr>
        <w:spacing w:before="45" w:after="15" w:line="276" w:lineRule="auto"/>
        <w:ind w:right="30"/>
        <w:jc w:val="both"/>
        <w:rPr>
          <w:rFonts w:ascii="Century Gothic" w:eastAsia="Times New Roman" w:hAnsi="Century Gothic" w:cs="Arial"/>
          <w:color w:val="000000"/>
          <w:lang w:eastAsia="es-CO"/>
        </w:rPr>
      </w:pPr>
    </w:p>
    <w:p w14:paraId="7C5FBE41" w14:textId="410BFA53" w:rsidR="00654984" w:rsidRPr="00C13EA7" w:rsidRDefault="00D8350D" w:rsidP="00503E9D">
      <w:pPr>
        <w:spacing w:before="45" w:after="15" w:line="276" w:lineRule="auto"/>
        <w:ind w:right="30"/>
        <w:jc w:val="both"/>
        <w:rPr>
          <w:rFonts w:ascii="Century Gothic" w:eastAsia="Times New Roman" w:hAnsi="Century Gothic" w:cs="Arial"/>
          <w:b/>
          <w:color w:val="000000"/>
          <w:lang w:eastAsia="es-CO"/>
        </w:rPr>
      </w:pPr>
      <w:r>
        <w:rPr>
          <w:rFonts w:ascii="Century Gothic" w:eastAsia="Times New Roman" w:hAnsi="Century Gothic" w:cs="Arial"/>
          <w:b/>
          <w:color w:val="000000"/>
          <w:lang w:eastAsia="es-CO"/>
        </w:rPr>
        <w:t>ALFREDO R. DELUQUE ZULETA</w:t>
      </w:r>
      <w:r>
        <w:rPr>
          <w:rFonts w:ascii="Century Gothic" w:eastAsia="Times New Roman" w:hAnsi="Century Gothic" w:cs="Arial"/>
          <w:b/>
          <w:color w:val="000000"/>
          <w:lang w:eastAsia="es-CO"/>
        </w:rPr>
        <w:tab/>
      </w:r>
      <w:r>
        <w:rPr>
          <w:rFonts w:ascii="Century Gothic" w:eastAsia="Times New Roman" w:hAnsi="Century Gothic" w:cs="Arial"/>
          <w:b/>
          <w:color w:val="000000"/>
          <w:lang w:eastAsia="es-CO"/>
        </w:rPr>
        <w:tab/>
      </w:r>
      <w:r>
        <w:rPr>
          <w:rFonts w:ascii="Century Gothic" w:eastAsia="Times New Roman" w:hAnsi="Century Gothic" w:cs="Arial"/>
          <w:b/>
          <w:color w:val="000000"/>
          <w:lang w:eastAsia="es-CO"/>
        </w:rPr>
        <w:tab/>
      </w:r>
      <w:r w:rsidR="00654984" w:rsidRPr="00C13EA7">
        <w:rPr>
          <w:rFonts w:ascii="Century Gothic" w:eastAsia="Times New Roman" w:hAnsi="Century Gothic" w:cs="Arial"/>
          <w:b/>
          <w:color w:val="000000"/>
          <w:lang w:eastAsia="es-CO"/>
        </w:rPr>
        <w:t>AMPARO Y. CALDERON PERDOMO</w:t>
      </w:r>
    </w:p>
    <w:p w14:paraId="0012ACE4" w14:textId="3D27E7CA" w:rsidR="00654984" w:rsidRPr="00C13EA7" w:rsidRDefault="00D8350D" w:rsidP="00503E9D">
      <w:pPr>
        <w:spacing w:before="45" w:after="15" w:line="276" w:lineRule="auto"/>
        <w:ind w:right="30"/>
        <w:jc w:val="both"/>
        <w:rPr>
          <w:rFonts w:ascii="Century Gothic" w:eastAsia="Times New Roman" w:hAnsi="Century Gothic" w:cs="Arial"/>
          <w:color w:val="000000"/>
          <w:lang w:eastAsia="es-CO"/>
        </w:rPr>
      </w:pPr>
      <w:r>
        <w:rPr>
          <w:rFonts w:ascii="Century Gothic" w:eastAsia="Times New Roman" w:hAnsi="Century Gothic" w:cs="Arial"/>
          <w:color w:val="000000"/>
          <w:lang w:eastAsia="es-CO"/>
        </w:rPr>
        <w:t>Presidente</w:t>
      </w:r>
      <w:r w:rsidR="00654984" w:rsidRPr="00C13EA7">
        <w:rPr>
          <w:rFonts w:ascii="Century Gothic" w:eastAsia="Times New Roman" w:hAnsi="Century Gothic" w:cs="Arial"/>
          <w:color w:val="000000"/>
          <w:lang w:eastAsia="es-CO"/>
        </w:rPr>
        <w:tab/>
      </w:r>
      <w:r w:rsidR="00654984" w:rsidRPr="00C13EA7">
        <w:rPr>
          <w:rFonts w:ascii="Century Gothic" w:eastAsia="Times New Roman" w:hAnsi="Century Gothic" w:cs="Arial"/>
          <w:color w:val="000000"/>
          <w:lang w:eastAsia="es-CO"/>
        </w:rPr>
        <w:tab/>
      </w:r>
      <w:r w:rsidR="00654984" w:rsidRPr="00C13EA7">
        <w:rPr>
          <w:rFonts w:ascii="Century Gothic" w:eastAsia="Times New Roman" w:hAnsi="Century Gothic" w:cs="Arial"/>
          <w:color w:val="000000"/>
          <w:lang w:eastAsia="es-CO"/>
        </w:rPr>
        <w:tab/>
      </w:r>
      <w:r w:rsidR="00654984" w:rsidRPr="00C13EA7">
        <w:rPr>
          <w:rFonts w:ascii="Century Gothic" w:eastAsia="Times New Roman" w:hAnsi="Century Gothic" w:cs="Arial"/>
          <w:color w:val="000000"/>
          <w:lang w:eastAsia="es-CO"/>
        </w:rPr>
        <w:tab/>
      </w:r>
      <w:r w:rsidR="00654984" w:rsidRPr="00C13EA7">
        <w:rPr>
          <w:rFonts w:ascii="Century Gothic" w:eastAsia="Times New Roman" w:hAnsi="Century Gothic" w:cs="Arial"/>
          <w:color w:val="000000"/>
          <w:lang w:eastAsia="es-CO"/>
        </w:rPr>
        <w:tab/>
      </w:r>
      <w:r w:rsidR="00D10F3D" w:rsidRPr="00C13EA7">
        <w:rPr>
          <w:rFonts w:ascii="Century Gothic" w:eastAsia="Times New Roman" w:hAnsi="Century Gothic" w:cs="Arial"/>
          <w:color w:val="000000"/>
          <w:lang w:eastAsia="es-CO"/>
        </w:rPr>
        <w:t xml:space="preserve">        </w:t>
      </w:r>
      <w:r>
        <w:rPr>
          <w:rFonts w:ascii="Century Gothic" w:eastAsia="Times New Roman" w:hAnsi="Century Gothic" w:cs="Arial"/>
          <w:color w:val="000000"/>
          <w:lang w:eastAsia="es-CO"/>
        </w:rPr>
        <w:t xml:space="preserve">   </w:t>
      </w:r>
      <w:r w:rsidR="00654984" w:rsidRPr="00C13EA7">
        <w:rPr>
          <w:rFonts w:ascii="Century Gothic" w:eastAsia="Times New Roman" w:hAnsi="Century Gothic" w:cs="Arial"/>
          <w:color w:val="000000"/>
          <w:lang w:eastAsia="es-CO"/>
        </w:rPr>
        <w:t>Secretaria</w:t>
      </w:r>
    </w:p>
    <w:p w14:paraId="677F623F" w14:textId="77777777" w:rsidR="00654984" w:rsidRPr="00C13EA7" w:rsidRDefault="00654984" w:rsidP="00503E9D">
      <w:pPr>
        <w:spacing w:before="45" w:after="15" w:line="276" w:lineRule="auto"/>
        <w:ind w:right="30"/>
        <w:jc w:val="both"/>
        <w:rPr>
          <w:rFonts w:ascii="Century Gothic" w:eastAsia="Times New Roman" w:hAnsi="Century Gothic" w:cs="Arial"/>
          <w:color w:val="000000"/>
          <w:lang w:eastAsia="es-CO"/>
        </w:rPr>
      </w:pPr>
    </w:p>
    <w:p w14:paraId="1CE8E64E" w14:textId="77777777" w:rsidR="00654984" w:rsidRPr="00C13EA7" w:rsidRDefault="00654984" w:rsidP="00503E9D">
      <w:pPr>
        <w:spacing w:before="45" w:after="15" w:line="276" w:lineRule="auto"/>
        <w:ind w:right="30"/>
        <w:jc w:val="both"/>
        <w:rPr>
          <w:rFonts w:ascii="Century Gothic" w:eastAsia="Times New Roman" w:hAnsi="Century Gothic" w:cs="Arial"/>
          <w:color w:val="000000"/>
          <w:lang w:eastAsia="es-CO"/>
        </w:rPr>
      </w:pPr>
    </w:p>
    <w:p w14:paraId="2DD7F02A" w14:textId="77777777" w:rsidR="00D04ABA" w:rsidRPr="00C13EA7" w:rsidRDefault="00D04ABA" w:rsidP="00D04ABA">
      <w:pPr>
        <w:spacing w:before="45" w:after="15" w:line="276" w:lineRule="auto"/>
        <w:ind w:right="30"/>
        <w:jc w:val="both"/>
        <w:rPr>
          <w:rFonts w:ascii="Century Gothic" w:eastAsia="Times New Roman" w:hAnsi="Century Gothic" w:cs="Arial"/>
          <w:b/>
          <w:bCs/>
          <w:color w:val="000000"/>
          <w:lang w:eastAsia="es-CO"/>
        </w:rPr>
        <w:sectPr w:rsidR="00D04ABA" w:rsidRPr="00C13EA7" w:rsidSect="00D04ABA">
          <w:headerReference w:type="default" r:id="rId8"/>
          <w:footerReference w:type="default" r:id="rId9"/>
          <w:type w:val="continuous"/>
          <w:pgSz w:w="12240" w:h="15840"/>
          <w:pgMar w:top="1417" w:right="1701" w:bottom="1417" w:left="1701" w:header="708" w:footer="708" w:gutter="0"/>
          <w:cols w:space="708"/>
          <w:docGrid w:linePitch="360"/>
        </w:sectPr>
      </w:pPr>
    </w:p>
    <w:p w14:paraId="50254D14" w14:textId="77777777" w:rsidR="008E061B" w:rsidRPr="00C13EA7" w:rsidRDefault="008E061B" w:rsidP="00D04ABA">
      <w:pPr>
        <w:spacing w:before="45" w:after="15" w:line="276" w:lineRule="auto"/>
        <w:ind w:right="30"/>
        <w:jc w:val="both"/>
        <w:rPr>
          <w:rFonts w:ascii="Century Gothic" w:eastAsia="Times New Roman" w:hAnsi="Century Gothic" w:cs="Arial"/>
          <w:color w:val="000000"/>
          <w:lang w:eastAsia="es-CO"/>
        </w:rPr>
      </w:pPr>
    </w:p>
    <w:sectPr w:rsidR="008E061B" w:rsidRPr="00C13EA7" w:rsidSect="004937A0">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4C69A" w14:textId="77777777" w:rsidR="00F92803" w:rsidRDefault="00F92803" w:rsidP="00F464B3">
      <w:pPr>
        <w:spacing w:after="0" w:line="240" w:lineRule="auto"/>
      </w:pPr>
      <w:r>
        <w:separator/>
      </w:r>
    </w:p>
  </w:endnote>
  <w:endnote w:type="continuationSeparator" w:id="0">
    <w:p w14:paraId="63ADA4FE" w14:textId="77777777" w:rsidR="00F92803" w:rsidRDefault="00F92803"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FHUIW+TimesNewRomanPS-BoldMT">
    <w:altName w:val="BFHUIW+TimesNewRomanPS-Bold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258378"/>
      <w:docPartObj>
        <w:docPartGallery w:val="Page Numbers (Bottom of Page)"/>
        <w:docPartUnique/>
      </w:docPartObj>
    </w:sdtPr>
    <w:sdtEndPr/>
    <w:sdtContent>
      <w:p w14:paraId="66547B2C" w14:textId="02E68F39" w:rsidR="000643FE" w:rsidRDefault="000643FE">
        <w:pPr>
          <w:pStyle w:val="Piedepgina"/>
          <w:jc w:val="right"/>
        </w:pPr>
        <w:r>
          <w:fldChar w:fldCharType="begin"/>
        </w:r>
        <w:r>
          <w:instrText>PAGE   \* MERGEFORMAT</w:instrText>
        </w:r>
        <w:r>
          <w:fldChar w:fldCharType="separate"/>
        </w:r>
        <w:r w:rsidR="00FC46D1" w:rsidRPr="00FC46D1">
          <w:rPr>
            <w:noProof/>
            <w:lang w:val="es-ES"/>
          </w:rPr>
          <w:t>2</w:t>
        </w:r>
        <w:r>
          <w:fldChar w:fldCharType="end"/>
        </w:r>
      </w:p>
    </w:sdtContent>
  </w:sdt>
  <w:p w14:paraId="51ADA584" w14:textId="77777777" w:rsidR="000643FE" w:rsidRDefault="000643F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6D82B" w14:textId="77777777" w:rsidR="00F92803" w:rsidRDefault="00F92803" w:rsidP="00F464B3">
      <w:pPr>
        <w:spacing w:after="0" w:line="240" w:lineRule="auto"/>
      </w:pPr>
      <w:r>
        <w:separator/>
      </w:r>
    </w:p>
  </w:footnote>
  <w:footnote w:type="continuationSeparator" w:id="0">
    <w:p w14:paraId="6CE1CEA1" w14:textId="77777777" w:rsidR="00F92803" w:rsidRDefault="00F92803" w:rsidP="00F46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33E99" w14:textId="77777777" w:rsidR="00E85BF5" w:rsidRDefault="00E85BF5" w:rsidP="00EC63B6">
    <w:pPr>
      <w:pStyle w:val="Encabezado"/>
      <w:jc w:val="center"/>
    </w:pPr>
    <w:r>
      <w:rPr>
        <w:noProof/>
        <w:lang w:eastAsia="es-CO"/>
      </w:rPr>
      <w:drawing>
        <wp:inline distT="0" distB="0" distL="0" distR="0" wp14:anchorId="4424CA66" wp14:editId="52757F20">
          <wp:extent cx="2286000" cy="670956"/>
          <wp:effectExtent l="0" t="0" r="0" b="0"/>
          <wp:docPr id="3" name="Imagen 3" descr="Entes Comisión legal de cuentas Cá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s Comisión legal de cuentas Cá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8851" t="19290" r="11886" b="23326"/>
                  <a:stretch/>
                </pic:blipFill>
                <pic:spPr bwMode="auto">
                  <a:xfrm>
                    <a:off x="0" y="0"/>
                    <a:ext cx="2339192" cy="686568"/>
                  </a:xfrm>
                  <a:prstGeom prst="rect">
                    <a:avLst/>
                  </a:prstGeom>
                  <a:noFill/>
                  <a:ln>
                    <a:noFill/>
                  </a:ln>
                  <a:extLst>
                    <a:ext uri="{53640926-AAD7-44D8-BBD7-CCE9431645EC}">
                      <a14:shadowObscured xmlns:a14="http://schemas.microsoft.com/office/drawing/2010/main"/>
                    </a:ext>
                  </a:extLst>
                </pic:spPr>
              </pic:pic>
            </a:graphicData>
          </a:graphic>
        </wp:inline>
      </w:drawing>
    </w:r>
  </w:p>
  <w:p w14:paraId="4BE57F8C" w14:textId="77777777" w:rsidR="00E85BF5" w:rsidRDefault="00E85BF5" w:rsidP="00EC63B6">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6AB2"/>
    <w:multiLevelType w:val="multilevel"/>
    <w:tmpl w:val="1C5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00550"/>
    <w:multiLevelType w:val="hybridMultilevel"/>
    <w:tmpl w:val="E5A8F21A"/>
    <w:lvl w:ilvl="0" w:tplc="4BE03B94">
      <w:start w:val="1"/>
      <w:numFmt w:val="decimal"/>
      <w:lvlText w:val="%1."/>
      <w:lvlJc w:val="left"/>
      <w:pPr>
        <w:ind w:left="570" w:hanging="360"/>
      </w:pPr>
      <w:rPr>
        <w:rFonts w:hint="default"/>
      </w:rPr>
    </w:lvl>
    <w:lvl w:ilvl="1" w:tplc="240A0019" w:tentative="1">
      <w:start w:val="1"/>
      <w:numFmt w:val="lowerLetter"/>
      <w:lvlText w:val="%2."/>
      <w:lvlJc w:val="left"/>
      <w:pPr>
        <w:ind w:left="1290" w:hanging="360"/>
      </w:pPr>
    </w:lvl>
    <w:lvl w:ilvl="2" w:tplc="240A001B" w:tentative="1">
      <w:start w:val="1"/>
      <w:numFmt w:val="lowerRoman"/>
      <w:lvlText w:val="%3."/>
      <w:lvlJc w:val="right"/>
      <w:pPr>
        <w:ind w:left="2010" w:hanging="180"/>
      </w:pPr>
    </w:lvl>
    <w:lvl w:ilvl="3" w:tplc="240A000F" w:tentative="1">
      <w:start w:val="1"/>
      <w:numFmt w:val="decimal"/>
      <w:lvlText w:val="%4."/>
      <w:lvlJc w:val="left"/>
      <w:pPr>
        <w:ind w:left="2730" w:hanging="360"/>
      </w:pPr>
    </w:lvl>
    <w:lvl w:ilvl="4" w:tplc="240A0019" w:tentative="1">
      <w:start w:val="1"/>
      <w:numFmt w:val="lowerLetter"/>
      <w:lvlText w:val="%5."/>
      <w:lvlJc w:val="left"/>
      <w:pPr>
        <w:ind w:left="3450" w:hanging="360"/>
      </w:pPr>
    </w:lvl>
    <w:lvl w:ilvl="5" w:tplc="240A001B" w:tentative="1">
      <w:start w:val="1"/>
      <w:numFmt w:val="lowerRoman"/>
      <w:lvlText w:val="%6."/>
      <w:lvlJc w:val="right"/>
      <w:pPr>
        <w:ind w:left="4170" w:hanging="180"/>
      </w:pPr>
    </w:lvl>
    <w:lvl w:ilvl="6" w:tplc="240A000F" w:tentative="1">
      <w:start w:val="1"/>
      <w:numFmt w:val="decimal"/>
      <w:lvlText w:val="%7."/>
      <w:lvlJc w:val="left"/>
      <w:pPr>
        <w:ind w:left="4890" w:hanging="360"/>
      </w:pPr>
    </w:lvl>
    <w:lvl w:ilvl="7" w:tplc="240A0019" w:tentative="1">
      <w:start w:val="1"/>
      <w:numFmt w:val="lowerLetter"/>
      <w:lvlText w:val="%8."/>
      <w:lvlJc w:val="left"/>
      <w:pPr>
        <w:ind w:left="5610" w:hanging="360"/>
      </w:pPr>
    </w:lvl>
    <w:lvl w:ilvl="8" w:tplc="240A001B" w:tentative="1">
      <w:start w:val="1"/>
      <w:numFmt w:val="lowerRoman"/>
      <w:lvlText w:val="%9."/>
      <w:lvlJc w:val="right"/>
      <w:pPr>
        <w:ind w:left="6330" w:hanging="180"/>
      </w:pPr>
    </w:lvl>
  </w:abstractNum>
  <w:abstractNum w:abstractNumId="2" w15:restartNumberingAfterBreak="0">
    <w:nsid w:val="28435C3F"/>
    <w:multiLevelType w:val="hybridMultilevel"/>
    <w:tmpl w:val="90FEE58E"/>
    <w:lvl w:ilvl="0" w:tplc="520CEB62">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8CB4C72"/>
    <w:multiLevelType w:val="multilevel"/>
    <w:tmpl w:val="FF9EDCAC"/>
    <w:lvl w:ilvl="0">
      <w:start w:val="1"/>
      <w:numFmt w:val="lowerRoman"/>
      <w:lvlText w:val="%1)"/>
      <w:lvlJc w:val="left"/>
      <w:pPr>
        <w:ind w:left="1997" w:hanging="720"/>
      </w:pPr>
      <w:rPr>
        <w:b/>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4" w15:restartNumberingAfterBreak="0">
    <w:nsid w:val="4E677B73"/>
    <w:multiLevelType w:val="multilevel"/>
    <w:tmpl w:val="940E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40858"/>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6" w15:restartNumberingAfterBreak="0">
    <w:nsid w:val="5EF81EE9"/>
    <w:multiLevelType w:val="hybridMultilevel"/>
    <w:tmpl w:val="DA2A2F60"/>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7" w15:restartNumberingAfterBreak="0">
    <w:nsid w:val="70FC316F"/>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754E0834"/>
    <w:multiLevelType w:val="hybridMultilevel"/>
    <w:tmpl w:val="E05CA50E"/>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15:restartNumberingAfterBreak="0">
    <w:nsid w:val="776C2E79"/>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8"/>
  </w:num>
  <w:num w:numId="6">
    <w:abstractNumId w:val="6"/>
  </w:num>
  <w:num w:numId="7">
    <w:abstractNumId w:val="7"/>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124B8"/>
    <w:rsid w:val="000179F1"/>
    <w:rsid w:val="0002009E"/>
    <w:rsid w:val="0002764E"/>
    <w:rsid w:val="00034368"/>
    <w:rsid w:val="000347ED"/>
    <w:rsid w:val="000603D3"/>
    <w:rsid w:val="000643FE"/>
    <w:rsid w:val="000674CE"/>
    <w:rsid w:val="00076C38"/>
    <w:rsid w:val="00083C33"/>
    <w:rsid w:val="0009516F"/>
    <w:rsid w:val="000A7951"/>
    <w:rsid w:val="000B7FC7"/>
    <w:rsid w:val="000C07C9"/>
    <w:rsid w:val="000C1779"/>
    <w:rsid w:val="000C51CB"/>
    <w:rsid w:val="000E11C2"/>
    <w:rsid w:val="000E2CB1"/>
    <w:rsid w:val="000E4E9C"/>
    <w:rsid w:val="000F0D59"/>
    <w:rsid w:val="00102396"/>
    <w:rsid w:val="001051B9"/>
    <w:rsid w:val="0010767F"/>
    <w:rsid w:val="00111BA6"/>
    <w:rsid w:val="001176BD"/>
    <w:rsid w:val="00124F86"/>
    <w:rsid w:val="0012607A"/>
    <w:rsid w:val="001412D4"/>
    <w:rsid w:val="00146466"/>
    <w:rsid w:val="0015426D"/>
    <w:rsid w:val="0015777F"/>
    <w:rsid w:val="001645A1"/>
    <w:rsid w:val="00170E01"/>
    <w:rsid w:val="00175521"/>
    <w:rsid w:val="001B11A0"/>
    <w:rsid w:val="001B24AF"/>
    <w:rsid w:val="001B3073"/>
    <w:rsid w:val="001C4B0B"/>
    <w:rsid w:val="001E1FFE"/>
    <w:rsid w:val="001E3F0C"/>
    <w:rsid w:val="001F3415"/>
    <w:rsid w:val="00203BAF"/>
    <w:rsid w:val="00204548"/>
    <w:rsid w:val="002045B8"/>
    <w:rsid w:val="00232EEB"/>
    <w:rsid w:val="002419BE"/>
    <w:rsid w:val="002446B7"/>
    <w:rsid w:val="0025745F"/>
    <w:rsid w:val="00265C75"/>
    <w:rsid w:val="00266F05"/>
    <w:rsid w:val="00281E60"/>
    <w:rsid w:val="00283BF7"/>
    <w:rsid w:val="002960E0"/>
    <w:rsid w:val="00296DD2"/>
    <w:rsid w:val="002B0A6E"/>
    <w:rsid w:val="002B3FA6"/>
    <w:rsid w:val="002B5DE3"/>
    <w:rsid w:val="002C2736"/>
    <w:rsid w:val="002C313D"/>
    <w:rsid w:val="002D36BF"/>
    <w:rsid w:val="002F570D"/>
    <w:rsid w:val="002F603A"/>
    <w:rsid w:val="003048FD"/>
    <w:rsid w:val="00310BD0"/>
    <w:rsid w:val="00316E7C"/>
    <w:rsid w:val="00321E0D"/>
    <w:rsid w:val="003455CB"/>
    <w:rsid w:val="00352BB2"/>
    <w:rsid w:val="003572F2"/>
    <w:rsid w:val="003652A3"/>
    <w:rsid w:val="00370333"/>
    <w:rsid w:val="00371367"/>
    <w:rsid w:val="00374B50"/>
    <w:rsid w:val="003756F8"/>
    <w:rsid w:val="00376461"/>
    <w:rsid w:val="003775E6"/>
    <w:rsid w:val="003831CF"/>
    <w:rsid w:val="003877D7"/>
    <w:rsid w:val="003B2CD7"/>
    <w:rsid w:val="003D37C7"/>
    <w:rsid w:val="003F22E4"/>
    <w:rsid w:val="003F7482"/>
    <w:rsid w:val="00403989"/>
    <w:rsid w:val="004325B6"/>
    <w:rsid w:val="00435772"/>
    <w:rsid w:val="004721F2"/>
    <w:rsid w:val="00472F92"/>
    <w:rsid w:val="0048299A"/>
    <w:rsid w:val="00484D12"/>
    <w:rsid w:val="004937A0"/>
    <w:rsid w:val="004961B6"/>
    <w:rsid w:val="004A329B"/>
    <w:rsid w:val="004A594D"/>
    <w:rsid w:val="004A6139"/>
    <w:rsid w:val="004B48A7"/>
    <w:rsid w:val="004C32FC"/>
    <w:rsid w:val="004C59FD"/>
    <w:rsid w:val="004D48F0"/>
    <w:rsid w:val="004D55BD"/>
    <w:rsid w:val="004E422C"/>
    <w:rsid w:val="004F4257"/>
    <w:rsid w:val="004F49B6"/>
    <w:rsid w:val="004F60B8"/>
    <w:rsid w:val="004F73D2"/>
    <w:rsid w:val="00503E9D"/>
    <w:rsid w:val="00513DF8"/>
    <w:rsid w:val="00522F83"/>
    <w:rsid w:val="005235AD"/>
    <w:rsid w:val="0052444F"/>
    <w:rsid w:val="00534203"/>
    <w:rsid w:val="00535D72"/>
    <w:rsid w:val="00536B96"/>
    <w:rsid w:val="00540083"/>
    <w:rsid w:val="00541008"/>
    <w:rsid w:val="0054647E"/>
    <w:rsid w:val="005517F3"/>
    <w:rsid w:val="00574941"/>
    <w:rsid w:val="00582813"/>
    <w:rsid w:val="0058657B"/>
    <w:rsid w:val="005A3D78"/>
    <w:rsid w:val="005A576B"/>
    <w:rsid w:val="005A5952"/>
    <w:rsid w:val="005B2210"/>
    <w:rsid w:val="005B4EAE"/>
    <w:rsid w:val="005C0843"/>
    <w:rsid w:val="005C0A22"/>
    <w:rsid w:val="005C5BAD"/>
    <w:rsid w:val="005C7D3E"/>
    <w:rsid w:val="005D2F81"/>
    <w:rsid w:val="005D3C35"/>
    <w:rsid w:val="005F3B9E"/>
    <w:rsid w:val="005F5FEC"/>
    <w:rsid w:val="00601F0E"/>
    <w:rsid w:val="00607725"/>
    <w:rsid w:val="006158AE"/>
    <w:rsid w:val="006343BF"/>
    <w:rsid w:val="00637688"/>
    <w:rsid w:val="006417DE"/>
    <w:rsid w:val="00642EF5"/>
    <w:rsid w:val="006438E1"/>
    <w:rsid w:val="00654984"/>
    <w:rsid w:val="00665A9C"/>
    <w:rsid w:val="006724A9"/>
    <w:rsid w:val="0067281A"/>
    <w:rsid w:val="0067455E"/>
    <w:rsid w:val="0067641E"/>
    <w:rsid w:val="0067740C"/>
    <w:rsid w:val="0068080C"/>
    <w:rsid w:val="00682C1C"/>
    <w:rsid w:val="0068369B"/>
    <w:rsid w:val="006915E1"/>
    <w:rsid w:val="0069258E"/>
    <w:rsid w:val="0069360F"/>
    <w:rsid w:val="00696073"/>
    <w:rsid w:val="006B58CF"/>
    <w:rsid w:val="006C244C"/>
    <w:rsid w:val="006C3E27"/>
    <w:rsid w:val="006D23D9"/>
    <w:rsid w:val="006D7439"/>
    <w:rsid w:val="006E0408"/>
    <w:rsid w:val="006F1E48"/>
    <w:rsid w:val="006F2E70"/>
    <w:rsid w:val="006F309E"/>
    <w:rsid w:val="0071209F"/>
    <w:rsid w:val="00730794"/>
    <w:rsid w:val="00736FFD"/>
    <w:rsid w:val="0075240B"/>
    <w:rsid w:val="0077125D"/>
    <w:rsid w:val="00773E0C"/>
    <w:rsid w:val="007A44E4"/>
    <w:rsid w:val="007A618A"/>
    <w:rsid w:val="007B4F50"/>
    <w:rsid w:val="007C74A7"/>
    <w:rsid w:val="007D21A4"/>
    <w:rsid w:val="007D3408"/>
    <w:rsid w:val="007E2712"/>
    <w:rsid w:val="007F0C6E"/>
    <w:rsid w:val="007F1D24"/>
    <w:rsid w:val="00810675"/>
    <w:rsid w:val="00815277"/>
    <w:rsid w:val="00816B7B"/>
    <w:rsid w:val="00834B6E"/>
    <w:rsid w:val="00851377"/>
    <w:rsid w:val="00852190"/>
    <w:rsid w:val="0085794F"/>
    <w:rsid w:val="00863BBB"/>
    <w:rsid w:val="00863D4B"/>
    <w:rsid w:val="0087039C"/>
    <w:rsid w:val="00871444"/>
    <w:rsid w:val="008857A6"/>
    <w:rsid w:val="00896F08"/>
    <w:rsid w:val="008C3F1F"/>
    <w:rsid w:val="008D6682"/>
    <w:rsid w:val="008E061B"/>
    <w:rsid w:val="008F02EB"/>
    <w:rsid w:val="00910DAC"/>
    <w:rsid w:val="00915C0D"/>
    <w:rsid w:val="00927330"/>
    <w:rsid w:val="0092744F"/>
    <w:rsid w:val="00927AE4"/>
    <w:rsid w:val="009304B1"/>
    <w:rsid w:val="00953A9A"/>
    <w:rsid w:val="009544D9"/>
    <w:rsid w:val="0095551B"/>
    <w:rsid w:val="009637DF"/>
    <w:rsid w:val="00963E30"/>
    <w:rsid w:val="009824EF"/>
    <w:rsid w:val="00984F42"/>
    <w:rsid w:val="009932F1"/>
    <w:rsid w:val="00993BB4"/>
    <w:rsid w:val="009A5162"/>
    <w:rsid w:val="009B645A"/>
    <w:rsid w:val="009D5F41"/>
    <w:rsid w:val="009E41A8"/>
    <w:rsid w:val="009F0E10"/>
    <w:rsid w:val="00A01305"/>
    <w:rsid w:val="00A01C1A"/>
    <w:rsid w:val="00A0558D"/>
    <w:rsid w:val="00A11E04"/>
    <w:rsid w:val="00A177FA"/>
    <w:rsid w:val="00A46A7B"/>
    <w:rsid w:val="00A52DC6"/>
    <w:rsid w:val="00A574C3"/>
    <w:rsid w:val="00A83DAE"/>
    <w:rsid w:val="00AA3DC5"/>
    <w:rsid w:val="00AC2BEA"/>
    <w:rsid w:val="00AD02C7"/>
    <w:rsid w:val="00AE120F"/>
    <w:rsid w:val="00AE1255"/>
    <w:rsid w:val="00AE1660"/>
    <w:rsid w:val="00B06E58"/>
    <w:rsid w:val="00B17C11"/>
    <w:rsid w:val="00B2028B"/>
    <w:rsid w:val="00B303DE"/>
    <w:rsid w:val="00B30A0D"/>
    <w:rsid w:val="00B32722"/>
    <w:rsid w:val="00B63D2A"/>
    <w:rsid w:val="00B64D54"/>
    <w:rsid w:val="00B75203"/>
    <w:rsid w:val="00B965E5"/>
    <w:rsid w:val="00BA0A1A"/>
    <w:rsid w:val="00BA4E0B"/>
    <w:rsid w:val="00BB3A4B"/>
    <w:rsid w:val="00BB5149"/>
    <w:rsid w:val="00BD76A5"/>
    <w:rsid w:val="00BE1480"/>
    <w:rsid w:val="00BE5428"/>
    <w:rsid w:val="00BE634C"/>
    <w:rsid w:val="00BF34E3"/>
    <w:rsid w:val="00BF4F92"/>
    <w:rsid w:val="00BF6C85"/>
    <w:rsid w:val="00C00899"/>
    <w:rsid w:val="00C01196"/>
    <w:rsid w:val="00C05986"/>
    <w:rsid w:val="00C05FE9"/>
    <w:rsid w:val="00C114EC"/>
    <w:rsid w:val="00C13EA7"/>
    <w:rsid w:val="00C1685A"/>
    <w:rsid w:val="00C23433"/>
    <w:rsid w:val="00C23F57"/>
    <w:rsid w:val="00C24FC2"/>
    <w:rsid w:val="00C34BD1"/>
    <w:rsid w:val="00C66652"/>
    <w:rsid w:val="00C7069C"/>
    <w:rsid w:val="00C73EE9"/>
    <w:rsid w:val="00C75C7B"/>
    <w:rsid w:val="00C8272B"/>
    <w:rsid w:val="00C96031"/>
    <w:rsid w:val="00C960C4"/>
    <w:rsid w:val="00CA1934"/>
    <w:rsid w:val="00CA4DEE"/>
    <w:rsid w:val="00CC21CA"/>
    <w:rsid w:val="00CC7223"/>
    <w:rsid w:val="00CD421B"/>
    <w:rsid w:val="00CE41FA"/>
    <w:rsid w:val="00CF3981"/>
    <w:rsid w:val="00CF4328"/>
    <w:rsid w:val="00CF672B"/>
    <w:rsid w:val="00D0215B"/>
    <w:rsid w:val="00D02286"/>
    <w:rsid w:val="00D04ABA"/>
    <w:rsid w:val="00D10F3D"/>
    <w:rsid w:val="00D10FDD"/>
    <w:rsid w:val="00D123B8"/>
    <w:rsid w:val="00D23552"/>
    <w:rsid w:val="00D27E9F"/>
    <w:rsid w:val="00D30881"/>
    <w:rsid w:val="00D3392D"/>
    <w:rsid w:val="00D35426"/>
    <w:rsid w:val="00D45EBF"/>
    <w:rsid w:val="00D56956"/>
    <w:rsid w:val="00D756CE"/>
    <w:rsid w:val="00D80A76"/>
    <w:rsid w:val="00D810CB"/>
    <w:rsid w:val="00D8350D"/>
    <w:rsid w:val="00DA3876"/>
    <w:rsid w:val="00DB34C5"/>
    <w:rsid w:val="00DB693E"/>
    <w:rsid w:val="00DC2ED4"/>
    <w:rsid w:val="00DC6A81"/>
    <w:rsid w:val="00DC6DE7"/>
    <w:rsid w:val="00DC7559"/>
    <w:rsid w:val="00DC7DDC"/>
    <w:rsid w:val="00DD654D"/>
    <w:rsid w:val="00DD7587"/>
    <w:rsid w:val="00E15245"/>
    <w:rsid w:val="00E325C3"/>
    <w:rsid w:val="00E359F6"/>
    <w:rsid w:val="00E470B0"/>
    <w:rsid w:val="00E53447"/>
    <w:rsid w:val="00E85BF5"/>
    <w:rsid w:val="00E90030"/>
    <w:rsid w:val="00EA320A"/>
    <w:rsid w:val="00EB2682"/>
    <w:rsid w:val="00EB3EBD"/>
    <w:rsid w:val="00EC34C5"/>
    <w:rsid w:val="00EC58FE"/>
    <w:rsid w:val="00EC63B6"/>
    <w:rsid w:val="00EC7055"/>
    <w:rsid w:val="00ED5628"/>
    <w:rsid w:val="00EE56A4"/>
    <w:rsid w:val="00EE74ED"/>
    <w:rsid w:val="00EE78B1"/>
    <w:rsid w:val="00EF0082"/>
    <w:rsid w:val="00EF39A3"/>
    <w:rsid w:val="00EF7F49"/>
    <w:rsid w:val="00F3324F"/>
    <w:rsid w:val="00F44E71"/>
    <w:rsid w:val="00F464B3"/>
    <w:rsid w:val="00F6249F"/>
    <w:rsid w:val="00F650A3"/>
    <w:rsid w:val="00F77611"/>
    <w:rsid w:val="00F92803"/>
    <w:rsid w:val="00FA24C2"/>
    <w:rsid w:val="00FC46D1"/>
    <w:rsid w:val="00FD6A7E"/>
    <w:rsid w:val="00FD789B"/>
    <w:rsid w:val="00FE3E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iPriority w:val="99"/>
    <w:semiHidden/>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basedOn w:val="Normal"/>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1"/>
    <w:rsid w:val="007A44E4"/>
    <w:rPr>
      <w:rFonts w:ascii="Times New Roman" w:eastAsia="Times New Roman" w:hAnsi="Times New Roman" w:cs="Times New Roman"/>
      <w:b/>
      <w:bCs/>
      <w:sz w:val="24"/>
      <w:szCs w:val="24"/>
      <w:u w:val="single" w:color="00000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B6AD1-66F9-4D6E-A812-7C19DDDE2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680</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Javier</cp:lastModifiedBy>
  <cp:revision>11</cp:revision>
  <cp:lastPrinted>2020-04-22T18:33:00Z</cp:lastPrinted>
  <dcterms:created xsi:type="dcterms:W3CDTF">2020-11-17T21:39:00Z</dcterms:created>
  <dcterms:modified xsi:type="dcterms:W3CDTF">2020-12-14T18:27:00Z</dcterms:modified>
</cp:coreProperties>
</file>