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39DB0" w14:textId="3595416E" w:rsidR="003572F2" w:rsidRDefault="003572F2" w:rsidP="00266F05">
      <w:pPr>
        <w:spacing w:before="45" w:after="15" w:line="276" w:lineRule="auto"/>
        <w:ind w:right="30"/>
        <w:jc w:val="both"/>
        <w:rPr>
          <w:rFonts w:ascii="Times New Roman" w:hAnsi="Times New Roman" w:cs="Times New Roman"/>
          <w:b/>
          <w:sz w:val="24"/>
          <w:szCs w:val="24"/>
        </w:rPr>
      </w:pPr>
    </w:p>
    <w:p w14:paraId="661FBE41" w14:textId="41C38D9C" w:rsidR="001F1366" w:rsidRPr="00971E04" w:rsidRDefault="001C443E" w:rsidP="00B61505">
      <w:pPr>
        <w:spacing w:after="0" w:line="240" w:lineRule="auto"/>
        <w:jc w:val="center"/>
        <w:rPr>
          <w:rFonts w:ascii="Century Gothic" w:hAnsi="Century Gothic"/>
          <w:b/>
          <w:i/>
          <w:sz w:val="21"/>
          <w:szCs w:val="21"/>
        </w:rPr>
      </w:pPr>
      <w:r w:rsidRPr="003729B1">
        <w:rPr>
          <w:rFonts w:ascii="Century Gothic" w:eastAsia="Arial" w:hAnsi="Century Gothic" w:cs="Arial"/>
          <w:b/>
          <w:lang w:val="es-ES_tradnl"/>
        </w:rPr>
        <w:t>TEXTO APROBADO EN LA COMISIÓN PRIMERA DE LA HONORABLE CAMARA DE REPRESENTANTES EN PRIMER DEBATE</w:t>
      </w:r>
      <w:r w:rsidR="00B61505">
        <w:rPr>
          <w:rFonts w:ascii="Century Gothic" w:eastAsia="Arial" w:hAnsi="Century Gothic" w:cs="Arial"/>
          <w:b/>
          <w:lang w:val="es-ES_tradnl"/>
        </w:rPr>
        <w:t xml:space="preserve"> </w:t>
      </w:r>
      <w:r w:rsidRPr="003729B1">
        <w:rPr>
          <w:rFonts w:ascii="Century Gothic" w:hAnsi="Century Gothic" w:cs="Arial"/>
          <w:b/>
        </w:rPr>
        <w:t>AL PROYECTO DE LEY ESTATUTARIA N</w:t>
      </w:r>
      <w:r w:rsidR="00A63F97" w:rsidRPr="003729B1">
        <w:rPr>
          <w:rFonts w:ascii="Century Gothic" w:hAnsi="Century Gothic" w:cs="Arial"/>
          <w:b/>
        </w:rPr>
        <w:t>o</w:t>
      </w:r>
      <w:r w:rsidRPr="003729B1">
        <w:rPr>
          <w:rFonts w:ascii="Century Gothic" w:hAnsi="Century Gothic" w:cs="Arial"/>
          <w:b/>
        </w:rPr>
        <w:t xml:space="preserve">. </w:t>
      </w:r>
      <w:r w:rsidR="001F1366" w:rsidRPr="003729B1">
        <w:rPr>
          <w:rFonts w:ascii="Century Gothic" w:eastAsia="Arial Unicode MS" w:hAnsi="Century Gothic"/>
          <w:b/>
          <w:color w:val="000000"/>
        </w:rPr>
        <w:t>042 de 2020</w:t>
      </w:r>
      <w:r w:rsidR="00B61505">
        <w:rPr>
          <w:rFonts w:ascii="Century Gothic" w:eastAsia="Arial Unicode MS" w:hAnsi="Century Gothic"/>
          <w:b/>
          <w:color w:val="000000"/>
        </w:rPr>
        <w:t xml:space="preserve"> CAMARA </w:t>
      </w:r>
      <w:r w:rsidR="00971E04" w:rsidRPr="00971E04">
        <w:rPr>
          <w:rFonts w:ascii="Century Gothic" w:hAnsi="Century Gothic"/>
          <w:b/>
          <w:i/>
          <w:sz w:val="21"/>
          <w:szCs w:val="21"/>
        </w:rPr>
        <w:t>“POR MEDIO DE LA CUAL SE MODIFICAN LOS ARTÍCULOS 17 Y 18 DE LA LEY 1475 DE 2011”</w:t>
      </w:r>
    </w:p>
    <w:p w14:paraId="6AD2ADEF" w14:textId="77777777" w:rsidR="001F1366" w:rsidRPr="00971E04" w:rsidRDefault="001F1366" w:rsidP="001F1366">
      <w:pPr>
        <w:pStyle w:val="Pa32"/>
        <w:spacing w:before="40" w:after="40"/>
        <w:ind w:right="40"/>
        <w:rPr>
          <w:rStyle w:val="A3"/>
          <w:rFonts w:ascii="Century Gothic" w:hAnsi="Century Gothic"/>
          <w:i/>
        </w:rPr>
      </w:pPr>
    </w:p>
    <w:p w14:paraId="2F67A05D" w14:textId="4A3C362B" w:rsidR="001F1366" w:rsidRPr="00971E04" w:rsidRDefault="00971E04" w:rsidP="001F1366">
      <w:pPr>
        <w:pStyle w:val="Pa32"/>
        <w:spacing w:before="40" w:after="40" w:line="276" w:lineRule="auto"/>
        <w:ind w:right="40"/>
        <w:jc w:val="center"/>
        <w:outlineLvl w:val="0"/>
        <w:rPr>
          <w:rStyle w:val="A3"/>
          <w:rFonts w:ascii="Century Gothic" w:hAnsi="Century Gothic"/>
          <w:b/>
          <w:iCs/>
          <w:sz w:val="21"/>
          <w:szCs w:val="21"/>
        </w:rPr>
      </w:pPr>
      <w:r w:rsidRPr="00971E04">
        <w:rPr>
          <w:rStyle w:val="A3"/>
          <w:rFonts w:ascii="Century Gothic" w:hAnsi="Century Gothic"/>
          <w:b/>
          <w:iCs/>
          <w:sz w:val="21"/>
          <w:szCs w:val="21"/>
        </w:rPr>
        <w:t>EL CONGRESO DE COLOMBIA</w:t>
      </w:r>
    </w:p>
    <w:p w14:paraId="357FD10C" w14:textId="77777777" w:rsidR="001F1366" w:rsidRPr="00971E04" w:rsidRDefault="001F1366" w:rsidP="001F1366">
      <w:pPr>
        <w:spacing w:line="276" w:lineRule="auto"/>
        <w:rPr>
          <w:i/>
          <w:sz w:val="21"/>
          <w:szCs w:val="21"/>
        </w:rPr>
      </w:pPr>
    </w:p>
    <w:p w14:paraId="03839B38" w14:textId="77777777" w:rsidR="001F1366" w:rsidRPr="006707BF" w:rsidRDefault="001F1366" w:rsidP="001F1366">
      <w:pPr>
        <w:pStyle w:val="Pa32"/>
        <w:spacing w:before="40" w:after="40" w:line="276" w:lineRule="auto"/>
        <w:ind w:right="40"/>
        <w:jc w:val="center"/>
        <w:outlineLvl w:val="0"/>
        <w:rPr>
          <w:rStyle w:val="A3"/>
          <w:rFonts w:ascii="Century Gothic" w:hAnsi="Century Gothic"/>
          <w:b/>
          <w:sz w:val="21"/>
          <w:szCs w:val="21"/>
        </w:rPr>
      </w:pPr>
      <w:r w:rsidRPr="006707BF">
        <w:rPr>
          <w:rStyle w:val="A3"/>
          <w:rFonts w:ascii="Century Gothic" w:hAnsi="Century Gothic"/>
          <w:b/>
          <w:sz w:val="21"/>
          <w:szCs w:val="21"/>
        </w:rPr>
        <w:t>DECRETA:</w:t>
      </w:r>
    </w:p>
    <w:p w14:paraId="6AE66F5C" w14:textId="77777777" w:rsidR="001F1366" w:rsidRPr="006707BF" w:rsidRDefault="001F1366" w:rsidP="001F1366">
      <w:pPr>
        <w:spacing w:line="276" w:lineRule="auto"/>
        <w:rPr>
          <w:sz w:val="21"/>
          <w:szCs w:val="21"/>
        </w:rPr>
      </w:pPr>
    </w:p>
    <w:p w14:paraId="254B0938" w14:textId="77777777" w:rsidR="001F1366" w:rsidRPr="006707BF" w:rsidRDefault="001F1366" w:rsidP="001F1366">
      <w:pPr>
        <w:pStyle w:val="Pa34"/>
        <w:spacing w:before="40" w:after="40" w:line="276" w:lineRule="auto"/>
        <w:ind w:right="40"/>
        <w:jc w:val="both"/>
        <w:rPr>
          <w:rFonts w:ascii="Century Gothic" w:hAnsi="Century Gothic"/>
          <w:color w:val="080808"/>
          <w:sz w:val="21"/>
          <w:szCs w:val="21"/>
        </w:rPr>
      </w:pPr>
      <w:r w:rsidRPr="006707BF">
        <w:rPr>
          <w:rStyle w:val="A3"/>
          <w:rFonts w:ascii="Century Gothic" w:hAnsi="Century Gothic"/>
          <w:b/>
          <w:sz w:val="21"/>
          <w:szCs w:val="21"/>
        </w:rPr>
        <w:t>Artículo 1</w:t>
      </w:r>
      <w:r w:rsidRPr="006707BF">
        <w:rPr>
          <w:rFonts w:ascii="Century Gothic" w:hAnsi="Century Gothic"/>
          <w:b/>
          <w:color w:val="080808"/>
          <w:sz w:val="21"/>
          <w:szCs w:val="21"/>
        </w:rPr>
        <w:t>°</w:t>
      </w:r>
      <w:r w:rsidRPr="006707BF">
        <w:rPr>
          <w:rStyle w:val="A3"/>
          <w:rFonts w:ascii="Century Gothic" w:hAnsi="Century Gothic"/>
          <w:b/>
          <w:sz w:val="21"/>
          <w:szCs w:val="21"/>
        </w:rPr>
        <w:t xml:space="preserve">. </w:t>
      </w:r>
      <w:r w:rsidRPr="006707BF">
        <w:rPr>
          <w:rStyle w:val="A3"/>
          <w:rFonts w:ascii="Century Gothic" w:hAnsi="Century Gothic"/>
          <w:sz w:val="21"/>
          <w:szCs w:val="21"/>
        </w:rPr>
        <w:t xml:space="preserve">Los numerales 3° y 6° del artículo 17 de la Ley 1475 de 2011 quedarán así: </w:t>
      </w:r>
    </w:p>
    <w:p w14:paraId="4AAD794B" w14:textId="77777777" w:rsidR="001F1366" w:rsidRPr="006707BF" w:rsidRDefault="001F1366" w:rsidP="001F1366">
      <w:pPr>
        <w:spacing w:line="276" w:lineRule="auto"/>
        <w:rPr>
          <w:rFonts w:ascii="Century Gothic" w:hAnsi="Century Gothic"/>
          <w:sz w:val="21"/>
          <w:szCs w:val="21"/>
        </w:rPr>
      </w:pPr>
    </w:p>
    <w:p w14:paraId="7C1304D0" w14:textId="77777777" w:rsidR="001F1366" w:rsidRPr="006707BF" w:rsidRDefault="001F1366" w:rsidP="001F1366">
      <w:pPr>
        <w:spacing w:line="276" w:lineRule="auto"/>
        <w:jc w:val="both"/>
        <w:rPr>
          <w:rFonts w:ascii="Century Gothic" w:hAnsi="Century Gothic" w:cs="Arial"/>
          <w:sz w:val="21"/>
          <w:szCs w:val="21"/>
          <w:lang w:eastAsia="es-ES"/>
        </w:rPr>
      </w:pPr>
      <w:bookmarkStart w:id="0" w:name="17"/>
      <w:r w:rsidRPr="006707BF">
        <w:rPr>
          <w:rFonts w:ascii="Century Gothic" w:hAnsi="Century Gothic" w:cs="Arial"/>
          <w:b/>
          <w:bCs/>
          <w:sz w:val="21"/>
          <w:szCs w:val="21"/>
          <w:lang w:eastAsia="es-ES"/>
        </w:rPr>
        <w:t>Artículo 17. De la Financiación Estatal de los Partidos y Movimientos políticos.</w:t>
      </w:r>
      <w:bookmarkEnd w:id="0"/>
      <w:r w:rsidRPr="006707BF">
        <w:rPr>
          <w:rFonts w:ascii="Century Gothic" w:hAnsi="Century Gothic" w:cs="Arial"/>
          <w:sz w:val="21"/>
          <w:szCs w:val="21"/>
          <w:lang w:eastAsia="es-ES"/>
        </w:rPr>
        <w:t> El Estado concurrirá a la financiación del funcionamiento permanente de los partidos y movimientos políticos con personería jurídica, por conducto del Fondo Nacional de Financiación Política, de conformidad con las siguientes reglas de distribución de la correspondiente apropiación presupuestal:</w:t>
      </w:r>
    </w:p>
    <w:p w14:paraId="00ACA636" w14:textId="77777777" w:rsidR="001F1366" w:rsidRPr="006707BF" w:rsidRDefault="001F1366" w:rsidP="001F1366">
      <w:pPr>
        <w:jc w:val="both"/>
        <w:rPr>
          <w:rFonts w:ascii="Century Gothic" w:hAnsi="Century Gothic" w:cs="Arial"/>
          <w:sz w:val="21"/>
          <w:szCs w:val="21"/>
          <w:lang w:eastAsia="es-ES"/>
        </w:rPr>
      </w:pPr>
    </w:p>
    <w:p w14:paraId="7A7128D3" w14:textId="77777777" w:rsidR="001F1366" w:rsidRPr="006707BF" w:rsidRDefault="001F1366" w:rsidP="001F1366">
      <w:pPr>
        <w:spacing w:line="276" w:lineRule="auto"/>
        <w:jc w:val="both"/>
        <w:rPr>
          <w:rFonts w:ascii="Century Gothic" w:hAnsi="Century Gothic" w:cs="Arial"/>
          <w:sz w:val="21"/>
          <w:szCs w:val="21"/>
          <w:lang w:eastAsia="es-ES"/>
        </w:rPr>
      </w:pPr>
      <w:r w:rsidRPr="006707BF">
        <w:rPr>
          <w:rFonts w:ascii="Century Gothic" w:hAnsi="Century Gothic" w:cs="Arial"/>
          <w:sz w:val="21"/>
          <w:szCs w:val="21"/>
          <w:lang w:eastAsia="es-ES"/>
        </w:rPr>
        <w:t>3. El treinta y cinco por ciento (35%) se distribuirá por partes iguales entre todos los partidos o movimientos en proporción al número de curules obtenidas en la última elección del Congreso de la República.</w:t>
      </w:r>
    </w:p>
    <w:p w14:paraId="6238243B" w14:textId="77777777" w:rsidR="001F1366" w:rsidRPr="006707BF" w:rsidRDefault="001F1366" w:rsidP="001F1366">
      <w:pPr>
        <w:jc w:val="both"/>
        <w:rPr>
          <w:rFonts w:ascii="Century Gothic" w:hAnsi="Century Gothic" w:cs="Arial"/>
          <w:sz w:val="21"/>
          <w:szCs w:val="21"/>
          <w:lang w:eastAsia="es-ES"/>
        </w:rPr>
      </w:pPr>
    </w:p>
    <w:p w14:paraId="1ED2E14C" w14:textId="4437975E" w:rsidR="001F1366" w:rsidRPr="006707BF" w:rsidRDefault="001F1366" w:rsidP="001F1366">
      <w:pPr>
        <w:spacing w:line="276" w:lineRule="auto"/>
        <w:jc w:val="both"/>
        <w:rPr>
          <w:rFonts w:ascii="Century Gothic" w:hAnsi="Century Gothic"/>
          <w:sz w:val="21"/>
          <w:szCs w:val="21"/>
          <w:lang w:eastAsia="es-ES"/>
        </w:rPr>
      </w:pPr>
      <w:r w:rsidRPr="006707BF">
        <w:rPr>
          <w:rFonts w:ascii="Century Gothic" w:hAnsi="Century Gothic" w:cs="Arial"/>
          <w:sz w:val="21"/>
          <w:szCs w:val="21"/>
          <w:lang w:eastAsia="es-ES"/>
        </w:rPr>
        <w:t xml:space="preserve">6. El 10%, se distribuirá </w:t>
      </w:r>
      <w:r w:rsidR="00B86149">
        <w:rPr>
          <w:rFonts w:ascii="Century Gothic" w:hAnsi="Century Gothic" w:cs="Arial"/>
          <w:sz w:val="21"/>
          <w:szCs w:val="21"/>
          <w:lang w:eastAsia="es-ES"/>
        </w:rPr>
        <w:t xml:space="preserve">entre </w:t>
      </w:r>
      <w:r w:rsidRPr="006707BF">
        <w:rPr>
          <w:rFonts w:ascii="Century Gothic" w:hAnsi="Century Gothic" w:cs="Arial"/>
          <w:sz w:val="21"/>
          <w:szCs w:val="21"/>
          <w:lang w:eastAsia="es-ES"/>
        </w:rPr>
        <w:t xml:space="preserve">todos los partidos o movimientos políticos en proporción al </w:t>
      </w:r>
      <w:r w:rsidR="00B86149">
        <w:rPr>
          <w:rFonts w:ascii="Century Gothic" w:hAnsi="Century Gothic" w:cs="Arial"/>
          <w:sz w:val="21"/>
          <w:szCs w:val="21"/>
          <w:lang w:eastAsia="es-ES"/>
        </w:rPr>
        <w:t>porcentaje</w:t>
      </w:r>
      <w:r w:rsidRPr="006707BF">
        <w:rPr>
          <w:rFonts w:ascii="Century Gothic" w:hAnsi="Century Gothic" w:cs="Arial"/>
          <w:sz w:val="21"/>
          <w:szCs w:val="21"/>
          <w:lang w:eastAsia="es-ES"/>
        </w:rPr>
        <w:t xml:space="preserve"> de mujeres </w:t>
      </w:r>
      <w:r w:rsidR="00B86149">
        <w:rPr>
          <w:rFonts w:ascii="Century Gothic" w:hAnsi="Century Gothic" w:cs="Arial"/>
          <w:sz w:val="21"/>
          <w:szCs w:val="21"/>
          <w:lang w:eastAsia="es-ES"/>
        </w:rPr>
        <w:t>respecto de su bancada en cada</w:t>
      </w:r>
      <w:r>
        <w:rPr>
          <w:rFonts w:ascii="Century Gothic" w:hAnsi="Century Gothic" w:cs="Arial"/>
          <w:sz w:val="21"/>
          <w:szCs w:val="21"/>
          <w:lang w:eastAsia="es-ES"/>
        </w:rPr>
        <w:t xml:space="preserve"> corporaci</w:t>
      </w:r>
      <w:r w:rsidR="00B86149">
        <w:rPr>
          <w:rFonts w:ascii="Century Gothic" w:hAnsi="Century Gothic" w:cs="Arial"/>
          <w:sz w:val="21"/>
          <w:szCs w:val="21"/>
          <w:lang w:eastAsia="es-ES"/>
        </w:rPr>
        <w:t>ón</w:t>
      </w:r>
      <w:r>
        <w:rPr>
          <w:rFonts w:ascii="Century Gothic" w:hAnsi="Century Gothic" w:cs="Arial"/>
          <w:sz w:val="21"/>
          <w:szCs w:val="21"/>
          <w:lang w:eastAsia="es-ES"/>
        </w:rPr>
        <w:t xml:space="preserve"> pública.</w:t>
      </w:r>
    </w:p>
    <w:p w14:paraId="1B19EFBC" w14:textId="77777777" w:rsidR="001F1366" w:rsidRPr="006707BF" w:rsidRDefault="001F1366" w:rsidP="001F1366">
      <w:pPr>
        <w:rPr>
          <w:rFonts w:ascii="Century Gothic" w:hAnsi="Century Gothic"/>
          <w:sz w:val="21"/>
          <w:szCs w:val="21"/>
        </w:rPr>
      </w:pPr>
    </w:p>
    <w:p w14:paraId="4D0ED1F1" w14:textId="77777777" w:rsidR="001F1366" w:rsidRPr="006707BF" w:rsidRDefault="001F1366" w:rsidP="001F1366">
      <w:pPr>
        <w:pStyle w:val="Pa34"/>
        <w:spacing w:before="40" w:after="40" w:line="276" w:lineRule="auto"/>
        <w:ind w:right="40"/>
        <w:jc w:val="both"/>
        <w:rPr>
          <w:rStyle w:val="A3"/>
          <w:rFonts w:ascii="Century Gothic" w:hAnsi="Century Gothic"/>
          <w:sz w:val="21"/>
          <w:szCs w:val="21"/>
        </w:rPr>
      </w:pPr>
      <w:r w:rsidRPr="006707BF">
        <w:rPr>
          <w:rStyle w:val="A3"/>
          <w:rFonts w:ascii="Century Gothic" w:hAnsi="Century Gothic"/>
          <w:b/>
          <w:sz w:val="21"/>
          <w:szCs w:val="21"/>
        </w:rPr>
        <w:t>Artículo 2</w:t>
      </w:r>
      <w:r w:rsidRPr="006707BF">
        <w:rPr>
          <w:rFonts w:ascii="Century Gothic" w:hAnsi="Century Gothic"/>
          <w:b/>
          <w:color w:val="080808"/>
          <w:sz w:val="21"/>
          <w:szCs w:val="21"/>
        </w:rPr>
        <w:t>°</w:t>
      </w:r>
      <w:r w:rsidRPr="006707BF">
        <w:rPr>
          <w:rStyle w:val="A3"/>
          <w:rFonts w:ascii="Century Gothic" w:hAnsi="Century Gothic"/>
          <w:b/>
          <w:sz w:val="21"/>
          <w:szCs w:val="21"/>
        </w:rPr>
        <w:t>.</w:t>
      </w:r>
      <w:r w:rsidRPr="006707BF">
        <w:rPr>
          <w:rStyle w:val="A3"/>
          <w:rFonts w:ascii="Century Gothic" w:hAnsi="Century Gothic"/>
          <w:sz w:val="21"/>
          <w:szCs w:val="21"/>
        </w:rPr>
        <w:t xml:space="preserve"> El artículo 18 de la Ley 1475 de 2011 quedará así: </w:t>
      </w:r>
    </w:p>
    <w:p w14:paraId="4C98F1CD" w14:textId="77777777" w:rsidR="001F1366" w:rsidRPr="006707BF" w:rsidRDefault="001F1366" w:rsidP="001F1366">
      <w:pPr>
        <w:rPr>
          <w:sz w:val="21"/>
          <w:szCs w:val="21"/>
        </w:rPr>
      </w:pPr>
    </w:p>
    <w:p w14:paraId="22812ADA" w14:textId="77777777" w:rsidR="001F1366" w:rsidRPr="006707BF" w:rsidRDefault="001F1366" w:rsidP="001F1366">
      <w:pPr>
        <w:pStyle w:val="Pa34"/>
        <w:spacing w:before="40" w:after="40" w:line="276" w:lineRule="auto"/>
        <w:ind w:right="40"/>
        <w:jc w:val="both"/>
        <w:rPr>
          <w:rStyle w:val="A3"/>
          <w:rFonts w:ascii="Century Gothic" w:hAnsi="Century Gothic"/>
          <w:sz w:val="21"/>
          <w:szCs w:val="21"/>
        </w:rPr>
      </w:pPr>
      <w:r w:rsidRPr="006707BF">
        <w:rPr>
          <w:rStyle w:val="A3"/>
          <w:rFonts w:ascii="Century Gothic" w:hAnsi="Century Gothic"/>
          <w:b/>
          <w:bCs/>
          <w:sz w:val="21"/>
          <w:szCs w:val="21"/>
        </w:rPr>
        <w:t xml:space="preserve">Artículo 18. </w:t>
      </w:r>
      <w:r w:rsidRPr="006707BF">
        <w:rPr>
          <w:rStyle w:val="A3"/>
          <w:rFonts w:ascii="Century Gothic" w:hAnsi="Century Gothic"/>
          <w:b/>
          <w:bCs/>
          <w:iCs/>
          <w:sz w:val="21"/>
          <w:szCs w:val="21"/>
        </w:rPr>
        <w:t>Destinación de los recursos.</w:t>
      </w:r>
      <w:r w:rsidRPr="006707BF">
        <w:rPr>
          <w:rStyle w:val="A3"/>
          <w:rFonts w:ascii="Century Gothic" w:hAnsi="Century Gothic"/>
          <w:b/>
          <w:bCs/>
          <w:sz w:val="21"/>
          <w:szCs w:val="21"/>
        </w:rPr>
        <w:t xml:space="preserve"> </w:t>
      </w:r>
      <w:r w:rsidRPr="006707BF">
        <w:rPr>
          <w:rStyle w:val="A3"/>
          <w:rFonts w:ascii="Century Gothic" w:hAnsi="Century Gothic"/>
          <w:sz w:val="21"/>
          <w:szCs w:val="21"/>
        </w:rPr>
        <w:t xml:space="preserve">Los recursos provenientes de la financiación estatal se destinarán a financiar las actividades que realicen para el cumplimiento de sus fines y el logro de sus propósitos y, en particular, para las siguientes finalidades, de conformidad con sus planes, programas y proyectos: </w:t>
      </w:r>
    </w:p>
    <w:p w14:paraId="5055BDD1" w14:textId="77777777" w:rsidR="001F1366" w:rsidRPr="006707BF" w:rsidRDefault="001F1366" w:rsidP="001F1366">
      <w:pPr>
        <w:rPr>
          <w:sz w:val="21"/>
          <w:szCs w:val="21"/>
        </w:rPr>
      </w:pPr>
    </w:p>
    <w:p w14:paraId="045FE5DA" w14:textId="77777777" w:rsidR="001F1366" w:rsidRPr="006707BF" w:rsidRDefault="001F1366" w:rsidP="001F1366">
      <w:pPr>
        <w:pStyle w:val="Pa35"/>
        <w:spacing w:before="40" w:after="40" w:line="276" w:lineRule="auto"/>
        <w:jc w:val="both"/>
        <w:rPr>
          <w:rFonts w:ascii="Century Gothic" w:hAnsi="Century Gothic"/>
          <w:color w:val="080808"/>
          <w:sz w:val="21"/>
          <w:szCs w:val="21"/>
        </w:rPr>
      </w:pPr>
      <w:r w:rsidRPr="006707BF">
        <w:rPr>
          <w:rFonts w:ascii="Century Gothic" w:hAnsi="Century Gothic"/>
          <w:color w:val="080808"/>
          <w:sz w:val="21"/>
          <w:szCs w:val="21"/>
        </w:rPr>
        <w:t>1. Para el funcionamiento de sus estructuras re</w:t>
      </w:r>
      <w:r w:rsidRPr="006707BF">
        <w:rPr>
          <w:rFonts w:ascii="Century Gothic" w:hAnsi="Century Gothic"/>
          <w:color w:val="080808"/>
          <w:sz w:val="21"/>
          <w:szCs w:val="21"/>
        </w:rPr>
        <w:softHyphen/>
        <w:t xml:space="preserve">gionales, locales y sectoriales. </w:t>
      </w:r>
    </w:p>
    <w:p w14:paraId="6E019763" w14:textId="77777777" w:rsidR="001F1366" w:rsidRPr="006707BF" w:rsidRDefault="001F1366" w:rsidP="001F1366">
      <w:pPr>
        <w:pStyle w:val="Pa35"/>
        <w:spacing w:before="40" w:after="40" w:line="276" w:lineRule="auto"/>
        <w:jc w:val="both"/>
        <w:rPr>
          <w:rFonts w:ascii="Century Gothic" w:hAnsi="Century Gothic"/>
          <w:color w:val="080808"/>
          <w:sz w:val="21"/>
          <w:szCs w:val="21"/>
        </w:rPr>
      </w:pPr>
      <w:r w:rsidRPr="006707BF">
        <w:rPr>
          <w:rFonts w:ascii="Century Gothic" w:hAnsi="Century Gothic"/>
          <w:color w:val="080808"/>
          <w:sz w:val="21"/>
          <w:szCs w:val="21"/>
        </w:rPr>
        <w:t>2. Para la inclusión efectiva de mujeres, jóve</w:t>
      </w:r>
      <w:r w:rsidRPr="006707BF">
        <w:rPr>
          <w:rFonts w:ascii="Century Gothic" w:hAnsi="Century Gothic"/>
          <w:color w:val="080808"/>
          <w:sz w:val="21"/>
          <w:szCs w:val="21"/>
        </w:rPr>
        <w:softHyphen/>
        <w:t xml:space="preserve">nes y minorías étnicas en el proceso político. </w:t>
      </w:r>
    </w:p>
    <w:p w14:paraId="4E199DD6" w14:textId="77777777" w:rsidR="001F1366" w:rsidRPr="006707BF" w:rsidRDefault="001F1366" w:rsidP="001F1366">
      <w:pPr>
        <w:tabs>
          <w:tab w:val="left" w:pos="467"/>
        </w:tabs>
        <w:spacing w:line="276" w:lineRule="auto"/>
        <w:jc w:val="both"/>
        <w:rPr>
          <w:rFonts w:ascii="Century Gothic" w:hAnsi="Century Gothic"/>
          <w:color w:val="080808"/>
          <w:sz w:val="21"/>
          <w:szCs w:val="21"/>
        </w:rPr>
      </w:pPr>
      <w:r w:rsidRPr="006707BF">
        <w:rPr>
          <w:rFonts w:ascii="Century Gothic" w:hAnsi="Century Gothic"/>
          <w:color w:val="080808"/>
          <w:sz w:val="21"/>
          <w:szCs w:val="21"/>
        </w:rPr>
        <w:lastRenderedPageBreak/>
        <w:t>3. Para el funcionamiento de los centros y fundaciones de estudio, investigación y capacitación.</w:t>
      </w:r>
    </w:p>
    <w:p w14:paraId="47C8F1BC" w14:textId="77777777" w:rsidR="001F1366" w:rsidRPr="006707BF" w:rsidRDefault="001F1366" w:rsidP="001F1366">
      <w:pPr>
        <w:tabs>
          <w:tab w:val="left" w:pos="467"/>
        </w:tabs>
        <w:spacing w:line="276" w:lineRule="auto"/>
        <w:jc w:val="both"/>
        <w:rPr>
          <w:rFonts w:ascii="Century Gothic" w:hAnsi="Century Gothic"/>
          <w:color w:val="080808"/>
          <w:sz w:val="21"/>
          <w:szCs w:val="21"/>
        </w:rPr>
      </w:pPr>
      <w:r w:rsidRPr="006707BF">
        <w:rPr>
          <w:rFonts w:ascii="Century Gothic" w:hAnsi="Century Gothic"/>
          <w:color w:val="080808"/>
          <w:sz w:val="21"/>
          <w:szCs w:val="21"/>
        </w:rPr>
        <w:t>4. Para dar apoyo y asistencia a sus bancadas.</w:t>
      </w:r>
    </w:p>
    <w:p w14:paraId="02EE8EB8" w14:textId="77777777" w:rsidR="001F1366" w:rsidRPr="006707BF" w:rsidRDefault="001F1366" w:rsidP="001F1366">
      <w:pPr>
        <w:tabs>
          <w:tab w:val="left" w:pos="467"/>
        </w:tabs>
        <w:spacing w:line="276" w:lineRule="auto"/>
        <w:jc w:val="both"/>
        <w:rPr>
          <w:rFonts w:ascii="Century Gothic" w:hAnsi="Century Gothic"/>
          <w:color w:val="080808"/>
          <w:sz w:val="21"/>
          <w:szCs w:val="21"/>
        </w:rPr>
      </w:pPr>
      <w:r w:rsidRPr="006707BF">
        <w:rPr>
          <w:rFonts w:ascii="Century Gothic" w:hAnsi="Century Gothic"/>
          <w:color w:val="080808"/>
          <w:sz w:val="21"/>
          <w:szCs w:val="21"/>
        </w:rPr>
        <w:t>5. Para cursos de formación y capacitación política y electoral.</w:t>
      </w:r>
    </w:p>
    <w:p w14:paraId="14E5DF05" w14:textId="77777777" w:rsidR="001F1366" w:rsidRPr="006707BF" w:rsidRDefault="001F1366" w:rsidP="001F1366">
      <w:pPr>
        <w:tabs>
          <w:tab w:val="left" w:pos="467"/>
        </w:tabs>
        <w:spacing w:line="276" w:lineRule="auto"/>
        <w:jc w:val="both"/>
        <w:rPr>
          <w:rFonts w:ascii="Century Gothic" w:hAnsi="Century Gothic"/>
          <w:color w:val="080808"/>
          <w:sz w:val="21"/>
          <w:szCs w:val="21"/>
        </w:rPr>
      </w:pPr>
      <w:r w:rsidRPr="006707BF">
        <w:rPr>
          <w:rFonts w:ascii="Century Gothic" w:hAnsi="Century Gothic"/>
          <w:color w:val="080808"/>
          <w:sz w:val="21"/>
          <w:szCs w:val="21"/>
        </w:rPr>
        <w:t>6. Para la divulgación de sus programas y propuestas políticas.</w:t>
      </w:r>
    </w:p>
    <w:p w14:paraId="51A982CF" w14:textId="77777777" w:rsidR="001F1366" w:rsidRPr="006707BF" w:rsidRDefault="001F1366" w:rsidP="001F1366">
      <w:pPr>
        <w:tabs>
          <w:tab w:val="left" w:pos="467"/>
        </w:tabs>
        <w:spacing w:line="276" w:lineRule="auto"/>
        <w:jc w:val="both"/>
        <w:rPr>
          <w:rFonts w:ascii="Century Gothic" w:hAnsi="Century Gothic"/>
          <w:color w:val="080808"/>
          <w:sz w:val="21"/>
          <w:szCs w:val="21"/>
        </w:rPr>
      </w:pPr>
      <w:r w:rsidRPr="006707BF">
        <w:rPr>
          <w:rFonts w:ascii="Century Gothic" w:hAnsi="Century Gothic"/>
          <w:color w:val="080808"/>
          <w:sz w:val="21"/>
          <w:szCs w:val="21"/>
        </w:rPr>
        <w:t>7. Para el ejercicio de mecanismos de democracia interna previstos en sus estatutos.</w:t>
      </w:r>
    </w:p>
    <w:p w14:paraId="6F0C0E52" w14:textId="77777777" w:rsidR="001F1366" w:rsidRDefault="001F1366" w:rsidP="001F1366">
      <w:pPr>
        <w:tabs>
          <w:tab w:val="left" w:pos="467"/>
        </w:tabs>
        <w:spacing w:line="276" w:lineRule="auto"/>
        <w:jc w:val="both"/>
        <w:rPr>
          <w:rFonts w:ascii="Century Gothic" w:hAnsi="Century Gothic"/>
          <w:color w:val="080808"/>
          <w:sz w:val="21"/>
          <w:szCs w:val="21"/>
        </w:rPr>
      </w:pPr>
    </w:p>
    <w:p w14:paraId="3C8E58CC" w14:textId="77777777" w:rsidR="001F1366" w:rsidRPr="006707BF" w:rsidRDefault="001F1366" w:rsidP="001F1366">
      <w:pPr>
        <w:tabs>
          <w:tab w:val="left" w:pos="467"/>
        </w:tabs>
        <w:spacing w:line="276" w:lineRule="auto"/>
        <w:jc w:val="both"/>
        <w:rPr>
          <w:rFonts w:ascii="Century Gothic" w:hAnsi="Century Gothic"/>
          <w:color w:val="080808"/>
          <w:sz w:val="21"/>
          <w:szCs w:val="21"/>
        </w:rPr>
      </w:pPr>
      <w:r w:rsidRPr="006707BF">
        <w:rPr>
          <w:rFonts w:ascii="Century Gothic" w:hAnsi="Century Gothic"/>
          <w:color w:val="080808"/>
          <w:sz w:val="21"/>
          <w:szCs w:val="21"/>
        </w:rPr>
        <w:t xml:space="preserve">En todo caso, para las actividades de sus centros de pensamiento, la realización de cursos de formación y capacitación política y electoral, y para la inclusión efectiva de jóvenes y minorías étnicas en el proceso político, los partidos y movimientos destinarán en sus presupuestos anuales una suma </w:t>
      </w:r>
      <w:r>
        <w:rPr>
          <w:rFonts w:ascii="Century Gothic" w:hAnsi="Century Gothic"/>
          <w:color w:val="080808"/>
          <w:sz w:val="21"/>
          <w:szCs w:val="21"/>
        </w:rPr>
        <w:t>no inferior al</w:t>
      </w:r>
      <w:r w:rsidRPr="006707BF">
        <w:rPr>
          <w:rFonts w:ascii="Century Gothic" w:hAnsi="Century Gothic"/>
          <w:color w:val="080808"/>
          <w:sz w:val="21"/>
          <w:szCs w:val="21"/>
        </w:rPr>
        <w:t xml:space="preserve"> quince por ciento (15%) de los aportes estatales que le correspondieren.</w:t>
      </w:r>
    </w:p>
    <w:p w14:paraId="3BF17170" w14:textId="77777777" w:rsidR="001F1366" w:rsidRPr="006707BF" w:rsidRDefault="001F1366" w:rsidP="001F1366">
      <w:pPr>
        <w:tabs>
          <w:tab w:val="left" w:pos="467"/>
        </w:tabs>
        <w:spacing w:line="276" w:lineRule="auto"/>
        <w:jc w:val="both"/>
        <w:rPr>
          <w:rFonts w:ascii="Century Gothic" w:hAnsi="Century Gothic"/>
          <w:color w:val="080808"/>
          <w:sz w:val="21"/>
          <w:szCs w:val="21"/>
        </w:rPr>
      </w:pPr>
    </w:p>
    <w:p w14:paraId="38999BAC" w14:textId="77777777" w:rsidR="001F1366" w:rsidRPr="00564E82" w:rsidRDefault="001F1366" w:rsidP="001F1366">
      <w:pPr>
        <w:tabs>
          <w:tab w:val="left" w:pos="467"/>
        </w:tabs>
        <w:spacing w:line="276" w:lineRule="auto"/>
        <w:jc w:val="both"/>
        <w:rPr>
          <w:rFonts w:ascii="Century Gothic" w:hAnsi="Century Gothic"/>
          <w:color w:val="080808"/>
          <w:sz w:val="21"/>
          <w:szCs w:val="21"/>
        </w:rPr>
      </w:pPr>
      <w:r w:rsidRPr="00564E82">
        <w:rPr>
          <w:rFonts w:ascii="Century Gothic" w:hAnsi="Century Gothic"/>
          <w:color w:val="080808"/>
          <w:sz w:val="21"/>
          <w:szCs w:val="21"/>
        </w:rPr>
        <w:t xml:space="preserve">Para la inclusión efectiva de mujeres en los procesos políticos y electorales, los partidos y movimientos </w:t>
      </w:r>
      <w:r w:rsidRPr="009800B1">
        <w:rPr>
          <w:rFonts w:ascii="Century Gothic" w:hAnsi="Century Gothic"/>
          <w:color w:val="080808"/>
          <w:sz w:val="21"/>
          <w:szCs w:val="21"/>
        </w:rPr>
        <w:t>deberán destinar</w:t>
      </w:r>
      <w:r w:rsidRPr="00564E82">
        <w:rPr>
          <w:rFonts w:ascii="Century Gothic" w:hAnsi="Century Gothic"/>
          <w:color w:val="080808"/>
          <w:sz w:val="21"/>
          <w:szCs w:val="21"/>
        </w:rPr>
        <w:t xml:space="preserve"> en sus presupuestos anuales, el diez por ciento (10%) de los aportes estatales que le correspondieren, para financiar </w:t>
      </w:r>
      <w:r w:rsidRPr="009800B1">
        <w:rPr>
          <w:rFonts w:ascii="Century Gothic" w:hAnsi="Century Gothic"/>
          <w:color w:val="080808"/>
          <w:sz w:val="21"/>
          <w:szCs w:val="21"/>
        </w:rPr>
        <w:t xml:space="preserve">programas de capacitación que promuevan la participación política de las mujeres, </w:t>
      </w:r>
      <w:r w:rsidRPr="00564E82">
        <w:rPr>
          <w:rFonts w:ascii="Century Gothic" w:hAnsi="Century Gothic"/>
          <w:color w:val="080808"/>
          <w:sz w:val="21"/>
          <w:szCs w:val="21"/>
        </w:rPr>
        <w:t>así como para l</w:t>
      </w:r>
      <w:r w:rsidRPr="009800B1">
        <w:rPr>
          <w:rFonts w:ascii="Century Gothic" w:hAnsi="Century Gothic"/>
          <w:color w:val="080808"/>
          <w:sz w:val="21"/>
          <w:szCs w:val="21"/>
        </w:rPr>
        <w:t>a</w:t>
      </w:r>
      <w:r w:rsidRPr="00564E82">
        <w:rPr>
          <w:rFonts w:ascii="Century Gothic" w:hAnsi="Century Gothic"/>
          <w:color w:val="080808"/>
          <w:sz w:val="21"/>
          <w:szCs w:val="21"/>
        </w:rPr>
        <w:t xml:space="preserve"> formación y capacitación política y electoral </w:t>
      </w:r>
      <w:r w:rsidRPr="009800B1">
        <w:rPr>
          <w:rFonts w:ascii="Century Gothic" w:hAnsi="Century Gothic"/>
          <w:color w:val="080808"/>
          <w:sz w:val="21"/>
          <w:szCs w:val="21"/>
        </w:rPr>
        <w:t>de las candidatas a cargos de elección popular</w:t>
      </w:r>
      <w:r w:rsidRPr="00564E82">
        <w:rPr>
          <w:rFonts w:ascii="Century Gothic" w:hAnsi="Century Gothic"/>
          <w:color w:val="080808"/>
          <w:sz w:val="21"/>
          <w:szCs w:val="21"/>
        </w:rPr>
        <w:t>.</w:t>
      </w:r>
      <w:r>
        <w:rPr>
          <w:rFonts w:ascii="Century Gothic" w:hAnsi="Century Gothic"/>
          <w:color w:val="080808"/>
          <w:sz w:val="21"/>
          <w:szCs w:val="21"/>
        </w:rPr>
        <w:t xml:space="preserve"> </w:t>
      </w:r>
    </w:p>
    <w:p w14:paraId="77F5E1FC" w14:textId="77777777" w:rsidR="001F1366" w:rsidRPr="006707BF" w:rsidRDefault="001F1366" w:rsidP="001F1366">
      <w:pPr>
        <w:tabs>
          <w:tab w:val="left" w:pos="467"/>
        </w:tabs>
        <w:jc w:val="both"/>
        <w:rPr>
          <w:rFonts w:ascii="Century Gothic" w:hAnsi="Century Gothic"/>
          <w:color w:val="080808"/>
          <w:sz w:val="21"/>
          <w:szCs w:val="21"/>
        </w:rPr>
      </w:pPr>
    </w:p>
    <w:p w14:paraId="2EEB6BD8" w14:textId="77777777" w:rsidR="001F1366" w:rsidRPr="006707BF" w:rsidRDefault="001F1366" w:rsidP="001F1366">
      <w:pPr>
        <w:tabs>
          <w:tab w:val="left" w:pos="467"/>
        </w:tabs>
        <w:spacing w:line="276" w:lineRule="auto"/>
        <w:jc w:val="both"/>
        <w:rPr>
          <w:rFonts w:ascii="Century Gothic" w:hAnsi="Century Gothic"/>
          <w:color w:val="080808"/>
          <w:sz w:val="21"/>
          <w:szCs w:val="21"/>
        </w:rPr>
      </w:pPr>
      <w:r w:rsidRPr="006707BF">
        <w:rPr>
          <w:rFonts w:ascii="Century Gothic" w:hAnsi="Century Gothic"/>
          <w:color w:val="080808"/>
          <w:sz w:val="21"/>
          <w:szCs w:val="21"/>
        </w:rPr>
        <w:t xml:space="preserve">Los partidos y movimientos políticos con personería jurídica están obligados a debatir y a aprobar democráticamente sus presupuestos, y a ofrecer completa información pública sobre las decisiones adoptadas en esta materia, de conformidad con la reglamentación que expida el Consejo Nacional Electoral. </w:t>
      </w:r>
    </w:p>
    <w:p w14:paraId="18951B82" w14:textId="77777777" w:rsidR="001F1366" w:rsidRPr="006707BF" w:rsidRDefault="001F1366" w:rsidP="001F1366">
      <w:pPr>
        <w:tabs>
          <w:tab w:val="left" w:pos="467"/>
        </w:tabs>
        <w:spacing w:line="276" w:lineRule="auto"/>
        <w:jc w:val="both"/>
        <w:rPr>
          <w:rFonts w:ascii="Century Gothic" w:hAnsi="Century Gothic"/>
          <w:color w:val="080808"/>
          <w:sz w:val="21"/>
          <w:szCs w:val="21"/>
        </w:rPr>
      </w:pPr>
    </w:p>
    <w:p w14:paraId="2B4CFC21" w14:textId="77777777" w:rsidR="001F1366" w:rsidRPr="006707BF" w:rsidRDefault="001F1366" w:rsidP="001F1366">
      <w:pPr>
        <w:tabs>
          <w:tab w:val="left" w:pos="467"/>
        </w:tabs>
        <w:spacing w:line="276" w:lineRule="auto"/>
        <w:jc w:val="both"/>
        <w:rPr>
          <w:rFonts w:ascii="Century Gothic" w:hAnsi="Century Gothic"/>
          <w:color w:val="080808"/>
          <w:sz w:val="21"/>
          <w:szCs w:val="21"/>
        </w:rPr>
      </w:pPr>
      <w:r>
        <w:rPr>
          <w:rFonts w:ascii="Century Gothic" w:hAnsi="Century Gothic"/>
          <w:b/>
          <w:color w:val="080808"/>
          <w:sz w:val="21"/>
          <w:szCs w:val="21"/>
        </w:rPr>
        <w:t>Artículo 3</w:t>
      </w:r>
      <w:r w:rsidRPr="006707BF">
        <w:rPr>
          <w:rFonts w:ascii="Century Gothic" w:hAnsi="Century Gothic"/>
          <w:b/>
          <w:color w:val="080808"/>
          <w:sz w:val="21"/>
          <w:szCs w:val="21"/>
        </w:rPr>
        <w:t xml:space="preserve">°. </w:t>
      </w:r>
      <w:r w:rsidRPr="006707BF">
        <w:rPr>
          <w:rFonts w:ascii="Century Gothic" w:hAnsi="Century Gothic"/>
          <w:color w:val="080808"/>
          <w:sz w:val="21"/>
          <w:szCs w:val="21"/>
        </w:rPr>
        <w:t>La presente ley rige a partir de la fecha de su publicación y deroga las disposiciones que le sean contrarias.</w:t>
      </w:r>
    </w:p>
    <w:p w14:paraId="437156C7" w14:textId="77777777" w:rsidR="001F1366" w:rsidRDefault="001F1366" w:rsidP="001F1366">
      <w:pPr>
        <w:jc w:val="both"/>
        <w:rPr>
          <w:rFonts w:ascii="Century Gothic" w:hAnsi="Century Gothic"/>
          <w:b/>
          <w:caps/>
        </w:rPr>
      </w:pPr>
    </w:p>
    <w:p w14:paraId="54444050" w14:textId="596420CA" w:rsidR="001F1366" w:rsidRDefault="001F1366" w:rsidP="0027373B">
      <w:pPr>
        <w:spacing w:after="0"/>
        <w:jc w:val="both"/>
        <w:rPr>
          <w:rFonts w:ascii="Arial" w:hAnsi="Arial" w:cs="Arial"/>
          <w:color w:val="FF0000"/>
          <w:sz w:val="24"/>
          <w:szCs w:val="24"/>
          <w:lang w:val="es-ES"/>
        </w:rPr>
      </w:pPr>
    </w:p>
    <w:p w14:paraId="714ADC84" w14:textId="5FFAACD0" w:rsidR="001F1366" w:rsidRDefault="001F1366" w:rsidP="0027373B">
      <w:pPr>
        <w:spacing w:after="0"/>
        <w:jc w:val="both"/>
        <w:rPr>
          <w:rFonts w:ascii="Arial" w:hAnsi="Arial" w:cs="Arial"/>
          <w:color w:val="FF0000"/>
          <w:sz w:val="24"/>
          <w:szCs w:val="24"/>
          <w:lang w:val="es-ES"/>
        </w:rPr>
      </w:pPr>
    </w:p>
    <w:p w14:paraId="2EC480F4" w14:textId="4393DEDE" w:rsidR="001F1366" w:rsidRDefault="001F1366" w:rsidP="0027373B">
      <w:pPr>
        <w:spacing w:after="0"/>
        <w:jc w:val="both"/>
        <w:rPr>
          <w:rFonts w:ascii="Arial" w:hAnsi="Arial" w:cs="Arial"/>
          <w:color w:val="FF0000"/>
          <w:sz w:val="24"/>
          <w:szCs w:val="24"/>
          <w:lang w:val="es-ES"/>
        </w:rPr>
      </w:pPr>
    </w:p>
    <w:p w14:paraId="1AD9B667" w14:textId="2D375966" w:rsidR="001F1366" w:rsidRDefault="001F1366" w:rsidP="0027373B">
      <w:pPr>
        <w:spacing w:after="0"/>
        <w:jc w:val="both"/>
        <w:rPr>
          <w:rFonts w:ascii="Arial" w:hAnsi="Arial" w:cs="Arial"/>
          <w:color w:val="FF0000"/>
          <w:sz w:val="24"/>
          <w:szCs w:val="24"/>
          <w:lang w:val="es-ES"/>
        </w:rPr>
      </w:pPr>
    </w:p>
    <w:p w14:paraId="3F6D5893" w14:textId="60EBD3EB" w:rsidR="001F1366" w:rsidRDefault="001F1366" w:rsidP="0027373B">
      <w:pPr>
        <w:spacing w:after="0"/>
        <w:jc w:val="both"/>
        <w:rPr>
          <w:rFonts w:ascii="Arial" w:hAnsi="Arial" w:cs="Arial"/>
          <w:color w:val="FF0000"/>
          <w:sz w:val="24"/>
          <w:szCs w:val="24"/>
          <w:lang w:val="es-ES"/>
        </w:rPr>
      </w:pPr>
    </w:p>
    <w:p w14:paraId="316C4C64" w14:textId="77777777" w:rsidR="001F1366" w:rsidRDefault="001F1366" w:rsidP="0027373B">
      <w:pPr>
        <w:spacing w:after="0"/>
        <w:jc w:val="both"/>
        <w:rPr>
          <w:rFonts w:ascii="Arial" w:hAnsi="Arial" w:cs="Arial"/>
          <w:color w:val="FF0000"/>
          <w:sz w:val="24"/>
          <w:szCs w:val="24"/>
          <w:lang w:val="es-ES"/>
        </w:rPr>
      </w:pPr>
    </w:p>
    <w:p w14:paraId="20B9F34C" w14:textId="77777777" w:rsidR="0027373B" w:rsidRDefault="0027373B" w:rsidP="0027373B">
      <w:pPr>
        <w:spacing w:after="0"/>
        <w:jc w:val="both"/>
        <w:rPr>
          <w:rFonts w:ascii="Arial" w:hAnsi="Arial" w:cs="Arial"/>
          <w:color w:val="FF0000"/>
          <w:sz w:val="24"/>
          <w:szCs w:val="24"/>
          <w:lang w:val="es-ES"/>
        </w:rPr>
      </w:pPr>
    </w:p>
    <w:p w14:paraId="6441826B" w14:textId="1938524C" w:rsidR="00A01305" w:rsidRPr="002B7BC5" w:rsidRDefault="00CA4DEE" w:rsidP="0027373B">
      <w:pPr>
        <w:spacing w:after="0"/>
        <w:jc w:val="both"/>
        <w:rPr>
          <w:rFonts w:ascii="Century Gothic" w:hAnsi="Century Gothic" w:cs="Arial"/>
          <w:color w:val="FF0000"/>
          <w:lang w:val="es-ES"/>
        </w:rPr>
      </w:pPr>
      <w:r w:rsidRPr="002B7BC5">
        <w:rPr>
          <w:rFonts w:ascii="Century Gothic" w:hAnsi="Century Gothic" w:cs="Arial"/>
          <w:color w:val="000000"/>
          <w:lang w:val="es-ES" w:eastAsia="es-ES"/>
        </w:rPr>
        <w:t xml:space="preserve">En los anteriores términos fue aprobado con modificaciones el presente Proyecto de Ley Estatutaria según consta en Acta No. </w:t>
      </w:r>
      <w:r w:rsidR="00C13EA7" w:rsidRPr="002B7BC5">
        <w:rPr>
          <w:rFonts w:ascii="Century Gothic" w:hAnsi="Century Gothic" w:cs="Arial"/>
          <w:color w:val="000000"/>
          <w:lang w:val="es-ES" w:eastAsia="es-ES"/>
        </w:rPr>
        <w:t>2</w:t>
      </w:r>
      <w:r w:rsidR="00F641B8" w:rsidRPr="002B7BC5">
        <w:rPr>
          <w:rFonts w:ascii="Century Gothic" w:hAnsi="Century Gothic" w:cs="Arial"/>
          <w:color w:val="000000"/>
          <w:lang w:val="es-ES" w:eastAsia="es-ES"/>
        </w:rPr>
        <w:t>7</w:t>
      </w:r>
      <w:r w:rsidRPr="002B7BC5">
        <w:rPr>
          <w:rFonts w:ascii="Century Gothic" w:hAnsi="Century Gothic" w:cs="Arial"/>
          <w:color w:val="000000"/>
          <w:lang w:val="es-ES" w:eastAsia="es-ES"/>
        </w:rPr>
        <w:t xml:space="preserve"> de sesión </w:t>
      </w:r>
      <w:r w:rsidR="00C13EA7" w:rsidRPr="002B7BC5">
        <w:rPr>
          <w:rFonts w:ascii="Century Gothic" w:hAnsi="Century Gothic" w:cs="Arial"/>
          <w:color w:val="000000"/>
          <w:lang w:val="es-ES" w:eastAsia="es-ES"/>
        </w:rPr>
        <w:t xml:space="preserve">remota </w:t>
      </w:r>
      <w:r w:rsidRPr="002B7BC5">
        <w:rPr>
          <w:rFonts w:ascii="Century Gothic" w:hAnsi="Century Gothic" w:cs="Arial"/>
          <w:color w:val="000000"/>
          <w:lang w:val="es-ES" w:eastAsia="es-ES"/>
        </w:rPr>
        <w:t>de</w:t>
      </w:r>
      <w:r w:rsidR="004E422C" w:rsidRPr="002B7BC5">
        <w:rPr>
          <w:rFonts w:ascii="Century Gothic" w:hAnsi="Century Gothic" w:cs="Arial"/>
          <w:color w:val="000000"/>
          <w:lang w:val="es-ES" w:eastAsia="es-ES"/>
        </w:rPr>
        <w:t xml:space="preserve"> </w:t>
      </w:r>
      <w:r w:rsidR="00C13EA7" w:rsidRPr="002B7BC5">
        <w:rPr>
          <w:rFonts w:ascii="Century Gothic" w:hAnsi="Century Gothic" w:cs="Arial"/>
          <w:color w:val="000000"/>
          <w:lang w:val="es-ES" w:eastAsia="es-ES"/>
        </w:rPr>
        <w:t>novi</w:t>
      </w:r>
      <w:r w:rsidR="004E422C" w:rsidRPr="002B7BC5">
        <w:rPr>
          <w:rFonts w:ascii="Century Gothic" w:hAnsi="Century Gothic" w:cs="Arial"/>
          <w:color w:val="000000"/>
          <w:lang w:val="es-ES" w:eastAsia="es-ES"/>
        </w:rPr>
        <w:t xml:space="preserve">embre </w:t>
      </w:r>
      <w:r w:rsidR="00C13EA7" w:rsidRPr="002B7BC5">
        <w:rPr>
          <w:rFonts w:ascii="Century Gothic" w:hAnsi="Century Gothic" w:cs="Arial"/>
          <w:color w:val="000000"/>
          <w:lang w:val="es-ES" w:eastAsia="es-ES"/>
        </w:rPr>
        <w:t>1</w:t>
      </w:r>
      <w:r w:rsidR="00F641B8" w:rsidRPr="002B7BC5">
        <w:rPr>
          <w:rFonts w:ascii="Century Gothic" w:hAnsi="Century Gothic" w:cs="Arial"/>
          <w:color w:val="000000"/>
          <w:lang w:val="es-ES" w:eastAsia="es-ES"/>
        </w:rPr>
        <w:t>8</w:t>
      </w:r>
      <w:r w:rsidR="004E422C" w:rsidRPr="002B7BC5">
        <w:rPr>
          <w:rFonts w:ascii="Century Gothic" w:hAnsi="Century Gothic" w:cs="Arial"/>
          <w:color w:val="000000"/>
          <w:lang w:val="es-ES" w:eastAsia="es-ES"/>
        </w:rPr>
        <w:t xml:space="preserve"> de 2020</w:t>
      </w:r>
      <w:r w:rsidR="00C13EA7" w:rsidRPr="002B7BC5">
        <w:rPr>
          <w:rFonts w:ascii="Century Gothic" w:hAnsi="Century Gothic" w:cs="Arial"/>
          <w:color w:val="000000"/>
          <w:lang w:val="es-ES" w:eastAsia="es-ES"/>
        </w:rPr>
        <w:t xml:space="preserve">. </w:t>
      </w:r>
      <w:r w:rsidRPr="002B7BC5">
        <w:rPr>
          <w:rFonts w:ascii="Century Gothic" w:hAnsi="Century Gothic" w:cs="Arial"/>
          <w:color w:val="000000"/>
          <w:lang w:val="es-ES" w:eastAsia="es-ES"/>
        </w:rPr>
        <w:t xml:space="preserve">Anunciado entre otras fechas, el </w:t>
      </w:r>
      <w:r w:rsidR="004E422C" w:rsidRPr="002B7BC5">
        <w:rPr>
          <w:rFonts w:ascii="Century Gothic" w:hAnsi="Century Gothic" w:cs="Arial"/>
          <w:color w:val="000000"/>
          <w:lang w:val="es-ES" w:eastAsia="es-ES"/>
        </w:rPr>
        <w:t>1</w:t>
      </w:r>
      <w:r w:rsidR="00F641B8" w:rsidRPr="002B7BC5">
        <w:rPr>
          <w:rFonts w:ascii="Century Gothic" w:hAnsi="Century Gothic" w:cs="Arial"/>
          <w:color w:val="000000"/>
          <w:lang w:val="es-ES" w:eastAsia="es-ES"/>
        </w:rPr>
        <w:t>7</w:t>
      </w:r>
      <w:r w:rsidRPr="002B7BC5">
        <w:rPr>
          <w:rFonts w:ascii="Century Gothic" w:hAnsi="Century Gothic" w:cs="Arial"/>
          <w:color w:val="000000"/>
          <w:lang w:val="es-ES" w:eastAsia="es-ES"/>
        </w:rPr>
        <w:t xml:space="preserve"> de </w:t>
      </w:r>
      <w:r w:rsidR="00C13EA7" w:rsidRPr="002B7BC5">
        <w:rPr>
          <w:rFonts w:ascii="Century Gothic" w:hAnsi="Century Gothic" w:cs="Arial"/>
          <w:color w:val="000000"/>
          <w:lang w:val="es-ES" w:eastAsia="es-ES"/>
        </w:rPr>
        <w:t>novi</w:t>
      </w:r>
      <w:r w:rsidR="004E422C" w:rsidRPr="002B7BC5">
        <w:rPr>
          <w:rFonts w:ascii="Century Gothic" w:hAnsi="Century Gothic" w:cs="Arial"/>
          <w:color w:val="000000"/>
          <w:lang w:val="es-ES" w:eastAsia="es-ES"/>
        </w:rPr>
        <w:t>embre</w:t>
      </w:r>
      <w:r w:rsidRPr="002B7BC5">
        <w:rPr>
          <w:rFonts w:ascii="Century Gothic" w:hAnsi="Century Gothic" w:cs="Arial"/>
          <w:color w:val="000000"/>
          <w:lang w:val="es-ES" w:eastAsia="es-ES"/>
        </w:rPr>
        <w:t xml:space="preserve"> de 2020 según consta en Acta No. </w:t>
      </w:r>
      <w:r w:rsidR="00F641B8" w:rsidRPr="002B7BC5">
        <w:rPr>
          <w:rFonts w:ascii="Century Gothic" w:hAnsi="Century Gothic" w:cs="Arial"/>
          <w:color w:val="000000"/>
          <w:lang w:val="es-ES" w:eastAsia="es-ES"/>
        </w:rPr>
        <w:t>26</w:t>
      </w:r>
      <w:r w:rsidRPr="002B7BC5">
        <w:rPr>
          <w:rFonts w:ascii="Century Gothic" w:hAnsi="Century Gothic" w:cs="Arial"/>
          <w:color w:val="000000"/>
          <w:lang w:val="es-ES" w:eastAsia="es-ES"/>
        </w:rPr>
        <w:t xml:space="preserve"> de sesión </w:t>
      </w:r>
      <w:r w:rsidR="00F641B8" w:rsidRPr="002B7BC5">
        <w:rPr>
          <w:rFonts w:ascii="Century Gothic" w:hAnsi="Century Gothic" w:cs="Arial"/>
          <w:color w:val="000000"/>
          <w:lang w:val="es-ES" w:eastAsia="es-ES"/>
        </w:rPr>
        <w:t xml:space="preserve">remota </w:t>
      </w:r>
      <w:r w:rsidR="00834B6E" w:rsidRPr="002B7BC5">
        <w:rPr>
          <w:rFonts w:ascii="Century Gothic" w:hAnsi="Century Gothic" w:cs="Arial"/>
          <w:color w:val="000000"/>
          <w:lang w:val="es-ES" w:eastAsia="es-ES"/>
        </w:rPr>
        <w:t>de la misma fecha</w:t>
      </w:r>
      <w:r w:rsidRPr="002B7BC5">
        <w:rPr>
          <w:rFonts w:ascii="Century Gothic" w:hAnsi="Century Gothic" w:cs="Arial"/>
          <w:color w:val="000000"/>
          <w:lang w:val="es-ES" w:eastAsia="es-ES"/>
        </w:rPr>
        <w:t>.</w:t>
      </w:r>
    </w:p>
    <w:p w14:paraId="403520D5" w14:textId="02B80241" w:rsidR="00BF34E3" w:rsidRPr="002B7BC5" w:rsidRDefault="00BF34E3" w:rsidP="00503E9D">
      <w:pPr>
        <w:spacing w:before="45" w:after="15" w:line="276" w:lineRule="auto"/>
        <w:ind w:right="30"/>
        <w:jc w:val="both"/>
        <w:rPr>
          <w:rFonts w:ascii="Century Gothic" w:eastAsia="Times New Roman" w:hAnsi="Century Gothic" w:cs="Arial"/>
          <w:b/>
          <w:color w:val="000000"/>
          <w:lang w:eastAsia="es-CO"/>
        </w:rPr>
      </w:pPr>
    </w:p>
    <w:p w14:paraId="0B78667B" w14:textId="637EC048" w:rsidR="00A01C1A" w:rsidRDefault="00A01C1A" w:rsidP="00503E9D">
      <w:pPr>
        <w:spacing w:before="45" w:after="15" w:line="276" w:lineRule="auto"/>
        <w:ind w:right="30"/>
        <w:jc w:val="both"/>
        <w:rPr>
          <w:rFonts w:ascii="Century Gothic" w:eastAsia="Times New Roman" w:hAnsi="Century Gothic" w:cs="Arial"/>
          <w:b/>
          <w:color w:val="000000"/>
          <w:lang w:eastAsia="es-CO"/>
        </w:rPr>
      </w:pPr>
    </w:p>
    <w:p w14:paraId="37896254" w14:textId="6703A8C9" w:rsidR="000F286C" w:rsidRDefault="000F286C" w:rsidP="00503E9D">
      <w:pPr>
        <w:spacing w:before="45" w:after="15" w:line="276" w:lineRule="auto"/>
        <w:ind w:right="30"/>
        <w:jc w:val="both"/>
        <w:rPr>
          <w:rFonts w:ascii="Century Gothic" w:eastAsia="Times New Roman" w:hAnsi="Century Gothic" w:cs="Arial"/>
          <w:b/>
          <w:color w:val="000000"/>
          <w:lang w:eastAsia="es-CO"/>
        </w:rPr>
      </w:pPr>
    </w:p>
    <w:p w14:paraId="2C8DF274" w14:textId="2A9C5774" w:rsidR="000F286C" w:rsidRPr="002B7BC5" w:rsidRDefault="000F286C" w:rsidP="00503E9D">
      <w:pPr>
        <w:spacing w:before="45" w:after="15" w:line="276" w:lineRule="auto"/>
        <w:ind w:right="30"/>
        <w:jc w:val="both"/>
        <w:rPr>
          <w:rFonts w:ascii="Century Gothic" w:eastAsia="Times New Roman" w:hAnsi="Century Gothic" w:cs="Arial"/>
          <w:b/>
          <w:color w:val="000000"/>
          <w:lang w:eastAsia="es-CO"/>
        </w:rPr>
      </w:pPr>
      <w:bookmarkStart w:id="1" w:name="_GoBack"/>
      <w:bookmarkEnd w:id="1"/>
    </w:p>
    <w:p w14:paraId="51395CAD" w14:textId="52576D7F" w:rsidR="009304B1" w:rsidRPr="002B7BC5" w:rsidRDefault="009304B1" w:rsidP="00503E9D">
      <w:pPr>
        <w:spacing w:before="45" w:after="15" w:line="276" w:lineRule="auto"/>
        <w:ind w:right="30"/>
        <w:jc w:val="both"/>
        <w:rPr>
          <w:rFonts w:ascii="Century Gothic" w:eastAsia="Times New Roman" w:hAnsi="Century Gothic" w:cs="Arial"/>
          <w:b/>
          <w:color w:val="000000"/>
          <w:lang w:eastAsia="es-CO"/>
        </w:rPr>
      </w:pPr>
    </w:p>
    <w:p w14:paraId="20A535C3" w14:textId="30E14CF9" w:rsidR="00CA4DEE" w:rsidRPr="002B7BC5" w:rsidRDefault="00A67478" w:rsidP="00503E9D">
      <w:pPr>
        <w:spacing w:before="45" w:after="15" w:line="276" w:lineRule="auto"/>
        <w:ind w:right="30"/>
        <w:jc w:val="both"/>
        <w:rPr>
          <w:rFonts w:ascii="Century Gothic" w:eastAsia="Times New Roman" w:hAnsi="Century Gothic" w:cs="Arial"/>
          <w:b/>
          <w:color w:val="000000"/>
          <w:lang w:eastAsia="es-CO"/>
        </w:rPr>
      </w:pPr>
      <w:r>
        <w:rPr>
          <w:rFonts w:ascii="Century Gothic" w:eastAsia="Times New Roman" w:hAnsi="Century Gothic" w:cs="Arial"/>
          <w:b/>
          <w:color w:val="000000"/>
          <w:lang w:eastAsia="es-CO"/>
        </w:rPr>
        <w:t xml:space="preserve">ADRIANA M. MATIZ </w:t>
      </w:r>
      <w:r w:rsidR="00B86149">
        <w:rPr>
          <w:rFonts w:ascii="Century Gothic" w:eastAsia="Times New Roman" w:hAnsi="Century Gothic" w:cs="Arial"/>
          <w:b/>
          <w:color w:val="000000"/>
          <w:lang w:eastAsia="es-CO"/>
        </w:rPr>
        <w:t>VARGAS</w:t>
      </w:r>
      <w:r w:rsidR="00654984" w:rsidRPr="002B7BC5">
        <w:rPr>
          <w:rFonts w:ascii="Century Gothic" w:eastAsia="Times New Roman" w:hAnsi="Century Gothic" w:cs="Arial"/>
          <w:b/>
          <w:color w:val="000000"/>
          <w:lang w:eastAsia="es-CO"/>
        </w:rPr>
        <w:tab/>
      </w:r>
      <w:r w:rsidR="00654984" w:rsidRPr="002B7BC5">
        <w:rPr>
          <w:rFonts w:ascii="Century Gothic" w:eastAsia="Times New Roman" w:hAnsi="Century Gothic" w:cs="Arial"/>
          <w:b/>
          <w:color w:val="000000"/>
          <w:lang w:eastAsia="es-CO"/>
        </w:rPr>
        <w:tab/>
      </w:r>
      <w:r w:rsidR="00B86149">
        <w:rPr>
          <w:rFonts w:ascii="Century Gothic" w:eastAsia="Times New Roman" w:hAnsi="Century Gothic" w:cs="Arial"/>
          <w:b/>
          <w:color w:val="000000"/>
          <w:lang w:eastAsia="es-CO"/>
        </w:rPr>
        <w:tab/>
      </w:r>
      <w:r w:rsidR="0008366E" w:rsidRPr="002B7BC5">
        <w:rPr>
          <w:rFonts w:ascii="Century Gothic" w:eastAsia="Times New Roman" w:hAnsi="Century Gothic" w:cs="Arial"/>
          <w:b/>
          <w:color w:val="000000"/>
          <w:lang w:eastAsia="es-CO"/>
        </w:rPr>
        <w:t>ALFREDO R. DELUQUE ZULETA</w:t>
      </w:r>
    </w:p>
    <w:p w14:paraId="7D0C364E" w14:textId="381503F1" w:rsidR="00654984" w:rsidRPr="002B7BC5" w:rsidRDefault="00654984" w:rsidP="00503E9D">
      <w:pPr>
        <w:spacing w:before="45" w:after="15" w:line="276" w:lineRule="auto"/>
        <w:ind w:right="30"/>
        <w:jc w:val="both"/>
        <w:rPr>
          <w:rFonts w:ascii="Century Gothic" w:eastAsia="Times New Roman" w:hAnsi="Century Gothic" w:cs="Arial"/>
          <w:color w:val="000000"/>
          <w:lang w:eastAsia="es-CO"/>
        </w:rPr>
      </w:pPr>
      <w:r w:rsidRPr="002B7BC5">
        <w:rPr>
          <w:rFonts w:ascii="Century Gothic" w:eastAsia="Times New Roman" w:hAnsi="Century Gothic" w:cs="Arial"/>
          <w:color w:val="000000"/>
          <w:lang w:eastAsia="es-CO"/>
        </w:rPr>
        <w:t>Ponente Coordinador</w:t>
      </w:r>
      <w:r w:rsidR="00A67478">
        <w:rPr>
          <w:rFonts w:ascii="Century Gothic" w:eastAsia="Times New Roman" w:hAnsi="Century Gothic" w:cs="Arial"/>
          <w:color w:val="000000"/>
          <w:lang w:eastAsia="es-CO"/>
        </w:rPr>
        <w:t>a</w:t>
      </w:r>
      <w:r w:rsidRPr="002B7BC5">
        <w:rPr>
          <w:rFonts w:ascii="Century Gothic" w:eastAsia="Times New Roman" w:hAnsi="Century Gothic" w:cs="Arial"/>
          <w:color w:val="000000"/>
          <w:lang w:eastAsia="es-CO"/>
        </w:rPr>
        <w:tab/>
      </w:r>
      <w:r w:rsidRPr="002B7BC5">
        <w:rPr>
          <w:rFonts w:ascii="Century Gothic" w:eastAsia="Times New Roman" w:hAnsi="Century Gothic" w:cs="Arial"/>
          <w:color w:val="000000"/>
          <w:lang w:eastAsia="es-CO"/>
        </w:rPr>
        <w:tab/>
      </w:r>
      <w:r w:rsidRPr="002B7BC5">
        <w:rPr>
          <w:rFonts w:ascii="Century Gothic" w:eastAsia="Times New Roman" w:hAnsi="Century Gothic" w:cs="Arial"/>
          <w:color w:val="000000"/>
          <w:lang w:eastAsia="es-CO"/>
        </w:rPr>
        <w:tab/>
      </w:r>
      <w:r w:rsidRPr="002B7BC5">
        <w:rPr>
          <w:rFonts w:ascii="Century Gothic" w:eastAsia="Times New Roman" w:hAnsi="Century Gothic" w:cs="Arial"/>
          <w:color w:val="000000"/>
          <w:lang w:eastAsia="es-CO"/>
        </w:rPr>
        <w:tab/>
      </w:r>
      <w:r w:rsidR="0008366E" w:rsidRPr="002B7BC5">
        <w:rPr>
          <w:rFonts w:ascii="Century Gothic" w:eastAsia="Times New Roman" w:hAnsi="Century Gothic" w:cs="Arial"/>
          <w:color w:val="000000"/>
          <w:lang w:eastAsia="es-CO"/>
        </w:rPr>
        <w:t>Presidente</w:t>
      </w:r>
    </w:p>
    <w:p w14:paraId="588C3E94" w14:textId="4D669F4A" w:rsidR="00BF34E3" w:rsidRPr="002B7BC5" w:rsidRDefault="00BF34E3" w:rsidP="00503E9D">
      <w:pPr>
        <w:spacing w:before="45" w:after="15" w:line="276" w:lineRule="auto"/>
        <w:ind w:right="30"/>
        <w:jc w:val="both"/>
        <w:rPr>
          <w:rFonts w:ascii="Century Gothic" w:eastAsia="Times New Roman" w:hAnsi="Century Gothic" w:cs="Arial"/>
          <w:color w:val="000000"/>
          <w:lang w:eastAsia="es-CO"/>
        </w:rPr>
      </w:pPr>
    </w:p>
    <w:p w14:paraId="60BBFD3A" w14:textId="225CF70F" w:rsidR="0008366E" w:rsidRPr="002B7BC5" w:rsidRDefault="0008366E" w:rsidP="00503E9D">
      <w:pPr>
        <w:spacing w:before="45" w:after="15" w:line="276" w:lineRule="auto"/>
        <w:ind w:right="30"/>
        <w:jc w:val="both"/>
        <w:rPr>
          <w:rFonts w:ascii="Century Gothic" w:eastAsia="Times New Roman" w:hAnsi="Century Gothic" w:cs="Arial"/>
          <w:color w:val="000000"/>
          <w:lang w:eastAsia="es-CO"/>
        </w:rPr>
      </w:pPr>
    </w:p>
    <w:p w14:paraId="252F1FD4" w14:textId="2D3AFADA" w:rsidR="0008366E" w:rsidRPr="002B7BC5" w:rsidRDefault="0008366E" w:rsidP="00503E9D">
      <w:pPr>
        <w:spacing w:before="45" w:after="15" w:line="276" w:lineRule="auto"/>
        <w:ind w:right="30"/>
        <w:jc w:val="both"/>
        <w:rPr>
          <w:rFonts w:ascii="Century Gothic" w:eastAsia="Times New Roman" w:hAnsi="Century Gothic" w:cs="Arial"/>
          <w:color w:val="000000"/>
          <w:lang w:eastAsia="es-CO"/>
        </w:rPr>
      </w:pPr>
    </w:p>
    <w:p w14:paraId="43A150AA" w14:textId="5CAC995F" w:rsidR="00A01C1A" w:rsidRDefault="00A01C1A" w:rsidP="00503E9D">
      <w:pPr>
        <w:spacing w:before="45" w:after="15" w:line="276" w:lineRule="auto"/>
        <w:ind w:right="30"/>
        <w:jc w:val="both"/>
        <w:rPr>
          <w:rFonts w:ascii="Century Gothic" w:eastAsia="Times New Roman" w:hAnsi="Century Gothic" w:cs="Arial"/>
          <w:color w:val="000000"/>
          <w:lang w:eastAsia="es-CO"/>
        </w:rPr>
      </w:pPr>
    </w:p>
    <w:p w14:paraId="5C9B1FFC" w14:textId="0DBF3F0B" w:rsidR="000F286C" w:rsidRPr="002B7BC5" w:rsidRDefault="000F286C" w:rsidP="00503E9D">
      <w:pPr>
        <w:spacing w:before="45" w:after="15" w:line="276" w:lineRule="auto"/>
        <w:ind w:right="30"/>
        <w:jc w:val="both"/>
        <w:rPr>
          <w:rFonts w:ascii="Century Gothic" w:eastAsia="Times New Roman" w:hAnsi="Century Gothic" w:cs="Arial"/>
          <w:color w:val="000000"/>
          <w:lang w:eastAsia="es-CO"/>
        </w:rPr>
      </w:pPr>
    </w:p>
    <w:p w14:paraId="7C5FBE41" w14:textId="331D0F0B" w:rsidR="00654984" w:rsidRPr="002B7BC5" w:rsidRDefault="00D8350D" w:rsidP="00503E9D">
      <w:pPr>
        <w:spacing w:before="45" w:after="15" w:line="276" w:lineRule="auto"/>
        <w:ind w:right="30"/>
        <w:jc w:val="both"/>
        <w:rPr>
          <w:rFonts w:ascii="Century Gothic" w:eastAsia="Times New Roman" w:hAnsi="Century Gothic" w:cs="Arial"/>
          <w:b/>
          <w:color w:val="000000"/>
          <w:lang w:eastAsia="es-CO"/>
        </w:rPr>
      </w:pPr>
      <w:r w:rsidRPr="002B7BC5">
        <w:rPr>
          <w:rFonts w:ascii="Century Gothic" w:eastAsia="Times New Roman" w:hAnsi="Century Gothic" w:cs="Arial"/>
          <w:b/>
          <w:color w:val="000000"/>
          <w:lang w:eastAsia="es-CO"/>
        </w:rPr>
        <w:tab/>
      </w:r>
      <w:r w:rsidRPr="002B7BC5">
        <w:rPr>
          <w:rFonts w:ascii="Century Gothic" w:eastAsia="Times New Roman" w:hAnsi="Century Gothic" w:cs="Arial"/>
          <w:b/>
          <w:color w:val="000000"/>
          <w:lang w:eastAsia="es-CO"/>
        </w:rPr>
        <w:tab/>
      </w:r>
      <w:r w:rsidRPr="002B7BC5">
        <w:rPr>
          <w:rFonts w:ascii="Century Gothic" w:eastAsia="Times New Roman" w:hAnsi="Century Gothic" w:cs="Arial"/>
          <w:b/>
          <w:color w:val="000000"/>
          <w:lang w:eastAsia="es-CO"/>
        </w:rPr>
        <w:tab/>
      </w:r>
      <w:r w:rsidR="00654984" w:rsidRPr="002B7BC5">
        <w:rPr>
          <w:rFonts w:ascii="Century Gothic" w:eastAsia="Times New Roman" w:hAnsi="Century Gothic" w:cs="Arial"/>
          <w:b/>
          <w:color w:val="000000"/>
          <w:lang w:eastAsia="es-CO"/>
        </w:rPr>
        <w:t>AMPARO Y. CALDERON PERDOMO</w:t>
      </w:r>
    </w:p>
    <w:p w14:paraId="0012ACE4" w14:textId="38E1A499" w:rsidR="00654984" w:rsidRPr="002B7BC5" w:rsidRDefault="00654984" w:rsidP="00503E9D">
      <w:pPr>
        <w:spacing w:before="45" w:after="15" w:line="276" w:lineRule="auto"/>
        <w:ind w:right="30"/>
        <w:jc w:val="both"/>
        <w:rPr>
          <w:rFonts w:ascii="Century Gothic" w:eastAsia="Times New Roman" w:hAnsi="Century Gothic" w:cs="Arial"/>
          <w:color w:val="000000"/>
          <w:lang w:eastAsia="es-CO"/>
        </w:rPr>
      </w:pPr>
      <w:r w:rsidRPr="002B7BC5">
        <w:rPr>
          <w:rFonts w:ascii="Century Gothic" w:eastAsia="Times New Roman" w:hAnsi="Century Gothic" w:cs="Arial"/>
          <w:color w:val="000000"/>
          <w:lang w:eastAsia="es-CO"/>
        </w:rPr>
        <w:tab/>
      </w:r>
      <w:r w:rsidRPr="002B7BC5">
        <w:rPr>
          <w:rFonts w:ascii="Century Gothic" w:eastAsia="Times New Roman" w:hAnsi="Century Gothic" w:cs="Arial"/>
          <w:color w:val="000000"/>
          <w:lang w:eastAsia="es-CO"/>
        </w:rPr>
        <w:tab/>
      </w:r>
      <w:r w:rsidRPr="002B7BC5">
        <w:rPr>
          <w:rFonts w:ascii="Century Gothic" w:eastAsia="Times New Roman" w:hAnsi="Century Gothic" w:cs="Arial"/>
          <w:color w:val="000000"/>
          <w:lang w:eastAsia="es-CO"/>
        </w:rPr>
        <w:tab/>
      </w:r>
      <w:r w:rsidR="0008366E" w:rsidRPr="002B7BC5">
        <w:rPr>
          <w:rFonts w:ascii="Century Gothic" w:eastAsia="Times New Roman" w:hAnsi="Century Gothic" w:cs="Arial"/>
          <w:color w:val="000000"/>
          <w:lang w:eastAsia="es-CO"/>
        </w:rPr>
        <w:t xml:space="preserve">          </w:t>
      </w:r>
      <w:r w:rsidR="00D10F3D" w:rsidRPr="002B7BC5">
        <w:rPr>
          <w:rFonts w:ascii="Century Gothic" w:eastAsia="Times New Roman" w:hAnsi="Century Gothic" w:cs="Arial"/>
          <w:color w:val="000000"/>
          <w:lang w:eastAsia="es-CO"/>
        </w:rPr>
        <w:t xml:space="preserve">        </w:t>
      </w:r>
      <w:r w:rsidR="00D8350D" w:rsidRPr="002B7BC5">
        <w:rPr>
          <w:rFonts w:ascii="Century Gothic" w:eastAsia="Times New Roman" w:hAnsi="Century Gothic" w:cs="Arial"/>
          <w:color w:val="000000"/>
          <w:lang w:eastAsia="es-CO"/>
        </w:rPr>
        <w:t xml:space="preserve">   </w:t>
      </w:r>
      <w:r w:rsidRPr="002B7BC5">
        <w:rPr>
          <w:rFonts w:ascii="Century Gothic" w:eastAsia="Times New Roman" w:hAnsi="Century Gothic" w:cs="Arial"/>
          <w:color w:val="000000"/>
          <w:lang w:eastAsia="es-CO"/>
        </w:rPr>
        <w:t>Secretaria</w:t>
      </w:r>
    </w:p>
    <w:p w14:paraId="677F623F" w14:textId="77777777" w:rsidR="00654984" w:rsidRPr="002B7BC5" w:rsidRDefault="00654984" w:rsidP="00503E9D">
      <w:pPr>
        <w:spacing w:before="45" w:after="15" w:line="276" w:lineRule="auto"/>
        <w:ind w:right="30"/>
        <w:jc w:val="both"/>
        <w:rPr>
          <w:rFonts w:ascii="Century Gothic" w:eastAsia="Times New Roman" w:hAnsi="Century Gothic" w:cs="Arial"/>
          <w:color w:val="000000"/>
          <w:lang w:eastAsia="es-CO"/>
        </w:rPr>
      </w:pPr>
    </w:p>
    <w:p w14:paraId="1CE8E64E" w14:textId="77777777" w:rsidR="00654984" w:rsidRPr="002B7BC5" w:rsidRDefault="00654984" w:rsidP="00503E9D">
      <w:pPr>
        <w:spacing w:before="45" w:after="15" w:line="276" w:lineRule="auto"/>
        <w:ind w:right="30"/>
        <w:jc w:val="both"/>
        <w:rPr>
          <w:rFonts w:ascii="Century Gothic" w:eastAsia="Times New Roman" w:hAnsi="Century Gothic" w:cs="Arial"/>
          <w:color w:val="000000"/>
          <w:lang w:eastAsia="es-CO"/>
        </w:rPr>
      </w:pPr>
    </w:p>
    <w:p w14:paraId="2DD7F02A" w14:textId="77777777" w:rsidR="00D04ABA" w:rsidRPr="002B7BC5" w:rsidRDefault="00D04ABA" w:rsidP="00D04ABA">
      <w:pPr>
        <w:spacing w:before="45" w:after="15" w:line="276" w:lineRule="auto"/>
        <w:ind w:right="30"/>
        <w:jc w:val="both"/>
        <w:rPr>
          <w:rFonts w:ascii="Century Gothic" w:eastAsia="Times New Roman" w:hAnsi="Century Gothic" w:cs="Arial"/>
          <w:b/>
          <w:bCs/>
          <w:color w:val="000000"/>
          <w:lang w:eastAsia="es-CO"/>
        </w:rPr>
        <w:sectPr w:rsidR="00D04ABA" w:rsidRPr="002B7BC5" w:rsidSect="00D04ABA">
          <w:headerReference w:type="even" r:id="rId8"/>
          <w:headerReference w:type="default" r:id="rId9"/>
          <w:footerReference w:type="even" r:id="rId10"/>
          <w:footerReference w:type="default" r:id="rId11"/>
          <w:headerReference w:type="first" r:id="rId12"/>
          <w:footerReference w:type="first" r:id="rId13"/>
          <w:type w:val="continuous"/>
          <w:pgSz w:w="12240" w:h="15840"/>
          <w:pgMar w:top="1417" w:right="1701" w:bottom="1417" w:left="1701" w:header="708" w:footer="708" w:gutter="0"/>
          <w:cols w:space="708"/>
          <w:docGrid w:linePitch="360"/>
        </w:sectPr>
      </w:pPr>
    </w:p>
    <w:p w14:paraId="50254D14" w14:textId="77777777" w:rsidR="008E061B" w:rsidRPr="002B7BC5" w:rsidRDefault="008E061B" w:rsidP="00D04ABA">
      <w:pPr>
        <w:spacing w:before="45" w:after="15" w:line="276" w:lineRule="auto"/>
        <w:ind w:right="30"/>
        <w:jc w:val="both"/>
        <w:rPr>
          <w:rFonts w:ascii="Century Gothic" w:eastAsia="Times New Roman" w:hAnsi="Century Gothic" w:cs="Arial"/>
          <w:color w:val="000000"/>
          <w:lang w:eastAsia="es-CO"/>
        </w:rPr>
      </w:pPr>
    </w:p>
    <w:sectPr w:rsidR="008E061B" w:rsidRPr="002B7BC5" w:rsidSect="004937A0">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A9D07D" w14:textId="77777777" w:rsidR="0050537E" w:rsidRDefault="0050537E" w:rsidP="00F464B3">
      <w:pPr>
        <w:spacing w:after="0" w:line="240" w:lineRule="auto"/>
      </w:pPr>
      <w:r>
        <w:separator/>
      </w:r>
    </w:p>
  </w:endnote>
  <w:endnote w:type="continuationSeparator" w:id="0">
    <w:p w14:paraId="5605AE4C" w14:textId="77777777" w:rsidR="0050537E" w:rsidRDefault="0050537E"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FHUIW+TimesNewRomanPS-BoldMT">
    <w:altName w:val="BFHUIW+TimesNewRomanPS-Bold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A3024" w14:textId="77777777" w:rsidR="00F74A1B" w:rsidRDefault="00F74A1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977582"/>
      <w:docPartObj>
        <w:docPartGallery w:val="Page Numbers (Bottom of Page)"/>
        <w:docPartUnique/>
      </w:docPartObj>
    </w:sdtPr>
    <w:sdtEndPr/>
    <w:sdtContent>
      <w:p w14:paraId="4CC91950" w14:textId="0AA2ACA1" w:rsidR="00F74A1B" w:rsidRDefault="00F74A1B">
        <w:pPr>
          <w:pStyle w:val="Piedepgina"/>
          <w:jc w:val="right"/>
        </w:pPr>
        <w:r>
          <w:fldChar w:fldCharType="begin"/>
        </w:r>
        <w:r>
          <w:instrText>PAGE   \* MERGEFORMAT</w:instrText>
        </w:r>
        <w:r>
          <w:fldChar w:fldCharType="separate"/>
        </w:r>
        <w:r w:rsidR="00886A59" w:rsidRPr="00886A59">
          <w:rPr>
            <w:noProof/>
            <w:lang w:val="es-ES"/>
          </w:rPr>
          <w:t>2</w:t>
        </w:r>
        <w:r>
          <w:fldChar w:fldCharType="end"/>
        </w:r>
      </w:p>
    </w:sdtContent>
  </w:sdt>
  <w:p w14:paraId="51ADA584" w14:textId="77777777" w:rsidR="000643FE" w:rsidRDefault="000643F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52832" w14:textId="77777777" w:rsidR="00F74A1B" w:rsidRDefault="00F74A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11302" w14:textId="77777777" w:rsidR="0050537E" w:rsidRDefault="0050537E" w:rsidP="00F464B3">
      <w:pPr>
        <w:spacing w:after="0" w:line="240" w:lineRule="auto"/>
      </w:pPr>
      <w:r>
        <w:separator/>
      </w:r>
    </w:p>
  </w:footnote>
  <w:footnote w:type="continuationSeparator" w:id="0">
    <w:p w14:paraId="7B87A9DF" w14:textId="77777777" w:rsidR="0050537E" w:rsidRDefault="0050537E" w:rsidP="00F464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F6EA7" w14:textId="77777777" w:rsidR="00F74A1B" w:rsidRDefault="00F74A1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33E99" w14:textId="77777777" w:rsidR="00E85BF5" w:rsidRDefault="00E85BF5" w:rsidP="00EC63B6">
    <w:pPr>
      <w:pStyle w:val="Encabezado"/>
      <w:jc w:val="center"/>
    </w:pPr>
    <w:r>
      <w:rPr>
        <w:noProof/>
        <w:lang w:eastAsia="es-CO"/>
      </w:rPr>
      <w:drawing>
        <wp:inline distT="0" distB="0" distL="0" distR="0" wp14:anchorId="4424CA66" wp14:editId="52757F20">
          <wp:extent cx="2286000" cy="670956"/>
          <wp:effectExtent l="0" t="0" r="0" b="0"/>
          <wp:docPr id="3" name="Imagen 3" descr="Entes Comisión legal de cuentas Cá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s Comisión legal de cuentas Cámara de Representantes"/>
                  <pic:cNvPicPr>
                    <a:picLocks noChangeAspect="1" noChangeArrowheads="1"/>
                  </pic:cNvPicPr>
                </pic:nvPicPr>
                <pic:blipFill rotWithShape="1">
                  <a:blip r:embed="rId1">
                    <a:extLst>
                      <a:ext uri="{28A0092B-C50C-407E-A947-70E740481C1C}">
                        <a14:useLocalDpi xmlns:a14="http://schemas.microsoft.com/office/drawing/2010/main" val="0"/>
                      </a:ext>
                    </a:extLst>
                  </a:blip>
                  <a:srcRect l="8851" t="19290" r="11886" b="23326"/>
                  <a:stretch/>
                </pic:blipFill>
                <pic:spPr bwMode="auto">
                  <a:xfrm>
                    <a:off x="0" y="0"/>
                    <a:ext cx="2339192" cy="686568"/>
                  </a:xfrm>
                  <a:prstGeom prst="rect">
                    <a:avLst/>
                  </a:prstGeom>
                  <a:noFill/>
                  <a:ln>
                    <a:noFill/>
                  </a:ln>
                  <a:extLst>
                    <a:ext uri="{53640926-AAD7-44D8-BBD7-CCE9431645EC}">
                      <a14:shadowObscured xmlns:a14="http://schemas.microsoft.com/office/drawing/2010/main"/>
                    </a:ext>
                  </a:extLst>
                </pic:spPr>
              </pic:pic>
            </a:graphicData>
          </a:graphic>
        </wp:inline>
      </w:drawing>
    </w:r>
  </w:p>
  <w:p w14:paraId="4BE57F8C" w14:textId="77777777" w:rsidR="00E85BF5" w:rsidRDefault="00E85BF5" w:rsidP="00EC63B6">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6C1D2" w14:textId="77777777" w:rsidR="00F74A1B" w:rsidRDefault="00F74A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76AB2"/>
    <w:multiLevelType w:val="multilevel"/>
    <w:tmpl w:val="1C56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400550"/>
    <w:multiLevelType w:val="hybridMultilevel"/>
    <w:tmpl w:val="E5A8F21A"/>
    <w:lvl w:ilvl="0" w:tplc="4BE03B94">
      <w:start w:val="1"/>
      <w:numFmt w:val="decimal"/>
      <w:lvlText w:val="%1."/>
      <w:lvlJc w:val="left"/>
      <w:pPr>
        <w:ind w:left="570" w:hanging="360"/>
      </w:pPr>
      <w:rPr>
        <w:rFonts w:hint="default"/>
      </w:rPr>
    </w:lvl>
    <w:lvl w:ilvl="1" w:tplc="240A0019" w:tentative="1">
      <w:start w:val="1"/>
      <w:numFmt w:val="lowerLetter"/>
      <w:lvlText w:val="%2."/>
      <w:lvlJc w:val="left"/>
      <w:pPr>
        <w:ind w:left="1290" w:hanging="360"/>
      </w:pPr>
    </w:lvl>
    <w:lvl w:ilvl="2" w:tplc="240A001B" w:tentative="1">
      <w:start w:val="1"/>
      <w:numFmt w:val="lowerRoman"/>
      <w:lvlText w:val="%3."/>
      <w:lvlJc w:val="right"/>
      <w:pPr>
        <w:ind w:left="2010" w:hanging="180"/>
      </w:pPr>
    </w:lvl>
    <w:lvl w:ilvl="3" w:tplc="240A000F" w:tentative="1">
      <w:start w:val="1"/>
      <w:numFmt w:val="decimal"/>
      <w:lvlText w:val="%4."/>
      <w:lvlJc w:val="left"/>
      <w:pPr>
        <w:ind w:left="2730" w:hanging="360"/>
      </w:pPr>
    </w:lvl>
    <w:lvl w:ilvl="4" w:tplc="240A0019" w:tentative="1">
      <w:start w:val="1"/>
      <w:numFmt w:val="lowerLetter"/>
      <w:lvlText w:val="%5."/>
      <w:lvlJc w:val="left"/>
      <w:pPr>
        <w:ind w:left="3450" w:hanging="360"/>
      </w:pPr>
    </w:lvl>
    <w:lvl w:ilvl="5" w:tplc="240A001B" w:tentative="1">
      <w:start w:val="1"/>
      <w:numFmt w:val="lowerRoman"/>
      <w:lvlText w:val="%6."/>
      <w:lvlJc w:val="right"/>
      <w:pPr>
        <w:ind w:left="4170" w:hanging="180"/>
      </w:pPr>
    </w:lvl>
    <w:lvl w:ilvl="6" w:tplc="240A000F" w:tentative="1">
      <w:start w:val="1"/>
      <w:numFmt w:val="decimal"/>
      <w:lvlText w:val="%7."/>
      <w:lvlJc w:val="left"/>
      <w:pPr>
        <w:ind w:left="4890" w:hanging="360"/>
      </w:pPr>
    </w:lvl>
    <w:lvl w:ilvl="7" w:tplc="240A0019" w:tentative="1">
      <w:start w:val="1"/>
      <w:numFmt w:val="lowerLetter"/>
      <w:lvlText w:val="%8."/>
      <w:lvlJc w:val="left"/>
      <w:pPr>
        <w:ind w:left="5610" w:hanging="360"/>
      </w:pPr>
    </w:lvl>
    <w:lvl w:ilvl="8" w:tplc="240A001B" w:tentative="1">
      <w:start w:val="1"/>
      <w:numFmt w:val="lowerRoman"/>
      <w:lvlText w:val="%9."/>
      <w:lvlJc w:val="right"/>
      <w:pPr>
        <w:ind w:left="6330" w:hanging="180"/>
      </w:pPr>
    </w:lvl>
  </w:abstractNum>
  <w:abstractNum w:abstractNumId="2">
    <w:nsid w:val="28435C3F"/>
    <w:multiLevelType w:val="hybridMultilevel"/>
    <w:tmpl w:val="90FEE58E"/>
    <w:lvl w:ilvl="0" w:tplc="520CEB62">
      <w:start w:val="2"/>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2A87876"/>
    <w:multiLevelType w:val="hybridMultilevel"/>
    <w:tmpl w:val="627E0F1C"/>
    <w:lvl w:ilvl="0" w:tplc="00FADBD6">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48CB4C72"/>
    <w:multiLevelType w:val="multilevel"/>
    <w:tmpl w:val="FF9EDCAC"/>
    <w:lvl w:ilvl="0">
      <w:start w:val="1"/>
      <w:numFmt w:val="lowerRoman"/>
      <w:lvlText w:val="%1)"/>
      <w:lvlJc w:val="left"/>
      <w:pPr>
        <w:ind w:left="1997" w:hanging="720"/>
      </w:pPr>
      <w:rPr>
        <w:b/>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5">
    <w:nsid w:val="4E677B73"/>
    <w:multiLevelType w:val="multilevel"/>
    <w:tmpl w:val="940E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740858"/>
    <w:multiLevelType w:val="multilevel"/>
    <w:tmpl w:val="176A847C"/>
    <w:lvl w:ilvl="0">
      <w:start w:val="1"/>
      <w:numFmt w:val="lowerRoman"/>
      <w:lvlText w:val="%1)"/>
      <w:lvlJc w:val="left"/>
      <w:pPr>
        <w:ind w:left="578" w:hanging="720"/>
      </w:pPr>
      <w:rPr>
        <w:b/>
        <w:u w:val="none"/>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7">
    <w:nsid w:val="5EF81EE9"/>
    <w:multiLevelType w:val="hybridMultilevel"/>
    <w:tmpl w:val="DA2A2F60"/>
    <w:lvl w:ilvl="0" w:tplc="0409000F">
      <w:start w:val="1"/>
      <w:numFmt w:val="decimal"/>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8">
    <w:nsid w:val="612357EC"/>
    <w:multiLevelType w:val="hybridMultilevel"/>
    <w:tmpl w:val="4DD68BE8"/>
    <w:lvl w:ilvl="0" w:tplc="989AF128">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9">
    <w:nsid w:val="70FC316F"/>
    <w:multiLevelType w:val="multilevel"/>
    <w:tmpl w:val="78D4DAE2"/>
    <w:lvl w:ilvl="0">
      <w:start w:val="1"/>
      <w:numFmt w:val="lowerRoman"/>
      <w:lvlText w:val="%1)"/>
      <w:lvlJc w:val="left"/>
      <w:pPr>
        <w:ind w:left="1571" w:hanging="72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nsid w:val="754E0834"/>
    <w:multiLevelType w:val="hybridMultilevel"/>
    <w:tmpl w:val="E05CA50E"/>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1">
    <w:nsid w:val="776C2E79"/>
    <w:multiLevelType w:val="multilevel"/>
    <w:tmpl w:val="A6C0ADE4"/>
    <w:lvl w:ilvl="0">
      <w:start w:val="1"/>
      <w:numFmt w:val="lowerRoman"/>
      <w:lvlText w:val="%1)"/>
      <w:lvlJc w:val="left"/>
      <w:pPr>
        <w:ind w:left="1080" w:hanging="720"/>
      </w:pPr>
      <w:rPr>
        <w:b/>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10"/>
  </w:num>
  <w:num w:numId="6">
    <w:abstractNumId w:val="7"/>
  </w:num>
  <w:num w:numId="7">
    <w:abstractNumId w:val="9"/>
  </w:num>
  <w:num w:numId="8">
    <w:abstractNumId w:val="4"/>
  </w:num>
  <w:num w:numId="9">
    <w:abstractNumId w:val="6"/>
  </w:num>
  <w:num w:numId="10">
    <w:abstractNumId w:val="1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124B8"/>
    <w:rsid w:val="000179F1"/>
    <w:rsid w:val="0002009E"/>
    <w:rsid w:val="0002764E"/>
    <w:rsid w:val="00034368"/>
    <w:rsid w:val="000347ED"/>
    <w:rsid w:val="000400EE"/>
    <w:rsid w:val="000603D3"/>
    <w:rsid w:val="000643FE"/>
    <w:rsid w:val="000674CE"/>
    <w:rsid w:val="00076C38"/>
    <w:rsid w:val="0008366E"/>
    <w:rsid w:val="00083C33"/>
    <w:rsid w:val="0009516F"/>
    <w:rsid w:val="000A7951"/>
    <w:rsid w:val="000B7BA1"/>
    <w:rsid w:val="000B7FC7"/>
    <w:rsid w:val="000C07C9"/>
    <w:rsid w:val="000C1779"/>
    <w:rsid w:val="000C51CB"/>
    <w:rsid w:val="000E11C2"/>
    <w:rsid w:val="000E2CB1"/>
    <w:rsid w:val="000E4E9C"/>
    <w:rsid w:val="000F0D59"/>
    <w:rsid w:val="000F286C"/>
    <w:rsid w:val="00102396"/>
    <w:rsid w:val="001051B9"/>
    <w:rsid w:val="0010767F"/>
    <w:rsid w:val="00111BA6"/>
    <w:rsid w:val="001176BD"/>
    <w:rsid w:val="00124F86"/>
    <w:rsid w:val="0012607A"/>
    <w:rsid w:val="001412D4"/>
    <w:rsid w:val="00146466"/>
    <w:rsid w:val="0015426D"/>
    <w:rsid w:val="0015777F"/>
    <w:rsid w:val="001645A1"/>
    <w:rsid w:val="00170E01"/>
    <w:rsid w:val="00175521"/>
    <w:rsid w:val="001B11A0"/>
    <w:rsid w:val="001B24AF"/>
    <w:rsid w:val="001B3073"/>
    <w:rsid w:val="001C443E"/>
    <w:rsid w:val="001C4B0B"/>
    <w:rsid w:val="001E1FFE"/>
    <w:rsid w:val="001E3F0C"/>
    <w:rsid w:val="001F1366"/>
    <w:rsid w:val="001F3415"/>
    <w:rsid w:val="00203BAF"/>
    <w:rsid w:val="00204548"/>
    <w:rsid w:val="00232EEB"/>
    <w:rsid w:val="002419BE"/>
    <w:rsid w:val="002446B7"/>
    <w:rsid w:val="0025745F"/>
    <w:rsid w:val="00265C75"/>
    <w:rsid w:val="00266F05"/>
    <w:rsid w:val="0027373B"/>
    <w:rsid w:val="00281E60"/>
    <w:rsid w:val="00283BF7"/>
    <w:rsid w:val="002960E0"/>
    <w:rsid w:val="00296DD2"/>
    <w:rsid w:val="002B0A6E"/>
    <w:rsid w:val="002B3FA6"/>
    <w:rsid w:val="002B5DE3"/>
    <w:rsid w:val="002B7BC5"/>
    <w:rsid w:val="002C2736"/>
    <w:rsid w:val="002C313D"/>
    <w:rsid w:val="002D36BF"/>
    <w:rsid w:val="002F570D"/>
    <w:rsid w:val="002F603A"/>
    <w:rsid w:val="003048FD"/>
    <w:rsid w:val="00310BD0"/>
    <w:rsid w:val="00316E7C"/>
    <w:rsid w:val="00321E0D"/>
    <w:rsid w:val="003455CB"/>
    <w:rsid w:val="00352BB2"/>
    <w:rsid w:val="003572F2"/>
    <w:rsid w:val="003652A3"/>
    <w:rsid w:val="00370333"/>
    <w:rsid w:val="00371367"/>
    <w:rsid w:val="003729B1"/>
    <w:rsid w:val="00374B50"/>
    <w:rsid w:val="003756F8"/>
    <w:rsid w:val="00376461"/>
    <w:rsid w:val="003775E6"/>
    <w:rsid w:val="003831CF"/>
    <w:rsid w:val="003877D7"/>
    <w:rsid w:val="003B2CD7"/>
    <w:rsid w:val="003D37C7"/>
    <w:rsid w:val="003F22E4"/>
    <w:rsid w:val="003F7482"/>
    <w:rsid w:val="00403989"/>
    <w:rsid w:val="00404395"/>
    <w:rsid w:val="004325B6"/>
    <w:rsid w:val="00435772"/>
    <w:rsid w:val="0045788D"/>
    <w:rsid w:val="004721F2"/>
    <w:rsid w:val="00472F92"/>
    <w:rsid w:val="004747EE"/>
    <w:rsid w:val="0048299A"/>
    <w:rsid w:val="00484D12"/>
    <w:rsid w:val="004937A0"/>
    <w:rsid w:val="004961B6"/>
    <w:rsid w:val="004A329B"/>
    <w:rsid w:val="004A6139"/>
    <w:rsid w:val="004B37AE"/>
    <w:rsid w:val="004B48A7"/>
    <w:rsid w:val="004C32FC"/>
    <w:rsid w:val="004C59FD"/>
    <w:rsid w:val="004D48F0"/>
    <w:rsid w:val="004D55BD"/>
    <w:rsid w:val="004E422C"/>
    <w:rsid w:val="004F4257"/>
    <w:rsid w:val="004F49B6"/>
    <w:rsid w:val="004F60B8"/>
    <w:rsid w:val="004F63E5"/>
    <w:rsid w:val="004F73D2"/>
    <w:rsid w:val="00503E9D"/>
    <w:rsid w:val="0050537E"/>
    <w:rsid w:val="00513DF8"/>
    <w:rsid w:val="00522F83"/>
    <w:rsid w:val="005235AD"/>
    <w:rsid w:val="0052444F"/>
    <w:rsid w:val="00534203"/>
    <w:rsid w:val="00535D72"/>
    <w:rsid w:val="00536B96"/>
    <w:rsid w:val="00540083"/>
    <w:rsid w:val="00541008"/>
    <w:rsid w:val="0054647E"/>
    <w:rsid w:val="005517F3"/>
    <w:rsid w:val="00574941"/>
    <w:rsid w:val="00582813"/>
    <w:rsid w:val="0058657B"/>
    <w:rsid w:val="005A3D78"/>
    <w:rsid w:val="005A576B"/>
    <w:rsid w:val="005A5952"/>
    <w:rsid w:val="005B2210"/>
    <w:rsid w:val="005B4EAE"/>
    <w:rsid w:val="005C0843"/>
    <w:rsid w:val="005C0A22"/>
    <w:rsid w:val="005C5BAD"/>
    <w:rsid w:val="005C7D3E"/>
    <w:rsid w:val="005D2F81"/>
    <w:rsid w:val="005D3C35"/>
    <w:rsid w:val="005F3B9E"/>
    <w:rsid w:val="005F5FEC"/>
    <w:rsid w:val="00601F0E"/>
    <w:rsid w:val="00607725"/>
    <w:rsid w:val="006158AE"/>
    <w:rsid w:val="006343BF"/>
    <w:rsid w:val="00637688"/>
    <w:rsid w:val="006417DE"/>
    <w:rsid w:val="00642EF5"/>
    <w:rsid w:val="006438E1"/>
    <w:rsid w:val="00647512"/>
    <w:rsid w:val="00654984"/>
    <w:rsid w:val="00665A9C"/>
    <w:rsid w:val="006724A9"/>
    <w:rsid w:val="0067281A"/>
    <w:rsid w:val="0067455E"/>
    <w:rsid w:val="0067641E"/>
    <w:rsid w:val="0067740C"/>
    <w:rsid w:val="0068080C"/>
    <w:rsid w:val="00682C1C"/>
    <w:rsid w:val="0068369B"/>
    <w:rsid w:val="006915E1"/>
    <w:rsid w:val="0069258E"/>
    <w:rsid w:val="0069360F"/>
    <w:rsid w:val="00696073"/>
    <w:rsid w:val="006B58CF"/>
    <w:rsid w:val="006C244C"/>
    <w:rsid w:val="006C3E27"/>
    <w:rsid w:val="006D23D9"/>
    <w:rsid w:val="006D7439"/>
    <w:rsid w:val="006E0408"/>
    <w:rsid w:val="006F1E48"/>
    <w:rsid w:val="006F2E70"/>
    <w:rsid w:val="006F309E"/>
    <w:rsid w:val="0071209F"/>
    <w:rsid w:val="00730794"/>
    <w:rsid w:val="00736FFD"/>
    <w:rsid w:val="0075240B"/>
    <w:rsid w:val="00760B87"/>
    <w:rsid w:val="0077125D"/>
    <w:rsid w:val="00773E0C"/>
    <w:rsid w:val="007A44E4"/>
    <w:rsid w:val="007A618A"/>
    <w:rsid w:val="007A640D"/>
    <w:rsid w:val="007B4F50"/>
    <w:rsid w:val="007B65AD"/>
    <w:rsid w:val="007C74A7"/>
    <w:rsid w:val="007D21A4"/>
    <w:rsid w:val="007D3408"/>
    <w:rsid w:val="007E2712"/>
    <w:rsid w:val="007F0C6E"/>
    <w:rsid w:val="007F1D24"/>
    <w:rsid w:val="00810675"/>
    <w:rsid w:val="00815277"/>
    <w:rsid w:val="00834B6E"/>
    <w:rsid w:val="00851377"/>
    <w:rsid w:val="00852190"/>
    <w:rsid w:val="0085794F"/>
    <w:rsid w:val="00863BBB"/>
    <w:rsid w:val="00863D4B"/>
    <w:rsid w:val="0087039C"/>
    <w:rsid w:val="00871444"/>
    <w:rsid w:val="008857A6"/>
    <w:rsid w:val="00886A59"/>
    <w:rsid w:val="00896F08"/>
    <w:rsid w:val="008C3F1F"/>
    <w:rsid w:val="008D2ED6"/>
    <w:rsid w:val="008D6682"/>
    <w:rsid w:val="008E061B"/>
    <w:rsid w:val="008E1115"/>
    <w:rsid w:val="008F02EB"/>
    <w:rsid w:val="009058C6"/>
    <w:rsid w:val="00910DAC"/>
    <w:rsid w:val="00912DD7"/>
    <w:rsid w:val="00915C0D"/>
    <w:rsid w:val="00927330"/>
    <w:rsid w:val="0092744F"/>
    <w:rsid w:val="00927AE4"/>
    <w:rsid w:val="009304B1"/>
    <w:rsid w:val="00953A9A"/>
    <w:rsid w:val="009544D9"/>
    <w:rsid w:val="0095551B"/>
    <w:rsid w:val="009637DF"/>
    <w:rsid w:val="00963E30"/>
    <w:rsid w:val="00971E04"/>
    <w:rsid w:val="009824EF"/>
    <w:rsid w:val="00984F42"/>
    <w:rsid w:val="009932F1"/>
    <w:rsid w:val="00993BB4"/>
    <w:rsid w:val="009A5162"/>
    <w:rsid w:val="009B645A"/>
    <w:rsid w:val="009D5F41"/>
    <w:rsid w:val="009E41A8"/>
    <w:rsid w:val="009F0E10"/>
    <w:rsid w:val="00A01305"/>
    <w:rsid w:val="00A01C1A"/>
    <w:rsid w:val="00A0558D"/>
    <w:rsid w:val="00A11E04"/>
    <w:rsid w:val="00A177FA"/>
    <w:rsid w:val="00A46A7B"/>
    <w:rsid w:val="00A52DC6"/>
    <w:rsid w:val="00A570C6"/>
    <w:rsid w:val="00A574C3"/>
    <w:rsid w:val="00A63F97"/>
    <w:rsid w:val="00A67478"/>
    <w:rsid w:val="00A83DAE"/>
    <w:rsid w:val="00AA3DC5"/>
    <w:rsid w:val="00AB0713"/>
    <w:rsid w:val="00AC2BEA"/>
    <w:rsid w:val="00AC585F"/>
    <w:rsid w:val="00AD02C7"/>
    <w:rsid w:val="00AE120F"/>
    <w:rsid w:val="00AE1255"/>
    <w:rsid w:val="00AE1660"/>
    <w:rsid w:val="00B06E58"/>
    <w:rsid w:val="00B17C11"/>
    <w:rsid w:val="00B2028B"/>
    <w:rsid w:val="00B303DE"/>
    <w:rsid w:val="00B30A0D"/>
    <w:rsid w:val="00B32722"/>
    <w:rsid w:val="00B61505"/>
    <w:rsid w:val="00B63D2A"/>
    <w:rsid w:val="00B64D54"/>
    <w:rsid w:val="00B75203"/>
    <w:rsid w:val="00B86149"/>
    <w:rsid w:val="00B965E5"/>
    <w:rsid w:val="00BA0A1A"/>
    <w:rsid w:val="00BA4E0B"/>
    <w:rsid w:val="00BB3A4B"/>
    <w:rsid w:val="00BB5149"/>
    <w:rsid w:val="00BD76A5"/>
    <w:rsid w:val="00BE1480"/>
    <w:rsid w:val="00BE5428"/>
    <w:rsid w:val="00BE634C"/>
    <w:rsid w:val="00BF34E3"/>
    <w:rsid w:val="00BF4F92"/>
    <w:rsid w:val="00BF6C85"/>
    <w:rsid w:val="00C00899"/>
    <w:rsid w:val="00C01196"/>
    <w:rsid w:val="00C05986"/>
    <w:rsid w:val="00C05FE9"/>
    <w:rsid w:val="00C114EC"/>
    <w:rsid w:val="00C13EA7"/>
    <w:rsid w:val="00C1685A"/>
    <w:rsid w:val="00C23433"/>
    <w:rsid w:val="00C23F57"/>
    <w:rsid w:val="00C24FC2"/>
    <w:rsid w:val="00C34BD1"/>
    <w:rsid w:val="00C34F2A"/>
    <w:rsid w:val="00C414F2"/>
    <w:rsid w:val="00C64899"/>
    <w:rsid w:val="00C66652"/>
    <w:rsid w:val="00C7069C"/>
    <w:rsid w:val="00C73EE9"/>
    <w:rsid w:val="00C75C7B"/>
    <w:rsid w:val="00C8272B"/>
    <w:rsid w:val="00C84633"/>
    <w:rsid w:val="00C92D50"/>
    <w:rsid w:val="00C96031"/>
    <w:rsid w:val="00C960C4"/>
    <w:rsid w:val="00CA1934"/>
    <w:rsid w:val="00CA4DEE"/>
    <w:rsid w:val="00CC21CA"/>
    <w:rsid w:val="00CC7223"/>
    <w:rsid w:val="00CD421B"/>
    <w:rsid w:val="00CE41FA"/>
    <w:rsid w:val="00CE4225"/>
    <w:rsid w:val="00CF3981"/>
    <w:rsid w:val="00CF4328"/>
    <w:rsid w:val="00CF672B"/>
    <w:rsid w:val="00D0215B"/>
    <w:rsid w:val="00D02286"/>
    <w:rsid w:val="00D04ABA"/>
    <w:rsid w:val="00D10F3D"/>
    <w:rsid w:val="00D10FDD"/>
    <w:rsid w:val="00D123B8"/>
    <w:rsid w:val="00D23552"/>
    <w:rsid w:val="00D27E9F"/>
    <w:rsid w:val="00D30881"/>
    <w:rsid w:val="00D3392D"/>
    <w:rsid w:val="00D35426"/>
    <w:rsid w:val="00D45EBF"/>
    <w:rsid w:val="00D56956"/>
    <w:rsid w:val="00D756CE"/>
    <w:rsid w:val="00D80A76"/>
    <w:rsid w:val="00D810CB"/>
    <w:rsid w:val="00D8350D"/>
    <w:rsid w:val="00DA3876"/>
    <w:rsid w:val="00DB34C5"/>
    <w:rsid w:val="00DB693E"/>
    <w:rsid w:val="00DC2ED4"/>
    <w:rsid w:val="00DC6A81"/>
    <w:rsid w:val="00DC6DE7"/>
    <w:rsid w:val="00DC7559"/>
    <w:rsid w:val="00DC7DDC"/>
    <w:rsid w:val="00DD654D"/>
    <w:rsid w:val="00DD7587"/>
    <w:rsid w:val="00E15245"/>
    <w:rsid w:val="00E325C3"/>
    <w:rsid w:val="00E359F6"/>
    <w:rsid w:val="00E470B0"/>
    <w:rsid w:val="00E53447"/>
    <w:rsid w:val="00E85BF5"/>
    <w:rsid w:val="00E90030"/>
    <w:rsid w:val="00EA320A"/>
    <w:rsid w:val="00EB2682"/>
    <w:rsid w:val="00EB3EBD"/>
    <w:rsid w:val="00EC34C5"/>
    <w:rsid w:val="00EC58FE"/>
    <w:rsid w:val="00EC63B6"/>
    <w:rsid w:val="00EC7055"/>
    <w:rsid w:val="00ED5628"/>
    <w:rsid w:val="00EE56A4"/>
    <w:rsid w:val="00EE74ED"/>
    <w:rsid w:val="00EE78B1"/>
    <w:rsid w:val="00EF0082"/>
    <w:rsid w:val="00EF39A3"/>
    <w:rsid w:val="00EF7F49"/>
    <w:rsid w:val="00F3324F"/>
    <w:rsid w:val="00F44E71"/>
    <w:rsid w:val="00F464B3"/>
    <w:rsid w:val="00F6249F"/>
    <w:rsid w:val="00F641B8"/>
    <w:rsid w:val="00F650A3"/>
    <w:rsid w:val="00F74A1B"/>
    <w:rsid w:val="00F762D8"/>
    <w:rsid w:val="00F77611"/>
    <w:rsid w:val="00FD6A7E"/>
    <w:rsid w:val="00FD789B"/>
    <w:rsid w:val="00FE3E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iPriority w:val="99"/>
    <w:semiHidden/>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iPriority w:val="99"/>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1"/>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
    <w:link w:val="Prrafodelista"/>
    <w:uiPriority w:val="34"/>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51F8F-DC3C-44D8-A6AE-685E0746D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3175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Javier Eduardo Figueroa Pulido</cp:lastModifiedBy>
  <cp:revision>3</cp:revision>
  <cp:lastPrinted>2021-02-22T18:55:00Z</cp:lastPrinted>
  <dcterms:created xsi:type="dcterms:W3CDTF">2021-02-22T18:55:00Z</dcterms:created>
  <dcterms:modified xsi:type="dcterms:W3CDTF">2021-02-22T19:07:00Z</dcterms:modified>
</cp:coreProperties>
</file>