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8C39A" w14:textId="285DE1AC" w:rsidR="007F266C" w:rsidRPr="00507198" w:rsidRDefault="008468D8" w:rsidP="00507198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bookmarkStart w:id="0" w:name="_GoBack"/>
      <w:r w:rsidRPr="00507198">
        <w:rPr>
          <w:rFonts w:ascii="Book Antiqua" w:eastAsia="Century Gothic" w:hAnsi="Book Antiqua" w:cs="Times New Roman"/>
          <w:b/>
          <w:color w:val="000000"/>
          <w:sz w:val="24"/>
          <w:szCs w:val="24"/>
          <w:lang w:val="es-CO"/>
        </w:rPr>
        <w:t xml:space="preserve">TEXTO APROBADO EN PRIMER DEBATE EN LA COMISIÓN PRIMERA DE LA CÁMARA DE REPRESENTANTES DEL </w:t>
      </w:r>
      <w:r w:rsidRPr="00507198">
        <w:rPr>
          <w:rFonts w:ascii="Book Antiqua" w:eastAsia="Century Gothic" w:hAnsi="Book Antiqua" w:cs="Times New Roman"/>
          <w:b/>
          <w:color w:val="000000"/>
          <w:sz w:val="24"/>
          <w:szCs w:val="24"/>
        </w:rPr>
        <w:t>PROYECTO DE LEY ESTATUTARIA No.</w:t>
      </w:r>
      <w:r w:rsidRPr="00507198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7F266C" w:rsidRPr="00507198">
        <w:rPr>
          <w:rFonts w:ascii="Book Antiqua" w:eastAsia="Book Antiqua" w:hAnsi="Book Antiqua" w:cs="Book Antiqua"/>
          <w:b/>
          <w:sz w:val="24"/>
          <w:szCs w:val="24"/>
        </w:rPr>
        <w:t>044 - 2024 CÁMARA</w:t>
      </w:r>
    </w:p>
    <w:p w14:paraId="5B6FEAB2" w14:textId="11917970" w:rsidR="007F266C" w:rsidRPr="00507198" w:rsidRDefault="00507198" w:rsidP="00507198">
      <w:pPr>
        <w:spacing w:after="0" w:line="240" w:lineRule="auto"/>
        <w:jc w:val="center"/>
        <w:rPr>
          <w:rFonts w:ascii="Book Antiqua" w:eastAsia="Book Antiqua" w:hAnsi="Book Antiqua" w:cs="Book Antiqua"/>
          <w:b/>
          <w:color w:val="333333"/>
          <w:sz w:val="24"/>
          <w:szCs w:val="24"/>
        </w:rPr>
      </w:pPr>
      <w:r w:rsidRPr="00507198">
        <w:rPr>
          <w:rFonts w:ascii="Book Antiqua" w:eastAsia="Book Antiqua" w:hAnsi="Book Antiqua" w:cs="Book Antiqua"/>
          <w:b/>
          <w:color w:val="333333"/>
          <w:sz w:val="24"/>
          <w:szCs w:val="24"/>
        </w:rPr>
        <w:t>“POR MEDIO DEL CUAL SE ADICIONA LA LEY 2157 DE 2021 PARA ESTABLECER UN BENEFICIO ESPECIAL DE EXCLUSIÓN DEL REPORTE NEGATIVO EN LOS BANCOS DE DATOS DE INFORMACIÓN FINANCIERA Y CREDITICIA PARA LOS DEUDORES Y CODEUDORES DE CRÉDITOS EDUCATIVOS”</w:t>
      </w:r>
    </w:p>
    <w:bookmarkEnd w:id="0"/>
    <w:p w14:paraId="6F8B97B6" w14:textId="77777777" w:rsidR="007F266C" w:rsidRPr="00507198" w:rsidRDefault="007F266C" w:rsidP="007F266C">
      <w:pPr>
        <w:spacing w:line="276" w:lineRule="auto"/>
        <w:jc w:val="center"/>
        <w:rPr>
          <w:rFonts w:ascii="Book Antiqua" w:eastAsia="Book Antiqua" w:hAnsi="Book Antiqua" w:cs="Book Antiqua"/>
          <w:b/>
          <w:color w:val="333333"/>
          <w:sz w:val="24"/>
          <w:szCs w:val="24"/>
        </w:rPr>
      </w:pPr>
    </w:p>
    <w:p w14:paraId="59481448" w14:textId="2D42F7C8" w:rsidR="007F266C" w:rsidRPr="00507198" w:rsidRDefault="00507198" w:rsidP="007F266C">
      <w:pPr>
        <w:spacing w:line="276" w:lineRule="auto"/>
        <w:jc w:val="center"/>
        <w:rPr>
          <w:rFonts w:ascii="Book Antiqua" w:eastAsia="Book Antiqua" w:hAnsi="Book Antiqua" w:cs="Book Antiqua"/>
          <w:b/>
          <w:color w:val="333333"/>
          <w:sz w:val="24"/>
          <w:szCs w:val="24"/>
        </w:rPr>
      </w:pPr>
      <w:r w:rsidRPr="00507198">
        <w:rPr>
          <w:rFonts w:ascii="Book Antiqua" w:eastAsia="Book Antiqua" w:hAnsi="Book Antiqua" w:cs="Book Antiqua"/>
          <w:b/>
          <w:color w:val="333333"/>
          <w:sz w:val="24"/>
          <w:szCs w:val="24"/>
        </w:rPr>
        <w:t>EL CONGRESO DE COLOMBIA</w:t>
      </w:r>
    </w:p>
    <w:p w14:paraId="3D3EEF0A" w14:textId="77777777" w:rsidR="007F266C" w:rsidRPr="00507198" w:rsidRDefault="007F266C" w:rsidP="007F266C">
      <w:pPr>
        <w:spacing w:line="276" w:lineRule="auto"/>
        <w:jc w:val="center"/>
        <w:rPr>
          <w:rFonts w:ascii="Book Antiqua" w:eastAsia="Book Antiqua" w:hAnsi="Book Antiqua" w:cs="Book Antiqua"/>
          <w:b/>
          <w:color w:val="333333"/>
          <w:sz w:val="24"/>
          <w:szCs w:val="24"/>
        </w:rPr>
      </w:pPr>
    </w:p>
    <w:p w14:paraId="32652727" w14:textId="1684416D" w:rsidR="007F266C" w:rsidRPr="00507198" w:rsidRDefault="00507198" w:rsidP="007F266C">
      <w:pPr>
        <w:spacing w:line="276" w:lineRule="auto"/>
        <w:jc w:val="center"/>
        <w:rPr>
          <w:rFonts w:ascii="Book Antiqua" w:eastAsia="Book Antiqua" w:hAnsi="Book Antiqua" w:cs="Book Antiqua"/>
          <w:b/>
          <w:color w:val="333333"/>
          <w:sz w:val="24"/>
          <w:szCs w:val="24"/>
        </w:rPr>
      </w:pPr>
      <w:r w:rsidRPr="00507198">
        <w:rPr>
          <w:rFonts w:ascii="Book Antiqua" w:eastAsia="Book Antiqua" w:hAnsi="Book Antiqua" w:cs="Book Antiqua"/>
          <w:b/>
          <w:color w:val="333333"/>
          <w:sz w:val="24"/>
          <w:szCs w:val="24"/>
        </w:rPr>
        <w:t>DECRETA:</w:t>
      </w:r>
    </w:p>
    <w:p w14:paraId="6D9BD8CF" w14:textId="77777777" w:rsidR="007F266C" w:rsidRPr="007D5774" w:rsidRDefault="007F266C" w:rsidP="007F266C">
      <w:pPr>
        <w:spacing w:line="276" w:lineRule="auto"/>
        <w:jc w:val="center"/>
        <w:rPr>
          <w:rFonts w:ascii="Book Antiqua" w:eastAsia="Book Antiqua" w:hAnsi="Book Antiqua" w:cs="Book Antiqua"/>
          <w:i/>
          <w:color w:val="333333"/>
        </w:rPr>
      </w:pPr>
    </w:p>
    <w:p w14:paraId="0ED96EA5" w14:textId="77777777" w:rsidR="007F266C" w:rsidRPr="007D5774" w:rsidRDefault="007F266C" w:rsidP="007F266C">
      <w:pPr>
        <w:spacing w:line="276" w:lineRule="auto"/>
        <w:jc w:val="both"/>
        <w:rPr>
          <w:rFonts w:ascii="Book Antiqua" w:eastAsia="Book Antiqua" w:hAnsi="Book Antiqua" w:cs="Book Antiqua"/>
          <w:highlight w:val="white"/>
        </w:rPr>
      </w:pPr>
      <w:r w:rsidRPr="007D5774">
        <w:rPr>
          <w:rFonts w:ascii="Book Antiqua" w:eastAsia="Book Antiqua" w:hAnsi="Book Antiqua" w:cs="Book Antiqua"/>
          <w:b/>
        </w:rPr>
        <w:t>Artículo 1: Objeto</w:t>
      </w:r>
      <w:r w:rsidRPr="007D5774">
        <w:rPr>
          <w:rFonts w:ascii="Book Antiqua" w:eastAsia="Book Antiqua" w:hAnsi="Book Antiqua" w:cs="Book Antiqua"/>
        </w:rPr>
        <w:t xml:space="preserve">. La presente Ley tiene como objeto incorporar un beneficio especial de exclusión del reporte negativo en  los bancos de datos de información financiera y crediticia a los deudores </w:t>
      </w:r>
      <w:r w:rsidRPr="007D5774">
        <w:rPr>
          <w:rFonts w:ascii="Book Antiqua" w:eastAsia="Book Antiqua" w:hAnsi="Book Antiqua" w:cs="Book Antiqua"/>
          <w:highlight w:val="white"/>
        </w:rPr>
        <w:t>y codeudores</w:t>
      </w:r>
      <w:r w:rsidRPr="007D5774">
        <w:rPr>
          <w:rFonts w:ascii="Book Antiqua" w:eastAsia="Book Antiqua" w:hAnsi="Book Antiqua" w:cs="Book Antiqua"/>
        </w:rPr>
        <w:t xml:space="preserve"> de los créditos educativos que manifiesten voluntad de pago, con el fin de promover su desarrollo académico y profesional, no generar impactos adversos en su capacidad crediticia por esta tipología de obligaciones, contribuyendo así al fortalecimiento del acceso equitativo a la educación y </w:t>
      </w:r>
      <w:r w:rsidRPr="007D5774">
        <w:rPr>
          <w:rFonts w:ascii="Book Antiqua" w:eastAsia="Book Antiqua" w:hAnsi="Book Antiqua" w:cs="Book Antiqua"/>
          <w:highlight w:val="white"/>
        </w:rPr>
        <w:t>la continuidad de los procesos de formación.</w:t>
      </w:r>
    </w:p>
    <w:p w14:paraId="467663B7" w14:textId="77777777" w:rsidR="007F266C" w:rsidRPr="007D5774" w:rsidRDefault="007F266C" w:rsidP="007F266C">
      <w:pPr>
        <w:spacing w:line="276" w:lineRule="auto"/>
        <w:jc w:val="both"/>
        <w:rPr>
          <w:rFonts w:ascii="Book Antiqua" w:eastAsia="Book Antiqua" w:hAnsi="Book Antiqua" w:cs="Book Antiqua"/>
        </w:rPr>
      </w:pPr>
    </w:p>
    <w:p w14:paraId="46DC5107" w14:textId="314DFD05" w:rsidR="007F266C" w:rsidRPr="007D5774" w:rsidRDefault="007F266C" w:rsidP="007F266C">
      <w:pPr>
        <w:spacing w:line="276" w:lineRule="auto"/>
        <w:jc w:val="both"/>
        <w:rPr>
          <w:rFonts w:ascii="Book Antiqua" w:eastAsia="Book Antiqua" w:hAnsi="Book Antiqua" w:cs="Book Antiqua"/>
        </w:rPr>
      </w:pPr>
      <w:r w:rsidRPr="007D5774">
        <w:rPr>
          <w:rFonts w:ascii="Book Antiqua" w:eastAsia="Book Antiqua" w:hAnsi="Book Antiqua" w:cs="Book Antiqua"/>
          <w:b/>
        </w:rPr>
        <w:t xml:space="preserve">Artículo 2º. Ámbito de aplicación. </w:t>
      </w:r>
      <w:r w:rsidRPr="007D5774">
        <w:rPr>
          <w:rFonts w:ascii="Book Antiqua" w:eastAsia="Book Antiqua" w:hAnsi="Book Antiqua" w:cs="Book Antiqua"/>
        </w:rPr>
        <w:t>La presente Ley se aplica a todos los consumidores de créditos educativos, deudores y codeudores, que por cualquier causa presenten imposibilidad de pago en sus obligaciones crediticias con el Instituto Colombiano de Crédito Educativo y Estudios Técnicos en el Exterior – I</w:t>
      </w:r>
      <w:r w:rsidR="00DD5660">
        <w:rPr>
          <w:rFonts w:ascii="Book Antiqua" w:eastAsia="Book Antiqua" w:hAnsi="Book Antiqua" w:cs="Book Antiqua"/>
        </w:rPr>
        <w:t xml:space="preserve">CETEX, o quién haga sus veces, así como </w:t>
      </w:r>
      <w:r w:rsidRPr="007D5774">
        <w:rPr>
          <w:rFonts w:ascii="Book Antiqua" w:eastAsia="Book Antiqua" w:hAnsi="Book Antiqua" w:cs="Book Antiqua"/>
        </w:rPr>
        <w:t xml:space="preserve">con cualquier otra entidad </w:t>
      </w:r>
      <w:r w:rsidR="003524D8">
        <w:rPr>
          <w:rFonts w:ascii="Book Antiqua" w:eastAsia="Book Antiqua" w:hAnsi="Book Antiqua" w:cs="Book Antiqua"/>
        </w:rPr>
        <w:t xml:space="preserve">financiera y/o crediticia </w:t>
      </w:r>
      <w:r w:rsidRPr="007D5774">
        <w:rPr>
          <w:rFonts w:ascii="Book Antiqua" w:eastAsia="Book Antiqua" w:hAnsi="Book Antiqua" w:cs="Book Antiqua"/>
        </w:rPr>
        <w:t>por concepto de créditos educativos, y se encuentren en mora para su pago, pero que manifiestan voluntad de pago en el cumplimiento de sus obligaciones.</w:t>
      </w:r>
    </w:p>
    <w:p w14:paraId="0D1D4274" w14:textId="77777777" w:rsidR="007F266C" w:rsidRPr="007D5774" w:rsidRDefault="007F266C" w:rsidP="007F266C">
      <w:pPr>
        <w:spacing w:line="276" w:lineRule="auto"/>
        <w:jc w:val="both"/>
        <w:rPr>
          <w:rFonts w:ascii="Book Antiqua" w:eastAsia="Book Antiqua" w:hAnsi="Book Antiqua" w:cs="Book Antiqua"/>
          <w:b/>
        </w:rPr>
      </w:pPr>
    </w:p>
    <w:p w14:paraId="368B0580" w14:textId="2F5A5C8D" w:rsidR="007F266C" w:rsidRPr="007D5774" w:rsidRDefault="007F266C" w:rsidP="007F266C">
      <w:pPr>
        <w:spacing w:line="276" w:lineRule="auto"/>
        <w:jc w:val="both"/>
        <w:rPr>
          <w:rFonts w:ascii="Book Antiqua" w:eastAsia="Book Antiqua" w:hAnsi="Book Antiqua" w:cs="Book Antiqua"/>
        </w:rPr>
      </w:pPr>
      <w:r w:rsidRPr="007D5774">
        <w:rPr>
          <w:rFonts w:ascii="Book Antiqua" w:eastAsia="Book Antiqua" w:hAnsi="Book Antiqua" w:cs="Book Antiqua"/>
          <w:b/>
        </w:rPr>
        <w:t>Parágrafo</w:t>
      </w:r>
      <w:r w:rsidR="00FA72E8">
        <w:rPr>
          <w:rFonts w:ascii="Book Antiqua" w:eastAsia="Book Antiqua" w:hAnsi="Book Antiqua" w:cs="Book Antiqua"/>
          <w:b/>
        </w:rPr>
        <w:t>.</w:t>
      </w:r>
      <w:r w:rsidRPr="007D5774">
        <w:rPr>
          <w:rFonts w:ascii="Book Antiqua" w:eastAsia="Book Antiqua" w:hAnsi="Book Antiqua" w:cs="Book Antiqua"/>
          <w:b/>
        </w:rPr>
        <w:t xml:space="preserve"> </w:t>
      </w:r>
      <w:r w:rsidRPr="007D5774">
        <w:rPr>
          <w:rFonts w:ascii="Book Antiqua" w:eastAsia="Book Antiqua" w:hAnsi="Book Antiqua" w:cs="Book Antiqua"/>
        </w:rPr>
        <w:t xml:space="preserve">Para efectos de esta Ley, se entenderá por voluntad de pago la manifestación expresa de los deudores o codeudores de créditos educativos que, a pesar de encontrarse en mora, manifiestan su disposición a cumplir con sus obligaciones crediticias. Esta manifestación puede realizarse a través de la </w:t>
      </w:r>
      <w:r>
        <w:rPr>
          <w:rFonts w:ascii="Book Antiqua" w:eastAsia="Book Antiqua" w:hAnsi="Book Antiqua" w:cs="Book Antiqua"/>
        </w:rPr>
        <w:t>suscripción de</w:t>
      </w:r>
      <w:r w:rsidRPr="007D5774">
        <w:rPr>
          <w:rFonts w:ascii="Book Antiqua" w:eastAsia="Book Antiqua" w:hAnsi="Book Antiqua" w:cs="Book Antiqua"/>
        </w:rPr>
        <w:t xml:space="preserve"> acuerdos de refinanciación, o </w:t>
      </w:r>
      <w:r w:rsidRPr="007D5774">
        <w:rPr>
          <w:rFonts w:ascii="Book Antiqua" w:eastAsia="Book Antiqua" w:hAnsi="Book Antiqua" w:cs="Book Antiqua"/>
        </w:rPr>
        <w:lastRenderedPageBreak/>
        <w:t>cualquier otro mecanismo que demuestre la intención de retomar o continuar los pagos de la deuda contraída acordado con las partes siempre que dichas acciones se lleven a cabo dentro de los plazos y condiciones establec</w:t>
      </w:r>
      <w:r w:rsidR="00DD5660">
        <w:rPr>
          <w:rFonts w:ascii="Book Antiqua" w:eastAsia="Book Antiqua" w:hAnsi="Book Antiqua" w:cs="Book Antiqua"/>
        </w:rPr>
        <w:t>idas por la entidad crediticia, las cuales no podrán ser más gravosas que las originales.</w:t>
      </w:r>
    </w:p>
    <w:p w14:paraId="05AA6226" w14:textId="77777777" w:rsidR="00507198" w:rsidRDefault="00507198" w:rsidP="007F266C">
      <w:pPr>
        <w:spacing w:line="276" w:lineRule="auto"/>
        <w:jc w:val="both"/>
        <w:rPr>
          <w:rFonts w:ascii="Book Antiqua" w:eastAsia="Book Antiqua" w:hAnsi="Book Antiqua" w:cs="Book Antiqua"/>
          <w:b/>
        </w:rPr>
      </w:pPr>
    </w:p>
    <w:p w14:paraId="0E5EE388" w14:textId="63914C94" w:rsidR="007F266C" w:rsidRPr="007D5774" w:rsidRDefault="00507198" w:rsidP="007F266C">
      <w:pPr>
        <w:spacing w:line="276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P</w:t>
      </w:r>
      <w:r w:rsidR="00FA72E8" w:rsidRPr="00FA72E8">
        <w:rPr>
          <w:rFonts w:ascii="Book Antiqua" w:eastAsia="Book Antiqua" w:hAnsi="Book Antiqua" w:cs="Book Antiqua"/>
          <w:b/>
        </w:rPr>
        <w:t>arágrafo Transitorio.</w:t>
      </w:r>
      <w:r w:rsidR="00FA72E8">
        <w:rPr>
          <w:rFonts w:ascii="Book Antiqua" w:eastAsia="Book Antiqua" w:hAnsi="Book Antiqua" w:cs="Book Antiqua"/>
        </w:rPr>
        <w:t xml:space="preserve"> Las entidades financieras de las que trata la presente ley, en un plazo no mayor a 30 días, deberán adoptar y reglamentar programas especiales de renegociación, refinanciación u otro necesario para el cumplimiento de este artículo.</w:t>
      </w:r>
    </w:p>
    <w:p w14:paraId="2DC23C8E" w14:textId="77777777" w:rsidR="00DD5660" w:rsidRDefault="00DD5660" w:rsidP="007F266C">
      <w:pPr>
        <w:spacing w:line="276" w:lineRule="auto"/>
        <w:jc w:val="both"/>
        <w:rPr>
          <w:rFonts w:ascii="Book Antiqua" w:eastAsia="Book Antiqua" w:hAnsi="Book Antiqua" w:cs="Book Antiqua"/>
          <w:b/>
        </w:rPr>
      </w:pPr>
    </w:p>
    <w:p w14:paraId="694B9EB0" w14:textId="1462CF95" w:rsidR="007F266C" w:rsidRPr="007D5774" w:rsidRDefault="007F266C" w:rsidP="007F266C">
      <w:pPr>
        <w:spacing w:line="276" w:lineRule="auto"/>
        <w:jc w:val="both"/>
        <w:rPr>
          <w:rFonts w:ascii="Book Antiqua" w:eastAsia="Book Antiqua" w:hAnsi="Book Antiqua" w:cs="Book Antiqua"/>
          <w:strike/>
        </w:rPr>
      </w:pPr>
      <w:r w:rsidRPr="007D5774">
        <w:rPr>
          <w:rFonts w:ascii="Book Antiqua" w:eastAsia="Book Antiqua" w:hAnsi="Book Antiqua" w:cs="Book Antiqua"/>
          <w:b/>
        </w:rPr>
        <w:t>Artículo 3º:</w:t>
      </w:r>
      <w:r w:rsidRPr="007D5774">
        <w:rPr>
          <w:rFonts w:ascii="Book Antiqua" w:eastAsia="Book Antiqua" w:hAnsi="Book Antiqua" w:cs="Book Antiqua"/>
        </w:rPr>
        <w:t xml:space="preserve"> Adiciónese el artículo 4A a la Ley 2157 de 2021, el cual quedará así:</w:t>
      </w:r>
    </w:p>
    <w:p w14:paraId="1513AE51" w14:textId="77777777" w:rsidR="007F266C" w:rsidRPr="007D5774" w:rsidRDefault="007F266C" w:rsidP="007F266C">
      <w:pPr>
        <w:spacing w:line="276" w:lineRule="auto"/>
        <w:jc w:val="both"/>
        <w:rPr>
          <w:rFonts w:ascii="Book Antiqua" w:eastAsia="Book Antiqua" w:hAnsi="Book Antiqua" w:cs="Book Antiqua"/>
          <w:highlight w:val="white"/>
        </w:rPr>
      </w:pPr>
    </w:p>
    <w:p w14:paraId="2F130DE0" w14:textId="407F5260" w:rsidR="007F266C" w:rsidRPr="007D5774" w:rsidRDefault="007F266C" w:rsidP="007F266C">
      <w:pPr>
        <w:spacing w:line="276" w:lineRule="auto"/>
        <w:ind w:left="720"/>
        <w:jc w:val="both"/>
        <w:rPr>
          <w:rFonts w:ascii="Book Antiqua" w:eastAsia="Book Antiqua" w:hAnsi="Book Antiqua" w:cs="Book Antiqua"/>
          <w:strike/>
        </w:rPr>
      </w:pPr>
      <w:r w:rsidRPr="007D5774">
        <w:rPr>
          <w:rFonts w:ascii="Book Antiqua" w:eastAsia="Book Antiqua" w:hAnsi="Book Antiqua" w:cs="Book Antiqua"/>
          <w:b/>
          <w:highlight w:val="white"/>
        </w:rPr>
        <w:t xml:space="preserve">Artículo 4A. Exclusión de reporte negativo para deudores y codeudores de créditos educativos en mora: </w:t>
      </w:r>
      <w:r w:rsidRPr="007D5774">
        <w:rPr>
          <w:rFonts w:ascii="Book Antiqua" w:eastAsia="Book Antiqua" w:hAnsi="Book Antiqua" w:cs="Book Antiqua"/>
          <w:highlight w:val="white"/>
        </w:rPr>
        <w:t xml:space="preserve">Los deudores y codeudores que a </w:t>
      </w:r>
      <w:r w:rsidRPr="007D5774">
        <w:rPr>
          <w:rFonts w:ascii="Book Antiqua" w:eastAsia="Book Antiqua" w:hAnsi="Book Antiqua" w:cs="Book Antiqua"/>
        </w:rPr>
        <w:t xml:space="preserve">partir de la entrada en vigencia </w:t>
      </w:r>
      <w:r w:rsidR="003524D8">
        <w:rPr>
          <w:rFonts w:ascii="Book Antiqua" w:eastAsia="Book Antiqua" w:hAnsi="Book Antiqua" w:cs="Book Antiqua"/>
        </w:rPr>
        <w:t>del</w:t>
      </w:r>
      <w:r w:rsidRPr="007D5774">
        <w:rPr>
          <w:rFonts w:ascii="Book Antiqua" w:eastAsia="Book Antiqua" w:hAnsi="Book Antiqua" w:cs="Book Antiqua"/>
        </w:rPr>
        <w:t xml:space="preserve"> presente</w:t>
      </w:r>
      <w:r w:rsidR="003524D8">
        <w:rPr>
          <w:rFonts w:ascii="Book Antiqua" w:eastAsia="Book Antiqua" w:hAnsi="Book Antiqua" w:cs="Book Antiqua"/>
        </w:rPr>
        <w:t xml:space="preserve"> artículo </w:t>
      </w:r>
      <w:r w:rsidRPr="007D5774">
        <w:rPr>
          <w:rFonts w:ascii="Book Antiqua" w:eastAsia="Book Antiqua" w:hAnsi="Book Antiqua" w:cs="Book Antiqua"/>
          <w:highlight w:val="white"/>
        </w:rPr>
        <w:t xml:space="preserve">adquieran obligaciones crediticias con el Instituto Colombiano de Crédito Educativo y Estudios Técnicos en el Exterior – ICETEX, o quién haga sus veces, o con cualquier otra entidad </w:t>
      </w:r>
      <w:r w:rsidR="003524D8">
        <w:rPr>
          <w:rFonts w:ascii="Book Antiqua" w:eastAsia="Book Antiqua" w:hAnsi="Book Antiqua" w:cs="Book Antiqua"/>
          <w:highlight w:val="white"/>
        </w:rPr>
        <w:t xml:space="preserve">financiera y/o crediticia </w:t>
      </w:r>
      <w:r w:rsidRPr="007D5774">
        <w:rPr>
          <w:rFonts w:ascii="Book Antiqua" w:eastAsia="Book Antiqua" w:hAnsi="Book Antiqua" w:cs="Book Antiqua"/>
          <w:highlight w:val="white"/>
        </w:rPr>
        <w:t>por concepto de créditos educativos y se encuentren en mora para su pago, pero manifiesten su voluntad de pago, no</w:t>
      </w:r>
      <w:r w:rsidRPr="007D5774">
        <w:rPr>
          <w:rFonts w:ascii="Book Antiqua" w:eastAsia="Book Antiqua" w:hAnsi="Book Antiqua" w:cs="Book Antiqua"/>
        </w:rPr>
        <w:t xml:space="preserve"> serán considerados sujetos de reporte negativo</w:t>
      </w:r>
      <w:r w:rsidRPr="007D5774">
        <w:rPr>
          <w:rFonts w:ascii="Book Antiqua" w:eastAsia="Book Antiqua" w:hAnsi="Book Antiqua" w:cs="Book Antiqua"/>
          <w:highlight w:val="white"/>
        </w:rPr>
        <w:t xml:space="preserve"> en los bancos de datos de información financiera y crediticia.  </w:t>
      </w:r>
    </w:p>
    <w:p w14:paraId="090829EA" w14:textId="77777777" w:rsidR="007F266C" w:rsidRPr="007D5774" w:rsidRDefault="007F266C" w:rsidP="007F266C">
      <w:pPr>
        <w:spacing w:line="276" w:lineRule="auto"/>
        <w:ind w:left="720"/>
        <w:jc w:val="both"/>
        <w:rPr>
          <w:rFonts w:ascii="Book Antiqua" w:eastAsia="Book Antiqua" w:hAnsi="Book Antiqua" w:cs="Book Antiqua"/>
          <w:strike/>
        </w:rPr>
      </w:pPr>
    </w:p>
    <w:p w14:paraId="193C99D4" w14:textId="77777777" w:rsidR="007F266C" w:rsidRPr="007D5774" w:rsidRDefault="007F266C" w:rsidP="007F266C">
      <w:pPr>
        <w:spacing w:line="276" w:lineRule="auto"/>
        <w:ind w:left="720"/>
        <w:jc w:val="both"/>
        <w:rPr>
          <w:rFonts w:ascii="Book Antiqua" w:eastAsia="Book Antiqua" w:hAnsi="Book Antiqua" w:cs="Book Antiqua"/>
        </w:rPr>
      </w:pPr>
      <w:r w:rsidRPr="007D5774">
        <w:rPr>
          <w:rFonts w:ascii="Book Antiqua" w:eastAsia="Book Antiqua" w:hAnsi="Book Antiqua" w:cs="Book Antiqua"/>
        </w:rPr>
        <w:t xml:space="preserve">Lo anterior sin perjuicio del derecho que tienen las entidades de recurrir a los instrumentos judiciales ordinarios que se tengan para la recuperación de la cartera en mora y evitar la cultura de no pago. </w:t>
      </w:r>
    </w:p>
    <w:p w14:paraId="44E606BF" w14:textId="77777777" w:rsidR="007F266C" w:rsidRPr="007D5774" w:rsidRDefault="007F266C" w:rsidP="007F266C">
      <w:pPr>
        <w:spacing w:line="276" w:lineRule="auto"/>
        <w:ind w:left="720"/>
        <w:jc w:val="both"/>
        <w:rPr>
          <w:rFonts w:ascii="Book Antiqua" w:eastAsia="Book Antiqua" w:hAnsi="Book Antiqua" w:cs="Book Antiqua"/>
        </w:rPr>
      </w:pPr>
    </w:p>
    <w:p w14:paraId="479DB816" w14:textId="77777777" w:rsidR="007F266C" w:rsidRPr="007D5774" w:rsidRDefault="007F266C" w:rsidP="007F266C">
      <w:pPr>
        <w:spacing w:line="276" w:lineRule="auto"/>
        <w:ind w:left="720"/>
        <w:jc w:val="both"/>
        <w:rPr>
          <w:rFonts w:ascii="Book Antiqua" w:eastAsia="Book Antiqua" w:hAnsi="Book Antiqua" w:cs="Book Antiqua"/>
        </w:rPr>
      </w:pPr>
      <w:r w:rsidRPr="007D5774">
        <w:rPr>
          <w:rFonts w:ascii="Book Antiqua" w:eastAsia="Book Antiqua" w:hAnsi="Book Antiqua" w:cs="Book Antiqua"/>
          <w:b/>
        </w:rPr>
        <w:t xml:space="preserve">Parágrafo 1: </w:t>
      </w:r>
      <w:r w:rsidRPr="007D5774">
        <w:rPr>
          <w:rFonts w:ascii="Book Antiqua" w:eastAsia="Book Antiqua" w:hAnsi="Book Antiqua" w:cs="Book Antiqua"/>
        </w:rPr>
        <w:t>En el evento en que se efectúe el incumplimiento de los mecanismos mediante los cuales se ha manifestado la voluntad de pago, se perderá el beneficio de exclusión y la entidad procederá a realizar el reporte negativo</w:t>
      </w:r>
      <w:r w:rsidRPr="007D5774">
        <w:rPr>
          <w:rFonts w:ascii="Book Antiqua" w:eastAsia="Book Antiqua" w:hAnsi="Book Antiqua" w:cs="Book Antiqua"/>
          <w:highlight w:val="white"/>
        </w:rPr>
        <w:t xml:space="preserve"> en los bancos de datos de información financiera y crediticia.</w:t>
      </w:r>
    </w:p>
    <w:p w14:paraId="08ABF0A6" w14:textId="77777777" w:rsidR="007F266C" w:rsidRPr="007D5774" w:rsidRDefault="007F266C" w:rsidP="007F266C">
      <w:pPr>
        <w:spacing w:line="276" w:lineRule="auto"/>
        <w:ind w:left="720"/>
        <w:jc w:val="both"/>
        <w:rPr>
          <w:rFonts w:ascii="Book Antiqua" w:eastAsia="Book Antiqua" w:hAnsi="Book Antiqua" w:cs="Book Antiqua"/>
        </w:rPr>
      </w:pPr>
    </w:p>
    <w:p w14:paraId="473BBCD0" w14:textId="102B520C" w:rsidR="007F266C" w:rsidRPr="003524D8" w:rsidRDefault="007F266C" w:rsidP="007F266C">
      <w:pPr>
        <w:spacing w:line="276" w:lineRule="auto"/>
        <w:ind w:left="720"/>
        <w:jc w:val="both"/>
        <w:rPr>
          <w:rFonts w:ascii="Book Antiqua" w:eastAsia="Book Antiqua" w:hAnsi="Book Antiqua" w:cs="Book Antiqua"/>
          <w:highlight w:val="white"/>
        </w:rPr>
      </w:pPr>
      <w:r w:rsidRPr="007D5774">
        <w:rPr>
          <w:rFonts w:ascii="Book Antiqua" w:eastAsia="Book Antiqua" w:hAnsi="Book Antiqua" w:cs="Book Antiqua"/>
          <w:b/>
        </w:rPr>
        <w:t xml:space="preserve">Parágrafo 2: </w:t>
      </w:r>
      <w:r w:rsidRPr="007D5774">
        <w:rPr>
          <w:rFonts w:ascii="Book Antiqua" w:eastAsia="Book Antiqua" w:hAnsi="Book Antiqua" w:cs="Book Antiqua"/>
        </w:rPr>
        <w:t>Los titulares de la información que dentro de los doce (12) meses siguientes a la entrada en vigencia de</w:t>
      </w:r>
      <w:r w:rsidR="00816990">
        <w:rPr>
          <w:rFonts w:ascii="Book Antiqua" w:eastAsia="Book Antiqua" w:hAnsi="Book Antiqua" w:cs="Book Antiqua"/>
        </w:rPr>
        <w:t xml:space="preserve">l </w:t>
      </w:r>
      <w:r w:rsidRPr="007D5774">
        <w:rPr>
          <w:rFonts w:ascii="Book Antiqua" w:eastAsia="Book Antiqua" w:hAnsi="Book Antiqua" w:cs="Book Antiqua"/>
        </w:rPr>
        <w:t xml:space="preserve">presente </w:t>
      </w:r>
      <w:r w:rsidR="00816990">
        <w:rPr>
          <w:rFonts w:ascii="Book Antiqua" w:eastAsia="Book Antiqua" w:hAnsi="Book Antiqua" w:cs="Book Antiqua"/>
        </w:rPr>
        <w:t>artículo</w:t>
      </w:r>
      <w:r w:rsidRPr="007D5774">
        <w:rPr>
          <w:rFonts w:ascii="Book Antiqua" w:eastAsia="Book Antiqua" w:hAnsi="Book Antiqua" w:cs="Book Antiqua"/>
        </w:rPr>
        <w:t>, ya t</w:t>
      </w:r>
      <w:r w:rsidR="00507198">
        <w:rPr>
          <w:rFonts w:ascii="Book Antiqua" w:eastAsia="Book Antiqua" w:hAnsi="Book Antiqua" w:cs="Book Antiqua"/>
        </w:rPr>
        <w:t xml:space="preserve">engan obligaciones </w:t>
      </w:r>
      <w:r w:rsidR="00507198">
        <w:rPr>
          <w:rFonts w:ascii="Book Antiqua" w:eastAsia="Book Antiqua" w:hAnsi="Book Antiqua" w:cs="Book Antiqua"/>
        </w:rPr>
        <w:lastRenderedPageBreak/>
        <w:t xml:space="preserve">crediticias </w:t>
      </w:r>
      <w:r w:rsidRPr="007D5774">
        <w:rPr>
          <w:rFonts w:ascii="Book Antiqua" w:eastAsia="Book Antiqua" w:hAnsi="Book Antiqua" w:cs="Book Antiqua"/>
        </w:rPr>
        <w:t>con el  Instituto Colombiano de Crédito Educativo y Estudios Técnicos en el Exterior – ICETEX o con cualquier otra</w:t>
      </w:r>
      <w:r w:rsidR="00507198">
        <w:rPr>
          <w:rFonts w:ascii="Book Antiqua" w:eastAsia="Book Antiqua" w:hAnsi="Book Antiqua" w:cs="Book Antiqua"/>
        </w:rPr>
        <w:t xml:space="preserve"> </w:t>
      </w:r>
      <w:r w:rsidRPr="007D5774">
        <w:rPr>
          <w:rFonts w:ascii="Book Antiqua" w:eastAsia="Book Antiqua" w:hAnsi="Book Antiqua" w:cs="Book Antiqua"/>
        </w:rPr>
        <w:t xml:space="preserve"> entidad </w:t>
      </w:r>
      <w:r w:rsidR="003524D8">
        <w:rPr>
          <w:rFonts w:ascii="Book Antiqua" w:eastAsia="Book Antiqua" w:hAnsi="Book Antiqua" w:cs="Book Antiqua"/>
        </w:rPr>
        <w:t xml:space="preserve">financiera y/o crediticia </w:t>
      </w:r>
      <w:r w:rsidRPr="007D5774">
        <w:rPr>
          <w:rFonts w:ascii="Book Antiqua" w:eastAsia="Book Antiqua" w:hAnsi="Book Antiqua" w:cs="Book Antiqua"/>
        </w:rPr>
        <w:t xml:space="preserve">por concepto de créditos educativos y paguen las cuotas vencidas, extingan su deuda o realicen un acuerdo de pago y cumplan con las cuotas ininterrumpidamente durante los seis (6) meses siguientes, </w:t>
      </w:r>
      <w:r w:rsidR="00507198">
        <w:rPr>
          <w:rFonts w:ascii="Book Antiqua" w:eastAsia="Book Antiqua" w:hAnsi="Book Antiqua" w:cs="Book Antiqua"/>
        </w:rPr>
        <w:t xml:space="preserve">deberán ser excluidos inmediatamente </w:t>
      </w:r>
      <w:r w:rsidRPr="007D5774">
        <w:rPr>
          <w:rFonts w:ascii="Book Antiqua" w:eastAsia="Book Antiqua" w:hAnsi="Book Antiqua" w:cs="Book Antiqua"/>
        </w:rPr>
        <w:t>del reporte negativo de los bancos de información financiera y crediticia.</w:t>
      </w:r>
    </w:p>
    <w:p w14:paraId="59C74D5B" w14:textId="5EC8082B" w:rsidR="007F266C" w:rsidRDefault="003524D8" w:rsidP="003524D8">
      <w:pPr>
        <w:spacing w:line="276" w:lineRule="auto"/>
        <w:ind w:left="720"/>
        <w:jc w:val="both"/>
        <w:rPr>
          <w:rFonts w:ascii="Book Antiqua" w:eastAsia="Book Antiqua" w:hAnsi="Book Antiqua" w:cs="Book Antiqua"/>
          <w:highlight w:val="white"/>
        </w:rPr>
      </w:pPr>
      <w:r w:rsidRPr="003524D8">
        <w:rPr>
          <w:rFonts w:ascii="Book Antiqua" w:eastAsia="Book Antiqua" w:hAnsi="Book Antiqua" w:cs="Book Antiqua"/>
          <w:b/>
          <w:highlight w:val="white"/>
        </w:rPr>
        <w:t xml:space="preserve">Parágrafo 3. </w:t>
      </w:r>
      <w:r w:rsidRPr="003524D8">
        <w:rPr>
          <w:rFonts w:ascii="Book Antiqua" w:eastAsia="Book Antiqua" w:hAnsi="Book Antiqua" w:cs="Book Antiqua"/>
          <w:highlight w:val="white"/>
        </w:rPr>
        <w:t>Los rep</w:t>
      </w:r>
      <w:r>
        <w:rPr>
          <w:rFonts w:ascii="Book Antiqua" w:eastAsia="Book Antiqua" w:hAnsi="Book Antiqua" w:cs="Book Antiqua"/>
          <w:highlight w:val="white"/>
        </w:rPr>
        <w:t xml:space="preserve">ortes negativos no podrán realizarse en un periodo inferior a seis (6) meses contados desde el día en que inicia la mora. </w:t>
      </w:r>
    </w:p>
    <w:p w14:paraId="3AEE4B70" w14:textId="77777777" w:rsidR="003524D8" w:rsidRPr="003524D8" w:rsidRDefault="003524D8" w:rsidP="003524D8">
      <w:pPr>
        <w:spacing w:line="276" w:lineRule="auto"/>
        <w:ind w:left="720"/>
        <w:jc w:val="both"/>
        <w:rPr>
          <w:rFonts w:ascii="Book Antiqua" w:eastAsia="Book Antiqua" w:hAnsi="Book Antiqua" w:cs="Book Antiqua"/>
          <w:highlight w:val="white"/>
        </w:rPr>
      </w:pPr>
    </w:p>
    <w:p w14:paraId="4DEF7513" w14:textId="77777777" w:rsidR="007F266C" w:rsidRDefault="007F266C" w:rsidP="007F266C">
      <w:pPr>
        <w:spacing w:after="200" w:line="276" w:lineRule="auto"/>
        <w:jc w:val="both"/>
        <w:rPr>
          <w:rFonts w:ascii="Book Antiqua" w:eastAsia="Book Antiqua" w:hAnsi="Book Antiqua" w:cs="Book Antiqua"/>
          <w:b/>
        </w:rPr>
      </w:pPr>
      <w:r w:rsidRPr="007D5774">
        <w:rPr>
          <w:rFonts w:ascii="Book Antiqua" w:eastAsia="Book Antiqua" w:hAnsi="Book Antiqua" w:cs="Book Antiqua"/>
          <w:b/>
        </w:rPr>
        <w:t xml:space="preserve">Artículo 4º. </w:t>
      </w:r>
      <w:r w:rsidRPr="007D5774">
        <w:rPr>
          <w:rFonts w:ascii="Book Antiqua" w:eastAsia="Book Antiqua" w:hAnsi="Book Antiqua" w:cs="Book Antiqua"/>
        </w:rPr>
        <w:t xml:space="preserve"> La presente Ley rige a partir de su sanción y publicación y deroga las disposiciones que le sean contrarias</w:t>
      </w:r>
      <w:r w:rsidRPr="007D5774">
        <w:rPr>
          <w:rFonts w:ascii="Book Antiqua" w:eastAsia="Book Antiqua" w:hAnsi="Book Antiqua" w:cs="Book Antiqua"/>
          <w:b/>
        </w:rPr>
        <w:t xml:space="preserve"> </w:t>
      </w:r>
    </w:p>
    <w:p w14:paraId="766B2BA5" w14:textId="77777777" w:rsidR="007F266C" w:rsidRDefault="007F266C" w:rsidP="007F266C">
      <w:pPr>
        <w:spacing w:after="200" w:line="276" w:lineRule="auto"/>
        <w:jc w:val="both"/>
        <w:rPr>
          <w:rFonts w:ascii="Book Antiqua" w:eastAsia="Book Antiqua" w:hAnsi="Book Antiqua" w:cs="Book Antiqua"/>
          <w:b/>
        </w:rPr>
      </w:pPr>
    </w:p>
    <w:p w14:paraId="7F83D455" w14:textId="5D948D19" w:rsidR="007E619D" w:rsidRPr="003733CD" w:rsidRDefault="005A69C6" w:rsidP="007E619D">
      <w:pPr>
        <w:jc w:val="both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  <w:r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E</w:t>
      </w:r>
      <w:r w:rsidR="007E619D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n los anteriores términos fue aprobado con modificaciones el presente proyecto de Ley </w:t>
      </w:r>
      <w:r w:rsidR="008C0E9F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Estatutaria según consta en el A</w:t>
      </w:r>
      <w:r w:rsidR="007E619D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cta</w:t>
      </w:r>
      <w:r w:rsidR="00507198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s</w:t>
      </w:r>
      <w:r w:rsidR="007E619D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 No. </w:t>
      </w:r>
      <w:r w:rsidR="00507198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25</w:t>
      </w:r>
      <w:r w:rsidR="0026293A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 de sesión del </w:t>
      </w:r>
      <w:r w:rsidR="00507198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26</w:t>
      </w:r>
      <w:r w:rsidR="007E619D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 de </w:t>
      </w:r>
      <w:proofErr w:type="gramStart"/>
      <w:r w:rsid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Novi</w:t>
      </w:r>
      <w:r w:rsidR="0026293A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embre</w:t>
      </w:r>
      <w:proofErr w:type="gramEnd"/>
      <w:r w:rsidR="0026293A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 de 2024</w:t>
      </w:r>
      <w:r w:rsidR="00507198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 y Acta No. 26 de sesión del 27 de Noviembre de 2024.</w:t>
      </w:r>
      <w:r w:rsid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 </w:t>
      </w:r>
      <w:r w:rsidR="008C0E9F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A</w:t>
      </w:r>
      <w:r w:rsidR="007E619D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sí mismo fue anunc</w:t>
      </w:r>
      <w:r w:rsidR="00507198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iado entre otras fechas el día 20</w:t>
      </w:r>
      <w:r w:rsidR="007E619D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 de </w:t>
      </w:r>
      <w:proofErr w:type="gramStart"/>
      <w:r w:rsid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Noviembre</w:t>
      </w:r>
      <w:proofErr w:type="gramEnd"/>
      <w:r w:rsidR="0026293A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 de 2024</w:t>
      </w:r>
      <w:r w:rsidR="008C0E9F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, según consta en el A</w:t>
      </w:r>
      <w:r w:rsidR="00507198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cta No. 24</w:t>
      </w:r>
      <w:r w:rsidR="007E619D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 de sesión de esa misma fecha</w:t>
      </w:r>
      <w:r w:rsidR="00507198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 y el día 26 de Noviembre de 2024, según consta en el Acta No. 25 de sesión de esa misma fecha</w:t>
      </w:r>
      <w:r w:rsid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.</w:t>
      </w:r>
    </w:p>
    <w:p w14:paraId="7F75B2EB" w14:textId="77777777" w:rsidR="007E619D" w:rsidRPr="003733CD" w:rsidRDefault="007E619D" w:rsidP="007E619D">
      <w:pPr>
        <w:tabs>
          <w:tab w:val="left" w:pos="4820"/>
        </w:tabs>
        <w:spacing w:after="0" w:line="240" w:lineRule="auto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</w:p>
    <w:p w14:paraId="668A39D7" w14:textId="77777777" w:rsidR="007E619D" w:rsidRPr="003733CD" w:rsidRDefault="007E619D" w:rsidP="007E619D">
      <w:pPr>
        <w:tabs>
          <w:tab w:val="left" w:pos="4820"/>
        </w:tabs>
        <w:spacing w:after="0" w:line="240" w:lineRule="auto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</w:p>
    <w:p w14:paraId="5FD9E656" w14:textId="77777777" w:rsidR="007E619D" w:rsidRPr="003733CD" w:rsidRDefault="007E619D" w:rsidP="007E619D">
      <w:pPr>
        <w:tabs>
          <w:tab w:val="left" w:pos="4820"/>
        </w:tabs>
        <w:spacing w:after="0" w:line="240" w:lineRule="auto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</w:p>
    <w:p w14:paraId="45666D66" w14:textId="77777777" w:rsidR="007E619D" w:rsidRPr="003733CD" w:rsidRDefault="007E619D" w:rsidP="007E619D">
      <w:pPr>
        <w:tabs>
          <w:tab w:val="left" w:pos="4820"/>
        </w:tabs>
        <w:spacing w:after="0" w:line="240" w:lineRule="auto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</w:p>
    <w:p w14:paraId="057FBB13" w14:textId="1F227806" w:rsidR="007E619D" w:rsidRPr="003733CD" w:rsidRDefault="00507198" w:rsidP="007E619D">
      <w:pPr>
        <w:tabs>
          <w:tab w:val="left" w:pos="4820"/>
        </w:tabs>
        <w:spacing w:after="0" w:line="240" w:lineRule="auto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  <w:r>
        <w:rPr>
          <w:rFonts w:ascii="Times New Roman" w:eastAsia="Century Gothic" w:hAnsi="Times New Roman" w:cs="Times New Roman"/>
          <w:b/>
          <w:sz w:val="24"/>
          <w:szCs w:val="24"/>
          <w:highlight w:val="white"/>
          <w:lang w:val="es-CO"/>
        </w:rPr>
        <w:t>ALVARO LEONEL RUEDA CABALLERO</w:t>
      </w:r>
      <w:r w:rsidR="007E619D" w:rsidRPr="003733CD">
        <w:rPr>
          <w:rFonts w:ascii="Times New Roman" w:eastAsia="Century Gothic" w:hAnsi="Times New Roman" w:cs="Times New Roman"/>
          <w:b/>
          <w:sz w:val="24"/>
          <w:szCs w:val="24"/>
          <w:highlight w:val="white"/>
          <w:lang w:val="es-CO"/>
        </w:rPr>
        <w:tab/>
      </w:r>
      <w:r w:rsidR="003733CD">
        <w:rPr>
          <w:rFonts w:ascii="Times New Roman" w:eastAsia="Century Gothic" w:hAnsi="Times New Roman" w:cs="Times New Roman"/>
          <w:b/>
          <w:sz w:val="24"/>
          <w:szCs w:val="24"/>
          <w:highlight w:val="white"/>
          <w:lang w:val="es-CO"/>
        </w:rPr>
        <w:t xml:space="preserve">        </w:t>
      </w:r>
      <w:r w:rsidR="0026293A" w:rsidRPr="003733CD">
        <w:rPr>
          <w:rFonts w:ascii="Times New Roman" w:eastAsia="Century Gothic" w:hAnsi="Times New Roman" w:cs="Times New Roman"/>
          <w:b/>
          <w:sz w:val="24"/>
          <w:szCs w:val="24"/>
          <w:highlight w:val="white"/>
          <w:lang w:val="es-CO"/>
        </w:rPr>
        <w:t>ANA PAOLA GARCÍA SOTO</w:t>
      </w:r>
      <w:r w:rsidR="007E619D" w:rsidRPr="003733CD">
        <w:rPr>
          <w:rFonts w:ascii="Times New Roman" w:eastAsia="Century Gothic" w:hAnsi="Times New Roman" w:cs="Times New Roman"/>
          <w:b/>
          <w:sz w:val="24"/>
          <w:szCs w:val="24"/>
          <w:highlight w:val="white"/>
        </w:rPr>
        <w:t xml:space="preserve"> </w:t>
      </w:r>
    </w:p>
    <w:p w14:paraId="1038734A" w14:textId="6C12F4AD" w:rsidR="007E619D" w:rsidRPr="003733CD" w:rsidRDefault="007E619D" w:rsidP="007E619D">
      <w:pPr>
        <w:tabs>
          <w:tab w:val="left" w:pos="4820"/>
        </w:tabs>
        <w:spacing w:after="0" w:line="240" w:lineRule="auto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  <w:r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Ponente Coordinador                </w:t>
      </w:r>
      <w:r w:rsidR="0026293A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                       </w:t>
      </w:r>
      <w:r w:rsid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 xml:space="preserve">               </w:t>
      </w:r>
      <w:r w:rsidR="0026293A"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Presidenta</w:t>
      </w:r>
    </w:p>
    <w:p w14:paraId="7CBA3599" w14:textId="0EA71C5B" w:rsidR="00236F89" w:rsidRPr="003733CD" w:rsidRDefault="00236F89" w:rsidP="00AD51EA">
      <w:pPr>
        <w:tabs>
          <w:tab w:val="left" w:pos="4820"/>
        </w:tabs>
        <w:spacing w:after="0" w:line="240" w:lineRule="auto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</w:p>
    <w:p w14:paraId="3BF78695" w14:textId="21F2CC76" w:rsidR="00236F89" w:rsidRPr="003733CD" w:rsidRDefault="00236F89" w:rsidP="00AD51EA">
      <w:pPr>
        <w:tabs>
          <w:tab w:val="left" w:pos="4820"/>
        </w:tabs>
        <w:spacing w:after="0" w:line="240" w:lineRule="auto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</w:p>
    <w:p w14:paraId="618D861A" w14:textId="0D5E7E72" w:rsidR="00DF2F74" w:rsidRPr="003733CD" w:rsidRDefault="00DF2F74" w:rsidP="00AD51EA">
      <w:pPr>
        <w:tabs>
          <w:tab w:val="left" w:pos="4820"/>
        </w:tabs>
        <w:spacing w:after="0" w:line="240" w:lineRule="auto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</w:p>
    <w:p w14:paraId="5DDDE33D" w14:textId="77777777" w:rsidR="006F017F" w:rsidRPr="003733CD" w:rsidRDefault="006F017F" w:rsidP="006F017F">
      <w:pPr>
        <w:tabs>
          <w:tab w:val="left" w:pos="4820"/>
        </w:tabs>
        <w:jc w:val="center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</w:p>
    <w:p w14:paraId="2451FF04" w14:textId="77777777" w:rsidR="006F017F" w:rsidRPr="003733CD" w:rsidRDefault="00AD51EA" w:rsidP="00D07AF9">
      <w:pPr>
        <w:tabs>
          <w:tab w:val="left" w:pos="4820"/>
        </w:tabs>
        <w:spacing w:after="0" w:line="240" w:lineRule="auto"/>
        <w:jc w:val="center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  <w:r w:rsidRPr="003733CD">
        <w:rPr>
          <w:rFonts w:ascii="Times New Roman" w:eastAsia="Century Gothic" w:hAnsi="Times New Roman" w:cs="Times New Roman"/>
          <w:b/>
          <w:sz w:val="24"/>
          <w:szCs w:val="24"/>
          <w:highlight w:val="white"/>
          <w:lang w:val="es-CO"/>
        </w:rPr>
        <w:t>AMPARO YANETH CALDERON PERDOMO</w:t>
      </w:r>
    </w:p>
    <w:p w14:paraId="23AACEEE" w14:textId="78B0F46C" w:rsidR="004752D7" w:rsidRPr="003733CD" w:rsidRDefault="004752D7" w:rsidP="00D07AF9">
      <w:pPr>
        <w:tabs>
          <w:tab w:val="left" w:pos="4820"/>
        </w:tabs>
        <w:spacing w:after="0" w:line="240" w:lineRule="auto"/>
        <w:jc w:val="center"/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</w:pPr>
      <w:r w:rsidRPr="003733CD">
        <w:rPr>
          <w:rFonts w:ascii="Times New Roman" w:eastAsia="Century Gothic" w:hAnsi="Times New Roman" w:cs="Times New Roman"/>
          <w:sz w:val="24"/>
          <w:szCs w:val="24"/>
          <w:highlight w:val="white"/>
          <w:lang w:val="es-CO"/>
        </w:rPr>
        <w:t>Secretaria</w:t>
      </w:r>
    </w:p>
    <w:p w14:paraId="60946FD0" w14:textId="77777777" w:rsidR="00BC3E4B" w:rsidRPr="003733CD" w:rsidRDefault="00BC3E4B">
      <w:pPr>
        <w:jc w:val="both"/>
        <w:rPr>
          <w:rFonts w:ascii="Times New Roman" w:eastAsia="Century Gothic" w:hAnsi="Times New Roman" w:cs="Times New Roman"/>
          <w:sz w:val="24"/>
          <w:szCs w:val="24"/>
          <w:highlight w:val="white"/>
        </w:rPr>
      </w:pPr>
    </w:p>
    <w:p w14:paraId="703C75BA" w14:textId="77777777" w:rsidR="00F7426C" w:rsidRPr="003733CD" w:rsidRDefault="00F7426C">
      <w:pPr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sectPr w:rsidR="00F7426C" w:rsidRPr="003733CD" w:rsidSect="00CA7BFC">
      <w:headerReference w:type="default" r:id="rId9"/>
      <w:footerReference w:type="even" r:id="rId10"/>
      <w:footerReference w:type="default" r:id="rId11"/>
      <w:pgSz w:w="12240" w:h="15840"/>
      <w:pgMar w:top="20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31F86" w14:textId="77777777" w:rsidR="00AF302D" w:rsidRDefault="00AF302D">
      <w:pPr>
        <w:spacing w:after="0" w:line="240" w:lineRule="auto"/>
      </w:pPr>
      <w:r>
        <w:separator/>
      </w:r>
    </w:p>
  </w:endnote>
  <w:endnote w:type="continuationSeparator" w:id="0">
    <w:p w14:paraId="433AE50B" w14:textId="77777777" w:rsidR="00AF302D" w:rsidRDefault="00AF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A484F" w14:textId="77777777" w:rsidR="00E17BB8" w:rsidRDefault="00E17B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24B459" w14:textId="77777777" w:rsidR="00E17BB8" w:rsidRDefault="00E17B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color w:val="000000"/>
      </w:rPr>
    </w:pPr>
  </w:p>
  <w:p w14:paraId="6B55772C" w14:textId="77777777" w:rsidR="00E17BB8" w:rsidRDefault="00E17BB8"/>
  <w:p w14:paraId="0401D77B" w14:textId="77777777" w:rsidR="00E17BB8" w:rsidRDefault="00E17B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52949"/>
      <w:docPartObj>
        <w:docPartGallery w:val="Page Numbers (Bottom of Page)"/>
        <w:docPartUnique/>
      </w:docPartObj>
    </w:sdtPr>
    <w:sdtEndPr/>
    <w:sdtContent>
      <w:p w14:paraId="7B4EA0C4" w14:textId="0657E33D" w:rsidR="00E17BB8" w:rsidRDefault="00E17B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198" w:rsidRPr="00507198">
          <w:rPr>
            <w:noProof/>
            <w:lang w:val="es-ES"/>
          </w:rPr>
          <w:t>3</w:t>
        </w:r>
        <w:r>
          <w:fldChar w:fldCharType="end"/>
        </w:r>
      </w:p>
    </w:sdtContent>
  </w:sdt>
  <w:p w14:paraId="43D26565" w14:textId="12164480" w:rsidR="00E17BB8" w:rsidRDefault="00E17BB8" w:rsidP="00CA7BFC">
    <w:pPr>
      <w:tabs>
        <w:tab w:val="center" w:pos="4419"/>
        <w:tab w:val="right" w:pos="8838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9CA65" w14:textId="77777777" w:rsidR="00AF302D" w:rsidRDefault="00AF302D">
      <w:pPr>
        <w:spacing w:after="0" w:line="240" w:lineRule="auto"/>
      </w:pPr>
      <w:r>
        <w:separator/>
      </w:r>
    </w:p>
  </w:footnote>
  <w:footnote w:type="continuationSeparator" w:id="0">
    <w:p w14:paraId="5F923724" w14:textId="77777777" w:rsidR="00AF302D" w:rsidRDefault="00AF3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8ABFA" w14:textId="35D96875" w:rsidR="00E17BB8" w:rsidRPr="00CA7BFC" w:rsidRDefault="00E17BB8" w:rsidP="00CA7BFC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36560F55" wp14:editId="7089265F">
          <wp:extent cx="2354580" cy="678180"/>
          <wp:effectExtent l="0" t="0" r="7620" b="7620"/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2C9000" w14:textId="77777777" w:rsidR="00E17BB8" w:rsidRDefault="00E17BB8"/>
  <w:p w14:paraId="1FD89CDB" w14:textId="77777777" w:rsidR="00E17BB8" w:rsidRDefault="00E17B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456"/>
    <w:multiLevelType w:val="multilevel"/>
    <w:tmpl w:val="358A461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F04250"/>
    <w:multiLevelType w:val="multilevel"/>
    <w:tmpl w:val="CA268C52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3C7FE0"/>
    <w:multiLevelType w:val="multilevel"/>
    <w:tmpl w:val="E1344B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4C3493"/>
    <w:multiLevelType w:val="multilevel"/>
    <w:tmpl w:val="111CDE2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8F4C73"/>
    <w:multiLevelType w:val="multilevel"/>
    <w:tmpl w:val="39D2AEB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BC757D"/>
    <w:multiLevelType w:val="multilevel"/>
    <w:tmpl w:val="5422155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6A078E"/>
    <w:multiLevelType w:val="multilevel"/>
    <w:tmpl w:val="EB2698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1E5DB3"/>
    <w:multiLevelType w:val="multilevel"/>
    <w:tmpl w:val="39D2AEB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C94AE5"/>
    <w:multiLevelType w:val="multilevel"/>
    <w:tmpl w:val="07E66E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D4942"/>
    <w:multiLevelType w:val="multilevel"/>
    <w:tmpl w:val="358A461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856F42"/>
    <w:multiLevelType w:val="multilevel"/>
    <w:tmpl w:val="39D2AEB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33169A"/>
    <w:multiLevelType w:val="multilevel"/>
    <w:tmpl w:val="42EE30E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B33CA4"/>
    <w:multiLevelType w:val="multilevel"/>
    <w:tmpl w:val="358A461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7915BE"/>
    <w:multiLevelType w:val="multilevel"/>
    <w:tmpl w:val="39D2AEB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13"/>
  </w:num>
  <w:num w:numId="12">
    <w:abstractNumId w:val="0"/>
  </w:num>
  <w:num w:numId="13">
    <w:abstractNumId w:val="9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4B"/>
    <w:rsid w:val="00000B15"/>
    <w:rsid w:val="00004CD9"/>
    <w:rsid w:val="0000578F"/>
    <w:rsid w:val="00006C04"/>
    <w:rsid w:val="00007088"/>
    <w:rsid w:val="00024E67"/>
    <w:rsid w:val="00027FAB"/>
    <w:rsid w:val="00033443"/>
    <w:rsid w:val="00051B86"/>
    <w:rsid w:val="000902F6"/>
    <w:rsid w:val="000A283A"/>
    <w:rsid w:val="000A412C"/>
    <w:rsid w:val="000B61F9"/>
    <w:rsid w:val="000D5BC1"/>
    <w:rsid w:val="000D7330"/>
    <w:rsid w:val="000E4068"/>
    <w:rsid w:val="000F29C4"/>
    <w:rsid w:val="000F6059"/>
    <w:rsid w:val="00116A80"/>
    <w:rsid w:val="001303B7"/>
    <w:rsid w:val="0013595E"/>
    <w:rsid w:val="00141E9A"/>
    <w:rsid w:val="00147335"/>
    <w:rsid w:val="00150F01"/>
    <w:rsid w:val="00172E90"/>
    <w:rsid w:val="001755BA"/>
    <w:rsid w:val="001778F7"/>
    <w:rsid w:val="00182924"/>
    <w:rsid w:val="001904AE"/>
    <w:rsid w:val="001931DC"/>
    <w:rsid w:val="00194732"/>
    <w:rsid w:val="0019493F"/>
    <w:rsid w:val="00194A32"/>
    <w:rsid w:val="001A1496"/>
    <w:rsid w:val="001A73DC"/>
    <w:rsid w:val="001B50EC"/>
    <w:rsid w:val="001B5ECF"/>
    <w:rsid w:val="001B7E8F"/>
    <w:rsid w:val="001E295C"/>
    <w:rsid w:val="001F7274"/>
    <w:rsid w:val="001F7B4F"/>
    <w:rsid w:val="00225052"/>
    <w:rsid w:val="00236453"/>
    <w:rsid w:val="00236F89"/>
    <w:rsid w:val="002437A7"/>
    <w:rsid w:val="00243FDF"/>
    <w:rsid w:val="00246D97"/>
    <w:rsid w:val="00247B5E"/>
    <w:rsid w:val="0026293A"/>
    <w:rsid w:val="0026503A"/>
    <w:rsid w:val="0026752F"/>
    <w:rsid w:val="00276C64"/>
    <w:rsid w:val="0029234A"/>
    <w:rsid w:val="00295EE4"/>
    <w:rsid w:val="002A050B"/>
    <w:rsid w:val="002A4258"/>
    <w:rsid w:val="002A5E31"/>
    <w:rsid w:val="002B056F"/>
    <w:rsid w:val="002B15AE"/>
    <w:rsid w:val="002B15ED"/>
    <w:rsid w:val="002B3A30"/>
    <w:rsid w:val="002F1D61"/>
    <w:rsid w:val="00303DF2"/>
    <w:rsid w:val="00307FDB"/>
    <w:rsid w:val="00315734"/>
    <w:rsid w:val="00321B83"/>
    <w:rsid w:val="0033667A"/>
    <w:rsid w:val="00340EFF"/>
    <w:rsid w:val="003437D7"/>
    <w:rsid w:val="00344DE4"/>
    <w:rsid w:val="003510CB"/>
    <w:rsid w:val="003524D8"/>
    <w:rsid w:val="00365F84"/>
    <w:rsid w:val="003733CD"/>
    <w:rsid w:val="00383D32"/>
    <w:rsid w:val="00384CCB"/>
    <w:rsid w:val="003941C4"/>
    <w:rsid w:val="003A213A"/>
    <w:rsid w:val="003A56A7"/>
    <w:rsid w:val="003B2913"/>
    <w:rsid w:val="003E1021"/>
    <w:rsid w:val="003E75DB"/>
    <w:rsid w:val="00405A9E"/>
    <w:rsid w:val="004200DB"/>
    <w:rsid w:val="00421677"/>
    <w:rsid w:val="0043131B"/>
    <w:rsid w:val="004336EE"/>
    <w:rsid w:val="00436FA1"/>
    <w:rsid w:val="00442EDF"/>
    <w:rsid w:val="00444F65"/>
    <w:rsid w:val="004752D7"/>
    <w:rsid w:val="00491DCE"/>
    <w:rsid w:val="0049278A"/>
    <w:rsid w:val="004B7582"/>
    <w:rsid w:val="004D030A"/>
    <w:rsid w:val="004D4CEF"/>
    <w:rsid w:val="004E6CD8"/>
    <w:rsid w:val="004F6E90"/>
    <w:rsid w:val="005002FF"/>
    <w:rsid w:val="00507198"/>
    <w:rsid w:val="00507CA6"/>
    <w:rsid w:val="00510B8D"/>
    <w:rsid w:val="00510F07"/>
    <w:rsid w:val="00524298"/>
    <w:rsid w:val="00525502"/>
    <w:rsid w:val="00532309"/>
    <w:rsid w:val="005378E9"/>
    <w:rsid w:val="00552946"/>
    <w:rsid w:val="00555607"/>
    <w:rsid w:val="00570C05"/>
    <w:rsid w:val="00577529"/>
    <w:rsid w:val="005818F7"/>
    <w:rsid w:val="0058490A"/>
    <w:rsid w:val="00593BA6"/>
    <w:rsid w:val="005A69C6"/>
    <w:rsid w:val="005B0F1A"/>
    <w:rsid w:val="005B728D"/>
    <w:rsid w:val="005C6FD5"/>
    <w:rsid w:val="005E62E3"/>
    <w:rsid w:val="005F0222"/>
    <w:rsid w:val="005F7A53"/>
    <w:rsid w:val="00600635"/>
    <w:rsid w:val="006013AA"/>
    <w:rsid w:val="00622BA5"/>
    <w:rsid w:val="0063210B"/>
    <w:rsid w:val="0063590E"/>
    <w:rsid w:val="00642606"/>
    <w:rsid w:val="00650DC6"/>
    <w:rsid w:val="00652DA7"/>
    <w:rsid w:val="0065723A"/>
    <w:rsid w:val="00660B74"/>
    <w:rsid w:val="00662D81"/>
    <w:rsid w:val="006667B4"/>
    <w:rsid w:val="0067059F"/>
    <w:rsid w:val="00673CFA"/>
    <w:rsid w:val="00682B72"/>
    <w:rsid w:val="006852F4"/>
    <w:rsid w:val="006942BD"/>
    <w:rsid w:val="006A2B87"/>
    <w:rsid w:val="006B1F0F"/>
    <w:rsid w:val="006C39A6"/>
    <w:rsid w:val="006C62C6"/>
    <w:rsid w:val="006C6EE4"/>
    <w:rsid w:val="006D3CF8"/>
    <w:rsid w:val="006E4384"/>
    <w:rsid w:val="006F017F"/>
    <w:rsid w:val="00702517"/>
    <w:rsid w:val="007167FA"/>
    <w:rsid w:val="0073136B"/>
    <w:rsid w:val="0073728D"/>
    <w:rsid w:val="00742066"/>
    <w:rsid w:val="00747CD3"/>
    <w:rsid w:val="00762755"/>
    <w:rsid w:val="00771A2E"/>
    <w:rsid w:val="007725F5"/>
    <w:rsid w:val="00781CF3"/>
    <w:rsid w:val="00791C09"/>
    <w:rsid w:val="00797014"/>
    <w:rsid w:val="0079778B"/>
    <w:rsid w:val="007B07DC"/>
    <w:rsid w:val="007B52BE"/>
    <w:rsid w:val="007B61A8"/>
    <w:rsid w:val="007C0DA2"/>
    <w:rsid w:val="007C1E3B"/>
    <w:rsid w:val="007D6DC1"/>
    <w:rsid w:val="007E619D"/>
    <w:rsid w:val="007F09C2"/>
    <w:rsid w:val="007F266C"/>
    <w:rsid w:val="007F4BEC"/>
    <w:rsid w:val="008015C9"/>
    <w:rsid w:val="00803140"/>
    <w:rsid w:val="00816990"/>
    <w:rsid w:val="00825C27"/>
    <w:rsid w:val="0082664A"/>
    <w:rsid w:val="008301D1"/>
    <w:rsid w:val="0083070F"/>
    <w:rsid w:val="008468D8"/>
    <w:rsid w:val="00856272"/>
    <w:rsid w:val="00871842"/>
    <w:rsid w:val="00873BFD"/>
    <w:rsid w:val="00875BA2"/>
    <w:rsid w:val="0088379D"/>
    <w:rsid w:val="008868FE"/>
    <w:rsid w:val="00891EF2"/>
    <w:rsid w:val="008B6AD1"/>
    <w:rsid w:val="008C0E9F"/>
    <w:rsid w:val="008C3848"/>
    <w:rsid w:val="008C3EB2"/>
    <w:rsid w:val="008D4AD2"/>
    <w:rsid w:val="008E4A2C"/>
    <w:rsid w:val="0090529A"/>
    <w:rsid w:val="009214AB"/>
    <w:rsid w:val="00961568"/>
    <w:rsid w:val="00986D25"/>
    <w:rsid w:val="00993749"/>
    <w:rsid w:val="00997B02"/>
    <w:rsid w:val="009A35B4"/>
    <w:rsid w:val="009A66DF"/>
    <w:rsid w:val="009B5108"/>
    <w:rsid w:val="009B75CE"/>
    <w:rsid w:val="009C5CF0"/>
    <w:rsid w:val="009D0B11"/>
    <w:rsid w:val="009D3EED"/>
    <w:rsid w:val="009D59D9"/>
    <w:rsid w:val="009E18F1"/>
    <w:rsid w:val="009F1DF4"/>
    <w:rsid w:val="009F76A0"/>
    <w:rsid w:val="00A267A4"/>
    <w:rsid w:val="00A8208E"/>
    <w:rsid w:val="00A83BB7"/>
    <w:rsid w:val="00A93413"/>
    <w:rsid w:val="00AA1473"/>
    <w:rsid w:val="00AA5AD2"/>
    <w:rsid w:val="00AB2204"/>
    <w:rsid w:val="00AC2321"/>
    <w:rsid w:val="00AD3DC6"/>
    <w:rsid w:val="00AD4511"/>
    <w:rsid w:val="00AD51EA"/>
    <w:rsid w:val="00AE0BE1"/>
    <w:rsid w:val="00AE6BEB"/>
    <w:rsid w:val="00AF302D"/>
    <w:rsid w:val="00B124EA"/>
    <w:rsid w:val="00B136BA"/>
    <w:rsid w:val="00B46DCE"/>
    <w:rsid w:val="00B514A4"/>
    <w:rsid w:val="00B54BCF"/>
    <w:rsid w:val="00B63F91"/>
    <w:rsid w:val="00B82A0F"/>
    <w:rsid w:val="00B90122"/>
    <w:rsid w:val="00BA0210"/>
    <w:rsid w:val="00BB2372"/>
    <w:rsid w:val="00BB3694"/>
    <w:rsid w:val="00BC028F"/>
    <w:rsid w:val="00BC211F"/>
    <w:rsid w:val="00BC3E4B"/>
    <w:rsid w:val="00BD6AFC"/>
    <w:rsid w:val="00BE0757"/>
    <w:rsid w:val="00BF2A57"/>
    <w:rsid w:val="00C1217F"/>
    <w:rsid w:val="00C207AB"/>
    <w:rsid w:val="00C618BC"/>
    <w:rsid w:val="00C76E7C"/>
    <w:rsid w:val="00C834D2"/>
    <w:rsid w:val="00C93BE4"/>
    <w:rsid w:val="00C94F86"/>
    <w:rsid w:val="00C95BD6"/>
    <w:rsid w:val="00CA0370"/>
    <w:rsid w:val="00CA4D33"/>
    <w:rsid w:val="00CA7BFC"/>
    <w:rsid w:val="00CB4B8B"/>
    <w:rsid w:val="00CC49ED"/>
    <w:rsid w:val="00CD211C"/>
    <w:rsid w:val="00CE088B"/>
    <w:rsid w:val="00CE4CE8"/>
    <w:rsid w:val="00CE7E1D"/>
    <w:rsid w:val="00CF40B5"/>
    <w:rsid w:val="00CF7E32"/>
    <w:rsid w:val="00D04C24"/>
    <w:rsid w:val="00D07197"/>
    <w:rsid w:val="00D07AF9"/>
    <w:rsid w:val="00D42B91"/>
    <w:rsid w:val="00D50290"/>
    <w:rsid w:val="00D50E99"/>
    <w:rsid w:val="00D52439"/>
    <w:rsid w:val="00D627DA"/>
    <w:rsid w:val="00D847AE"/>
    <w:rsid w:val="00D93A2A"/>
    <w:rsid w:val="00D93C41"/>
    <w:rsid w:val="00D93DEC"/>
    <w:rsid w:val="00DA0898"/>
    <w:rsid w:val="00DC7280"/>
    <w:rsid w:val="00DD4878"/>
    <w:rsid w:val="00DD5660"/>
    <w:rsid w:val="00DD790F"/>
    <w:rsid w:val="00DF2F74"/>
    <w:rsid w:val="00E17BB8"/>
    <w:rsid w:val="00E24D6F"/>
    <w:rsid w:val="00E47170"/>
    <w:rsid w:val="00E60B54"/>
    <w:rsid w:val="00E65366"/>
    <w:rsid w:val="00E71102"/>
    <w:rsid w:val="00E72067"/>
    <w:rsid w:val="00E7220F"/>
    <w:rsid w:val="00E9110D"/>
    <w:rsid w:val="00E9490B"/>
    <w:rsid w:val="00EA428F"/>
    <w:rsid w:val="00EA4744"/>
    <w:rsid w:val="00EB1E2F"/>
    <w:rsid w:val="00EB49F4"/>
    <w:rsid w:val="00EB54BA"/>
    <w:rsid w:val="00EC40C8"/>
    <w:rsid w:val="00ED3091"/>
    <w:rsid w:val="00EE14AC"/>
    <w:rsid w:val="00EE411B"/>
    <w:rsid w:val="00EE4E39"/>
    <w:rsid w:val="00EE56DC"/>
    <w:rsid w:val="00EE5E3F"/>
    <w:rsid w:val="00EF5F67"/>
    <w:rsid w:val="00F10F67"/>
    <w:rsid w:val="00F23E48"/>
    <w:rsid w:val="00F26CCF"/>
    <w:rsid w:val="00F31B05"/>
    <w:rsid w:val="00F36314"/>
    <w:rsid w:val="00F36B71"/>
    <w:rsid w:val="00F37352"/>
    <w:rsid w:val="00F374D0"/>
    <w:rsid w:val="00F4385E"/>
    <w:rsid w:val="00F458BD"/>
    <w:rsid w:val="00F47891"/>
    <w:rsid w:val="00F50B48"/>
    <w:rsid w:val="00F55507"/>
    <w:rsid w:val="00F57485"/>
    <w:rsid w:val="00F7426C"/>
    <w:rsid w:val="00F839BE"/>
    <w:rsid w:val="00F9749D"/>
    <w:rsid w:val="00FA34E5"/>
    <w:rsid w:val="00FA72E8"/>
    <w:rsid w:val="00FA7962"/>
    <w:rsid w:val="00FB6736"/>
    <w:rsid w:val="00FC1CBD"/>
    <w:rsid w:val="00FC6938"/>
    <w:rsid w:val="00FE0AF0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7A30B"/>
  <w15:docId w15:val="{FAE069E4-AF8C-3845-80F2-18D32056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E87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FF4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67CE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E0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Ha,Resume Title,Flor,Bolita,titulo 3,VIÑETA,VIÑETAS,Párrafo de lista2,Viñetas,List Paragraph1,Betulia Título 1,Lista vistosa - Énfasis 11,Párrafo de lista1,Bullets,Elabora,List,Fluvial1,Cuadrícula clara - Énfasis 31,Normal. Viñetas,HOJA"/>
    <w:basedOn w:val="Normal"/>
    <w:link w:val="PrrafodelistaCar"/>
    <w:uiPriority w:val="34"/>
    <w:qFormat/>
    <w:rsid w:val="00A97A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7A2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A97A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7A23"/>
    <w:rPr>
      <w:sz w:val="20"/>
      <w:szCs w:val="20"/>
    </w:rPr>
  </w:style>
  <w:style w:type="character" w:styleId="Refdenotaalpie">
    <w:name w:val="footnote reference"/>
    <w:aliases w:val="Ref. de nota al pie 2,Texto de nota al pie,Texto de nota al pi,Pie de Página,FC,Appel note de bas de page,Footnotes refss,Footnote number,referencia nota al pie,BVI fnr,f,4_G,16 Point,Superscript 6 Point,Texto nota al pie,Pie de Pàgi"/>
    <w:basedOn w:val="Fuentedeprrafopredeter"/>
    <w:uiPriority w:val="99"/>
    <w:unhideWhenUsed/>
    <w:qFormat/>
    <w:rsid w:val="00A97A2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97A23"/>
    <w:rPr>
      <w:b/>
      <w:bCs/>
    </w:rPr>
  </w:style>
  <w:style w:type="character" w:customStyle="1" w:styleId="PrrafodelistaCar">
    <w:name w:val="Párrafo de lista Car"/>
    <w:aliases w:val="Ha Car,Resume Title Car,Flor Car,Bolita Car,titulo 3 Car,VIÑETA Car,VIÑETAS Car,Párrafo de lista2 Car,Viñetas Car,List Paragraph1 Car,Betulia Título 1 Car,Lista vistosa - Énfasis 11 Car,Párrafo de lista1 Car,Bullets Car,Elabora Car"/>
    <w:link w:val="Prrafodelista"/>
    <w:uiPriority w:val="34"/>
    <w:qFormat/>
    <w:locked/>
    <w:rsid w:val="0042722A"/>
  </w:style>
  <w:style w:type="character" w:styleId="Hipervnculovisitado">
    <w:name w:val="FollowedHyperlink"/>
    <w:basedOn w:val="Fuentedeprrafopredeter"/>
    <w:uiPriority w:val="99"/>
    <w:semiHidden/>
    <w:unhideWhenUsed/>
    <w:rsid w:val="00251C43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B67CE2"/>
    <w:rPr>
      <w:rFonts w:ascii="Cambria" w:hAnsi="Cambria"/>
      <w:b/>
      <w:bCs/>
      <w:i/>
      <w:iCs/>
      <w:color w:val="4F81BD"/>
    </w:rPr>
  </w:style>
  <w:style w:type="paragraph" w:customStyle="1" w:styleId="pa9">
    <w:name w:val="pa9"/>
    <w:basedOn w:val="Normal"/>
    <w:rsid w:val="00B6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B6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269"/>
  </w:style>
  <w:style w:type="paragraph" w:styleId="Piedepgina">
    <w:name w:val="footer"/>
    <w:basedOn w:val="Normal"/>
    <w:link w:val="Piedepgina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269"/>
  </w:style>
  <w:style w:type="paragraph" w:styleId="Textodeglobo">
    <w:name w:val="Balloon Text"/>
    <w:basedOn w:val="Normal"/>
    <w:link w:val="TextodegloboCar"/>
    <w:uiPriority w:val="99"/>
    <w:semiHidden/>
    <w:unhideWhenUsed/>
    <w:rsid w:val="004F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644"/>
    <w:rPr>
      <w:rFonts w:ascii="Segoe UI" w:hAnsi="Segoe UI" w:cs="Segoe UI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2500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1">
    <w:name w:val="Grid Table 4 Accent 1"/>
    <w:basedOn w:val="Tablanormal"/>
    <w:uiPriority w:val="49"/>
    <w:rsid w:val="002500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n">
    <w:name w:val="Revision"/>
    <w:hidden/>
    <w:uiPriority w:val="99"/>
    <w:semiHidden/>
    <w:rsid w:val="00BE754E"/>
    <w:pPr>
      <w:spacing w:after="0" w:line="240" w:lineRule="auto"/>
    </w:pPr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87F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664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64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64D6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4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4D6"/>
    <w:rPr>
      <w:b/>
      <w:bCs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C5465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C54652"/>
  </w:style>
  <w:style w:type="character" w:customStyle="1" w:styleId="Ttulo6Car">
    <w:name w:val="Título 6 Car"/>
    <w:basedOn w:val="Fuentedeprrafopredeter"/>
    <w:link w:val="Ttulo6"/>
    <w:uiPriority w:val="9"/>
    <w:semiHidden/>
    <w:rsid w:val="00CE05CD"/>
    <w:rPr>
      <w:rFonts w:asciiTheme="majorHAnsi" w:eastAsiaTheme="majorEastAsia" w:hAnsiTheme="majorHAnsi" w:cstheme="majorBidi"/>
      <w:color w:val="1F4D78" w:themeColor="accent1" w:themeShade="7F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CE05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05CD"/>
    <w:rPr>
      <w:rFonts w:ascii="Arial MT" w:eastAsia="Arial MT" w:hAnsi="Arial MT" w:cs="Arial MT"/>
      <w:lang w:val="es-ES"/>
    </w:rPr>
  </w:style>
  <w:style w:type="character" w:customStyle="1" w:styleId="normaltextrun">
    <w:name w:val="normaltextrun"/>
    <w:basedOn w:val="Fuentedeprrafopredeter"/>
    <w:rsid w:val="00CE05CD"/>
  </w:style>
  <w:style w:type="character" w:customStyle="1" w:styleId="eop">
    <w:name w:val="eop"/>
    <w:basedOn w:val="Fuentedeprrafopredeter"/>
    <w:rsid w:val="00CE05CD"/>
  </w:style>
  <w:style w:type="character" w:customStyle="1" w:styleId="Ttulo2Car">
    <w:name w:val="Título 2 Car"/>
    <w:basedOn w:val="Fuentedeprrafopredeter"/>
    <w:link w:val="Ttulo2"/>
    <w:uiPriority w:val="9"/>
    <w:semiHidden/>
    <w:rsid w:val="00FF48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apple-converted-space">
    <w:name w:val="apple-converted-space"/>
    <w:basedOn w:val="Fuentedeprrafopredeter"/>
    <w:rsid w:val="00581E6E"/>
  </w:style>
  <w:style w:type="character" w:styleId="Nmerodepgina">
    <w:name w:val="page number"/>
    <w:basedOn w:val="Fuentedeprrafopredeter"/>
    <w:uiPriority w:val="99"/>
    <w:semiHidden/>
    <w:unhideWhenUsed/>
    <w:rsid w:val="00881A8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paragraph" w:customStyle="1" w:styleId="TableParagraph">
    <w:name w:val="Table Paragraph"/>
    <w:basedOn w:val="Normal"/>
    <w:uiPriority w:val="1"/>
    <w:qFormat/>
    <w:rsid w:val="00225052"/>
    <w:pPr>
      <w:widowControl w:val="0"/>
      <w:autoSpaceDE w:val="0"/>
      <w:autoSpaceDN w:val="0"/>
      <w:spacing w:after="0" w:line="240" w:lineRule="auto"/>
    </w:pPr>
    <w:rPr>
      <w:rFonts w:ascii="Constantia" w:eastAsia="Constantia" w:hAnsi="Constantia" w:cs="Constanti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XW7x66V8V6in6tqwLS26XXbqgA==">AMUW2mUXeHHI5y55KHS79ptv/A9TMgO5BAeZmEZ1JPLjWZe3Y16Ds20Q/n9Qn5cVYPS30Gr6TJbkbHWCM7ZugzqyGi2LRXi00gXwR5I+Zr85oLECucwJ6BZMGyNai3sHfN1PGK6APoad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805667-3257-48C1-8883-6782FB21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Temporal</dc:creator>
  <cp:lastModifiedBy>Dora Sonia Cortes Castillo</cp:lastModifiedBy>
  <cp:revision>8</cp:revision>
  <cp:lastPrinted>2024-11-25T15:40:00Z</cp:lastPrinted>
  <dcterms:created xsi:type="dcterms:W3CDTF">2024-11-27T21:11:00Z</dcterms:created>
  <dcterms:modified xsi:type="dcterms:W3CDTF">2024-11-27T21:45:00Z</dcterms:modified>
</cp:coreProperties>
</file>