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D2231" w14:textId="2B97B800" w:rsidR="00E4042F" w:rsidRPr="00E4042F" w:rsidRDefault="00E4042F" w:rsidP="00E4042F">
      <w:pPr>
        <w:pBdr>
          <w:top w:val="nil"/>
          <w:left w:val="nil"/>
          <w:bottom w:val="nil"/>
          <w:right w:val="nil"/>
          <w:between w:val="nil"/>
        </w:pBdr>
        <w:spacing w:after="0" w:line="276" w:lineRule="auto"/>
        <w:jc w:val="center"/>
        <w:rPr>
          <w:rFonts w:ascii="Arial" w:eastAsia="Arial" w:hAnsi="Arial" w:cs="Arial"/>
          <w:b/>
          <w:color w:val="000000"/>
        </w:rPr>
      </w:pPr>
      <w:r w:rsidRPr="00E4042F">
        <w:rPr>
          <w:rFonts w:ascii="Arial" w:eastAsia="Century Gothic" w:hAnsi="Arial" w:cs="Arial"/>
          <w:b/>
          <w:color w:val="000000"/>
          <w:lang w:val="es-CO"/>
        </w:rPr>
        <w:t xml:space="preserve">TEXTO APROBADO EN PRIMER DEBATE EN LA COMISIÓN PRIMERA CONSTITUCIONAL PERMANENTE DE LA CÁMARA DE REPRESENTANTES DEL </w:t>
      </w:r>
      <w:r w:rsidR="00FC2A06">
        <w:rPr>
          <w:rFonts w:ascii="Arial" w:eastAsia="Century Gothic" w:hAnsi="Arial" w:cs="Arial"/>
          <w:b/>
          <w:color w:val="000000"/>
        </w:rPr>
        <w:t>PROYECTO DE LEY ESTATUTARIA No</w:t>
      </w:r>
      <w:r w:rsidRPr="00E4042F">
        <w:rPr>
          <w:rFonts w:ascii="Arial" w:eastAsia="Century Gothic" w:hAnsi="Arial" w:cs="Arial"/>
          <w:b/>
          <w:color w:val="000000"/>
        </w:rPr>
        <w:t>.</w:t>
      </w:r>
      <w:r w:rsidRPr="00E4042F">
        <w:rPr>
          <w:rFonts w:ascii="Arial" w:eastAsia="Arial" w:hAnsi="Arial" w:cs="Arial"/>
          <w:b/>
        </w:rPr>
        <w:t xml:space="preserve"> 123 DE 2024 CÁMARA </w:t>
      </w:r>
      <w:r>
        <w:rPr>
          <w:rFonts w:ascii="Arial" w:eastAsia="Arial" w:hAnsi="Arial" w:cs="Arial"/>
          <w:b/>
        </w:rPr>
        <w:t>“</w:t>
      </w:r>
      <w:r w:rsidRPr="00E4042F">
        <w:rPr>
          <w:rFonts w:ascii="Arial" w:eastAsia="Arial" w:hAnsi="Arial" w:cs="Arial"/>
          <w:b/>
        </w:rPr>
        <w:t xml:space="preserve">POR MEDIO DE LA </w:t>
      </w:r>
      <w:r w:rsidR="00FC2A06">
        <w:rPr>
          <w:rFonts w:ascii="Arial" w:eastAsia="Arial" w:hAnsi="Arial" w:cs="Arial"/>
          <w:b/>
        </w:rPr>
        <w:t xml:space="preserve">                                                                                                                                                                                                                                                                       </w:t>
      </w:r>
      <w:r w:rsidRPr="00E4042F">
        <w:rPr>
          <w:rFonts w:ascii="Arial" w:eastAsia="Arial" w:hAnsi="Arial" w:cs="Arial"/>
          <w:b/>
        </w:rPr>
        <w:t>CUAL SE ESTABLECEN MEDIDAS PARA EL FORTALECIMIENTO DE LAS VEEDURÍAS CIUDADANAS, PROMOVER EL CONTROL SOCIAL Y SE DICTAN OTRAS DISPOSICIONES</w:t>
      </w:r>
      <w:r>
        <w:rPr>
          <w:rFonts w:ascii="Arial" w:eastAsia="Arial" w:hAnsi="Arial" w:cs="Arial"/>
          <w:b/>
        </w:rPr>
        <w:t>”</w:t>
      </w:r>
    </w:p>
    <w:p w14:paraId="04A56B0D" w14:textId="77777777" w:rsidR="00E4042F" w:rsidRPr="00E4042F" w:rsidRDefault="00E4042F" w:rsidP="00E4042F">
      <w:pPr>
        <w:spacing w:after="0" w:line="276" w:lineRule="auto"/>
        <w:jc w:val="center"/>
        <w:rPr>
          <w:rFonts w:ascii="Arial" w:eastAsia="Arial" w:hAnsi="Arial" w:cs="Arial"/>
          <w:b/>
        </w:rPr>
      </w:pPr>
    </w:p>
    <w:p w14:paraId="59087C81" w14:textId="77777777" w:rsidR="00E4042F" w:rsidRPr="00E4042F" w:rsidRDefault="00E4042F" w:rsidP="00E4042F">
      <w:pPr>
        <w:spacing w:after="0" w:line="276" w:lineRule="auto"/>
        <w:jc w:val="center"/>
        <w:rPr>
          <w:rFonts w:ascii="Arial" w:eastAsia="Arial" w:hAnsi="Arial" w:cs="Arial"/>
          <w:b/>
          <w:color w:val="000000"/>
        </w:rPr>
      </w:pPr>
      <w:r w:rsidRPr="00E4042F">
        <w:rPr>
          <w:rFonts w:ascii="Arial" w:eastAsia="Arial" w:hAnsi="Arial" w:cs="Arial"/>
          <w:b/>
          <w:color w:val="000000"/>
        </w:rPr>
        <w:t>EL CONGRESO DE LA REPÚBLICA DE COLOMBIA</w:t>
      </w:r>
    </w:p>
    <w:p w14:paraId="359D5634" w14:textId="77777777" w:rsidR="00E4042F" w:rsidRPr="00E4042F" w:rsidRDefault="00E4042F" w:rsidP="00E4042F">
      <w:pPr>
        <w:spacing w:after="0" w:line="276" w:lineRule="auto"/>
        <w:jc w:val="center"/>
        <w:rPr>
          <w:rFonts w:ascii="Arial" w:eastAsia="Arial" w:hAnsi="Arial" w:cs="Arial"/>
          <w:b/>
          <w:color w:val="000000"/>
        </w:rPr>
      </w:pPr>
    </w:p>
    <w:p w14:paraId="7000CD99" w14:textId="77777777" w:rsidR="00E4042F" w:rsidRDefault="00E4042F" w:rsidP="00E4042F">
      <w:pPr>
        <w:spacing w:after="0" w:line="276" w:lineRule="auto"/>
        <w:jc w:val="center"/>
        <w:rPr>
          <w:rFonts w:ascii="Arial" w:eastAsia="Arial" w:hAnsi="Arial" w:cs="Arial"/>
          <w:b/>
          <w:color w:val="000000"/>
        </w:rPr>
      </w:pPr>
      <w:r>
        <w:rPr>
          <w:rFonts w:ascii="Arial" w:eastAsia="Arial" w:hAnsi="Arial" w:cs="Arial"/>
          <w:b/>
          <w:color w:val="000000"/>
        </w:rPr>
        <w:t>DECRETA:</w:t>
      </w:r>
    </w:p>
    <w:p w14:paraId="69DC5613" w14:textId="736D1A27" w:rsidR="00E4042F" w:rsidRDefault="00E4042F" w:rsidP="00E4042F">
      <w:pPr>
        <w:jc w:val="both"/>
        <w:rPr>
          <w:rFonts w:ascii="Arial" w:eastAsia="Arial" w:hAnsi="Arial" w:cs="Arial"/>
        </w:rPr>
      </w:pPr>
      <w:r>
        <w:rPr>
          <w:rFonts w:ascii="Arial" w:eastAsia="Arial" w:hAnsi="Arial" w:cs="Arial"/>
          <w:b/>
        </w:rPr>
        <w:br/>
      </w:r>
      <w:r>
        <w:rPr>
          <w:rFonts w:ascii="Arial" w:eastAsia="Arial" w:hAnsi="Arial" w:cs="Arial"/>
          <w:b/>
        </w:rPr>
        <w:br/>
        <w:t>Artículo 1. Objeto.</w:t>
      </w:r>
      <w:r w:rsidR="00DB1C88">
        <w:rPr>
          <w:rFonts w:ascii="Arial" w:eastAsia="Arial" w:hAnsi="Arial" w:cs="Arial"/>
        </w:rPr>
        <w:t xml:space="preserve"> La presente</w:t>
      </w:r>
      <w:r>
        <w:rPr>
          <w:rFonts w:ascii="Arial" w:eastAsia="Arial" w:hAnsi="Arial" w:cs="Arial"/>
        </w:rPr>
        <w:t xml:space="preserve"> ley tiene por objeto fortalecer</w:t>
      </w:r>
      <w:r w:rsidR="00DB1C88">
        <w:rPr>
          <w:rFonts w:ascii="Arial" w:eastAsia="Arial" w:hAnsi="Arial" w:cs="Arial"/>
        </w:rPr>
        <w:t>, modernizar y optimizar</w:t>
      </w:r>
      <w:r>
        <w:rPr>
          <w:rFonts w:ascii="Arial" w:eastAsia="Arial" w:hAnsi="Arial" w:cs="Arial"/>
        </w:rPr>
        <w:t xml:space="preserve"> las veedurías ciudadanas para consolidar su gestión, así como</w:t>
      </w:r>
      <w:r w:rsidR="00DB1C88">
        <w:rPr>
          <w:rFonts w:ascii="Arial" w:eastAsia="Arial" w:hAnsi="Arial" w:cs="Arial"/>
        </w:rPr>
        <w:t xml:space="preserve"> robustecer </w:t>
      </w:r>
      <w:r>
        <w:rPr>
          <w:rFonts w:ascii="Arial" w:eastAsia="Arial" w:hAnsi="Arial" w:cs="Arial"/>
        </w:rPr>
        <w:t xml:space="preserve">las capacidades de control social en el país. </w:t>
      </w:r>
    </w:p>
    <w:p w14:paraId="7FEFDC9B" w14:textId="77777777" w:rsidR="0018358F" w:rsidRDefault="0018358F" w:rsidP="0018358F">
      <w:pPr>
        <w:jc w:val="both"/>
        <w:rPr>
          <w:rFonts w:ascii="Arial" w:eastAsia="Arial" w:hAnsi="Arial" w:cs="Arial"/>
          <w:b/>
        </w:rPr>
      </w:pPr>
    </w:p>
    <w:p w14:paraId="376509A8" w14:textId="29417254" w:rsidR="00DE022E" w:rsidRPr="00DE022E" w:rsidRDefault="00DE022E" w:rsidP="00DE022E">
      <w:pPr>
        <w:jc w:val="both"/>
        <w:rPr>
          <w:rFonts w:ascii="Arial" w:eastAsia="Arial" w:hAnsi="Arial" w:cs="Arial"/>
        </w:rPr>
      </w:pPr>
      <w:r w:rsidRPr="00DE022E">
        <w:rPr>
          <w:rFonts w:ascii="Arial" w:eastAsia="Arial" w:hAnsi="Arial" w:cs="Arial"/>
          <w:b/>
        </w:rPr>
        <w:t xml:space="preserve">Artículo 2. </w:t>
      </w:r>
      <w:r w:rsidRPr="00DE022E">
        <w:rPr>
          <w:rFonts w:ascii="Arial" w:eastAsia="Arial" w:hAnsi="Arial" w:cs="Arial"/>
        </w:rPr>
        <w:t>Modifíquese el artículo 2° de la Ley 850 de 2003,</w:t>
      </w:r>
      <w:r w:rsidR="00461F6A">
        <w:rPr>
          <w:rFonts w:ascii="Arial" w:eastAsia="Arial" w:hAnsi="Arial" w:cs="Arial"/>
        </w:rPr>
        <w:t xml:space="preserve"> </w:t>
      </w:r>
      <w:r w:rsidRPr="00DE022E">
        <w:rPr>
          <w:rFonts w:ascii="Arial" w:eastAsia="Arial" w:hAnsi="Arial" w:cs="Arial"/>
        </w:rPr>
        <w:t>el cual quedará así:</w:t>
      </w:r>
    </w:p>
    <w:p w14:paraId="736058F7" w14:textId="6C535120" w:rsidR="00DE022E" w:rsidRDefault="00DE022E" w:rsidP="00DE022E">
      <w:pPr>
        <w:jc w:val="both"/>
        <w:rPr>
          <w:rFonts w:ascii="Arial" w:eastAsia="Times New Roman" w:hAnsi="Arial" w:cs="Arial"/>
          <w:lang w:val="es-CO" w:eastAsia="es-CO"/>
        </w:rPr>
      </w:pPr>
      <w:r>
        <w:rPr>
          <w:rFonts w:ascii="Arial" w:eastAsia="Arial" w:hAnsi="Arial" w:cs="Arial"/>
          <w:b/>
        </w:rPr>
        <w:t xml:space="preserve">Artículo 2°. </w:t>
      </w:r>
      <w:r w:rsidRPr="00DE022E">
        <w:rPr>
          <w:rFonts w:ascii="Arial" w:eastAsia="Times New Roman" w:hAnsi="Arial" w:cs="Arial"/>
          <w:b/>
          <w:lang w:val="es-CO" w:eastAsia="es-CO"/>
        </w:rPr>
        <w:t>Facultad de Constitución.</w:t>
      </w:r>
      <w:r>
        <w:rPr>
          <w:rFonts w:ascii="Arial" w:eastAsia="Times New Roman" w:hAnsi="Arial" w:cs="Arial"/>
          <w:lang w:val="es-CO" w:eastAsia="es-CO"/>
        </w:rPr>
        <w:t xml:space="preserve"> Todas la</w:t>
      </w:r>
      <w:r w:rsidRPr="00DE022E">
        <w:rPr>
          <w:rFonts w:ascii="Arial" w:eastAsia="Times New Roman" w:hAnsi="Arial" w:cs="Arial"/>
          <w:lang w:val="es-CO" w:eastAsia="es-CO"/>
        </w:rPr>
        <w:t xml:space="preserve">s </w:t>
      </w:r>
      <w:r>
        <w:rPr>
          <w:rFonts w:ascii="Arial" w:eastAsia="Times New Roman" w:hAnsi="Arial" w:cs="Arial"/>
          <w:lang w:val="es-CO" w:eastAsia="es-CO"/>
        </w:rPr>
        <w:t>personas</w:t>
      </w:r>
      <w:r w:rsidRPr="00DE022E">
        <w:rPr>
          <w:rFonts w:ascii="Arial" w:eastAsia="Times New Roman" w:hAnsi="Arial" w:cs="Arial"/>
          <w:lang w:val="es-CO" w:eastAsia="es-CO"/>
        </w:rPr>
        <w:t xml:space="preserve"> en forma plural o a través de organizaciones civiles como: organizaciones comunitarias, profesionales, juveniles, sindicales, benéficas o de utilidad común, no gubernamentales, sin ánimo de lucro y constituidas con arreglo a la ley podrán constituir veedurías ciudadanas. A tal fin, deberán registrarse en forma simultánea, dejando constancia expresa de sus conflictos de intereses, ante la personería y cámara de comercio del municipio o distrito en el cual vaya a operar la </w:t>
      </w:r>
      <w:proofErr w:type="spellStart"/>
      <w:r w:rsidRPr="00DE022E">
        <w:rPr>
          <w:rFonts w:ascii="Arial" w:eastAsia="Times New Roman" w:hAnsi="Arial" w:cs="Arial"/>
          <w:lang w:val="es-CO" w:eastAsia="es-CO"/>
        </w:rPr>
        <w:t>veeduria</w:t>
      </w:r>
      <w:proofErr w:type="spellEnd"/>
      <w:r w:rsidRPr="00DE022E">
        <w:rPr>
          <w:rFonts w:ascii="Arial" w:eastAsia="Times New Roman" w:hAnsi="Arial" w:cs="Arial"/>
          <w:lang w:val="es-CO" w:eastAsia="es-CO"/>
        </w:rPr>
        <w:t xml:space="preserve"> como requisito para poder ejercer su labor. </w:t>
      </w:r>
    </w:p>
    <w:p w14:paraId="72A24C45" w14:textId="77777777" w:rsidR="00DE022E" w:rsidRDefault="00DE022E" w:rsidP="00DE022E">
      <w:pPr>
        <w:jc w:val="both"/>
        <w:rPr>
          <w:rFonts w:ascii="Arial" w:eastAsia="Times New Roman" w:hAnsi="Arial" w:cs="Arial"/>
          <w:lang w:val="es-CO" w:eastAsia="es-CO"/>
        </w:rPr>
      </w:pPr>
    </w:p>
    <w:p w14:paraId="3845EA4F" w14:textId="085BB571" w:rsidR="00DE022E" w:rsidRPr="00DE022E" w:rsidRDefault="00DE022E" w:rsidP="00DE022E">
      <w:pPr>
        <w:jc w:val="both"/>
        <w:rPr>
          <w:rFonts w:ascii="Arial" w:eastAsia="Arial" w:hAnsi="Arial" w:cs="Arial"/>
        </w:rPr>
      </w:pPr>
      <w:r w:rsidRPr="00DE022E">
        <w:rPr>
          <w:rFonts w:ascii="Arial" w:eastAsia="Times New Roman" w:hAnsi="Arial" w:cs="Arial"/>
          <w:b/>
          <w:lang w:val="es-CO" w:eastAsia="es-CO"/>
        </w:rPr>
        <w:t>P</w:t>
      </w:r>
      <w:r w:rsidR="00461F6A" w:rsidRPr="00DE022E">
        <w:rPr>
          <w:rFonts w:ascii="Arial" w:eastAsia="Times New Roman" w:hAnsi="Arial" w:cs="Arial"/>
          <w:b/>
          <w:lang w:val="es-CO" w:eastAsia="es-CO"/>
        </w:rPr>
        <w:t>arágrafo</w:t>
      </w:r>
      <w:r w:rsidRPr="00DE022E">
        <w:rPr>
          <w:rFonts w:ascii="Arial" w:eastAsia="Times New Roman" w:hAnsi="Arial" w:cs="Arial"/>
          <w:b/>
          <w:lang w:val="es-CO" w:eastAsia="es-CO"/>
        </w:rPr>
        <w:t>:</w:t>
      </w:r>
      <w:r>
        <w:rPr>
          <w:rFonts w:ascii="Arial" w:eastAsia="Times New Roman" w:hAnsi="Arial" w:cs="Arial"/>
          <w:lang w:val="es-CO" w:eastAsia="es-CO"/>
        </w:rPr>
        <w:t xml:space="preserve"> D</w:t>
      </w:r>
      <w:r w:rsidRPr="00DE022E">
        <w:rPr>
          <w:rFonts w:ascii="Arial" w:eastAsia="Times New Roman" w:hAnsi="Arial" w:cs="Arial"/>
          <w:lang w:val="es-CO" w:eastAsia="es-CO"/>
        </w:rPr>
        <w:t>entro de los seis meses siguientes a la expedición de esta ley, todas las veedurías que actualmente operan deberán proceder a realizar el respectivo registro en los términos señalados en el inciso precedente.</w:t>
      </w:r>
    </w:p>
    <w:p w14:paraId="44DEFB88" w14:textId="74DB57CF" w:rsidR="00E4042F" w:rsidRPr="00DE022E" w:rsidRDefault="00E4042F" w:rsidP="00E4042F">
      <w:pPr>
        <w:jc w:val="both"/>
        <w:rPr>
          <w:rFonts w:ascii="Arial" w:eastAsia="Arial" w:hAnsi="Arial" w:cs="Arial"/>
        </w:rPr>
      </w:pPr>
    </w:p>
    <w:p w14:paraId="39646813" w14:textId="1DC35C5B" w:rsidR="00E4042F" w:rsidRDefault="00DE022E" w:rsidP="00E4042F">
      <w:pPr>
        <w:jc w:val="both"/>
        <w:rPr>
          <w:rFonts w:ascii="Arial" w:eastAsia="Arial" w:hAnsi="Arial" w:cs="Arial"/>
        </w:rPr>
      </w:pPr>
      <w:r>
        <w:rPr>
          <w:rFonts w:ascii="Arial" w:eastAsia="Arial" w:hAnsi="Arial" w:cs="Arial"/>
          <w:b/>
        </w:rPr>
        <w:t>Artículo 3</w:t>
      </w:r>
      <w:r w:rsidR="00E4042F">
        <w:rPr>
          <w:rFonts w:ascii="Arial" w:eastAsia="Arial" w:hAnsi="Arial" w:cs="Arial"/>
          <w:b/>
        </w:rPr>
        <w:t xml:space="preserve">. </w:t>
      </w:r>
      <w:r w:rsidR="00E4042F">
        <w:rPr>
          <w:rFonts w:ascii="Arial" w:eastAsia="Arial" w:hAnsi="Arial" w:cs="Arial"/>
        </w:rPr>
        <w:t>Modifíquese el artículo 3° de la Ley 850 de 2003, el cual quedará así:</w:t>
      </w:r>
    </w:p>
    <w:p w14:paraId="5BF9684F" w14:textId="3DB4F73F" w:rsidR="00E4042F" w:rsidRDefault="00E4042F" w:rsidP="00E4042F">
      <w:pPr>
        <w:jc w:val="both"/>
        <w:rPr>
          <w:rFonts w:ascii="Arial" w:eastAsia="Arial" w:hAnsi="Arial" w:cs="Arial"/>
        </w:rPr>
      </w:pPr>
      <w:r>
        <w:rPr>
          <w:rFonts w:ascii="Arial" w:eastAsia="Arial" w:hAnsi="Arial" w:cs="Arial"/>
          <w:b/>
        </w:rPr>
        <w:t xml:space="preserve">Artículo 3°. Procedimiento. </w:t>
      </w:r>
      <w:r>
        <w:rPr>
          <w:rFonts w:ascii="Arial" w:eastAsia="Arial" w:hAnsi="Arial" w:cs="Arial"/>
        </w:rPr>
        <w:t xml:space="preserve">Para efectos de lo dispuesto en el artículo anterior, las organizaciones civiles o </w:t>
      </w:r>
      <w:r w:rsidR="00652FC5">
        <w:rPr>
          <w:rFonts w:ascii="Arial" w:eastAsia="Arial" w:hAnsi="Arial" w:cs="Arial"/>
        </w:rPr>
        <w:t>las personas, p</w:t>
      </w:r>
      <w:r>
        <w:rPr>
          <w:rFonts w:ascii="Arial" w:eastAsia="Arial" w:hAnsi="Arial" w:cs="Arial"/>
        </w:rPr>
        <w:t xml:space="preserve">rocederán a elegir de una forma democrática a los veedores, luego elaborarán un documento o acta de constitución en la cual conste el nombre de los integrantes, documento de identidad, el objeto de la vigilancia, nivel territorial, duración y lugar de residencia. La inscripción de este documento se realizará ante las personerías municipales o distritales </w:t>
      </w:r>
      <w:r w:rsidR="00DB1C88">
        <w:rPr>
          <w:rFonts w:ascii="Arial" w:eastAsia="Arial" w:hAnsi="Arial" w:cs="Arial"/>
        </w:rPr>
        <w:t xml:space="preserve">y </w:t>
      </w:r>
      <w:r>
        <w:rPr>
          <w:rFonts w:ascii="Arial" w:eastAsia="Arial" w:hAnsi="Arial" w:cs="Arial"/>
        </w:rPr>
        <w:t xml:space="preserve">ante las Cámaras de Comercio, quienes deberán llevar registro público de las veedurías inscritas en su jurisdicción. </w:t>
      </w:r>
    </w:p>
    <w:p w14:paraId="0A237C83" w14:textId="2DEADD17" w:rsidR="00E4042F" w:rsidRPr="00BF5375" w:rsidRDefault="00E4042F" w:rsidP="00E4042F">
      <w:pPr>
        <w:jc w:val="both"/>
        <w:rPr>
          <w:rFonts w:ascii="Arial" w:eastAsia="Arial" w:hAnsi="Arial" w:cs="Arial"/>
        </w:rPr>
      </w:pPr>
      <w:r w:rsidRPr="00BF5375">
        <w:rPr>
          <w:rFonts w:ascii="Arial" w:eastAsia="Arial" w:hAnsi="Arial" w:cs="Arial"/>
        </w:rPr>
        <w:lastRenderedPageBreak/>
        <w:t>En el Registro Único Empresarial y Social (RUES) se implementará una plataforma electrónica para el registro de las veedurías ciudadanas ante las Cámaras de Comercio</w:t>
      </w:r>
      <w:r w:rsidR="00DB1C88">
        <w:rPr>
          <w:rFonts w:ascii="Arial" w:eastAsia="Arial" w:hAnsi="Arial" w:cs="Arial"/>
        </w:rPr>
        <w:t xml:space="preserve">; en dicho registro deberá, además, constar en forma expresa los conflictos de interés </w:t>
      </w:r>
      <w:r w:rsidR="00CC7761">
        <w:rPr>
          <w:rFonts w:ascii="Arial" w:eastAsia="Arial" w:hAnsi="Arial" w:cs="Arial"/>
        </w:rPr>
        <w:t>declarados</w:t>
      </w:r>
      <w:r w:rsidRPr="00BF5375">
        <w:rPr>
          <w:rFonts w:ascii="Arial" w:eastAsia="Arial" w:hAnsi="Arial" w:cs="Arial"/>
        </w:rPr>
        <w:t xml:space="preserve">. La plataforma electrónica en el RUES, a través de anotaciones electrónicas, permitirá el registro, la renovación y la cancelación de las veedurías ciudadanas de manera ágil y eficiente, fomentando ajustes y facilidades en las tarifas, la transparencia y la participación ciudadana en la supervisión de asuntos de interés público. En el caso de las comunidades indígenas esta función será asumida por las autoridades propias. </w:t>
      </w:r>
    </w:p>
    <w:p w14:paraId="0E6C70F4" w14:textId="6FC68724" w:rsidR="00E4042F" w:rsidRPr="00BF5375" w:rsidRDefault="00E4042F" w:rsidP="00E4042F">
      <w:pPr>
        <w:jc w:val="both"/>
        <w:rPr>
          <w:rFonts w:ascii="Arial" w:eastAsia="Arial" w:hAnsi="Arial" w:cs="Arial"/>
        </w:rPr>
      </w:pPr>
      <w:r w:rsidRPr="00DB1C88">
        <w:rPr>
          <w:rFonts w:ascii="Arial" w:eastAsia="Arial" w:hAnsi="Arial" w:cs="Arial"/>
          <w:b/>
        </w:rPr>
        <w:t xml:space="preserve">Parágrafo 1°. </w:t>
      </w:r>
      <w:r w:rsidRPr="00BF5375">
        <w:rPr>
          <w:rFonts w:ascii="Arial" w:eastAsia="Arial" w:hAnsi="Arial" w:cs="Arial"/>
        </w:rPr>
        <w:t>Las cámaras de comercio del país, las personerías distritales y municip</w:t>
      </w:r>
      <w:r w:rsidR="002A6C4C">
        <w:rPr>
          <w:rFonts w:ascii="Arial" w:eastAsia="Arial" w:hAnsi="Arial" w:cs="Arial"/>
        </w:rPr>
        <w:t xml:space="preserve">ales, las autoridades indígenas </w:t>
      </w:r>
      <w:r w:rsidRPr="00BF5375">
        <w:rPr>
          <w:rFonts w:ascii="Arial" w:eastAsia="Arial" w:hAnsi="Arial" w:cs="Arial"/>
        </w:rPr>
        <w:t>y los consejos</w:t>
      </w:r>
      <w:r w:rsidR="00652FC5">
        <w:rPr>
          <w:rFonts w:ascii="Arial" w:eastAsia="Arial" w:hAnsi="Arial" w:cs="Arial"/>
        </w:rPr>
        <w:t xml:space="preserve"> comunitarios</w:t>
      </w:r>
      <w:r w:rsidRPr="00BF5375">
        <w:rPr>
          <w:rFonts w:ascii="Arial" w:eastAsia="Arial" w:hAnsi="Arial" w:cs="Arial"/>
        </w:rPr>
        <w:t xml:space="preserve"> de las comunidades </w:t>
      </w:r>
      <w:r w:rsidR="002A6C4C">
        <w:rPr>
          <w:rFonts w:ascii="Arial" w:eastAsia="Arial" w:hAnsi="Arial" w:cs="Arial"/>
        </w:rPr>
        <w:t xml:space="preserve">negras, afrocolombianas, raizales y </w:t>
      </w:r>
      <w:proofErr w:type="spellStart"/>
      <w:r w:rsidR="002A6C4C">
        <w:rPr>
          <w:rFonts w:ascii="Arial" w:eastAsia="Arial" w:hAnsi="Arial" w:cs="Arial"/>
        </w:rPr>
        <w:t>palenqueros</w:t>
      </w:r>
      <w:proofErr w:type="spellEnd"/>
      <w:r w:rsidR="002A6C4C">
        <w:rPr>
          <w:rFonts w:ascii="Arial" w:eastAsia="Arial" w:hAnsi="Arial" w:cs="Arial"/>
        </w:rPr>
        <w:t>,</w:t>
      </w:r>
      <w:r w:rsidRPr="00BF5375">
        <w:rPr>
          <w:rFonts w:ascii="Arial" w:eastAsia="Arial" w:hAnsi="Arial" w:cs="Arial"/>
        </w:rPr>
        <w:t xml:space="preserve"> de forma semestral remitirán al RUES el registro público de veedurías</w:t>
      </w:r>
      <w:r w:rsidR="002A6C4C">
        <w:rPr>
          <w:rFonts w:ascii="Arial" w:eastAsia="Arial" w:hAnsi="Arial" w:cs="Arial"/>
        </w:rPr>
        <w:t xml:space="preserve"> y sus conflictos de interés</w:t>
      </w:r>
      <w:r w:rsidRPr="00BF5375">
        <w:rPr>
          <w:rFonts w:ascii="Arial" w:eastAsia="Arial" w:hAnsi="Arial" w:cs="Arial"/>
        </w:rPr>
        <w:t xml:space="preserve"> actualizado</w:t>
      </w:r>
      <w:r w:rsidR="002A6C4C">
        <w:rPr>
          <w:rFonts w:ascii="Arial" w:eastAsia="Arial" w:hAnsi="Arial" w:cs="Arial"/>
        </w:rPr>
        <w:t>s</w:t>
      </w:r>
      <w:r w:rsidRPr="00BF5375">
        <w:rPr>
          <w:rFonts w:ascii="Arial" w:eastAsia="Arial" w:hAnsi="Arial" w:cs="Arial"/>
        </w:rPr>
        <w:t xml:space="preserve">. Es deber de estas entidades y autoridades, la revisión, verificación y depuración periódica de la información del registro público de veedurías. </w:t>
      </w:r>
    </w:p>
    <w:p w14:paraId="7135FF6E" w14:textId="2DC3CE64" w:rsidR="00E4042F" w:rsidRPr="00BF5375" w:rsidRDefault="00E4042F" w:rsidP="00E4042F">
      <w:pPr>
        <w:jc w:val="both"/>
        <w:rPr>
          <w:rFonts w:ascii="Arial" w:eastAsia="Arial" w:hAnsi="Arial" w:cs="Arial"/>
        </w:rPr>
      </w:pPr>
      <w:r w:rsidRPr="00DB1C88">
        <w:rPr>
          <w:rFonts w:ascii="Arial" w:eastAsia="Arial" w:hAnsi="Arial" w:cs="Arial"/>
          <w:b/>
        </w:rPr>
        <w:t>Parágrafo 2°.</w:t>
      </w:r>
      <w:r w:rsidRPr="00BF5375">
        <w:rPr>
          <w:rFonts w:ascii="Arial" w:eastAsia="Arial" w:hAnsi="Arial" w:cs="Arial"/>
        </w:rPr>
        <w:t xml:space="preserve"> Las tarifas de inscripción, renovación y cancelación de las veedurías ciudadanas en la plataforma electrónica del RUES serán</w:t>
      </w:r>
      <w:r w:rsidR="00DB1C88">
        <w:rPr>
          <w:rFonts w:ascii="Arial" w:eastAsia="Arial" w:hAnsi="Arial" w:cs="Arial"/>
        </w:rPr>
        <w:t xml:space="preserve"> gratuitas y </w:t>
      </w:r>
      <w:r w:rsidRPr="00BF5375">
        <w:rPr>
          <w:rFonts w:ascii="Arial" w:eastAsia="Arial" w:hAnsi="Arial" w:cs="Arial"/>
        </w:rPr>
        <w:t xml:space="preserve">reglamentadas por el Gobierno nacional dentro de los </w:t>
      </w:r>
      <w:r w:rsidR="002A6C4C">
        <w:rPr>
          <w:rFonts w:ascii="Arial" w:eastAsia="Arial" w:hAnsi="Arial" w:cs="Arial"/>
        </w:rPr>
        <w:t>seis (</w:t>
      </w:r>
      <w:r w:rsidRPr="00BF5375">
        <w:rPr>
          <w:rFonts w:ascii="Arial" w:eastAsia="Arial" w:hAnsi="Arial" w:cs="Arial"/>
        </w:rPr>
        <w:t>6</w:t>
      </w:r>
      <w:r w:rsidR="002A6C4C">
        <w:rPr>
          <w:rFonts w:ascii="Arial" w:eastAsia="Arial" w:hAnsi="Arial" w:cs="Arial"/>
        </w:rPr>
        <w:t>)</w:t>
      </w:r>
      <w:r w:rsidRPr="00BF5375">
        <w:rPr>
          <w:rFonts w:ascii="Arial" w:eastAsia="Arial" w:hAnsi="Arial" w:cs="Arial"/>
        </w:rPr>
        <w:t xml:space="preserve"> meses siguientes a la entrada en vigencia de esta ley. </w:t>
      </w:r>
    </w:p>
    <w:p w14:paraId="3F95010B" w14:textId="074F4D4D" w:rsidR="00E4042F" w:rsidRPr="00BF5375" w:rsidRDefault="00E4042F" w:rsidP="00E4042F">
      <w:pPr>
        <w:jc w:val="both"/>
        <w:rPr>
          <w:rFonts w:ascii="Arial" w:eastAsia="Arial" w:hAnsi="Arial" w:cs="Arial"/>
        </w:rPr>
      </w:pPr>
      <w:r w:rsidRPr="00DB1C88">
        <w:rPr>
          <w:rFonts w:ascii="Arial" w:eastAsia="Arial" w:hAnsi="Arial" w:cs="Arial"/>
          <w:b/>
        </w:rPr>
        <w:t>Parágrafo 3°.</w:t>
      </w:r>
      <w:r w:rsidRPr="00BF5375">
        <w:rPr>
          <w:rFonts w:ascii="Arial" w:eastAsia="Arial" w:hAnsi="Arial" w:cs="Arial"/>
        </w:rPr>
        <w:t xml:space="preserve"> Las cámaras de comercio del país y las personerías distritales y municipales deben disponer mecanismos para la atención con enfoque diferencial a las autoridades indígenas y los consejos comunitarios de las comunidades </w:t>
      </w:r>
      <w:r w:rsidR="002A6C4C">
        <w:rPr>
          <w:rFonts w:ascii="Arial" w:eastAsia="Arial" w:hAnsi="Arial" w:cs="Arial"/>
        </w:rPr>
        <w:t xml:space="preserve">negras, afrocolombianas, raizales y </w:t>
      </w:r>
      <w:proofErr w:type="spellStart"/>
      <w:r w:rsidR="002A6C4C">
        <w:rPr>
          <w:rFonts w:ascii="Arial" w:eastAsia="Arial" w:hAnsi="Arial" w:cs="Arial"/>
        </w:rPr>
        <w:t>palenqueros</w:t>
      </w:r>
      <w:proofErr w:type="spellEnd"/>
      <w:r w:rsidR="002A6C4C">
        <w:rPr>
          <w:rFonts w:ascii="Arial" w:eastAsia="Arial" w:hAnsi="Arial" w:cs="Arial"/>
        </w:rPr>
        <w:t xml:space="preserve"> </w:t>
      </w:r>
      <w:r w:rsidRPr="00BF5375">
        <w:rPr>
          <w:rFonts w:ascii="Arial" w:eastAsia="Arial" w:hAnsi="Arial" w:cs="Arial"/>
        </w:rPr>
        <w:t xml:space="preserve">al momento del registro de su veeduría, </w:t>
      </w:r>
      <w:r w:rsidR="002A6C4C">
        <w:rPr>
          <w:rFonts w:ascii="Arial" w:eastAsia="Arial" w:hAnsi="Arial" w:cs="Arial"/>
        </w:rPr>
        <w:t xml:space="preserve">y </w:t>
      </w:r>
      <w:r w:rsidRPr="00BF5375">
        <w:rPr>
          <w:rFonts w:ascii="Arial" w:eastAsia="Arial" w:hAnsi="Arial" w:cs="Arial"/>
        </w:rPr>
        <w:t>disponer de mecanismos para la atención y acompañamiento diferencial de veedores que cuenten con una condición de discapacidad y las veedoras mujeres o personas con identidad de género diversa, con el propósito de garantizar su participación inclusiva</w:t>
      </w:r>
      <w:r w:rsidR="002A6C4C">
        <w:rPr>
          <w:rFonts w:ascii="Arial" w:eastAsia="Arial" w:hAnsi="Arial" w:cs="Arial"/>
        </w:rPr>
        <w:t>. Igualmente contarán con canales de comunicación accesibles para personas con discapacidad sensorial y garantizarán el acceso a formatos en sistema de escritura braille cuando sea el caso.</w:t>
      </w:r>
    </w:p>
    <w:p w14:paraId="5255D3FE" w14:textId="77777777" w:rsidR="00E4042F" w:rsidRPr="00BF5375" w:rsidRDefault="00E4042F" w:rsidP="00E4042F">
      <w:pPr>
        <w:jc w:val="both"/>
        <w:rPr>
          <w:rFonts w:ascii="Arial" w:eastAsia="Arial" w:hAnsi="Arial" w:cs="Arial"/>
        </w:rPr>
      </w:pPr>
      <w:r w:rsidRPr="00DB1C88">
        <w:rPr>
          <w:rFonts w:ascii="Arial" w:eastAsia="Arial" w:hAnsi="Arial" w:cs="Arial"/>
          <w:b/>
        </w:rPr>
        <w:t>Parágrafo 4°.</w:t>
      </w:r>
      <w:r w:rsidRPr="00BF5375">
        <w:rPr>
          <w:rFonts w:ascii="Arial" w:eastAsia="Arial" w:hAnsi="Arial" w:cs="Arial"/>
        </w:rPr>
        <w:t xml:space="preserve"> No se podrá exigir la constitución de una entidad sin ánimo de lucro como requisito para el registro de las veedurías ciudadanas. El registro de una veeduría ciudadana como entidad sin ánimo de lucro dependerá de la libre decisión de los integrantes de la veeduría respectiva.</w:t>
      </w:r>
    </w:p>
    <w:p w14:paraId="41B29EAD" w14:textId="77777777" w:rsidR="00E4042F" w:rsidRPr="00BF5375" w:rsidRDefault="00E4042F" w:rsidP="00E4042F">
      <w:pPr>
        <w:jc w:val="both"/>
        <w:rPr>
          <w:rFonts w:ascii="Arial" w:eastAsia="Arial" w:hAnsi="Arial" w:cs="Arial"/>
        </w:rPr>
      </w:pPr>
    </w:p>
    <w:p w14:paraId="7C7E1FCC" w14:textId="78C2CC3B" w:rsidR="00E4042F" w:rsidRPr="00BF5375" w:rsidRDefault="00DA3CAA" w:rsidP="00E4042F">
      <w:pPr>
        <w:spacing w:before="240" w:after="240" w:line="240" w:lineRule="auto"/>
        <w:jc w:val="both"/>
        <w:rPr>
          <w:rFonts w:ascii="Arial" w:eastAsia="Arial" w:hAnsi="Arial" w:cs="Arial"/>
        </w:rPr>
      </w:pPr>
      <w:r>
        <w:rPr>
          <w:rFonts w:ascii="Arial" w:eastAsia="Arial" w:hAnsi="Arial" w:cs="Arial"/>
          <w:b/>
        </w:rPr>
        <w:t>Artículo 4</w:t>
      </w:r>
      <w:r w:rsidR="00E4042F" w:rsidRPr="00DB1C88">
        <w:rPr>
          <w:rFonts w:ascii="Arial" w:eastAsia="Arial" w:hAnsi="Arial" w:cs="Arial"/>
          <w:b/>
        </w:rPr>
        <w:t>.</w:t>
      </w:r>
      <w:r w:rsidR="00E4042F" w:rsidRPr="00BF5375">
        <w:rPr>
          <w:rFonts w:ascii="Arial" w:eastAsia="Arial" w:hAnsi="Arial" w:cs="Arial"/>
        </w:rPr>
        <w:t xml:space="preserve"> Modifíquese el artículo 17 de la Ley 850 de 2003, el cual quedará redactado así:</w:t>
      </w:r>
    </w:p>
    <w:p w14:paraId="0D96C3DB"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ARTÍCULO 17. Derechos de las veedurías:</w:t>
      </w:r>
    </w:p>
    <w:p w14:paraId="6BE46E04" w14:textId="199E98A0"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a)  Acceder a la información completa, incluyendo el ciclo de políticas públicas y las etapas de contratación, relacionada con las políticas, proyectos, programas, contratos, concesiones, recursos presupuestales de carácter público asignados, metas físicas y </w:t>
      </w:r>
      <w:r w:rsidRPr="00BF5375">
        <w:rPr>
          <w:rFonts w:ascii="Arial" w:eastAsia="Arial" w:hAnsi="Arial" w:cs="Arial"/>
        </w:rPr>
        <w:lastRenderedPageBreak/>
        <w:t>financieras, procedimientos técnicos y administrativos y los cronogramas de ejecución previstos para los mismos desde el momento de su iniciación. La información entregada debe ser completa, oportuna y en lenguaje claro y acc</w:t>
      </w:r>
      <w:r w:rsidR="00282AE7">
        <w:rPr>
          <w:rFonts w:ascii="Arial" w:eastAsia="Arial" w:hAnsi="Arial" w:cs="Arial"/>
        </w:rPr>
        <w:t>esible para el veedor ciudadano, con excepción de lo establecido en el artículo 24 de la Ley 1437 de 2011 o la norma que lo modifique o adicione.</w:t>
      </w:r>
      <w:r w:rsidRPr="00BF5375">
        <w:rPr>
          <w:rFonts w:ascii="Arial" w:eastAsia="Arial" w:hAnsi="Arial" w:cs="Arial"/>
        </w:rPr>
        <w:t xml:space="preserve"> </w:t>
      </w:r>
    </w:p>
    <w:p w14:paraId="355D77E7" w14:textId="7BF9A3F6"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Las entidades públicas no podrán limitar la entrega de la información a los veedores ciudadanos aduciendo costes de reproducción, cuando sea posible la digitalización de la información y de los trámites respectivos.</w:t>
      </w:r>
      <w:r w:rsidR="00CB3B98">
        <w:rPr>
          <w:rFonts w:ascii="Arial" w:eastAsia="Arial" w:hAnsi="Arial" w:cs="Arial"/>
        </w:rPr>
        <w:t xml:space="preserve"> Lo anterior, sin perjuicio de la información que tenga carácter reservada o clasificada por la Constitución o la Ley.</w:t>
      </w:r>
    </w:p>
    <w:p w14:paraId="5DCDBAD9"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b) Solicitar al funcionario de la entidad pública o privada responsable del programa, contrato o proyecto donde estén involucrados recursos de carácter público - financieros, logísticos, normativos, técnicos -  la adopción de los mecanismos correctivos y sancionatorios del caso, cuando en su ejecución no cumpla con las especificaciones correspondientes o se causen graves perjuicios a la comunidad.</w:t>
      </w:r>
    </w:p>
    <w:p w14:paraId="3886002F" w14:textId="08EE057F"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c) Obtener de los supervisores, interventores, contratistas y de las entidades contratantes, la información que permita conocer los criterios que sustentan la toma de decisiones relativas a la gestión fiscal y administrativa. La información solicitada por las veedur</w:t>
      </w:r>
      <w:r w:rsidR="00732D42">
        <w:rPr>
          <w:rFonts w:ascii="Arial" w:eastAsia="Arial" w:hAnsi="Arial" w:cs="Arial"/>
        </w:rPr>
        <w:t>ías es de obligatoria respuesta</w:t>
      </w:r>
      <w:r w:rsidRPr="00BF5375">
        <w:rPr>
          <w:rFonts w:ascii="Arial" w:eastAsia="Arial" w:hAnsi="Arial" w:cs="Arial"/>
        </w:rPr>
        <w:t xml:space="preserve"> </w:t>
      </w:r>
      <w:r w:rsidR="00283ADD">
        <w:rPr>
          <w:rFonts w:ascii="Arial" w:eastAsia="Arial" w:hAnsi="Arial" w:cs="Arial"/>
        </w:rPr>
        <w:t>de conformidad con el respeto a la reserva documental salvo que el juez orden</w:t>
      </w:r>
      <w:r w:rsidR="00732D42">
        <w:rPr>
          <w:rFonts w:ascii="Arial" w:eastAsia="Arial" w:hAnsi="Arial" w:cs="Arial"/>
        </w:rPr>
        <w:t>e</w:t>
      </w:r>
      <w:r w:rsidR="00283ADD">
        <w:rPr>
          <w:rFonts w:ascii="Arial" w:eastAsia="Arial" w:hAnsi="Arial" w:cs="Arial"/>
        </w:rPr>
        <w:t xml:space="preserve"> lo contrario.</w:t>
      </w:r>
      <w:r w:rsidRPr="00BF5375">
        <w:rPr>
          <w:rFonts w:ascii="Arial" w:eastAsia="Arial" w:hAnsi="Arial" w:cs="Arial"/>
        </w:rPr>
        <w:t xml:space="preserve"> </w:t>
      </w:r>
    </w:p>
    <w:p w14:paraId="07C1CD64" w14:textId="033AC9DC"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d) Recibir capacitaciones anuales especializadas de parte de la Contraloría, Procuraduría, Personería, la Escuela Superior de Administración Pública, el Servicio Nacional de Aprendizaje, la Agencia Nacional de Contratación Pública – Colombia Compra Eficiente y los demás integrantes de la Red Institucional de Apoyo a las Veedurías Ciudadanas. </w:t>
      </w:r>
      <w:r w:rsidR="009120D8">
        <w:rPr>
          <w:rFonts w:ascii="Arial" w:eastAsia="Arial" w:hAnsi="Arial" w:cs="Arial"/>
        </w:rPr>
        <w:t xml:space="preserve">Las Veedurías en las subregiones PDET, especialmente las </w:t>
      </w:r>
      <w:r w:rsidR="002D7B05">
        <w:rPr>
          <w:rFonts w:ascii="Arial" w:eastAsia="Arial" w:hAnsi="Arial" w:cs="Arial"/>
        </w:rPr>
        <w:t xml:space="preserve">de </w:t>
      </w:r>
      <w:r w:rsidR="009120D8">
        <w:rPr>
          <w:rFonts w:ascii="Arial" w:eastAsia="Arial" w:hAnsi="Arial" w:cs="Arial"/>
        </w:rPr>
        <w:t>comunidades étnicas y rurales, tendrán acceso prioritario a programas de formación y a la información relacionada con control social, así como con proyectos que impacten su territorio y derechos colectivos.</w:t>
      </w:r>
    </w:p>
    <w:p w14:paraId="30F11F4A"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e)  Las Instituciones Públicas de Educación Superior, en el marco de su autonomía universitaria y de acuerdo a sus capacidades, podrán conceder descuentos del pago de la matrícula e incentivos para su permanencia, a los miembros de las veedurías debidamente inscritas y en funcionamiento efectivo por un periodo mínimo de seis (6) meses.</w:t>
      </w:r>
    </w:p>
    <w:p w14:paraId="2D4A28EF"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f) Las labores de las veedurías ciudadanas debidamente constituidas y activas podrán ser financiadas mediante el Fondo para la Participación Ciudadana y el Fortalecimiento de la Democracia. También podrán ser financiadas por organizaciones sociales o particulares, o con recursos provenientes de la cooperación internacional, ello con el fin de impulsar el seguimiento de la ejecución de los recursos públicos en proyectos de interés general, políticas públicas, proyectos estratégicos, entre otros.</w:t>
      </w:r>
    </w:p>
    <w:p w14:paraId="11112481"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g) Los veedores ciudadanos, con nivel de riesgo valorado por la autoridad competente, tienen derecho a que se les brinde y presten mecanismos de protección para su integridad.</w:t>
      </w:r>
    </w:p>
    <w:p w14:paraId="59B22DDF"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lastRenderedPageBreak/>
        <w:t xml:space="preserve">h)  Acceder de forma libre y gratuita a los medios públicos y comunitarios de comunicación, según los lineamientos que expida el Gobierno nacional dentro de los seis (6) meses siguientes a la entrada en vigencia de la presente Ley. </w:t>
      </w:r>
    </w:p>
    <w:p w14:paraId="2396A904"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i) Los demás que reconozca la Constitución y la ley. </w:t>
      </w:r>
    </w:p>
    <w:p w14:paraId="65DED298" w14:textId="480BEDE4" w:rsidR="00E4042F" w:rsidRPr="00BF5375" w:rsidRDefault="00E4042F" w:rsidP="00E4042F">
      <w:pPr>
        <w:spacing w:before="240" w:after="240" w:line="240" w:lineRule="auto"/>
        <w:jc w:val="both"/>
        <w:rPr>
          <w:rFonts w:ascii="Arial" w:eastAsia="Arial" w:hAnsi="Arial" w:cs="Arial"/>
        </w:rPr>
      </w:pPr>
      <w:r w:rsidRPr="00472217">
        <w:rPr>
          <w:rFonts w:ascii="Arial" w:eastAsia="Arial" w:hAnsi="Arial" w:cs="Arial"/>
          <w:b/>
        </w:rPr>
        <w:t>Parágrafo 1°.</w:t>
      </w:r>
      <w:r w:rsidRPr="00BF5375">
        <w:rPr>
          <w:rFonts w:ascii="Arial" w:eastAsia="Arial" w:hAnsi="Arial" w:cs="Arial"/>
        </w:rPr>
        <w:t xml:space="preserve"> Los términos de las peticiones y solicitudes </w:t>
      </w:r>
      <w:r w:rsidR="00472217">
        <w:rPr>
          <w:rFonts w:ascii="Arial" w:eastAsia="Arial" w:hAnsi="Arial" w:cs="Arial"/>
        </w:rPr>
        <w:t xml:space="preserve">serán los </w:t>
      </w:r>
      <w:r w:rsidRPr="00BF5375">
        <w:rPr>
          <w:rFonts w:ascii="Arial" w:eastAsia="Arial" w:hAnsi="Arial" w:cs="Arial"/>
        </w:rPr>
        <w:t xml:space="preserve">contemplados en la Ley 1755 de 2015, cuando la petición sea realizada por una veeduría ciudadana en el marco del control social a las entidades de la Rama Ejecutiva del orden nacional y descentralizado, así como las entidades de las entidades del nivel territorial. Los presentes términos no aplican al proceso de registro e inscripción de las veedurías. </w:t>
      </w:r>
    </w:p>
    <w:p w14:paraId="304210BF" w14:textId="77777777" w:rsidR="00E4042F" w:rsidRPr="00BF5375" w:rsidRDefault="00E4042F" w:rsidP="00E4042F">
      <w:pPr>
        <w:spacing w:before="240" w:after="240" w:line="240" w:lineRule="auto"/>
        <w:jc w:val="both"/>
        <w:rPr>
          <w:rFonts w:ascii="Arial" w:eastAsia="Arial" w:hAnsi="Arial" w:cs="Arial"/>
        </w:rPr>
      </w:pPr>
      <w:r w:rsidRPr="00472217">
        <w:rPr>
          <w:rFonts w:ascii="Arial" w:eastAsia="Arial" w:hAnsi="Arial" w:cs="Arial"/>
          <w:b/>
        </w:rPr>
        <w:t>Parágrafo 2°.</w:t>
      </w:r>
      <w:r w:rsidRPr="00BF5375">
        <w:rPr>
          <w:rFonts w:ascii="Arial" w:eastAsia="Arial" w:hAnsi="Arial" w:cs="Arial"/>
        </w:rPr>
        <w:t xml:space="preserve"> Los documentos que deben entregar o expedir los servidores públicos o demás personas o entidades sujetas del control social por las veedurías ciudadanas en ejercicio de su labor de vigilancia y control, no causará costo alguno. La información será suministrada en los términos y el plazo establecido en el parágrafo anterior en un medio y formato físico o digital accesible para el veedor.</w:t>
      </w:r>
    </w:p>
    <w:p w14:paraId="71894F11" w14:textId="77777777" w:rsidR="00E4042F" w:rsidRPr="00BF5375" w:rsidRDefault="00E4042F" w:rsidP="00E4042F">
      <w:pPr>
        <w:spacing w:before="240" w:after="240" w:line="240" w:lineRule="auto"/>
        <w:jc w:val="both"/>
        <w:rPr>
          <w:rFonts w:ascii="Arial" w:eastAsia="Arial" w:hAnsi="Arial" w:cs="Arial"/>
        </w:rPr>
      </w:pPr>
      <w:r w:rsidRPr="00472217">
        <w:rPr>
          <w:rFonts w:ascii="Arial" w:eastAsia="Arial" w:hAnsi="Arial" w:cs="Arial"/>
          <w:b/>
        </w:rPr>
        <w:t>Parágrafo 3°.</w:t>
      </w:r>
      <w:r w:rsidRPr="00BF5375">
        <w:rPr>
          <w:rFonts w:ascii="Arial" w:eastAsia="Arial" w:hAnsi="Arial" w:cs="Arial"/>
        </w:rPr>
        <w:t xml:space="preserve"> Las entidades públicas y privadas que se nieguen a dar respuesta a las solicitudes de información hechas por las veedurías, serán sancionadas conforme a los artículos 31 y 32 de la Ley 1437 de 2011. </w:t>
      </w:r>
    </w:p>
    <w:p w14:paraId="3BAB3DA8" w14:textId="77777777" w:rsidR="00E4042F" w:rsidRPr="00BF5375" w:rsidRDefault="00E4042F" w:rsidP="00E4042F">
      <w:pPr>
        <w:spacing w:before="240" w:after="240" w:line="240" w:lineRule="auto"/>
        <w:jc w:val="both"/>
        <w:rPr>
          <w:rFonts w:ascii="Arial" w:eastAsia="Arial" w:hAnsi="Arial" w:cs="Arial"/>
        </w:rPr>
      </w:pPr>
      <w:r w:rsidRPr="002D7B05">
        <w:rPr>
          <w:rFonts w:ascii="Arial" w:eastAsia="Arial" w:hAnsi="Arial" w:cs="Arial"/>
          <w:b/>
        </w:rPr>
        <w:t>Parágrafo 4°.</w:t>
      </w:r>
      <w:r w:rsidRPr="00BF5375">
        <w:rPr>
          <w:rFonts w:ascii="Arial" w:eastAsia="Arial" w:hAnsi="Arial" w:cs="Arial"/>
        </w:rPr>
        <w:t xml:space="preserve"> Para efectos de lo contemplado en la Ley 2113 de 2021 y las normas que lo modifiquen, las veedurías ciudadanas serán objeto de la prestación de servicios de asesoría jurídica y litigio estratégico de interés público por parte de los Consultorios Jurídicos, sobre los asuntos que correspondan al objeto de su veeduría.  </w:t>
      </w:r>
    </w:p>
    <w:p w14:paraId="336920E3" w14:textId="77777777" w:rsidR="00E4042F" w:rsidRPr="00BF5375" w:rsidRDefault="00E4042F" w:rsidP="00E4042F">
      <w:pPr>
        <w:spacing w:after="240" w:line="240" w:lineRule="auto"/>
        <w:jc w:val="both"/>
        <w:rPr>
          <w:rFonts w:ascii="Arial" w:eastAsia="Arial" w:hAnsi="Arial" w:cs="Arial"/>
        </w:rPr>
      </w:pPr>
      <w:r w:rsidRPr="00BF5375">
        <w:rPr>
          <w:rFonts w:ascii="Arial" w:eastAsia="Arial" w:hAnsi="Arial" w:cs="Arial"/>
        </w:rPr>
        <w:t>Los egresados de las facultades de derecho podrán realizar su judicatura ad-honorem como asistentes de las Veedurías Ciudadanas debidamente registradas y en funcionamiento efectivo, de conformidad con los requisitos y lineamientos establecidos por el Consejo Superior de la Judicatura.</w:t>
      </w:r>
    </w:p>
    <w:p w14:paraId="631F698C" w14:textId="77777777" w:rsidR="00E4042F" w:rsidRPr="00BF5375" w:rsidRDefault="00E4042F" w:rsidP="00E4042F">
      <w:pPr>
        <w:spacing w:before="240" w:after="240" w:line="240" w:lineRule="auto"/>
        <w:jc w:val="both"/>
        <w:rPr>
          <w:rFonts w:ascii="Arial" w:eastAsia="Arial" w:hAnsi="Arial" w:cs="Arial"/>
        </w:rPr>
      </w:pPr>
      <w:r w:rsidRPr="00282AE7">
        <w:rPr>
          <w:rFonts w:ascii="Arial" w:eastAsia="Arial" w:hAnsi="Arial" w:cs="Arial"/>
          <w:b/>
        </w:rPr>
        <w:t>Parágrafo Transitorio.</w:t>
      </w:r>
      <w:r w:rsidRPr="00BF5375">
        <w:rPr>
          <w:rFonts w:ascii="Arial" w:eastAsia="Arial" w:hAnsi="Arial" w:cs="Arial"/>
        </w:rPr>
        <w:t xml:space="preserve"> Dentro de los seis (6) meses siguientes a la expedición de la presente Ley, el Gobierno Nacional reglamentará las presentes disposiciones en coordinación del Ministerio Público, Ministerio de Educación, la Contraloría General de la República, Procuraduría General de la Nación, Personería, y demás autoridades intervinientes. </w:t>
      </w:r>
    </w:p>
    <w:p w14:paraId="47210BD5" w14:textId="77777777" w:rsidR="00E4042F" w:rsidRPr="00BF5375" w:rsidRDefault="00E4042F" w:rsidP="00E4042F">
      <w:pPr>
        <w:spacing w:before="240" w:after="240" w:line="240" w:lineRule="auto"/>
        <w:jc w:val="both"/>
        <w:rPr>
          <w:rFonts w:ascii="Arial" w:eastAsia="Arial" w:hAnsi="Arial" w:cs="Arial"/>
        </w:rPr>
      </w:pPr>
    </w:p>
    <w:p w14:paraId="59CFBA67" w14:textId="5AA77F9C" w:rsidR="00E4042F" w:rsidRPr="00BF5375" w:rsidRDefault="00DA3CAA" w:rsidP="00E4042F">
      <w:pPr>
        <w:spacing w:before="240" w:after="240" w:line="240" w:lineRule="auto"/>
        <w:jc w:val="both"/>
        <w:rPr>
          <w:rFonts w:ascii="Arial" w:eastAsia="Arial" w:hAnsi="Arial" w:cs="Arial"/>
        </w:rPr>
      </w:pPr>
      <w:r>
        <w:rPr>
          <w:rFonts w:ascii="Arial" w:eastAsia="Arial" w:hAnsi="Arial" w:cs="Arial"/>
          <w:b/>
        </w:rPr>
        <w:t>Artículo 5</w:t>
      </w:r>
      <w:r w:rsidR="00E4042F" w:rsidRPr="00DB1C88">
        <w:rPr>
          <w:rFonts w:ascii="Arial" w:eastAsia="Arial" w:hAnsi="Arial" w:cs="Arial"/>
          <w:b/>
        </w:rPr>
        <w:t>.</w:t>
      </w:r>
      <w:r w:rsidR="00E4042F" w:rsidRPr="00BF5375">
        <w:rPr>
          <w:rFonts w:ascii="Arial" w:eastAsia="Arial" w:hAnsi="Arial" w:cs="Arial"/>
        </w:rPr>
        <w:t xml:space="preserve"> Modifíquese el artículo 18 de la Ley 850 de 2003, el cual quedará redactado así: </w:t>
      </w:r>
    </w:p>
    <w:p w14:paraId="112EDAF6" w14:textId="77777777" w:rsidR="00E4042F" w:rsidRPr="00BF5375" w:rsidRDefault="00E4042F" w:rsidP="00E4042F">
      <w:pPr>
        <w:spacing w:before="240" w:after="240" w:line="240" w:lineRule="auto"/>
        <w:jc w:val="both"/>
        <w:rPr>
          <w:rFonts w:ascii="Arial" w:eastAsia="Arial" w:hAnsi="Arial" w:cs="Arial"/>
        </w:rPr>
      </w:pPr>
      <w:r w:rsidRPr="00FC2A06">
        <w:rPr>
          <w:rFonts w:ascii="Arial" w:eastAsia="Arial" w:hAnsi="Arial" w:cs="Arial"/>
          <w:b/>
        </w:rPr>
        <w:t>Artículo 18. Deberes de las veedurías.</w:t>
      </w:r>
      <w:r w:rsidRPr="00BF5375">
        <w:rPr>
          <w:rFonts w:ascii="Arial" w:eastAsia="Arial" w:hAnsi="Arial" w:cs="Arial"/>
        </w:rPr>
        <w:t xml:space="preserve"> Son deberes de las veedurías: </w:t>
      </w:r>
    </w:p>
    <w:p w14:paraId="4D92C52A"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lastRenderedPageBreak/>
        <w:t xml:space="preserve">a) Respetar, obrar con transparencia, con ética y respeto por los derechos de las personas y su dignidad. Las veedurías serán responsables por sus acciones u omisiones que afecten estos derechos a la luz de las leyes aplicables en cada materia. </w:t>
      </w:r>
    </w:p>
    <w:p w14:paraId="12A2C622"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b) Recibir informes, observaciones, y sugerencias que presenten los particulares, las comunidades organizadas, las organizaciones civiles y las autoridades, en relación con las obras, programas y actividades objeto de veeduría. </w:t>
      </w:r>
    </w:p>
    <w:p w14:paraId="0997D315"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c) Comunicar a la ciudadanía, a través de informes presentados en asambleas generales o reuniones similares de los habitantes y de las organizaciones de la comunidad y a través de medios digitales, los avances en los procesos de control y vigilancia que estén realizando. </w:t>
      </w:r>
    </w:p>
    <w:p w14:paraId="2089801B"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d) Definir su propio reglamento de funcionamiento y los mecanismos de regulación del comportamiento de sus miembros. </w:t>
      </w:r>
    </w:p>
    <w:p w14:paraId="56045D7B"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e) Acatar el régimen de prohibiciones e impedimentos señalados por esta ley. </w:t>
      </w:r>
    </w:p>
    <w:p w14:paraId="00831114"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f) Inscribirse en el registro de las personerías municipales y distritales o Cámaras de Comercio. </w:t>
      </w:r>
    </w:p>
    <w:p w14:paraId="3F32D421"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g) Realizar audiencias públicas para rendir informes de control preventivo y posterior ejercido por la veeduría y solicitar información de las entidades oficiales o privadas que ejecuten recursos del Estado o prestan un servicio público. Las audiencias deberán ser transmitirlas a través de medios digitales.</w:t>
      </w:r>
    </w:p>
    <w:p w14:paraId="1C00C1BF" w14:textId="36C265FE" w:rsidR="00E4042F" w:rsidRPr="00BF5375" w:rsidRDefault="00E4042F" w:rsidP="00E4042F">
      <w:pPr>
        <w:spacing w:after="240" w:line="240" w:lineRule="auto"/>
        <w:jc w:val="both"/>
        <w:rPr>
          <w:rFonts w:ascii="Arial" w:eastAsia="Arial" w:hAnsi="Arial" w:cs="Arial"/>
        </w:rPr>
      </w:pPr>
      <w:r w:rsidRPr="00BF5375">
        <w:rPr>
          <w:rFonts w:ascii="Arial" w:eastAsia="Arial" w:hAnsi="Arial" w:cs="Arial"/>
        </w:rPr>
        <w:t>Cuando una veeduría reciba financiación pública o privada, deberá emitir un informe trimestral detallado de la destinación de los recursos recibidos y un informe final de los hallazgos re</w:t>
      </w:r>
      <w:r w:rsidR="001D5DC8">
        <w:rPr>
          <w:rFonts w:ascii="Arial" w:eastAsia="Arial" w:hAnsi="Arial" w:cs="Arial"/>
        </w:rPr>
        <w:t xml:space="preserve">alizados de sus investigaciones; ambos informes deberán ser depositados </w:t>
      </w:r>
      <w:r w:rsidR="002D7B05">
        <w:rPr>
          <w:rFonts w:ascii="Arial" w:eastAsia="Arial" w:hAnsi="Arial" w:cs="Arial"/>
        </w:rPr>
        <w:t>ant</w:t>
      </w:r>
      <w:r w:rsidR="001D5DC8">
        <w:rPr>
          <w:rFonts w:ascii="Arial" w:eastAsia="Arial" w:hAnsi="Arial" w:cs="Arial"/>
        </w:rPr>
        <w:t>e la Cámara de Comercio y la Personería en la cual se encuentre registrada e, igualmente, difundidos a través de la pagina web o redes sociales de la respectiva veeduría.</w:t>
      </w:r>
      <w:r w:rsidRPr="00BF5375">
        <w:rPr>
          <w:rFonts w:ascii="Arial" w:eastAsia="Arial" w:hAnsi="Arial" w:cs="Arial"/>
        </w:rPr>
        <w:t xml:space="preserve"> </w:t>
      </w:r>
    </w:p>
    <w:p w14:paraId="64156D76"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h) Informar a las autoridades y ciudadanía en general mediante rendición de cuentas pública, cada 6 meses, sobre su financiación, la ejecución de los recursos y los resultados de su gestión. También deberán informar en su rendición de cuentas, el trámite que le dan a los posibles conflictos de interés derivados de la financiación que reciben y presentar un informe sobre estos conflictos de interés. Cuando una veeduría reciba financiación pública o privada, deberá emitir un informe semestral detallado de la destinación de los recursos recibidos y un informe final de los hallazgos realizados de sus investigaciones. </w:t>
      </w:r>
    </w:p>
    <w:p w14:paraId="25154719"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i) Abstenerse de recibir financiación de entidades estatales que son objeto de control de la veeduría, o de individuos o instituciones, que de mala fe o con intenciones temerarias, pretendan obstaculizar la obra o proyecto en ejecución sin justificación motivada. </w:t>
      </w:r>
    </w:p>
    <w:p w14:paraId="3C554DE5"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j) Remitir periódicamente la información actualizada de la veeduría ciudadana, sus integrantes, informes y registro de conflictos de interés a las autoridades competentes, para </w:t>
      </w:r>
      <w:r w:rsidRPr="00BF5375">
        <w:rPr>
          <w:rFonts w:ascii="Arial" w:eastAsia="Arial" w:hAnsi="Arial" w:cs="Arial"/>
        </w:rPr>
        <w:lastRenderedPageBreak/>
        <w:t xml:space="preserve">su publicación en el RUES. Los informes de hallazgos presentados por las veedurías ciudadanas a programas, obras y contratos de las entidades públicas, deben publicarse en la página oficial de la entidad. </w:t>
      </w:r>
    </w:p>
    <w:p w14:paraId="2F9A0C6E"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k) Las demás que señalen la Constitución y la ley.</w:t>
      </w:r>
    </w:p>
    <w:p w14:paraId="43DBA151" w14:textId="77777777" w:rsidR="00E4042F" w:rsidRPr="00BF5375" w:rsidRDefault="00E4042F" w:rsidP="00E4042F">
      <w:pPr>
        <w:spacing w:before="240" w:after="240" w:line="240" w:lineRule="auto"/>
        <w:jc w:val="both"/>
        <w:rPr>
          <w:rFonts w:ascii="Arial" w:eastAsia="Arial" w:hAnsi="Arial" w:cs="Arial"/>
        </w:rPr>
      </w:pPr>
    </w:p>
    <w:p w14:paraId="5BC87398" w14:textId="1A048D3E" w:rsidR="00E4042F" w:rsidRPr="00BF5375" w:rsidRDefault="00DA3CAA" w:rsidP="00E4042F">
      <w:pPr>
        <w:spacing w:before="240" w:after="240" w:line="240" w:lineRule="auto"/>
        <w:jc w:val="both"/>
        <w:rPr>
          <w:rFonts w:ascii="Arial" w:eastAsia="Arial" w:hAnsi="Arial" w:cs="Arial"/>
        </w:rPr>
      </w:pPr>
      <w:r>
        <w:rPr>
          <w:rFonts w:ascii="Arial" w:eastAsia="Arial" w:hAnsi="Arial" w:cs="Arial"/>
          <w:b/>
        </w:rPr>
        <w:t>Artículo 6</w:t>
      </w:r>
      <w:r w:rsidR="00E4042F" w:rsidRPr="00DB1C88">
        <w:rPr>
          <w:rFonts w:ascii="Arial" w:eastAsia="Arial" w:hAnsi="Arial" w:cs="Arial"/>
          <w:b/>
        </w:rPr>
        <w:t>.</w:t>
      </w:r>
      <w:r w:rsidR="00E4042F" w:rsidRPr="00BF5375">
        <w:rPr>
          <w:rFonts w:ascii="Arial" w:eastAsia="Arial" w:hAnsi="Arial" w:cs="Arial"/>
        </w:rPr>
        <w:t xml:space="preserve"> Adiciónese tres parágrafos al artículo 23 de la Ley 850 de 2003, el cual quedará así: </w:t>
      </w:r>
    </w:p>
    <w:p w14:paraId="34077FE3" w14:textId="229C6711" w:rsidR="00E4042F" w:rsidRDefault="00E4042F" w:rsidP="00E4042F">
      <w:pPr>
        <w:spacing w:before="240" w:after="240" w:line="240" w:lineRule="auto"/>
        <w:jc w:val="both"/>
        <w:rPr>
          <w:rFonts w:ascii="Arial" w:eastAsia="Arial" w:hAnsi="Arial" w:cs="Arial"/>
        </w:rPr>
      </w:pPr>
      <w:r w:rsidRPr="00DB1C88">
        <w:rPr>
          <w:rFonts w:ascii="Arial" w:eastAsia="Arial" w:hAnsi="Arial" w:cs="Arial"/>
          <w:b/>
        </w:rPr>
        <w:t>Artículo 23. Consejo Nacional de Apoyo a las Veedurías Ciudadanas.</w:t>
      </w:r>
      <w:r w:rsidRPr="00BF5375">
        <w:rPr>
          <w:rFonts w:ascii="Arial" w:eastAsia="Arial" w:hAnsi="Arial" w:cs="Arial"/>
        </w:rPr>
        <w:t xml:space="preserve"> Créase el Consejo Nacional de Apoyo a las Veedurías Ciudadanas, del cual harán parte un delegado de la Procuraduría General de la Nación, un delegado de la Contraloría General de la República, un delegado de la Defensoría del Pueblo, dos delegados de las redes de veedurías ciudadanas de orden nacional, dos delegados de las redes de veedurías ciudadanas de orden municipal y dos delegados de las redes No Territoriales de Veedurías Ciudadanas. El Consejo evaluará las políticas que ejecutarán las instituciones públicas nacionales en materia de veedurías ciudadanas. </w:t>
      </w:r>
    </w:p>
    <w:p w14:paraId="652ABC08" w14:textId="066C54AE" w:rsidR="00775576" w:rsidRPr="00BF5375" w:rsidRDefault="00775576" w:rsidP="00E4042F">
      <w:pPr>
        <w:spacing w:before="240" w:after="240" w:line="240" w:lineRule="auto"/>
        <w:jc w:val="both"/>
        <w:rPr>
          <w:rFonts w:ascii="Arial" w:eastAsia="Arial" w:hAnsi="Arial" w:cs="Arial"/>
        </w:rPr>
      </w:pPr>
      <w:r>
        <w:rPr>
          <w:rFonts w:ascii="Arial" w:eastAsia="Arial" w:hAnsi="Arial" w:cs="Arial"/>
        </w:rPr>
        <w:t>El Consejo Nacional de Apoyo a las Veedurías Ciudadanas deberá garantizar la inclusión activa de representantes de las comunidades más afectadas por el conflicto armado en los espacios de control social, priorizando las zonas de implementación de los Acuerdos de Paz.</w:t>
      </w:r>
    </w:p>
    <w:p w14:paraId="1EC1EFFF" w14:textId="77777777" w:rsidR="00E4042F" w:rsidRPr="00BF5375" w:rsidRDefault="00E4042F" w:rsidP="00E4042F">
      <w:pPr>
        <w:spacing w:before="240" w:after="240" w:line="240" w:lineRule="auto"/>
        <w:jc w:val="both"/>
        <w:rPr>
          <w:rFonts w:ascii="Arial" w:eastAsia="Arial" w:hAnsi="Arial" w:cs="Arial"/>
        </w:rPr>
      </w:pPr>
      <w:r w:rsidRPr="001D5DC8">
        <w:rPr>
          <w:rFonts w:ascii="Arial" w:eastAsia="Arial" w:hAnsi="Arial" w:cs="Arial"/>
          <w:b/>
        </w:rPr>
        <w:t>Parágrafo 1°.</w:t>
      </w:r>
      <w:r w:rsidRPr="00BF5375">
        <w:rPr>
          <w:rFonts w:ascii="Arial" w:eastAsia="Arial" w:hAnsi="Arial" w:cs="Arial"/>
        </w:rPr>
        <w:t xml:space="preserve"> El Consejo Nacional de Apoyo a las Veedurías Ciudadanas y la Red Institucional de Apoyo a las Veedurías Ciudadanas, con apoyo del SENA, crearán un programa que se podrá impartir de manera presencial o virtual, con el fin de capacitar y brindar apoyo técnico y jurídico para las veedurías ciudadanas. Así mismo, propiciarán espacios donde las veedurías puedan hacer retroalimentación, exponer sus hallazgos y generar recomendaciones derivadas del ejercicio del control social a lo público. </w:t>
      </w:r>
    </w:p>
    <w:p w14:paraId="1120DCE3" w14:textId="77777777" w:rsidR="00E4042F" w:rsidRPr="00BF5375" w:rsidRDefault="00E4042F" w:rsidP="00E4042F">
      <w:pPr>
        <w:spacing w:before="240" w:after="240" w:line="240" w:lineRule="auto"/>
        <w:jc w:val="both"/>
        <w:rPr>
          <w:rFonts w:ascii="Arial" w:eastAsia="Arial" w:hAnsi="Arial" w:cs="Arial"/>
        </w:rPr>
      </w:pPr>
      <w:r w:rsidRPr="001D5DC8">
        <w:rPr>
          <w:rFonts w:ascii="Arial" w:eastAsia="Arial" w:hAnsi="Arial" w:cs="Arial"/>
          <w:b/>
        </w:rPr>
        <w:t>Parágrafo 2°.</w:t>
      </w:r>
      <w:r w:rsidRPr="00BF5375">
        <w:rPr>
          <w:rFonts w:ascii="Arial" w:eastAsia="Arial" w:hAnsi="Arial" w:cs="Arial"/>
        </w:rPr>
        <w:t xml:space="preserve"> El Consejo Nacional de Apoyo a las Veedurías Ciudadanas y la Red Institucional de Apoyo a las Veedurías Ciudadanas deberán presentar un informe anual acerca de la evaluación que realicen de las distintas políticas públicas nacionales en materia de veedurías ciudadanas, discriminado de forma regional. </w:t>
      </w:r>
    </w:p>
    <w:p w14:paraId="34C69C60" w14:textId="77777777" w:rsidR="00E4042F" w:rsidRPr="00BF5375" w:rsidRDefault="00E4042F" w:rsidP="00E4042F">
      <w:pPr>
        <w:spacing w:before="240" w:after="240" w:line="240" w:lineRule="auto"/>
        <w:jc w:val="both"/>
        <w:rPr>
          <w:rFonts w:ascii="Arial" w:eastAsia="Arial" w:hAnsi="Arial" w:cs="Arial"/>
        </w:rPr>
      </w:pPr>
      <w:r w:rsidRPr="001D5DC8">
        <w:rPr>
          <w:rFonts w:ascii="Arial" w:eastAsia="Arial" w:hAnsi="Arial" w:cs="Arial"/>
          <w:b/>
        </w:rPr>
        <w:t>Parágrafo 3°.</w:t>
      </w:r>
      <w:r w:rsidRPr="00BF5375">
        <w:rPr>
          <w:rFonts w:ascii="Arial" w:eastAsia="Arial" w:hAnsi="Arial" w:cs="Arial"/>
        </w:rPr>
        <w:t xml:space="preserve"> El Consejo Nacional de Apoyo a las Veedurías Ciudadanas y la Red Institucional de Apoyo a las Veedurías Ciudadanas dentro de los seis (6) meses siguientes a la expedición de la presente Ley diseñarán e implementarán estrategias permanentes destinadas a incentivar la participación activa de la ciudadanía en actividades de veeduría.</w:t>
      </w:r>
    </w:p>
    <w:p w14:paraId="4269D349" w14:textId="77777777" w:rsidR="00E4042F" w:rsidRPr="00BF5375" w:rsidRDefault="00E4042F" w:rsidP="00E4042F">
      <w:pPr>
        <w:spacing w:before="240" w:after="240" w:line="240" w:lineRule="auto"/>
        <w:jc w:val="both"/>
        <w:rPr>
          <w:rFonts w:ascii="Arial" w:eastAsia="Arial" w:hAnsi="Arial" w:cs="Arial"/>
        </w:rPr>
      </w:pPr>
    </w:p>
    <w:p w14:paraId="70DB6B23" w14:textId="0F1A334D" w:rsidR="00E4042F" w:rsidRPr="00BF5375" w:rsidRDefault="00DA3CAA" w:rsidP="00E4042F">
      <w:pPr>
        <w:spacing w:before="240" w:after="240" w:line="240" w:lineRule="auto"/>
        <w:jc w:val="both"/>
        <w:rPr>
          <w:rFonts w:ascii="Arial" w:eastAsia="Arial" w:hAnsi="Arial" w:cs="Arial"/>
        </w:rPr>
      </w:pPr>
      <w:r>
        <w:rPr>
          <w:rFonts w:ascii="Arial" w:eastAsia="Arial" w:hAnsi="Arial" w:cs="Arial"/>
          <w:b/>
        </w:rPr>
        <w:t>Artículo 7</w:t>
      </w:r>
      <w:r w:rsidR="00E4042F" w:rsidRPr="00DB1C88">
        <w:rPr>
          <w:rFonts w:ascii="Arial" w:eastAsia="Arial" w:hAnsi="Arial" w:cs="Arial"/>
          <w:b/>
        </w:rPr>
        <w:t>.</w:t>
      </w:r>
      <w:r w:rsidR="00E4042F" w:rsidRPr="00BF5375">
        <w:rPr>
          <w:rFonts w:ascii="Arial" w:eastAsia="Arial" w:hAnsi="Arial" w:cs="Arial"/>
        </w:rPr>
        <w:t xml:space="preserve"> Adiciónese un parágrafo al artículo 50 de la Ley 1757 de 2015, el cual quedará así: </w:t>
      </w:r>
    </w:p>
    <w:p w14:paraId="2CAA12D4" w14:textId="77777777" w:rsidR="00E4042F" w:rsidRPr="00BF5375" w:rsidRDefault="00E4042F" w:rsidP="00E4042F">
      <w:pPr>
        <w:spacing w:before="240" w:after="240" w:line="240" w:lineRule="auto"/>
        <w:jc w:val="both"/>
        <w:rPr>
          <w:rFonts w:ascii="Arial" w:eastAsia="Arial" w:hAnsi="Arial" w:cs="Arial"/>
        </w:rPr>
      </w:pPr>
      <w:r w:rsidRPr="00DB1C88">
        <w:rPr>
          <w:rFonts w:ascii="Arial" w:eastAsia="Arial" w:hAnsi="Arial" w:cs="Arial"/>
          <w:b/>
        </w:rPr>
        <w:lastRenderedPageBreak/>
        <w:t>Artículo 50. Obligatoriedad de la rendición de cuentas a la ciudadanía.</w:t>
      </w:r>
      <w:r w:rsidRPr="00BF5375">
        <w:rPr>
          <w:rFonts w:ascii="Arial" w:eastAsia="Arial" w:hAnsi="Arial" w:cs="Arial"/>
        </w:rPr>
        <w:t xml:space="preserve"> Las autoridades de la administración pública nacional y territorial tienen la obligación de rendir cuentas ante la ciudadanía para informar y explicar la gestión realizada, los resultados de sus planes de acción y el avance en la garantía de derechos. </w:t>
      </w:r>
    </w:p>
    <w:p w14:paraId="13A12543"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La rendición de cuentas incluye acciones para informar oportunamente, en lenguaje comprensible a los ciudadanos y para establecer comunicación y diálogo participativo entre las entidades de la rama ejecutiva, la ciudadanía y sus organizaciones. </w:t>
      </w:r>
    </w:p>
    <w:p w14:paraId="281F3171"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Parágrafo 1. Las entidades y organismos de la Administración Pública tendrán que rendir cuentas en forma permanente a la ciudadanía, en los términos y condiciones previstos en el artículo 78 de la Ley 1474 de 2011. Se exceptúan las empresas industriales y comerciales del Estado y las Sociedades de Economía Mixta que desarrollen actividades comerciales en competencia con el sector privado, nacional o internacional o en mercados regulados, caso en el cual se regirán por las disposiciones legales y reglamentarias aplicables a sus actividades económicas y comerciales. </w:t>
      </w:r>
    </w:p>
    <w:p w14:paraId="4FB87512"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 xml:space="preserve">Parágrafo 2°. El informe de rendición de cuentas que realicen las autoridades de la administración pública nacional y territorial deberá incluir un informe detallado de las distintas respuestas a peticiones que dan a las veedurías y del trámite que se realizó de las mismas. Igualmente, deberán presentar las medidas adoptadas respecto de las recomendaciones allegadas por las veedurías ciudadanas sobre las políticas, planes, programas, proyectos, contratos y obras a su cargo, en caso de que se hubiesen adoptado. En caso de no haber adoptado ninguna medida se deberá especificar las razones. </w:t>
      </w:r>
    </w:p>
    <w:p w14:paraId="72701624" w14:textId="77777777" w:rsidR="00E4042F" w:rsidRPr="00BF5375" w:rsidRDefault="00E4042F" w:rsidP="00E4042F">
      <w:pPr>
        <w:spacing w:before="240" w:after="240" w:line="240" w:lineRule="auto"/>
        <w:jc w:val="both"/>
        <w:rPr>
          <w:rFonts w:ascii="Arial" w:eastAsia="Arial" w:hAnsi="Arial" w:cs="Arial"/>
        </w:rPr>
      </w:pPr>
      <w:r w:rsidRPr="00BF5375">
        <w:rPr>
          <w:rFonts w:ascii="Arial" w:eastAsia="Arial" w:hAnsi="Arial" w:cs="Arial"/>
        </w:rPr>
        <w:t>Este informe detallado deberá ser presentado a las veedurías ciudadanas en espacios de diálogo, para su respectiva retroalimentación y respuesta por parte de la entidad respectiva.</w:t>
      </w:r>
    </w:p>
    <w:p w14:paraId="303D1051" w14:textId="6D035730" w:rsidR="00E4042F" w:rsidRPr="00BF5375" w:rsidRDefault="00357031" w:rsidP="00E4042F">
      <w:pPr>
        <w:jc w:val="both"/>
        <w:rPr>
          <w:rFonts w:ascii="Arial" w:eastAsia="Arial" w:hAnsi="Arial" w:cs="Arial"/>
        </w:rPr>
      </w:pPr>
      <w:r>
        <w:rPr>
          <w:rFonts w:ascii="Arial" w:eastAsia="Arial" w:hAnsi="Arial" w:cs="Arial"/>
          <w:b/>
        </w:rPr>
        <w:t xml:space="preserve">Artículo </w:t>
      </w:r>
      <w:r w:rsidR="00DA3CAA">
        <w:rPr>
          <w:rFonts w:ascii="Arial" w:eastAsia="Arial" w:hAnsi="Arial" w:cs="Arial"/>
          <w:b/>
        </w:rPr>
        <w:t>8</w:t>
      </w:r>
      <w:r w:rsidR="00E4042F" w:rsidRPr="00DB1C88">
        <w:rPr>
          <w:rFonts w:ascii="Arial" w:eastAsia="Arial" w:hAnsi="Arial" w:cs="Arial"/>
          <w:b/>
        </w:rPr>
        <w:t>. Medidas de protección a los veedores ciudadanos.</w:t>
      </w:r>
      <w:r w:rsidR="00E4042F" w:rsidRPr="00BF5375">
        <w:rPr>
          <w:rFonts w:ascii="Arial" w:eastAsia="Arial" w:hAnsi="Arial" w:cs="Arial"/>
        </w:rPr>
        <w:t xml:space="preserve"> Los veedores ciudadanos que presuntamente se encuentren en situación de riesgo</w:t>
      </w:r>
      <w:r w:rsidR="00775576">
        <w:rPr>
          <w:rFonts w:ascii="Arial" w:eastAsia="Arial" w:hAnsi="Arial" w:cs="Arial"/>
        </w:rPr>
        <w:t xml:space="preserve"> podrán ser </w:t>
      </w:r>
      <w:r w:rsidR="00E4042F" w:rsidRPr="00BF5375">
        <w:rPr>
          <w:rFonts w:ascii="Arial" w:eastAsia="Arial" w:hAnsi="Arial" w:cs="Arial"/>
        </w:rPr>
        <w:t xml:space="preserve">incluidos en el Programa de Protección de la Unidad Nacional de Protección, siguiendo la reglamentación para la protección de personas en situación de riesgo. </w:t>
      </w:r>
      <w:r w:rsidR="00775576">
        <w:rPr>
          <w:rFonts w:ascii="Arial" w:eastAsia="Arial" w:hAnsi="Arial" w:cs="Arial"/>
        </w:rPr>
        <w:t xml:space="preserve">Podrán </w:t>
      </w:r>
      <w:r w:rsidR="00E4042F" w:rsidRPr="00BF5375">
        <w:rPr>
          <w:rFonts w:ascii="Arial" w:eastAsia="Arial" w:hAnsi="Arial" w:cs="Arial"/>
        </w:rPr>
        <w:t xml:space="preserve">acceder a mecanismos de protección necesarios para salvaguardar su seguridad e integridad. Deberán acudir a la Alcaldía municipal o distrital del lugar de la ocurrencia de los hechos con apoyo del Ministerio Público, a fin de que se les pueda brindar la respectiva atención, orientación y acompañamiento, quienes adelantarán el respectivo trámite para la valoración y determinación del riesgo ante la Unidad Nacional de Protección. </w:t>
      </w:r>
    </w:p>
    <w:p w14:paraId="31A7CE17" w14:textId="77777777" w:rsidR="00E4042F" w:rsidRPr="00BF5375" w:rsidRDefault="00E4042F" w:rsidP="00E4042F">
      <w:pPr>
        <w:jc w:val="both"/>
        <w:rPr>
          <w:rFonts w:ascii="Arial" w:eastAsia="Arial" w:hAnsi="Arial" w:cs="Arial"/>
        </w:rPr>
      </w:pPr>
      <w:r w:rsidRPr="00BF5375">
        <w:rPr>
          <w:rFonts w:ascii="Arial" w:eastAsia="Arial" w:hAnsi="Arial" w:cs="Arial"/>
        </w:rPr>
        <w:t>En casos de graves amenazas a su vida e integridad personal por desarrollar sus funciones, se les podrá otorgar medidas provisionales de apoyo de reubicación temporal, para su asentamiento en un lugar diferente a la zona de riesgo. La Unidad Nacional de Protección y la Policía Nacional, desarrollarán protocolos y mecanismos para otorgar medidas de protección de forma efectiva a los veedores que son víctimas de hostigamientos, amenazas o riesgos de seguridad que ponen en peligro su vida o su integridad.</w:t>
      </w:r>
    </w:p>
    <w:p w14:paraId="0D9A19F5" w14:textId="77777777" w:rsidR="00E4042F" w:rsidRPr="00BF5375" w:rsidRDefault="00E4042F" w:rsidP="00E4042F">
      <w:pPr>
        <w:jc w:val="both"/>
        <w:rPr>
          <w:rFonts w:ascii="Arial" w:eastAsia="Arial" w:hAnsi="Arial" w:cs="Arial"/>
        </w:rPr>
      </w:pPr>
    </w:p>
    <w:p w14:paraId="6BE2780F" w14:textId="51C39D9C" w:rsidR="00E4042F" w:rsidRPr="00BF5375" w:rsidRDefault="00DA3CAA" w:rsidP="00E4042F">
      <w:pPr>
        <w:spacing w:line="240" w:lineRule="auto"/>
        <w:jc w:val="both"/>
        <w:rPr>
          <w:rFonts w:ascii="Arial" w:eastAsia="Arial" w:hAnsi="Arial" w:cs="Arial"/>
        </w:rPr>
      </w:pPr>
      <w:r>
        <w:rPr>
          <w:rFonts w:ascii="Arial" w:eastAsia="Arial" w:hAnsi="Arial" w:cs="Arial"/>
          <w:b/>
        </w:rPr>
        <w:lastRenderedPageBreak/>
        <w:t>Artículo 9</w:t>
      </w:r>
      <w:r w:rsidR="00E4042F" w:rsidRPr="00DB1C88">
        <w:rPr>
          <w:rFonts w:ascii="Arial" w:eastAsia="Arial" w:hAnsi="Arial" w:cs="Arial"/>
          <w:b/>
        </w:rPr>
        <w:t>. Capacitaciones a las veedurías ciudadanas.</w:t>
      </w:r>
      <w:r w:rsidR="00E4042F" w:rsidRPr="00BF5375">
        <w:rPr>
          <w:rFonts w:ascii="Arial" w:eastAsia="Arial" w:hAnsi="Arial" w:cs="Arial"/>
        </w:rPr>
        <w:t xml:space="preserve"> La Contraloría General de la República, el Ministerio Público, la Escuela Superior de Administración Pública, el Servicio Nacional de Aprendizaje (SENA), la Agencia Nacional de Contratación Pública - Colombia Compra Eficiente y las demás entidades que conforman la Red Institucional de Apoyo a las Veedurías Ciudadanas, deben desarrollar capacitaciones periódicas a las veedurías ciudadanas, según sus respectivas competencias. Las capacitaciones tendrán en consideración la perspectiva territorial, diferencial y étnica. Dichas capacitaciones podrán ser virtuales o presenciales. </w:t>
      </w:r>
    </w:p>
    <w:p w14:paraId="6A24D028"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Las capacitaciones podrán versar, entre otros, en su conformación, presentación de peticiones, presentación de informes de rendición de cuentas, análisis de políticas, programas y proyectos y seguimiento y revisión de contratos y recursos públicos. </w:t>
      </w:r>
    </w:p>
    <w:p w14:paraId="21528059"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Las entidades públicas podrán realizar capacitaciones técnicas a las veedurías registradas para hacer seguimiento de las políticas, programas, proyectos y contratos de su competencia. Estas capacitaciones versarán sobre la política, programa, proyecto y/o contrato respectivo. </w:t>
      </w:r>
    </w:p>
    <w:p w14:paraId="7512ACCC" w14:textId="77777777"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1°.</w:t>
      </w:r>
      <w:r w:rsidRPr="00BF5375">
        <w:rPr>
          <w:rFonts w:ascii="Arial" w:eastAsia="Arial" w:hAnsi="Arial" w:cs="Arial"/>
        </w:rPr>
        <w:t xml:space="preserve"> Las Cámaras de Comercio, en el marco de sus funciones, estarán encargadas de diseñar, implementar y ejecutar programas de capacitación dirigidos a fortalecer las capacidades técnicas, jurídicas y operativas de las veedurías ciudadanas. Las capacitaciones diseñadas por las Cámaras de Comercio se centrarán en áreas fundamentales como el conocimiento de la normativa vigente, la implementación de mecanismos de control y seguimiento, la ética en el ejercicio de la veeduría, así como el fortalecimiento de habilidades en el manejo de información relevante para la detección de posibles irregularidades en la gestión de recursos públicos y privados. </w:t>
      </w:r>
    </w:p>
    <w:p w14:paraId="687BFF79" w14:textId="77777777"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2°.</w:t>
      </w:r>
      <w:r w:rsidRPr="00BF5375">
        <w:rPr>
          <w:rFonts w:ascii="Arial" w:eastAsia="Arial" w:hAnsi="Arial" w:cs="Arial"/>
        </w:rPr>
        <w:t xml:space="preserve"> El Ministerio Público realizará capacitaciones a los funcionarios públicos acerca de la importancia de la labor de las veedurías ciudadanas y los términos y estándares constitucionales para otorgar una respuesta de los requerimientos, peticiones, denuncias e informes. </w:t>
      </w:r>
    </w:p>
    <w:p w14:paraId="7804BE6A" w14:textId="77777777"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3°.</w:t>
      </w:r>
      <w:r w:rsidRPr="00BF5375">
        <w:rPr>
          <w:rFonts w:ascii="Arial" w:eastAsia="Arial" w:hAnsi="Arial" w:cs="Arial"/>
        </w:rPr>
        <w:t xml:space="preserve"> Las capacitaciones contempladas en el presente artículo, podrán también ser otorgadas a las diferentes modalidades de control social contempladas en el artículo 63 de la Ley 1757 de 2015. </w:t>
      </w:r>
    </w:p>
    <w:p w14:paraId="6909D334" w14:textId="7E9E58E1" w:rsidR="00E4042F" w:rsidRDefault="00E4042F" w:rsidP="00E4042F">
      <w:pPr>
        <w:spacing w:line="240" w:lineRule="auto"/>
        <w:jc w:val="both"/>
        <w:rPr>
          <w:rFonts w:ascii="Arial" w:eastAsia="Arial" w:hAnsi="Arial" w:cs="Arial"/>
        </w:rPr>
      </w:pPr>
      <w:r w:rsidRPr="00775576">
        <w:rPr>
          <w:rFonts w:ascii="Arial" w:eastAsia="Arial" w:hAnsi="Arial" w:cs="Arial"/>
          <w:b/>
        </w:rPr>
        <w:t>Parágrafo 4°.</w:t>
      </w:r>
      <w:r w:rsidRPr="00BF5375">
        <w:rPr>
          <w:rFonts w:ascii="Arial" w:eastAsia="Arial" w:hAnsi="Arial" w:cs="Arial"/>
        </w:rPr>
        <w:t xml:space="preserve"> El Ministerio de Educación Nacional y El Ministerio de Trabajo podrán establecer mecanismos y programas destinados a la capacitación de los veedores ciudadanos. </w:t>
      </w:r>
    </w:p>
    <w:p w14:paraId="38F864E8" w14:textId="31CFC60A" w:rsidR="00E4042F" w:rsidRPr="00BF5375" w:rsidRDefault="00775576" w:rsidP="00775576">
      <w:pPr>
        <w:spacing w:line="240" w:lineRule="auto"/>
        <w:jc w:val="both"/>
        <w:rPr>
          <w:rFonts w:ascii="Arial" w:eastAsia="Arial" w:hAnsi="Arial" w:cs="Arial"/>
        </w:rPr>
      </w:pPr>
      <w:r>
        <w:rPr>
          <w:rFonts w:ascii="Arial" w:eastAsia="Arial" w:hAnsi="Arial" w:cs="Arial"/>
          <w:b/>
        </w:rPr>
        <w:t xml:space="preserve">Parágrafo 5. </w:t>
      </w:r>
      <w:r>
        <w:rPr>
          <w:rFonts w:ascii="Arial" w:eastAsia="Arial" w:hAnsi="Arial" w:cs="Arial"/>
        </w:rPr>
        <w:t>La Defensoría del Pueblo y la Procuraduría General de la Nación realizarán capacitaciones en acci</w:t>
      </w:r>
      <w:r w:rsidR="00F15B81">
        <w:rPr>
          <w:rFonts w:ascii="Arial" w:eastAsia="Arial" w:hAnsi="Arial" w:cs="Arial"/>
        </w:rPr>
        <w:t>ones</w:t>
      </w:r>
      <w:r>
        <w:rPr>
          <w:rFonts w:ascii="Arial" w:eastAsia="Arial" w:hAnsi="Arial" w:cs="Arial"/>
        </w:rPr>
        <w:t xml:space="preserve"> constitucional</w:t>
      </w:r>
      <w:r w:rsidR="00F15B81">
        <w:rPr>
          <w:rFonts w:ascii="Arial" w:eastAsia="Arial" w:hAnsi="Arial" w:cs="Arial"/>
        </w:rPr>
        <w:t>es</w:t>
      </w:r>
      <w:r>
        <w:rPr>
          <w:rFonts w:ascii="Arial" w:eastAsia="Arial" w:hAnsi="Arial" w:cs="Arial"/>
        </w:rPr>
        <w:t xml:space="preserve"> y su interposición a las veedurías ciudadanas.</w:t>
      </w:r>
    </w:p>
    <w:p w14:paraId="62F63DC2" w14:textId="77777777" w:rsidR="00775576" w:rsidRDefault="00775576" w:rsidP="00E4042F">
      <w:pPr>
        <w:spacing w:line="240" w:lineRule="auto"/>
        <w:jc w:val="both"/>
        <w:rPr>
          <w:rFonts w:ascii="Arial" w:eastAsia="Arial" w:hAnsi="Arial" w:cs="Arial"/>
          <w:b/>
        </w:rPr>
      </w:pPr>
    </w:p>
    <w:p w14:paraId="2C43EB27" w14:textId="46B47301" w:rsidR="00E4042F" w:rsidRPr="00BF5375" w:rsidRDefault="00DA3CAA" w:rsidP="00E4042F">
      <w:pPr>
        <w:spacing w:line="240" w:lineRule="auto"/>
        <w:jc w:val="both"/>
        <w:rPr>
          <w:rFonts w:ascii="Arial" w:eastAsia="Arial" w:hAnsi="Arial" w:cs="Arial"/>
        </w:rPr>
      </w:pPr>
      <w:r>
        <w:rPr>
          <w:rFonts w:ascii="Arial" w:eastAsia="Arial" w:hAnsi="Arial" w:cs="Arial"/>
          <w:b/>
        </w:rPr>
        <w:t>Artículo 10</w:t>
      </w:r>
      <w:r w:rsidR="00E4042F" w:rsidRPr="00DB1C88">
        <w:rPr>
          <w:rFonts w:ascii="Arial" w:eastAsia="Arial" w:hAnsi="Arial" w:cs="Arial"/>
          <w:b/>
        </w:rPr>
        <w:t>.</w:t>
      </w:r>
      <w:r w:rsidR="00E4042F" w:rsidRPr="00BF5375">
        <w:rPr>
          <w:rFonts w:ascii="Arial" w:eastAsia="Arial" w:hAnsi="Arial" w:cs="Arial"/>
        </w:rPr>
        <w:t xml:space="preserve"> Modifíquese el artículo 19 de la Ley 850 de 2003, el cual quedará así: </w:t>
      </w:r>
    </w:p>
    <w:p w14:paraId="44A10CF6" w14:textId="77777777" w:rsidR="00E4042F" w:rsidRPr="00DB1C88" w:rsidRDefault="00E4042F" w:rsidP="00E4042F">
      <w:pPr>
        <w:spacing w:line="240" w:lineRule="auto"/>
        <w:jc w:val="both"/>
        <w:rPr>
          <w:rFonts w:ascii="Arial" w:eastAsia="Arial" w:hAnsi="Arial" w:cs="Arial"/>
          <w:b/>
        </w:rPr>
      </w:pPr>
      <w:r w:rsidRPr="00DB1C88">
        <w:rPr>
          <w:rFonts w:ascii="Arial" w:eastAsia="Arial" w:hAnsi="Arial" w:cs="Arial"/>
          <w:b/>
        </w:rPr>
        <w:t xml:space="preserve">Artículo 19. Impedimentos para ser veedor: </w:t>
      </w:r>
    </w:p>
    <w:p w14:paraId="717B1261"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lastRenderedPageBreak/>
        <w:t xml:space="preserve">a) Cuando quienes aspiren a ser veedores sean contratistas, interventores, proveedores o trabajadores adscritos a la obra, contrato o programa objeto de veeduría o tengan algún interés patrimonial directo o indirecto en la ejecución de las mismas. </w:t>
      </w:r>
    </w:p>
    <w:p w14:paraId="197D0B5A"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Tampoco podrán ser veedores quienes hayan laborado dentro del año anterior en la obra, contrato o programa objeto de veeduría. </w:t>
      </w:r>
    </w:p>
    <w:p w14:paraId="6D2935C3"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b) Quienes estén vinculados por matrimonio, unión permanente o parentesco dentro del cuarto grado de consanguinidad, segundo de afinidad o único civil con el contratista, interventor, supervisor, proveedor o trabajadores adscritos a la obra, contrato o programa, así como a los servidores públicos que tengan la participación directa o indirecta en la ejecución de los mismos. </w:t>
      </w:r>
    </w:p>
    <w:p w14:paraId="61007146"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c) Cuando sean trabajadores o funcionarios públicos, municipales, departamentales o nacionales, cuyas funciones estén relacionadas con la obra, contrato o programa sobre el cual se ejercen veeduría. </w:t>
      </w:r>
    </w:p>
    <w:p w14:paraId="690678F2"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En ningún caso podrán ser veedores los ediles, concejales, diputados, y Congresistas. </w:t>
      </w:r>
    </w:p>
    <w:p w14:paraId="385AD90C"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d) Quienes tengan vínculos contractuales, extracontractuales, reciban financiación o participen en organismos de gestión de la ONG, gremio o asociación comprometidos en el proceso objeto de la veeduría. </w:t>
      </w:r>
    </w:p>
    <w:p w14:paraId="104561E0"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e) En el caso de organizaciones, haber sido cancelada o suspendida su inscripción en el registro público. En caso de personas naturales haber sido condenado penal o disciplinariamente, salvo por los delitos políticos o culposos, y en el caso de los servidores públicos ser sancionado con destitución. </w:t>
      </w:r>
    </w:p>
    <w:p w14:paraId="50C890E9" w14:textId="77777777"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f) Recibir financiación privada por parte de personas naturales o jurídicas vinculadas directa o indirectamente a la obra, contrato o programa sobre el cual se ejerce veeduría. </w:t>
      </w:r>
    </w:p>
    <w:p w14:paraId="396C1FE0" w14:textId="77777777" w:rsidR="00E4042F" w:rsidRPr="00BF5375" w:rsidRDefault="00E4042F" w:rsidP="00E4042F">
      <w:pPr>
        <w:spacing w:line="240" w:lineRule="auto"/>
        <w:jc w:val="both"/>
        <w:rPr>
          <w:rFonts w:ascii="Arial" w:eastAsia="Arial" w:hAnsi="Arial" w:cs="Arial"/>
        </w:rPr>
      </w:pPr>
      <w:r w:rsidRPr="00F15B81">
        <w:rPr>
          <w:rFonts w:ascii="Arial" w:eastAsia="Arial" w:hAnsi="Arial" w:cs="Arial"/>
          <w:b/>
        </w:rPr>
        <w:t>Parágrafo.</w:t>
      </w:r>
      <w:r w:rsidRPr="00BF5375">
        <w:rPr>
          <w:rFonts w:ascii="Arial" w:eastAsia="Arial" w:hAnsi="Arial" w:cs="Arial"/>
        </w:rPr>
        <w:t xml:space="preserve"> Las veedurías deberán presentar anualmente un informe de sus impedimentos y conflictos de interés, en el desarrollo de su labor como veedores ciudadanos. Los impedimentos y conflictos de interés, deberán ser publicados al momento del registro de la veeduría, un informe anual de registro de conflictos actualizado y un informe cada vez que haya un cambio de la situación de interés privado. </w:t>
      </w:r>
    </w:p>
    <w:p w14:paraId="040F9711" w14:textId="77777777" w:rsidR="00E4042F" w:rsidRPr="00BF5375" w:rsidRDefault="00E4042F" w:rsidP="00E4042F">
      <w:pPr>
        <w:spacing w:line="240" w:lineRule="auto"/>
        <w:jc w:val="both"/>
        <w:rPr>
          <w:rFonts w:ascii="Arial" w:eastAsia="Arial" w:hAnsi="Arial" w:cs="Arial"/>
        </w:rPr>
      </w:pPr>
    </w:p>
    <w:p w14:paraId="65230D9D" w14:textId="76C5AA45" w:rsidR="00E4042F" w:rsidRPr="00BF5375" w:rsidRDefault="00DA3CAA" w:rsidP="00E4042F">
      <w:pPr>
        <w:spacing w:line="240" w:lineRule="auto"/>
        <w:jc w:val="both"/>
        <w:rPr>
          <w:rFonts w:ascii="Arial" w:eastAsia="Arial" w:hAnsi="Arial" w:cs="Arial"/>
        </w:rPr>
      </w:pPr>
      <w:r>
        <w:rPr>
          <w:rFonts w:ascii="Arial" w:eastAsia="Arial" w:hAnsi="Arial" w:cs="Arial"/>
          <w:b/>
        </w:rPr>
        <w:t>Artículo 11</w:t>
      </w:r>
      <w:r w:rsidR="00E4042F" w:rsidRPr="00DB1C88">
        <w:rPr>
          <w:rFonts w:ascii="Arial" w:eastAsia="Arial" w:hAnsi="Arial" w:cs="Arial"/>
          <w:b/>
        </w:rPr>
        <w:t>.</w:t>
      </w:r>
      <w:r w:rsidR="00E4042F" w:rsidRPr="00BF5375">
        <w:rPr>
          <w:rFonts w:ascii="Arial" w:eastAsia="Arial" w:hAnsi="Arial" w:cs="Arial"/>
        </w:rPr>
        <w:t xml:space="preserve"> Modifíquese el artículo 96 de la Ley 1757 de 2015, el cual quedará así: </w:t>
      </w:r>
    </w:p>
    <w:p w14:paraId="0CCE20D9" w14:textId="39ED2BD3" w:rsidR="00E4042F" w:rsidRPr="00BF5375" w:rsidRDefault="00E4042F" w:rsidP="00E4042F">
      <w:pPr>
        <w:spacing w:line="240" w:lineRule="auto"/>
        <w:jc w:val="both"/>
        <w:rPr>
          <w:rFonts w:ascii="Arial" w:eastAsia="Arial" w:hAnsi="Arial" w:cs="Arial"/>
        </w:rPr>
      </w:pPr>
      <w:r w:rsidRPr="00DB1C88">
        <w:rPr>
          <w:rFonts w:ascii="Arial" w:eastAsia="Arial" w:hAnsi="Arial" w:cs="Arial"/>
          <w:b/>
        </w:rPr>
        <w:t xml:space="preserve">Artículo 96. El fondo para la participación ciudadana y el fortalecimiento de la democracia. </w:t>
      </w:r>
      <w:r w:rsidRPr="00BF5375">
        <w:rPr>
          <w:rFonts w:ascii="Arial" w:eastAsia="Arial" w:hAnsi="Arial" w:cs="Arial"/>
        </w:rPr>
        <w:t>Este Fondo será una cuenta adscrita al Ministerio del Interior sin personería jurídica</w:t>
      </w:r>
      <w:r w:rsidR="00775576">
        <w:rPr>
          <w:rFonts w:ascii="Arial" w:eastAsia="Arial" w:hAnsi="Arial" w:cs="Arial"/>
        </w:rPr>
        <w:t xml:space="preserve"> ni planta de personal propia, el cual deberá regirse por la Ley 80 de 1993 y sus normas complementarias, c</w:t>
      </w:r>
      <w:r w:rsidRPr="00BF5375">
        <w:rPr>
          <w:rFonts w:ascii="Arial" w:eastAsia="Arial" w:hAnsi="Arial" w:cs="Arial"/>
        </w:rPr>
        <w:t xml:space="preserve">uyos recursos se destinarán a la financiación o cofinanciación de planes, programas y proyectos de formación para la participación ciudadana o de participación ciudadana, así como la financiación o cofinanciación de insumos, estímulos e incentivos para fortalecer el ejercicio de las veedurías ciudadanas. </w:t>
      </w:r>
    </w:p>
    <w:p w14:paraId="5ACECC05" w14:textId="0E278300"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lastRenderedPageBreak/>
        <w:t>Parágrafo 1°.</w:t>
      </w:r>
      <w:r w:rsidRPr="00BF5375">
        <w:rPr>
          <w:rFonts w:ascii="Arial" w:eastAsia="Arial" w:hAnsi="Arial" w:cs="Arial"/>
        </w:rPr>
        <w:t xml:space="preserve"> Los planes, programas y proyectos financiados o cofinanciados por el Fondo podrán ser ejecutados por el Ministerio del Interior o mediante contratos o convenios con entidades de derecho público</w:t>
      </w:r>
      <w:r w:rsidR="00775576">
        <w:rPr>
          <w:rFonts w:ascii="Arial" w:eastAsia="Arial" w:hAnsi="Arial" w:cs="Arial"/>
        </w:rPr>
        <w:t xml:space="preserve">. Toda contratación que se realice con cargo al Fondo para la Participación Ciudadana y el Fortalecimiento de la Democracia deberá ser publicada en el portal SECOP, o en el sitio web oficial que lo reemplace o cumpla funciones equivalentes. </w:t>
      </w:r>
      <w:r w:rsidRPr="00BF5375">
        <w:rPr>
          <w:rFonts w:ascii="Arial" w:eastAsia="Arial" w:hAnsi="Arial" w:cs="Arial"/>
        </w:rPr>
        <w:t xml:space="preserve"> </w:t>
      </w:r>
    </w:p>
    <w:p w14:paraId="4A75B595" w14:textId="77777777"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2°.</w:t>
      </w:r>
      <w:r w:rsidRPr="00BF5375">
        <w:rPr>
          <w:rFonts w:ascii="Arial" w:eastAsia="Arial" w:hAnsi="Arial" w:cs="Arial"/>
        </w:rPr>
        <w:t xml:space="preserve"> La participación del Fondo en la financiación o cofinanciación de planes, programas y proyectos de participación ciudadana, no exime a las autoridades públicas del nivel nacional, departamental, municipal y distrital, de cumplir con sus obligaciones constitucionales y legales en la promoción y garantía del derecho a la participación ciudadana en sus respectivas jurisdicciones. </w:t>
      </w:r>
    </w:p>
    <w:p w14:paraId="20C3DFD6" w14:textId="77777777"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3°.</w:t>
      </w:r>
      <w:r w:rsidRPr="00BF5375">
        <w:rPr>
          <w:rFonts w:ascii="Arial" w:eastAsia="Arial" w:hAnsi="Arial" w:cs="Arial"/>
        </w:rPr>
        <w:t xml:space="preserve"> La dirección, administración y ordenación del gasto del Fondo estará a cargo del Ministro del Interior o de quien éste delegue. </w:t>
      </w:r>
    </w:p>
    <w:p w14:paraId="156ECBE4" w14:textId="00C62508"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4°.</w:t>
      </w:r>
      <w:r w:rsidRPr="00BF5375">
        <w:rPr>
          <w:rFonts w:ascii="Arial" w:eastAsia="Arial" w:hAnsi="Arial" w:cs="Arial"/>
        </w:rPr>
        <w:t xml:space="preserve"> El Fondo deberá </w:t>
      </w:r>
      <w:r w:rsidR="0018358F">
        <w:rPr>
          <w:rFonts w:ascii="Arial" w:eastAsia="Arial" w:hAnsi="Arial" w:cs="Arial"/>
        </w:rPr>
        <w:t xml:space="preserve">presentar </w:t>
      </w:r>
      <w:r w:rsidRPr="00BF5375">
        <w:rPr>
          <w:rFonts w:ascii="Arial" w:eastAsia="Arial" w:hAnsi="Arial" w:cs="Arial"/>
        </w:rPr>
        <w:t xml:space="preserve">un informe dos veces al año al Consejo Nacional de Participación Ciudadana, a los entes de control y a las entidades que conforman la Red Institucional de Apoyo a las Veedurías Ciudadanas donde incluya el reporte de sus actividades, prioridades y ejecución del presupuesto, con un informe especial respecto de los proyectos de las veedurías ciudadanas. </w:t>
      </w:r>
      <w:r w:rsidR="0018358F">
        <w:rPr>
          <w:rFonts w:ascii="Arial" w:eastAsia="Arial" w:hAnsi="Arial" w:cs="Arial"/>
        </w:rPr>
        <w:t>Dicho informe, deberá estar publicado y al alcance de los diferentes actores sociales, en la página web del Ministerio del Interior</w:t>
      </w:r>
      <w:r w:rsidR="0022789C">
        <w:rPr>
          <w:rFonts w:ascii="Arial" w:eastAsia="Arial" w:hAnsi="Arial" w:cs="Arial"/>
        </w:rPr>
        <w:t>.</w:t>
      </w:r>
    </w:p>
    <w:p w14:paraId="5690B7AD" w14:textId="77777777"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5°.</w:t>
      </w:r>
      <w:r w:rsidRPr="00BF5375">
        <w:rPr>
          <w:rFonts w:ascii="Arial" w:eastAsia="Arial" w:hAnsi="Arial" w:cs="Arial"/>
        </w:rPr>
        <w:t xml:space="preserve"> Los entes de control harán especial seguimiento y vigilancia de la destinación y ejecución de los recursos públicos del presente Fondo, con énfasis a la adecuada utilización de los insumos, incentivos y estímulos a las veedurías ciudadanas. </w:t>
      </w:r>
    </w:p>
    <w:p w14:paraId="08E35D7D" w14:textId="77777777" w:rsidR="00E4042F" w:rsidRPr="00BF5375" w:rsidRDefault="00E4042F" w:rsidP="00E4042F">
      <w:pPr>
        <w:spacing w:line="240" w:lineRule="auto"/>
        <w:jc w:val="both"/>
        <w:rPr>
          <w:rFonts w:ascii="Arial" w:eastAsia="Arial" w:hAnsi="Arial" w:cs="Arial"/>
        </w:rPr>
      </w:pPr>
      <w:r w:rsidRPr="00775576">
        <w:rPr>
          <w:rFonts w:ascii="Arial" w:eastAsia="Arial" w:hAnsi="Arial" w:cs="Arial"/>
          <w:b/>
        </w:rPr>
        <w:t>Parágrafo Transitorio.</w:t>
      </w:r>
      <w:r w:rsidRPr="00BF5375">
        <w:rPr>
          <w:rFonts w:ascii="Arial" w:eastAsia="Arial" w:hAnsi="Arial" w:cs="Arial"/>
        </w:rPr>
        <w:t xml:space="preserve"> El Ministerio del Interior, dentro de los seis (6) meses posteriores a la entrada en vigencia de la presente ley, reglamentará el procedimiento y condiciones para acceder a los insumos, incentivos y estímulos, mediante la presentación de proyectos por parte de las veedurías ciudadanas debidamente registradas y en funcionamiento efectivo y comprobado. Los integrantes de la Red Institucional de Apoyo a las Veedurías Ciudadanas acompañarán el proceso de reglamentación, implementación y evaluación de esta normatividad.</w:t>
      </w:r>
    </w:p>
    <w:p w14:paraId="15863EA2" w14:textId="77777777" w:rsidR="00E4042F" w:rsidRPr="00BF5375" w:rsidRDefault="00E4042F" w:rsidP="00E4042F">
      <w:pPr>
        <w:spacing w:line="240" w:lineRule="auto"/>
        <w:jc w:val="both"/>
        <w:rPr>
          <w:rFonts w:ascii="Arial" w:eastAsia="Arial" w:hAnsi="Arial" w:cs="Arial"/>
        </w:rPr>
      </w:pPr>
    </w:p>
    <w:p w14:paraId="5A1D857F" w14:textId="42B9311D" w:rsidR="00E4042F" w:rsidRPr="00BF5375" w:rsidRDefault="00DA3CAA" w:rsidP="00E4042F">
      <w:pPr>
        <w:spacing w:line="240" w:lineRule="auto"/>
        <w:jc w:val="both"/>
        <w:rPr>
          <w:rFonts w:ascii="Arial" w:eastAsia="Arial" w:hAnsi="Arial" w:cs="Arial"/>
        </w:rPr>
      </w:pPr>
      <w:r>
        <w:rPr>
          <w:rFonts w:ascii="Arial" w:eastAsia="Arial" w:hAnsi="Arial" w:cs="Arial"/>
          <w:b/>
        </w:rPr>
        <w:t>Artículo 12</w:t>
      </w:r>
      <w:r w:rsidR="00E4042F" w:rsidRPr="00DB1C88">
        <w:rPr>
          <w:rFonts w:ascii="Arial" w:eastAsia="Arial" w:hAnsi="Arial" w:cs="Arial"/>
          <w:b/>
        </w:rPr>
        <w:t>. Promoción del control social de otros actores.</w:t>
      </w:r>
      <w:r w:rsidR="00E4042F" w:rsidRPr="00BF5375">
        <w:rPr>
          <w:rFonts w:ascii="Arial" w:eastAsia="Arial" w:hAnsi="Arial" w:cs="Arial"/>
        </w:rPr>
        <w:t xml:space="preserve"> El Gobierno Nacional, en el término de doce (12) meses siguientes a la entrada en vigencia de la presente Ley, establecerá una política de promoción de los derechos de los otros actores de control social, establecidos en el artículo 63 de la Ley 1757 de 2015, de conformidad con las disposiciones contempladas en la presente Ley para las veedurías ciudadanas. </w:t>
      </w:r>
    </w:p>
    <w:p w14:paraId="39973F44" w14:textId="3EC47712" w:rsidR="00E4042F" w:rsidRPr="00BF5375" w:rsidRDefault="00E4042F" w:rsidP="00E4042F">
      <w:pPr>
        <w:spacing w:line="240" w:lineRule="auto"/>
        <w:jc w:val="both"/>
        <w:rPr>
          <w:rFonts w:ascii="Arial" w:eastAsia="Arial" w:hAnsi="Arial" w:cs="Arial"/>
        </w:rPr>
      </w:pPr>
      <w:r w:rsidRPr="00BF5375">
        <w:rPr>
          <w:rFonts w:ascii="Arial" w:eastAsia="Arial" w:hAnsi="Arial" w:cs="Arial"/>
        </w:rPr>
        <w:t xml:space="preserve">Los periodistas adscritos a un medio de comunicación debidamente registrado, serán considerados como actores de control social cuando realizan labor de control a la gestión de los poderes públicos. Para garantizar su adecuado rol de control social, los términos de las peticiones y solicitudes </w:t>
      </w:r>
      <w:r w:rsidR="0018358F">
        <w:rPr>
          <w:rFonts w:ascii="Arial" w:eastAsia="Arial" w:hAnsi="Arial" w:cs="Arial"/>
        </w:rPr>
        <w:t xml:space="preserve">serán los </w:t>
      </w:r>
      <w:r w:rsidRPr="00BF5375">
        <w:rPr>
          <w:rFonts w:ascii="Arial" w:eastAsia="Arial" w:hAnsi="Arial" w:cs="Arial"/>
        </w:rPr>
        <w:t xml:space="preserve">contemplados en la Ley 1755 de 2015, cuando la petición sea realizada por un periodista, para el ejercicio de su actividad, en el marco del control social a las entidades de la Rama Ejecutiva del orden nacional y descentralizado, así como las entidades de las entidades del nivel territorial. </w:t>
      </w:r>
    </w:p>
    <w:p w14:paraId="7A62DD48" w14:textId="77777777" w:rsidR="00E4042F" w:rsidRPr="00BF5375" w:rsidRDefault="00E4042F" w:rsidP="00E4042F">
      <w:pPr>
        <w:spacing w:line="240" w:lineRule="auto"/>
        <w:jc w:val="both"/>
        <w:rPr>
          <w:rFonts w:ascii="Arial" w:eastAsia="Arial" w:hAnsi="Arial" w:cs="Arial"/>
        </w:rPr>
      </w:pPr>
    </w:p>
    <w:p w14:paraId="3DCFFB3B" w14:textId="39078FF4" w:rsidR="00E4042F" w:rsidRPr="00BF5375" w:rsidRDefault="00DA3CAA" w:rsidP="00E4042F">
      <w:pPr>
        <w:spacing w:line="240" w:lineRule="auto"/>
        <w:jc w:val="both"/>
        <w:rPr>
          <w:rFonts w:ascii="Arial" w:eastAsia="Arial" w:hAnsi="Arial" w:cs="Arial"/>
        </w:rPr>
      </w:pPr>
      <w:r>
        <w:rPr>
          <w:rFonts w:ascii="Arial" w:eastAsia="Arial" w:hAnsi="Arial" w:cs="Arial"/>
          <w:b/>
        </w:rPr>
        <w:t>Artículo 13</w:t>
      </w:r>
      <w:r w:rsidR="00E4042F" w:rsidRPr="00DB1C88">
        <w:rPr>
          <w:rFonts w:ascii="Arial" w:eastAsia="Arial" w:hAnsi="Arial" w:cs="Arial"/>
          <w:b/>
        </w:rPr>
        <w:t>. Vigilancia y seguimiento.</w:t>
      </w:r>
      <w:r w:rsidR="00E4042F" w:rsidRPr="00BF5375">
        <w:rPr>
          <w:rFonts w:ascii="Arial" w:eastAsia="Arial" w:hAnsi="Arial" w:cs="Arial"/>
        </w:rPr>
        <w:t xml:space="preserve"> El Ministerio Público, en coordinación con las entidades pertenecientes a la Red Institucional de Apoyo a las Veedurías Ciudadanas, realizará el seguimiento y vigilancia de la implementación de la presente ley. </w:t>
      </w:r>
    </w:p>
    <w:p w14:paraId="6EE5EBCF" w14:textId="77777777" w:rsidR="00E4042F" w:rsidRPr="00BF5375" w:rsidRDefault="00E4042F" w:rsidP="00E4042F">
      <w:pPr>
        <w:spacing w:line="240" w:lineRule="auto"/>
        <w:jc w:val="both"/>
        <w:rPr>
          <w:rFonts w:ascii="Arial" w:eastAsia="Arial" w:hAnsi="Arial" w:cs="Arial"/>
        </w:rPr>
      </w:pPr>
    </w:p>
    <w:p w14:paraId="05945B30" w14:textId="5BB3CABB" w:rsidR="00E4042F" w:rsidRPr="00BF5375" w:rsidRDefault="00DA3CAA" w:rsidP="00E4042F">
      <w:pPr>
        <w:spacing w:line="240" w:lineRule="auto"/>
        <w:jc w:val="both"/>
        <w:rPr>
          <w:rFonts w:ascii="Arial" w:eastAsia="Arial" w:hAnsi="Arial" w:cs="Arial"/>
        </w:rPr>
      </w:pPr>
      <w:r>
        <w:rPr>
          <w:rFonts w:ascii="Arial" w:eastAsia="Arial" w:hAnsi="Arial" w:cs="Arial"/>
          <w:b/>
        </w:rPr>
        <w:t>Artículo 14</w:t>
      </w:r>
      <w:r w:rsidR="00E4042F" w:rsidRPr="00DB1C88">
        <w:rPr>
          <w:rFonts w:ascii="Arial" w:eastAsia="Arial" w:hAnsi="Arial" w:cs="Arial"/>
          <w:b/>
        </w:rPr>
        <w:t>. Vigencia y derogatorias.</w:t>
      </w:r>
      <w:r w:rsidR="00E4042F" w:rsidRPr="00BF5375">
        <w:rPr>
          <w:rFonts w:ascii="Arial" w:eastAsia="Arial" w:hAnsi="Arial" w:cs="Arial"/>
        </w:rPr>
        <w:t xml:space="preserve"> La presente ley rige a partir de su promulgación y deroga todas las disposiciones contrarias.</w:t>
      </w:r>
    </w:p>
    <w:p w14:paraId="277B0500" w14:textId="77777777" w:rsidR="00E4042F" w:rsidRPr="00FC2A06" w:rsidRDefault="00E4042F" w:rsidP="00E4042F">
      <w:pPr>
        <w:spacing w:line="240" w:lineRule="auto"/>
        <w:jc w:val="both"/>
        <w:rPr>
          <w:rFonts w:ascii="Arial" w:eastAsia="Arial" w:hAnsi="Arial" w:cs="Arial"/>
        </w:rPr>
      </w:pPr>
      <w:bookmarkStart w:id="0" w:name="_GoBack"/>
    </w:p>
    <w:p w14:paraId="5E7F534A" w14:textId="6D039E05" w:rsidR="001755BA" w:rsidRPr="00FC2A06" w:rsidRDefault="001755BA" w:rsidP="00344DE4">
      <w:pPr>
        <w:jc w:val="center"/>
        <w:rPr>
          <w:rFonts w:ascii="Times New Roman" w:hAnsi="Times New Roman" w:cs="Times New Roman"/>
          <w:b/>
          <w:sz w:val="24"/>
          <w:szCs w:val="24"/>
        </w:rPr>
      </w:pPr>
    </w:p>
    <w:p w14:paraId="7F83D455" w14:textId="2ABA0903" w:rsidR="007E619D" w:rsidRPr="00FC2A06" w:rsidRDefault="005A69C6" w:rsidP="007E619D">
      <w:pPr>
        <w:jc w:val="both"/>
        <w:rPr>
          <w:rFonts w:ascii="Arial" w:eastAsia="Century Gothic" w:hAnsi="Arial" w:cs="Arial"/>
          <w:highlight w:val="white"/>
          <w:lang w:val="es-CO"/>
        </w:rPr>
      </w:pPr>
      <w:r w:rsidRPr="00FC2A06">
        <w:rPr>
          <w:rFonts w:ascii="Arial" w:eastAsia="Century Gothic" w:hAnsi="Arial" w:cs="Arial"/>
          <w:highlight w:val="white"/>
          <w:lang w:val="es-CO"/>
        </w:rPr>
        <w:t>E</w:t>
      </w:r>
      <w:r w:rsidR="007E619D" w:rsidRPr="00FC2A06">
        <w:rPr>
          <w:rFonts w:ascii="Arial" w:eastAsia="Century Gothic" w:hAnsi="Arial" w:cs="Arial"/>
          <w:highlight w:val="white"/>
          <w:lang w:val="es-CO"/>
        </w:rPr>
        <w:t xml:space="preserve">n los anteriores términos fue aprobado </w:t>
      </w:r>
      <w:r w:rsidR="00FC2A06" w:rsidRPr="00FC2A06">
        <w:rPr>
          <w:rFonts w:ascii="Arial" w:eastAsia="Century Gothic" w:hAnsi="Arial" w:cs="Arial"/>
          <w:highlight w:val="white"/>
          <w:lang w:val="es-CO"/>
        </w:rPr>
        <w:t>con modificaciones el presente P</w:t>
      </w:r>
      <w:r w:rsidR="007E619D" w:rsidRPr="00FC2A06">
        <w:rPr>
          <w:rFonts w:ascii="Arial" w:eastAsia="Century Gothic" w:hAnsi="Arial" w:cs="Arial"/>
          <w:highlight w:val="white"/>
          <w:lang w:val="es-CO"/>
        </w:rPr>
        <w:t xml:space="preserve">royecto de Ley </w:t>
      </w:r>
      <w:r w:rsidR="008C0E9F" w:rsidRPr="00FC2A06">
        <w:rPr>
          <w:rFonts w:ascii="Arial" w:eastAsia="Century Gothic" w:hAnsi="Arial" w:cs="Arial"/>
          <w:highlight w:val="white"/>
          <w:lang w:val="es-CO"/>
        </w:rPr>
        <w:t>Estatutaria según consta en el A</w:t>
      </w:r>
      <w:r w:rsidR="007E619D" w:rsidRPr="00FC2A06">
        <w:rPr>
          <w:rFonts w:ascii="Arial" w:eastAsia="Century Gothic" w:hAnsi="Arial" w:cs="Arial"/>
          <w:highlight w:val="white"/>
          <w:lang w:val="es-CO"/>
        </w:rPr>
        <w:t xml:space="preserve">cta No. </w:t>
      </w:r>
      <w:r w:rsidR="003733CD" w:rsidRPr="00FC2A06">
        <w:rPr>
          <w:rFonts w:ascii="Arial" w:eastAsia="Century Gothic" w:hAnsi="Arial" w:cs="Arial"/>
          <w:highlight w:val="white"/>
          <w:lang w:val="es-CO"/>
        </w:rPr>
        <w:t>2</w:t>
      </w:r>
      <w:r w:rsidR="00FC2A06" w:rsidRPr="00FC2A06">
        <w:rPr>
          <w:rFonts w:ascii="Arial" w:eastAsia="Century Gothic" w:hAnsi="Arial" w:cs="Arial"/>
          <w:highlight w:val="white"/>
          <w:lang w:val="es-CO"/>
        </w:rPr>
        <w:t>6</w:t>
      </w:r>
      <w:r w:rsidR="0026293A" w:rsidRPr="00FC2A06">
        <w:rPr>
          <w:rFonts w:ascii="Arial" w:eastAsia="Century Gothic" w:hAnsi="Arial" w:cs="Arial"/>
          <w:highlight w:val="white"/>
          <w:lang w:val="es-CO"/>
        </w:rPr>
        <w:t xml:space="preserve"> de sesión del </w:t>
      </w:r>
      <w:r w:rsidR="00FC2A06" w:rsidRPr="00FC2A06">
        <w:rPr>
          <w:rFonts w:ascii="Arial" w:eastAsia="Century Gothic" w:hAnsi="Arial" w:cs="Arial"/>
          <w:highlight w:val="white"/>
          <w:lang w:val="es-CO"/>
        </w:rPr>
        <w:t>27</w:t>
      </w:r>
      <w:r w:rsidR="007E619D" w:rsidRPr="00FC2A06">
        <w:rPr>
          <w:rFonts w:ascii="Arial" w:eastAsia="Century Gothic" w:hAnsi="Arial" w:cs="Arial"/>
          <w:highlight w:val="white"/>
          <w:lang w:val="es-CO"/>
        </w:rPr>
        <w:t xml:space="preserve"> de </w:t>
      </w:r>
      <w:proofErr w:type="gramStart"/>
      <w:r w:rsidR="003733CD" w:rsidRPr="00FC2A06">
        <w:rPr>
          <w:rFonts w:ascii="Arial" w:eastAsia="Century Gothic" w:hAnsi="Arial" w:cs="Arial"/>
          <w:highlight w:val="white"/>
          <w:lang w:val="es-CO"/>
        </w:rPr>
        <w:t>Novi</w:t>
      </w:r>
      <w:r w:rsidR="0026293A" w:rsidRPr="00FC2A06">
        <w:rPr>
          <w:rFonts w:ascii="Arial" w:eastAsia="Century Gothic" w:hAnsi="Arial" w:cs="Arial"/>
          <w:highlight w:val="white"/>
          <w:lang w:val="es-CO"/>
        </w:rPr>
        <w:t>embre</w:t>
      </w:r>
      <w:proofErr w:type="gramEnd"/>
      <w:r w:rsidR="0026293A" w:rsidRPr="00FC2A06">
        <w:rPr>
          <w:rFonts w:ascii="Arial" w:eastAsia="Century Gothic" w:hAnsi="Arial" w:cs="Arial"/>
          <w:highlight w:val="white"/>
          <w:lang w:val="es-CO"/>
        </w:rPr>
        <w:t xml:space="preserve"> de 2024</w:t>
      </w:r>
      <w:r w:rsidR="003733CD" w:rsidRPr="00FC2A06">
        <w:rPr>
          <w:rFonts w:ascii="Arial" w:eastAsia="Century Gothic" w:hAnsi="Arial" w:cs="Arial"/>
          <w:highlight w:val="white"/>
          <w:lang w:val="es-CO"/>
        </w:rPr>
        <w:t xml:space="preserve">. </w:t>
      </w:r>
      <w:r w:rsidR="008C0E9F" w:rsidRPr="00FC2A06">
        <w:rPr>
          <w:rFonts w:ascii="Arial" w:eastAsia="Century Gothic" w:hAnsi="Arial" w:cs="Arial"/>
          <w:highlight w:val="white"/>
          <w:lang w:val="es-CO"/>
        </w:rPr>
        <w:t>A</w:t>
      </w:r>
      <w:r w:rsidR="007E619D" w:rsidRPr="00FC2A06">
        <w:rPr>
          <w:rFonts w:ascii="Arial" w:eastAsia="Century Gothic" w:hAnsi="Arial" w:cs="Arial"/>
          <w:highlight w:val="white"/>
          <w:lang w:val="es-CO"/>
        </w:rPr>
        <w:t xml:space="preserve">sí mismo fue anunciado entre otras fechas el día </w:t>
      </w:r>
      <w:r w:rsidR="00FC2A06" w:rsidRPr="00FC2A06">
        <w:rPr>
          <w:rFonts w:ascii="Arial" w:eastAsia="Century Gothic" w:hAnsi="Arial" w:cs="Arial"/>
          <w:highlight w:val="white"/>
          <w:lang w:val="es-CO"/>
        </w:rPr>
        <w:t>26</w:t>
      </w:r>
      <w:r w:rsidR="007E619D" w:rsidRPr="00FC2A06">
        <w:rPr>
          <w:rFonts w:ascii="Arial" w:eastAsia="Century Gothic" w:hAnsi="Arial" w:cs="Arial"/>
          <w:highlight w:val="white"/>
          <w:lang w:val="es-CO"/>
        </w:rPr>
        <w:t xml:space="preserve"> de </w:t>
      </w:r>
      <w:proofErr w:type="gramStart"/>
      <w:r w:rsidR="003733CD" w:rsidRPr="00FC2A06">
        <w:rPr>
          <w:rFonts w:ascii="Arial" w:eastAsia="Century Gothic" w:hAnsi="Arial" w:cs="Arial"/>
          <w:highlight w:val="white"/>
          <w:lang w:val="es-CO"/>
        </w:rPr>
        <w:t>Noviembre</w:t>
      </w:r>
      <w:proofErr w:type="gramEnd"/>
      <w:r w:rsidR="0026293A" w:rsidRPr="00FC2A06">
        <w:rPr>
          <w:rFonts w:ascii="Arial" w:eastAsia="Century Gothic" w:hAnsi="Arial" w:cs="Arial"/>
          <w:highlight w:val="white"/>
          <w:lang w:val="es-CO"/>
        </w:rPr>
        <w:t xml:space="preserve"> de 2024</w:t>
      </w:r>
      <w:r w:rsidR="008C0E9F" w:rsidRPr="00FC2A06">
        <w:rPr>
          <w:rFonts w:ascii="Arial" w:eastAsia="Century Gothic" w:hAnsi="Arial" w:cs="Arial"/>
          <w:highlight w:val="white"/>
          <w:lang w:val="es-CO"/>
        </w:rPr>
        <w:t>, según consta en el A</w:t>
      </w:r>
      <w:r w:rsidR="00FC2A06" w:rsidRPr="00FC2A06">
        <w:rPr>
          <w:rFonts w:ascii="Arial" w:eastAsia="Century Gothic" w:hAnsi="Arial" w:cs="Arial"/>
          <w:highlight w:val="white"/>
          <w:lang w:val="es-CO"/>
        </w:rPr>
        <w:t>cta No. 25</w:t>
      </w:r>
      <w:r w:rsidR="007E619D" w:rsidRPr="00FC2A06">
        <w:rPr>
          <w:rFonts w:ascii="Arial" w:eastAsia="Century Gothic" w:hAnsi="Arial" w:cs="Arial"/>
          <w:highlight w:val="white"/>
          <w:lang w:val="es-CO"/>
        </w:rPr>
        <w:t xml:space="preserve"> de sesión de esa misma fecha</w:t>
      </w:r>
      <w:r w:rsidR="003733CD" w:rsidRPr="00FC2A06">
        <w:rPr>
          <w:rFonts w:ascii="Arial" w:eastAsia="Century Gothic" w:hAnsi="Arial" w:cs="Arial"/>
          <w:highlight w:val="white"/>
          <w:lang w:val="es-CO"/>
        </w:rPr>
        <w:t>.</w:t>
      </w:r>
    </w:p>
    <w:p w14:paraId="7F75B2EB" w14:textId="77777777" w:rsidR="007E619D" w:rsidRPr="00FC2A06" w:rsidRDefault="007E619D" w:rsidP="007E619D">
      <w:pPr>
        <w:tabs>
          <w:tab w:val="left" w:pos="4820"/>
        </w:tabs>
        <w:spacing w:after="0" w:line="240" w:lineRule="auto"/>
        <w:rPr>
          <w:rFonts w:ascii="Arial" w:eastAsia="Century Gothic" w:hAnsi="Arial" w:cs="Arial"/>
          <w:highlight w:val="white"/>
          <w:lang w:val="es-CO"/>
        </w:rPr>
      </w:pPr>
    </w:p>
    <w:p w14:paraId="668A39D7" w14:textId="77777777" w:rsidR="007E619D" w:rsidRPr="00FC2A06" w:rsidRDefault="007E619D" w:rsidP="007E619D">
      <w:pPr>
        <w:tabs>
          <w:tab w:val="left" w:pos="4820"/>
        </w:tabs>
        <w:spacing w:after="0" w:line="240" w:lineRule="auto"/>
        <w:rPr>
          <w:rFonts w:ascii="Arial" w:eastAsia="Century Gothic" w:hAnsi="Arial" w:cs="Arial"/>
          <w:highlight w:val="white"/>
          <w:lang w:val="es-CO"/>
        </w:rPr>
      </w:pPr>
    </w:p>
    <w:p w14:paraId="5FD9E656" w14:textId="77777777" w:rsidR="007E619D" w:rsidRPr="00FC2A06" w:rsidRDefault="007E619D" w:rsidP="007E619D">
      <w:pPr>
        <w:tabs>
          <w:tab w:val="left" w:pos="4820"/>
        </w:tabs>
        <w:spacing w:after="0" w:line="240" w:lineRule="auto"/>
        <w:rPr>
          <w:rFonts w:ascii="Arial" w:eastAsia="Century Gothic" w:hAnsi="Arial" w:cs="Arial"/>
          <w:highlight w:val="white"/>
          <w:lang w:val="es-CO"/>
        </w:rPr>
      </w:pPr>
    </w:p>
    <w:p w14:paraId="45666D66" w14:textId="77777777" w:rsidR="007E619D" w:rsidRPr="00FC2A06" w:rsidRDefault="007E619D" w:rsidP="007E619D">
      <w:pPr>
        <w:tabs>
          <w:tab w:val="left" w:pos="4820"/>
        </w:tabs>
        <w:spacing w:after="0" w:line="240" w:lineRule="auto"/>
        <w:rPr>
          <w:rFonts w:ascii="Arial" w:eastAsia="Century Gothic" w:hAnsi="Arial" w:cs="Arial"/>
          <w:highlight w:val="white"/>
          <w:lang w:val="es-CO"/>
        </w:rPr>
      </w:pPr>
    </w:p>
    <w:p w14:paraId="057FBB13" w14:textId="6C77ADAC" w:rsidR="007E619D" w:rsidRPr="00FC2A06" w:rsidRDefault="00FC2A06" w:rsidP="007E619D">
      <w:pPr>
        <w:tabs>
          <w:tab w:val="left" w:pos="4820"/>
        </w:tabs>
        <w:spacing w:after="0" w:line="240" w:lineRule="auto"/>
        <w:rPr>
          <w:rFonts w:ascii="Arial" w:eastAsia="Century Gothic" w:hAnsi="Arial" w:cs="Arial"/>
          <w:highlight w:val="white"/>
          <w:lang w:val="es-CO"/>
        </w:rPr>
      </w:pPr>
      <w:r w:rsidRPr="00FC2A06">
        <w:rPr>
          <w:rFonts w:ascii="Arial" w:eastAsia="Century Gothic" w:hAnsi="Arial" w:cs="Arial"/>
          <w:b/>
          <w:highlight w:val="white"/>
          <w:lang w:val="es-CO"/>
        </w:rPr>
        <w:t>CATHERINE JUVINAO CLAVIJO</w:t>
      </w:r>
      <w:r w:rsidR="003733CD" w:rsidRPr="00FC2A06">
        <w:rPr>
          <w:rFonts w:ascii="Arial" w:eastAsia="Century Gothic" w:hAnsi="Arial" w:cs="Arial"/>
          <w:b/>
          <w:highlight w:val="white"/>
          <w:lang w:val="es-CO"/>
        </w:rPr>
        <w:t xml:space="preserve">        </w:t>
      </w:r>
      <w:r w:rsidRPr="00FC2A06">
        <w:rPr>
          <w:rFonts w:ascii="Arial" w:eastAsia="Century Gothic" w:hAnsi="Arial" w:cs="Arial"/>
          <w:b/>
          <w:highlight w:val="white"/>
          <w:lang w:val="es-CO"/>
        </w:rPr>
        <w:tab/>
      </w:r>
      <w:r w:rsidRPr="00FC2A06">
        <w:rPr>
          <w:rFonts w:ascii="Arial" w:eastAsia="Century Gothic" w:hAnsi="Arial" w:cs="Arial"/>
          <w:b/>
          <w:highlight w:val="white"/>
          <w:lang w:val="es-CO"/>
        </w:rPr>
        <w:tab/>
      </w:r>
      <w:r w:rsidR="0026293A" w:rsidRPr="00FC2A06">
        <w:rPr>
          <w:rFonts w:ascii="Arial" w:eastAsia="Century Gothic" w:hAnsi="Arial" w:cs="Arial"/>
          <w:b/>
          <w:highlight w:val="white"/>
          <w:lang w:val="es-CO"/>
        </w:rPr>
        <w:t>ANA PAOLA GARCÍA SOTO</w:t>
      </w:r>
      <w:r w:rsidR="007E619D" w:rsidRPr="00FC2A06">
        <w:rPr>
          <w:rFonts w:ascii="Arial" w:eastAsia="Century Gothic" w:hAnsi="Arial" w:cs="Arial"/>
          <w:b/>
          <w:highlight w:val="white"/>
        </w:rPr>
        <w:t xml:space="preserve"> </w:t>
      </w:r>
    </w:p>
    <w:p w14:paraId="1038734A" w14:textId="6B995CB0" w:rsidR="007E619D" w:rsidRPr="00FC2A06" w:rsidRDefault="007E619D" w:rsidP="007E619D">
      <w:pPr>
        <w:tabs>
          <w:tab w:val="left" w:pos="4820"/>
        </w:tabs>
        <w:spacing w:after="0" w:line="240" w:lineRule="auto"/>
        <w:rPr>
          <w:rFonts w:ascii="Arial" w:eastAsia="Century Gothic" w:hAnsi="Arial" w:cs="Arial"/>
          <w:highlight w:val="white"/>
          <w:lang w:val="es-CO"/>
        </w:rPr>
      </w:pPr>
      <w:r w:rsidRPr="00FC2A06">
        <w:rPr>
          <w:rFonts w:ascii="Arial" w:eastAsia="Century Gothic" w:hAnsi="Arial" w:cs="Arial"/>
          <w:highlight w:val="white"/>
          <w:lang w:val="es-CO"/>
        </w:rPr>
        <w:t>Ponente Coordinador</w:t>
      </w:r>
      <w:r w:rsidR="00FC2A06" w:rsidRPr="00FC2A06">
        <w:rPr>
          <w:rFonts w:ascii="Arial" w:eastAsia="Century Gothic" w:hAnsi="Arial" w:cs="Arial"/>
          <w:highlight w:val="white"/>
          <w:lang w:val="es-CO"/>
        </w:rPr>
        <w:t>a</w:t>
      </w:r>
      <w:r w:rsidRPr="00FC2A06">
        <w:rPr>
          <w:rFonts w:ascii="Arial" w:eastAsia="Century Gothic" w:hAnsi="Arial" w:cs="Arial"/>
          <w:highlight w:val="white"/>
          <w:lang w:val="es-CO"/>
        </w:rPr>
        <w:t xml:space="preserve">              </w:t>
      </w:r>
      <w:r w:rsidR="0026293A" w:rsidRPr="00FC2A06">
        <w:rPr>
          <w:rFonts w:ascii="Arial" w:eastAsia="Century Gothic" w:hAnsi="Arial" w:cs="Arial"/>
          <w:highlight w:val="white"/>
          <w:lang w:val="es-CO"/>
        </w:rPr>
        <w:t xml:space="preserve">                       </w:t>
      </w:r>
      <w:r w:rsidR="003733CD" w:rsidRPr="00FC2A06">
        <w:rPr>
          <w:rFonts w:ascii="Arial" w:eastAsia="Century Gothic" w:hAnsi="Arial" w:cs="Arial"/>
          <w:highlight w:val="white"/>
          <w:lang w:val="es-CO"/>
        </w:rPr>
        <w:t xml:space="preserve">         </w:t>
      </w:r>
      <w:r w:rsidR="0026293A" w:rsidRPr="00FC2A06">
        <w:rPr>
          <w:rFonts w:ascii="Arial" w:eastAsia="Century Gothic" w:hAnsi="Arial" w:cs="Arial"/>
          <w:highlight w:val="white"/>
          <w:lang w:val="es-CO"/>
        </w:rPr>
        <w:t>Presidenta</w:t>
      </w:r>
    </w:p>
    <w:p w14:paraId="7CBA3599" w14:textId="0EA71C5B" w:rsidR="00236F89" w:rsidRPr="00FC2A06" w:rsidRDefault="00236F89" w:rsidP="00AD51EA">
      <w:pPr>
        <w:tabs>
          <w:tab w:val="left" w:pos="4820"/>
        </w:tabs>
        <w:spacing w:after="0" w:line="240" w:lineRule="auto"/>
        <w:rPr>
          <w:rFonts w:ascii="Arial" w:eastAsia="Century Gothic" w:hAnsi="Arial" w:cs="Arial"/>
          <w:highlight w:val="white"/>
          <w:lang w:val="es-CO"/>
        </w:rPr>
      </w:pPr>
    </w:p>
    <w:p w14:paraId="3BF78695" w14:textId="21F2CC76" w:rsidR="00236F89" w:rsidRPr="00FC2A06" w:rsidRDefault="00236F89" w:rsidP="00AD51EA">
      <w:pPr>
        <w:tabs>
          <w:tab w:val="left" w:pos="4820"/>
        </w:tabs>
        <w:spacing w:after="0" w:line="240" w:lineRule="auto"/>
        <w:rPr>
          <w:rFonts w:ascii="Arial" w:eastAsia="Century Gothic" w:hAnsi="Arial" w:cs="Arial"/>
          <w:highlight w:val="white"/>
          <w:lang w:val="es-CO"/>
        </w:rPr>
      </w:pPr>
    </w:p>
    <w:p w14:paraId="618D861A" w14:textId="0D5E7E72" w:rsidR="00DF2F74" w:rsidRPr="00FC2A06" w:rsidRDefault="00DF2F74" w:rsidP="00AD51EA">
      <w:pPr>
        <w:tabs>
          <w:tab w:val="left" w:pos="4820"/>
        </w:tabs>
        <w:spacing w:after="0" w:line="240" w:lineRule="auto"/>
        <w:rPr>
          <w:rFonts w:ascii="Arial" w:eastAsia="Century Gothic" w:hAnsi="Arial" w:cs="Arial"/>
          <w:highlight w:val="white"/>
          <w:lang w:val="es-CO"/>
        </w:rPr>
      </w:pPr>
    </w:p>
    <w:p w14:paraId="5DDDE33D" w14:textId="77777777" w:rsidR="006F017F" w:rsidRPr="00FC2A06" w:rsidRDefault="006F017F" w:rsidP="006F017F">
      <w:pPr>
        <w:tabs>
          <w:tab w:val="left" w:pos="4820"/>
        </w:tabs>
        <w:jc w:val="center"/>
        <w:rPr>
          <w:rFonts w:ascii="Arial" w:eastAsia="Century Gothic" w:hAnsi="Arial" w:cs="Arial"/>
          <w:highlight w:val="white"/>
          <w:lang w:val="es-CO"/>
        </w:rPr>
      </w:pPr>
    </w:p>
    <w:p w14:paraId="2451FF04" w14:textId="77777777" w:rsidR="006F017F" w:rsidRPr="00FC2A06" w:rsidRDefault="00AD51EA" w:rsidP="00D07AF9">
      <w:pPr>
        <w:tabs>
          <w:tab w:val="left" w:pos="4820"/>
        </w:tabs>
        <w:spacing w:after="0" w:line="240" w:lineRule="auto"/>
        <w:jc w:val="center"/>
        <w:rPr>
          <w:rFonts w:ascii="Arial" w:eastAsia="Century Gothic" w:hAnsi="Arial" w:cs="Arial"/>
          <w:highlight w:val="white"/>
          <w:lang w:val="es-CO"/>
        </w:rPr>
      </w:pPr>
      <w:r w:rsidRPr="00FC2A06">
        <w:rPr>
          <w:rFonts w:ascii="Arial" w:eastAsia="Century Gothic" w:hAnsi="Arial" w:cs="Arial"/>
          <w:b/>
          <w:highlight w:val="white"/>
          <w:lang w:val="es-CO"/>
        </w:rPr>
        <w:t>AMPARO YANETH CALDERON PERDOMO</w:t>
      </w:r>
    </w:p>
    <w:p w14:paraId="23AACEEE" w14:textId="78B0F46C" w:rsidR="004752D7" w:rsidRPr="00FC2A06" w:rsidRDefault="004752D7" w:rsidP="00D07AF9">
      <w:pPr>
        <w:tabs>
          <w:tab w:val="left" w:pos="4820"/>
        </w:tabs>
        <w:spacing w:after="0" w:line="240" w:lineRule="auto"/>
        <w:jc w:val="center"/>
        <w:rPr>
          <w:rFonts w:ascii="Arial" w:eastAsia="Century Gothic" w:hAnsi="Arial" w:cs="Arial"/>
          <w:highlight w:val="white"/>
          <w:lang w:val="es-CO"/>
        </w:rPr>
      </w:pPr>
      <w:r w:rsidRPr="00FC2A06">
        <w:rPr>
          <w:rFonts w:ascii="Arial" w:eastAsia="Century Gothic" w:hAnsi="Arial" w:cs="Arial"/>
          <w:highlight w:val="white"/>
          <w:lang w:val="es-CO"/>
        </w:rPr>
        <w:t>Secretaria</w:t>
      </w:r>
    </w:p>
    <w:p w14:paraId="60946FD0" w14:textId="77777777" w:rsidR="00BC3E4B" w:rsidRPr="00FC2A06" w:rsidRDefault="00BC3E4B">
      <w:pPr>
        <w:jc w:val="both"/>
        <w:rPr>
          <w:rFonts w:ascii="Arial" w:eastAsia="Century Gothic" w:hAnsi="Arial" w:cs="Arial"/>
          <w:highlight w:val="white"/>
        </w:rPr>
      </w:pPr>
    </w:p>
    <w:p w14:paraId="703C75BA" w14:textId="77777777" w:rsidR="00F7426C" w:rsidRPr="00FC2A06" w:rsidRDefault="00F7426C">
      <w:pPr>
        <w:jc w:val="both"/>
        <w:rPr>
          <w:rFonts w:ascii="Arial" w:eastAsia="Century Gothic" w:hAnsi="Arial" w:cs="Arial"/>
        </w:rPr>
      </w:pPr>
    </w:p>
    <w:bookmarkEnd w:id="0"/>
    <w:p w14:paraId="50286235" w14:textId="77777777" w:rsidR="00E4042F" w:rsidRPr="00FC2A06" w:rsidRDefault="00E4042F">
      <w:pPr>
        <w:jc w:val="both"/>
        <w:rPr>
          <w:rFonts w:ascii="Arial" w:eastAsia="Century Gothic" w:hAnsi="Arial" w:cs="Arial"/>
        </w:rPr>
      </w:pPr>
    </w:p>
    <w:sectPr w:rsidR="00E4042F" w:rsidRPr="00FC2A06"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83B6C" w14:textId="77777777" w:rsidR="009304D8" w:rsidRDefault="009304D8">
      <w:pPr>
        <w:spacing w:after="0" w:line="240" w:lineRule="auto"/>
      </w:pPr>
      <w:r>
        <w:separator/>
      </w:r>
    </w:p>
  </w:endnote>
  <w:endnote w:type="continuationSeparator" w:id="0">
    <w:p w14:paraId="4DC11B42" w14:textId="77777777" w:rsidR="009304D8" w:rsidRDefault="0093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E17BB8" w:rsidRDefault="00E17BB8">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E17BB8" w:rsidRDefault="00E17BB8">
    <w:pPr>
      <w:pBdr>
        <w:top w:val="nil"/>
        <w:left w:val="nil"/>
        <w:bottom w:val="nil"/>
        <w:right w:val="nil"/>
        <w:between w:val="nil"/>
      </w:pBdr>
      <w:tabs>
        <w:tab w:val="center" w:pos="4419"/>
        <w:tab w:val="right" w:pos="8838"/>
      </w:tabs>
      <w:spacing w:after="0" w:line="240" w:lineRule="auto"/>
      <w:ind w:right="360"/>
      <w:rPr>
        <w:color w:val="000000"/>
      </w:rPr>
    </w:pPr>
  </w:p>
  <w:p w14:paraId="6B55772C" w14:textId="77777777" w:rsidR="00E17BB8" w:rsidRDefault="00E17BB8"/>
  <w:p w14:paraId="0401D77B" w14:textId="77777777" w:rsidR="00E17BB8" w:rsidRDefault="00E17B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2949"/>
      <w:docPartObj>
        <w:docPartGallery w:val="Page Numbers (Bottom of Page)"/>
        <w:docPartUnique/>
      </w:docPartObj>
    </w:sdtPr>
    <w:sdtEndPr/>
    <w:sdtContent>
      <w:p w14:paraId="7B4EA0C4" w14:textId="63AADF77" w:rsidR="00E17BB8" w:rsidRDefault="00E17BB8">
        <w:pPr>
          <w:pStyle w:val="Piedepgina"/>
          <w:jc w:val="right"/>
        </w:pPr>
        <w:r>
          <w:fldChar w:fldCharType="begin"/>
        </w:r>
        <w:r>
          <w:instrText>PAGE   \* MERGEFORMAT</w:instrText>
        </w:r>
        <w:r>
          <w:fldChar w:fldCharType="separate"/>
        </w:r>
        <w:r w:rsidR="00FC2A06" w:rsidRPr="00FC2A06">
          <w:rPr>
            <w:noProof/>
            <w:lang w:val="es-ES"/>
          </w:rPr>
          <w:t>10</w:t>
        </w:r>
        <w:r>
          <w:fldChar w:fldCharType="end"/>
        </w:r>
      </w:p>
    </w:sdtContent>
  </w:sdt>
  <w:p w14:paraId="43D26565" w14:textId="12164480" w:rsidR="00E17BB8" w:rsidRDefault="00E17BB8" w:rsidP="00CA7BFC">
    <w:pPr>
      <w:tabs>
        <w:tab w:val="center" w:pos="4419"/>
        <w:tab w:val="right" w:pos="8838"/>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98375" w14:textId="77777777" w:rsidR="009304D8" w:rsidRDefault="009304D8">
      <w:pPr>
        <w:spacing w:after="0" w:line="240" w:lineRule="auto"/>
      </w:pPr>
      <w:r>
        <w:separator/>
      </w:r>
    </w:p>
  </w:footnote>
  <w:footnote w:type="continuationSeparator" w:id="0">
    <w:p w14:paraId="096D332B" w14:textId="77777777" w:rsidR="009304D8" w:rsidRDefault="00930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E17BB8" w:rsidRPr="00CA7BFC" w:rsidRDefault="00E17BB8"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14:paraId="2A2C9000" w14:textId="77777777" w:rsidR="00E17BB8" w:rsidRDefault="00E17BB8"/>
  <w:p w14:paraId="1FD89CDB" w14:textId="77777777" w:rsidR="00E17BB8" w:rsidRDefault="00E17B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456"/>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DF04250"/>
    <w:multiLevelType w:val="multilevel"/>
    <w:tmpl w:val="CA268C52"/>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33C7FE0"/>
    <w:multiLevelType w:val="multilevel"/>
    <w:tmpl w:val="E1344BEC"/>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44C3493"/>
    <w:multiLevelType w:val="multilevel"/>
    <w:tmpl w:val="111CDE2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28F4C7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0BC757D"/>
    <w:multiLevelType w:val="multilevel"/>
    <w:tmpl w:val="5422155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16A078E"/>
    <w:multiLevelType w:val="multilevel"/>
    <w:tmpl w:val="EB269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71E5DB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9C94AE5"/>
    <w:multiLevelType w:val="multilevel"/>
    <w:tmpl w:val="07E66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8D4942"/>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1856F42"/>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533169A"/>
    <w:multiLevelType w:val="multilevel"/>
    <w:tmpl w:val="42EE30EC"/>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BD3534A"/>
    <w:multiLevelType w:val="multilevel"/>
    <w:tmpl w:val="0382FB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B33CA4"/>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47915BE"/>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3"/>
  </w:num>
  <w:num w:numId="3">
    <w:abstractNumId w:val="6"/>
  </w:num>
  <w:num w:numId="4">
    <w:abstractNumId w:val="1"/>
  </w:num>
  <w:num w:numId="5">
    <w:abstractNumId w:val="11"/>
  </w:num>
  <w:num w:numId="6">
    <w:abstractNumId w:val="2"/>
  </w:num>
  <w:num w:numId="7">
    <w:abstractNumId w:val="4"/>
  </w:num>
  <w:num w:numId="8">
    <w:abstractNumId w:val="3"/>
  </w:num>
  <w:num w:numId="9">
    <w:abstractNumId w:val="7"/>
  </w:num>
  <w:num w:numId="10">
    <w:abstractNumId w:val="10"/>
  </w:num>
  <w:num w:numId="11">
    <w:abstractNumId w:val="14"/>
  </w:num>
  <w:num w:numId="12">
    <w:abstractNumId w:val="0"/>
  </w:num>
  <w:num w:numId="13">
    <w:abstractNumId w:val="9"/>
  </w:num>
  <w:num w:numId="14">
    <w:abstractNumId w:val="8"/>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0B15"/>
    <w:rsid w:val="00004CD9"/>
    <w:rsid w:val="0000578F"/>
    <w:rsid w:val="00006C04"/>
    <w:rsid w:val="00007088"/>
    <w:rsid w:val="00024E67"/>
    <w:rsid w:val="00027FAB"/>
    <w:rsid w:val="00033443"/>
    <w:rsid w:val="00051B86"/>
    <w:rsid w:val="000902F6"/>
    <w:rsid w:val="000A283A"/>
    <w:rsid w:val="000A412C"/>
    <w:rsid w:val="000B61F9"/>
    <w:rsid w:val="000D5BC1"/>
    <w:rsid w:val="000D7330"/>
    <w:rsid w:val="000E4068"/>
    <w:rsid w:val="000F29C4"/>
    <w:rsid w:val="000F6059"/>
    <w:rsid w:val="00116A80"/>
    <w:rsid w:val="001303B7"/>
    <w:rsid w:val="0013595E"/>
    <w:rsid w:val="00141E9A"/>
    <w:rsid w:val="00147335"/>
    <w:rsid w:val="00150F01"/>
    <w:rsid w:val="00172E90"/>
    <w:rsid w:val="001755BA"/>
    <w:rsid w:val="001778F7"/>
    <w:rsid w:val="00182924"/>
    <w:rsid w:val="0018358F"/>
    <w:rsid w:val="001904AE"/>
    <w:rsid w:val="001931DC"/>
    <w:rsid w:val="00194732"/>
    <w:rsid w:val="0019493F"/>
    <w:rsid w:val="00194A32"/>
    <w:rsid w:val="001A1496"/>
    <w:rsid w:val="001A73DC"/>
    <w:rsid w:val="001B50EC"/>
    <w:rsid w:val="001B5ECF"/>
    <w:rsid w:val="001B7E8F"/>
    <w:rsid w:val="001D5DC8"/>
    <w:rsid w:val="001E295C"/>
    <w:rsid w:val="001F7274"/>
    <w:rsid w:val="001F7B4F"/>
    <w:rsid w:val="00225052"/>
    <w:rsid w:val="0022789C"/>
    <w:rsid w:val="00236453"/>
    <w:rsid w:val="00236F89"/>
    <w:rsid w:val="002437A7"/>
    <w:rsid w:val="00243FDF"/>
    <w:rsid w:val="00246D97"/>
    <w:rsid w:val="00247B5E"/>
    <w:rsid w:val="0026293A"/>
    <w:rsid w:val="0026503A"/>
    <w:rsid w:val="0026752F"/>
    <w:rsid w:val="00276C64"/>
    <w:rsid w:val="00282AE7"/>
    <w:rsid w:val="00283ADD"/>
    <w:rsid w:val="0029234A"/>
    <w:rsid w:val="00295EE4"/>
    <w:rsid w:val="002A050B"/>
    <w:rsid w:val="002A4258"/>
    <w:rsid w:val="002A5E31"/>
    <w:rsid w:val="002A6C4C"/>
    <w:rsid w:val="002B056F"/>
    <w:rsid w:val="002B15AE"/>
    <w:rsid w:val="002B15ED"/>
    <w:rsid w:val="002B3A30"/>
    <w:rsid w:val="002D7B05"/>
    <w:rsid w:val="002F1D61"/>
    <w:rsid w:val="00303DF2"/>
    <w:rsid w:val="00307FDB"/>
    <w:rsid w:val="00315734"/>
    <w:rsid w:val="00321B83"/>
    <w:rsid w:val="0033667A"/>
    <w:rsid w:val="00340EFF"/>
    <w:rsid w:val="003437D7"/>
    <w:rsid w:val="00344DE4"/>
    <w:rsid w:val="003510CB"/>
    <w:rsid w:val="00357031"/>
    <w:rsid w:val="00365F84"/>
    <w:rsid w:val="003733CD"/>
    <w:rsid w:val="00383D32"/>
    <w:rsid w:val="00384CCB"/>
    <w:rsid w:val="003941C4"/>
    <w:rsid w:val="003A213A"/>
    <w:rsid w:val="003A56A7"/>
    <w:rsid w:val="003B2913"/>
    <w:rsid w:val="003E1021"/>
    <w:rsid w:val="003E75DB"/>
    <w:rsid w:val="00405A9E"/>
    <w:rsid w:val="004200DB"/>
    <w:rsid w:val="00421677"/>
    <w:rsid w:val="0043131B"/>
    <w:rsid w:val="004336EE"/>
    <w:rsid w:val="00436FA1"/>
    <w:rsid w:val="00442EDF"/>
    <w:rsid w:val="00444F65"/>
    <w:rsid w:val="00461F6A"/>
    <w:rsid w:val="00472217"/>
    <w:rsid w:val="004752D7"/>
    <w:rsid w:val="00491DCE"/>
    <w:rsid w:val="0049278A"/>
    <w:rsid w:val="004B7582"/>
    <w:rsid w:val="004D030A"/>
    <w:rsid w:val="004D4CEF"/>
    <w:rsid w:val="004E6CD8"/>
    <w:rsid w:val="004F6E90"/>
    <w:rsid w:val="005002FF"/>
    <w:rsid w:val="00507CA6"/>
    <w:rsid w:val="00510B8D"/>
    <w:rsid w:val="00510F07"/>
    <w:rsid w:val="00524298"/>
    <w:rsid w:val="00525502"/>
    <w:rsid w:val="00532309"/>
    <w:rsid w:val="005378E9"/>
    <w:rsid w:val="00552946"/>
    <w:rsid w:val="00555607"/>
    <w:rsid w:val="00570C05"/>
    <w:rsid w:val="00577529"/>
    <w:rsid w:val="005818F7"/>
    <w:rsid w:val="0058490A"/>
    <w:rsid w:val="00593BA6"/>
    <w:rsid w:val="005A69C6"/>
    <w:rsid w:val="005B0F1A"/>
    <w:rsid w:val="005B728D"/>
    <w:rsid w:val="005C6FD5"/>
    <w:rsid w:val="005E62E3"/>
    <w:rsid w:val="005F0222"/>
    <w:rsid w:val="005F7A53"/>
    <w:rsid w:val="00600635"/>
    <w:rsid w:val="006013AA"/>
    <w:rsid w:val="00622BA5"/>
    <w:rsid w:val="0063210B"/>
    <w:rsid w:val="0063590E"/>
    <w:rsid w:val="00642606"/>
    <w:rsid w:val="00650DC6"/>
    <w:rsid w:val="00652DA7"/>
    <w:rsid w:val="00652FC5"/>
    <w:rsid w:val="0065723A"/>
    <w:rsid w:val="00660B74"/>
    <w:rsid w:val="00662D81"/>
    <w:rsid w:val="006667B4"/>
    <w:rsid w:val="0067059F"/>
    <w:rsid w:val="00673CFA"/>
    <w:rsid w:val="00682B72"/>
    <w:rsid w:val="006852F4"/>
    <w:rsid w:val="006942BD"/>
    <w:rsid w:val="006A2B87"/>
    <w:rsid w:val="006B1F0F"/>
    <w:rsid w:val="006C39A6"/>
    <w:rsid w:val="006C62C6"/>
    <w:rsid w:val="006C6EE4"/>
    <w:rsid w:val="006D3CF8"/>
    <w:rsid w:val="006E4384"/>
    <w:rsid w:val="006F017F"/>
    <w:rsid w:val="00702517"/>
    <w:rsid w:val="007167FA"/>
    <w:rsid w:val="0073136B"/>
    <w:rsid w:val="00732D42"/>
    <w:rsid w:val="0073728D"/>
    <w:rsid w:val="00742066"/>
    <w:rsid w:val="00747CD3"/>
    <w:rsid w:val="00762755"/>
    <w:rsid w:val="00771A2E"/>
    <w:rsid w:val="007725F5"/>
    <w:rsid w:val="00775576"/>
    <w:rsid w:val="00781CF3"/>
    <w:rsid w:val="00791C09"/>
    <w:rsid w:val="00797014"/>
    <w:rsid w:val="0079778B"/>
    <w:rsid w:val="007B07DC"/>
    <w:rsid w:val="007B52BE"/>
    <w:rsid w:val="007B61A8"/>
    <w:rsid w:val="007C0DA2"/>
    <w:rsid w:val="007C1E3B"/>
    <w:rsid w:val="007D6DC1"/>
    <w:rsid w:val="007E619D"/>
    <w:rsid w:val="007F09C2"/>
    <w:rsid w:val="007F4BEC"/>
    <w:rsid w:val="008015C9"/>
    <w:rsid w:val="00803140"/>
    <w:rsid w:val="00825C27"/>
    <w:rsid w:val="0082664A"/>
    <w:rsid w:val="008301D1"/>
    <w:rsid w:val="0083070F"/>
    <w:rsid w:val="008468D8"/>
    <w:rsid w:val="00856272"/>
    <w:rsid w:val="00871842"/>
    <w:rsid w:val="00872121"/>
    <w:rsid w:val="00873BFD"/>
    <w:rsid w:val="00875BA2"/>
    <w:rsid w:val="0088379D"/>
    <w:rsid w:val="008868FE"/>
    <w:rsid w:val="00891EF2"/>
    <w:rsid w:val="008B6AD1"/>
    <w:rsid w:val="008C0E9F"/>
    <w:rsid w:val="008C3848"/>
    <w:rsid w:val="008C3EB2"/>
    <w:rsid w:val="008D4AD2"/>
    <w:rsid w:val="008E4A2C"/>
    <w:rsid w:val="0090529A"/>
    <w:rsid w:val="009120D8"/>
    <w:rsid w:val="00920694"/>
    <w:rsid w:val="009214AB"/>
    <w:rsid w:val="009304D8"/>
    <w:rsid w:val="00961568"/>
    <w:rsid w:val="00986D25"/>
    <w:rsid w:val="00993749"/>
    <w:rsid w:val="00997B02"/>
    <w:rsid w:val="009A35B4"/>
    <w:rsid w:val="009A66DF"/>
    <w:rsid w:val="009B5108"/>
    <w:rsid w:val="009B75CE"/>
    <w:rsid w:val="009C5CF0"/>
    <w:rsid w:val="009D0B11"/>
    <w:rsid w:val="009D3EED"/>
    <w:rsid w:val="009D59D9"/>
    <w:rsid w:val="009E18F1"/>
    <w:rsid w:val="009F1DF4"/>
    <w:rsid w:val="009F76A0"/>
    <w:rsid w:val="00A22F03"/>
    <w:rsid w:val="00A267A4"/>
    <w:rsid w:val="00A8208E"/>
    <w:rsid w:val="00A83BB7"/>
    <w:rsid w:val="00A93413"/>
    <w:rsid w:val="00AA1473"/>
    <w:rsid w:val="00AA5AD2"/>
    <w:rsid w:val="00AB2204"/>
    <w:rsid w:val="00AC2321"/>
    <w:rsid w:val="00AD3DC6"/>
    <w:rsid w:val="00AD4511"/>
    <w:rsid w:val="00AD51EA"/>
    <w:rsid w:val="00AE0BE1"/>
    <w:rsid w:val="00AE6BEB"/>
    <w:rsid w:val="00B124EA"/>
    <w:rsid w:val="00B136BA"/>
    <w:rsid w:val="00B46DCE"/>
    <w:rsid w:val="00B514A4"/>
    <w:rsid w:val="00B54BCF"/>
    <w:rsid w:val="00B63F91"/>
    <w:rsid w:val="00B82A0F"/>
    <w:rsid w:val="00B90122"/>
    <w:rsid w:val="00BA0210"/>
    <w:rsid w:val="00BB2372"/>
    <w:rsid w:val="00BB3694"/>
    <w:rsid w:val="00BC028F"/>
    <w:rsid w:val="00BC211F"/>
    <w:rsid w:val="00BC3E4B"/>
    <w:rsid w:val="00BD6AFC"/>
    <w:rsid w:val="00BE0757"/>
    <w:rsid w:val="00BF2A57"/>
    <w:rsid w:val="00BF5375"/>
    <w:rsid w:val="00BF73E6"/>
    <w:rsid w:val="00C1217F"/>
    <w:rsid w:val="00C207AB"/>
    <w:rsid w:val="00C618BC"/>
    <w:rsid w:val="00C76E7C"/>
    <w:rsid w:val="00C834D2"/>
    <w:rsid w:val="00C93BE4"/>
    <w:rsid w:val="00C94F86"/>
    <w:rsid w:val="00C95BD6"/>
    <w:rsid w:val="00CA0370"/>
    <w:rsid w:val="00CA4D33"/>
    <w:rsid w:val="00CA7BFC"/>
    <w:rsid w:val="00CB3B98"/>
    <w:rsid w:val="00CB4B8B"/>
    <w:rsid w:val="00CC49ED"/>
    <w:rsid w:val="00CC7761"/>
    <w:rsid w:val="00CD211C"/>
    <w:rsid w:val="00CE088B"/>
    <w:rsid w:val="00CE4CE8"/>
    <w:rsid w:val="00CE7E1D"/>
    <w:rsid w:val="00CF40B5"/>
    <w:rsid w:val="00CF7E32"/>
    <w:rsid w:val="00D04C24"/>
    <w:rsid w:val="00D07197"/>
    <w:rsid w:val="00D07AF9"/>
    <w:rsid w:val="00D42B91"/>
    <w:rsid w:val="00D50290"/>
    <w:rsid w:val="00D50E99"/>
    <w:rsid w:val="00D52439"/>
    <w:rsid w:val="00D627DA"/>
    <w:rsid w:val="00D847AE"/>
    <w:rsid w:val="00D93A2A"/>
    <w:rsid w:val="00D93C41"/>
    <w:rsid w:val="00D93DEC"/>
    <w:rsid w:val="00DA0898"/>
    <w:rsid w:val="00DA3CAA"/>
    <w:rsid w:val="00DB1C88"/>
    <w:rsid w:val="00DC7280"/>
    <w:rsid w:val="00DD4878"/>
    <w:rsid w:val="00DD790F"/>
    <w:rsid w:val="00DE022E"/>
    <w:rsid w:val="00DF2F74"/>
    <w:rsid w:val="00E17BB8"/>
    <w:rsid w:val="00E24D6F"/>
    <w:rsid w:val="00E4042F"/>
    <w:rsid w:val="00E47170"/>
    <w:rsid w:val="00E60B54"/>
    <w:rsid w:val="00E65366"/>
    <w:rsid w:val="00E6584A"/>
    <w:rsid w:val="00E71102"/>
    <w:rsid w:val="00E72067"/>
    <w:rsid w:val="00E7220F"/>
    <w:rsid w:val="00E9110D"/>
    <w:rsid w:val="00E9490B"/>
    <w:rsid w:val="00EA428F"/>
    <w:rsid w:val="00EA4744"/>
    <w:rsid w:val="00EB1E2F"/>
    <w:rsid w:val="00EB49F4"/>
    <w:rsid w:val="00EB54BA"/>
    <w:rsid w:val="00EC40C8"/>
    <w:rsid w:val="00ED3091"/>
    <w:rsid w:val="00EE14AC"/>
    <w:rsid w:val="00EE411B"/>
    <w:rsid w:val="00EE4E39"/>
    <w:rsid w:val="00EE56DC"/>
    <w:rsid w:val="00EE5E3F"/>
    <w:rsid w:val="00EF5F67"/>
    <w:rsid w:val="00F10F67"/>
    <w:rsid w:val="00F15B81"/>
    <w:rsid w:val="00F23E48"/>
    <w:rsid w:val="00F26CCF"/>
    <w:rsid w:val="00F31B05"/>
    <w:rsid w:val="00F36314"/>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2A06"/>
    <w:rsid w:val="00FC6938"/>
    <w:rsid w:val="00FE0AF0"/>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1"/>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TableParagraph">
    <w:name w:val="Table Paragraph"/>
    <w:basedOn w:val="Normal"/>
    <w:uiPriority w:val="1"/>
    <w:qFormat/>
    <w:rsid w:val="00225052"/>
    <w:pPr>
      <w:widowControl w:val="0"/>
      <w:autoSpaceDE w:val="0"/>
      <w:autoSpaceDN w:val="0"/>
      <w:spacing w:after="0" w:line="240" w:lineRule="auto"/>
    </w:pPr>
    <w:rPr>
      <w:rFonts w:ascii="Constantia" w:eastAsia="Constantia" w:hAnsi="Constantia" w:cs="Constanti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1545362888">
      <w:bodyDiv w:val="1"/>
      <w:marLeft w:val="0"/>
      <w:marRight w:val="0"/>
      <w:marTop w:val="0"/>
      <w:marBottom w:val="0"/>
      <w:divBdr>
        <w:top w:val="none" w:sz="0" w:space="0" w:color="auto"/>
        <w:left w:val="none" w:sz="0" w:space="0" w:color="auto"/>
        <w:bottom w:val="none" w:sz="0" w:space="0" w:color="auto"/>
        <w:right w:val="none" w:sz="0" w:space="0" w:color="auto"/>
      </w:divBdr>
    </w:div>
    <w:div w:id="1679188350">
      <w:bodyDiv w:val="1"/>
      <w:marLeft w:val="0"/>
      <w:marRight w:val="0"/>
      <w:marTop w:val="0"/>
      <w:marBottom w:val="0"/>
      <w:divBdr>
        <w:top w:val="none" w:sz="0" w:space="0" w:color="auto"/>
        <w:left w:val="none" w:sz="0" w:space="0" w:color="auto"/>
        <w:bottom w:val="none" w:sz="0" w:space="0" w:color="auto"/>
        <w:right w:val="none" w:sz="0" w:space="0" w:color="auto"/>
      </w:divBdr>
    </w:div>
    <w:div w:id="1854807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4422EF-1CCB-4E9C-A210-9261829D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4503</Words>
  <Characters>24772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Temporal</dc:creator>
  <cp:lastModifiedBy>Dora Sonia Cortes Castillo</cp:lastModifiedBy>
  <cp:revision>26</cp:revision>
  <cp:lastPrinted>2024-11-25T15:40:00Z</cp:lastPrinted>
  <dcterms:created xsi:type="dcterms:W3CDTF">2024-11-27T21:12:00Z</dcterms:created>
  <dcterms:modified xsi:type="dcterms:W3CDTF">2024-11-28T20:19:00Z</dcterms:modified>
</cp:coreProperties>
</file>