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84F8B" w14:textId="2342A0B6" w:rsidR="00274F38" w:rsidRPr="00B307D2" w:rsidRDefault="00274F38" w:rsidP="00B307D2">
      <w:pPr>
        <w:rPr>
          <w:rFonts w:ascii="Arial" w:hAnsi="Arial" w:cs="Arial"/>
        </w:rPr>
      </w:pPr>
    </w:p>
    <w:p w14:paraId="4E1C3C0F" w14:textId="2C38F267" w:rsidR="00B307D2" w:rsidRPr="00B307D2" w:rsidRDefault="00B307D2" w:rsidP="00B307D2">
      <w:pPr>
        <w:rPr>
          <w:rFonts w:ascii="Arial" w:hAnsi="Arial" w:cs="Arial"/>
        </w:rPr>
      </w:pPr>
    </w:p>
    <w:p w14:paraId="1FB822ED" w14:textId="762098D7" w:rsidR="00B307D2" w:rsidRPr="00B307D2" w:rsidRDefault="00B307D2" w:rsidP="00B307D2">
      <w:pPr>
        <w:rPr>
          <w:rFonts w:ascii="Arial" w:hAnsi="Arial" w:cs="Arial"/>
        </w:rPr>
      </w:pPr>
    </w:p>
    <w:p w14:paraId="5B945987" w14:textId="653B7FC2" w:rsidR="00B307D2" w:rsidRPr="00B307D2" w:rsidRDefault="00B307D2" w:rsidP="00B307D2">
      <w:pPr>
        <w:rPr>
          <w:rFonts w:ascii="Arial" w:hAnsi="Arial" w:cs="Arial"/>
        </w:rPr>
      </w:pPr>
    </w:p>
    <w:p w14:paraId="36A12F03" w14:textId="60955164" w:rsidR="00B307D2" w:rsidRPr="00B307D2" w:rsidRDefault="00B307D2" w:rsidP="00B307D2">
      <w:pPr>
        <w:rPr>
          <w:rFonts w:ascii="Arial" w:hAnsi="Arial" w:cs="Arial"/>
        </w:rPr>
      </w:pPr>
    </w:p>
    <w:p w14:paraId="1A2555F4" w14:textId="77777777" w:rsidR="00B307D2" w:rsidRPr="00B307D2" w:rsidRDefault="00B307D2" w:rsidP="00B307D2">
      <w:pPr>
        <w:spacing w:after="160" w:line="276" w:lineRule="auto"/>
        <w:rPr>
          <w:rFonts w:ascii="Arial" w:eastAsia="Aptos" w:hAnsi="Arial" w:cs="Arial"/>
          <w:kern w:val="2"/>
          <w:lang w:val="es-MX" w:eastAsia="en-US"/>
          <w14:ligatures w14:val="standardContextual"/>
        </w:rPr>
      </w:pPr>
      <w:r w:rsidRPr="00B307D2">
        <w:rPr>
          <w:rFonts w:ascii="Arial" w:eastAsia="Aptos" w:hAnsi="Arial" w:cs="Arial"/>
          <w:kern w:val="2"/>
          <w:lang w:val="es-MX" w:eastAsia="en-US"/>
          <w14:ligatures w14:val="standardContextual"/>
        </w:rPr>
        <w:t>Bogotá, 29 de abril de 2025</w:t>
      </w:r>
    </w:p>
    <w:p w14:paraId="255F43EA" w14:textId="77777777" w:rsidR="00B307D2" w:rsidRPr="00B307D2" w:rsidRDefault="00B307D2" w:rsidP="00B307D2">
      <w:pPr>
        <w:spacing w:line="276" w:lineRule="auto"/>
        <w:rPr>
          <w:rFonts w:ascii="Arial" w:eastAsia="Aptos" w:hAnsi="Arial" w:cs="Arial"/>
          <w:b/>
          <w:bCs/>
          <w:kern w:val="2"/>
          <w:lang w:val="es-MX" w:eastAsia="en-US"/>
          <w14:ligatures w14:val="standardContextual"/>
        </w:rPr>
      </w:pPr>
    </w:p>
    <w:p w14:paraId="52BD2C6B" w14:textId="77777777" w:rsidR="00B307D2" w:rsidRPr="00B307D2" w:rsidRDefault="00B307D2" w:rsidP="00B307D2">
      <w:pPr>
        <w:spacing w:line="276" w:lineRule="auto"/>
        <w:rPr>
          <w:rFonts w:ascii="Arial" w:eastAsia="Aptos" w:hAnsi="Arial" w:cs="Arial"/>
          <w:kern w:val="2"/>
          <w:lang w:val="es-MX" w:eastAsia="en-US"/>
          <w14:ligatures w14:val="standardContextual"/>
        </w:rPr>
      </w:pPr>
      <w:r w:rsidRPr="00B307D2">
        <w:rPr>
          <w:rFonts w:ascii="Arial" w:eastAsia="Aptos" w:hAnsi="Arial" w:cs="Arial"/>
          <w:kern w:val="2"/>
          <w:lang w:val="es-MX" w:eastAsia="en-US"/>
          <w14:ligatures w14:val="standardContextual"/>
        </w:rPr>
        <w:t>Doctora</w:t>
      </w:r>
    </w:p>
    <w:p w14:paraId="3E5DD87E" w14:textId="77777777" w:rsidR="00B307D2" w:rsidRPr="00B307D2" w:rsidRDefault="00B307D2" w:rsidP="00B307D2">
      <w:pPr>
        <w:spacing w:line="276" w:lineRule="auto"/>
        <w:rPr>
          <w:rFonts w:ascii="Arial" w:eastAsia="Aptos" w:hAnsi="Arial" w:cs="Arial"/>
          <w:b/>
          <w:bCs/>
          <w:kern w:val="2"/>
          <w:lang w:val="es-MX" w:eastAsia="en-US"/>
          <w14:ligatures w14:val="standardContextual"/>
        </w:rPr>
      </w:pPr>
      <w:r w:rsidRPr="00B307D2">
        <w:rPr>
          <w:rFonts w:ascii="Arial" w:eastAsia="Aptos" w:hAnsi="Arial" w:cs="Arial"/>
          <w:b/>
          <w:bCs/>
          <w:kern w:val="2"/>
          <w:lang w:val="es-MX" w:eastAsia="en-US"/>
          <w14:ligatures w14:val="standardContextual"/>
        </w:rPr>
        <w:t>ANA PAOLA GARCÍA SOTO</w:t>
      </w:r>
    </w:p>
    <w:p w14:paraId="31472886" w14:textId="77777777" w:rsidR="00B307D2" w:rsidRPr="00B307D2" w:rsidRDefault="00B307D2" w:rsidP="00B307D2">
      <w:pPr>
        <w:spacing w:line="276" w:lineRule="auto"/>
        <w:rPr>
          <w:rFonts w:ascii="Arial" w:eastAsia="Aptos" w:hAnsi="Arial" w:cs="Arial"/>
          <w:kern w:val="2"/>
          <w:lang w:val="es-MX" w:eastAsia="en-US"/>
          <w14:ligatures w14:val="standardContextual"/>
        </w:rPr>
      </w:pPr>
      <w:r w:rsidRPr="00B307D2">
        <w:rPr>
          <w:rFonts w:ascii="Arial" w:eastAsia="Aptos" w:hAnsi="Arial" w:cs="Arial"/>
          <w:kern w:val="2"/>
          <w:lang w:val="es-MX" w:eastAsia="en-US"/>
          <w14:ligatures w14:val="standardContextual"/>
        </w:rPr>
        <w:t>Presidenta de la Comisión Primera Constitucional Permanente</w:t>
      </w:r>
    </w:p>
    <w:p w14:paraId="11EA72DA" w14:textId="77777777" w:rsidR="00B307D2" w:rsidRPr="00B307D2" w:rsidRDefault="00B307D2" w:rsidP="00B307D2">
      <w:pPr>
        <w:spacing w:line="276" w:lineRule="auto"/>
        <w:rPr>
          <w:rFonts w:ascii="Arial" w:eastAsia="Aptos" w:hAnsi="Arial" w:cs="Arial"/>
          <w:kern w:val="2"/>
          <w:lang w:val="es-MX" w:eastAsia="en-US"/>
          <w14:ligatures w14:val="standardContextual"/>
        </w:rPr>
      </w:pPr>
    </w:p>
    <w:p w14:paraId="6A44C453" w14:textId="77777777" w:rsidR="00B307D2" w:rsidRPr="00B307D2" w:rsidRDefault="00B307D2" w:rsidP="00B307D2">
      <w:pPr>
        <w:spacing w:line="276" w:lineRule="auto"/>
        <w:rPr>
          <w:rFonts w:ascii="Arial" w:eastAsia="Aptos" w:hAnsi="Arial" w:cs="Arial"/>
          <w:kern w:val="2"/>
          <w:lang w:val="es-MX" w:eastAsia="en-US"/>
          <w14:ligatures w14:val="standardContextual"/>
        </w:rPr>
      </w:pPr>
    </w:p>
    <w:p w14:paraId="6B2C87A8" w14:textId="77777777" w:rsidR="00B307D2" w:rsidRPr="00B307D2" w:rsidRDefault="00B307D2" w:rsidP="00B307D2">
      <w:pPr>
        <w:ind w:left="3540"/>
        <w:jc w:val="both"/>
        <w:rPr>
          <w:rFonts w:ascii="Arial" w:eastAsia="Arial" w:hAnsi="Arial" w:cs="Arial"/>
        </w:rPr>
      </w:pPr>
      <w:r w:rsidRPr="00B307D2">
        <w:rPr>
          <w:rFonts w:ascii="Arial" w:eastAsia="Aptos" w:hAnsi="Arial" w:cs="Arial"/>
          <w:b/>
          <w:bCs/>
          <w:kern w:val="2"/>
          <w:lang w:val="es-MX" w:eastAsia="en-US"/>
          <w14:ligatures w14:val="standardContextual"/>
        </w:rPr>
        <w:t>Asunto:</w:t>
      </w:r>
      <w:r w:rsidRPr="00B307D2">
        <w:rPr>
          <w:rFonts w:ascii="Arial" w:eastAsia="Aptos" w:hAnsi="Arial" w:cs="Arial"/>
          <w:kern w:val="2"/>
          <w:lang w:val="es-MX" w:eastAsia="en-US"/>
          <w14:ligatures w14:val="standardContextual"/>
        </w:rPr>
        <w:t xml:space="preserve"> Informe de ponencia de archivo para primer debate al </w:t>
      </w:r>
      <w:bookmarkStart w:id="0" w:name="_Hlk196820124"/>
      <w:r w:rsidRPr="00B307D2">
        <w:rPr>
          <w:rFonts w:ascii="Arial" w:eastAsia="Aptos" w:hAnsi="Arial" w:cs="Arial"/>
          <w:kern w:val="2"/>
          <w:lang w:val="es-MX" w:eastAsia="en-US"/>
          <w14:ligatures w14:val="standardContextual"/>
        </w:rPr>
        <w:t xml:space="preserve">Proyecto de Ley Estatutaria No. 405 de 2024 </w:t>
      </w:r>
      <w:r w:rsidRPr="00B307D2">
        <w:rPr>
          <w:rFonts w:ascii="Arial" w:eastAsia="Arial" w:hAnsi="Arial" w:cs="Arial"/>
          <w:b/>
          <w:color w:val="000000"/>
        </w:rPr>
        <w:t>Cámara “Por medio del cual se regula el derecho fundamental a acceder, participar, beneficiarse y gozar del progreso científico y tecnológico para facilitar el derecho a la libre movilidad”</w:t>
      </w:r>
      <w:bookmarkEnd w:id="0"/>
    </w:p>
    <w:p w14:paraId="265D1A44" w14:textId="77777777" w:rsidR="00B307D2" w:rsidRPr="00B307D2" w:rsidRDefault="00B307D2" w:rsidP="00B307D2">
      <w:pPr>
        <w:spacing w:after="240" w:line="276" w:lineRule="auto"/>
        <w:ind w:left="2124"/>
        <w:jc w:val="both"/>
        <w:rPr>
          <w:rFonts w:ascii="Arial" w:eastAsia="Aptos" w:hAnsi="Arial" w:cs="Arial"/>
          <w:kern w:val="2"/>
          <w:lang w:val="es-ES" w:eastAsia="en-US"/>
          <w14:ligatures w14:val="standardContextual"/>
        </w:rPr>
      </w:pPr>
    </w:p>
    <w:p w14:paraId="5CC55B46" w14:textId="77777777" w:rsidR="00B307D2" w:rsidRPr="00B307D2" w:rsidRDefault="00B307D2" w:rsidP="00B307D2">
      <w:pPr>
        <w:spacing w:line="276" w:lineRule="auto"/>
        <w:rPr>
          <w:rFonts w:ascii="Arial" w:eastAsia="Aptos" w:hAnsi="Arial" w:cs="Arial"/>
          <w:kern w:val="2"/>
          <w:lang w:val="es-CO" w:eastAsia="en-US"/>
          <w14:ligatures w14:val="standardContextual"/>
        </w:rPr>
      </w:pPr>
      <w:r w:rsidRPr="00B307D2">
        <w:rPr>
          <w:rFonts w:ascii="Arial" w:eastAsia="Aptos" w:hAnsi="Arial" w:cs="Arial"/>
          <w:kern w:val="2"/>
          <w:lang w:val="es-CO" w:eastAsia="en-US"/>
          <w14:ligatures w14:val="standardContextual"/>
        </w:rPr>
        <w:t>Respetada señora presidenta,</w:t>
      </w:r>
    </w:p>
    <w:p w14:paraId="1A4B6B97" w14:textId="77777777" w:rsidR="00B307D2" w:rsidRPr="00B307D2" w:rsidRDefault="00B307D2" w:rsidP="00B307D2">
      <w:pPr>
        <w:spacing w:line="276" w:lineRule="auto"/>
        <w:rPr>
          <w:rFonts w:ascii="Arial" w:eastAsia="Aptos" w:hAnsi="Arial" w:cs="Arial"/>
          <w:kern w:val="2"/>
          <w:lang w:val="es-CO" w:eastAsia="en-US"/>
          <w14:ligatures w14:val="standardContextual"/>
        </w:rPr>
      </w:pPr>
    </w:p>
    <w:p w14:paraId="5A6B4D8E" w14:textId="77777777" w:rsidR="00B307D2" w:rsidRPr="00B307D2" w:rsidRDefault="00B307D2" w:rsidP="00B307D2">
      <w:pPr>
        <w:widowControl w:val="0"/>
        <w:autoSpaceDE w:val="0"/>
        <w:autoSpaceDN w:val="0"/>
        <w:jc w:val="both"/>
        <w:rPr>
          <w:rFonts w:ascii="Arial" w:eastAsia="Arial" w:hAnsi="Arial" w:cs="Arial"/>
          <w:lang w:val="es-ES" w:eastAsia="es-CO"/>
        </w:rPr>
      </w:pPr>
      <w:r w:rsidRPr="00B307D2">
        <w:rPr>
          <w:rFonts w:ascii="Arial" w:eastAsia="Aptos" w:hAnsi="Arial" w:cs="Arial"/>
          <w:kern w:val="2"/>
          <w:lang w:val="es-CO" w:eastAsia="en-US"/>
          <w14:ligatures w14:val="standardContextual"/>
        </w:rPr>
        <w:t xml:space="preserve">Atendiendo la honrosa designación efectuada por la Mesa Directiva de la Comisión Primera de la Cámara de Representantes, y en cumplimiento de lo dispuesto en la Ley 5 de 1992, me permito rendir informe de ponencia </w:t>
      </w:r>
      <w:r w:rsidRPr="00B307D2">
        <w:rPr>
          <w:rFonts w:ascii="Arial" w:eastAsia="Aptos" w:hAnsi="Arial" w:cs="Arial"/>
          <w:kern w:val="2"/>
          <w:lang w:val="es-MX" w:eastAsia="en-US"/>
          <w14:ligatures w14:val="standardContextual"/>
        </w:rPr>
        <w:t xml:space="preserve">archivo para primer debate al Proyecto de Ley Estatutaria No. 405 de 2024 </w:t>
      </w:r>
      <w:r w:rsidRPr="00B307D2">
        <w:rPr>
          <w:rFonts w:ascii="Arial" w:eastAsia="Arial" w:hAnsi="Arial" w:cs="Arial"/>
          <w:b/>
          <w:color w:val="000000"/>
        </w:rPr>
        <w:t>Cámara “Por medio del cual se regula el derecho fundamental a acceder, participar, beneficiarse y gozar del progreso científico y tecnológico para facilitar el derecho a la libre movilidad”</w:t>
      </w:r>
      <w:r w:rsidRPr="00B307D2">
        <w:rPr>
          <w:rFonts w:ascii="Arial" w:eastAsia="Aptos" w:hAnsi="Arial" w:cs="Arial"/>
          <w:kern w:val="2"/>
          <w:lang w:val="es-CO" w:eastAsia="en-US"/>
          <w14:ligatures w14:val="standardContextual"/>
        </w:rPr>
        <w:t>, en los siguientes términos:</w:t>
      </w:r>
    </w:p>
    <w:p w14:paraId="618B2849" w14:textId="77777777" w:rsidR="00B307D2" w:rsidRPr="00B307D2" w:rsidRDefault="00B307D2" w:rsidP="00B307D2">
      <w:pPr>
        <w:spacing w:line="276" w:lineRule="auto"/>
        <w:jc w:val="both"/>
        <w:rPr>
          <w:rFonts w:ascii="Arial" w:eastAsia="Aptos" w:hAnsi="Arial" w:cs="Arial"/>
          <w:kern w:val="2"/>
          <w:lang w:val="es-CO" w:eastAsia="en-US"/>
          <w14:ligatures w14:val="standardContextual"/>
        </w:rPr>
      </w:pPr>
    </w:p>
    <w:p w14:paraId="32956158" w14:textId="77777777" w:rsidR="00B307D2" w:rsidRPr="00B307D2" w:rsidRDefault="00B307D2" w:rsidP="00B307D2">
      <w:pPr>
        <w:numPr>
          <w:ilvl w:val="0"/>
          <w:numId w:val="17"/>
        </w:numPr>
        <w:spacing w:after="160" w:line="276" w:lineRule="auto"/>
        <w:contextualSpacing/>
        <w:jc w:val="both"/>
        <w:rPr>
          <w:rFonts w:ascii="Arial" w:eastAsia="Aptos" w:hAnsi="Arial" w:cs="Arial"/>
          <w:b/>
          <w:bCs/>
          <w:kern w:val="2"/>
          <w:lang w:val="es-MX" w:eastAsia="en-US"/>
          <w14:ligatures w14:val="standardContextual"/>
        </w:rPr>
      </w:pPr>
      <w:r w:rsidRPr="00B307D2">
        <w:rPr>
          <w:rFonts w:ascii="Arial" w:eastAsia="Aptos" w:hAnsi="Arial" w:cs="Arial"/>
          <w:b/>
          <w:bCs/>
          <w:kern w:val="2"/>
          <w:lang w:val="es-MX" w:eastAsia="en-US"/>
          <w14:ligatures w14:val="standardContextual"/>
        </w:rPr>
        <w:t>TRÁMITE LEGISLATIVO</w:t>
      </w:r>
    </w:p>
    <w:p w14:paraId="27C44B3B" w14:textId="77777777" w:rsidR="00B307D2" w:rsidRPr="00B307D2" w:rsidRDefault="00B307D2" w:rsidP="00B307D2">
      <w:pPr>
        <w:spacing w:line="276" w:lineRule="auto"/>
        <w:jc w:val="both"/>
        <w:rPr>
          <w:rFonts w:ascii="Arial" w:eastAsia="Aptos" w:hAnsi="Arial" w:cs="Arial"/>
          <w:kern w:val="2"/>
          <w:lang w:val="es-MX" w:eastAsia="en-US"/>
          <w14:ligatures w14:val="standardContextual"/>
        </w:rPr>
      </w:pPr>
    </w:p>
    <w:p w14:paraId="3086DD3E" w14:textId="77777777" w:rsidR="00B307D2" w:rsidRPr="00B307D2" w:rsidRDefault="00B307D2" w:rsidP="00B307D2">
      <w:pPr>
        <w:widowControl w:val="0"/>
        <w:spacing w:after="240"/>
        <w:ind w:hanging="2"/>
        <w:jc w:val="both"/>
        <w:rPr>
          <w:rFonts w:ascii="Arial" w:eastAsia="Arial" w:hAnsi="Arial" w:cs="Arial"/>
          <w:color w:val="000000"/>
        </w:rPr>
      </w:pPr>
      <w:r w:rsidRPr="00B307D2">
        <w:rPr>
          <w:rFonts w:ascii="Arial" w:eastAsia="Arial" w:hAnsi="Arial" w:cs="Arial"/>
          <w:color w:val="000000"/>
        </w:rPr>
        <w:t xml:space="preserve">El proyecto de Ley Estatutaria 405 de 2024 - Cámara fue radicado el día 28 de octubre del año 2024 por los HH. RR María del Mar Pizarro García, Heráclito </w:t>
      </w:r>
      <w:proofErr w:type="spellStart"/>
      <w:r w:rsidRPr="00B307D2">
        <w:rPr>
          <w:rFonts w:ascii="Arial" w:eastAsia="Arial" w:hAnsi="Arial" w:cs="Arial"/>
          <w:color w:val="000000"/>
        </w:rPr>
        <w:t>Landínez</w:t>
      </w:r>
      <w:proofErr w:type="spellEnd"/>
      <w:r w:rsidRPr="00B307D2">
        <w:rPr>
          <w:rFonts w:ascii="Arial" w:eastAsia="Arial" w:hAnsi="Arial" w:cs="Arial"/>
          <w:color w:val="000000"/>
        </w:rPr>
        <w:t xml:space="preserve"> Suárez, Carlos Ardila Espinosa, Julián David López Tenorio, Katherine Miranda, Alfredo De Luque Zuleta, Julio Alberto Elías Vidal y los HH. SS Humberto de la Calle Lombana y publicado en la Gaceta No. 1925 de 2024. </w:t>
      </w:r>
    </w:p>
    <w:p w14:paraId="40E25FF3" w14:textId="77777777" w:rsidR="00B307D2" w:rsidRPr="00B307D2" w:rsidRDefault="00B307D2" w:rsidP="00B307D2">
      <w:pPr>
        <w:ind w:hanging="2"/>
        <w:jc w:val="both"/>
        <w:rPr>
          <w:rFonts w:ascii="Arial" w:eastAsia="Arial" w:hAnsi="Arial" w:cs="Arial"/>
        </w:rPr>
      </w:pPr>
      <w:r w:rsidRPr="00B307D2">
        <w:rPr>
          <w:rFonts w:ascii="Arial" w:eastAsia="Arial" w:hAnsi="Arial" w:cs="Arial"/>
          <w:color w:val="000000"/>
        </w:rPr>
        <w:t xml:space="preserve">La Mesa Directiva de la Comisión Primera Constitucional Permanente nombró como Ponentes a los HH. RR Heráclito </w:t>
      </w:r>
      <w:proofErr w:type="spellStart"/>
      <w:r w:rsidRPr="00B307D2">
        <w:rPr>
          <w:rFonts w:ascii="Arial" w:eastAsia="Arial" w:hAnsi="Arial" w:cs="Arial"/>
          <w:color w:val="000000"/>
        </w:rPr>
        <w:t>Landínez</w:t>
      </w:r>
      <w:proofErr w:type="spellEnd"/>
      <w:r w:rsidRPr="00B307D2">
        <w:rPr>
          <w:rFonts w:ascii="Arial" w:eastAsia="Arial" w:hAnsi="Arial" w:cs="Arial"/>
          <w:color w:val="000000"/>
        </w:rPr>
        <w:t xml:space="preserve"> Suárez -C, </w:t>
      </w:r>
      <w:r w:rsidRPr="00B307D2">
        <w:rPr>
          <w:rFonts w:ascii="Arial" w:eastAsia="Arial" w:hAnsi="Arial" w:cs="Arial"/>
        </w:rPr>
        <w:t xml:space="preserve">Álvaro Leonel Rueda Caballero - C, Luís Eduard Díaz Mateus, Ana Paola García Soto, José Jaime </w:t>
      </w:r>
      <w:proofErr w:type="spellStart"/>
      <w:r w:rsidRPr="00B307D2">
        <w:rPr>
          <w:rFonts w:ascii="Arial" w:eastAsia="Arial" w:hAnsi="Arial" w:cs="Arial"/>
        </w:rPr>
        <w:lastRenderedPageBreak/>
        <w:t>Uscategui</w:t>
      </w:r>
      <w:proofErr w:type="spellEnd"/>
      <w:r w:rsidRPr="00B307D2">
        <w:rPr>
          <w:rFonts w:ascii="Arial" w:eastAsia="Arial" w:hAnsi="Arial" w:cs="Arial"/>
        </w:rPr>
        <w:t xml:space="preserve"> Pastrana, Carolina </w:t>
      </w:r>
      <w:proofErr w:type="spellStart"/>
      <w:r w:rsidRPr="00B307D2">
        <w:rPr>
          <w:rFonts w:ascii="Arial" w:eastAsia="Arial" w:hAnsi="Arial" w:cs="Arial"/>
        </w:rPr>
        <w:t>Arbelaez</w:t>
      </w:r>
      <w:proofErr w:type="spellEnd"/>
      <w:r w:rsidRPr="00B307D2">
        <w:rPr>
          <w:rFonts w:ascii="Arial" w:eastAsia="Arial" w:hAnsi="Arial" w:cs="Arial"/>
        </w:rPr>
        <w:t xml:space="preserve"> Giraldo, Diógenes Quintero Amaya, Juan </w:t>
      </w:r>
      <w:proofErr w:type="spellStart"/>
      <w:r w:rsidRPr="00B307D2">
        <w:rPr>
          <w:rFonts w:ascii="Arial" w:eastAsia="Arial" w:hAnsi="Arial" w:cs="Arial"/>
        </w:rPr>
        <w:t>Sebastían</w:t>
      </w:r>
      <w:proofErr w:type="spellEnd"/>
      <w:r w:rsidRPr="00B307D2">
        <w:rPr>
          <w:rFonts w:ascii="Arial" w:eastAsia="Arial" w:hAnsi="Arial" w:cs="Arial"/>
        </w:rPr>
        <w:t xml:space="preserve"> Gómez Gonzáles, Luis Alberto Albán Urbano y </w:t>
      </w:r>
      <w:proofErr w:type="spellStart"/>
      <w:r w:rsidRPr="00B307D2">
        <w:rPr>
          <w:rFonts w:ascii="Arial" w:eastAsia="Arial" w:hAnsi="Arial" w:cs="Arial"/>
        </w:rPr>
        <w:t>Marelen</w:t>
      </w:r>
      <w:proofErr w:type="spellEnd"/>
      <w:r w:rsidRPr="00B307D2">
        <w:rPr>
          <w:rFonts w:ascii="Arial" w:eastAsia="Arial" w:hAnsi="Arial" w:cs="Arial"/>
        </w:rPr>
        <w:t xml:space="preserve"> Castillo Torres según Acta No. 017.</w:t>
      </w:r>
    </w:p>
    <w:p w14:paraId="4787D19B" w14:textId="77777777" w:rsidR="00B307D2" w:rsidRPr="00B307D2" w:rsidRDefault="00B307D2" w:rsidP="00B307D2">
      <w:pPr>
        <w:spacing w:line="276" w:lineRule="auto"/>
        <w:rPr>
          <w:rFonts w:ascii="Arial" w:eastAsia="Aptos" w:hAnsi="Arial" w:cs="Arial"/>
          <w:b/>
          <w:bCs/>
          <w:kern w:val="2"/>
          <w:lang w:eastAsia="en-US"/>
          <w14:ligatures w14:val="standardContextual"/>
        </w:rPr>
      </w:pPr>
    </w:p>
    <w:p w14:paraId="40810977" w14:textId="77777777" w:rsidR="00B307D2" w:rsidRPr="00B307D2" w:rsidRDefault="00B307D2" w:rsidP="00B307D2">
      <w:pPr>
        <w:spacing w:line="276" w:lineRule="auto"/>
        <w:rPr>
          <w:rFonts w:ascii="Arial" w:eastAsia="Aptos" w:hAnsi="Arial" w:cs="Arial"/>
          <w:b/>
          <w:bCs/>
          <w:kern w:val="2"/>
          <w:lang w:val="es-ES" w:eastAsia="en-US"/>
          <w14:ligatures w14:val="standardContextual"/>
        </w:rPr>
      </w:pPr>
    </w:p>
    <w:p w14:paraId="3154F21F" w14:textId="77777777" w:rsidR="00B307D2" w:rsidRPr="00B307D2" w:rsidRDefault="00B307D2" w:rsidP="00B307D2">
      <w:pPr>
        <w:numPr>
          <w:ilvl w:val="0"/>
          <w:numId w:val="17"/>
        </w:numPr>
        <w:spacing w:after="160" w:line="276" w:lineRule="auto"/>
        <w:contextualSpacing/>
        <w:rPr>
          <w:rFonts w:ascii="Arial" w:eastAsia="Aptos" w:hAnsi="Arial" w:cs="Arial"/>
          <w:b/>
          <w:bCs/>
          <w:kern w:val="2"/>
          <w:lang w:val="es-CO" w:eastAsia="en-US"/>
          <w14:ligatures w14:val="standardContextual"/>
        </w:rPr>
      </w:pPr>
      <w:r w:rsidRPr="00B307D2">
        <w:rPr>
          <w:rFonts w:ascii="Arial" w:eastAsia="Aptos" w:hAnsi="Arial" w:cs="Arial"/>
          <w:b/>
          <w:bCs/>
          <w:kern w:val="2"/>
          <w:lang w:val="es-CO" w:eastAsia="en-US"/>
          <w14:ligatures w14:val="standardContextual"/>
        </w:rPr>
        <w:t>OBJETO Y CONTENIDO DEL PROYECTO</w:t>
      </w:r>
    </w:p>
    <w:p w14:paraId="22D96B93" w14:textId="77777777" w:rsidR="00B307D2" w:rsidRPr="00B307D2" w:rsidRDefault="00B307D2" w:rsidP="00B307D2">
      <w:pPr>
        <w:spacing w:after="160" w:line="276" w:lineRule="auto"/>
        <w:ind w:left="1080"/>
        <w:contextualSpacing/>
        <w:rPr>
          <w:rFonts w:ascii="Arial" w:eastAsia="Aptos" w:hAnsi="Arial" w:cs="Arial"/>
          <w:b/>
          <w:bCs/>
          <w:kern w:val="2"/>
          <w:lang w:val="es-CO" w:eastAsia="en-US"/>
          <w14:ligatures w14:val="standardContextual"/>
        </w:rPr>
      </w:pPr>
    </w:p>
    <w:p w14:paraId="0A00B7DA" w14:textId="77777777" w:rsidR="00B307D2" w:rsidRPr="00B307D2" w:rsidRDefault="00B307D2" w:rsidP="00B307D2">
      <w:pPr>
        <w:spacing w:after="160" w:line="276" w:lineRule="auto"/>
        <w:jc w:val="both"/>
        <w:rPr>
          <w:rFonts w:ascii="Arial" w:eastAsia="Aptos" w:hAnsi="Arial" w:cs="Arial"/>
          <w:kern w:val="2"/>
          <w:lang w:val="es-CO" w:eastAsia="en-US"/>
          <w14:ligatures w14:val="standardContextual"/>
        </w:rPr>
      </w:pPr>
      <w:r w:rsidRPr="00B307D2">
        <w:rPr>
          <w:rFonts w:ascii="Arial" w:eastAsia="Aptos" w:hAnsi="Arial" w:cs="Arial"/>
          <w:kern w:val="2"/>
          <w:lang w:val="es-CO" w:eastAsia="en-US"/>
          <w14:ligatures w14:val="standardContextual"/>
        </w:rPr>
        <w:t xml:space="preserve">Según la exposición de motivos, el </w:t>
      </w:r>
      <w:r w:rsidRPr="00B307D2">
        <w:rPr>
          <w:rFonts w:ascii="Arial" w:eastAsia="Arial" w:hAnsi="Arial" w:cs="Arial"/>
          <w:color w:val="000000"/>
        </w:rPr>
        <w:t>proyecto de ley tiene como objetivo reconocer y garantizar el derecho fundamental a acceder, participar, beneficiarse y gozar del progreso científico y tecnológico.</w:t>
      </w:r>
    </w:p>
    <w:p w14:paraId="5899EAAE" w14:textId="77777777" w:rsidR="00B307D2" w:rsidRPr="00B307D2" w:rsidRDefault="00B307D2" w:rsidP="00B307D2">
      <w:pPr>
        <w:spacing w:line="276" w:lineRule="auto"/>
        <w:jc w:val="both"/>
        <w:rPr>
          <w:rFonts w:ascii="Arial" w:eastAsia="Aptos" w:hAnsi="Arial" w:cs="Arial"/>
          <w:kern w:val="2"/>
          <w:lang w:val="es-CO" w:eastAsia="en-US"/>
          <w14:ligatures w14:val="standardContextual"/>
        </w:rPr>
      </w:pPr>
    </w:p>
    <w:p w14:paraId="23CCEFCD" w14:textId="77777777" w:rsidR="00B307D2" w:rsidRPr="00B307D2" w:rsidRDefault="00B307D2" w:rsidP="00B307D2">
      <w:pPr>
        <w:numPr>
          <w:ilvl w:val="0"/>
          <w:numId w:val="17"/>
        </w:numPr>
        <w:spacing w:after="160" w:line="276" w:lineRule="auto"/>
        <w:contextualSpacing/>
        <w:jc w:val="both"/>
        <w:rPr>
          <w:rFonts w:ascii="Arial" w:eastAsia="Aptos" w:hAnsi="Arial" w:cs="Arial"/>
          <w:b/>
          <w:bCs/>
          <w:kern w:val="2"/>
          <w:lang w:val="es-CO" w:eastAsia="en-US"/>
          <w14:ligatures w14:val="standardContextual"/>
        </w:rPr>
      </w:pPr>
      <w:r w:rsidRPr="00B307D2">
        <w:rPr>
          <w:rFonts w:ascii="Arial" w:eastAsia="Aptos" w:hAnsi="Arial" w:cs="Arial"/>
          <w:b/>
          <w:bCs/>
          <w:kern w:val="2"/>
          <w:lang w:val="es-CO" w:eastAsia="en-US"/>
          <w14:ligatures w14:val="standardContextual"/>
        </w:rPr>
        <w:t>CONSIDERACIONES DE LOS PONENETES</w:t>
      </w:r>
    </w:p>
    <w:p w14:paraId="0818561B" w14:textId="77777777" w:rsidR="00B307D2" w:rsidRPr="00B307D2" w:rsidRDefault="00B307D2" w:rsidP="00B307D2">
      <w:pPr>
        <w:spacing w:after="160" w:line="276" w:lineRule="auto"/>
        <w:ind w:left="1080"/>
        <w:contextualSpacing/>
        <w:jc w:val="both"/>
        <w:rPr>
          <w:rFonts w:ascii="Arial" w:eastAsia="Aptos" w:hAnsi="Arial" w:cs="Arial"/>
          <w:b/>
          <w:bCs/>
          <w:kern w:val="2"/>
          <w:lang w:val="es-CO" w:eastAsia="en-US"/>
          <w14:ligatures w14:val="standardContextual"/>
        </w:rPr>
      </w:pPr>
    </w:p>
    <w:p w14:paraId="28ABF9FD" w14:textId="37549023" w:rsidR="00B307D2" w:rsidRPr="00B307D2" w:rsidRDefault="00B307D2" w:rsidP="00B307D2">
      <w:pPr>
        <w:spacing w:after="160" w:line="276" w:lineRule="auto"/>
        <w:jc w:val="both"/>
        <w:rPr>
          <w:rFonts w:ascii="Arial" w:eastAsia="Aptos" w:hAnsi="Arial" w:cs="Arial"/>
          <w:kern w:val="2"/>
          <w:lang w:val="es-CO" w:eastAsia="en-US"/>
          <w14:ligatures w14:val="standardContextual"/>
        </w:rPr>
      </w:pPr>
      <w:r w:rsidRPr="00B307D2">
        <w:rPr>
          <w:rFonts w:ascii="Arial" w:eastAsia="Aptos" w:hAnsi="Arial" w:cs="Arial"/>
          <w:kern w:val="2"/>
          <w:lang w:val="es-CO" w:eastAsia="en-US"/>
          <w14:ligatures w14:val="standardContextual"/>
        </w:rPr>
        <w:t xml:space="preserve">He decidido apartarme de la ponencia mayoritaria en razón a que, contrario a lo expuesto en su parte motiva, esta iniciativa no fortalece ni busca </w:t>
      </w:r>
      <w:r w:rsidRPr="00B307D2">
        <w:rPr>
          <w:rFonts w:ascii="Arial" w:eastAsia="Arial" w:hAnsi="Arial" w:cs="Arial"/>
          <w:color w:val="000000"/>
        </w:rPr>
        <w:t>reconocer y garantizar el derecho fundamental a acceder, participar, beneficiarse y gozar del progreso científico y tecnológico dentro de un espectro amplio y generalizado del progreso científico pues en su articulado, desde el artículo 18 se centra en la movilidad por medio de aplicativos.</w:t>
      </w:r>
    </w:p>
    <w:p w14:paraId="68A230E1" w14:textId="77777777" w:rsidR="00B307D2" w:rsidRPr="00B307D2" w:rsidRDefault="00B307D2" w:rsidP="00B307D2">
      <w:pPr>
        <w:spacing w:after="160" w:line="276" w:lineRule="auto"/>
        <w:jc w:val="both"/>
        <w:rPr>
          <w:rFonts w:ascii="Arial" w:eastAsia="Arial" w:hAnsi="Arial" w:cs="Arial"/>
          <w:kern w:val="2"/>
          <w:lang w:val="es-CO" w:eastAsia="en-US"/>
          <w14:ligatures w14:val="standardContextual"/>
        </w:rPr>
      </w:pPr>
    </w:p>
    <w:p w14:paraId="313A1D01" w14:textId="77777777" w:rsidR="00B307D2" w:rsidRPr="00B307D2" w:rsidRDefault="00B307D2" w:rsidP="00B307D2">
      <w:pPr>
        <w:spacing w:line="276" w:lineRule="auto"/>
        <w:jc w:val="both"/>
        <w:rPr>
          <w:rFonts w:ascii="Arial" w:eastAsia="Arial" w:hAnsi="Arial" w:cs="Arial"/>
          <w:kern w:val="2"/>
          <w:lang w:val="es-CO" w:eastAsia="en-US"/>
          <w14:ligatures w14:val="standardContextual"/>
        </w:rPr>
      </w:pPr>
      <w:r w:rsidRPr="00B307D2">
        <w:rPr>
          <w:rFonts w:ascii="Arial" w:eastAsia="Arial" w:hAnsi="Arial" w:cs="Arial"/>
          <w:kern w:val="2"/>
          <w:lang w:val="es-CO" w:eastAsia="en-US"/>
          <w14:ligatures w14:val="standardContextual"/>
        </w:rPr>
        <w:t>A continuación, se exponen las razones que justifican esta decisión.</w:t>
      </w:r>
    </w:p>
    <w:p w14:paraId="1D776D1B" w14:textId="77777777" w:rsidR="00B307D2" w:rsidRPr="00B307D2" w:rsidRDefault="00B307D2" w:rsidP="00B307D2">
      <w:pPr>
        <w:spacing w:line="276" w:lineRule="auto"/>
        <w:jc w:val="both"/>
        <w:rPr>
          <w:rFonts w:ascii="Arial" w:eastAsia="Arial" w:hAnsi="Arial" w:cs="Arial"/>
          <w:kern w:val="2"/>
          <w:lang w:val="es-CO" w:eastAsia="en-US"/>
          <w14:ligatures w14:val="standardContextual"/>
        </w:rPr>
      </w:pPr>
    </w:p>
    <w:p w14:paraId="09A17210" w14:textId="77777777" w:rsidR="00B307D2" w:rsidRPr="00B307D2" w:rsidRDefault="00B307D2" w:rsidP="00B307D2">
      <w:pPr>
        <w:spacing w:before="100" w:beforeAutospacing="1" w:after="100" w:afterAutospacing="1"/>
        <w:jc w:val="both"/>
        <w:rPr>
          <w:rFonts w:ascii="Arial" w:eastAsia="Times New Roman" w:hAnsi="Arial" w:cs="Arial"/>
          <w:lang w:eastAsia="es-CO"/>
        </w:rPr>
      </w:pPr>
      <w:r w:rsidRPr="00B307D2">
        <w:rPr>
          <w:rFonts w:ascii="Arial" w:eastAsia="Times New Roman" w:hAnsi="Arial" w:cs="Arial"/>
          <w:b/>
          <w:bCs/>
          <w:lang w:eastAsia="es-CO"/>
        </w:rPr>
        <w:t>Inconsistencias Jurídicas y Constitucionales</w:t>
      </w:r>
    </w:p>
    <w:p w14:paraId="11A18DB5" w14:textId="77777777" w:rsidR="00B307D2" w:rsidRPr="00B307D2" w:rsidRDefault="00B307D2" w:rsidP="00B307D2">
      <w:pPr>
        <w:numPr>
          <w:ilvl w:val="0"/>
          <w:numId w:val="18"/>
        </w:numPr>
        <w:spacing w:before="100" w:beforeAutospacing="1" w:after="100" w:afterAutospacing="1"/>
        <w:jc w:val="both"/>
        <w:rPr>
          <w:rFonts w:ascii="Arial" w:eastAsia="Times New Roman" w:hAnsi="Arial" w:cs="Arial"/>
          <w:lang w:eastAsia="es-CO"/>
        </w:rPr>
      </w:pPr>
      <w:r w:rsidRPr="00B307D2">
        <w:rPr>
          <w:rFonts w:ascii="Arial" w:eastAsia="Times New Roman" w:hAnsi="Arial" w:cs="Arial"/>
          <w:b/>
          <w:bCs/>
          <w:lang w:eastAsia="es-CO"/>
        </w:rPr>
        <w:t>Violación del Principio de Reserva de Ley Estatutaria</w:t>
      </w:r>
    </w:p>
    <w:p w14:paraId="7DC60D93" w14:textId="77777777" w:rsidR="00B307D2" w:rsidRPr="00B307D2" w:rsidRDefault="00B307D2" w:rsidP="00B307D2">
      <w:pPr>
        <w:spacing w:before="100" w:beforeAutospacing="1" w:after="100" w:afterAutospacing="1"/>
        <w:ind w:left="720"/>
        <w:jc w:val="both"/>
        <w:rPr>
          <w:rFonts w:ascii="Arial" w:eastAsia="Times New Roman" w:hAnsi="Arial" w:cs="Arial"/>
          <w:lang w:eastAsia="es-CO"/>
        </w:rPr>
      </w:pPr>
      <w:r w:rsidRPr="00B307D2">
        <w:rPr>
          <w:rFonts w:ascii="Arial" w:eastAsia="Times New Roman" w:hAnsi="Arial" w:cs="Arial"/>
          <w:lang w:eastAsia="es-CO"/>
        </w:rPr>
        <w:t>El Proyecto pretende regular múltiples aspectos del derecho fundamental al acceso al progreso científico y tecnológico. Sin embargo, la conexidad con el derecho a la libre movilidad no cumple con los criterios exigidos por la Corte Constitucional para ser objeto de una ley estatutaria. En la sentencia C-600 de 2015, la Corte estableció que una ley estatutaria debe limitarse a regular el "núcleo esencial" de un derecho fundamental, sin abarcar cuestiones accesorias o meramente instrumentales. En este caso, el Proyecto combina materias que no son exclusivamente propias de una ley estatutaria, como la regulación de plataformas tecnológicas y la economía digital</w:t>
      </w:r>
      <w:r w:rsidRPr="00B307D2">
        <w:rPr>
          <w:rFonts w:ascii="Arial" w:eastAsia="Times New Roman" w:hAnsi="Arial" w:cs="Arial"/>
        </w:rPr>
        <w:t>.</w:t>
      </w:r>
    </w:p>
    <w:p w14:paraId="3203C2C7" w14:textId="77777777" w:rsidR="00B307D2" w:rsidRPr="00B307D2" w:rsidRDefault="00B307D2" w:rsidP="00B307D2">
      <w:pPr>
        <w:numPr>
          <w:ilvl w:val="0"/>
          <w:numId w:val="18"/>
        </w:numPr>
        <w:spacing w:before="100" w:beforeAutospacing="1" w:after="100" w:afterAutospacing="1"/>
        <w:jc w:val="both"/>
        <w:rPr>
          <w:rFonts w:ascii="Arial" w:eastAsia="Times New Roman" w:hAnsi="Arial" w:cs="Arial"/>
          <w:lang w:eastAsia="es-CO"/>
        </w:rPr>
      </w:pPr>
      <w:r w:rsidRPr="00B307D2">
        <w:rPr>
          <w:rFonts w:ascii="Arial" w:eastAsia="Times New Roman" w:hAnsi="Arial" w:cs="Arial"/>
          <w:b/>
          <w:bCs/>
          <w:lang w:eastAsia="es-CO"/>
        </w:rPr>
        <w:t>Incompatibilidad con el Bloque de Constitucionalidad</w:t>
      </w:r>
    </w:p>
    <w:p w14:paraId="5554283B" w14:textId="77777777" w:rsidR="00B307D2" w:rsidRPr="00B307D2" w:rsidRDefault="00B307D2" w:rsidP="00B307D2">
      <w:pPr>
        <w:spacing w:before="100" w:beforeAutospacing="1" w:after="100" w:afterAutospacing="1"/>
        <w:ind w:left="720"/>
        <w:jc w:val="both"/>
        <w:rPr>
          <w:rFonts w:ascii="Arial" w:eastAsia="Times New Roman" w:hAnsi="Arial" w:cs="Arial"/>
          <w:lang w:eastAsia="es-CO"/>
        </w:rPr>
      </w:pPr>
      <w:r w:rsidRPr="00B307D2">
        <w:rPr>
          <w:rFonts w:ascii="Arial" w:eastAsia="Times New Roman" w:hAnsi="Arial" w:cs="Arial"/>
          <w:lang w:eastAsia="es-CO"/>
        </w:rPr>
        <w:lastRenderedPageBreak/>
        <w:t>El Proyecto invoca tratados internacionales como el Pacto Internacional de Derechos Económicos, Sociales y Culturales (artículo 15) y la Declaración Universal de los Derechos Humanos (artículo 27). Sin embargo, su articulado no desarrolla de manera adecuada las obligaciones del Estado para garantizar estos derechos sin interferir en otros derechos fundamentales. Por ejemplo, la protección de la neutralidad de la red y la eliminación de barreras jurídicas podría afectar derechos como la privacidad (artículo 15 de la Constitución) y la libertad de empresa (artículo 333 de la Constitución).</w:t>
      </w:r>
    </w:p>
    <w:p w14:paraId="18983468" w14:textId="77777777" w:rsidR="00B307D2" w:rsidRPr="00B307D2" w:rsidRDefault="00B307D2" w:rsidP="00B307D2">
      <w:pPr>
        <w:numPr>
          <w:ilvl w:val="0"/>
          <w:numId w:val="18"/>
        </w:numPr>
        <w:spacing w:before="100" w:beforeAutospacing="1" w:after="100" w:afterAutospacing="1"/>
        <w:jc w:val="both"/>
        <w:rPr>
          <w:rFonts w:ascii="Arial" w:eastAsia="Times New Roman" w:hAnsi="Arial" w:cs="Arial"/>
          <w:lang w:eastAsia="es-CO"/>
        </w:rPr>
      </w:pPr>
      <w:r w:rsidRPr="00B307D2">
        <w:rPr>
          <w:rFonts w:ascii="Arial" w:eastAsia="Times New Roman" w:hAnsi="Arial" w:cs="Arial"/>
          <w:b/>
          <w:bCs/>
          <w:lang w:eastAsia="es-CO"/>
        </w:rPr>
        <w:t>Confusión Conceptual entre Derecho Fundamental y Derechos Económicos</w:t>
      </w:r>
    </w:p>
    <w:p w14:paraId="221F2C83" w14:textId="77777777" w:rsidR="00B307D2" w:rsidRPr="00B307D2" w:rsidRDefault="00B307D2" w:rsidP="00B307D2">
      <w:pPr>
        <w:spacing w:before="100" w:beforeAutospacing="1" w:after="100" w:afterAutospacing="1"/>
        <w:ind w:left="720"/>
        <w:jc w:val="both"/>
        <w:rPr>
          <w:rFonts w:ascii="Arial" w:eastAsia="Times New Roman" w:hAnsi="Arial" w:cs="Arial"/>
          <w:lang w:eastAsia="es-CO"/>
        </w:rPr>
      </w:pPr>
      <w:r w:rsidRPr="00B307D2">
        <w:rPr>
          <w:rFonts w:ascii="Arial" w:eastAsia="Times New Roman" w:hAnsi="Arial" w:cs="Arial"/>
          <w:lang w:eastAsia="es-CO"/>
        </w:rPr>
        <w:t>La propuesta mezcla el reconocimiento del progreso científico como un derecho fundamental con la promoción de actividades económicas. La conexidad planteada entre el derecho al acceso tecnológico y la libre movilidad resulta forzada y carece de un sustento constitucional claro, como lo ha exigido la Corte en casos similares (C-288 de 2012). Además, el artículo 7 del Proyecto sobre "beneficio del progreso tecnológico y la libre elección en movilidad" establece obligaciones ambiguas que podrían ser interpretadas como limitaciones al principio de igualdad en la prestación de servicios públicos esenciales.</w:t>
      </w:r>
    </w:p>
    <w:p w14:paraId="20FB4FF2" w14:textId="77777777" w:rsidR="00B307D2" w:rsidRPr="00B307D2" w:rsidRDefault="00B307D2" w:rsidP="00B307D2">
      <w:pPr>
        <w:jc w:val="both"/>
        <w:rPr>
          <w:rFonts w:ascii="Arial" w:eastAsia="Times New Roman" w:hAnsi="Arial" w:cs="Arial"/>
          <w:lang w:eastAsia="es-CO"/>
        </w:rPr>
      </w:pPr>
    </w:p>
    <w:p w14:paraId="6436ACC9" w14:textId="77777777" w:rsidR="00B307D2" w:rsidRPr="00B307D2" w:rsidRDefault="00B307D2" w:rsidP="00B307D2">
      <w:pPr>
        <w:jc w:val="both"/>
        <w:rPr>
          <w:rFonts w:ascii="Arial" w:eastAsia="Times New Roman" w:hAnsi="Arial" w:cs="Arial"/>
          <w:lang w:eastAsia="es-CO"/>
        </w:rPr>
      </w:pPr>
    </w:p>
    <w:p w14:paraId="208F8BDD" w14:textId="77777777" w:rsidR="00B307D2" w:rsidRPr="00B307D2" w:rsidRDefault="00B307D2" w:rsidP="00B307D2">
      <w:pPr>
        <w:jc w:val="both"/>
        <w:rPr>
          <w:rFonts w:ascii="Arial" w:eastAsia="Times New Roman" w:hAnsi="Arial" w:cs="Arial"/>
          <w:lang w:eastAsia="es-CO"/>
        </w:rPr>
      </w:pPr>
    </w:p>
    <w:p w14:paraId="3DF565E4" w14:textId="77777777" w:rsidR="00B307D2" w:rsidRPr="00B307D2" w:rsidRDefault="00B307D2" w:rsidP="00B307D2">
      <w:pPr>
        <w:spacing w:before="100" w:beforeAutospacing="1" w:after="100" w:afterAutospacing="1"/>
        <w:jc w:val="both"/>
        <w:rPr>
          <w:rFonts w:ascii="Arial" w:eastAsia="Times New Roman" w:hAnsi="Arial" w:cs="Arial"/>
          <w:lang w:eastAsia="es-CO"/>
        </w:rPr>
      </w:pPr>
      <w:r w:rsidRPr="00B307D2">
        <w:rPr>
          <w:rFonts w:ascii="Arial" w:eastAsia="Times New Roman" w:hAnsi="Arial" w:cs="Arial"/>
          <w:b/>
          <w:bCs/>
          <w:lang w:eastAsia="es-CO"/>
        </w:rPr>
        <w:t>Impactos Económicos y Sociales</w:t>
      </w:r>
    </w:p>
    <w:p w14:paraId="0A52B60C" w14:textId="77777777" w:rsidR="00B307D2" w:rsidRPr="00B307D2" w:rsidRDefault="00B307D2" w:rsidP="00B307D2">
      <w:pPr>
        <w:numPr>
          <w:ilvl w:val="0"/>
          <w:numId w:val="19"/>
        </w:numPr>
        <w:spacing w:before="100" w:beforeAutospacing="1" w:after="100" w:afterAutospacing="1"/>
        <w:jc w:val="both"/>
        <w:rPr>
          <w:rFonts w:ascii="Arial" w:eastAsia="Times New Roman" w:hAnsi="Arial" w:cs="Arial"/>
          <w:lang w:eastAsia="es-CO"/>
        </w:rPr>
      </w:pPr>
      <w:r w:rsidRPr="00B307D2">
        <w:rPr>
          <w:rFonts w:ascii="Arial" w:eastAsia="Times New Roman" w:hAnsi="Arial" w:cs="Arial"/>
          <w:b/>
          <w:bCs/>
          <w:lang w:eastAsia="es-CO"/>
        </w:rPr>
        <w:t>Posible Desregulación en el Sector Transporte</w:t>
      </w:r>
    </w:p>
    <w:p w14:paraId="221E9226" w14:textId="77777777" w:rsidR="00B307D2" w:rsidRPr="00B307D2" w:rsidRDefault="00B307D2" w:rsidP="00B307D2">
      <w:pPr>
        <w:spacing w:before="100" w:beforeAutospacing="1" w:after="100" w:afterAutospacing="1"/>
        <w:ind w:left="720"/>
        <w:jc w:val="both"/>
        <w:rPr>
          <w:rFonts w:ascii="Arial" w:eastAsia="Times New Roman" w:hAnsi="Arial" w:cs="Arial"/>
          <w:lang w:eastAsia="es-CO"/>
        </w:rPr>
      </w:pPr>
      <w:r w:rsidRPr="00B307D2">
        <w:rPr>
          <w:rFonts w:ascii="Arial" w:eastAsia="Times New Roman" w:hAnsi="Arial" w:cs="Arial"/>
          <w:lang w:eastAsia="es-CO"/>
        </w:rPr>
        <w:t>El artículo 25 del Proyecto, que establece una "estrategia nacional de desregulación" para vehículos de transporte público individual, podría generar distorsiones en el mercado al eliminar controles y regulaciones necesarias para garantizar la calidad del servicio y los derechos de los usuarios. En este contexto, se debe recordar que el transporte público es un servicio esencial cuyo acceso debe ser garantizado en condiciones de igualdad y calidad (artículo 365 de la Constitución).</w:t>
      </w:r>
    </w:p>
    <w:p w14:paraId="09D98098" w14:textId="77777777" w:rsidR="00B307D2" w:rsidRPr="00B307D2" w:rsidRDefault="00B307D2" w:rsidP="00B307D2">
      <w:pPr>
        <w:numPr>
          <w:ilvl w:val="0"/>
          <w:numId w:val="19"/>
        </w:numPr>
        <w:spacing w:before="100" w:beforeAutospacing="1" w:after="100" w:afterAutospacing="1"/>
        <w:jc w:val="both"/>
        <w:rPr>
          <w:rFonts w:ascii="Arial" w:eastAsia="Times New Roman" w:hAnsi="Arial" w:cs="Arial"/>
          <w:lang w:eastAsia="es-CO"/>
        </w:rPr>
      </w:pPr>
      <w:r w:rsidRPr="00B307D2">
        <w:rPr>
          <w:rFonts w:ascii="Arial" w:eastAsia="Times New Roman" w:hAnsi="Arial" w:cs="Arial"/>
          <w:b/>
          <w:bCs/>
          <w:lang w:eastAsia="es-CO"/>
        </w:rPr>
        <w:t>Brechas Digitales y Exclusión Social</w:t>
      </w:r>
    </w:p>
    <w:p w14:paraId="7826F0F3" w14:textId="77777777" w:rsidR="00B307D2" w:rsidRPr="00B307D2" w:rsidRDefault="00B307D2" w:rsidP="00B307D2">
      <w:pPr>
        <w:spacing w:before="100" w:beforeAutospacing="1" w:after="100" w:afterAutospacing="1"/>
        <w:ind w:left="720"/>
        <w:jc w:val="both"/>
        <w:rPr>
          <w:rFonts w:ascii="Arial" w:eastAsia="Times New Roman" w:hAnsi="Arial" w:cs="Arial"/>
          <w:lang w:eastAsia="es-CO"/>
        </w:rPr>
      </w:pPr>
      <w:r w:rsidRPr="00B307D2">
        <w:rPr>
          <w:rFonts w:ascii="Arial" w:eastAsia="Times New Roman" w:hAnsi="Arial" w:cs="Arial"/>
          <w:lang w:eastAsia="es-CO"/>
        </w:rPr>
        <w:t xml:space="preserve">El Proyecto subestima las barreras estructurales que enfrentan los sectores más vulnerables de la población para acceder a las tecnologías. De acuerdo con cifras del DANE, en 2023 solo el 14% de los hogares rurales tenían acceso a internet, lo que evidencia una grave brecha digital. Implementar una </w:t>
      </w:r>
      <w:r w:rsidRPr="00B307D2">
        <w:rPr>
          <w:rFonts w:ascii="Arial" w:eastAsia="Times New Roman" w:hAnsi="Arial" w:cs="Arial"/>
          <w:lang w:eastAsia="es-CO"/>
        </w:rPr>
        <w:lastRenderedPageBreak/>
        <w:t>regulación que presuponga acceso equitativo a las tecnologías sin abordar primero estas desigualdades estructurales podría profundizar la exclusión social y territorial.</w:t>
      </w:r>
    </w:p>
    <w:p w14:paraId="08F6A127" w14:textId="77777777" w:rsidR="00B307D2" w:rsidRPr="00B307D2" w:rsidRDefault="00B307D2" w:rsidP="00B307D2">
      <w:pPr>
        <w:numPr>
          <w:ilvl w:val="0"/>
          <w:numId w:val="19"/>
        </w:numPr>
        <w:spacing w:before="100" w:beforeAutospacing="1" w:after="100" w:afterAutospacing="1"/>
        <w:jc w:val="both"/>
        <w:rPr>
          <w:rFonts w:ascii="Arial" w:eastAsia="Times New Roman" w:hAnsi="Arial" w:cs="Arial"/>
          <w:lang w:eastAsia="es-CO"/>
        </w:rPr>
      </w:pPr>
      <w:r w:rsidRPr="00B307D2">
        <w:rPr>
          <w:rFonts w:ascii="Arial" w:eastAsia="Times New Roman" w:hAnsi="Arial" w:cs="Arial"/>
          <w:b/>
          <w:bCs/>
          <w:lang w:eastAsia="es-CO"/>
        </w:rPr>
        <w:t>Impacto en Pequeños Operadores y Competencia Leal</w:t>
      </w:r>
    </w:p>
    <w:p w14:paraId="789106D8" w14:textId="77777777" w:rsidR="00B307D2" w:rsidRPr="00B307D2" w:rsidRDefault="00B307D2" w:rsidP="00B307D2">
      <w:pPr>
        <w:spacing w:before="100" w:beforeAutospacing="1" w:after="100" w:afterAutospacing="1"/>
        <w:ind w:left="720"/>
        <w:jc w:val="both"/>
        <w:rPr>
          <w:rFonts w:ascii="Arial" w:eastAsia="Times New Roman" w:hAnsi="Arial" w:cs="Arial"/>
          <w:lang w:eastAsia="es-CO"/>
        </w:rPr>
      </w:pPr>
      <w:r w:rsidRPr="00B307D2">
        <w:rPr>
          <w:rFonts w:ascii="Arial" w:eastAsia="Times New Roman" w:hAnsi="Arial" w:cs="Arial"/>
          <w:lang w:eastAsia="es-CO"/>
        </w:rPr>
        <w:t>La promoción de plataformas tecnológicas y economía colaborativa, sin un marco regulatorio claro, podría generar prácticas de competencia desleal en detrimento de pequeños operadores tradicionales, como taxistas y empresas locales. Esto también podría vulnerar el derecho al trabajo digno (artículo 25 de la Constitución).</w:t>
      </w:r>
    </w:p>
    <w:p w14:paraId="6EC076B7" w14:textId="77777777" w:rsidR="00B307D2" w:rsidRPr="00B307D2" w:rsidRDefault="00B307D2" w:rsidP="00B307D2">
      <w:pPr>
        <w:jc w:val="both"/>
        <w:rPr>
          <w:rFonts w:ascii="Arial" w:eastAsia="Times New Roman" w:hAnsi="Arial" w:cs="Arial"/>
          <w:lang w:eastAsia="es-CO"/>
        </w:rPr>
      </w:pPr>
    </w:p>
    <w:p w14:paraId="68973A32" w14:textId="77777777" w:rsidR="00B307D2" w:rsidRPr="00B307D2" w:rsidRDefault="00B307D2" w:rsidP="00B307D2">
      <w:pPr>
        <w:spacing w:before="100" w:beforeAutospacing="1" w:after="100" w:afterAutospacing="1"/>
        <w:jc w:val="both"/>
        <w:rPr>
          <w:rFonts w:ascii="Arial" w:eastAsia="Times New Roman" w:hAnsi="Arial" w:cs="Arial"/>
          <w:lang w:eastAsia="es-CO"/>
        </w:rPr>
      </w:pPr>
      <w:r w:rsidRPr="00B307D2">
        <w:rPr>
          <w:rFonts w:ascii="Arial" w:eastAsia="Times New Roman" w:hAnsi="Arial" w:cs="Arial"/>
          <w:b/>
          <w:bCs/>
          <w:lang w:eastAsia="es-CO"/>
        </w:rPr>
        <w:t>Propuestas Alternativas</w:t>
      </w:r>
    </w:p>
    <w:p w14:paraId="0CA089C7" w14:textId="77777777" w:rsidR="00B307D2" w:rsidRPr="00B307D2" w:rsidRDefault="00B307D2" w:rsidP="00B307D2">
      <w:pPr>
        <w:numPr>
          <w:ilvl w:val="0"/>
          <w:numId w:val="20"/>
        </w:numPr>
        <w:spacing w:before="100" w:beforeAutospacing="1" w:after="100" w:afterAutospacing="1"/>
        <w:jc w:val="both"/>
        <w:rPr>
          <w:rFonts w:ascii="Arial" w:eastAsia="Times New Roman" w:hAnsi="Arial" w:cs="Arial"/>
          <w:lang w:eastAsia="es-CO"/>
        </w:rPr>
      </w:pPr>
      <w:r w:rsidRPr="00B307D2">
        <w:rPr>
          <w:rFonts w:ascii="Arial" w:eastAsia="Times New Roman" w:hAnsi="Arial" w:cs="Arial"/>
          <w:b/>
          <w:bCs/>
          <w:lang w:eastAsia="es-CO"/>
        </w:rPr>
        <w:t>Fortalecimiento del Marco Legal Existente</w:t>
      </w:r>
    </w:p>
    <w:p w14:paraId="05D24334" w14:textId="77777777" w:rsidR="00B307D2" w:rsidRPr="00B307D2" w:rsidRDefault="00B307D2" w:rsidP="00B307D2">
      <w:pPr>
        <w:spacing w:before="100" w:beforeAutospacing="1" w:after="100" w:afterAutospacing="1"/>
        <w:ind w:left="720"/>
        <w:jc w:val="both"/>
        <w:rPr>
          <w:rFonts w:ascii="Arial" w:eastAsia="Times New Roman" w:hAnsi="Arial" w:cs="Arial"/>
          <w:lang w:eastAsia="es-CO"/>
        </w:rPr>
      </w:pPr>
      <w:r w:rsidRPr="00B307D2">
        <w:rPr>
          <w:rFonts w:ascii="Arial" w:eastAsia="Times New Roman" w:hAnsi="Arial" w:cs="Arial"/>
          <w:lang w:eastAsia="es-CO"/>
        </w:rPr>
        <w:t>En lugar de aprobar una nueva ley estatutaria, se debe fortalecer el marco normativo existente sobre ciencia, tecnología e innovación, como la Ley 1286 de 2009. Este marco ya regula aspectos clave del desarrollo científico y su conexión con el desarrollo económico y social.</w:t>
      </w:r>
    </w:p>
    <w:p w14:paraId="6E68E64C" w14:textId="77777777" w:rsidR="00B307D2" w:rsidRPr="00B307D2" w:rsidRDefault="00B307D2" w:rsidP="00B307D2">
      <w:pPr>
        <w:numPr>
          <w:ilvl w:val="0"/>
          <w:numId w:val="20"/>
        </w:numPr>
        <w:spacing w:before="100" w:beforeAutospacing="1" w:after="100" w:afterAutospacing="1"/>
        <w:jc w:val="both"/>
        <w:rPr>
          <w:rFonts w:ascii="Arial" w:eastAsia="Times New Roman" w:hAnsi="Arial" w:cs="Arial"/>
          <w:lang w:eastAsia="es-CO"/>
        </w:rPr>
      </w:pPr>
      <w:r w:rsidRPr="00B307D2">
        <w:rPr>
          <w:rFonts w:ascii="Arial" w:eastAsia="Times New Roman" w:hAnsi="Arial" w:cs="Arial"/>
          <w:b/>
          <w:bCs/>
          <w:lang w:eastAsia="es-CO"/>
        </w:rPr>
        <w:t>Políticas Diferenciales para Reducir la Brecha Digital</w:t>
      </w:r>
    </w:p>
    <w:p w14:paraId="4957EB98" w14:textId="77777777" w:rsidR="00B307D2" w:rsidRPr="00B307D2" w:rsidRDefault="00B307D2" w:rsidP="00B307D2">
      <w:pPr>
        <w:spacing w:before="100" w:beforeAutospacing="1" w:after="100" w:afterAutospacing="1"/>
        <w:ind w:left="720"/>
        <w:jc w:val="both"/>
        <w:rPr>
          <w:rFonts w:ascii="Arial" w:eastAsia="Times New Roman" w:hAnsi="Arial" w:cs="Arial"/>
          <w:lang w:eastAsia="es-CO"/>
        </w:rPr>
      </w:pPr>
      <w:r w:rsidRPr="00B307D2">
        <w:rPr>
          <w:rFonts w:ascii="Arial" w:eastAsia="Times New Roman" w:hAnsi="Arial" w:cs="Arial"/>
          <w:lang w:eastAsia="es-CO"/>
        </w:rPr>
        <w:t>Antes de regular el acceso al progreso tecnológico como derecho fundamental, el Estado debe implementar políticas que reduzcan las barreras de acceso para poblaciones vulnerables, garantizando infraestructura y conectividad en zonas rurales y marginadas.</w:t>
      </w:r>
    </w:p>
    <w:p w14:paraId="4CF5F4F8" w14:textId="77777777" w:rsidR="00B307D2" w:rsidRPr="00B307D2" w:rsidRDefault="00B307D2" w:rsidP="00B307D2">
      <w:pPr>
        <w:numPr>
          <w:ilvl w:val="0"/>
          <w:numId w:val="20"/>
        </w:numPr>
        <w:spacing w:before="100" w:beforeAutospacing="1" w:after="100" w:afterAutospacing="1"/>
        <w:jc w:val="both"/>
        <w:rPr>
          <w:rFonts w:ascii="Arial" w:eastAsia="Times New Roman" w:hAnsi="Arial" w:cs="Arial"/>
          <w:lang w:eastAsia="es-CO"/>
        </w:rPr>
      </w:pPr>
      <w:r w:rsidRPr="00B307D2">
        <w:rPr>
          <w:rFonts w:ascii="Arial" w:eastAsia="Times New Roman" w:hAnsi="Arial" w:cs="Arial"/>
          <w:b/>
          <w:bCs/>
          <w:lang w:eastAsia="es-CO"/>
        </w:rPr>
        <w:t>Revisión Integral del Sistema de Transporte</w:t>
      </w:r>
    </w:p>
    <w:p w14:paraId="12C3A444" w14:textId="77777777" w:rsidR="00B307D2" w:rsidRPr="00B307D2" w:rsidRDefault="00B307D2" w:rsidP="00B307D2">
      <w:pPr>
        <w:spacing w:before="100" w:beforeAutospacing="1" w:after="100" w:afterAutospacing="1"/>
        <w:ind w:left="720"/>
        <w:jc w:val="both"/>
        <w:rPr>
          <w:rFonts w:ascii="Arial" w:eastAsia="Times New Roman" w:hAnsi="Arial" w:cs="Arial"/>
          <w:lang w:eastAsia="es-CO"/>
        </w:rPr>
      </w:pPr>
      <w:r w:rsidRPr="00B307D2">
        <w:rPr>
          <w:rFonts w:ascii="Arial" w:eastAsia="Times New Roman" w:hAnsi="Arial" w:cs="Arial"/>
          <w:lang w:eastAsia="es-CO"/>
        </w:rPr>
        <w:t>Cualquier modificación normativa relacionada con la libre movilidad debe considerar los principios de igualdad, seguridad y sostenibilidad ambiental. Es necesario un enfoque holístico que articule tecnología, regulación del transporte público y derechos laborales.</w:t>
      </w:r>
    </w:p>
    <w:p w14:paraId="768173D4" w14:textId="77777777" w:rsidR="00B307D2" w:rsidRPr="00B307D2" w:rsidRDefault="00B307D2" w:rsidP="00B307D2">
      <w:pPr>
        <w:spacing w:before="100" w:beforeAutospacing="1" w:after="100" w:afterAutospacing="1"/>
        <w:ind w:left="720"/>
        <w:jc w:val="both"/>
        <w:rPr>
          <w:rFonts w:ascii="Arial" w:eastAsia="Times New Roman" w:hAnsi="Arial" w:cs="Arial"/>
          <w:lang w:eastAsia="es-CO"/>
        </w:rPr>
      </w:pPr>
    </w:p>
    <w:p w14:paraId="5F4595E2" w14:textId="77777777" w:rsidR="00B307D2" w:rsidRPr="00B307D2" w:rsidRDefault="00B307D2" w:rsidP="00B307D2">
      <w:pPr>
        <w:spacing w:before="100" w:beforeAutospacing="1" w:after="100" w:afterAutospacing="1"/>
        <w:jc w:val="both"/>
        <w:outlineLvl w:val="2"/>
        <w:rPr>
          <w:rFonts w:ascii="Arial" w:eastAsia="Times New Roman" w:hAnsi="Arial" w:cs="Arial"/>
          <w:b/>
          <w:bCs/>
          <w:lang w:eastAsia="es-CO"/>
        </w:rPr>
      </w:pPr>
      <w:r w:rsidRPr="00B307D2">
        <w:rPr>
          <w:rFonts w:ascii="Arial" w:eastAsia="Times New Roman" w:hAnsi="Arial" w:cs="Arial"/>
          <w:b/>
          <w:bCs/>
          <w:lang w:eastAsia="es-CO"/>
        </w:rPr>
        <w:t>Competencia del Congreso de la República</w:t>
      </w:r>
    </w:p>
    <w:p w14:paraId="0B93E156" w14:textId="77777777" w:rsidR="00B307D2" w:rsidRPr="00B307D2" w:rsidRDefault="00B307D2" w:rsidP="00B307D2">
      <w:pPr>
        <w:spacing w:before="100" w:beforeAutospacing="1" w:after="100" w:afterAutospacing="1"/>
        <w:jc w:val="both"/>
        <w:rPr>
          <w:rFonts w:ascii="Arial" w:eastAsia="Times New Roman" w:hAnsi="Arial" w:cs="Arial"/>
          <w:lang w:eastAsia="es-CO"/>
        </w:rPr>
      </w:pPr>
      <w:r w:rsidRPr="00B307D2">
        <w:rPr>
          <w:rFonts w:ascii="Arial" w:eastAsia="Times New Roman" w:hAnsi="Arial" w:cs="Arial"/>
          <w:lang w:eastAsia="es-CO"/>
        </w:rPr>
        <w:t xml:space="preserve">El Congreso tiene la competencia para tramitar leyes estatutarias cuando estas buscan regular derechos fundamentales, en virtud del </w:t>
      </w:r>
      <w:r w:rsidRPr="00B307D2">
        <w:rPr>
          <w:rFonts w:ascii="Arial" w:eastAsia="Times New Roman" w:hAnsi="Arial" w:cs="Arial"/>
          <w:b/>
          <w:bCs/>
          <w:lang w:eastAsia="es-CO"/>
        </w:rPr>
        <w:t>artículo 152</w:t>
      </w:r>
      <w:r w:rsidRPr="00B307D2">
        <w:rPr>
          <w:rFonts w:ascii="Arial" w:eastAsia="Times New Roman" w:hAnsi="Arial" w:cs="Arial"/>
          <w:lang w:eastAsia="es-CO"/>
        </w:rPr>
        <w:t xml:space="preserve"> de la Constitución Política. Estas leyes deben regular aspectos como:</w:t>
      </w:r>
    </w:p>
    <w:p w14:paraId="433858BD" w14:textId="77777777" w:rsidR="00B307D2" w:rsidRPr="00B307D2" w:rsidRDefault="00B307D2" w:rsidP="00B307D2">
      <w:pPr>
        <w:numPr>
          <w:ilvl w:val="0"/>
          <w:numId w:val="21"/>
        </w:numPr>
        <w:spacing w:before="100" w:beforeAutospacing="1" w:after="100" w:afterAutospacing="1"/>
        <w:jc w:val="both"/>
        <w:rPr>
          <w:rFonts w:ascii="Arial" w:eastAsia="Times New Roman" w:hAnsi="Arial" w:cs="Arial"/>
          <w:lang w:eastAsia="es-CO"/>
        </w:rPr>
      </w:pPr>
      <w:r w:rsidRPr="00B307D2">
        <w:rPr>
          <w:rFonts w:ascii="Arial" w:eastAsia="Times New Roman" w:hAnsi="Arial" w:cs="Arial"/>
          <w:lang w:eastAsia="es-CO"/>
        </w:rPr>
        <w:lastRenderedPageBreak/>
        <w:t>Los elementos esenciales del derecho fundamental.</w:t>
      </w:r>
    </w:p>
    <w:p w14:paraId="63B122D9" w14:textId="77777777" w:rsidR="00B307D2" w:rsidRPr="00B307D2" w:rsidRDefault="00B307D2" w:rsidP="00B307D2">
      <w:pPr>
        <w:numPr>
          <w:ilvl w:val="0"/>
          <w:numId w:val="21"/>
        </w:numPr>
        <w:spacing w:before="100" w:beforeAutospacing="1" w:after="100" w:afterAutospacing="1"/>
        <w:jc w:val="both"/>
        <w:rPr>
          <w:rFonts w:ascii="Arial" w:eastAsia="Times New Roman" w:hAnsi="Arial" w:cs="Arial"/>
          <w:lang w:eastAsia="es-CO"/>
        </w:rPr>
      </w:pPr>
      <w:r w:rsidRPr="00B307D2">
        <w:rPr>
          <w:rFonts w:ascii="Arial" w:eastAsia="Times New Roman" w:hAnsi="Arial" w:cs="Arial"/>
          <w:lang w:eastAsia="es-CO"/>
        </w:rPr>
        <w:t>Los mecanismos de garantía y protección del derecho.</w:t>
      </w:r>
    </w:p>
    <w:p w14:paraId="1D92D705" w14:textId="77777777" w:rsidR="00B307D2" w:rsidRPr="00B307D2" w:rsidRDefault="00B307D2" w:rsidP="00B307D2">
      <w:pPr>
        <w:numPr>
          <w:ilvl w:val="0"/>
          <w:numId w:val="22"/>
        </w:numPr>
        <w:spacing w:before="100" w:beforeAutospacing="1" w:after="100" w:afterAutospacing="1"/>
        <w:jc w:val="both"/>
        <w:rPr>
          <w:rFonts w:ascii="Arial" w:eastAsia="Times New Roman" w:hAnsi="Arial" w:cs="Arial"/>
          <w:lang w:eastAsia="es-CO"/>
        </w:rPr>
      </w:pPr>
      <w:r w:rsidRPr="00B307D2">
        <w:rPr>
          <w:rFonts w:ascii="Arial" w:eastAsia="Times New Roman" w:hAnsi="Arial" w:cs="Arial"/>
          <w:b/>
          <w:bCs/>
          <w:lang w:eastAsia="es-CO"/>
        </w:rPr>
        <w:t>Problemática:</w:t>
      </w:r>
      <w:r w:rsidRPr="00B307D2">
        <w:rPr>
          <w:rFonts w:ascii="Arial" w:eastAsia="Times New Roman" w:hAnsi="Arial" w:cs="Arial"/>
          <w:lang w:eastAsia="es-CO"/>
        </w:rPr>
        <w:t xml:space="preserve"> El Proyecto va más allá de regular los aspectos esenciales de un derecho fundamental. Por ejemplo, incluye regulaciones sobre plataformas tecnológicas y desregulación del transporte, temas que son más operativos y administrativos que de rango estatutario. Estos asuntos no tienen una conexidad clara con la regulación del núcleo esencial de un derecho fundamental</w:t>
      </w:r>
      <w:r w:rsidRPr="00B307D2">
        <w:rPr>
          <w:rFonts w:ascii="Arial" w:eastAsia="Times New Roman" w:hAnsi="Arial" w:cs="Arial"/>
        </w:rPr>
        <w:t>.</w:t>
      </w:r>
    </w:p>
    <w:p w14:paraId="254F9BC8" w14:textId="77777777" w:rsidR="00B307D2" w:rsidRPr="00B307D2" w:rsidRDefault="00B307D2" w:rsidP="00B307D2">
      <w:pPr>
        <w:jc w:val="both"/>
        <w:rPr>
          <w:rFonts w:ascii="Arial" w:eastAsia="Times New Roman" w:hAnsi="Arial" w:cs="Arial"/>
          <w:lang w:eastAsia="es-CO"/>
        </w:rPr>
      </w:pPr>
    </w:p>
    <w:p w14:paraId="7A180DA3" w14:textId="77777777" w:rsidR="00B307D2" w:rsidRPr="00B307D2" w:rsidRDefault="00B307D2" w:rsidP="00B307D2">
      <w:pPr>
        <w:spacing w:before="100" w:beforeAutospacing="1" w:after="100" w:afterAutospacing="1"/>
        <w:jc w:val="both"/>
        <w:outlineLvl w:val="2"/>
        <w:rPr>
          <w:rFonts w:ascii="Arial" w:eastAsia="Times New Roman" w:hAnsi="Arial" w:cs="Arial"/>
          <w:b/>
          <w:bCs/>
          <w:lang w:eastAsia="es-CO"/>
        </w:rPr>
      </w:pPr>
      <w:r w:rsidRPr="00B307D2">
        <w:rPr>
          <w:rFonts w:ascii="Arial" w:eastAsia="Times New Roman" w:hAnsi="Arial" w:cs="Arial"/>
          <w:b/>
          <w:bCs/>
          <w:lang w:eastAsia="es-CO"/>
        </w:rPr>
        <w:t>Competencia del Ministerio de Transporte</w:t>
      </w:r>
    </w:p>
    <w:p w14:paraId="07D01915" w14:textId="77777777" w:rsidR="00B307D2" w:rsidRPr="00B307D2" w:rsidRDefault="00B307D2" w:rsidP="00B307D2">
      <w:pPr>
        <w:spacing w:before="100" w:beforeAutospacing="1" w:after="100" w:afterAutospacing="1"/>
        <w:jc w:val="both"/>
        <w:rPr>
          <w:rFonts w:ascii="Arial" w:eastAsia="Times New Roman" w:hAnsi="Arial" w:cs="Arial"/>
          <w:lang w:eastAsia="es-CO"/>
        </w:rPr>
      </w:pPr>
      <w:r w:rsidRPr="00B307D2">
        <w:rPr>
          <w:rFonts w:ascii="Arial" w:eastAsia="Times New Roman" w:hAnsi="Arial" w:cs="Arial"/>
          <w:lang w:eastAsia="es-CO"/>
        </w:rPr>
        <w:t>El Ministerio de Transporte, como parte del Ejecutivo, es el ente rector de las políticas públicas en materia de movilidad y transporte, de conformidad con lo dispuesto en:</w:t>
      </w:r>
    </w:p>
    <w:p w14:paraId="555EFFA3" w14:textId="77777777" w:rsidR="00B307D2" w:rsidRPr="00B307D2" w:rsidRDefault="00B307D2" w:rsidP="00B307D2">
      <w:pPr>
        <w:numPr>
          <w:ilvl w:val="0"/>
          <w:numId w:val="23"/>
        </w:numPr>
        <w:spacing w:before="100" w:beforeAutospacing="1" w:after="100" w:afterAutospacing="1"/>
        <w:jc w:val="both"/>
        <w:rPr>
          <w:rFonts w:ascii="Arial" w:eastAsia="Times New Roman" w:hAnsi="Arial" w:cs="Arial"/>
          <w:lang w:eastAsia="es-CO"/>
        </w:rPr>
      </w:pPr>
      <w:r w:rsidRPr="00B307D2">
        <w:rPr>
          <w:rFonts w:ascii="Arial" w:eastAsia="Times New Roman" w:hAnsi="Arial" w:cs="Arial"/>
          <w:b/>
          <w:bCs/>
          <w:lang w:eastAsia="es-CO"/>
        </w:rPr>
        <w:t>Ley 336 de 1996</w:t>
      </w:r>
      <w:r w:rsidRPr="00B307D2">
        <w:rPr>
          <w:rFonts w:ascii="Arial" w:eastAsia="Times New Roman" w:hAnsi="Arial" w:cs="Arial"/>
          <w:lang w:eastAsia="es-CO"/>
        </w:rPr>
        <w:t>: Régimen de Transporte, que establece las competencias para regular el transporte público y privado.</w:t>
      </w:r>
    </w:p>
    <w:p w14:paraId="3881F538" w14:textId="77777777" w:rsidR="00B307D2" w:rsidRPr="00B307D2" w:rsidRDefault="00B307D2" w:rsidP="00B307D2">
      <w:pPr>
        <w:numPr>
          <w:ilvl w:val="0"/>
          <w:numId w:val="23"/>
        </w:numPr>
        <w:spacing w:before="100" w:beforeAutospacing="1" w:after="100" w:afterAutospacing="1"/>
        <w:jc w:val="both"/>
        <w:rPr>
          <w:rFonts w:ascii="Arial" w:eastAsia="Times New Roman" w:hAnsi="Arial" w:cs="Arial"/>
          <w:lang w:eastAsia="es-CO"/>
        </w:rPr>
      </w:pPr>
      <w:r w:rsidRPr="00B307D2">
        <w:rPr>
          <w:rFonts w:ascii="Arial" w:eastAsia="Times New Roman" w:hAnsi="Arial" w:cs="Arial"/>
          <w:b/>
          <w:bCs/>
          <w:lang w:eastAsia="es-CO"/>
        </w:rPr>
        <w:t>Decreto 087 de 2011</w:t>
      </w:r>
      <w:r w:rsidRPr="00B307D2">
        <w:rPr>
          <w:rFonts w:ascii="Arial" w:eastAsia="Times New Roman" w:hAnsi="Arial" w:cs="Arial"/>
          <w:lang w:eastAsia="es-CO"/>
        </w:rPr>
        <w:t>: Por el cual se organiza el Ministerio de Transporte y se le otorgan funciones específicas para garantizar la regulación técnica y operativa del sector transporte.</w:t>
      </w:r>
    </w:p>
    <w:p w14:paraId="6CA9397C" w14:textId="77777777" w:rsidR="00B307D2" w:rsidRPr="00B307D2" w:rsidRDefault="00B307D2" w:rsidP="00B307D2">
      <w:pPr>
        <w:spacing w:before="100" w:beforeAutospacing="1" w:after="100" w:afterAutospacing="1"/>
        <w:jc w:val="both"/>
        <w:rPr>
          <w:rFonts w:ascii="Arial" w:eastAsia="Times New Roman" w:hAnsi="Arial" w:cs="Arial"/>
          <w:lang w:eastAsia="es-CO"/>
        </w:rPr>
      </w:pPr>
      <w:r w:rsidRPr="00B307D2">
        <w:rPr>
          <w:rFonts w:ascii="Arial" w:eastAsia="Times New Roman" w:hAnsi="Arial" w:cs="Arial"/>
          <w:lang w:eastAsia="es-CO"/>
        </w:rPr>
        <w:t>En este sentido, el Ministerio de Transporte es competente para emitir regulaciones relacionadas con:</w:t>
      </w:r>
    </w:p>
    <w:p w14:paraId="330F4993" w14:textId="77777777" w:rsidR="00B307D2" w:rsidRPr="00B307D2" w:rsidRDefault="00B307D2" w:rsidP="00B307D2">
      <w:pPr>
        <w:numPr>
          <w:ilvl w:val="0"/>
          <w:numId w:val="24"/>
        </w:numPr>
        <w:spacing w:before="100" w:beforeAutospacing="1" w:after="100" w:afterAutospacing="1"/>
        <w:jc w:val="both"/>
        <w:rPr>
          <w:rFonts w:ascii="Arial" w:eastAsia="Times New Roman" w:hAnsi="Arial" w:cs="Arial"/>
          <w:lang w:eastAsia="es-CO"/>
        </w:rPr>
      </w:pPr>
      <w:r w:rsidRPr="00B307D2">
        <w:rPr>
          <w:rFonts w:ascii="Arial" w:eastAsia="Times New Roman" w:hAnsi="Arial" w:cs="Arial"/>
          <w:lang w:eastAsia="es-CO"/>
        </w:rPr>
        <w:t>Los aspectos operativos y administrativos del transporte.</w:t>
      </w:r>
    </w:p>
    <w:p w14:paraId="6C866C3C" w14:textId="77777777" w:rsidR="00B307D2" w:rsidRPr="00B307D2" w:rsidRDefault="00B307D2" w:rsidP="00B307D2">
      <w:pPr>
        <w:numPr>
          <w:ilvl w:val="0"/>
          <w:numId w:val="24"/>
        </w:numPr>
        <w:spacing w:before="100" w:beforeAutospacing="1" w:after="100" w:afterAutospacing="1"/>
        <w:jc w:val="both"/>
        <w:rPr>
          <w:rFonts w:ascii="Arial" w:eastAsia="Times New Roman" w:hAnsi="Arial" w:cs="Arial"/>
          <w:lang w:eastAsia="es-CO"/>
        </w:rPr>
      </w:pPr>
      <w:r w:rsidRPr="00B307D2">
        <w:rPr>
          <w:rFonts w:ascii="Arial" w:eastAsia="Times New Roman" w:hAnsi="Arial" w:cs="Arial"/>
          <w:lang w:eastAsia="es-CO"/>
        </w:rPr>
        <w:t>La promoción e implementación de tecnologías en la movilidad.</w:t>
      </w:r>
    </w:p>
    <w:p w14:paraId="7BF31FD9" w14:textId="77777777" w:rsidR="00B307D2" w:rsidRPr="00B307D2" w:rsidRDefault="00B307D2" w:rsidP="00B307D2">
      <w:pPr>
        <w:numPr>
          <w:ilvl w:val="0"/>
          <w:numId w:val="24"/>
        </w:numPr>
        <w:spacing w:before="100" w:beforeAutospacing="1" w:after="100" w:afterAutospacing="1"/>
        <w:jc w:val="both"/>
        <w:rPr>
          <w:rFonts w:ascii="Arial" w:eastAsia="Times New Roman" w:hAnsi="Arial" w:cs="Arial"/>
          <w:lang w:eastAsia="es-CO"/>
        </w:rPr>
      </w:pPr>
      <w:r w:rsidRPr="00B307D2">
        <w:rPr>
          <w:rFonts w:ascii="Arial" w:eastAsia="Times New Roman" w:hAnsi="Arial" w:cs="Arial"/>
          <w:lang w:eastAsia="es-CO"/>
        </w:rPr>
        <w:t>El diseño de políticas públicas para mejorar el acceso a la movilidad.</w:t>
      </w:r>
    </w:p>
    <w:p w14:paraId="3919B0F5" w14:textId="77777777" w:rsidR="00B307D2" w:rsidRPr="00B307D2" w:rsidRDefault="00B307D2" w:rsidP="00B307D2">
      <w:pPr>
        <w:spacing w:before="100" w:beforeAutospacing="1" w:after="100" w:afterAutospacing="1"/>
        <w:jc w:val="both"/>
        <w:rPr>
          <w:rFonts w:ascii="Arial" w:eastAsia="Times New Roman" w:hAnsi="Arial" w:cs="Arial"/>
          <w:lang w:eastAsia="es-CO"/>
        </w:rPr>
      </w:pPr>
      <w:r w:rsidRPr="00B307D2">
        <w:rPr>
          <w:rFonts w:ascii="Arial" w:eastAsia="Times New Roman" w:hAnsi="Arial" w:cs="Arial"/>
          <w:b/>
          <w:bCs/>
          <w:lang w:eastAsia="es-CO"/>
        </w:rPr>
        <w:t>Ejemplo:</w:t>
      </w:r>
      <w:r w:rsidRPr="00B307D2">
        <w:rPr>
          <w:rFonts w:ascii="Arial" w:eastAsia="Times New Roman" w:hAnsi="Arial" w:cs="Arial"/>
          <w:lang w:eastAsia="es-CO"/>
        </w:rPr>
        <w:t xml:space="preserve"> La estrategia de desregulación del transporte individual (artículo 25 del Proyecto) y las obligaciones de plataformas tecnológicas (artículos 22 y 23) son cuestiones eminentemente operativas que podrían ser mejor reguladas mediante normas técnicas expedidas por el Ministerio de Transporte, en lugar de leyes estatutarias o incluso leyes ordinarias.</w:t>
      </w:r>
    </w:p>
    <w:p w14:paraId="29A67ADA" w14:textId="08A049C1" w:rsidR="00B307D2" w:rsidRDefault="00B307D2" w:rsidP="00B307D2">
      <w:pPr>
        <w:spacing w:before="100" w:beforeAutospacing="1" w:after="100" w:afterAutospacing="1"/>
        <w:jc w:val="both"/>
        <w:outlineLvl w:val="2"/>
        <w:rPr>
          <w:rFonts w:ascii="Arial" w:eastAsia="Times New Roman" w:hAnsi="Arial" w:cs="Arial"/>
          <w:lang w:eastAsia="es-CO"/>
        </w:rPr>
      </w:pPr>
    </w:p>
    <w:p w14:paraId="083A3514" w14:textId="3C12EA14" w:rsidR="00B307D2" w:rsidRDefault="00B307D2" w:rsidP="00B307D2">
      <w:pPr>
        <w:spacing w:before="100" w:beforeAutospacing="1" w:after="100" w:afterAutospacing="1"/>
        <w:jc w:val="both"/>
        <w:outlineLvl w:val="2"/>
        <w:rPr>
          <w:rFonts w:ascii="Arial" w:eastAsia="Times New Roman" w:hAnsi="Arial" w:cs="Arial"/>
          <w:lang w:eastAsia="es-CO"/>
        </w:rPr>
      </w:pPr>
    </w:p>
    <w:p w14:paraId="3CAAC261" w14:textId="7DEFD728" w:rsidR="00B307D2" w:rsidRDefault="00B307D2" w:rsidP="00B307D2">
      <w:pPr>
        <w:spacing w:before="100" w:beforeAutospacing="1" w:after="100" w:afterAutospacing="1"/>
        <w:jc w:val="both"/>
        <w:outlineLvl w:val="2"/>
        <w:rPr>
          <w:rFonts w:ascii="Arial" w:eastAsia="Times New Roman" w:hAnsi="Arial" w:cs="Arial"/>
          <w:lang w:eastAsia="es-CO"/>
        </w:rPr>
      </w:pPr>
    </w:p>
    <w:p w14:paraId="751E0427" w14:textId="1B92384B" w:rsidR="00B307D2" w:rsidRDefault="00B307D2" w:rsidP="00B307D2">
      <w:pPr>
        <w:spacing w:before="100" w:beforeAutospacing="1" w:after="100" w:afterAutospacing="1"/>
        <w:jc w:val="both"/>
        <w:outlineLvl w:val="2"/>
        <w:rPr>
          <w:rFonts w:ascii="Arial" w:eastAsia="Times New Roman" w:hAnsi="Arial" w:cs="Arial"/>
          <w:lang w:eastAsia="es-CO"/>
        </w:rPr>
      </w:pPr>
    </w:p>
    <w:p w14:paraId="53864CEB" w14:textId="77777777" w:rsidR="00B307D2" w:rsidRPr="00B307D2" w:rsidRDefault="00B307D2" w:rsidP="00B307D2">
      <w:pPr>
        <w:spacing w:before="100" w:beforeAutospacing="1" w:after="100" w:afterAutospacing="1"/>
        <w:jc w:val="both"/>
        <w:outlineLvl w:val="2"/>
        <w:rPr>
          <w:rFonts w:ascii="Arial" w:eastAsia="Times New Roman" w:hAnsi="Arial" w:cs="Arial"/>
          <w:lang w:eastAsia="es-CO"/>
        </w:rPr>
      </w:pPr>
    </w:p>
    <w:p w14:paraId="72C3BA7C" w14:textId="77777777" w:rsidR="00B307D2" w:rsidRPr="00B307D2" w:rsidRDefault="00B307D2" w:rsidP="00B307D2">
      <w:pPr>
        <w:jc w:val="both"/>
        <w:rPr>
          <w:rFonts w:ascii="Arial" w:eastAsia="Arial" w:hAnsi="Arial" w:cs="Arial"/>
          <w:kern w:val="2"/>
          <w:lang w:eastAsia="en-US"/>
          <w14:ligatures w14:val="standardContextual"/>
        </w:rPr>
      </w:pPr>
    </w:p>
    <w:p w14:paraId="59D61737" w14:textId="77777777" w:rsidR="00B307D2" w:rsidRPr="00B307D2" w:rsidRDefault="00B307D2" w:rsidP="00B307D2">
      <w:pPr>
        <w:spacing w:after="160" w:line="276" w:lineRule="auto"/>
        <w:jc w:val="both"/>
        <w:rPr>
          <w:rFonts w:ascii="Arial" w:eastAsia="Arial" w:hAnsi="Arial" w:cs="Arial"/>
          <w:b/>
          <w:bCs/>
          <w:kern w:val="2"/>
          <w:lang w:val="es-CO" w:eastAsia="en-US"/>
          <w14:ligatures w14:val="standardContextual"/>
        </w:rPr>
      </w:pPr>
      <w:r w:rsidRPr="00B307D2">
        <w:rPr>
          <w:rFonts w:ascii="Arial" w:eastAsia="Arial" w:hAnsi="Arial" w:cs="Arial"/>
          <w:b/>
          <w:bCs/>
          <w:kern w:val="2"/>
          <w:lang w:eastAsia="en-US"/>
          <w14:ligatures w14:val="standardContextual"/>
        </w:rPr>
        <w:t>IV. PROPOSICIÓN</w:t>
      </w:r>
    </w:p>
    <w:p w14:paraId="53D9F964" w14:textId="0D530F47" w:rsidR="00B307D2" w:rsidRPr="00B307D2" w:rsidRDefault="00B307D2" w:rsidP="00B307D2">
      <w:pPr>
        <w:spacing w:after="160" w:line="276" w:lineRule="auto"/>
        <w:jc w:val="both"/>
        <w:rPr>
          <w:rFonts w:ascii="Arial" w:eastAsia="Arial" w:hAnsi="Arial" w:cs="Arial"/>
          <w:kern w:val="2"/>
          <w:lang w:eastAsia="en-US"/>
          <w14:ligatures w14:val="standardContextual"/>
        </w:rPr>
      </w:pPr>
      <w:r w:rsidRPr="00B307D2">
        <w:rPr>
          <w:rFonts w:ascii="Arial" w:eastAsia="Arial" w:hAnsi="Arial" w:cs="Arial"/>
          <w:kern w:val="2"/>
          <w:lang w:eastAsia="en-US"/>
          <w14:ligatures w14:val="standardContextual"/>
        </w:rPr>
        <w:t>En virtud de las consideraciones anteriormente expuestas, solicito a los miembros de la Comisión Primera de la Cámara de Representantes, archivar</w:t>
      </w:r>
      <w:r>
        <w:rPr>
          <w:rFonts w:ascii="Arial" w:eastAsia="Arial" w:hAnsi="Arial" w:cs="Arial"/>
          <w:kern w:val="2"/>
          <w:lang w:eastAsia="en-US"/>
          <w14:ligatures w14:val="standardContextual"/>
        </w:rPr>
        <w:t xml:space="preserve"> el</w:t>
      </w:r>
      <w:r w:rsidRPr="00B307D2">
        <w:rPr>
          <w:rFonts w:ascii="Arial" w:eastAsia="Arial" w:hAnsi="Arial" w:cs="Arial"/>
          <w:kern w:val="2"/>
          <w:lang w:eastAsia="en-US"/>
          <w14:ligatures w14:val="standardContextual"/>
        </w:rPr>
        <w:t xml:space="preserve"> </w:t>
      </w:r>
      <w:r w:rsidRPr="00B307D2">
        <w:rPr>
          <w:rFonts w:ascii="Arial" w:eastAsia="Aptos" w:hAnsi="Arial" w:cs="Arial"/>
          <w:kern w:val="2"/>
          <w:lang w:val="es-MX" w:eastAsia="en-US"/>
          <w14:ligatures w14:val="standardContextual"/>
        </w:rPr>
        <w:t xml:space="preserve">Proyecto de Ley Estatutaria No. 405 de 2024 </w:t>
      </w:r>
      <w:r w:rsidRPr="00B307D2">
        <w:rPr>
          <w:rFonts w:ascii="Arial" w:eastAsia="Arial" w:hAnsi="Arial" w:cs="Arial"/>
          <w:b/>
          <w:color w:val="000000"/>
        </w:rPr>
        <w:t>Cámara “Por medio del cual se regula el derecho fundamental a acceder, participar, beneficiarse y gozar del progreso científico y tecnológico para facilitar el derecho a la libre movilidad”</w:t>
      </w:r>
    </w:p>
    <w:p w14:paraId="6C415E59" w14:textId="77777777" w:rsidR="00B307D2" w:rsidRPr="00B307D2" w:rsidRDefault="00B307D2" w:rsidP="00B307D2">
      <w:pPr>
        <w:spacing w:after="160" w:line="276" w:lineRule="auto"/>
        <w:jc w:val="both"/>
        <w:rPr>
          <w:rFonts w:ascii="Arial" w:eastAsia="Arial" w:hAnsi="Arial" w:cs="Arial"/>
          <w:kern w:val="2"/>
          <w:lang w:eastAsia="en-US"/>
          <w14:ligatures w14:val="standardContextual"/>
        </w:rPr>
      </w:pPr>
      <w:r w:rsidRPr="00B307D2">
        <w:rPr>
          <w:rFonts w:ascii="Arial" w:eastAsia="Arial" w:hAnsi="Arial" w:cs="Arial"/>
          <w:kern w:val="2"/>
          <w:lang w:eastAsia="en-US"/>
          <w14:ligatures w14:val="standardContextual"/>
        </w:rPr>
        <w:t>De los señores Congresistas,</w:t>
      </w:r>
    </w:p>
    <w:p w14:paraId="22CD6130" w14:textId="77777777" w:rsidR="00B307D2" w:rsidRPr="00B307D2" w:rsidRDefault="00B307D2" w:rsidP="00B307D2">
      <w:pPr>
        <w:spacing w:after="160" w:line="276" w:lineRule="auto"/>
        <w:jc w:val="both"/>
        <w:rPr>
          <w:rFonts w:ascii="Arial" w:eastAsia="Arial" w:hAnsi="Arial" w:cs="Arial"/>
          <w:kern w:val="2"/>
          <w:lang w:eastAsia="en-US"/>
          <w14:ligatures w14:val="standardContextual"/>
        </w:rPr>
      </w:pPr>
    </w:p>
    <w:p w14:paraId="3C1634CC" w14:textId="77777777" w:rsidR="00B307D2" w:rsidRPr="00B307D2" w:rsidRDefault="00B307D2" w:rsidP="00B307D2">
      <w:pPr>
        <w:spacing w:after="160" w:line="276" w:lineRule="auto"/>
        <w:jc w:val="both"/>
        <w:rPr>
          <w:rFonts w:ascii="Arial" w:eastAsia="Arial" w:hAnsi="Arial" w:cs="Arial"/>
          <w:kern w:val="2"/>
          <w:lang w:eastAsia="en-US"/>
          <w14:ligatures w14:val="standardContextual"/>
        </w:rPr>
      </w:pPr>
    </w:p>
    <w:p w14:paraId="3AF43F17" w14:textId="11D1427A" w:rsidR="00B307D2" w:rsidRPr="00B307D2" w:rsidRDefault="00B307D2" w:rsidP="00B307D2">
      <w:pPr>
        <w:spacing w:line="276" w:lineRule="auto"/>
        <w:jc w:val="both"/>
        <w:rPr>
          <w:rFonts w:ascii="Arial" w:eastAsia="Arial" w:hAnsi="Arial" w:cs="Arial"/>
          <w:b/>
          <w:bCs/>
          <w:kern w:val="2"/>
          <w:lang w:eastAsia="en-US"/>
          <w14:ligatures w14:val="standardContextual"/>
        </w:rPr>
      </w:pPr>
      <w:r w:rsidRPr="00B307D2">
        <w:rPr>
          <w:rFonts w:ascii="Arial" w:eastAsia="Arial" w:hAnsi="Arial" w:cs="Arial"/>
          <w:b/>
          <w:bCs/>
          <w:kern w:val="2"/>
          <w:lang w:eastAsia="en-US"/>
          <w14:ligatures w14:val="standardContextual"/>
        </w:rPr>
        <w:t>LUIS EDUARDO D</w:t>
      </w:r>
      <w:r>
        <w:rPr>
          <w:rFonts w:ascii="Arial" w:eastAsia="Arial" w:hAnsi="Arial" w:cs="Arial"/>
          <w:b/>
          <w:bCs/>
          <w:kern w:val="2"/>
          <w:lang w:eastAsia="en-US"/>
          <w14:ligatures w14:val="standardContextual"/>
        </w:rPr>
        <w:t>Í</w:t>
      </w:r>
      <w:r w:rsidRPr="00B307D2">
        <w:rPr>
          <w:rFonts w:ascii="Arial" w:eastAsia="Arial" w:hAnsi="Arial" w:cs="Arial"/>
          <w:b/>
          <w:bCs/>
          <w:kern w:val="2"/>
          <w:lang w:eastAsia="en-US"/>
          <w14:ligatures w14:val="standardContextual"/>
        </w:rPr>
        <w:t>AZ MATEUS</w:t>
      </w:r>
    </w:p>
    <w:p w14:paraId="47252C0C" w14:textId="77777777" w:rsidR="00B307D2" w:rsidRPr="00B307D2" w:rsidRDefault="00B307D2" w:rsidP="00B307D2">
      <w:pPr>
        <w:spacing w:line="276" w:lineRule="auto"/>
        <w:jc w:val="both"/>
        <w:rPr>
          <w:rFonts w:ascii="Arial" w:eastAsia="Arial" w:hAnsi="Arial" w:cs="Arial"/>
          <w:kern w:val="2"/>
          <w:lang w:eastAsia="en-US"/>
          <w14:ligatures w14:val="standardContextual"/>
        </w:rPr>
      </w:pPr>
      <w:r w:rsidRPr="00B307D2">
        <w:rPr>
          <w:rFonts w:ascii="Arial" w:eastAsia="Arial" w:hAnsi="Arial" w:cs="Arial"/>
          <w:kern w:val="2"/>
          <w:lang w:eastAsia="en-US"/>
          <w14:ligatures w14:val="standardContextual"/>
        </w:rPr>
        <w:t>Representante a la Cámara</w:t>
      </w:r>
    </w:p>
    <w:p w14:paraId="7817A844" w14:textId="77777777" w:rsidR="00B307D2" w:rsidRPr="00B307D2" w:rsidRDefault="00B307D2" w:rsidP="00B307D2">
      <w:pPr>
        <w:spacing w:line="276" w:lineRule="auto"/>
        <w:jc w:val="both"/>
        <w:rPr>
          <w:rFonts w:ascii="Arial" w:eastAsia="Arial" w:hAnsi="Arial" w:cs="Arial"/>
          <w:kern w:val="2"/>
          <w:lang w:val="es-CO" w:eastAsia="en-US"/>
          <w14:ligatures w14:val="standardContextual"/>
        </w:rPr>
      </w:pPr>
      <w:r w:rsidRPr="00B307D2">
        <w:rPr>
          <w:rFonts w:ascii="Arial" w:eastAsia="Arial" w:hAnsi="Arial" w:cs="Arial"/>
          <w:kern w:val="2"/>
          <w:lang w:eastAsia="en-US"/>
          <w14:ligatures w14:val="standardContextual"/>
        </w:rPr>
        <w:t>Departamento de Santander</w:t>
      </w:r>
    </w:p>
    <w:p w14:paraId="5B605838" w14:textId="77777777" w:rsidR="00B307D2" w:rsidRPr="00B307D2" w:rsidRDefault="00B307D2" w:rsidP="00B307D2">
      <w:pPr>
        <w:rPr>
          <w:rFonts w:ascii="Arial" w:hAnsi="Arial" w:cs="Arial"/>
          <w:lang w:val="es-CO"/>
        </w:rPr>
      </w:pPr>
    </w:p>
    <w:sectPr w:rsidR="00B307D2" w:rsidRPr="00B307D2" w:rsidSect="0009231B">
      <w:headerReference w:type="default" r:id="rId7"/>
      <w:footerReference w:type="default" r:id="rId8"/>
      <w:pgSz w:w="12240" w:h="15840" w:code="1"/>
      <w:pgMar w:top="1417" w:right="1701" w:bottom="1417" w:left="1701" w:header="170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E64FB" w14:textId="77777777" w:rsidR="003B30F2" w:rsidRDefault="003B30F2" w:rsidP="00542D9F">
      <w:r>
        <w:separator/>
      </w:r>
    </w:p>
  </w:endnote>
  <w:endnote w:type="continuationSeparator" w:id="0">
    <w:p w14:paraId="0C32C05E" w14:textId="77777777" w:rsidR="003B30F2" w:rsidRDefault="003B30F2" w:rsidP="00542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FEBAA" w14:textId="4D20E278" w:rsidR="00213B06" w:rsidRDefault="00213B06">
    <w:pPr>
      <w:pStyle w:val="Piedepgina"/>
    </w:pPr>
    <w:r>
      <w:rPr>
        <w:rFonts w:ascii="Helvetica" w:hAnsi="Helvetica" w:cs="Helvetica"/>
        <w:noProof/>
        <w:lang w:eastAsia="es-CO"/>
      </w:rPr>
      <w:drawing>
        <wp:anchor distT="0" distB="0" distL="114300" distR="114300" simplePos="0" relativeHeight="251661312" behindDoc="0" locked="0" layoutInCell="1" allowOverlap="1" wp14:anchorId="4D5D91F4" wp14:editId="40371C56">
          <wp:simplePos x="0" y="0"/>
          <wp:positionH relativeFrom="column">
            <wp:posOffset>2968287</wp:posOffset>
          </wp:positionH>
          <wp:positionV relativeFrom="paragraph">
            <wp:posOffset>-109112</wp:posOffset>
          </wp:positionV>
          <wp:extent cx="3356407" cy="937205"/>
          <wp:effectExtent l="0" t="0" r="0" b="317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6407" cy="9372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nstantia" w:eastAsia="Constantia" w:hAnsi="Constantia" w:cs="Constantia"/>
        <w:noProof/>
        <w:sz w:val="16"/>
        <w:szCs w:val="16"/>
        <w:lang w:eastAsia="es-CO"/>
      </w:rPr>
      <w:drawing>
        <wp:anchor distT="0" distB="0" distL="114300" distR="114300" simplePos="0" relativeHeight="251659264" behindDoc="0" locked="0" layoutInCell="1" allowOverlap="1" wp14:anchorId="66F1F468" wp14:editId="019CFF2C">
          <wp:simplePos x="0" y="0"/>
          <wp:positionH relativeFrom="column">
            <wp:posOffset>-377960</wp:posOffset>
          </wp:positionH>
          <wp:positionV relativeFrom="paragraph">
            <wp:posOffset>11430</wp:posOffset>
          </wp:positionV>
          <wp:extent cx="3124200" cy="381000"/>
          <wp:effectExtent l="0" t="0" r="0" b="0"/>
          <wp:wrapSquare wrapText="bothSides"/>
          <wp:docPr id="8" name="image8.png" descr="https://lh3.googleusercontent.com/iWYeqffH2WOjFnF4L-LJcYAA-r3ZyotypFlt4YQex5t7qgH0ttb_wHm0Hw4ozK4jw-lY1d1J0HjSFA2U8L2g79cVjymvLb82pFGfD_EdMSIValYOX_U2f3LIwo1-AwYUt0NYjjF_MpMwEAnLFA"/>
          <wp:cNvGraphicFramePr/>
          <a:graphic xmlns:a="http://schemas.openxmlformats.org/drawingml/2006/main">
            <a:graphicData uri="http://schemas.openxmlformats.org/drawingml/2006/picture">
              <pic:pic xmlns:pic="http://schemas.openxmlformats.org/drawingml/2006/picture">
                <pic:nvPicPr>
                  <pic:cNvPr id="0" name="image8.png" descr="https://lh3.googleusercontent.com/iWYeqffH2WOjFnF4L-LJcYAA-r3ZyotypFlt4YQex5t7qgH0ttb_wHm0Hw4ozK4jw-lY1d1J0HjSFA2U8L2g79cVjymvLb82pFGfD_EdMSIValYOX_U2f3LIwo1-AwYUt0NYjjF_MpMwEAnLFA"/>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3124200" cy="381000"/>
                  </a:xfrm>
                  <a:prstGeom prst="rect">
                    <a:avLst/>
                  </a:prstGeom>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28AEE" w14:textId="77777777" w:rsidR="003B30F2" w:rsidRDefault="003B30F2" w:rsidP="00542D9F">
      <w:r>
        <w:separator/>
      </w:r>
    </w:p>
  </w:footnote>
  <w:footnote w:type="continuationSeparator" w:id="0">
    <w:p w14:paraId="71365D28" w14:textId="77777777" w:rsidR="003B30F2" w:rsidRDefault="003B30F2" w:rsidP="00542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A740B" w14:textId="2AD11912" w:rsidR="00213B06" w:rsidRDefault="00B82048">
    <w:pPr>
      <w:pStyle w:val="Encabezado"/>
    </w:pPr>
    <w:r>
      <w:rPr>
        <w:noProof/>
        <w:lang w:eastAsia="es-CO"/>
      </w:rPr>
      <w:drawing>
        <wp:anchor distT="0" distB="0" distL="114300" distR="114300" simplePos="0" relativeHeight="251658240" behindDoc="0" locked="0" layoutInCell="1" allowOverlap="1" wp14:anchorId="73F1D25C" wp14:editId="67144852">
          <wp:simplePos x="0" y="0"/>
          <wp:positionH relativeFrom="column">
            <wp:posOffset>-607907</wp:posOffset>
          </wp:positionH>
          <wp:positionV relativeFrom="paragraph">
            <wp:posOffset>-848995</wp:posOffset>
          </wp:positionV>
          <wp:extent cx="2993390" cy="953770"/>
          <wp:effectExtent l="0" t="0" r="3810" b="11430"/>
          <wp:wrapSquare wrapText="bothSides"/>
          <wp:docPr id="9" name="image9.png" descr="Inicio | Camara de Representantes"/>
          <wp:cNvGraphicFramePr/>
          <a:graphic xmlns:a="http://schemas.openxmlformats.org/drawingml/2006/main">
            <a:graphicData uri="http://schemas.openxmlformats.org/drawingml/2006/picture">
              <pic:pic xmlns:pic="http://schemas.openxmlformats.org/drawingml/2006/picture">
                <pic:nvPicPr>
                  <pic:cNvPr id="0" name="image9.png" descr="Inicio | Camara de Representantes"/>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993390" cy="953770"/>
                  </a:xfrm>
                  <a:prstGeom prst="rect">
                    <a:avLst/>
                  </a:prstGeom>
                  <a:ln/>
                </pic:spPr>
              </pic:pic>
            </a:graphicData>
          </a:graphic>
          <wp14:sizeRelH relativeFrom="page">
            <wp14:pctWidth>0</wp14:pctWidth>
          </wp14:sizeRelH>
          <wp14:sizeRelV relativeFrom="page">
            <wp14:pctHeight>0</wp14:pctHeight>
          </wp14:sizeRelV>
        </wp:anchor>
      </w:drawing>
    </w:r>
    <w:r w:rsidRPr="00B82048">
      <w:rPr>
        <w:noProof/>
        <w:lang w:eastAsia="es-CO"/>
      </w:rPr>
      <w:drawing>
        <wp:anchor distT="0" distB="0" distL="114300" distR="114300" simplePos="0" relativeHeight="251662336" behindDoc="0" locked="0" layoutInCell="1" allowOverlap="1" wp14:anchorId="64DD3DA3" wp14:editId="32BB7EFD">
          <wp:simplePos x="0" y="0"/>
          <wp:positionH relativeFrom="column">
            <wp:posOffset>3276600</wp:posOffset>
          </wp:positionH>
          <wp:positionV relativeFrom="paragraph">
            <wp:posOffset>-849630</wp:posOffset>
          </wp:positionV>
          <wp:extent cx="2431415" cy="966470"/>
          <wp:effectExtent l="0" t="0" r="698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431415" cy="966470"/>
                  </a:xfrm>
                  <a:prstGeom prst="rect">
                    <a:avLst/>
                  </a:prstGeom>
                </pic:spPr>
              </pic:pic>
            </a:graphicData>
          </a:graphic>
          <wp14:sizeRelH relativeFrom="page">
            <wp14:pctWidth>0</wp14:pctWidth>
          </wp14:sizeRelH>
          <wp14:sizeRelV relativeFrom="page">
            <wp14:pctHeight>0</wp14:pctHeight>
          </wp14:sizeRelV>
        </wp:anchor>
      </w:drawing>
    </w:r>
    <w:r w:rsidRPr="00B82048">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447E"/>
    <w:multiLevelType w:val="hybridMultilevel"/>
    <w:tmpl w:val="D36C81E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9AB05EF"/>
    <w:multiLevelType w:val="multilevel"/>
    <w:tmpl w:val="DFD6A9CE"/>
    <w:lvl w:ilvl="0">
      <w:start w:val="1"/>
      <w:numFmt w:val="upperRoman"/>
      <w:lvlText w:val="%1."/>
      <w:lvlJc w:val="left"/>
      <w:pPr>
        <w:ind w:left="1080" w:hanging="72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E06B74"/>
    <w:multiLevelType w:val="multilevel"/>
    <w:tmpl w:val="39D4D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4F5C4A"/>
    <w:multiLevelType w:val="hybridMultilevel"/>
    <w:tmpl w:val="AD5C566A"/>
    <w:lvl w:ilvl="0" w:tplc="6630B84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16C82474"/>
    <w:multiLevelType w:val="hybridMultilevel"/>
    <w:tmpl w:val="0F245A5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CBB562A"/>
    <w:multiLevelType w:val="multilevel"/>
    <w:tmpl w:val="BC42C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1551C3"/>
    <w:multiLevelType w:val="hybridMultilevel"/>
    <w:tmpl w:val="9500861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238A278C"/>
    <w:multiLevelType w:val="hybridMultilevel"/>
    <w:tmpl w:val="DA601386"/>
    <w:lvl w:ilvl="0" w:tplc="64EE6420">
      <w:start w:val="1"/>
      <w:numFmt w:val="decimal"/>
      <w:lvlText w:val="%1."/>
      <w:lvlJc w:val="left"/>
      <w:pPr>
        <w:ind w:left="2138" w:hanging="233"/>
        <w:jc w:val="left"/>
      </w:pPr>
      <w:rPr>
        <w:rFonts w:ascii="Georgia" w:eastAsia="Georgia" w:hAnsi="Georgia" w:cs="Georgia" w:hint="default"/>
        <w:i/>
        <w:iCs/>
        <w:w w:val="100"/>
        <w:sz w:val="24"/>
        <w:szCs w:val="24"/>
        <w:lang w:val="es-CO" w:eastAsia="en-US" w:bidi="ar-SA"/>
      </w:rPr>
    </w:lvl>
    <w:lvl w:ilvl="1" w:tplc="F1C26698">
      <w:numFmt w:val="bullet"/>
      <w:lvlText w:val="•"/>
      <w:lvlJc w:val="left"/>
      <w:pPr>
        <w:ind w:left="3150" w:hanging="233"/>
      </w:pPr>
      <w:rPr>
        <w:rFonts w:hint="default"/>
        <w:lang w:val="es-ES" w:eastAsia="en-US" w:bidi="ar-SA"/>
      </w:rPr>
    </w:lvl>
    <w:lvl w:ilvl="2" w:tplc="33720EC4">
      <w:numFmt w:val="bullet"/>
      <w:lvlText w:val="•"/>
      <w:lvlJc w:val="left"/>
      <w:pPr>
        <w:ind w:left="4160" w:hanging="233"/>
      </w:pPr>
      <w:rPr>
        <w:rFonts w:hint="default"/>
        <w:lang w:val="es-ES" w:eastAsia="en-US" w:bidi="ar-SA"/>
      </w:rPr>
    </w:lvl>
    <w:lvl w:ilvl="3" w:tplc="FB823178">
      <w:numFmt w:val="bullet"/>
      <w:lvlText w:val="•"/>
      <w:lvlJc w:val="left"/>
      <w:pPr>
        <w:ind w:left="5170" w:hanging="233"/>
      </w:pPr>
      <w:rPr>
        <w:rFonts w:hint="default"/>
        <w:lang w:val="es-ES" w:eastAsia="en-US" w:bidi="ar-SA"/>
      </w:rPr>
    </w:lvl>
    <w:lvl w:ilvl="4" w:tplc="4914EA7A">
      <w:numFmt w:val="bullet"/>
      <w:lvlText w:val="•"/>
      <w:lvlJc w:val="left"/>
      <w:pPr>
        <w:ind w:left="6180" w:hanging="233"/>
      </w:pPr>
      <w:rPr>
        <w:rFonts w:hint="default"/>
        <w:lang w:val="es-ES" w:eastAsia="en-US" w:bidi="ar-SA"/>
      </w:rPr>
    </w:lvl>
    <w:lvl w:ilvl="5" w:tplc="E662D4BE">
      <w:numFmt w:val="bullet"/>
      <w:lvlText w:val="•"/>
      <w:lvlJc w:val="left"/>
      <w:pPr>
        <w:ind w:left="7190" w:hanging="233"/>
      </w:pPr>
      <w:rPr>
        <w:rFonts w:hint="default"/>
        <w:lang w:val="es-ES" w:eastAsia="en-US" w:bidi="ar-SA"/>
      </w:rPr>
    </w:lvl>
    <w:lvl w:ilvl="6" w:tplc="105CDD2C">
      <w:numFmt w:val="bullet"/>
      <w:lvlText w:val="•"/>
      <w:lvlJc w:val="left"/>
      <w:pPr>
        <w:ind w:left="8200" w:hanging="233"/>
      </w:pPr>
      <w:rPr>
        <w:rFonts w:hint="default"/>
        <w:lang w:val="es-ES" w:eastAsia="en-US" w:bidi="ar-SA"/>
      </w:rPr>
    </w:lvl>
    <w:lvl w:ilvl="7" w:tplc="65EC89EC">
      <w:numFmt w:val="bullet"/>
      <w:lvlText w:val="•"/>
      <w:lvlJc w:val="left"/>
      <w:pPr>
        <w:ind w:left="9210" w:hanging="233"/>
      </w:pPr>
      <w:rPr>
        <w:rFonts w:hint="default"/>
        <w:lang w:val="es-ES" w:eastAsia="en-US" w:bidi="ar-SA"/>
      </w:rPr>
    </w:lvl>
    <w:lvl w:ilvl="8" w:tplc="82487042">
      <w:numFmt w:val="bullet"/>
      <w:lvlText w:val="•"/>
      <w:lvlJc w:val="left"/>
      <w:pPr>
        <w:ind w:left="10220" w:hanging="233"/>
      </w:pPr>
      <w:rPr>
        <w:rFonts w:hint="default"/>
        <w:lang w:val="es-ES" w:eastAsia="en-US" w:bidi="ar-SA"/>
      </w:rPr>
    </w:lvl>
  </w:abstractNum>
  <w:abstractNum w:abstractNumId="8" w15:restartNumberingAfterBreak="0">
    <w:nsid w:val="2D4E3FDB"/>
    <w:multiLevelType w:val="hybridMultilevel"/>
    <w:tmpl w:val="CD724116"/>
    <w:lvl w:ilvl="0" w:tplc="699AB744">
      <w:start w:val="1"/>
      <w:numFmt w:val="decimal"/>
      <w:lvlText w:val="%1."/>
      <w:lvlJc w:val="left"/>
      <w:pPr>
        <w:ind w:left="2498" w:hanging="360"/>
        <w:jc w:val="left"/>
      </w:pPr>
      <w:rPr>
        <w:rFonts w:ascii="Georgia" w:eastAsia="Georgia" w:hAnsi="Georgia" w:cs="Georgia" w:hint="default"/>
        <w:i/>
        <w:iCs/>
        <w:w w:val="100"/>
        <w:sz w:val="24"/>
        <w:szCs w:val="24"/>
        <w:lang w:val="es-ES" w:eastAsia="en-US" w:bidi="ar-SA"/>
      </w:rPr>
    </w:lvl>
    <w:lvl w:ilvl="1" w:tplc="1EDC5832">
      <w:numFmt w:val="bullet"/>
      <w:lvlText w:val="•"/>
      <w:lvlJc w:val="left"/>
      <w:pPr>
        <w:ind w:left="3474" w:hanging="360"/>
      </w:pPr>
      <w:rPr>
        <w:rFonts w:hint="default"/>
        <w:lang w:val="es-ES" w:eastAsia="en-US" w:bidi="ar-SA"/>
      </w:rPr>
    </w:lvl>
    <w:lvl w:ilvl="2" w:tplc="E9B209DC">
      <w:numFmt w:val="bullet"/>
      <w:lvlText w:val="•"/>
      <w:lvlJc w:val="left"/>
      <w:pPr>
        <w:ind w:left="4448" w:hanging="360"/>
      </w:pPr>
      <w:rPr>
        <w:rFonts w:hint="default"/>
        <w:lang w:val="es-ES" w:eastAsia="en-US" w:bidi="ar-SA"/>
      </w:rPr>
    </w:lvl>
    <w:lvl w:ilvl="3" w:tplc="8AD0D484">
      <w:numFmt w:val="bullet"/>
      <w:lvlText w:val="•"/>
      <w:lvlJc w:val="left"/>
      <w:pPr>
        <w:ind w:left="5422" w:hanging="360"/>
      </w:pPr>
      <w:rPr>
        <w:rFonts w:hint="default"/>
        <w:lang w:val="es-ES" w:eastAsia="en-US" w:bidi="ar-SA"/>
      </w:rPr>
    </w:lvl>
    <w:lvl w:ilvl="4" w:tplc="463278E8">
      <w:numFmt w:val="bullet"/>
      <w:lvlText w:val="•"/>
      <w:lvlJc w:val="left"/>
      <w:pPr>
        <w:ind w:left="6396" w:hanging="360"/>
      </w:pPr>
      <w:rPr>
        <w:rFonts w:hint="default"/>
        <w:lang w:val="es-ES" w:eastAsia="en-US" w:bidi="ar-SA"/>
      </w:rPr>
    </w:lvl>
    <w:lvl w:ilvl="5" w:tplc="E1983A44">
      <w:numFmt w:val="bullet"/>
      <w:lvlText w:val="•"/>
      <w:lvlJc w:val="left"/>
      <w:pPr>
        <w:ind w:left="7370" w:hanging="360"/>
      </w:pPr>
      <w:rPr>
        <w:rFonts w:hint="default"/>
        <w:lang w:val="es-ES" w:eastAsia="en-US" w:bidi="ar-SA"/>
      </w:rPr>
    </w:lvl>
    <w:lvl w:ilvl="6" w:tplc="CE948170">
      <w:numFmt w:val="bullet"/>
      <w:lvlText w:val="•"/>
      <w:lvlJc w:val="left"/>
      <w:pPr>
        <w:ind w:left="8344" w:hanging="360"/>
      </w:pPr>
      <w:rPr>
        <w:rFonts w:hint="default"/>
        <w:lang w:val="es-ES" w:eastAsia="en-US" w:bidi="ar-SA"/>
      </w:rPr>
    </w:lvl>
    <w:lvl w:ilvl="7" w:tplc="3F88D2CC">
      <w:numFmt w:val="bullet"/>
      <w:lvlText w:val="•"/>
      <w:lvlJc w:val="left"/>
      <w:pPr>
        <w:ind w:left="9318" w:hanging="360"/>
      </w:pPr>
      <w:rPr>
        <w:rFonts w:hint="default"/>
        <w:lang w:val="es-ES" w:eastAsia="en-US" w:bidi="ar-SA"/>
      </w:rPr>
    </w:lvl>
    <w:lvl w:ilvl="8" w:tplc="8C88AE0C">
      <w:numFmt w:val="bullet"/>
      <w:lvlText w:val="•"/>
      <w:lvlJc w:val="left"/>
      <w:pPr>
        <w:ind w:left="10292" w:hanging="360"/>
      </w:pPr>
      <w:rPr>
        <w:rFonts w:hint="default"/>
        <w:lang w:val="es-ES" w:eastAsia="en-US" w:bidi="ar-SA"/>
      </w:rPr>
    </w:lvl>
  </w:abstractNum>
  <w:abstractNum w:abstractNumId="9" w15:restartNumberingAfterBreak="0">
    <w:nsid w:val="306F4D27"/>
    <w:multiLevelType w:val="hybridMultilevel"/>
    <w:tmpl w:val="EB84B47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376907E2"/>
    <w:multiLevelType w:val="multilevel"/>
    <w:tmpl w:val="592E9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D24D6E"/>
    <w:multiLevelType w:val="hybridMultilevel"/>
    <w:tmpl w:val="806888C4"/>
    <w:lvl w:ilvl="0" w:tplc="62388520">
      <w:start w:val="1"/>
      <w:numFmt w:val="decimal"/>
      <w:lvlText w:val="%1."/>
      <w:lvlJc w:val="left"/>
      <w:pPr>
        <w:ind w:left="644" w:hanging="360"/>
      </w:pPr>
      <w:rPr>
        <w:rFonts w:ascii="Arial" w:hAnsi="Arial" w:cs="Arial" w:hint="default"/>
        <w:sz w:val="24"/>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2" w15:restartNumberingAfterBreak="0">
    <w:nsid w:val="42933A67"/>
    <w:multiLevelType w:val="multilevel"/>
    <w:tmpl w:val="951CE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CE4E63"/>
    <w:multiLevelType w:val="multilevel"/>
    <w:tmpl w:val="E8ACC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B221F3"/>
    <w:multiLevelType w:val="multilevel"/>
    <w:tmpl w:val="41DCDF4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5"/>
      <w:numFmt w:val="bullet"/>
      <w:lvlText w:val="-"/>
      <w:lvlJc w:val="left"/>
      <w:pPr>
        <w:ind w:left="2505" w:hanging="705"/>
      </w:pPr>
      <w:rPr>
        <w:rFonts w:ascii="Bookman Old Style" w:eastAsia="Times New Roman" w:hAnsi="Bookman Old Style"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9A07CA"/>
    <w:multiLevelType w:val="hybridMultilevel"/>
    <w:tmpl w:val="F44C90F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5E1F1F65"/>
    <w:multiLevelType w:val="multilevel"/>
    <w:tmpl w:val="40B606B4"/>
    <w:lvl w:ilvl="0">
      <w:start w:val="1"/>
      <w:numFmt w:val="lowerLetter"/>
      <w:lvlText w:val="%1)"/>
      <w:lvlJc w:val="left"/>
      <w:pPr>
        <w:ind w:left="720" w:hanging="360"/>
      </w:pPr>
      <w:rPr>
        <w:rFonts w:ascii="Georgia" w:eastAsia="Georgia" w:hAnsi="Georgia" w:cs="Georgia"/>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608D3B06"/>
    <w:multiLevelType w:val="multilevel"/>
    <w:tmpl w:val="05BA28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62D24C2"/>
    <w:multiLevelType w:val="multilevel"/>
    <w:tmpl w:val="BA527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D70A87"/>
    <w:multiLevelType w:val="multilevel"/>
    <w:tmpl w:val="3D68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042EF5"/>
    <w:multiLevelType w:val="multilevel"/>
    <w:tmpl w:val="57F6FFDE"/>
    <w:lvl w:ilvl="0">
      <w:start w:val="1"/>
      <w:numFmt w:val="lowerLetter"/>
      <w:lvlText w:val="%1)"/>
      <w:lvlJc w:val="left"/>
      <w:pPr>
        <w:ind w:left="720" w:hanging="360"/>
      </w:pPr>
      <w:rPr>
        <w:rFonts w:ascii="Georgia" w:eastAsia="Georgia" w:hAnsi="Georgia" w:cs="Georgia"/>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767B26D8"/>
    <w:multiLevelType w:val="multilevel"/>
    <w:tmpl w:val="BBBA7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80792A"/>
    <w:multiLevelType w:val="multilevel"/>
    <w:tmpl w:val="05689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611C5E"/>
    <w:multiLevelType w:val="hybridMultilevel"/>
    <w:tmpl w:val="13FE61D2"/>
    <w:lvl w:ilvl="0" w:tplc="6E1ECC46">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16"/>
  </w:num>
  <w:num w:numId="2">
    <w:abstractNumId w:val="20"/>
  </w:num>
  <w:num w:numId="3">
    <w:abstractNumId w:val="7"/>
  </w:num>
  <w:num w:numId="4">
    <w:abstractNumId w:val="8"/>
  </w:num>
  <w:num w:numId="5">
    <w:abstractNumId w:val="0"/>
  </w:num>
  <w:num w:numId="6">
    <w:abstractNumId w:val="15"/>
  </w:num>
  <w:num w:numId="7">
    <w:abstractNumId w:val="4"/>
  </w:num>
  <w:num w:numId="8">
    <w:abstractNumId w:val="6"/>
  </w:num>
  <w:num w:numId="9">
    <w:abstractNumId w:val="9"/>
  </w:num>
  <w:num w:numId="10">
    <w:abstractNumId w:val="17"/>
  </w:num>
  <w:num w:numId="11">
    <w:abstractNumId w:val="5"/>
  </w:num>
  <w:num w:numId="12">
    <w:abstractNumId w:val="3"/>
  </w:num>
  <w:num w:numId="13">
    <w:abstractNumId w:val="23"/>
  </w:num>
  <w:num w:numId="14">
    <w:abstractNumId w:val="10"/>
  </w:num>
  <w:num w:numId="15">
    <w:abstractNumId w:val="11"/>
  </w:num>
  <w:num w:numId="16">
    <w:abstractNumId w:val="14"/>
    <w:lvlOverride w:ilvl="0">
      <w:lvl w:ilvl="0">
        <w:numFmt w:val="upperRoman"/>
        <w:lvlText w:val="%1."/>
        <w:lvlJc w:val="right"/>
      </w:lvl>
    </w:lvlOverride>
  </w:num>
  <w:num w:numId="17">
    <w:abstractNumId w:val="1"/>
  </w:num>
  <w:num w:numId="18">
    <w:abstractNumId w:val="12"/>
  </w:num>
  <w:num w:numId="19">
    <w:abstractNumId w:val="2"/>
  </w:num>
  <w:num w:numId="20">
    <w:abstractNumId w:val="22"/>
  </w:num>
  <w:num w:numId="21">
    <w:abstractNumId w:val="21"/>
  </w:num>
  <w:num w:numId="22">
    <w:abstractNumId w:val="13"/>
  </w:num>
  <w:num w:numId="23">
    <w:abstractNumId w:val="19"/>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7E9"/>
    <w:rsid w:val="00021558"/>
    <w:rsid w:val="0005064F"/>
    <w:rsid w:val="00066968"/>
    <w:rsid w:val="00067313"/>
    <w:rsid w:val="00071B9B"/>
    <w:rsid w:val="0009231B"/>
    <w:rsid w:val="000F6648"/>
    <w:rsid w:val="0011082C"/>
    <w:rsid w:val="001240A6"/>
    <w:rsid w:val="00172DD9"/>
    <w:rsid w:val="00177F33"/>
    <w:rsid w:val="001B6780"/>
    <w:rsid w:val="002022EE"/>
    <w:rsid w:val="00205F8B"/>
    <w:rsid w:val="00213B06"/>
    <w:rsid w:val="00220348"/>
    <w:rsid w:val="00233518"/>
    <w:rsid w:val="00241916"/>
    <w:rsid w:val="00245F8F"/>
    <w:rsid w:val="00251511"/>
    <w:rsid w:val="00274F38"/>
    <w:rsid w:val="00316912"/>
    <w:rsid w:val="00320866"/>
    <w:rsid w:val="00340F10"/>
    <w:rsid w:val="00370F9A"/>
    <w:rsid w:val="003A3B05"/>
    <w:rsid w:val="003B0C41"/>
    <w:rsid w:val="003B30F2"/>
    <w:rsid w:val="003B76E0"/>
    <w:rsid w:val="003C61F3"/>
    <w:rsid w:val="003D7013"/>
    <w:rsid w:val="00441F4C"/>
    <w:rsid w:val="0046226A"/>
    <w:rsid w:val="004762FC"/>
    <w:rsid w:val="004C0D8D"/>
    <w:rsid w:val="004C68E5"/>
    <w:rsid w:val="0052301F"/>
    <w:rsid w:val="00542D9F"/>
    <w:rsid w:val="00570E95"/>
    <w:rsid w:val="005C5756"/>
    <w:rsid w:val="005C72B2"/>
    <w:rsid w:val="006132FD"/>
    <w:rsid w:val="00641EF6"/>
    <w:rsid w:val="0067334C"/>
    <w:rsid w:val="006A4FEE"/>
    <w:rsid w:val="006A5869"/>
    <w:rsid w:val="006F2CE2"/>
    <w:rsid w:val="00757A34"/>
    <w:rsid w:val="00785FDE"/>
    <w:rsid w:val="007C1BAC"/>
    <w:rsid w:val="007C2F5E"/>
    <w:rsid w:val="007C3201"/>
    <w:rsid w:val="00816611"/>
    <w:rsid w:val="00872F56"/>
    <w:rsid w:val="00881102"/>
    <w:rsid w:val="00883E9E"/>
    <w:rsid w:val="0088713C"/>
    <w:rsid w:val="00890553"/>
    <w:rsid w:val="008C06C1"/>
    <w:rsid w:val="008C2440"/>
    <w:rsid w:val="008D05E4"/>
    <w:rsid w:val="00937045"/>
    <w:rsid w:val="00993107"/>
    <w:rsid w:val="00995101"/>
    <w:rsid w:val="009A1BCB"/>
    <w:rsid w:val="009A3865"/>
    <w:rsid w:val="009C52D2"/>
    <w:rsid w:val="009F57E9"/>
    <w:rsid w:val="00A70C65"/>
    <w:rsid w:val="00AF3E3C"/>
    <w:rsid w:val="00B2176A"/>
    <w:rsid w:val="00B307D2"/>
    <w:rsid w:val="00B34884"/>
    <w:rsid w:val="00B4635F"/>
    <w:rsid w:val="00B52DDE"/>
    <w:rsid w:val="00B66A09"/>
    <w:rsid w:val="00B70661"/>
    <w:rsid w:val="00B72113"/>
    <w:rsid w:val="00B82048"/>
    <w:rsid w:val="00BA7190"/>
    <w:rsid w:val="00BB7B94"/>
    <w:rsid w:val="00BD5528"/>
    <w:rsid w:val="00BD66FD"/>
    <w:rsid w:val="00BE3523"/>
    <w:rsid w:val="00BF74D6"/>
    <w:rsid w:val="00C4288C"/>
    <w:rsid w:val="00C51EA2"/>
    <w:rsid w:val="00C80679"/>
    <w:rsid w:val="00C928FA"/>
    <w:rsid w:val="00D33248"/>
    <w:rsid w:val="00D45095"/>
    <w:rsid w:val="00D84C6B"/>
    <w:rsid w:val="00DB3683"/>
    <w:rsid w:val="00DC06AD"/>
    <w:rsid w:val="00DC7C7C"/>
    <w:rsid w:val="00E0208A"/>
    <w:rsid w:val="00E22264"/>
    <w:rsid w:val="00E27450"/>
    <w:rsid w:val="00E34C86"/>
    <w:rsid w:val="00E66050"/>
    <w:rsid w:val="00E83AD5"/>
    <w:rsid w:val="00E8743E"/>
    <w:rsid w:val="00EF4613"/>
    <w:rsid w:val="00F2524D"/>
    <w:rsid w:val="00F2742D"/>
    <w:rsid w:val="00F677B6"/>
    <w:rsid w:val="00FC1789"/>
    <w:rsid w:val="00FC295C"/>
    <w:rsid w:val="00FC3E4E"/>
    <w:rsid w:val="00FE4E71"/>
    <w:rsid w:val="00FF506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A705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F38"/>
    <w:rPr>
      <w:rFonts w:ascii="Times New Roman" w:hAnsi="Times New Roman" w:cs="Times New Roman"/>
      <w:lang w:val="es-ES_tradnl" w:eastAsia="es-ES_tradnl"/>
    </w:rPr>
  </w:style>
  <w:style w:type="paragraph" w:styleId="Ttulo2">
    <w:name w:val="heading 2"/>
    <w:basedOn w:val="Normal"/>
    <w:link w:val="Ttulo2Car"/>
    <w:uiPriority w:val="1"/>
    <w:qFormat/>
    <w:rsid w:val="00E0208A"/>
    <w:pPr>
      <w:widowControl w:val="0"/>
      <w:autoSpaceDE w:val="0"/>
      <w:autoSpaceDN w:val="0"/>
      <w:ind w:left="2138"/>
      <w:jc w:val="both"/>
      <w:outlineLvl w:val="1"/>
    </w:pPr>
    <w:rPr>
      <w:rFonts w:ascii="Georgia" w:eastAsia="Georgia" w:hAnsi="Georgia" w:cs="Georgia"/>
      <w:b/>
      <w:bCs/>
      <w:i/>
      <w:iCs/>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42D9F"/>
    <w:pPr>
      <w:tabs>
        <w:tab w:val="center" w:pos="4252"/>
        <w:tab w:val="right" w:pos="8504"/>
      </w:tabs>
    </w:pPr>
    <w:rPr>
      <w:rFonts w:asciiTheme="minorHAnsi" w:hAnsiTheme="minorHAnsi" w:cstheme="minorBidi"/>
      <w:lang w:val="es-CO" w:eastAsia="en-US"/>
    </w:rPr>
  </w:style>
  <w:style w:type="character" w:customStyle="1" w:styleId="EncabezadoCar">
    <w:name w:val="Encabezado Car"/>
    <w:basedOn w:val="Fuentedeprrafopredeter"/>
    <w:link w:val="Encabezado"/>
    <w:uiPriority w:val="99"/>
    <w:rsid w:val="00542D9F"/>
  </w:style>
  <w:style w:type="paragraph" w:styleId="Piedepgina">
    <w:name w:val="footer"/>
    <w:basedOn w:val="Normal"/>
    <w:link w:val="PiedepginaCar"/>
    <w:uiPriority w:val="99"/>
    <w:unhideWhenUsed/>
    <w:rsid w:val="00542D9F"/>
    <w:pPr>
      <w:tabs>
        <w:tab w:val="center" w:pos="4252"/>
        <w:tab w:val="right" w:pos="8504"/>
      </w:tabs>
    </w:pPr>
    <w:rPr>
      <w:rFonts w:asciiTheme="minorHAnsi" w:hAnsiTheme="minorHAnsi" w:cstheme="minorBidi"/>
      <w:lang w:val="es-CO" w:eastAsia="en-US"/>
    </w:rPr>
  </w:style>
  <w:style w:type="character" w:customStyle="1" w:styleId="PiedepginaCar">
    <w:name w:val="Pie de página Car"/>
    <w:basedOn w:val="Fuentedeprrafopredeter"/>
    <w:link w:val="Piedepgina"/>
    <w:uiPriority w:val="99"/>
    <w:rsid w:val="00542D9F"/>
  </w:style>
  <w:style w:type="table" w:styleId="Tablaconcuadrcula">
    <w:name w:val="Table Grid"/>
    <w:basedOn w:val="Tablanormal"/>
    <w:uiPriority w:val="39"/>
    <w:rsid w:val="00883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DB3683"/>
    <w:pPr>
      <w:widowControl w:val="0"/>
      <w:autoSpaceDE w:val="0"/>
      <w:autoSpaceDN w:val="0"/>
    </w:pPr>
    <w:rPr>
      <w:rFonts w:ascii="Georgia" w:eastAsia="Georgia" w:hAnsi="Georgia" w:cs="Georgia"/>
      <w:i/>
      <w:iCs/>
      <w:lang w:val="es-ES" w:eastAsia="en-US"/>
    </w:rPr>
  </w:style>
  <w:style w:type="character" w:customStyle="1" w:styleId="TextoindependienteCar">
    <w:name w:val="Texto independiente Car"/>
    <w:basedOn w:val="Fuentedeprrafopredeter"/>
    <w:link w:val="Textoindependiente"/>
    <w:uiPriority w:val="1"/>
    <w:rsid w:val="00DB3683"/>
    <w:rPr>
      <w:rFonts w:ascii="Georgia" w:eastAsia="Georgia" w:hAnsi="Georgia" w:cs="Georgia"/>
      <w:i/>
      <w:iCs/>
      <w:lang w:val="es-ES"/>
    </w:rPr>
  </w:style>
  <w:style w:type="paragraph" w:styleId="Prrafodelista">
    <w:name w:val="List Paragraph"/>
    <w:aliases w:val="titulo 3,Ha,Resume Title,List,Normal. Viñetas,Bullet List,FooterText,numbered,Paragraphe de liste1,Bulletr List Paragraph,列出段落,列出段落1,List Paragraph21,Listeafsnit1,Parágrafo da Lista1,Sombreado vistoso - Énfasis 31,Cita textual,Bullets"/>
    <w:basedOn w:val="Normal"/>
    <w:link w:val="PrrafodelistaCar"/>
    <w:uiPriority w:val="34"/>
    <w:qFormat/>
    <w:rsid w:val="00DB3683"/>
    <w:pPr>
      <w:widowControl w:val="0"/>
      <w:autoSpaceDE w:val="0"/>
      <w:autoSpaceDN w:val="0"/>
      <w:ind w:left="2138"/>
      <w:jc w:val="both"/>
    </w:pPr>
    <w:rPr>
      <w:rFonts w:ascii="Georgia" w:eastAsia="Georgia" w:hAnsi="Georgia" w:cs="Georgia"/>
      <w:sz w:val="22"/>
      <w:szCs w:val="22"/>
      <w:lang w:val="es-ES" w:eastAsia="en-US"/>
    </w:rPr>
  </w:style>
  <w:style w:type="character" w:customStyle="1" w:styleId="Ttulo2Car">
    <w:name w:val="Título 2 Car"/>
    <w:basedOn w:val="Fuentedeprrafopredeter"/>
    <w:link w:val="Ttulo2"/>
    <w:uiPriority w:val="1"/>
    <w:rsid w:val="00E0208A"/>
    <w:rPr>
      <w:rFonts w:ascii="Georgia" w:eastAsia="Georgia" w:hAnsi="Georgia" w:cs="Georgia"/>
      <w:b/>
      <w:bCs/>
      <w:i/>
      <w:iCs/>
      <w:lang w:val="es-ES"/>
    </w:rPr>
  </w:style>
  <w:style w:type="table" w:customStyle="1" w:styleId="TableNormal">
    <w:name w:val="Table Normal"/>
    <w:uiPriority w:val="2"/>
    <w:semiHidden/>
    <w:unhideWhenUsed/>
    <w:qFormat/>
    <w:rsid w:val="00785FDE"/>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85FDE"/>
    <w:pPr>
      <w:widowControl w:val="0"/>
      <w:autoSpaceDE w:val="0"/>
      <w:autoSpaceDN w:val="0"/>
    </w:pPr>
    <w:rPr>
      <w:rFonts w:ascii="Georgia" w:eastAsia="Georgia" w:hAnsi="Georgia" w:cs="Georgia"/>
      <w:sz w:val="22"/>
      <w:szCs w:val="22"/>
      <w:lang w:val="es-ES" w:eastAsia="en-US"/>
    </w:rPr>
  </w:style>
  <w:style w:type="paragraph" w:styleId="NormalWeb">
    <w:name w:val="Normal (Web)"/>
    <w:basedOn w:val="Normal"/>
    <w:uiPriority w:val="99"/>
    <w:unhideWhenUsed/>
    <w:qFormat/>
    <w:rsid w:val="00274F38"/>
    <w:pPr>
      <w:spacing w:before="100" w:beforeAutospacing="1" w:after="100" w:afterAutospacing="1"/>
    </w:pPr>
  </w:style>
  <w:style w:type="character" w:customStyle="1" w:styleId="PrrafodelistaCar">
    <w:name w:val="Párrafo de lista Car"/>
    <w:aliases w:val="titulo 3 Car,Ha Car,Resume Title Car,List Car,Normal. Viñetas Car,Bullet List Car,FooterText Car,numbered Car,Paragraphe de liste1 Car,Bulletr List Paragraph Car,列出段落 Car,列出段落1 Car,List Paragraph21 Car,Listeafsnit1 Car,Bullets Car"/>
    <w:link w:val="Prrafodelista"/>
    <w:uiPriority w:val="34"/>
    <w:qFormat/>
    <w:locked/>
    <w:rsid w:val="0005064F"/>
    <w:rPr>
      <w:rFonts w:ascii="Georgia" w:eastAsia="Georgia" w:hAnsi="Georgia" w:cs="Georgia"/>
      <w:sz w:val="22"/>
      <w:szCs w:val="22"/>
      <w:lang w:val="es-ES"/>
    </w:rPr>
  </w:style>
  <w:style w:type="paragraph" w:styleId="Subttulo">
    <w:name w:val="Subtitle"/>
    <w:basedOn w:val="Normal"/>
    <w:link w:val="SubttuloCar"/>
    <w:qFormat/>
    <w:rsid w:val="0005064F"/>
    <w:pPr>
      <w:spacing w:before="45" w:after="28"/>
      <w:jc w:val="center"/>
      <w:textAlignment w:val="center"/>
    </w:pPr>
    <w:rPr>
      <w:rFonts w:ascii="Tw Cen MT" w:eastAsia="Times New Roman" w:hAnsi="Tw Cen MT"/>
      <w:b/>
      <w:i/>
      <w:iCs/>
      <w:color w:val="000000"/>
      <w:szCs w:val="26"/>
      <w:lang w:eastAsia="es-ES"/>
    </w:rPr>
  </w:style>
  <w:style w:type="character" w:customStyle="1" w:styleId="SubttuloCar">
    <w:name w:val="Subtítulo Car"/>
    <w:basedOn w:val="Fuentedeprrafopredeter"/>
    <w:link w:val="Subttulo"/>
    <w:rsid w:val="0005064F"/>
    <w:rPr>
      <w:rFonts w:ascii="Tw Cen MT" w:eastAsia="Times New Roman" w:hAnsi="Tw Cen MT" w:cs="Times New Roman"/>
      <w:b/>
      <w:i/>
      <w:iCs/>
      <w:color w:val="000000"/>
      <w:szCs w:val="26"/>
      <w:lang w:val="es-ES_tradnl" w:eastAsia="es-ES"/>
    </w:rPr>
  </w:style>
  <w:style w:type="paragraph" w:styleId="Sinespaciado">
    <w:name w:val="No Spacing"/>
    <w:link w:val="SinespaciadoCar"/>
    <w:uiPriority w:val="1"/>
    <w:qFormat/>
    <w:rsid w:val="0005064F"/>
    <w:pPr>
      <w:jc w:val="both"/>
    </w:pPr>
    <w:rPr>
      <w:rFonts w:ascii="Times New Roman" w:eastAsia="Calibri" w:hAnsi="Times New Roman" w:cs="Calibri"/>
      <w:szCs w:val="22"/>
      <w:lang w:eastAsia="es-CO"/>
    </w:rPr>
  </w:style>
  <w:style w:type="character" w:customStyle="1" w:styleId="SinespaciadoCar">
    <w:name w:val="Sin espaciado Car"/>
    <w:link w:val="Sinespaciado"/>
    <w:uiPriority w:val="1"/>
    <w:locked/>
    <w:rsid w:val="0005064F"/>
    <w:rPr>
      <w:rFonts w:ascii="Times New Roman" w:eastAsia="Calibri" w:hAnsi="Times New Roman" w:cs="Calibri"/>
      <w:szCs w:val="22"/>
      <w:lang w:eastAsia="es-CO"/>
    </w:rPr>
  </w:style>
  <w:style w:type="paragraph" w:styleId="Textodeglobo">
    <w:name w:val="Balloon Text"/>
    <w:basedOn w:val="Normal"/>
    <w:link w:val="TextodegloboCar"/>
    <w:uiPriority w:val="99"/>
    <w:semiHidden/>
    <w:unhideWhenUsed/>
    <w:rsid w:val="000923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231B"/>
    <w:rPr>
      <w:rFonts w:ascii="Segoe UI" w:hAnsi="Segoe UI" w:cs="Segoe UI"/>
      <w:sz w:val="18"/>
      <w:szCs w:val="1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87675">
      <w:bodyDiv w:val="1"/>
      <w:marLeft w:val="0"/>
      <w:marRight w:val="0"/>
      <w:marTop w:val="0"/>
      <w:marBottom w:val="0"/>
      <w:divBdr>
        <w:top w:val="none" w:sz="0" w:space="0" w:color="auto"/>
        <w:left w:val="none" w:sz="0" w:space="0" w:color="auto"/>
        <w:bottom w:val="none" w:sz="0" w:space="0" w:color="auto"/>
        <w:right w:val="none" w:sz="0" w:space="0" w:color="auto"/>
      </w:divBdr>
    </w:div>
    <w:div w:id="417406273">
      <w:bodyDiv w:val="1"/>
      <w:marLeft w:val="0"/>
      <w:marRight w:val="0"/>
      <w:marTop w:val="0"/>
      <w:marBottom w:val="0"/>
      <w:divBdr>
        <w:top w:val="none" w:sz="0" w:space="0" w:color="auto"/>
        <w:left w:val="none" w:sz="0" w:space="0" w:color="auto"/>
        <w:bottom w:val="none" w:sz="0" w:space="0" w:color="auto"/>
        <w:right w:val="none" w:sz="0" w:space="0" w:color="auto"/>
      </w:divBdr>
    </w:div>
    <w:div w:id="1135369618">
      <w:bodyDiv w:val="1"/>
      <w:marLeft w:val="0"/>
      <w:marRight w:val="0"/>
      <w:marTop w:val="0"/>
      <w:marBottom w:val="0"/>
      <w:divBdr>
        <w:top w:val="none" w:sz="0" w:space="0" w:color="auto"/>
        <w:left w:val="none" w:sz="0" w:space="0" w:color="auto"/>
        <w:bottom w:val="none" w:sz="0" w:space="0" w:color="auto"/>
        <w:right w:val="none" w:sz="0" w:space="0" w:color="auto"/>
      </w:divBdr>
    </w:div>
    <w:div w:id="1199782627">
      <w:bodyDiv w:val="1"/>
      <w:marLeft w:val="0"/>
      <w:marRight w:val="0"/>
      <w:marTop w:val="0"/>
      <w:marBottom w:val="0"/>
      <w:divBdr>
        <w:top w:val="none" w:sz="0" w:space="0" w:color="auto"/>
        <w:left w:val="none" w:sz="0" w:space="0" w:color="auto"/>
        <w:bottom w:val="none" w:sz="0" w:space="0" w:color="auto"/>
        <w:right w:val="none" w:sz="0" w:space="0" w:color="auto"/>
      </w:divBdr>
    </w:div>
    <w:div w:id="1229683613">
      <w:bodyDiv w:val="1"/>
      <w:marLeft w:val="0"/>
      <w:marRight w:val="0"/>
      <w:marTop w:val="0"/>
      <w:marBottom w:val="0"/>
      <w:divBdr>
        <w:top w:val="none" w:sz="0" w:space="0" w:color="auto"/>
        <w:left w:val="none" w:sz="0" w:space="0" w:color="auto"/>
        <w:bottom w:val="none" w:sz="0" w:space="0" w:color="auto"/>
        <w:right w:val="none" w:sz="0" w:space="0" w:color="auto"/>
      </w:divBdr>
    </w:div>
    <w:div w:id="1691760211">
      <w:bodyDiv w:val="1"/>
      <w:marLeft w:val="0"/>
      <w:marRight w:val="0"/>
      <w:marTop w:val="0"/>
      <w:marBottom w:val="0"/>
      <w:divBdr>
        <w:top w:val="none" w:sz="0" w:space="0" w:color="auto"/>
        <w:left w:val="none" w:sz="0" w:space="0" w:color="auto"/>
        <w:bottom w:val="none" w:sz="0" w:space="0" w:color="auto"/>
        <w:right w:val="none" w:sz="0" w:space="0" w:color="auto"/>
      </w:divBdr>
    </w:div>
    <w:div w:id="1771466049">
      <w:bodyDiv w:val="1"/>
      <w:marLeft w:val="0"/>
      <w:marRight w:val="0"/>
      <w:marTop w:val="0"/>
      <w:marBottom w:val="0"/>
      <w:divBdr>
        <w:top w:val="none" w:sz="0" w:space="0" w:color="auto"/>
        <w:left w:val="none" w:sz="0" w:space="0" w:color="auto"/>
        <w:bottom w:val="none" w:sz="0" w:space="0" w:color="auto"/>
        <w:right w:val="none" w:sz="0" w:space="0" w:color="auto"/>
      </w:divBdr>
    </w:div>
    <w:div w:id="1990356811">
      <w:bodyDiv w:val="1"/>
      <w:marLeft w:val="0"/>
      <w:marRight w:val="0"/>
      <w:marTop w:val="0"/>
      <w:marBottom w:val="0"/>
      <w:divBdr>
        <w:top w:val="none" w:sz="0" w:space="0" w:color="auto"/>
        <w:left w:val="none" w:sz="0" w:space="0" w:color="auto"/>
        <w:bottom w:val="none" w:sz="0" w:space="0" w:color="auto"/>
        <w:right w:val="none" w:sz="0" w:space="0" w:color="auto"/>
      </w:divBdr>
      <w:divsChild>
        <w:div w:id="1739400675">
          <w:marLeft w:val="0"/>
          <w:marRight w:val="0"/>
          <w:marTop w:val="0"/>
          <w:marBottom w:val="0"/>
          <w:divBdr>
            <w:top w:val="none" w:sz="0" w:space="0" w:color="auto"/>
            <w:left w:val="none" w:sz="0" w:space="0" w:color="auto"/>
            <w:bottom w:val="none" w:sz="0" w:space="0" w:color="auto"/>
            <w:right w:val="none" w:sz="0" w:space="0" w:color="auto"/>
          </w:divBdr>
          <w:divsChild>
            <w:div w:id="673990820">
              <w:marLeft w:val="0"/>
              <w:marRight w:val="0"/>
              <w:marTop w:val="0"/>
              <w:marBottom w:val="0"/>
              <w:divBdr>
                <w:top w:val="none" w:sz="0" w:space="0" w:color="auto"/>
                <w:left w:val="none" w:sz="0" w:space="0" w:color="auto"/>
                <w:bottom w:val="none" w:sz="0" w:space="0" w:color="auto"/>
                <w:right w:val="none" w:sz="0" w:space="0" w:color="auto"/>
              </w:divBdr>
              <w:divsChild>
                <w:div w:id="20060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33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1455</Words>
  <Characters>8008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Ahumada</dc:creator>
  <cp:lastModifiedBy>Yulied Lorena Cruz Prieto</cp:lastModifiedBy>
  <cp:revision>2</cp:revision>
  <cp:lastPrinted>2025-04-29T17:12:00Z</cp:lastPrinted>
  <dcterms:created xsi:type="dcterms:W3CDTF">2025-04-30T14:16:00Z</dcterms:created>
  <dcterms:modified xsi:type="dcterms:W3CDTF">2025-04-30T14:16:00Z</dcterms:modified>
</cp:coreProperties>
</file>