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74A4404F" w14:textId="485B6938" w:rsidR="00370333" w:rsidRPr="0021529A" w:rsidRDefault="003572F2" w:rsidP="00370333">
      <w:pPr>
        <w:spacing w:after="0" w:line="276" w:lineRule="auto"/>
        <w:jc w:val="center"/>
        <w:rPr>
          <w:rFonts w:ascii="Calibri" w:eastAsia="Arial" w:hAnsi="Calibri" w:cs="Calibri"/>
          <w:b/>
          <w:lang w:val="es-ES_tradnl"/>
        </w:rPr>
      </w:pPr>
      <w:r w:rsidRPr="0021529A">
        <w:rPr>
          <w:rFonts w:ascii="Calibri" w:eastAsia="Arial" w:hAnsi="Calibri" w:cs="Calibri"/>
          <w:b/>
          <w:lang w:val="es-ES_tradnl"/>
        </w:rPr>
        <w:t>TEXTO APROBADO EN LA COMISIÓN PRIMERA DE LA HONORABLE CAMARA DE REPRESENTANTES EN PRIMER DEBATE</w:t>
      </w:r>
      <w:r w:rsidR="00370333" w:rsidRPr="0021529A">
        <w:rPr>
          <w:rFonts w:ascii="Calibri" w:eastAsia="Arial" w:hAnsi="Calibri" w:cs="Calibri"/>
          <w:b/>
          <w:lang w:val="es-ES_tradnl"/>
        </w:rPr>
        <w:t xml:space="preserve"> </w:t>
      </w:r>
      <w:r w:rsidR="007126A5" w:rsidRPr="0021529A">
        <w:rPr>
          <w:rFonts w:ascii="Calibri" w:eastAsia="Arial" w:hAnsi="Calibri" w:cs="Calibri"/>
          <w:b/>
          <w:lang w:val="es-ES_tradnl"/>
        </w:rPr>
        <w:t>PRIMERA VUELTA</w:t>
      </w:r>
    </w:p>
    <w:p w14:paraId="39DA840D" w14:textId="6B22F925" w:rsidR="00674456" w:rsidRPr="0021529A" w:rsidRDefault="00674456" w:rsidP="00674456">
      <w:pPr>
        <w:shd w:val="clear" w:color="auto" w:fill="FFFFFF"/>
        <w:jc w:val="center"/>
        <w:rPr>
          <w:rFonts w:ascii="Calibri" w:hAnsi="Calibri" w:cs="Calibri"/>
          <w:b/>
        </w:rPr>
      </w:pPr>
      <w:r w:rsidRPr="0021529A">
        <w:rPr>
          <w:rFonts w:ascii="Calibri" w:hAnsi="Calibri" w:cs="Calibri"/>
          <w:b/>
        </w:rPr>
        <w:t>AL PROYECTO DE ACTO LEGISLATIVO N</w:t>
      </w:r>
      <w:r w:rsidR="0021529A" w:rsidRPr="0021529A">
        <w:rPr>
          <w:rFonts w:ascii="Calibri" w:hAnsi="Calibri" w:cs="Calibri"/>
          <w:b/>
        </w:rPr>
        <w:t>o</w:t>
      </w:r>
      <w:r w:rsidRPr="0021529A">
        <w:rPr>
          <w:rFonts w:ascii="Calibri" w:hAnsi="Calibri" w:cs="Calibri"/>
          <w:b/>
        </w:rPr>
        <w:t>. 250 DE 2020 CÁMARA, ACUMULADO CON EL PROYECTO DE ACTO LEGISLATIVO N</w:t>
      </w:r>
      <w:r w:rsidR="0021529A" w:rsidRPr="0021529A">
        <w:rPr>
          <w:rFonts w:ascii="Calibri" w:hAnsi="Calibri" w:cs="Calibri"/>
          <w:b/>
        </w:rPr>
        <w:t>o</w:t>
      </w:r>
      <w:r w:rsidRPr="0021529A">
        <w:rPr>
          <w:rFonts w:ascii="Calibri" w:hAnsi="Calibri" w:cs="Calibri"/>
          <w:b/>
        </w:rPr>
        <w:t xml:space="preserve">. 145 DE 2020 CÁMARA “POR EL CUAL SE </w:t>
      </w:r>
      <w:r w:rsidR="00A256E7">
        <w:rPr>
          <w:rFonts w:ascii="Calibri" w:hAnsi="Calibri" w:cs="Calibri"/>
          <w:b/>
        </w:rPr>
        <w:t xml:space="preserve">IMPLEMENTA </w:t>
      </w:r>
      <w:r w:rsidRPr="0021529A">
        <w:rPr>
          <w:rFonts w:ascii="Calibri" w:hAnsi="Calibri" w:cs="Calibri"/>
          <w:b/>
        </w:rPr>
        <w:t>UNA REFORMA POLÍTICA Y SE DICTAN OTRAS DISPOSICIONES”</w:t>
      </w:r>
    </w:p>
    <w:p w14:paraId="0F08CC8E" w14:textId="77777777" w:rsidR="00674456" w:rsidRPr="0021529A" w:rsidRDefault="00674456" w:rsidP="00674456">
      <w:pPr>
        <w:jc w:val="both"/>
        <w:rPr>
          <w:rFonts w:ascii="Calibri" w:hAnsi="Calibri" w:cs="Calibri"/>
        </w:rPr>
      </w:pPr>
    </w:p>
    <w:p w14:paraId="5F9C114A" w14:textId="77777777" w:rsidR="00674456" w:rsidRPr="0021529A" w:rsidRDefault="00674456" w:rsidP="00674456">
      <w:pPr>
        <w:jc w:val="center"/>
        <w:rPr>
          <w:rFonts w:ascii="Calibri" w:hAnsi="Calibri" w:cs="Calibri"/>
          <w:b/>
        </w:rPr>
      </w:pPr>
      <w:r w:rsidRPr="0021529A">
        <w:rPr>
          <w:rFonts w:ascii="Calibri" w:hAnsi="Calibri" w:cs="Calibri"/>
          <w:b/>
        </w:rPr>
        <w:t>EL CONGRESO DE COLOMBIA</w:t>
      </w:r>
    </w:p>
    <w:p w14:paraId="01503C72" w14:textId="77777777" w:rsidR="00674456" w:rsidRPr="0021529A" w:rsidRDefault="00674456" w:rsidP="00674456">
      <w:pPr>
        <w:jc w:val="center"/>
        <w:rPr>
          <w:rFonts w:ascii="Calibri" w:hAnsi="Calibri" w:cs="Calibri"/>
          <w:b/>
        </w:rPr>
      </w:pPr>
    </w:p>
    <w:p w14:paraId="7E2B9EDA" w14:textId="77777777" w:rsidR="00674456" w:rsidRPr="0021529A" w:rsidRDefault="00674456" w:rsidP="00674456">
      <w:pPr>
        <w:jc w:val="center"/>
        <w:rPr>
          <w:rFonts w:ascii="Calibri" w:hAnsi="Calibri" w:cs="Calibri"/>
          <w:b/>
        </w:rPr>
      </w:pPr>
      <w:r w:rsidRPr="0021529A">
        <w:rPr>
          <w:rFonts w:ascii="Calibri" w:hAnsi="Calibri" w:cs="Calibri"/>
          <w:b/>
        </w:rPr>
        <w:t>DECRETA:</w:t>
      </w:r>
    </w:p>
    <w:p w14:paraId="6A7A0F4C" w14:textId="77777777" w:rsidR="00674456" w:rsidRDefault="00674456" w:rsidP="00674456"/>
    <w:p w14:paraId="67A9D6F6" w14:textId="3AF0C64A" w:rsidR="00674456" w:rsidRDefault="00674456" w:rsidP="00674456">
      <w:pPr>
        <w:spacing w:before="240" w:after="240" w:line="294" w:lineRule="auto"/>
        <w:jc w:val="both"/>
        <w:rPr>
          <w:sz w:val="20"/>
          <w:szCs w:val="20"/>
        </w:rPr>
      </w:pPr>
      <w:r>
        <w:rPr>
          <w:b/>
          <w:sz w:val="20"/>
          <w:szCs w:val="20"/>
        </w:rPr>
        <w:t>ARTÍCULO 1.</w:t>
      </w:r>
      <w:r>
        <w:rPr>
          <w:sz w:val="20"/>
          <w:szCs w:val="20"/>
        </w:rPr>
        <w:t xml:space="preserve"> Mod</w:t>
      </w:r>
      <w:r w:rsidR="008522C4">
        <w:rPr>
          <w:sz w:val="20"/>
          <w:szCs w:val="20"/>
        </w:rPr>
        <w:t>i</w:t>
      </w:r>
      <w:r>
        <w:rPr>
          <w:sz w:val="20"/>
          <w:szCs w:val="20"/>
        </w:rPr>
        <w:t>f</w:t>
      </w:r>
      <w:r w:rsidR="008522C4">
        <w:rPr>
          <w:sz w:val="20"/>
          <w:szCs w:val="20"/>
        </w:rPr>
        <w:t>í</w:t>
      </w:r>
      <w:r>
        <w:rPr>
          <w:sz w:val="20"/>
          <w:szCs w:val="20"/>
        </w:rPr>
        <w:t>quese el artículo 107 de la Constitución Política, el cual quedará así:</w:t>
      </w:r>
    </w:p>
    <w:p w14:paraId="79A87AF9" w14:textId="77777777" w:rsidR="00674456" w:rsidRDefault="00674456" w:rsidP="00674456">
      <w:pPr>
        <w:spacing w:before="240" w:after="240" w:line="294" w:lineRule="auto"/>
        <w:jc w:val="both"/>
        <w:rPr>
          <w:sz w:val="20"/>
          <w:szCs w:val="20"/>
        </w:rPr>
      </w:pPr>
      <w:r>
        <w:rPr>
          <w:b/>
          <w:sz w:val="20"/>
          <w:szCs w:val="20"/>
        </w:rPr>
        <w:t>ARTICULO 107</w:t>
      </w:r>
      <w:r>
        <w:rPr>
          <w:sz w:val="20"/>
          <w:szCs w:val="20"/>
        </w:rPr>
        <w:t>. Se garantiza a todos los ciudadanos el derecho a fundar, organizar y desarrollar partidos y movimientos políticos, y la libertad de afiliarse a ellos o de retirarse.</w:t>
      </w:r>
    </w:p>
    <w:p w14:paraId="4F8299F8" w14:textId="5F94F9FA" w:rsidR="00674456" w:rsidRDefault="00674456" w:rsidP="00674456">
      <w:pPr>
        <w:spacing w:before="240" w:after="240" w:line="294" w:lineRule="auto"/>
        <w:jc w:val="both"/>
        <w:rPr>
          <w:sz w:val="20"/>
          <w:szCs w:val="20"/>
        </w:rPr>
      </w:pPr>
      <w:r>
        <w:rPr>
          <w:sz w:val="20"/>
          <w:szCs w:val="20"/>
        </w:rPr>
        <w:t>En ningún caso se permitirá a los ciudadanos pertenecer simultáneamente a más de un partido o movimiento político con personería jurídica.</w:t>
      </w:r>
      <w:r w:rsidR="005F7247">
        <w:rPr>
          <w:sz w:val="20"/>
          <w:szCs w:val="20"/>
        </w:rPr>
        <w:t xml:space="preserve"> Para ello, se adoptará </w:t>
      </w:r>
      <w:r w:rsidR="00A3364D">
        <w:rPr>
          <w:sz w:val="20"/>
          <w:szCs w:val="20"/>
        </w:rPr>
        <w:t>la Tarjeta de Identidad Política, como un documento de identificación política, la cual será expedida y estará adscrita a un partido o movimiento político, coadyuvando al ejercicio de la democracia interna, la prevención de la doble militancia y la creación y validación de un Registro Único de Militantes de Partidos y Movimientos Políticos.</w:t>
      </w:r>
    </w:p>
    <w:p w14:paraId="60598E24" w14:textId="77777777" w:rsidR="00674456" w:rsidRDefault="00674456" w:rsidP="00674456">
      <w:pPr>
        <w:spacing w:before="240" w:after="240" w:line="294" w:lineRule="auto"/>
        <w:jc w:val="both"/>
        <w:rPr>
          <w:sz w:val="20"/>
          <w:szCs w:val="20"/>
        </w:rPr>
      </w:pPr>
      <w:r>
        <w:rPr>
          <w:sz w:val="20"/>
          <w:szCs w:val="20"/>
        </w:rPr>
        <w:t>Los Partidos y Movimientos Políticos se organizarán democráticamente y tendrán como principios rectores la transparencia, objetividad, moralidad, la equidad de género, y el deber de presentar y divulgar sus programas políticos.</w:t>
      </w:r>
    </w:p>
    <w:p w14:paraId="66AEED1E" w14:textId="5710396C" w:rsidR="00674456" w:rsidRPr="005F7247" w:rsidRDefault="00674456" w:rsidP="00674456">
      <w:pPr>
        <w:spacing w:before="240" w:after="240" w:line="294" w:lineRule="auto"/>
        <w:jc w:val="both"/>
        <w:rPr>
          <w:sz w:val="20"/>
          <w:szCs w:val="20"/>
        </w:rPr>
      </w:pPr>
      <w:r w:rsidRPr="005F7247">
        <w:rPr>
          <w:sz w:val="20"/>
          <w:szCs w:val="20"/>
        </w:rPr>
        <w:t>Los Partidos y Movimientos Políticos deberán elegir democráticamente a sus candidatos a cargos de elección popular y directivos, mediante los procedimientos que determine la Ley sobre la materia</w:t>
      </w:r>
      <w:r w:rsidR="005F7247" w:rsidRPr="005F7247">
        <w:rPr>
          <w:sz w:val="20"/>
          <w:szCs w:val="20"/>
        </w:rPr>
        <w:t>, los cuales deberán garantizar el cumplimiento del principio de paridad.</w:t>
      </w:r>
      <w:r w:rsidRPr="005F7247">
        <w:rPr>
          <w:sz w:val="20"/>
          <w:szCs w:val="20"/>
        </w:rPr>
        <w:t xml:space="preserve"> </w:t>
      </w:r>
    </w:p>
    <w:p w14:paraId="5FCB8345" w14:textId="77777777" w:rsidR="00674456" w:rsidRDefault="00674456" w:rsidP="00674456">
      <w:pPr>
        <w:spacing w:before="240" w:after="240" w:line="294" w:lineRule="auto"/>
        <w:jc w:val="both"/>
        <w:rPr>
          <w:sz w:val="20"/>
          <w:szCs w:val="20"/>
        </w:rPr>
      </w:pPr>
      <w:r>
        <w:rPr>
          <w:sz w:val="20"/>
          <w:szCs w:val="20"/>
        </w:rPr>
        <w:t xml:space="preserve">Para la toma de sus decisiones o la escogencia de sus candidatos propios o por coalición, </w:t>
      </w:r>
      <w:r w:rsidRPr="00A3364D">
        <w:rPr>
          <w:sz w:val="20"/>
          <w:szCs w:val="20"/>
        </w:rPr>
        <w:t>los partidos y movimientos políticos</w:t>
      </w:r>
      <w:r>
        <w:rPr>
          <w:sz w:val="20"/>
          <w:szCs w:val="20"/>
        </w:rPr>
        <w:t xml:space="preserve"> podrán celebrar consultas populares o internas o interpartidistas</w:t>
      </w:r>
      <w:r>
        <w:rPr>
          <w:sz w:val="20"/>
          <w:szCs w:val="20"/>
          <w:u w:val="single"/>
        </w:rPr>
        <w:t>,</w:t>
      </w:r>
      <w:r>
        <w:rPr>
          <w:sz w:val="20"/>
          <w:szCs w:val="20"/>
        </w:rPr>
        <w:t xml:space="preserve"> que coincidan o no con las elecciones a Corporaciones Públicas, de acuerdo con lo previsto en sus Estatutos y en la ley.</w:t>
      </w:r>
    </w:p>
    <w:p w14:paraId="1D77D312" w14:textId="77777777" w:rsidR="00674456" w:rsidRDefault="00674456" w:rsidP="00674456">
      <w:pPr>
        <w:spacing w:before="240" w:after="240" w:line="294" w:lineRule="auto"/>
        <w:jc w:val="both"/>
        <w:rPr>
          <w:sz w:val="20"/>
          <w:szCs w:val="20"/>
        </w:rPr>
      </w:pPr>
      <w:r>
        <w:rPr>
          <w:sz w:val="20"/>
          <w:szCs w:val="20"/>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18E92DB0" w14:textId="77777777" w:rsidR="00674456" w:rsidRDefault="00674456" w:rsidP="00674456">
      <w:pPr>
        <w:spacing w:before="240" w:after="240" w:line="294" w:lineRule="auto"/>
        <w:jc w:val="both"/>
        <w:rPr>
          <w:sz w:val="20"/>
          <w:szCs w:val="20"/>
        </w:rPr>
      </w:pPr>
      <w:r>
        <w:rPr>
          <w:sz w:val="20"/>
          <w:szCs w:val="20"/>
        </w:rPr>
        <w:lastRenderedPageBreak/>
        <w:t>Los directivos de los Partidos y Movimientos Políticos deberán propiciar procesos de democratización interna y el fortalecimiento del régimen de bancadas.</w:t>
      </w:r>
    </w:p>
    <w:p w14:paraId="6D2A3515" w14:textId="1E0BDE93" w:rsidR="00674456" w:rsidRDefault="00674456" w:rsidP="00674456">
      <w:pPr>
        <w:spacing w:before="240" w:after="240" w:line="294" w:lineRule="auto"/>
        <w:jc w:val="both"/>
        <w:rPr>
          <w:sz w:val="20"/>
          <w:szCs w:val="20"/>
        </w:rPr>
      </w:pPr>
      <w:r>
        <w:rPr>
          <w:sz w:val="20"/>
          <w:szCs w:val="20"/>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w:t>
      </w:r>
      <w:r w:rsidR="005F7247">
        <w:rPr>
          <w:sz w:val="20"/>
          <w:szCs w:val="20"/>
        </w:rPr>
        <w:t xml:space="preserve">la administración pública y patrimonio del estado, delitos contra </w:t>
      </w:r>
      <w:r>
        <w:rPr>
          <w:sz w:val="20"/>
          <w:szCs w:val="20"/>
        </w:rPr>
        <w:t>los mecanismos de participación democrática o de lesa humanidad</w:t>
      </w:r>
      <w:r w:rsidR="00A3364D">
        <w:rPr>
          <w:sz w:val="20"/>
          <w:szCs w:val="20"/>
        </w:rPr>
        <w:t>.</w:t>
      </w:r>
    </w:p>
    <w:p w14:paraId="074357D9" w14:textId="77777777" w:rsidR="00674456" w:rsidRPr="00A3364D" w:rsidRDefault="00674456" w:rsidP="00674456">
      <w:pPr>
        <w:spacing w:before="240" w:after="240" w:line="294" w:lineRule="auto"/>
        <w:jc w:val="both"/>
        <w:rPr>
          <w:sz w:val="20"/>
          <w:szCs w:val="20"/>
        </w:rPr>
      </w:pPr>
      <w:r>
        <w:rPr>
          <w:sz w:val="20"/>
          <w:szCs w:val="20"/>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w:t>
      </w:r>
      <w:r w:rsidRPr="00A3364D">
        <w:rPr>
          <w:sz w:val="20"/>
          <w:szCs w:val="20"/>
        </w:rPr>
        <w:t>o delitos contra la administración pública y patrimonio del Estado, los mecanismos de participación democrática o de lesa humanidad cometidos con anterioridad a la expedición del aval correspondiente.</w:t>
      </w:r>
    </w:p>
    <w:p w14:paraId="3D8DE4FE" w14:textId="77777777" w:rsidR="00674456" w:rsidRDefault="00674456" w:rsidP="00674456">
      <w:pPr>
        <w:spacing w:before="240" w:after="240" w:line="294" w:lineRule="auto"/>
        <w:jc w:val="both"/>
        <w:rPr>
          <w:sz w:val="20"/>
          <w:szCs w:val="20"/>
        </w:rPr>
      </w:pPr>
      <w:r>
        <w:rPr>
          <w:sz w:val="20"/>
          <w:szCs w:val="20"/>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0796B0DB" w14:textId="77777777" w:rsidR="00674456" w:rsidRDefault="00674456" w:rsidP="00674456">
      <w:pPr>
        <w:spacing w:before="240" w:after="240" w:line="294" w:lineRule="auto"/>
        <w:jc w:val="both"/>
        <w:rPr>
          <w:sz w:val="20"/>
          <w:szCs w:val="20"/>
        </w:rPr>
      </w:pPr>
      <w:r>
        <w:rPr>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3B0B6719" w14:textId="77777777" w:rsidR="00674456" w:rsidRDefault="00674456" w:rsidP="00674456">
      <w:pPr>
        <w:spacing w:before="240" w:after="240" w:line="294" w:lineRule="auto"/>
        <w:jc w:val="both"/>
        <w:rPr>
          <w:sz w:val="20"/>
          <w:szCs w:val="20"/>
        </w:rPr>
      </w:pPr>
      <w:r>
        <w:rPr>
          <w:sz w:val="20"/>
          <w:szCs w:val="20"/>
        </w:rPr>
        <w:t>También se garantiza a las organizaciones sociales el derecho a manifestarse y a participar en eventos políticos.</w:t>
      </w:r>
    </w:p>
    <w:p w14:paraId="3F7F03FF" w14:textId="77777777" w:rsidR="00674456" w:rsidRDefault="00674456" w:rsidP="00674456">
      <w:pPr>
        <w:spacing w:before="240" w:after="240" w:line="294" w:lineRule="auto"/>
        <w:jc w:val="both"/>
        <w:rPr>
          <w:sz w:val="20"/>
          <w:szCs w:val="20"/>
        </w:rPr>
      </w:pPr>
      <w:r>
        <w:rPr>
          <w:sz w:val="20"/>
          <w:szCs w:val="20"/>
        </w:rPr>
        <w:t>Quien siendo miembro de una corporación pública decida presentarse a la siguiente elección, por un partido distinto, deberá renunciar a la curul al menos doce (12) meses antes del primer día de inscripciones.</w:t>
      </w:r>
    </w:p>
    <w:p w14:paraId="2BBB4DD1" w14:textId="77777777" w:rsidR="00674456" w:rsidRPr="005A0005" w:rsidRDefault="00674456" w:rsidP="00674456">
      <w:pPr>
        <w:spacing w:before="240" w:after="240" w:line="294" w:lineRule="auto"/>
        <w:jc w:val="both"/>
        <w:rPr>
          <w:sz w:val="20"/>
          <w:szCs w:val="20"/>
        </w:rPr>
      </w:pPr>
      <w:r w:rsidRPr="005A0005">
        <w:rPr>
          <w:b/>
          <w:sz w:val="20"/>
          <w:szCs w:val="20"/>
        </w:rPr>
        <w:t>PARÁGRAFO TRANSITORIO.</w:t>
      </w:r>
      <w:r w:rsidRPr="005A0005">
        <w:rPr>
          <w:sz w:val="20"/>
          <w:szCs w:val="20"/>
        </w:rPr>
        <w:t>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p w14:paraId="15615457" w14:textId="59650AE7" w:rsidR="00674456" w:rsidRDefault="00674456" w:rsidP="00674456">
      <w:pPr>
        <w:spacing w:before="240" w:after="240" w:line="294" w:lineRule="auto"/>
        <w:jc w:val="both"/>
        <w:rPr>
          <w:sz w:val="20"/>
          <w:szCs w:val="20"/>
        </w:rPr>
      </w:pPr>
      <w:bookmarkStart w:id="0" w:name="_Hlk52970227"/>
      <w:r>
        <w:rPr>
          <w:b/>
          <w:sz w:val="20"/>
          <w:szCs w:val="20"/>
        </w:rPr>
        <w:t>ARTÍCULO 2.</w:t>
      </w:r>
      <w:r>
        <w:rPr>
          <w:sz w:val="20"/>
          <w:szCs w:val="20"/>
        </w:rPr>
        <w:t xml:space="preserve"> Mo</w:t>
      </w:r>
      <w:r w:rsidR="00A3364D">
        <w:rPr>
          <w:sz w:val="20"/>
          <w:szCs w:val="20"/>
        </w:rPr>
        <w:t>di</w:t>
      </w:r>
      <w:r>
        <w:rPr>
          <w:sz w:val="20"/>
          <w:szCs w:val="20"/>
        </w:rPr>
        <w:t>f</w:t>
      </w:r>
      <w:r w:rsidR="00A3364D">
        <w:rPr>
          <w:sz w:val="20"/>
          <w:szCs w:val="20"/>
        </w:rPr>
        <w:t>í</w:t>
      </w:r>
      <w:r>
        <w:rPr>
          <w:sz w:val="20"/>
          <w:szCs w:val="20"/>
        </w:rPr>
        <w:t>quese el artículo 262 de la Consti</w:t>
      </w:r>
      <w:r w:rsidR="00A3364D">
        <w:rPr>
          <w:sz w:val="20"/>
          <w:szCs w:val="20"/>
        </w:rPr>
        <w:t>t</w:t>
      </w:r>
      <w:r>
        <w:rPr>
          <w:sz w:val="20"/>
          <w:szCs w:val="20"/>
        </w:rPr>
        <w:t>ución Política, el cual quedará así:</w:t>
      </w:r>
    </w:p>
    <w:p w14:paraId="51ED50E4" w14:textId="77777777" w:rsidR="00674456" w:rsidRDefault="00674456" w:rsidP="00674456">
      <w:pPr>
        <w:spacing w:before="240" w:after="240" w:line="294" w:lineRule="auto"/>
        <w:jc w:val="both"/>
        <w:rPr>
          <w:sz w:val="20"/>
          <w:szCs w:val="20"/>
        </w:rPr>
      </w:pPr>
      <w:r>
        <w:rPr>
          <w:b/>
          <w:sz w:val="20"/>
          <w:szCs w:val="20"/>
        </w:rPr>
        <w:lastRenderedPageBreak/>
        <w:t>ARTÍCULO 262</w:t>
      </w:r>
      <w:r>
        <w:rPr>
          <w:sz w:val="20"/>
          <w:szCs w:val="20"/>
        </w:rPr>
        <w:t xml:space="preserve">. Los partidos, movimientos políticos y grupos significativos de ciudadanos que decidan </w:t>
      </w:r>
      <w:bookmarkEnd w:id="0"/>
      <w:r>
        <w:rPr>
          <w:sz w:val="20"/>
          <w:szCs w:val="20"/>
        </w:rPr>
        <w:t>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42979B96" w14:textId="77777777" w:rsidR="002A16FF" w:rsidRDefault="00674456" w:rsidP="00674456">
      <w:pPr>
        <w:spacing w:before="240" w:after="240" w:line="294" w:lineRule="auto"/>
        <w:jc w:val="both"/>
        <w:rPr>
          <w:sz w:val="20"/>
          <w:szCs w:val="20"/>
        </w:rPr>
      </w:pPr>
      <w:r>
        <w:rPr>
          <w:sz w:val="20"/>
          <w:szCs w:val="20"/>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2DDD6E4B" w14:textId="4D389625" w:rsidR="00674456" w:rsidRPr="002A16FF" w:rsidRDefault="00674456" w:rsidP="00674456">
      <w:pPr>
        <w:spacing w:before="240" w:after="240" w:line="294" w:lineRule="auto"/>
        <w:jc w:val="both"/>
        <w:rPr>
          <w:sz w:val="20"/>
          <w:szCs w:val="20"/>
        </w:rPr>
      </w:pPr>
      <w:r w:rsidRPr="00674456">
        <w:rPr>
          <w:sz w:val="20"/>
          <w:szCs w:val="20"/>
        </w:rPr>
        <w:t xml:space="preserve">Hasta el año 2022, cada partido, o movimiento político o grupo significativo de ciudadanos podrá optar por el mecanismo de voto preferente. </w:t>
      </w:r>
      <w:r>
        <w:rPr>
          <w:sz w:val="20"/>
          <w:szCs w:val="20"/>
        </w:rPr>
        <w:t>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2DD03CC" w14:textId="416DBA01" w:rsidR="00674456" w:rsidRDefault="00674456" w:rsidP="00674456">
      <w:pPr>
        <w:spacing w:before="240" w:after="240" w:line="294" w:lineRule="auto"/>
        <w:jc w:val="both"/>
        <w:rPr>
          <w:sz w:val="20"/>
          <w:szCs w:val="20"/>
        </w:rPr>
      </w:pPr>
      <w:r>
        <w:rPr>
          <w:sz w:val="20"/>
          <w:szCs w:val="20"/>
        </w:rPr>
        <w:t>En el caso de los partidos y movimientos políticos que hayan optado por el mecanismo del voto preferente, los votos por el partido o movimiento que no hayan sido atribuidos por el elector a ningún candidato en</w:t>
      </w:r>
      <w:r w:rsidR="00A34192">
        <w:rPr>
          <w:sz w:val="20"/>
          <w:szCs w:val="20"/>
        </w:rPr>
        <w:t xml:space="preserve"> </w:t>
      </w:r>
      <w:r>
        <w:rPr>
          <w:sz w:val="20"/>
          <w:szCs w:val="20"/>
        </w:rPr>
        <w:t>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13E766B4" w14:textId="23CD6B3A" w:rsidR="00674456" w:rsidRPr="00674456" w:rsidRDefault="00674456" w:rsidP="00674456">
      <w:pPr>
        <w:spacing w:before="240" w:after="240" w:line="294" w:lineRule="auto"/>
        <w:jc w:val="both"/>
        <w:rPr>
          <w:sz w:val="20"/>
          <w:szCs w:val="20"/>
        </w:rPr>
      </w:pPr>
      <w:r w:rsidRPr="00674456">
        <w:rPr>
          <w:sz w:val="20"/>
          <w:szCs w:val="20"/>
        </w:rPr>
        <w:t xml:space="preserve">A partir del año 2023, cada partido, movimiento político o grupo significativo de ciudadanos presentará únicamente listas cerradas y bloqueadas a las corporaciones públicas, conformadas de manera intercalada entre mujer y hombre u hombre y mujer. </w:t>
      </w:r>
      <w:r w:rsidR="0020236F">
        <w:rPr>
          <w:sz w:val="20"/>
          <w:szCs w:val="20"/>
        </w:rPr>
        <w:t>También podrán presentar listas de solo mujeres.</w:t>
      </w:r>
    </w:p>
    <w:p w14:paraId="2F5BC6B5" w14:textId="3772578C" w:rsidR="00674456" w:rsidRDefault="00674456" w:rsidP="00674456">
      <w:pPr>
        <w:spacing w:before="240" w:after="240" w:line="294" w:lineRule="auto"/>
        <w:jc w:val="both"/>
        <w:rPr>
          <w:sz w:val="20"/>
          <w:szCs w:val="20"/>
        </w:rPr>
      </w:pPr>
      <w:r>
        <w:rPr>
          <w:sz w:val="20"/>
          <w:szCs w:val="20"/>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w:t>
      </w:r>
      <w:r w:rsidR="002A16FF">
        <w:rPr>
          <w:sz w:val="20"/>
          <w:szCs w:val="20"/>
        </w:rPr>
        <w:t>treinta</w:t>
      </w:r>
      <w:r>
        <w:rPr>
          <w:sz w:val="20"/>
          <w:szCs w:val="20"/>
        </w:rPr>
        <w:t xml:space="preserve"> por ciento (</w:t>
      </w:r>
      <w:r w:rsidR="002A16FF">
        <w:rPr>
          <w:sz w:val="20"/>
          <w:szCs w:val="20"/>
        </w:rPr>
        <w:t>30</w:t>
      </w:r>
      <w:r>
        <w:rPr>
          <w:sz w:val="20"/>
          <w:szCs w:val="20"/>
        </w:rPr>
        <w:t>%) de los votos válidos de la respectiva circunscripción, podrán presentar lista de candidatos en coalición para corporaciones públicas.</w:t>
      </w:r>
    </w:p>
    <w:p w14:paraId="6EE2D3E2" w14:textId="77777777" w:rsidR="00674456" w:rsidRPr="00674456" w:rsidRDefault="00674456" w:rsidP="00674456">
      <w:pPr>
        <w:jc w:val="both"/>
      </w:pPr>
      <w:r w:rsidRPr="00674456">
        <w:rPr>
          <w:b/>
          <w:sz w:val="20"/>
          <w:szCs w:val="20"/>
        </w:rPr>
        <w:t>PARÁGRAFO TRANSITORIO 1º:</w:t>
      </w:r>
      <w:r w:rsidRPr="00674456">
        <w:rPr>
          <w:sz w:val="20"/>
          <w:szCs w:val="20"/>
        </w:rPr>
        <w:t xml:space="preserve">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w:t>
      </w:r>
    </w:p>
    <w:p w14:paraId="0EE785E8" w14:textId="77777777" w:rsidR="00674456" w:rsidRDefault="00674456" w:rsidP="00674456">
      <w:pPr>
        <w:jc w:val="both"/>
      </w:pPr>
    </w:p>
    <w:p w14:paraId="6308D20C" w14:textId="77777777" w:rsidR="00674456" w:rsidRDefault="00674456" w:rsidP="00674456">
      <w:pPr>
        <w:jc w:val="both"/>
      </w:pPr>
    </w:p>
    <w:p w14:paraId="394228E5" w14:textId="616FD2FE" w:rsidR="00066A9D" w:rsidRDefault="00066A9D" w:rsidP="00066A9D">
      <w:pPr>
        <w:spacing w:before="240" w:after="240" w:line="294" w:lineRule="auto"/>
        <w:jc w:val="both"/>
        <w:rPr>
          <w:sz w:val="20"/>
          <w:szCs w:val="20"/>
        </w:rPr>
      </w:pPr>
      <w:r>
        <w:rPr>
          <w:b/>
          <w:sz w:val="20"/>
          <w:szCs w:val="20"/>
        </w:rPr>
        <w:lastRenderedPageBreak/>
        <w:t>ARTÍCULO 3.</w:t>
      </w:r>
      <w:r>
        <w:rPr>
          <w:sz w:val="20"/>
          <w:szCs w:val="20"/>
        </w:rPr>
        <w:t xml:space="preserve"> Adiciónese el Inciso 6° y un parágrafo transitorio al artículo 171 de la Constitución Política, el cual quedará así:</w:t>
      </w:r>
    </w:p>
    <w:p w14:paraId="1CF58F25" w14:textId="477C79B0" w:rsidR="00066A9D" w:rsidRDefault="00066A9D" w:rsidP="00066A9D">
      <w:pPr>
        <w:spacing w:before="240" w:after="240" w:line="294" w:lineRule="auto"/>
        <w:jc w:val="both"/>
        <w:rPr>
          <w:sz w:val="20"/>
          <w:szCs w:val="20"/>
        </w:rPr>
      </w:pPr>
      <w:r>
        <w:rPr>
          <w:sz w:val="20"/>
          <w:szCs w:val="20"/>
        </w:rPr>
        <w:t xml:space="preserve">Habrá un </w:t>
      </w:r>
      <w:r w:rsidR="00B14CEC">
        <w:rPr>
          <w:sz w:val="20"/>
          <w:szCs w:val="20"/>
        </w:rPr>
        <w:t>S</w:t>
      </w:r>
      <w:r>
        <w:rPr>
          <w:sz w:val="20"/>
          <w:szCs w:val="20"/>
        </w:rPr>
        <w:t xml:space="preserve">enador adicional por cada una de las circunscripciones </w:t>
      </w:r>
      <w:r w:rsidR="00B14CEC">
        <w:rPr>
          <w:sz w:val="20"/>
          <w:szCs w:val="20"/>
        </w:rPr>
        <w:t>territoriales que cuenten con solo dos Representantes a la Cámara. Los candidatos que sean elegidos por esta circunscripción especial deberán ser oriundos de los respectivos departamentos o haber residido en ellos al menos durante los dos años anteriores a la elección.</w:t>
      </w:r>
    </w:p>
    <w:p w14:paraId="7E55D5FF" w14:textId="598D7785" w:rsidR="00066A9D" w:rsidRPr="00B14CEC" w:rsidRDefault="00B14CEC" w:rsidP="00B14CEC">
      <w:pPr>
        <w:spacing w:before="240" w:after="240" w:line="294" w:lineRule="auto"/>
        <w:jc w:val="both"/>
        <w:rPr>
          <w:sz w:val="20"/>
          <w:szCs w:val="20"/>
        </w:rPr>
      </w:pPr>
      <w:r w:rsidRPr="00B14CEC">
        <w:rPr>
          <w:b/>
          <w:bCs/>
          <w:sz w:val="20"/>
          <w:szCs w:val="20"/>
        </w:rPr>
        <w:t>PARÁGRAFO TRANSITORIO</w:t>
      </w:r>
      <w:r>
        <w:rPr>
          <w:sz w:val="20"/>
          <w:szCs w:val="20"/>
        </w:rPr>
        <w:t>. La ley determinará la distribución de estas curules entre las comisiones constitucionales permanentes del Senado de la República y realizará los ajustes presupuestales necesarios</w:t>
      </w:r>
    </w:p>
    <w:p w14:paraId="646EFC1C" w14:textId="5D3C4ECF" w:rsidR="00674456" w:rsidRDefault="00674456" w:rsidP="00674456">
      <w:pPr>
        <w:jc w:val="both"/>
      </w:pPr>
      <w:r>
        <w:rPr>
          <w:b/>
          <w:sz w:val="20"/>
          <w:szCs w:val="20"/>
        </w:rPr>
        <w:t xml:space="preserve">ARTÍCULO </w:t>
      </w:r>
      <w:r w:rsidR="00B14CEC">
        <w:rPr>
          <w:b/>
          <w:sz w:val="20"/>
          <w:szCs w:val="20"/>
        </w:rPr>
        <w:t>4</w:t>
      </w:r>
      <w:r>
        <w:rPr>
          <w:b/>
          <w:sz w:val="20"/>
          <w:szCs w:val="20"/>
        </w:rPr>
        <w:t xml:space="preserve">.  Vigencia. </w:t>
      </w:r>
      <w:r>
        <w:rPr>
          <w:sz w:val="20"/>
          <w:szCs w:val="20"/>
        </w:rPr>
        <w:t>El presente Acto Legislativo regirá a partir de su promulgación.</w:t>
      </w:r>
    </w:p>
    <w:p w14:paraId="44BFEBE5" w14:textId="77777777" w:rsidR="00113EB2" w:rsidRDefault="00113EB2" w:rsidP="0085794F">
      <w:pPr>
        <w:spacing w:line="276" w:lineRule="auto"/>
        <w:jc w:val="both"/>
        <w:rPr>
          <w:rFonts w:ascii="Arial" w:hAnsi="Arial" w:cs="Arial"/>
          <w:color w:val="000000"/>
          <w:lang w:val="es-ES" w:eastAsia="es-ES"/>
        </w:rPr>
      </w:pPr>
    </w:p>
    <w:p w14:paraId="6441826B" w14:textId="4B5D34F5" w:rsidR="00A01305" w:rsidRPr="00113EB2" w:rsidRDefault="00CA4DEE" w:rsidP="0085794F">
      <w:pPr>
        <w:spacing w:line="276" w:lineRule="auto"/>
        <w:jc w:val="both"/>
        <w:rPr>
          <w:rFonts w:ascii="Calibri" w:hAnsi="Calibri" w:cs="Calibri"/>
          <w:color w:val="000000"/>
          <w:sz w:val="20"/>
          <w:szCs w:val="20"/>
          <w:lang w:val="es-ES" w:eastAsia="es-ES"/>
        </w:rPr>
      </w:pPr>
      <w:r w:rsidRPr="00113EB2">
        <w:rPr>
          <w:rFonts w:ascii="Calibri" w:hAnsi="Calibri" w:cs="Calibri"/>
          <w:color w:val="000000"/>
          <w:sz w:val="20"/>
          <w:szCs w:val="20"/>
          <w:lang w:val="es-ES" w:eastAsia="es-ES"/>
        </w:rPr>
        <w:t xml:space="preserve">En los anteriores términos fue aprobado con modificaciones el presente Proyecto de </w:t>
      </w:r>
      <w:r w:rsidR="006A7638">
        <w:rPr>
          <w:rFonts w:ascii="Calibri" w:hAnsi="Calibri" w:cs="Calibri"/>
          <w:color w:val="000000"/>
          <w:sz w:val="20"/>
          <w:szCs w:val="20"/>
          <w:lang w:val="es-ES" w:eastAsia="es-ES"/>
        </w:rPr>
        <w:t xml:space="preserve">Acto Legislativo </w:t>
      </w:r>
      <w:r w:rsidRPr="00113EB2">
        <w:rPr>
          <w:rFonts w:ascii="Calibri" w:hAnsi="Calibri" w:cs="Calibri"/>
          <w:color w:val="000000"/>
          <w:sz w:val="20"/>
          <w:szCs w:val="20"/>
          <w:lang w:val="es-ES" w:eastAsia="es-ES"/>
        </w:rPr>
        <w:t xml:space="preserve">según consta en Actas No. </w:t>
      </w:r>
      <w:r w:rsidR="004E422C" w:rsidRPr="00113EB2">
        <w:rPr>
          <w:rFonts w:ascii="Calibri" w:hAnsi="Calibri" w:cs="Calibri"/>
          <w:color w:val="000000"/>
          <w:sz w:val="20"/>
          <w:szCs w:val="20"/>
          <w:lang w:val="es-ES" w:eastAsia="es-ES"/>
        </w:rPr>
        <w:t>1</w:t>
      </w:r>
      <w:r w:rsidR="00B22913">
        <w:rPr>
          <w:rFonts w:ascii="Calibri" w:hAnsi="Calibri" w:cs="Calibri"/>
          <w:color w:val="000000"/>
          <w:sz w:val="20"/>
          <w:szCs w:val="20"/>
          <w:lang w:val="es-ES" w:eastAsia="es-ES"/>
        </w:rPr>
        <w:t>8</w:t>
      </w:r>
      <w:r w:rsidRPr="00113EB2">
        <w:rPr>
          <w:rFonts w:ascii="Calibri" w:hAnsi="Calibri" w:cs="Calibri"/>
          <w:color w:val="000000"/>
          <w:sz w:val="20"/>
          <w:szCs w:val="20"/>
          <w:lang w:val="es-ES" w:eastAsia="es-ES"/>
        </w:rPr>
        <w:t xml:space="preserve"> de sesión </w:t>
      </w:r>
      <w:r w:rsidR="004E422C" w:rsidRPr="00113EB2">
        <w:rPr>
          <w:rFonts w:ascii="Calibri" w:hAnsi="Calibri" w:cs="Calibri"/>
          <w:color w:val="000000"/>
          <w:sz w:val="20"/>
          <w:szCs w:val="20"/>
          <w:lang w:val="es-ES" w:eastAsia="es-ES"/>
        </w:rPr>
        <w:t xml:space="preserve">presencial con excepciones </w:t>
      </w:r>
      <w:r w:rsidRPr="00113EB2">
        <w:rPr>
          <w:rFonts w:ascii="Calibri" w:hAnsi="Calibri" w:cs="Calibri"/>
          <w:color w:val="000000"/>
          <w:sz w:val="20"/>
          <w:szCs w:val="20"/>
          <w:lang w:val="es-ES" w:eastAsia="es-ES"/>
        </w:rPr>
        <w:t>de</w:t>
      </w:r>
      <w:r w:rsidR="004E422C" w:rsidRPr="00113EB2">
        <w:rPr>
          <w:rFonts w:ascii="Calibri" w:hAnsi="Calibri" w:cs="Calibri"/>
          <w:color w:val="000000"/>
          <w:sz w:val="20"/>
          <w:szCs w:val="20"/>
          <w:lang w:val="es-ES" w:eastAsia="es-ES"/>
        </w:rPr>
        <w:t xml:space="preserve"> septiembre 2</w:t>
      </w:r>
      <w:r w:rsidR="00B22913">
        <w:rPr>
          <w:rFonts w:ascii="Calibri" w:hAnsi="Calibri" w:cs="Calibri"/>
          <w:color w:val="000000"/>
          <w:sz w:val="20"/>
          <w:szCs w:val="20"/>
          <w:lang w:val="es-ES" w:eastAsia="es-ES"/>
        </w:rPr>
        <w:t>9</w:t>
      </w:r>
      <w:r w:rsidR="004E422C" w:rsidRPr="00113EB2">
        <w:rPr>
          <w:rFonts w:ascii="Calibri" w:hAnsi="Calibri" w:cs="Calibri"/>
          <w:color w:val="000000"/>
          <w:sz w:val="20"/>
          <w:szCs w:val="20"/>
          <w:lang w:val="es-ES" w:eastAsia="es-ES"/>
        </w:rPr>
        <w:t xml:space="preserve"> de 2020</w:t>
      </w:r>
      <w:r w:rsidR="00B22913">
        <w:rPr>
          <w:rFonts w:ascii="Calibri" w:hAnsi="Calibri" w:cs="Calibri"/>
          <w:color w:val="000000"/>
          <w:sz w:val="20"/>
          <w:szCs w:val="20"/>
          <w:lang w:val="es-ES" w:eastAsia="es-ES"/>
        </w:rPr>
        <w:t>,</w:t>
      </w:r>
      <w:r w:rsidR="004E422C" w:rsidRPr="00113EB2">
        <w:rPr>
          <w:rFonts w:ascii="Calibri" w:hAnsi="Calibri" w:cs="Calibri"/>
          <w:color w:val="000000"/>
          <w:sz w:val="20"/>
          <w:szCs w:val="20"/>
          <w:lang w:val="es-ES" w:eastAsia="es-ES"/>
        </w:rPr>
        <w:t xml:space="preserve"> </w:t>
      </w:r>
      <w:r w:rsidRPr="00113EB2">
        <w:rPr>
          <w:rFonts w:ascii="Calibri" w:hAnsi="Calibri" w:cs="Calibri"/>
          <w:color w:val="000000"/>
          <w:sz w:val="20"/>
          <w:szCs w:val="20"/>
          <w:lang w:val="es-ES" w:eastAsia="es-ES"/>
        </w:rPr>
        <w:t xml:space="preserve">Acta No. </w:t>
      </w:r>
      <w:r w:rsidR="004E422C" w:rsidRPr="00113EB2">
        <w:rPr>
          <w:rFonts w:ascii="Calibri" w:hAnsi="Calibri" w:cs="Calibri"/>
          <w:color w:val="000000"/>
          <w:sz w:val="20"/>
          <w:szCs w:val="20"/>
          <w:lang w:val="es-ES" w:eastAsia="es-ES"/>
        </w:rPr>
        <w:t>1</w:t>
      </w:r>
      <w:r w:rsidR="00B22913">
        <w:rPr>
          <w:rFonts w:ascii="Calibri" w:hAnsi="Calibri" w:cs="Calibri"/>
          <w:color w:val="000000"/>
          <w:sz w:val="20"/>
          <w:szCs w:val="20"/>
          <w:lang w:val="es-ES" w:eastAsia="es-ES"/>
        </w:rPr>
        <w:t>9</w:t>
      </w:r>
      <w:r w:rsidRPr="00113EB2">
        <w:rPr>
          <w:rFonts w:ascii="Calibri" w:hAnsi="Calibri" w:cs="Calibri"/>
          <w:color w:val="000000"/>
          <w:sz w:val="20"/>
          <w:szCs w:val="20"/>
          <w:lang w:val="es-ES" w:eastAsia="es-ES"/>
        </w:rPr>
        <w:t xml:space="preserve"> de sesión</w:t>
      </w:r>
      <w:r w:rsidR="004E422C" w:rsidRPr="00113EB2">
        <w:rPr>
          <w:rFonts w:ascii="Calibri" w:hAnsi="Calibri" w:cs="Calibri"/>
          <w:color w:val="000000"/>
          <w:sz w:val="20"/>
          <w:szCs w:val="20"/>
          <w:lang w:val="es-ES" w:eastAsia="es-ES"/>
        </w:rPr>
        <w:t xml:space="preserve"> presencial con excepciones de septiembre </w:t>
      </w:r>
      <w:r w:rsidR="00B22913">
        <w:rPr>
          <w:rFonts w:ascii="Calibri" w:hAnsi="Calibri" w:cs="Calibri"/>
          <w:color w:val="000000"/>
          <w:sz w:val="20"/>
          <w:szCs w:val="20"/>
          <w:lang w:val="es-ES" w:eastAsia="es-ES"/>
        </w:rPr>
        <w:t>30</w:t>
      </w:r>
      <w:r w:rsidR="004E422C" w:rsidRPr="00113EB2">
        <w:rPr>
          <w:rFonts w:ascii="Calibri" w:hAnsi="Calibri" w:cs="Calibri"/>
          <w:color w:val="000000"/>
          <w:sz w:val="20"/>
          <w:szCs w:val="20"/>
          <w:lang w:val="es-ES" w:eastAsia="es-ES"/>
        </w:rPr>
        <w:t xml:space="preserve"> de 2020</w:t>
      </w:r>
      <w:r w:rsidR="00B22913">
        <w:rPr>
          <w:rFonts w:ascii="Calibri" w:hAnsi="Calibri" w:cs="Calibri"/>
          <w:color w:val="000000"/>
          <w:sz w:val="20"/>
          <w:szCs w:val="20"/>
          <w:lang w:val="es-ES" w:eastAsia="es-ES"/>
        </w:rPr>
        <w:t xml:space="preserve"> y Acta No. 20 de sesión presencial con excepciones de octubre 06 de 2020</w:t>
      </w:r>
      <w:r w:rsidR="004E422C" w:rsidRPr="00113EB2">
        <w:rPr>
          <w:rFonts w:ascii="Calibri" w:hAnsi="Calibri" w:cs="Calibri"/>
          <w:color w:val="000000"/>
          <w:sz w:val="20"/>
          <w:szCs w:val="20"/>
          <w:lang w:val="es-ES" w:eastAsia="es-ES"/>
        </w:rPr>
        <w:t>.</w:t>
      </w:r>
      <w:r w:rsidRPr="00113EB2">
        <w:rPr>
          <w:rFonts w:ascii="Calibri" w:hAnsi="Calibri" w:cs="Calibri"/>
          <w:color w:val="000000"/>
          <w:sz w:val="20"/>
          <w:szCs w:val="20"/>
          <w:lang w:val="es-ES" w:eastAsia="es-ES"/>
        </w:rPr>
        <w:t xml:space="preserve"> Anunciado entre otras fechas, el </w:t>
      </w:r>
      <w:r w:rsidR="00B22913">
        <w:rPr>
          <w:rFonts w:ascii="Calibri" w:hAnsi="Calibri" w:cs="Calibri"/>
          <w:color w:val="000000"/>
          <w:sz w:val="20"/>
          <w:szCs w:val="20"/>
          <w:lang w:val="es-ES" w:eastAsia="es-ES"/>
        </w:rPr>
        <w:t>24</w:t>
      </w:r>
      <w:r w:rsidRPr="00113EB2">
        <w:rPr>
          <w:rFonts w:ascii="Calibri" w:hAnsi="Calibri" w:cs="Calibri"/>
          <w:color w:val="000000"/>
          <w:sz w:val="20"/>
          <w:szCs w:val="20"/>
          <w:lang w:val="es-ES" w:eastAsia="es-ES"/>
        </w:rPr>
        <w:t xml:space="preserve"> de </w:t>
      </w:r>
      <w:r w:rsidR="004E422C" w:rsidRPr="00113EB2">
        <w:rPr>
          <w:rFonts w:ascii="Calibri" w:hAnsi="Calibri" w:cs="Calibri"/>
          <w:color w:val="000000"/>
          <w:sz w:val="20"/>
          <w:szCs w:val="20"/>
          <w:lang w:val="es-ES" w:eastAsia="es-ES"/>
        </w:rPr>
        <w:t>septiembre</w:t>
      </w:r>
      <w:r w:rsidRPr="00113EB2">
        <w:rPr>
          <w:rFonts w:ascii="Calibri" w:hAnsi="Calibri" w:cs="Calibri"/>
          <w:color w:val="000000"/>
          <w:sz w:val="20"/>
          <w:szCs w:val="20"/>
          <w:lang w:val="es-ES" w:eastAsia="es-ES"/>
        </w:rPr>
        <w:t xml:space="preserve"> de 2020 según consta en Acta No. </w:t>
      </w:r>
      <w:r w:rsidR="004E422C" w:rsidRPr="00113EB2">
        <w:rPr>
          <w:rFonts w:ascii="Calibri" w:hAnsi="Calibri" w:cs="Calibri"/>
          <w:color w:val="000000"/>
          <w:sz w:val="20"/>
          <w:szCs w:val="20"/>
          <w:lang w:val="es-ES" w:eastAsia="es-ES"/>
        </w:rPr>
        <w:t>1</w:t>
      </w:r>
      <w:r w:rsidR="00B22913">
        <w:rPr>
          <w:rFonts w:ascii="Calibri" w:hAnsi="Calibri" w:cs="Calibri"/>
          <w:color w:val="000000"/>
          <w:sz w:val="20"/>
          <w:szCs w:val="20"/>
          <w:lang w:val="es-ES" w:eastAsia="es-ES"/>
        </w:rPr>
        <w:t>7</w:t>
      </w:r>
      <w:r w:rsidRPr="00113EB2">
        <w:rPr>
          <w:rFonts w:ascii="Calibri" w:hAnsi="Calibri" w:cs="Calibri"/>
          <w:color w:val="000000"/>
          <w:sz w:val="20"/>
          <w:szCs w:val="20"/>
          <w:lang w:val="es-ES" w:eastAsia="es-ES"/>
        </w:rPr>
        <w:t xml:space="preserve"> de sesión </w:t>
      </w:r>
      <w:r w:rsidR="00B22913">
        <w:rPr>
          <w:rFonts w:ascii="Calibri" w:hAnsi="Calibri" w:cs="Calibri"/>
          <w:color w:val="000000"/>
          <w:sz w:val="20"/>
          <w:szCs w:val="20"/>
          <w:lang w:val="es-ES" w:eastAsia="es-ES"/>
        </w:rPr>
        <w:t xml:space="preserve">remota </w:t>
      </w:r>
      <w:r w:rsidR="00834B6E" w:rsidRPr="00113EB2">
        <w:rPr>
          <w:rFonts w:ascii="Calibri" w:hAnsi="Calibri" w:cs="Calibri"/>
          <w:color w:val="000000"/>
          <w:sz w:val="20"/>
          <w:szCs w:val="20"/>
          <w:lang w:val="es-ES" w:eastAsia="es-ES"/>
        </w:rPr>
        <w:t>de la misma fecha</w:t>
      </w:r>
      <w:r w:rsidR="00B22913">
        <w:rPr>
          <w:rFonts w:ascii="Calibri" w:hAnsi="Calibri" w:cs="Calibri"/>
          <w:color w:val="000000"/>
          <w:sz w:val="20"/>
          <w:szCs w:val="20"/>
          <w:lang w:val="es-ES" w:eastAsia="es-ES"/>
        </w:rPr>
        <w:t xml:space="preserve">, </w:t>
      </w:r>
      <w:r w:rsidRPr="00113EB2">
        <w:rPr>
          <w:rFonts w:ascii="Calibri" w:hAnsi="Calibri" w:cs="Calibri"/>
          <w:color w:val="000000"/>
          <w:sz w:val="20"/>
          <w:szCs w:val="20"/>
          <w:lang w:val="es-ES" w:eastAsia="es-ES"/>
        </w:rPr>
        <w:t xml:space="preserve">el </w:t>
      </w:r>
      <w:r w:rsidR="004E422C" w:rsidRPr="00113EB2">
        <w:rPr>
          <w:rFonts w:ascii="Calibri" w:hAnsi="Calibri" w:cs="Calibri"/>
          <w:color w:val="000000"/>
          <w:sz w:val="20"/>
          <w:szCs w:val="20"/>
          <w:lang w:val="es-ES" w:eastAsia="es-ES"/>
        </w:rPr>
        <w:t>2</w:t>
      </w:r>
      <w:r w:rsidR="00B22913">
        <w:rPr>
          <w:rFonts w:ascii="Calibri" w:hAnsi="Calibri" w:cs="Calibri"/>
          <w:color w:val="000000"/>
          <w:sz w:val="20"/>
          <w:szCs w:val="20"/>
          <w:lang w:val="es-ES" w:eastAsia="es-ES"/>
        </w:rPr>
        <w:t>9</w:t>
      </w:r>
      <w:r w:rsidRPr="00113EB2">
        <w:rPr>
          <w:rFonts w:ascii="Calibri" w:hAnsi="Calibri" w:cs="Calibri"/>
          <w:color w:val="000000"/>
          <w:sz w:val="20"/>
          <w:szCs w:val="20"/>
          <w:lang w:val="es-ES" w:eastAsia="es-ES"/>
        </w:rPr>
        <w:t xml:space="preserve"> de </w:t>
      </w:r>
      <w:r w:rsidR="004E422C" w:rsidRPr="00113EB2">
        <w:rPr>
          <w:rFonts w:ascii="Calibri" w:hAnsi="Calibri" w:cs="Calibri"/>
          <w:color w:val="000000"/>
          <w:sz w:val="20"/>
          <w:szCs w:val="20"/>
          <w:lang w:val="es-ES" w:eastAsia="es-ES"/>
        </w:rPr>
        <w:t>septiembre</w:t>
      </w:r>
      <w:r w:rsidRPr="00113EB2">
        <w:rPr>
          <w:rFonts w:ascii="Calibri" w:hAnsi="Calibri" w:cs="Calibri"/>
          <w:color w:val="000000"/>
          <w:sz w:val="20"/>
          <w:szCs w:val="20"/>
          <w:lang w:val="es-ES" w:eastAsia="es-ES"/>
        </w:rPr>
        <w:t xml:space="preserve"> de 2020 </w:t>
      </w:r>
      <w:r w:rsidR="00BF34E3" w:rsidRPr="00113EB2">
        <w:rPr>
          <w:rFonts w:ascii="Calibri" w:hAnsi="Calibri" w:cs="Calibri"/>
          <w:color w:val="000000"/>
          <w:sz w:val="20"/>
          <w:szCs w:val="20"/>
          <w:lang w:val="es-ES" w:eastAsia="es-ES"/>
        </w:rPr>
        <w:t>según</w:t>
      </w:r>
      <w:r w:rsidRPr="00113EB2">
        <w:rPr>
          <w:rFonts w:ascii="Calibri" w:hAnsi="Calibri" w:cs="Calibri"/>
          <w:color w:val="000000"/>
          <w:sz w:val="20"/>
          <w:szCs w:val="20"/>
          <w:lang w:val="es-ES" w:eastAsia="es-ES"/>
        </w:rPr>
        <w:t xml:space="preserve"> consta en Acta No. </w:t>
      </w:r>
      <w:r w:rsidR="00A01C1A" w:rsidRPr="00113EB2">
        <w:rPr>
          <w:rFonts w:ascii="Calibri" w:hAnsi="Calibri" w:cs="Calibri"/>
          <w:color w:val="000000"/>
          <w:sz w:val="20"/>
          <w:szCs w:val="20"/>
          <w:lang w:val="es-ES" w:eastAsia="es-ES"/>
        </w:rPr>
        <w:t>1</w:t>
      </w:r>
      <w:r w:rsidR="00B22913">
        <w:rPr>
          <w:rFonts w:ascii="Calibri" w:hAnsi="Calibri" w:cs="Calibri"/>
          <w:color w:val="000000"/>
          <w:sz w:val="20"/>
          <w:szCs w:val="20"/>
          <w:lang w:val="es-ES" w:eastAsia="es-ES"/>
        </w:rPr>
        <w:t>8</w:t>
      </w:r>
      <w:r w:rsidRPr="00113EB2">
        <w:rPr>
          <w:rFonts w:ascii="Calibri" w:hAnsi="Calibri" w:cs="Calibri"/>
          <w:color w:val="000000"/>
          <w:sz w:val="20"/>
          <w:szCs w:val="20"/>
          <w:lang w:val="es-ES" w:eastAsia="es-ES"/>
        </w:rPr>
        <w:t xml:space="preserve"> de sesión </w:t>
      </w:r>
      <w:r w:rsidR="00B22913" w:rsidRPr="00113EB2">
        <w:rPr>
          <w:rFonts w:ascii="Calibri" w:hAnsi="Calibri" w:cs="Calibri"/>
          <w:color w:val="000000"/>
          <w:sz w:val="20"/>
          <w:szCs w:val="20"/>
          <w:lang w:val="es-ES" w:eastAsia="es-ES"/>
        </w:rPr>
        <w:t xml:space="preserve">presencial con excepciones </w:t>
      </w:r>
      <w:r w:rsidR="00834B6E" w:rsidRPr="00113EB2">
        <w:rPr>
          <w:rFonts w:ascii="Calibri" w:hAnsi="Calibri" w:cs="Calibri"/>
          <w:color w:val="000000"/>
          <w:sz w:val="20"/>
          <w:szCs w:val="20"/>
          <w:lang w:val="es-ES" w:eastAsia="es-ES"/>
        </w:rPr>
        <w:t>de la misma fecha</w:t>
      </w:r>
      <w:r w:rsidR="00B22913">
        <w:rPr>
          <w:rFonts w:ascii="Calibri" w:hAnsi="Calibri" w:cs="Calibri"/>
          <w:color w:val="000000"/>
          <w:sz w:val="20"/>
          <w:szCs w:val="20"/>
          <w:lang w:val="es-ES" w:eastAsia="es-ES"/>
        </w:rPr>
        <w:t xml:space="preserve"> y el 30 de septiembre de 2020 según consta en Acta No. 19 de sesión presencial con excepciones de la misma fecha.</w:t>
      </w:r>
    </w:p>
    <w:p w14:paraId="403520D5" w14:textId="3F004869" w:rsidR="00BF34E3" w:rsidRPr="00113EB2" w:rsidRDefault="00BF34E3" w:rsidP="00503E9D">
      <w:pPr>
        <w:spacing w:before="45" w:after="15" w:line="276" w:lineRule="auto"/>
        <w:ind w:right="30"/>
        <w:jc w:val="both"/>
        <w:rPr>
          <w:rFonts w:ascii="Calibri" w:eastAsia="Times New Roman" w:hAnsi="Calibri" w:cs="Calibri"/>
          <w:b/>
          <w:color w:val="000000"/>
          <w:sz w:val="20"/>
          <w:szCs w:val="20"/>
          <w:lang w:eastAsia="es-CO"/>
        </w:rPr>
      </w:pPr>
    </w:p>
    <w:p w14:paraId="51395CAD" w14:textId="702A03C4" w:rsidR="009304B1" w:rsidRDefault="009304B1" w:rsidP="00503E9D">
      <w:pPr>
        <w:spacing w:before="45" w:after="15" w:line="276" w:lineRule="auto"/>
        <w:ind w:right="30"/>
        <w:jc w:val="both"/>
        <w:rPr>
          <w:rFonts w:ascii="Calibri" w:eastAsia="Times New Roman" w:hAnsi="Calibri" w:cs="Calibri"/>
          <w:b/>
          <w:color w:val="000000"/>
          <w:sz w:val="20"/>
          <w:szCs w:val="20"/>
          <w:lang w:eastAsia="es-CO"/>
        </w:rPr>
      </w:pPr>
    </w:p>
    <w:p w14:paraId="3B5D1895" w14:textId="40320F69" w:rsidR="00B53D70" w:rsidRDefault="00B53D70" w:rsidP="00503E9D">
      <w:pPr>
        <w:spacing w:before="45" w:after="15" w:line="276" w:lineRule="auto"/>
        <w:ind w:right="30"/>
        <w:jc w:val="both"/>
        <w:rPr>
          <w:rFonts w:ascii="Calibri" w:eastAsia="Times New Roman" w:hAnsi="Calibri" w:cs="Calibri"/>
          <w:b/>
          <w:color w:val="000000"/>
          <w:sz w:val="20"/>
          <w:szCs w:val="20"/>
          <w:lang w:eastAsia="es-CO"/>
        </w:rPr>
      </w:pPr>
    </w:p>
    <w:p w14:paraId="40E7771F" w14:textId="60B30EBA" w:rsidR="00B53D70" w:rsidRPr="00113EB2" w:rsidRDefault="00B53D70" w:rsidP="00503E9D">
      <w:pPr>
        <w:spacing w:before="45" w:after="15" w:line="276" w:lineRule="auto"/>
        <w:ind w:right="30"/>
        <w:jc w:val="both"/>
        <w:rPr>
          <w:rFonts w:ascii="Calibri" w:eastAsia="Times New Roman" w:hAnsi="Calibri" w:cs="Calibri"/>
          <w:b/>
          <w:color w:val="000000"/>
          <w:sz w:val="20"/>
          <w:szCs w:val="20"/>
          <w:lang w:eastAsia="es-CO"/>
        </w:rPr>
      </w:pPr>
    </w:p>
    <w:p w14:paraId="79CF5725" w14:textId="16DF664C" w:rsidR="00CE1606" w:rsidRPr="00CE1606" w:rsidRDefault="00A01C1A" w:rsidP="00743757">
      <w:pPr>
        <w:spacing w:after="0" w:line="240" w:lineRule="auto"/>
        <w:jc w:val="both"/>
        <w:rPr>
          <w:rFonts w:ascii="Calibri" w:eastAsia="Times New Roman" w:hAnsi="Calibri" w:cs="Calibri"/>
          <w:b/>
          <w:color w:val="000000"/>
          <w:sz w:val="20"/>
          <w:szCs w:val="20"/>
          <w:lang w:eastAsia="es-CO"/>
        </w:rPr>
      </w:pPr>
      <w:r w:rsidRPr="00113EB2">
        <w:rPr>
          <w:rFonts w:ascii="Calibri" w:eastAsia="Times New Roman" w:hAnsi="Calibri" w:cs="Calibri"/>
          <w:b/>
          <w:color w:val="000000"/>
          <w:sz w:val="20"/>
          <w:szCs w:val="20"/>
          <w:lang w:eastAsia="es-CO"/>
        </w:rPr>
        <w:t>J</w:t>
      </w:r>
      <w:r w:rsidR="002E4EEE">
        <w:rPr>
          <w:rFonts w:ascii="Calibri" w:eastAsia="Times New Roman" w:hAnsi="Calibri" w:cs="Calibri"/>
          <w:b/>
          <w:color w:val="000000"/>
          <w:sz w:val="20"/>
          <w:szCs w:val="20"/>
          <w:lang w:eastAsia="es-CO"/>
        </w:rPr>
        <w:t>OSÉ DANIEL LÓPEZ JIMÉNEZ</w:t>
      </w:r>
      <w:r w:rsidR="00654984" w:rsidRPr="00113EB2">
        <w:rPr>
          <w:rFonts w:ascii="Calibri" w:eastAsia="Times New Roman" w:hAnsi="Calibri" w:cs="Calibri"/>
          <w:b/>
          <w:color w:val="000000"/>
          <w:sz w:val="20"/>
          <w:szCs w:val="20"/>
          <w:lang w:eastAsia="es-CO"/>
        </w:rPr>
        <w:tab/>
      </w:r>
      <w:r w:rsidR="00654984" w:rsidRPr="00113EB2">
        <w:rPr>
          <w:rFonts w:ascii="Calibri" w:eastAsia="Times New Roman" w:hAnsi="Calibri" w:cs="Calibri"/>
          <w:b/>
          <w:color w:val="000000"/>
          <w:sz w:val="20"/>
          <w:szCs w:val="20"/>
          <w:lang w:eastAsia="es-CO"/>
        </w:rPr>
        <w:tab/>
      </w:r>
      <w:r w:rsidR="00654984" w:rsidRPr="00113EB2">
        <w:rPr>
          <w:rFonts w:ascii="Calibri" w:eastAsia="Times New Roman" w:hAnsi="Calibri" w:cs="Calibri"/>
          <w:b/>
          <w:color w:val="000000"/>
          <w:sz w:val="20"/>
          <w:szCs w:val="20"/>
          <w:lang w:eastAsia="es-CO"/>
        </w:rPr>
        <w:tab/>
      </w:r>
      <w:r w:rsidR="00743757">
        <w:rPr>
          <w:rFonts w:ascii="Calibri" w:eastAsia="Times New Roman" w:hAnsi="Calibri" w:cs="Calibri"/>
          <w:b/>
          <w:color w:val="000000"/>
          <w:sz w:val="20"/>
          <w:szCs w:val="20"/>
          <w:lang w:eastAsia="es-CO"/>
        </w:rPr>
        <w:t xml:space="preserve">               </w:t>
      </w:r>
      <w:r w:rsidR="002E4EEE">
        <w:rPr>
          <w:rFonts w:ascii="Calibri" w:eastAsia="Times New Roman" w:hAnsi="Calibri" w:cs="Calibri"/>
          <w:b/>
          <w:color w:val="000000"/>
          <w:sz w:val="20"/>
          <w:szCs w:val="20"/>
          <w:lang w:eastAsia="es-CO"/>
        </w:rPr>
        <w:t>HERNÁN GUSTAVO ESTUPIÑAN CALVACHE</w:t>
      </w:r>
    </w:p>
    <w:p w14:paraId="7D0C364E" w14:textId="417CE0CA" w:rsidR="00654984" w:rsidRPr="00113EB2" w:rsidRDefault="00654984" w:rsidP="00743757">
      <w:pPr>
        <w:spacing w:after="0" w:line="240" w:lineRule="auto"/>
        <w:jc w:val="both"/>
        <w:rPr>
          <w:rFonts w:ascii="Calibri" w:eastAsia="Times New Roman" w:hAnsi="Calibri" w:cs="Calibri"/>
          <w:color w:val="000000"/>
          <w:sz w:val="20"/>
          <w:szCs w:val="20"/>
          <w:lang w:eastAsia="es-CO"/>
        </w:rPr>
      </w:pPr>
      <w:r w:rsidRPr="00113EB2">
        <w:rPr>
          <w:rFonts w:ascii="Calibri" w:eastAsia="Times New Roman" w:hAnsi="Calibri" w:cs="Calibri"/>
          <w:color w:val="000000"/>
          <w:sz w:val="20"/>
          <w:szCs w:val="20"/>
          <w:lang w:eastAsia="es-CO"/>
        </w:rPr>
        <w:t>Ponente Coordinador</w:t>
      </w:r>
      <w:r w:rsidRPr="00113EB2">
        <w:rPr>
          <w:rFonts w:ascii="Calibri" w:eastAsia="Times New Roman" w:hAnsi="Calibri" w:cs="Calibri"/>
          <w:color w:val="000000"/>
          <w:sz w:val="20"/>
          <w:szCs w:val="20"/>
          <w:lang w:eastAsia="es-CO"/>
        </w:rPr>
        <w:tab/>
      </w:r>
      <w:r w:rsidRPr="00113EB2">
        <w:rPr>
          <w:rFonts w:ascii="Calibri" w:eastAsia="Times New Roman" w:hAnsi="Calibri" w:cs="Calibri"/>
          <w:color w:val="000000"/>
          <w:sz w:val="20"/>
          <w:szCs w:val="20"/>
          <w:lang w:eastAsia="es-CO"/>
        </w:rPr>
        <w:tab/>
      </w:r>
      <w:r w:rsidRPr="00113EB2">
        <w:rPr>
          <w:rFonts w:ascii="Calibri" w:eastAsia="Times New Roman" w:hAnsi="Calibri" w:cs="Calibri"/>
          <w:color w:val="000000"/>
          <w:sz w:val="20"/>
          <w:szCs w:val="20"/>
          <w:lang w:eastAsia="es-CO"/>
        </w:rPr>
        <w:tab/>
      </w:r>
      <w:r w:rsidRPr="00113EB2">
        <w:rPr>
          <w:rFonts w:ascii="Calibri" w:eastAsia="Times New Roman" w:hAnsi="Calibri" w:cs="Calibri"/>
          <w:color w:val="000000"/>
          <w:sz w:val="20"/>
          <w:szCs w:val="20"/>
          <w:lang w:eastAsia="es-CO"/>
        </w:rPr>
        <w:tab/>
      </w:r>
      <w:r w:rsidR="00743757">
        <w:rPr>
          <w:rFonts w:ascii="Calibri" w:eastAsia="Times New Roman" w:hAnsi="Calibri" w:cs="Calibri"/>
          <w:color w:val="000000"/>
          <w:sz w:val="20"/>
          <w:szCs w:val="20"/>
          <w:lang w:eastAsia="es-CO"/>
        </w:rPr>
        <w:t xml:space="preserve">               Ponente Coordinador</w:t>
      </w:r>
    </w:p>
    <w:p w14:paraId="588C3E94" w14:textId="3D2AF91A" w:rsidR="00BF34E3" w:rsidRPr="00113EB2" w:rsidRDefault="00BF34E3" w:rsidP="00743757">
      <w:pPr>
        <w:spacing w:after="0" w:line="240" w:lineRule="auto"/>
        <w:jc w:val="both"/>
        <w:rPr>
          <w:rFonts w:ascii="Calibri" w:eastAsia="Times New Roman" w:hAnsi="Calibri" w:cs="Calibri"/>
          <w:color w:val="000000"/>
          <w:sz w:val="20"/>
          <w:szCs w:val="20"/>
          <w:lang w:eastAsia="es-CO"/>
        </w:rPr>
      </w:pPr>
    </w:p>
    <w:p w14:paraId="43A150AA" w14:textId="13644143" w:rsidR="00A01C1A" w:rsidRDefault="00A01C1A" w:rsidP="00743757">
      <w:pPr>
        <w:spacing w:after="0" w:line="240" w:lineRule="auto"/>
        <w:jc w:val="both"/>
        <w:rPr>
          <w:rFonts w:ascii="Calibri" w:eastAsia="Times New Roman" w:hAnsi="Calibri" w:cs="Calibri"/>
          <w:color w:val="000000"/>
          <w:sz w:val="20"/>
          <w:szCs w:val="20"/>
          <w:lang w:eastAsia="es-CO"/>
        </w:rPr>
      </w:pPr>
    </w:p>
    <w:p w14:paraId="5629F940" w14:textId="2E52D857" w:rsidR="00B53D70" w:rsidRDefault="00B53D70" w:rsidP="00743757">
      <w:pPr>
        <w:spacing w:after="0" w:line="240" w:lineRule="auto"/>
        <w:jc w:val="both"/>
        <w:rPr>
          <w:rFonts w:ascii="Calibri" w:eastAsia="Times New Roman" w:hAnsi="Calibri" w:cs="Calibri"/>
          <w:color w:val="000000"/>
          <w:sz w:val="20"/>
          <w:szCs w:val="20"/>
          <w:lang w:eastAsia="es-CO"/>
        </w:rPr>
      </w:pPr>
    </w:p>
    <w:p w14:paraId="4EED0A55" w14:textId="6569CD49" w:rsidR="00B53D70" w:rsidRDefault="00B53D70" w:rsidP="00743757">
      <w:pPr>
        <w:spacing w:after="0" w:line="240" w:lineRule="auto"/>
        <w:jc w:val="both"/>
        <w:rPr>
          <w:rFonts w:ascii="Calibri" w:eastAsia="Times New Roman" w:hAnsi="Calibri" w:cs="Calibri"/>
          <w:color w:val="000000"/>
          <w:sz w:val="20"/>
          <w:szCs w:val="20"/>
          <w:lang w:eastAsia="es-CO"/>
        </w:rPr>
      </w:pPr>
      <w:bookmarkStart w:id="1" w:name="_gjdgxs" w:colFirst="0" w:colLast="0"/>
      <w:bookmarkEnd w:id="1"/>
    </w:p>
    <w:p w14:paraId="495056AA" w14:textId="7D0B8B63" w:rsidR="00B53D70" w:rsidRDefault="00B53D70" w:rsidP="00743757">
      <w:pPr>
        <w:spacing w:after="0" w:line="240" w:lineRule="auto"/>
        <w:jc w:val="both"/>
        <w:rPr>
          <w:rFonts w:ascii="Calibri" w:eastAsia="Times New Roman" w:hAnsi="Calibri" w:cs="Calibri"/>
          <w:color w:val="000000"/>
          <w:sz w:val="20"/>
          <w:szCs w:val="20"/>
          <w:lang w:eastAsia="es-CO"/>
        </w:rPr>
      </w:pPr>
    </w:p>
    <w:p w14:paraId="58A94F8A" w14:textId="77777777" w:rsidR="00B53D70" w:rsidRPr="00113EB2" w:rsidRDefault="00B53D70" w:rsidP="00743757">
      <w:pPr>
        <w:spacing w:after="0" w:line="240" w:lineRule="auto"/>
        <w:jc w:val="both"/>
        <w:rPr>
          <w:rFonts w:ascii="Calibri" w:eastAsia="Times New Roman" w:hAnsi="Calibri" w:cs="Calibri"/>
          <w:color w:val="000000"/>
          <w:sz w:val="20"/>
          <w:szCs w:val="20"/>
          <w:lang w:eastAsia="es-CO"/>
        </w:rPr>
      </w:pPr>
    </w:p>
    <w:p w14:paraId="17499181" w14:textId="7BC8F519" w:rsidR="009304B1" w:rsidRDefault="002E4EEE" w:rsidP="00743757">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JORGE E</w:t>
      </w:r>
      <w:r w:rsidR="00743757">
        <w:rPr>
          <w:rFonts w:ascii="Calibri" w:eastAsia="Times New Roman" w:hAnsi="Calibri" w:cs="Calibri"/>
          <w:b/>
          <w:color w:val="000000"/>
          <w:sz w:val="20"/>
          <w:szCs w:val="20"/>
          <w:lang w:eastAsia="es-CO"/>
        </w:rPr>
        <w:t>NRIQUE</w:t>
      </w:r>
      <w:r>
        <w:rPr>
          <w:rFonts w:ascii="Calibri" w:eastAsia="Times New Roman" w:hAnsi="Calibri" w:cs="Calibri"/>
          <w:b/>
          <w:color w:val="000000"/>
          <w:sz w:val="20"/>
          <w:szCs w:val="20"/>
          <w:lang w:eastAsia="es-CO"/>
        </w:rPr>
        <w:t xml:space="preserve"> BURGOS LUGO                                                  ALFREDO RAFAEL DELUQUE ZULETA</w:t>
      </w:r>
    </w:p>
    <w:p w14:paraId="15BCFDC6" w14:textId="78E46821" w:rsidR="002E4EEE" w:rsidRDefault="00743757" w:rsidP="00743757">
      <w:pPr>
        <w:spacing w:after="0" w:line="240" w:lineRule="auto"/>
        <w:jc w:val="both"/>
        <w:rPr>
          <w:rFonts w:ascii="Calibri" w:eastAsia="Times New Roman" w:hAnsi="Calibri" w:cs="Calibri"/>
          <w:bCs/>
          <w:color w:val="000000"/>
          <w:sz w:val="20"/>
          <w:szCs w:val="20"/>
          <w:lang w:eastAsia="es-CO"/>
        </w:rPr>
      </w:pPr>
      <w:r w:rsidRPr="00743757">
        <w:rPr>
          <w:rFonts w:ascii="Calibri" w:eastAsia="Times New Roman" w:hAnsi="Calibri" w:cs="Calibri"/>
          <w:bCs/>
          <w:color w:val="000000"/>
          <w:sz w:val="20"/>
          <w:szCs w:val="20"/>
          <w:lang w:eastAsia="es-CO"/>
        </w:rPr>
        <w:t xml:space="preserve">Ponente Coordinador                                                              </w:t>
      </w:r>
      <w:r>
        <w:rPr>
          <w:rFonts w:ascii="Calibri" w:eastAsia="Times New Roman" w:hAnsi="Calibri" w:cs="Calibri"/>
          <w:bCs/>
          <w:color w:val="000000"/>
          <w:sz w:val="20"/>
          <w:szCs w:val="20"/>
          <w:lang w:eastAsia="es-CO"/>
        </w:rPr>
        <w:t xml:space="preserve">       </w:t>
      </w:r>
      <w:r w:rsidRPr="00743757">
        <w:rPr>
          <w:rFonts w:ascii="Calibri" w:eastAsia="Times New Roman" w:hAnsi="Calibri" w:cs="Calibri"/>
          <w:bCs/>
          <w:color w:val="000000"/>
          <w:sz w:val="20"/>
          <w:szCs w:val="20"/>
          <w:lang w:eastAsia="es-CO"/>
        </w:rPr>
        <w:t>Presidente</w:t>
      </w:r>
    </w:p>
    <w:p w14:paraId="4A275BB9" w14:textId="5945329E" w:rsidR="00743757" w:rsidRDefault="00743757" w:rsidP="00743757">
      <w:pPr>
        <w:spacing w:after="0" w:line="240" w:lineRule="auto"/>
        <w:jc w:val="both"/>
        <w:rPr>
          <w:rFonts w:ascii="Calibri" w:eastAsia="Times New Roman" w:hAnsi="Calibri" w:cs="Calibri"/>
          <w:bCs/>
          <w:color w:val="000000"/>
          <w:sz w:val="20"/>
          <w:szCs w:val="20"/>
          <w:lang w:eastAsia="es-CO"/>
        </w:rPr>
      </w:pPr>
    </w:p>
    <w:p w14:paraId="2DFAD245" w14:textId="08285E0B" w:rsidR="00743757" w:rsidRDefault="00743757" w:rsidP="00743757">
      <w:pPr>
        <w:spacing w:after="0" w:line="240" w:lineRule="auto"/>
        <w:jc w:val="both"/>
        <w:rPr>
          <w:rFonts w:ascii="Calibri" w:eastAsia="Times New Roman" w:hAnsi="Calibri" w:cs="Calibri"/>
          <w:bCs/>
          <w:color w:val="000000"/>
          <w:sz w:val="20"/>
          <w:szCs w:val="20"/>
          <w:lang w:eastAsia="es-CO"/>
        </w:rPr>
      </w:pPr>
      <w:bookmarkStart w:id="2" w:name="_GoBack"/>
      <w:bookmarkEnd w:id="2"/>
    </w:p>
    <w:p w14:paraId="78447BF7" w14:textId="3BFC478A" w:rsidR="00B53D70" w:rsidRDefault="00B53D70" w:rsidP="00743757">
      <w:pPr>
        <w:spacing w:after="0" w:line="240" w:lineRule="auto"/>
        <w:jc w:val="both"/>
        <w:rPr>
          <w:rFonts w:ascii="Calibri" w:eastAsia="Times New Roman" w:hAnsi="Calibri" w:cs="Calibri"/>
          <w:bCs/>
          <w:color w:val="000000"/>
          <w:sz w:val="20"/>
          <w:szCs w:val="20"/>
          <w:lang w:eastAsia="es-CO"/>
        </w:rPr>
      </w:pPr>
    </w:p>
    <w:p w14:paraId="0697E00E" w14:textId="4B06B3EA" w:rsidR="00B53D70" w:rsidRDefault="00B53D70" w:rsidP="00743757">
      <w:pPr>
        <w:spacing w:after="0" w:line="240" w:lineRule="auto"/>
        <w:jc w:val="both"/>
        <w:rPr>
          <w:rFonts w:ascii="Calibri" w:eastAsia="Times New Roman" w:hAnsi="Calibri" w:cs="Calibri"/>
          <w:bCs/>
          <w:color w:val="000000"/>
          <w:sz w:val="20"/>
          <w:szCs w:val="20"/>
          <w:lang w:eastAsia="es-CO"/>
        </w:rPr>
      </w:pPr>
    </w:p>
    <w:p w14:paraId="43E79722" w14:textId="6847021F" w:rsidR="00B53D70" w:rsidRDefault="00B53D70" w:rsidP="00743757">
      <w:pPr>
        <w:spacing w:after="0" w:line="240" w:lineRule="auto"/>
        <w:jc w:val="both"/>
        <w:rPr>
          <w:rFonts w:ascii="Calibri" w:eastAsia="Times New Roman" w:hAnsi="Calibri" w:cs="Calibri"/>
          <w:bCs/>
          <w:color w:val="000000"/>
          <w:sz w:val="20"/>
          <w:szCs w:val="20"/>
          <w:lang w:eastAsia="es-CO"/>
        </w:rPr>
      </w:pPr>
    </w:p>
    <w:p w14:paraId="576CC0FB" w14:textId="43CBB720" w:rsidR="00B53D70" w:rsidRPr="00743757" w:rsidRDefault="00B53D70" w:rsidP="00743757">
      <w:pPr>
        <w:spacing w:after="0" w:line="240" w:lineRule="auto"/>
        <w:jc w:val="both"/>
        <w:rPr>
          <w:rFonts w:ascii="Calibri" w:eastAsia="Times New Roman" w:hAnsi="Calibri" w:cs="Calibri"/>
          <w:bCs/>
          <w:color w:val="000000"/>
          <w:sz w:val="20"/>
          <w:szCs w:val="20"/>
          <w:lang w:eastAsia="es-CO"/>
        </w:rPr>
      </w:pPr>
    </w:p>
    <w:p w14:paraId="20813B8A" w14:textId="77777777" w:rsidR="002E4EEE" w:rsidRPr="00743757" w:rsidRDefault="002E4EEE" w:rsidP="00743757">
      <w:pPr>
        <w:spacing w:after="0" w:line="240" w:lineRule="auto"/>
        <w:jc w:val="both"/>
        <w:rPr>
          <w:rFonts w:ascii="Calibri" w:eastAsia="Times New Roman" w:hAnsi="Calibri" w:cs="Calibri"/>
          <w:bCs/>
          <w:color w:val="000000"/>
          <w:sz w:val="20"/>
          <w:szCs w:val="20"/>
          <w:lang w:eastAsia="es-CO"/>
        </w:rPr>
      </w:pPr>
    </w:p>
    <w:p w14:paraId="7C5FBE41" w14:textId="5E1F45F3" w:rsidR="00654984" w:rsidRPr="00113EB2" w:rsidRDefault="00654984" w:rsidP="00743757">
      <w:pPr>
        <w:spacing w:after="0" w:line="240" w:lineRule="auto"/>
        <w:jc w:val="both"/>
        <w:rPr>
          <w:rFonts w:ascii="Calibri" w:eastAsia="Times New Roman" w:hAnsi="Calibri" w:cs="Calibri"/>
          <w:b/>
          <w:color w:val="000000"/>
          <w:sz w:val="20"/>
          <w:szCs w:val="20"/>
          <w:lang w:eastAsia="es-CO"/>
        </w:rPr>
      </w:pPr>
      <w:r w:rsidRPr="00743757">
        <w:rPr>
          <w:rFonts w:ascii="Calibri" w:eastAsia="Times New Roman" w:hAnsi="Calibri" w:cs="Calibri"/>
          <w:bCs/>
          <w:color w:val="000000"/>
          <w:sz w:val="20"/>
          <w:szCs w:val="20"/>
          <w:lang w:eastAsia="es-CO"/>
        </w:rPr>
        <w:tab/>
      </w:r>
      <w:r w:rsidRPr="00743757">
        <w:rPr>
          <w:rFonts w:ascii="Calibri" w:eastAsia="Times New Roman" w:hAnsi="Calibri" w:cs="Calibri"/>
          <w:bCs/>
          <w:color w:val="000000"/>
          <w:sz w:val="20"/>
          <w:szCs w:val="20"/>
          <w:lang w:eastAsia="es-CO"/>
        </w:rPr>
        <w:tab/>
      </w:r>
      <w:r w:rsidR="00A01C1A" w:rsidRPr="00743757">
        <w:rPr>
          <w:rFonts w:ascii="Calibri" w:eastAsia="Times New Roman" w:hAnsi="Calibri" w:cs="Calibri"/>
          <w:bCs/>
          <w:color w:val="000000"/>
          <w:sz w:val="20"/>
          <w:szCs w:val="20"/>
          <w:lang w:eastAsia="es-CO"/>
        </w:rPr>
        <w:tab/>
      </w:r>
      <w:r w:rsidR="00A01C1A" w:rsidRPr="00113EB2">
        <w:rPr>
          <w:rFonts w:ascii="Calibri" w:eastAsia="Times New Roman" w:hAnsi="Calibri" w:cs="Calibri"/>
          <w:b/>
          <w:color w:val="000000"/>
          <w:sz w:val="20"/>
          <w:szCs w:val="20"/>
          <w:lang w:eastAsia="es-CO"/>
        </w:rPr>
        <w:tab/>
      </w:r>
      <w:r w:rsidRPr="00113EB2">
        <w:rPr>
          <w:rFonts w:ascii="Calibri" w:eastAsia="Times New Roman" w:hAnsi="Calibri" w:cs="Calibri"/>
          <w:b/>
          <w:color w:val="000000"/>
          <w:sz w:val="20"/>
          <w:szCs w:val="20"/>
          <w:lang w:eastAsia="es-CO"/>
        </w:rPr>
        <w:t>AMPARO Y. CALDERON PERDOMO</w:t>
      </w:r>
    </w:p>
    <w:p w14:paraId="2DD7F02A" w14:textId="201C1AA3" w:rsidR="00D04ABA" w:rsidRPr="00113EB2" w:rsidRDefault="00654984" w:rsidP="00843540">
      <w:pPr>
        <w:spacing w:after="0" w:line="240" w:lineRule="auto"/>
        <w:jc w:val="both"/>
        <w:rPr>
          <w:rFonts w:ascii="Calibri" w:eastAsia="Times New Roman" w:hAnsi="Calibri" w:cs="Calibri"/>
          <w:b/>
          <w:bCs/>
          <w:color w:val="000000"/>
          <w:sz w:val="20"/>
          <w:szCs w:val="20"/>
          <w:lang w:eastAsia="es-CO"/>
        </w:rPr>
        <w:sectPr w:rsidR="00D04ABA" w:rsidRPr="00113EB2" w:rsidSect="00D04ABA">
          <w:headerReference w:type="default" r:id="rId8"/>
          <w:footerReference w:type="default" r:id="rId9"/>
          <w:type w:val="continuous"/>
          <w:pgSz w:w="12240" w:h="15840"/>
          <w:pgMar w:top="1417" w:right="1701" w:bottom="1417" w:left="1701" w:header="708" w:footer="708" w:gutter="0"/>
          <w:cols w:space="708"/>
          <w:docGrid w:linePitch="360"/>
        </w:sectPr>
      </w:pPr>
      <w:r w:rsidRPr="00113EB2">
        <w:rPr>
          <w:rFonts w:ascii="Calibri" w:eastAsia="Times New Roman" w:hAnsi="Calibri" w:cs="Calibri"/>
          <w:color w:val="000000"/>
          <w:sz w:val="20"/>
          <w:szCs w:val="20"/>
          <w:lang w:eastAsia="es-CO"/>
        </w:rPr>
        <w:tab/>
      </w:r>
      <w:r w:rsidRPr="00113EB2">
        <w:rPr>
          <w:rFonts w:ascii="Calibri" w:eastAsia="Times New Roman" w:hAnsi="Calibri" w:cs="Calibri"/>
          <w:color w:val="000000"/>
          <w:sz w:val="20"/>
          <w:szCs w:val="20"/>
          <w:lang w:eastAsia="es-CO"/>
        </w:rPr>
        <w:tab/>
      </w:r>
      <w:r w:rsidRPr="00113EB2">
        <w:rPr>
          <w:rFonts w:ascii="Calibri" w:eastAsia="Times New Roman" w:hAnsi="Calibri" w:cs="Calibri"/>
          <w:color w:val="000000"/>
          <w:sz w:val="20"/>
          <w:szCs w:val="20"/>
          <w:lang w:eastAsia="es-CO"/>
        </w:rPr>
        <w:tab/>
      </w:r>
      <w:r w:rsidRPr="00113EB2">
        <w:rPr>
          <w:rFonts w:ascii="Calibri" w:eastAsia="Times New Roman" w:hAnsi="Calibri" w:cs="Calibri"/>
          <w:color w:val="000000"/>
          <w:sz w:val="20"/>
          <w:szCs w:val="20"/>
          <w:lang w:eastAsia="es-CO"/>
        </w:rPr>
        <w:tab/>
      </w:r>
      <w:r w:rsidR="00743757">
        <w:rPr>
          <w:rFonts w:ascii="Calibri" w:eastAsia="Times New Roman" w:hAnsi="Calibri" w:cs="Calibri"/>
          <w:color w:val="000000"/>
          <w:sz w:val="20"/>
          <w:szCs w:val="20"/>
          <w:lang w:eastAsia="es-CO"/>
        </w:rPr>
        <w:t xml:space="preserve">                 </w:t>
      </w:r>
      <w:r w:rsidR="00D10F3D" w:rsidRPr="00113EB2">
        <w:rPr>
          <w:rFonts w:ascii="Calibri" w:eastAsia="Times New Roman" w:hAnsi="Calibri" w:cs="Calibri"/>
          <w:color w:val="000000"/>
          <w:sz w:val="20"/>
          <w:szCs w:val="20"/>
          <w:lang w:eastAsia="es-CO"/>
        </w:rPr>
        <w:t xml:space="preserve">  </w:t>
      </w:r>
      <w:r w:rsidRPr="00113EB2">
        <w:rPr>
          <w:rFonts w:ascii="Calibri" w:eastAsia="Times New Roman" w:hAnsi="Calibri" w:cs="Calibri"/>
          <w:color w:val="000000"/>
          <w:sz w:val="20"/>
          <w:szCs w:val="20"/>
          <w:lang w:eastAsia="es-CO"/>
        </w:rPr>
        <w:t>Secretaria</w:t>
      </w:r>
    </w:p>
    <w:p w14:paraId="50254D14" w14:textId="77777777" w:rsidR="008E061B" w:rsidRPr="00113EB2" w:rsidRDefault="008E061B" w:rsidP="00843540">
      <w:pPr>
        <w:spacing w:before="45" w:after="15" w:line="276" w:lineRule="auto"/>
        <w:ind w:right="30"/>
        <w:jc w:val="both"/>
        <w:rPr>
          <w:rFonts w:ascii="Calibri" w:eastAsia="Times New Roman" w:hAnsi="Calibri" w:cs="Calibri"/>
          <w:color w:val="000000"/>
          <w:sz w:val="20"/>
          <w:szCs w:val="20"/>
          <w:lang w:eastAsia="es-CO"/>
        </w:rPr>
      </w:pPr>
    </w:p>
    <w:sectPr w:rsidR="008E061B" w:rsidRPr="00113EB2"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BC811" w14:textId="77777777" w:rsidR="00A4289E" w:rsidRDefault="00A4289E" w:rsidP="00F464B3">
      <w:pPr>
        <w:spacing w:after="0" w:line="240" w:lineRule="auto"/>
      </w:pPr>
      <w:r>
        <w:separator/>
      </w:r>
    </w:p>
  </w:endnote>
  <w:endnote w:type="continuationSeparator" w:id="0">
    <w:p w14:paraId="7C7D5179" w14:textId="77777777" w:rsidR="00A4289E" w:rsidRDefault="00A4289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363426"/>
      <w:docPartObj>
        <w:docPartGallery w:val="Page Numbers (Bottom of Page)"/>
        <w:docPartUnique/>
      </w:docPartObj>
    </w:sdtPr>
    <w:sdtEndPr/>
    <w:sdtContent>
      <w:p w14:paraId="66547B2C" w14:textId="2E9A1E76" w:rsidR="000643FE" w:rsidRDefault="000643FE">
        <w:pPr>
          <w:pStyle w:val="Piedepgina"/>
          <w:jc w:val="right"/>
        </w:pPr>
        <w:r>
          <w:fldChar w:fldCharType="begin"/>
        </w:r>
        <w:r>
          <w:instrText>PAGE   \* MERGEFORMAT</w:instrText>
        </w:r>
        <w:r>
          <w:fldChar w:fldCharType="separate"/>
        </w:r>
        <w:r w:rsidR="006A3F16" w:rsidRPr="006A3F16">
          <w:rPr>
            <w:noProof/>
            <w:lang w:val="es-ES"/>
          </w:rPr>
          <w:t>3</w:t>
        </w:r>
        <w:r>
          <w:fldChar w:fldCharType="end"/>
        </w:r>
      </w:p>
    </w:sdtContent>
  </w:sdt>
  <w:p w14:paraId="51ADA584" w14:textId="77777777" w:rsidR="000643FE" w:rsidRDefault="000643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0B1D" w14:textId="77777777" w:rsidR="00A4289E" w:rsidRDefault="00A4289E" w:rsidP="00F464B3">
      <w:pPr>
        <w:spacing w:after="0" w:line="240" w:lineRule="auto"/>
      </w:pPr>
      <w:r>
        <w:separator/>
      </w:r>
    </w:p>
  </w:footnote>
  <w:footnote w:type="continuationSeparator" w:id="0">
    <w:p w14:paraId="376AA9A2" w14:textId="77777777" w:rsidR="00A4289E" w:rsidRDefault="00A4289E"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3E99" w14:textId="77777777" w:rsidR="00E85BF5" w:rsidRDefault="00E85BF5" w:rsidP="00EC63B6">
    <w:pPr>
      <w:pStyle w:val="Encabezado"/>
      <w:jc w:val="center"/>
    </w:pPr>
    <w:r>
      <w:rPr>
        <w:noProof/>
        <w:lang w:eastAsia="es-CO"/>
      </w:rPr>
      <w:drawing>
        <wp:inline distT="0" distB="0" distL="0" distR="0" wp14:anchorId="4424CA66" wp14:editId="52757F20">
          <wp:extent cx="2286000" cy="670956"/>
          <wp:effectExtent l="0" t="0" r="0" b="0"/>
          <wp:docPr id="10" name="Imagen 10"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E85BF5" w:rsidRDefault="00E85BF5" w:rsidP="00EC63B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4">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6">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8"/>
  </w:num>
  <w:num w:numId="6">
    <w:abstractNumId w:val="6"/>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1F87"/>
    <w:rsid w:val="000124B8"/>
    <w:rsid w:val="000179F1"/>
    <w:rsid w:val="0002009E"/>
    <w:rsid w:val="00034368"/>
    <w:rsid w:val="000347ED"/>
    <w:rsid w:val="000464AE"/>
    <w:rsid w:val="000603D3"/>
    <w:rsid w:val="000643FE"/>
    <w:rsid w:val="00066A9D"/>
    <w:rsid w:val="000674CE"/>
    <w:rsid w:val="00076C38"/>
    <w:rsid w:val="00083C33"/>
    <w:rsid w:val="0009516F"/>
    <w:rsid w:val="000A7951"/>
    <w:rsid w:val="000C07C9"/>
    <w:rsid w:val="000C1779"/>
    <w:rsid w:val="000C51CB"/>
    <w:rsid w:val="000E11C2"/>
    <w:rsid w:val="000E2CB1"/>
    <w:rsid w:val="000E4E9C"/>
    <w:rsid w:val="000F0D59"/>
    <w:rsid w:val="00102396"/>
    <w:rsid w:val="001051B9"/>
    <w:rsid w:val="00111BA6"/>
    <w:rsid w:val="00113EB2"/>
    <w:rsid w:val="001176BD"/>
    <w:rsid w:val="00124F86"/>
    <w:rsid w:val="0012607A"/>
    <w:rsid w:val="001412D4"/>
    <w:rsid w:val="00146466"/>
    <w:rsid w:val="0015426D"/>
    <w:rsid w:val="0015777F"/>
    <w:rsid w:val="001645A1"/>
    <w:rsid w:val="00170E01"/>
    <w:rsid w:val="00175521"/>
    <w:rsid w:val="001B11A0"/>
    <w:rsid w:val="001B24AF"/>
    <w:rsid w:val="001B3073"/>
    <w:rsid w:val="001C4B0B"/>
    <w:rsid w:val="001E1FFE"/>
    <w:rsid w:val="001E3F0C"/>
    <w:rsid w:val="001F3415"/>
    <w:rsid w:val="0020236F"/>
    <w:rsid w:val="00204548"/>
    <w:rsid w:val="0021529A"/>
    <w:rsid w:val="002419BE"/>
    <w:rsid w:val="002446B7"/>
    <w:rsid w:val="00255EEB"/>
    <w:rsid w:val="0025745F"/>
    <w:rsid w:val="00265C75"/>
    <w:rsid w:val="00266F05"/>
    <w:rsid w:val="002733E9"/>
    <w:rsid w:val="00281E60"/>
    <w:rsid w:val="00283BF7"/>
    <w:rsid w:val="002960E0"/>
    <w:rsid w:val="00296DD2"/>
    <w:rsid w:val="002A16FF"/>
    <w:rsid w:val="002B0A6E"/>
    <w:rsid w:val="002B3FA6"/>
    <w:rsid w:val="002B5DE3"/>
    <w:rsid w:val="002C2736"/>
    <w:rsid w:val="002C313D"/>
    <w:rsid w:val="002D36BF"/>
    <w:rsid w:val="002E4EEE"/>
    <w:rsid w:val="002F570D"/>
    <w:rsid w:val="002F603A"/>
    <w:rsid w:val="003048FD"/>
    <w:rsid w:val="00310BD0"/>
    <w:rsid w:val="00316E7C"/>
    <w:rsid w:val="00321E0D"/>
    <w:rsid w:val="003455CB"/>
    <w:rsid w:val="00352BB2"/>
    <w:rsid w:val="003572F2"/>
    <w:rsid w:val="003652A3"/>
    <w:rsid w:val="00370333"/>
    <w:rsid w:val="00371367"/>
    <w:rsid w:val="00374B50"/>
    <w:rsid w:val="003756F8"/>
    <w:rsid w:val="00376461"/>
    <w:rsid w:val="003775E6"/>
    <w:rsid w:val="00382D7B"/>
    <w:rsid w:val="003831CF"/>
    <w:rsid w:val="003877D7"/>
    <w:rsid w:val="003B2CD7"/>
    <w:rsid w:val="003D37C7"/>
    <w:rsid w:val="003F22E4"/>
    <w:rsid w:val="003F7482"/>
    <w:rsid w:val="00403989"/>
    <w:rsid w:val="004325B6"/>
    <w:rsid w:val="00435772"/>
    <w:rsid w:val="00442EE9"/>
    <w:rsid w:val="004721F2"/>
    <w:rsid w:val="00472F92"/>
    <w:rsid w:val="0048299A"/>
    <w:rsid w:val="00484D12"/>
    <w:rsid w:val="004937A0"/>
    <w:rsid w:val="004961B6"/>
    <w:rsid w:val="004A329B"/>
    <w:rsid w:val="004A6139"/>
    <w:rsid w:val="004B48A7"/>
    <w:rsid w:val="004C32FC"/>
    <w:rsid w:val="004C59FD"/>
    <w:rsid w:val="004D48F0"/>
    <w:rsid w:val="004D55BD"/>
    <w:rsid w:val="004E422C"/>
    <w:rsid w:val="004F085C"/>
    <w:rsid w:val="004F4257"/>
    <w:rsid w:val="004F49B6"/>
    <w:rsid w:val="004F60B8"/>
    <w:rsid w:val="004F73D2"/>
    <w:rsid w:val="00503E9D"/>
    <w:rsid w:val="00513DF8"/>
    <w:rsid w:val="00522F83"/>
    <w:rsid w:val="0052444F"/>
    <w:rsid w:val="00534203"/>
    <w:rsid w:val="00535D72"/>
    <w:rsid w:val="00536B96"/>
    <w:rsid w:val="00540083"/>
    <w:rsid w:val="00541008"/>
    <w:rsid w:val="0054647E"/>
    <w:rsid w:val="005517F3"/>
    <w:rsid w:val="00561943"/>
    <w:rsid w:val="00574941"/>
    <w:rsid w:val="00582813"/>
    <w:rsid w:val="0058657B"/>
    <w:rsid w:val="005A0005"/>
    <w:rsid w:val="005A3D78"/>
    <w:rsid w:val="005A576B"/>
    <w:rsid w:val="005A5952"/>
    <w:rsid w:val="005B2210"/>
    <w:rsid w:val="005B4EAE"/>
    <w:rsid w:val="005C0843"/>
    <w:rsid w:val="005C0A22"/>
    <w:rsid w:val="005C5BAD"/>
    <w:rsid w:val="005C7D3E"/>
    <w:rsid w:val="005D2F81"/>
    <w:rsid w:val="005D3C35"/>
    <w:rsid w:val="005F3B9E"/>
    <w:rsid w:val="005F5FEC"/>
    <w:rsid w:val="005F7247"/>
    <w:rsid w:val="00601F0E"/>
    <w:rsid w:val="00607725"/>
    <w:rsid w:val="006343BF"/>
    <w:rsid w:val="006417DE"/>
    <w:rsid w:val="00642EF5"/>
    <w:rsid w:val="006438E1"/>
    <w:rsid w:val="00654984"/>
    <w:rsid w:val="00665A9C"/>
    <w:rsid w:val="006724A9"/>
    <w:rsid w:val="0067281A"/>
    <w:rsid w:val="00674456"/>
    <w:rsid w:val="0067455E"/>
    <w:rsid w:val="0067641E"/>
    <w:rsid w:val="0067740C"/>
    <w:rsid w:val="0068080C"/>
    <w:rsid w:val="00682C1C"/>
    <w:rsid w:val="0068369B"/>
    <w:rsid w:val="006915E1"/>
    <w:rsid w:val="0069258E"/>
    <w:rsid w:val="0069360F"/>
    <w:rsid w:val="00696073"/>
    <w:rsid w:val="006A3F16"/>
    <w:rsid w:val="006A7638"/>
    <w:rsid w:val="006B58CF"/>
    <w:rsid w:val="006C244C"/>
    <w:rsid w:val="006C3E27"/>
    <w:rsid w:val="006D23D9"/>
    <w:rsid w:val="006D7439"/>
    <w:rsid w:val="006E0408"/>
    <w:rsid w:val="006F1E48"/>
    <w:rsid w:val="006F2E70"/>
    <w:rsid w:val="006F309E"/>
    <w:rsid w:val="0071209F"/>
    <w:rsid w:val="007126A5"/>
    <w:rsid w:val="00730794"/>
    <w:rsid w:val="00736FFD"/>
    <w:rsid w:val="00743757"/>
    <w:rsid w:val="0075240B"/>
    <w:rsid w:val="0077125D"/>
    <w:rsid w:val="00773E0C"/>
    <w:rsid w:val="007A44E4"/>
    <w:rsid w:val="007A618A"/>
    <w:rsid w:val="007B4F50"/>
    <w:rsid w:val="007C1076"/>
    <w:rsid w:val="007C74A7"/>
    <w:rsid w:val="007D21A4"/>
    <w:rsid w:val="007D3408"/>
    <w:rsid w:val="007E2712"/>
    <w:rsid w:val="007F0327"/>
    <w:rsid w:val="007F0C6E"/>
    <w:rsid w:val="007F1D24"/>
    <w:rsid w:val="00810675"/>
    <w:rsid w:val="00815277"/>
    <w:rsid w:val="00834B6E"/>
    <w:rsid w:val="00843540"/>
    <w:rsid w:val="00851377"/>
    <w:rsid w:val="00852190"/>
    <w:rsid w:val="008522C4"/>
    <w:rsid w:val="0085794F"/>
    <w:rsid w:val="00863BBB"/>
    <w:rsid w:val="00863D4B"/>
    <w:rsid w:val="0087039C"/>
    <w:rsid w:val="00871444"/>
    <w:rsid w:val="008857A6"/>
    <w:rsid w:val="00896F08"/>
    <w:rsid w:val="008C3F1F"/>
    <w:rsid w:val="008D6682"/>
    <w:rsid w:val="008E061B"/>
    <w:rsid w:val="008F02EB"/>
    <w:rsid w:val="00910DAC"/>
    <w:rsid w:val="00915C0D"/>
    <w:rsid w:val="00927330"/>
    <w:rsid w:val="0092744F"/>
    <w:rsid w:val="00927AE4"/>
    <w:rsid w:val="009304B1"/>
    <w:rsid w:val="009544D9"/>
    <w:rsid w:val="0095551B"/>
    <w:rsid w:val="009637DF"/>
    <w:rsid w:val="00963E30"/>
    <w:rsid w:val="009824EF"/>
    <w:rsid w:val="00984F42"/>
    <w:rsid w:val="009932F1"/>
    <w:rsid w:val="00993BB4"/>
    <w:rsid w:val="009A5162"/>
    <w:rsid w:val="009B645A"/>
    <w:rsid w:val="009D5F41"/>
    <w:rsid w:val="009E41A8"/>
    <w:rsid w:val="009F0E10"/>
    <w:rsid w:val="00A01305"/>
    <w:rsid w:val="00A01C1A"/>
    <w:rsid w:val="00A10EF1"/>
    <w:rsid w:val="00A11E04"/>
    <w:rsid w:val="00A177FA"/>
    <w:rsid w:val="00A256E7"/>
    <w:rsid w:val="00A3364D"/>
    <w:rsid w:val="00A34192"/>
    <w:rsid w:val="00A4289E"/>
    <w:rsid w:val="00A46A7B"/>
    <w:rsid w:val="00A52DC6"/>
    <w:rsid w:val="00A574C3"/>
    <w:rsid w:val="00A83DAE"/>
    <w:rsid w:val="00AC2BEA"/>
    <w:rsid w:val="00AD02C7"/>
    <w:rsid w:val="00AE120F"/>
    <w:rsid w:val="00AE1255"/>
    <w:rsid w:val="00AE1660"/>
    <w:rsid w:val="00B06E58"/>
    <w:rsid w:val="00B14CEC"/>
    <w:rsid w:val="00B17C11"/>
    <w:rsid w:val="00B2028B"/>
    <w:rsid w:val="00B22913"/>
    <w:rsid w:val="00B303DE"/>
    <w:rsid w:val="00B30A0D"/>
    <w:rsid w:val="00B32722"/>
    <w:rsid w:val="00B53D70"/>
    <w:rsid w:val="00B63D2A"/>
    <w:rsid w:val="00B64D54"/>
    <w:rsid w:val="00B75203"/>
    <w:rsid w:val="00B965E5"/>
    <w:rsid w:val="00BA0A1A"/>
    <w:rsid w:val="00BA4E0B"/>
    <w:rsid w:val="00BB3A4B"/>
    <w:rsid w:val="00BB5149"/>
    <w:rsid w:val="00BE1480"/>
    <w:rsid w:val="00BE5428"/>
    <w:rsid w:val="00BE634C"/>
    <w:rsid w:val="00BF34E3"/>
    <w:rsid w:val="00BF4F92"/>
    <w:rsid w:val="00BF6C85"/>
    <w:rsid w:val="00C00899"/>
    <w:rsid w:val="00C01196"/>
    <w:rsid w:val="00C05986"/>
    <w:rsid w:val="00C05FE9"/>
    <w:rsid w:val="00C10912"/>
    <w:rsid w:val="00C114EC"/>
    <w:rsid w:val="00C1685A"/>
    <w:rsid w:val="00C23433"/>
    <w:rsid w:val="00C23F57"/>
    <w:rsid w:val="00C24FC2"/>
    <w:rsid w:val="00C34BD1"/>
    <w:rsid w:val="00C5602A"/>
    <w:rsid w:val="00C66652"/>
    <w:rsid w:val="00C7069C"/>
    <w:rsid w:val="00C73EE9"/>
    <w:rsid w:val="00C75C7B"/>
    <w:rsid w:val="00C8272B"/>
    <w:rsid w:val="00C96031"/>
    <w:rsid w:val="00C960C4"/>
    <w:rsid w:val="00CA1934"/>
    <w:rsid w:val="00CA4DEE"/>
    <w:rsid w:val="00CA6B90"/>
    <w:rsid w:val="00CC21CA"/>
    <w:rsid w:val="00CC7223"/>
    <w:rsid w:val="00CD421B"/>
    <w:rsid w:val="00CE1606"/>
    <w:rsid w:val="00CE41FA"/>
    <w:rsid w:val="00CF3981"/>
    <w:rsid w:val="00CF4328"/>
    <w:rsid w:val="00CF672B"/>
    <w:rsid w:val="00D0215B"/>
    <w:rsid w:val="00D02286"/>
    <w:rsid w:val="00D04ABA"/>
    <w:rsid w:val="00D10F3D"/>
    <w:rsid w:val="00D10FDD"/>
    <w:rsid w:val="00D123B8"/>
    <w:rsid w:val="00D23552"/>
    <w:rsid w:val="00D27E9F"/>
    <w:rsid w:val="00D30881"/>
    <w:rsid w:val="00D3392D"/>
    <w:rsid w:val="00D35426"/>
    <w:rsid w:val="00D45EBF"/>
    <w:rsid w:val="00D56956"/>
    <w:rsid w:val="00D756CE"/>
    <w:rsid w:val="00D80A76"/>
    <w:rsid w:val="00D810CB"/>
    <w:rsid w:val="00DA3876"/>
    <w:rsid w:val="00DB34C5"/>
    <w:rsid w:val="00DB693E"/>
    <w:rsid w:val="00DC2ED4"/>
    <w:rsid w:val="00DC6A81"/>
    <w:rsid w:val="00DC6DE7"/>
    <w:rsid w:val="00DC7559"/>
    <w:rsid w:val="00DC7DDC"/>
    <w:rsid w:val="00DD654D"/>
    <w:rsid w:val="00DD7587"/>
    <w:rsid w:val="00E15245"/>
    <w:rsid w:val="00E325C3"/>
    <w:rsid w:val="00E359F6"/>
    <w:rsid w:val="00E53447"/>
    <w:rsid w:val="00E85BF5"/>
    <w:rsid w:val="00E90030"/>
    <w:rsid w:val="00EA320A"/>
    <w:rsid w:val="00EB2682"/>
    <w:rsid w:val="00EB3EBD"/>
    <w:rsid w:val="00EC34C5"/>
    <w:rsid w:val="00EC58FE"/>
    <w:rsid w:val="00EC63B6"/>
    <w:rsid w:val="00EC7055"/>
    <w:rsid w:val="00ED5628"/>
    <w:rsid w:val="00EE56A4"/>
    <w:rsid w:val="00EE78B1"/>
    <w:rsid w:val="00EF0082"/>
    <w:rsid w:val="00EF7F49"/>
    <w:rsid w:val="00F3324F"/>
    <w:rsid w:val="00F44E71"/>
    <w:rsid w:val="00F464B3"/>
    <w:rsid w:val="00F6249F"/>
    <w:rsid w:val="00F650A3"/>
    <w:rsid w:val="00F77611"/>
    <w:rsid w:val="00FA6727"/>
    <w:rsid w:val="00FC5B07"/>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DCCC-5684-45A8-945A-6C304C44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 Eduardo Figueroa Pulido</cp:lastModifiedBy>
  <cp:revision>3</cp:revision>
  <cp:lastPrinted>2020-10-14T20:10:00Z</cp:lastPrinted>
  <dcterms:created xsi:type="dcterms:W3CDTF">2020-10-14T20:10:00Z</dcterms:created>
  <dcterms:modified xsi:type="dcterms:W3CDTF">2020-10-14T20:10:00Z</dcterms:modified>
</cp:coreProperties>
</file>