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3BE104" w14:textId="70B98C54" w:rsidR="00A67DF3" w:rsidRPr="004D1A72" w:rsidRDefault="00592FDA" w:rsidP="00906FEA">
      <w:pPr>
        <w:pStyle w:val="Ttulo2"/>
        <w:spacing w:before="56"/>
        <w:ind w:left="0" w:right="0"/>
        <w:rPr>
          <w:rFonts w:asciiTheme="majorHAnsi" w:hAnsiTheme="majorHAnsi" w:cstheme="majorHAnsi"/>
        </w:rPr>
      </w:pPr>
      <w:r w:rsidRPr="004D1A72">
        <w:rPr>
          <w:rFonts w:asciiTheme="majorHAnsi" w:hAnsiTheme="majorHAnsi" w:cstheme="majorHAnsi"/>
        </w:rPr>
        <w:t xml:space="preserve">Bogotá D. C., </w:t>
      </w:r>
      <w:r w:rsidR="00000F6A">
        <w:rPr>
          <w:rFonts w:asciiTheme="majorHAnsi" w:hAnsiTheme="majorHAnsi" w:cstheme="majorHAnsi"/>
        </w:rPr>
        <w:t>26</w:t>
      </w:r>
      <w:r w:rsidR="009A63A9">
        <w:rPr>
          <w:rFonts w:asciiTheme="majorHAnsi" w:hAnsiTheme="majorHAnsi" w:cstheme="majorHAnsi"/>
        </w:rPr>
        <w:t xml:space="preserve"> de </w:t>
      </w:r>
      <w:r w:rsidR="00000F6A">
        <w:rPr>
          <w:rFonts w:asciiTheme="majorHAnsi" w:hAnsiTheme="majorHAnsi" w:cstheme="majorHAnsi"/>
        </w:rPr>
        <w:t>agosto de 2024</w:t>
      </w:r>
    </w:p>
    <w:p w14:paraId="40341159" w14:textId="26601AAC" w:rsidR="00A67DF3" w:rsidRPr="004D1A72" w:rsidRDefault="00A67DF3" w:rsidP="00906FEA">
      <w:pPr>
        <w:pBdr>
          <w:top w:val="nil"/>
          <w:left w:val="nil"/>
          <w:bottom w:val="nil"/>
          <w:right w:val="nil"/>
          <w:between w:val="nil"/>
        </w:pBdr>
        <w:jc w:val="both"/>
        <w:rPr>
          <w:rFonts w:asciiTheme="majorHAnsi" w:hAnsiTheme="majorHAnsi" w:cstheme="majorHAnsi"/>
          <w:color w:val="000000"/>
        </w:rPr>
      </w:pPr>
    </w:p>
    <w:p w14:paraId="4FEBF2A1" w14:textId="29C7E288" w:rsidR="002D1E68" w:rsidRPr="004D1A72" w:rsidRDefault="002D1E68" w:rsidP="00906FEA">
      <w:pPr>
        <w:pBdr>
          <w:top w:val="nil"/>
          <w:left w:val="nil"/>
          <w:bottom w:val="nil"/>
          <w:right w:val="nil"/>
          <w:between w:val="nil"/>
        </w:pBdr>
        <w:jc w:val="both"/>
        <w:rPr>
          <w:rFonts w:asciiTheme="majorHAnsi" w:hAnsiTheme="majorHAnsi" w:cstheme="majorHAnsi"/>
          <w:color w:val="000000"/>
        </w:rPr>
      </w:pPr>
    </w:p>
    <w:p w14:paraId="744A3F4A" w14:textId="5F6AE973" w:rsidR="002D1E68" w:rsidRPr="004D1A72" w:rsidRDefault="002D1E68" w:rsidP="00906FEA">
      <w:pPr>
        <w:pBdr>
          <w:top w:val="nil"/>
          <w:left w:val="nil"/>
          <w:bottom w:val="nil"/>
          <w:right w:val="nil"/>
          <w:between w:val="nil"/>
        </w:pBdr>
        <w:jc w:val="both"/>
        <w:rPr>
          <w:rFonts w:asciiTheme="majorHAnsi" w:hAnsiTheme="majorHAnsi" w:cstheme="majorHAnsi"/>
          <w:color w:val="000000"/>
        </w:rPr>
      </w:pPr>
    </w:p>
    <w:p w14:paraId="5DD201EA" w14:textId="20166F07" w:rsidR="00A67DF3" w:rsidRPr="004D1A72" w:rsidRDefault="00592FDA" w:rsidP="00906FEA">
      <w:pPr>
        <w:jc w:val="both"/>
        <w:rPr>
          <w:rFonts w:asciiTheme="majorHAnsi" w:hAnsiTheme="majorHAnsi" w:cstheme="majorHAnsi"/>
        </w:rPr>
      </w:pPr>
      <w:r w:rsidRPr="004D1A72">
        <w:rPr>
          <w:rFonts w:asciiTheme="majorHAnsi" w:hAnsiTheme="majorHAnsi" w:cstheme="majorHAnsi"/>
        </w:rPr>
        <w:t xml:space="preserve">Honorable </w:t>
      </w:r>
      <w:r w:rsidR="008251C9">
        <w:rPr>
          <w:rFonts w:asciiTheme="majorHAnsi" w:hAnsiTheme="majorHAnsi" w:cstheme="majorHAnsi"/>
        </w:rPr>
        <w:t>Representante</w:t>
      </w:r>
    </w:p>
    <w:p w14:paraId="142F9FDA" w14:textId="5D5BF57B" w:rsidR="00000F6A" w:rsidRPr="00000F6A" w:rsidRDefault="00C76FB9" w:rsidP="00906FEA">
      <w:pPr>
        <w:jc w:val="both"/>
        <w:rPr>
          <w:rFonts w:asciiTheme="majorHAnsi" w:hAnsiTheme="majorHAnsi" w:cstheme="majorHAnsi"/>
          <w:b/>
          <w:bCs/>
        </w:rPr>
      </w:pPr>
      <w:hyperlink r:id="rId8" w:history="1">
        <w:r w:rsidR="00000F6A" w:rsidRPr="00000F6A">
          <w:rPr>
            <w:rStyle w:val="Hipervnculo"/>
            <w:rFonts w:asciiTheme="majorHAnsi" w:hAnsiTheme="majorHAnsi" w:cstheme="majorHAnsi"/>
            <w:b/>
            <w:bCs/>
            <w:color w:val="auto"/>
            <w:u w:val="none"/>
          </w:rPr>
          <w:t>ANA PAOLA GARCÍA SOTO</w:t>
        </w:r>
      </w:hyperlink>
    </w:p>
    <w:p w14:paraId="02FD0179" w14:textId="1A1DCC5D" w:rsidR="004D1A72" w:rsidRDefault="00BB1C2C" w:rsidP="00906FEA">
      <w:pPr>
        <w:jc w:val="both"/>
        <w:rPr>
          <w:rFonts w:asciiTheme="majorHAnsi" w:hAnsiTheme="majorHAnsi" w:cstheme="majorHAnsi"/>
        </w:rPr>
      </w:pPr>
      <w:r w:rsidRPr="004D1A72">
        <w:rPr>
          <w:rFonts w:asciiTheme="majorHAnsi" w:hAnsiTheme="majorHAnsi" w:cstheme="majorHAnsi"/>
        </w:rPr>
        <w:t>President</w:t>
      </w:r>
      <w:r w:rsidR="00000F6A">
        <w:rPr>
          <w:rFonts w:asciiTheme="majorHAnsi" w:hAnsiTheme="majorHAnsi" w:cstheme="majorHAnsi"/>
        </w:rPr>
        <w:t>a</w:t>
      </w:r>
    </w:p>
    <w:p w14:paraId="0FC27589" w14:textId="1793CCEE" w:rsidR="00A67DF3" w:rsidRPr="004D1A72" w:rsidRDefault="00592FDA" w:rsidP="00906FEA">
      <w:pPr>
        <w:jc w:val="both"/>
        <w:rPr>
          <w:rFonts w:asciiTheme="majorHAnsi" w:hAnsiTheme="majorHAnsi" w:cstheme="majorHAnsi"/>
        </w:rPr>
      </w:pPr>
      <w:r w:rsidRPr="004D1A72">
        <w:rPr>
          <w:rFonts w:asciiTheme="majorHAnsi" w:hAnsiTheme="majorHAnsi" w:cstheme="majorHAnsi"/>
        </w:rPr>
        <w:t xml:space="preserve">Comisión </w:t>
      </w:r>
      <w:r w:rsidR="00631988">
        <w:rPr>
          <w:rFonts w:asciiTheme="majorHAnsi" w:hAnsiTheme="majorHAnsi" w:cstheme="majorHAnsi"/>
        </w:rPr>
        <w:t>Primera Cámara de Representantes</w:t>
      </w:r>
    </w:p>
    <w:p w14:paraId="3223CE14" w14:textId="3F110D4D" w:rsidR="00A67DF3" w:rsidRDefault="00A67DF3" w:rsidP="00906FEA">
      <w:pPr>
        <w:pBdr>
          <w:top w:val="nil"/>
          <w:left w:val="nil"/>
          <w:bottom w:val="nil"/>
          <w:right w:val="nil"/>
          <w:between w:val="nil"/>
        </w:pBdr>
        <w:jc w:val="both"/>
        <w:rPr>
          <w:rFonts w:asciiTheme="majorHAnsi" w:hAnsiTheme="majorHAnsi" w:cstheme="majorHAnsi"/>
          <w:color w:val="000000"/>
        </w:rPr>
      </w:pPr>
    </w:p>
    <w:p w14:paraId="0C381420" w14:textId="27E33C36" w:rsidR="004D1A72" w:rsidRDefault="004D1A72" w:rsidP="00906FEA">
      <w:pPr>
        <w:pBdr>
          <w:top w:val="nil"/>
          <w:left w:val="nil"/>
          <w:bottom w:val="nil"/>
          <w:right w:val="nil"/>
          <w:between w:val="nil"/>
        </w:pBdr>
        <w:jc w:val="both"/>
        <w:rPr>
          <w:rFonts w:asciiTheme="majorHAnsi" w:hAnsiTheme="majorHAnsi" w:cstheme="majorHAnsi"/>
          <w:color w:val="000000"/>
        </w:rPr>
      </w:pPr>
    </w:p>
    <w:p w14:paraId="5389A537" w14:textId="03D88ECE" w:rsidR="00000F6A" w:rsidRPr="00000F6A" w:rsidRDefault="00C76FB9" w:rsidP="00906FEA">
      <w:pPr>
        <w:pBdr>
          <w:top w:val="nil"/>
          <w:left w:val="nil"/>
          <w:bottom w:val="nil"/>
          <w:right w:val="nil"/>
          <w:between w:val="nil"/>
        </w:pBdr>
        <w:jc w:val="both"/>
        <w:rPr>
          <w:rFonts w:asciiTheme="majorHAnsi" w:hAnsiTheme="majorHAnsi" w:cstheme="majorHAnsi"/>
          <w:b/>
          <w:bCs/>
          <w:color w:val="000000"/>
        </w:rPr>
      </w:pPr>
      <w:r>
        <w:rPr>
          <w:rFonts w:asciiTheme="majorHAnsi" w:hAnsiTheme="majorHAnsi" w:cstheme="majorHAnsi"/>
          <w:b/>
          <w:bCs/>
          <w:color w:val="000000"/>
        </w:rPr>
        <w:t>Ref. Ponencia Primer Debate- Primera V</w:t>
      </w:r>
      <w:r w:rsidR="00000F6A" w:rsidRPr="00000F6A">
        <w:rPr>
          <w:rFonts w:asciiTheme="majorHAnsi" w:hAnsiTheme="majorHAnsi" w:cstheme="majorHAnsi"/>
          <w:b/>
          <w:bCs/>
          <w:color w:val="000000"/>
        </w:rPr>
        <w:t>uelta Acto Legislativo 082 de 2024 Cámara</w:t>
      </w:r>
    </w:p>
    <w:p w14:paraId="2E8120DE" w14:textId="3CCB49DE" w:rsidR="00BB1C2C" w:rsidRPr="004D1A72" w:rsidRDefault="00BB1C2C" w:rsidP="00906FEA">
      <w:pPr>
        <w:spacing w:before="173"/>
        <w:jc w:val="both"/>
        <w:rPr>
          <w:rFonts w:asciiTheme="majorHAnsi" w:hAnsiTheme="majorHAnsi" w:cstheme="majorHAnsi"/>
        </w:rPr>
      </w:pPr>
      <w:r w:rsidRPr="004D1A72">
        <w:rPr>
          <w:rFonts w:asciiTheme="majorHAnsi" w:hAnsiTheme="majorHAnsi" w:cstheme="majorHAnsi"/>
        </w:rPr>
        <w:t>Respetad</w:t>
      </w:r>
      <w:r w:rsidR="00000F6A">
        <w:rPr>
          <w:rFonts w:asciiTheme="majorHAnsi" w:hAnsiTheme="majorHAnsi" w:cstheme="majorHAnsi"/>
        </w:rPr>
        <w:t>a</w:t>
      </w:r>
      <w:r w:rsidRPr="004D1A72">
        <w:rPr>
          <w:rFonts w:asciiTheme="majorHAnsi" w:hAnsiTheme="majorHAnsi" w:cstheme="majorHAnsi"/>
        </w:rPr>
        <w:t xml:space="preserve"> President</w:t>
      </w:r>
      <w:r w:rsidR="00000F6A">
        <w:rPr>
          <w:rFonts w:asciiTheme="majorHAnsi" w:hAnsiTheme="majorHAnsi" w:cstheme="majorHAnsi"/>
        </w:rPr>
        <w:t>a</w:t>
      </w:r>
      <w:r w:rsidRPr="004D1A72">
        <w:rPr>
          <w:rFonts w:asciiTheme="majorHAnsi" w:hAnsiTheme="majorHAnsi" w:cstheme="majorHAnsi"/>
        </w:rPr>
        <w:t>:</w:t>
      </w:r>
    </w:p>
    <w:p w14:paraId="569DF3ED" w14:textId="77777777" w:rsidR="00A67DF3" w:rsidRPr="004D1A72" w:rsidRDefault="00A67DF3" w:rsidP="00906FEA">
      <w:pPr>
        <w:pBdr>
          <w:top w:val="nil"/>
          <w:left w:val="nil"/>
          <w:bottom w:val="nil"/>
          <w:right w:val="nil"/>
          <w:between w:val="nil"/>
        </w:pBdr>
        <w:jc w:val="both"/>
        <w:rPr>
          <w:rFonts w:asciiTheme="majorHAnsi" w:hAnsiTheme="majorHAnsi" w:cstheme="majorHAnsi"/>
          <w:color w:val="000000"/>
        </w:rPr>
      </w:pPr>
    </w:p>
    <w:p w14:paraId="47BBB5F4" w14:textId="27F2C7AF" w:rsidR="009007AF" w:rsidRDefault="00592FDA" w:rsidP="00906FEA">
      <w:pPr>
        <w:ind w:right="115"/>
        <w:jc w:val="both"/>
        <w:rPr>
          <w:rFonts w:asciiTheme="majorHAnsi" w:hAnsiTheme="majorHAnsi" w:cstheme="majorHAnsi"/>
          <w:b/>
          <w:bCs/>
          <w:i/>
        </w:rPr>
      </w:pPr>
      <w:r w:rsidRPr="004D1A72">
        <w:rPr>
          <w:rFonts w:asciiTheme="majorHAnsi" w:hAnsiTheme="majorHAnsi" w:cstheme="majorHAnsi"/>
        </w:rPr>
        <w:t>Atendiendo a la designación realizada por la Mesa Directiva de la Comisi</w:t>
      </w:r>
      <w:r w:rsidR="00BB1C2C" w:rsidRPr="004D1A72">
        <w:rPr>
          <w:rFonts w:asciiTheme="majorHAnsi" w:hAnsiTheme="majorHAnsi" w:cstheme="majorHAnsi"/>
        </w:rPr>
        <w:t>ó</w:t>
      </w:r>
      <w:r w:rsidRPr="004D1A72">
        <w:rPr>
          <w:rFonts w:asciiTheme="majorHAnsi" w:hAnsiTheme="majorHAnsi" w:cstheme="majorHAnsi"/>
        </w:rPr>
        <w:t xml:space="preserve">n </w:t>
      </w:r>
      <w:r w:rsidR="00DF5C93">
        <w:rPr>
          <w:rFonts w:asciiTheme="majorHAnsi" w:hAnsiTheme="majorHAnsi" w:cstheme="majorHAnsi"/>
        </w:rPr>
        <w:t>Primera</w:t>
      </w:r>
      <w:r w:rsidRPr="004D1A72">
        <w:rPr>
          <w:rFonts w:asciiTheme="majorHAnsi" w:hAnsiTheme="majorHAnsi" w:cstheme="majorHAnsi"/>
        </w:rPr>
        <w:t xml:space="preserve"> Constitucional de</w:t>
      </w:r>
      <w:r w:rsidR="00DF5C93">
        <w:rPr>
          <w:rFonts w:asciiTheme="majorHAnsi" w:hAnsiTheme="majorHAnsi" w:cstheme="majorHAnsi"/>
        </w:rPr>
        <w:t xml:space="preserve"> </w:t>
      </w:r>
      <w:r w:rsidR="00BB1C2C" w:rsidRPr="004D1A72">
        <w:rPr>
          <w:rFonts w:asciiTheme="majorHAnsi" w:hAnsiTheme="majorHAnsi" w:cstheme="majorHAnsi"/>
        </w:rPr>
        <w:t>l</w:t>
      </w:r>
      <w:r w:rsidR="00DF5C93">
        <w:rPr>
          <w:rFonts w:asciiTheme="majorHAnsi" w:hAnsiTheme="majorHAnsi" w:cstheme="majorHAnsi"/>
        </w:rPr>
        <w:t>a Cámara de Representantes</w:t>
      </w:r>
      <w:r w:rsidRPr="004D1A72">
        <w:rPr>
          <w:rFonts w:asciiTheme="majorHAnsi" w:hAnsiTheme="majorHAnsi" w:cstheme="majorHAnsi"/>
        </w:rPr>
        <w:t>, en atención a lo dispuesto en el artículo 150 de la Ley 5 de 1992</w:t>
      </w:r>
      <w:r w:rsidR="00B03848">
        <w:rPr>
          <w:rFonts w:asciiTheme="majorHAnsi" w:hAnsiTheme="majorHAnsi" w:cstheme="majorHAnsi"/>
        </w:rPr>
        <w:t>,</w:t>
      </w:r>
      <w:r w:rsidRPr="004D1A72">
        <w:rPr>
          <w:rFonts w:asciiTheme="majorHAnsi" w:hAnsiTheme="majorHAnsi" w:cstheme="majorHAnsi"/>
        </w:rPr>
        <w:t xml:space="preserve"> </w:t>
      </w:r>
      <w:r w:rsidR="00B03848">
        <w:rPr>
          <w:rFonts w:asciiTheme="majorHAnsi" w:hAnsiTheme="majorHAnsi" w:cstheme="majorHAnsi"/>
        </w:rPr>
        <w:t xml:space="preserve">presento </w:t>
      </w:r>
      <w:r w:rsidRPr="004D1A72">
        <w:rPr>
          <w:rFonts w:asciiTheme="majorHAnsi" w:hAnsiTheme="majorHAnsi" w:cstheme="majorHAnsi"/>
        </w:rPr>
        <w:t xml:space="preserve">el informe de ponencia </w:t>
      </w:r>
      <w:r w:rsidR="00000F6A">
        <w:rPr>
          <w:rFonts w:asciiTheme="majorHAnsi" w:hAnsiTheme="majorHAnsi" w:cstheme="majorHAnsi"/>
        </w:rPr>
        <w:t>p</w:t>
      </w:r>
      <w:r w:rsidRPr="004D1A72">
        <w:rPr>
          <w:rFonts w:asciiTheme="majorHAnsi" w:hAnsiTheme="majorHAnsi" w:cstheme="majorHAnsi"/>
        </w:rPr>
        <w:t xml:space="preserve">ara </w:t>
      </w:r>
      <w:r w:rsidR="00E029D8">
        <w:rPr>
          <w:rFonts w:asciiTheme="majorHAnsi" w:hAnsiTheme="majorHAnsi" w:cstheme="majorHAnsi"/>
        </w:rPr>
        <w:t xml:space="preserve">primer </w:t>
      </w:r>
      <w:r w:rsidRPr="004D1A72">
        <w:rPr>
          <w:rFonts w:asciiTheme="majorHAnsi" w:hAnsiTheme="majorHAnsi" w:cstheme="majorHAnsi"/>
        </w:rPr>
        <w:t xml:space="preserve">debate </w:t>
      </w:r>
      <w:r w:rsidR="002B4202">
        <w:rPr>
          <w:rFonts w:asciiTheme="majorHAnsi" w:hAnsiTheme="majorHAnsi" w:cstheme="majorHAnsi"/>
        </w:rPr>
        <w:t xml:space="preserve">ante la </w:t>
      </w:r>
      <w:r w:rsidR="00E029D8">
        <w:rPr>
          <w:rFonts w:asciiTheme="majorHAnsi" w:hAnsiTheme="majorHAnsi" w:cstheme="majorHAnsi"/>
        </w:rPr>
        <w:t xml:space="preserve">Comisión </w:t>
      </w:r>
      <w:r w:rsidR="009007AF">
        <w:rPr>
          <w:rFonts w:asciiTheme="majorHAnsi" w:hAnsiTheme="majorHAnsi" w:cstheme="majorHAnsi"/>
        </w:rPr>
        <w:t xml:space="preserve">Primera </w:t>
      </w:r>
      <w:r w:rsidR="002B4202">
        <w:rPr>
          <w:rFonts w:asciiTheme="majorHAnsi" w:hAnsiTheme="majorHAnsi" w:cstheme="majorHAnsi"/>
        </w:rPr>
        <w:t>de</w:t>
      </w:r>
      <w:r w:rsidR="009007AF">
        <w:rPr>
          <w:rFonts w:asciiTheme="majorHAnsi" w:hAnsiTheme="majorHAnsi" w:cstheme="majorHAnsi"/>
        </w:rPr>
        <w:t xml:space="preserve"> </w:t>
      </w:r>
      <w:r w:rsidR="002B4202">
        <w:rPr>
          <w:rFonts w:asciiTheme="majorHAnsi" w:hAnsiTheme="majorHAnsi" w:cstheme="majorHAnsi"/>
        </w:rPr>
        <w:t>l</w:t>
      </w:r>
      <w:r w:rsidR="009007AF">
        <w:rPr>
          <w:rFonts w:asciiTheme="majorHAnsi" w:hAnsiTheme="majorHAnsi" w:cstheme="majorHAnsi"/>
        </w:rPr>
        <w:t xml:space="preserve">a Cámara de Representantes </w:t>
      </w:r>
      <w:r w:rsidRPr="004D1A72">
        <w:rPr>
          <w:rFonts w:asciiTheme="majorHAnsi" w:hAnsiTheme="majorHAnsi" w:cstheme="majorHAnsi"/>
        </w:rPr>
        <w:t xml:space="preserve">del </w:t>
      </w:r>
      <w:r w:rsidR="00000F6A">
        <w:rPr>
          <w:rFonts w:asciiTheme="majorHAnsi" w:hAnsiTheme="majorHAnsi" w:cstheme="majorHAnsi"/>
        </w:rPr>
        <w:t xml:space="preserve">Acto Legislativo </w:t>
      </w:r>
      <w:r w:rsidR="00C165B1">
        <w:rPr>
          <w:rFonts w:asciiTheme="majorHAnsi" w:hAnsiTheme="majorHAnsi" w:cstheme="majorHAnsi"/>
        </w:rPr>
        <w:t xml:space="preserve">No. </w:t>
      </w:r>
      <w:r w:rsidR="00000F6A" w:rsidRPr="00000F6A">
        <w:rPr>
          <w:rFonts w:asciiTheme="majorHAnsi" w:hAnsiTheme="majorHAnsi" w:cstheme="majorHAnsi"/>
        </w:rPr>
        <w:t>082/2024</w:t>
      </w:r>
      <w:r w:rsidR="00000F6A">
        <w:rPr>
          <w:rFonts w:asciiTheme="majorHAnsi" w:hAnsiTheme="majorHAnsi" w:cstheme="majorHAnsi"/>
        </w:rPr>
        <w:t xml:space="preserve"> </w:t>
      </w:r>
      <w:r w:rsidR="00000F6A" w:rsidRPr="00000F6A">
        <w:rPr>
          <w:rFonts w:asciiTheme="majorHAnsi" w:hAnsiTheme="majorHAnsi" w:cstheme="majorHAnsi"/>
        </w:rPr>
        <w:t>C</w:t>
      </w:r>
      <w:r w:rsidR="00000F6A">
        <w:rPr>
          <w:rFonts w:asciiTheme="majorHAnsi" w:hAnsiTheme="majorHAnsi" w:cstheme="majorHAnsi"/>
        </w:rPr>
        <w:t xml:space="preserve">ámara </w:t>
      </w:r>
      <w:r w:rsidR="00000F6A" w:rsidRPr="009A63A9">
        <w:rPr>
          <w:rFonts w:asciiTheme="majorHAnsi" w:hAnsiTheme="majorHAnsi" w:cstheme="majorHAnsi"/>
          <w:b/>
          <w:bCs/>
          <w:i/>
        </w:rPr>
        <w:t>“</w:t>
      </w:r>
      <w:r w:rsidR="00000F6A" w:rsidRPr="00000F6A">
        <w:rPr>
          <w:rFonts w:asciiTheme="majorHAnsi" w:hAnsiTheme="majorHAnsi" w:cstheme="majorHAnsi"/>
          <w:b/>
          <w:bCs/>
          <w:i/>
        </w:rPr>
        <w:t>POR MEDIO DEL CUAL SE MODIFICAN LOS ARTÍCULOS 12, 13 Y 43 DE LA CONSTITUCIÓN POLITICA Y SE PROHÍBE LA MUTILACIÓN GENITAL FEMENINA MGF EN COLOMBIA”</w:t>
      </w:r>
    </w:p>
    <w:p w14:paraId="1D2CCE00" w14:textId="77777777" w:rsidR="009A63A9" w:rsidRPr="009007AF" w:rsidRDefault="009A63A9" w:rsidP="00906FEA">
      <w:pPr>
        <w:ind w:right="115"/>
        <w:jc w:val="both"/>
        <w:rPr>
          <w:rFonts w:asciiTheme="majorHAnsi" w:hAnsiTheme="majorHAnsi" w:cstheme="majorHAnsi"/>
          <w:i/>
        </w:rPr>
      </w:pPr>
    </w:p>
    <w:p w14:paraId="3C56DF50" w14:textId="49F0BEA4" w:rsidR="00A67DF3" w:rsidRPr="004D1A72" w:rsidRDefault="00592FDA">
      <w:pPr>
        <w:pStyle w:val="Ttulo1"/>
        <w:numPr>
          <w:ilvl w:val="0"/>
          <w:numId w:val="1"/>
        </w:numPr>
        <w:tabs>
          <w:tab w:val="left" w:pos="921"/>
          <w:tab w:val="left" w:pos="922"/>
        </w:tabs>
        <w:jc w:val="both"/>
        <w:rPr>
          <w:rFonts w:asciiTheme="majorHAnsi" w:hAnsiTheme="majorHAnsi" w:cstheme="majorHAnsi"/>
        </w:rPr>
      </w:pPr>
      <w:r w:rsidRPr="004D1A72">
        <w:rPr>
          <w:rFonts w:asciiTheme="majorHAnsi" w:hAnsiTheme="majorHAnsi" w:cstheme="majorHAnsi"/>
        </w:rPr>
        <w:t>T</w:t>
      </w:r>
      <w:r w:rsidR="00B03848" w:rsidRPr="004D1A72">
        <w:rPr>
          <w:rFonts w:asciiTheme="majorHAnsi" w:hAnsiTheme="majorHAnsi" w:cstheme="majorHAnsi"/>
        </w:rPr>
        <w:t>RÁMITE DEL PROYECTO</w:t>
      </w:r>
    </w:p>
    <w:p w14:paraId="6BC1CD50" w14:textId="77777777" w:rsidR="00A67DF3" w:rsidRPr="004D1A72" w:rsidRDefault="00A67DF3" w:rsidP="00906FEA">
      <w:pPr>
        <w:pBdr>
          <w:top w:val="nil"/>
          <w:left w:val="nil"/>
          <w:bottom w:val="nil"/>
          <w:right w:val="nil"/>
          <w:between w:val="nil"/>
        </w:pBdr>
        <w:spacing w:before="8"/>
        <w:jc w:val="both"/>
        <w:rPr>
          <w:rFonts w:asciiTheme="majorHAnsi" w:hAnsiTheme="majorHAnsi" w:cstheme="majorHAnsi"/>
          <w:b/>
          <w:color w:val="000000"/>
        </w:rPr>
      </w:pPr>
    </w:p>
    <w:p w14:paraId="63468E7B" w14:textId="07802E3C" w:rsidR="00C05ED6" w:rsidRPr="00B32BE3" w:rsidRDefault="00592FDA" w:rsidP="00C05ED6">
      <w:pPr>
        <w:jc w:val="both"/>
        <w:rPr>
          <w:rFonts w:asciiTheme="majorHAnsi" w:hAnsiTheme="majorHAnsi" w:cstheme="majorHAnsi"/>
          <w:b/>
          <w:bCs/>
          <w:i/>
        </w:rPr>
      </w:pPr>
      <w:r w:rsidRPr="004D1A72">
        <w:rPr>
          <w:rFonts w:asciiTheme="majorHAnsi" w:hAnsiTheme="majorHAnsi" w:cstheme="majorHAnsi"/>
        </w:rPr>
        <w:t xml:space="preserve">El </w:t>
      </w:r>
      <w:r w:rsidR="00B32BE3">
        <w:rPr>
          <w:rFonts w:asciiTheme="majorHAnsi" w:hAnsiTheme="majorHAnsi" w:cstheme="majorHAnsi"/>
        </w:rPr>
        <w:t xml:space="preserve">Acto Legislativo No. 082 de c2024 Cámara </w:t>
      </w:r>
      <w:r w:rsidR="00B32BE3" w:rsidRPr="00B32BE3">
        <w:rPr>
          <w:rFonts w:asciiTheme="majorHAnsi" w:hAnsiTheme="majorHAnsi" w:cstheme="majorHAnsi"/>
          <w:b/>
          <w:bCs/>
          <w:i/>
        </w:rPr>
        <w:t>“POR MEDIO DEL CUAL SE MODIFICAN LOS ARTÍCULOS 12, 13 Y 43 DE LA CONSTITUCIÓN POLITICA Y SE PROHÍBE LA MUTILACIÓN GENITAL FEMENINA MGF EN COLOMBIA”</w:t>
      </w:r>
      <w:r w:rsidR="00B32BE3">
        <w:rPr>
          <w:rFonts w:asciiTheme="majorHAnsi" w:hAnsiTheme="majorHAnsi" w:cstheme="majorHAnsi"/>
          <w:b/>
          <w:bCs/>
          <w:i/>
        </w:rPr>
        <w:t xml:space="preserve"> </w:t>
      </w:r>
      <w:r w:rsidR="00B32BE3" w:rsidRPr="00B32BE3">
        <w:rPr>
          <w:rFonts w:asciiTheme="majorHAnsi" w:hAnsiTheme="majorHAnsi" w:cstheme="majorHAnsi"/>
          <w:iCs/>
        </w:rPr>
        <w:t>es</w:t>
      </w:r>
      <w:r w:rsidR="00B32BE3">
        <w:rPr>
          <w:rFonts w:asciiTheme="majorHAnsi" w:hAnsiTheme="majorHAnsi" w:cstheme="majorHAnsi"/>
          <w:b/>
          <w:bCs/>
          <w:i/>
        </w:rPr>
        <w:t xml:space="preserve"> </w:t>
      </w:r>
      <w:r w:rsidR="00C165B1">
        <w:rPr>
          <w:rFonts w:asciiTheme="majorHAnsi" w:hAnsiTheme="majorHAnsi" w:cstheme="majorHAnsi"/>
        </w:rPr>
        <w:t>de</w:t>
      </w:r>
      <w:r w:rsidR="009A63A9">
        <w:rPr>
          <w:rFonts w:asciiTheme="majorHAnsi" w:hAnsiTheme="majorHAnsi" w:cstheme="majorHAnsi"/>
        </w:rPr>
        <w:t xml:space="preserve"> mi autoría </w:t>
      </w:r>
      <w:r w:rsidR="00B32BE3">
        <w:rPr>
          <w:rFonts w:asciiTheme="majorHAnsi" w:hAnsiTheme="majorHAnsi" w:cstheme="majorHAnsi"/>
        </w:rPr>
        <w:t xml:space="preserve">H.R Andrés Felipe Jiménez Vargas y como Co autores lo suscriben </w:t>
      </w:r>
      <w:r w:rsidR="009A63A9">
        <w:rPr>
          <w:rFonts w:asciiTheme="majorHAnsi" w:hAnsiTheme="majorHAnsi" w:cstheme="majorHAnsi"/>
        </w:rPr>
        <w:t>el H.S Nicolás Albeiro Echeverri</w:t>
      </w:r>
      <w:r w:rsidR="00B32BE3">
        <w:rPr>
          <w:rFonts w:asciiTheme="majorHAnsi" w:hAnsiTheme="majorHAnsi" w:cstheme="majorHAnsi"/>
        </w:rPr>
        <w:t xml:space="preserve">,  </w:t>
      </w:r>
      <w:r w:rsidR="00B32BE3" w:rsidRPr="00B32BE3">
        <w:rPr>
          <w:rFonts w:asciiTheme="majorHAnsi" w:hAnsiTheme="majorHAnsi" w:cstheme="majorHAnsi"/>
        </w:rPr>
        <w:t>H.S.</w:t>
      </w:r>
      <w:r w:rsidR="00B32BE3">
        <w:rPr>
          <w:rFonts w:asciiTheme="majorHAnsi" w:hAnsiTheme="majorHAnsi" w:cstheme="majorHAnsi"/>
        </w:rPr>
        <w:t xml:space="preserve"> </w:t>
      </w:r>
      <w:hyperlink r:id="rId9" w:history="1">
        <w:r w:rsidR="00B32BE3" w:rsidRPr="00B32BE3">
          <w:rPr>
            <w:rStyle w:val="Hipervnculo"/>
            <w:rFonts w:asciiTheme="majorHAnsi" w:hAnsiTheme="majorHAnsi" w:cstheme="majorHAnsi"/>
            <w:color w:val="auto"/>
            <w:u w:val="none"/>
          </w:rPr>
          <w:t>Germán Alcides Blanco Álvarez</w:t>
        </w:r>
      </w:hyperlink>
      <w:r w:rsidR="00B32BE3" w:rsidRPr="00B32BE3">
        <w:rPr>
          <w:rFonts w:asciiTheme="majorHAnsi" w:hAnsiTheme="majorHAnsi" w:cstheme="majorHAnsi"/>
        </w:rPr>
        <w:t> , H.R.</w:t>
      </w:r>
      <w:r w:rsidR="00B32BE3">
        <w:rPr>
          <w:rFonts w:asciiTheme="majorHAnsi" w:hAnsiTheme="majorHAnsi" w:cstheme="majorHAnsi"/>
        </w:rPr>
        <w:t xml:space="preserve"> </w:t>
      </w:r>
      <w:hyperlink r:id="rId10" w:history="1">
        <w:r w:rsidR="00B32BE3" w:rsidRPr="00B32BE3">
          <w:rPr>
            <w:rStyle w:val="Hipervnculo"/>
            <w:rFonts w:asciiTheme="majorHAnsi" w:hAnsiTheme="majorHAnsi" w:cstheme="majorHAnsi"/>
            <w:color w:val="auto"/>
            <w:u w:val="none"/>
          </w:rPr>
          <w:t>Juan Daniel Peñuela Calvache</w:t>
        </w:r>
      </w:hyperlink>
      <w:r w:rsidR="00B32BE3" w:rsidRPr="00B32BE3">
        <w:rPr>
          <w:rFonts w:asciiTheme="majorHAnsi" w:hAnsiTheme="majorHAnsi" w:cstheme="majorHAnsi"/>
        </w:rPr>
        <w:t> , H.R.</w:t>
      </w:r>
      <w:r w:rsidR="00B32BE3">
        <w:rPr>
          <w:rFonts w:asciiTheme="majorHAnsi" w:hAnsiTheme="majorHAnsi" w:cstheme="majorHAnsi"/>
        </w:rPr>
        <w:t xml:space="preserve"> </w:t>
      </w:r>
      <w:hyperlink r:id="rId11" w:history="1">
        <w:r w:rsidR="00B32BE3" w:rsidRPr="00B32BE3">
          <w:rPr>
            <w:rStyle w:val="Hipervnculo"/>
            <w:rFonts w:asciiTheme="majorHAnsi" w:hAnsiTheme="majorHAnsi" w:cstheme="majorHAnsi"/>
            <w:color w:val="auto"/>
            <w:u w:val="none"/>
          </w:rPr>
          <w:t xml:space="preserve">Juan Carlos </w:t>
        </w:r>
        <w:proofErr w:type="spellStart"/>
        <w:r w:rsidR="00B32BE3" w:rsidRPr="00B32BE3">
          <w:rPr>
            <w:rStyle w:val="Hipervnculo"/>
            <w:rFonts w:asciiTheme="majorHAnsi" w:hAnsiTheme="majorHAnsi" w:cstheme="majorHAnsi"/>
            <w:color w:val="auto"/>
            <w:u w:val="none"/>
          </w:rPr>
          <w:t>Wills</w:t>
        </w:r>
        <w:proofErr w:type="spellEnd"/>
        <w:r w:rsidR="00B32BE3" w:rsidRPr="00B32BE3">
          <w:rPr>
            <w:rStyle w:val="Hipervnculo"/>
            <w:rFonts w:asciiTheme="majorHAnsi" w:hAnsiTheme="majorHAnsi" w:cstheme="majorHAnsi"/>
            <w:color w:val="auto"/>
            <w:u w:val="none"/>
          </w:rPr>
          <w:t xml:space="preserve"> Ospina</w:t>
        </w:r>
      </w:hyperlink>
      <w:r w:rsidR="00B32BE3" w:rsidRPr="00B32BE3">
        <w:rPr>
          <w:rFonts w:asciiTheme="majorHAnsi" w:hAnsiTheme="majorHAnsi" w:cstheme="majorHAnsi"/>
        </w:rPr>
        <w:t> , H.R.</w:t>
      </w:r>
      <w:r w:rsidR="00B32BE3">
        <w:rPr>
          <w:rFonts w:asciiTheme="majorHAnsi" w:hAnsiTheme="majorHAnsi" w:cstheme="majorHAnsi"/>
        </w:rPr>
        <w:t xml:space="preserve"> </w:t>
      </w:r>
      <w:hyperlink r:id="rId12" w:history="1">
        <w:r w:rsidR="00B32BE3" w:rsidRPr="00B32BE3">
          <w:rPr>
            <w:rStyle w:val="Hipervnculo"/>
            <w:rFonts w:asciiTheme="majorHAnsi" w:hAnsiTheme="majorHAnsi" w:cstheme="majorHAnsi"/>
            <w:color w:val="auto"/>
            <w:u w:val="none"/>
          </w:rPr>
          <w:t>Luis Miguel López Aristizábal</w:t>
        </w:r>
      </w:hyperlink>
      <w:r w:rsidR="00B32BE3" w:rsidRPr="00B32BE3">
        <w:rPr>
          <w:rFonts w:asciiTheme="majorHAnsi" w:hAnsiTheme="majorHAnsi" w:cstheme="majorHAnsi"/>
        </w:rPr>
        <w:t> , H.R.</w:t>
      </w:r>
      <w:r w:rsidR="00B32BE3">
        <w:rPr>
          <w:rFonts w:asciiTheme="majorHAnsi" w:hAnsiTheme="majorHAnsi" w:cstheme="majorHAnsi"/>
        </w:rPr>
        <w:t xml:space="preserve"> </w:t>
      </w:r>
      <w:hyperlink r:id="rId13" w:history="1">
        <w:r w:rsidR="00B32BE3" w:rsidRPr="00B32BE3">
          <w:rPr>
            <w:rStyle w:val="Hipervnculo"/>
            <w:rFonts w:asciiTheme="majorHAnsi" w:hAnsiTheme="majorHAnsi" w:cstheme="majorHAnsi"/>
            <w:color w:val="auto"/>
            <w:u w:val="none"/>
          </w:rPr>
          <w:t>Juan Manuel Cortés Dueñas</w:t>
        </w:r>
      </w:hyperlink>
      <w:r w:rsidR="00B32BE3" w:rsidRPr="00B32BE3">
        <w:rPr>
          <w:rFonts w:asciiTheme="majorHAnsi" w:hAnsiTheme="majorHAnsi" w:cstheme="majorHAnsi"/>
        </w:rPr>
        <w:t> , H.R.</w:t>
      </w:r>
      <w:r w:rsidR="00B32BE3">
        <w:rPr>
          <w:rFonts w:asciiTheme="majorHAnsi" w:hAnsiTheme="majorHAnsi" w:cstheme="majorHAnsi"/>
        </w:rPr>
        <w:t xml:space="preserve"> </w:t>
      </w:r>
      <w:hyperlink r:id="rId14" w:history="1">
        <w:r w:rsidR="00B32BE3" w:rsidRPr="00B32BE3">
          <w:rPr>
            <w:rStyle w:val="Hipervnculo"/>
            <w:rFonts w:asciiTheme="majorHAnsi" w:hAnsiTheme="majorHAnsi" w:cstheme="majorHAnsi"/>
            <w:color w:val="auto"/>
            <w:u w:val="none"/>
          </w:rPr>
          <w:t>Juliana Aray Franco</w:t>
        </w:r>
      </w:hyperlink>
      <w:r w:rsidR="00B32BE3" w:rsidRPr="00B32BE3">
        <w:rPr>
          <w:rFonts w:asciiTheme="majorHAnsi" w:hAnsiTheme="majorHAnsi" w:cstheme="majorHAnsi"/>
        </w:rPr>
        <w:t> , H.R.</w:t>
      </w:r>
      <w:r w:rsidR="00B32BE3">
        <w:rPr>
          <w:rFonts w:asciiTheme="majorHAnsi" w:hAnsiTheme="majorHAnsi" w:cstheme="majorHAnsi"/>
        </w:rPr>
        <w:t xml:space="preserve"> </w:t>
      </w:r>
      <w:hyperlink r:id="rId15" w:history="1">
        <w:r w:rsidR="00B32BE3" w:rsidRPr="00B32BE3">
          <w:rPr>
            <w:rStyle w:val="Hipervnculo"/>
            <w:rFonts w:asciiTheme="majorHAnsi" w:hAnsiTheme="majorHAnsi" w:cstheme="majorHAnsi"/>
            <w:color w:val="auto"/>
            <w:u w:val="none"/>
          </w:rPr>
          <w:t>Delcy Esperanza Isaza Buenaventura</w:t>
        </w:r>
      </w:hyperlink>
      <w:r w:rsidR="00B32BE3" w:rsidRPr="00B32BE3">
        <w:rPr>
          <w:rFonts w:asciiTheme="majorHAnsi" w:hAnsiTheme="majorHAnsi" w:cstheme="majorHAnsi"/>
        </w:rPr>
        <w:t> , H.R.</w:t>
      </w:r>
      <w:r w:rsidR="00B32BE3">
        <w:rPr>
          <w:rFonts w:asciiTheme="majorHAnsi" w:hAnsiTheme="majorHAnsi" w:cstheme="majorHAnsi"/>
        </w:rPr>
        <w:t xml:space="preserve"> </w:t>
      </w:r>
      <w:hyperlink r:id="rId16" w:history="1">
        <w:r w:rsidR="00B32BE3" w:rsidRPr="00B32BE3">
          <w:rPr>
            <w:rStyle w:val="Hipervnculo"/>
            <w:rFonts w:asciiTheme="majorHAnsi" w:hAnsiTheme="majorHAnsi" w:cstheme="majorHAnsi"/>
            <w:color w:val="auto"/>
            <w:u w:val="none"/>
          </w:rPr>
          <w:t>Ángela María Vergara González</w:t>
        </w:r>
      </w:hyperlink>
      <w:r w:rsidR="00B32BE3" w:rsidRPr="00B32BE3">
        <w:rPr>
          <w:rFonts w:asciiTheme="majorHAnsi" w:hAnsiTheme="majorHAnsi" w:cstheme="majorHAnsi"/>
        </w:rPr>
        <w:t xml:space="preserve">  </w:t>
      </w:r>
      <w:r w:rsidR="00B32BE3">
        <w:rPr>
          <w:rFonts w:asciiTheme="majorHAnsi" w:hAnsiTheme="majorHAnsi" w:cstheme="majorHAnsi"/>
        </w:rPr>
        <w:t>y</w:t>
      </w:r>
      <w:r w:rsidR="009A63A9" w:rsidRPr="00B32BE3">
        <w:rPr>
          <w:rFonts w:asciiTheme="majorHAnsi" w:hAnsiTheme="majorHAnsi" w:cstheme="majorHAnsi"/>
        </w:rPr>
        <w:t xml:space="preserve"> </w:t>
      </w:r>
      <w:r w:rsidR="00826085" w:rsidRPr="00D63E2A">
        <w:rPr>
          <w:rFonts w:asciiTheme="majorHAnsi" w:hAnsiTheme="majorHAnsi" w:cstheme="majorHAnsi"/>
        </w:rPr>
        <w:t xml:space="preserve">fue radicado el </w:t>
      </w:r>
      <w:r w:rsidR="00B32BE3">
        <w:rPr>
          <w:rFonts w:asciiTheme="majorHAnsi" w:hAnsiTheme="majorHAnsi" w:cstheme="majorHAnsi"/>
        </w:rPr>
        <w:t xml:space="preserve"> 29 de julio de 2024</w:t>
      </w:r>
      <w:r w:rsidR="003B0D39">
        <w:rPr>
          <w:rFonts w:asciiTheme="majorHAnsi" w:hAnsiTheme="majorHAnsi" w:cstheme="majorHAnsi"/>
        </w:rPr>
        <w:t>.</w:t>
      </w:r>
    </w:p>
    <w:p w14:paraId="68D70862" w14:textId="77777777" w:rsidR="00355E1E" w:rsidRPr="004D1A72" w:rsidRDefault="00355E1E" w:rsidP="00C05ED6">
      <w:pPr>
        <w:jc w:val="both"/>
        <w:rPr>
          <w:rFonts w:asciiTheme="majorHAnsi" w:hAnsiTheme="majorHAnsi" w:cstheme="majorHAnsi"/>
        </w:rPr>
      </w:pPr>
    </w:p>
    <w:p w14:paraId="7E8C380F" w14:textId="665D9FD8" w:rsidR="006C1CC4" w:rsidRDefault="00592FDA" w:rsidP="00906FEA">
      <w:pPr>
        <w:spacing w:before="57" w:line="276" w:lineRule="auto"/>
        <w:ind w:right="114"/>
        <w:jc w:val="both"/>
        <w:rPr>
          <w:rFonts w:asciiTheme="majorHAnsi" w:hAnsiTheme="majorHAnsi" w:cstheme="majorHAnsi"/>
        </w:rPr>
      </w:pPr>
      <w:r w:rsidRPr="004D1A72">
        <w:rPr>
          <w:rFonts w:asciiTheme="majorHAnsi" w:hAnsiTheme="majorHAnsi" w:cstheme="majorHAnsi"/>
        </w:rPr>
        <w:t>A través del ofi</w:t>
      </w:r>
      <w:r w:rsidR="00601D2C" w:rsidRPr="004D1A72">
        <w:rPr>
          <w:rFonts w:asciiTheme="majorHAnsi" w:hAnsiTheme="majorHAnsi" w:cstheme="majorHAnsi"/>
        </w:rPr>
        <w:t>c</w:t>
      </w:r>
      <w:r w:rsidRPr="004D1A72">
        <w:rPr>
          <w:rFonts w:asciiTheme="majorHAnsi" w:hAnsiTheme="majorHAnsi" w:cstheme="majorHAnsi"/>
        </w:rPr>
        <w:t>io C</w:t>
      </w:r>
      <w:r w:rsidR="006C1CC4">
        <w:rPr>
          <w:rFonts w:asciiTheme="majorHAnsi" w:hAnsiTheme="majorHAnsi" w:cstheme="majorHAnsi"/>
        </w:rPr>
        <w:t>.P.C.P. 3.1-0</w:t>
      </w:r>
      <w:r w:rsidR="00B32BE3">
        <w:rPr>
          <w:rFonts w:asciiTheme="majorHAnsi" w:hAnsiTheme="majorHAnsi" w:cstheme="majorHAnsi"/>
        </w:rPr>
        <w:t xml:space="preserve">106 </w:t>
      </w:r>
      <w:r w:rsidR="006C1CC4">
        <w:rPr>
          <w:rFonts w:asciiTheme="majorHAnsi" w:hAnsiTheme="majorHAnsi" w:cstheme="majorHAnsi"/>
        </w:rPr>
        <w:t>-202</w:t>
      </w:r>
      <w:r w:rsidR="00B32BE3">
        <w:rPr>
          <w:rFonts w:asciiTheme="majorHAnsi" w:hAnsiTheme="majorHAnsi" w:cstheme="majorHAnsi"/>
        </w:rPr>
        <w:t>4</w:t>
      </w:r>
      <w:r w:rsidR="006C1CC4">
        <w:rPr>
          <w:rFonts w:asciiTheme="majorHAnsi" w:hAnsiTheme="majorHAnsi" w:cstheme="majorHAnsi"/>
        </w:rPr>
        <w:t xml:space="preserve"> </w:t>
      </w:r>
      <w:r w:rsidRPr="004D1A72">
        <w:rPr>
          <w:rFonts w:asciiTheme="majorHAnsi" w:hAnsiTheme="majorHAnsi" w:cstheme="majorHAnsi"/>
        </w:rPr>
        <w:t xml:space="preserve">con fecha del </w:t>
      </w:r>
      <w:r w:rsidR="00B32BE3">
        <w:rPr>
          <w:rFonts w:asciiTheme="majorHAnsi" w:hAnsiTheme="majorHAnsi" w:cstheme="majorHAnsi"/>
        </w:rPr>
        <w:t xml:space="preserve">21 de agosto de </w:t>
      </w:r>
      <w:r w:rsidRPr="004D1A72">
        <w:rPr>
          <w:rFonts w:asciiTheme="majorHAnsi" w:hAnsiTheme="majorHAnsi" w:cstheme="majorHAnsi"/>
        </w:rPr>
        <w:t>202</w:t>
      </w:r>
      <w:r w:rsidR="00B32BE3">
        <w:rPr>
          <w:rFonts w:asciiTheme="majorHAnsi" w:hAnsiTheme="majorHAnsi" w:cstheme="majorHAnsi"/>
        </w:rPr>
        <w:t>4</w:t>
      </w:r>
      <w:r w:rsidRPr="004D1A72">
        <w:rPr>
          <w:rFonts w:asciiTheme="majorHAnsi" w:hAnsiTheme="majorHAnsi" w:cstheme="majorHAnsi"/>
        </w:rPr>
        <w:t xml:space="preserve">, </w:t>
      </w:r>
      <w:r w:rsidR="00D57399">
        <w:rPr>
          <w:rFonts w:asciiTheme="majorHAnsi" w:hAnsiTheme="majorHAnsi" w:cstheme="majorHAnsi"/>
        </w:rPr>
        <w:t>notificado e</w:t>
      </w:r>
      <w:r w:rsidR="00B32BE3">
        <w:rPr>
          <w:rFonts w:asciiTheme="majorHAnsi" w:hAnsiTheme="majorHAnsi" w:cstheme="majorHAnsi"/>
        </w:rPr>
        <w:t>n igual fecha mediante correo electrónico</w:t>
      </w:r>
      <w:r w:rsidR="00D57399">
        <w:rPr>
          <w:rFonts w:asciiTheme="majorHAnsi" w:hAnsiTheme="majorHAnsi" w:cstheme="majorHAnsi"/>
        </w:rPr>
        <w:t xml:space="preserve">, </w:t>
      </w:r>
      <w:r w:rsidRPr="004D1A72">
        <w:rPr>
          <w:rFonts w:asciiTheme="majorHAnsi" w:hAnsiTheme="majorHAnsi" w:cstheme="majorHAnsi"/>
        </w:rPr>
        <w:t xml:space="preserve">la Secretaría de la Comisión </w:t>
      </w:r>
      <w:r w:rsidR="006C1CC4">
        <w:rPr>
          <w:rFonts w:asciiTheme="majorHAnsi" w:hAnsiTheme="majorHAnsi" w:cstheme="majorHAnsi"/>
        </w:rPr>
        <w:t>Primera</w:t>
      </w:r>
      <w:r w:rsidRPr="004D1A72">
        <w:rPr>
          <w:rFonts w:asciiTheme="majorHAnsi" w:hAnsiTheme="majorHAnsi" w:cstheme="majorHAnsi"/>
        </w:rPr>
        <w:t xml:space="preserve"> de</w:t>
      </w:r>
      <w:r w:rsidR="006C1CC4">
        <w:rPr>
          <w:rFonts w:asciiTheme="majorHAnsi" w:hAnsiTheme="majorHAnsi" w:cstheme="majorHAnsi"/>
        </w:rPr>
        <w:t xml:space="preserve"> </w:t>
      </w:r>
      <w:r w:rsidRPr="004D1A72">
        <w:rPr>
          <w:rFonts w:asciiTheme="majorHAnsi" w:hAnsiTheme="majorHAnsi" w:cstheme="majorHAnsi"/>
        </w:rPr>
        <w:t>l</w:t>
      </w:r>
      <w:r w:rsidR="006C1CC4">
        <w:rPr>
          <w:rFonts w:asciiTheme="majorHAnsi" w:hAnsiTheme="majorHAnsi" w:cstheme="majorHAnsi"/>
        </w:rPr>
        <w:t xml:space="preserve">a Cámara </w:t>
      </w:r>
      <w:r w:rsidR="003919AF" w:rsidRPr="004D1A72">
        <w:rPr>
          <w:rFonts w:asciiTheme="majorHAnsi" w:hAnsiTheme="majorHAnsi" w:cstheme="majorHAnsi"/>
        </w:rPr>
        <w:t xml:space="preserve">me </w:t>
      </w:r>
      <w:r w:rsidRPr="004D1A72">
        <w:rPr>
          <w:rFonts w:asciiTheme="majorHAnsi" w:hAnsiTheme="majorHAnsi" w:cstheme="majorHAnsi"/>
        </w:rPr>
        <w:t>no</w:t>
      </w:r>
      <w:r w:rsidRPr="007722A8">
        <w:rPr>
          <w:rFonts w:asciiTheme="majorHAnsi" w:hAnsiTheme="majorHAnsi" w:cstheme="majorHAnsi"/>
        </w:rPr>
        <w:t xml:space="preserve">tificó la designación como </w:t>
      </w:r>
      <w:r w:rsidR="00B32BE3">
        <w:rPr>
          <w:rFonts w:asciiTheme="majorHAnsi" w:hAnsiTheme="majorHAnsi" w:cstheme="majorHAnsi"/>
        </w:rPr>
        <w:t>uno de los coordinadores ponentes junto al H.R J</w:t>
      </w:r>
      <w:r w:rsidR="00C76FB9">
        <w:rPr>
          <w:rFonts w:asciiTheme="majorHAnsi" w:hAnsiTheme="majorHAnsi" w:cstheme="majorHAnsi"/>
        </w:rPr>
        <w:t xml:space="preserve">osé Jaime </w:t>
      </w:r>
      <w:proofErr w:type="spellStart"/>
      <w:r w:rsidR="00C76FB9">
        <w:rPr>
          <w:rFonts w:asciiTheme="majorHAnsi" w:hAnsiTheme="majorHAnsi" w:cstheme="majorHAnsi"/>
        </w:rPr>
        <w:t>Uscategui</w:t>
      </w:r>
      <w:proofErr w:type="spellEnd"/>
      <w:r w:rsidR="00C76FB9">
        <w:rPr>
          <w:rFonts w:asciiTheme="majorHAnsi" w:hAnsiTheme="majorHAnsi" w:cstheme="majorHAnsi"/>
        </w:rPr>
        <w:t xml:space="preserve"> Pastrana C</w:t>
      </w:r>
      <w:r w:rsidR="00B32BE3">
        <w:rPr>
          <w:rFonts w:asciiTheme="majorHAnsi" w:hAnsiTheme="majorHAnsi" w:cstheme="majorHAnsi"/>
        </w:rPr>
        <w:t>oo</w:t>
      </w:r>
      <w:r w:rsidR="00C76FB9">
        <w:rPr>
          <w:rFonts w:asciiTheme="majorHAnsi" w:hAnsiTheme="majorHAnsi" w:cstheme="majorHAnsi"/>
        </w:rPr>
        <w:t>rdinador P</w:t>
      </w:r>
      <w:r w:rsidR="00B32BE3">
        <w:rPr>
          <w:rFonts w:asciiTheme="majorHAnsi" w:hAnsiTheme="majorHAnsi" w:cstheme="majorHAnsi"/>
        </w:rPr>
        <w:t xml:space="preserve">onente </w:t>
      </w:r>
      <w:r w:rsidR="007F3E27">
        <w:rPr>
          <w:rFonts w:asciiTheme="majorHAnsi" w:hAnsiTheme="majorHAnsi" w:cstheme="majorHAnsi"/>
        </w:rPr>
        <w:t xml:space="preserve">y </w:t>
      </w:r>
      <w:r w:rsidR="00C76FB9">
        <w:rPr>
          <w:rFonts w:asciiTheme="majorHAnsi" w:hAnsiTheme="majorHAnsi" w:cstheme="majorHAnsi"/>
        </w:rPr>
        <w:t>como P</w:t>
      </w:r>
      <w:r w:rsidR="00B32BE3">
        <w:rPr>
          <w:rFonts w:asciiTheme="majorHAnsi" w:hAnsiTheme="majorHAnsi" w:cstheme="majorHAnsi"/>
        </w:rPr>
        <w:t xml:space="preserve">onentes los Honorables Representantes Jennifer </w:t>
      </w:r>
      <w:proofErr w:type="spellStart"/>
      <w:r w:rsidR="00B32BE3">
        <w:rPr>
          <w:rFonts w:asciiTheme="majorHAnsi" w:hAnsiTheme="majorHAnsi" w:cstheme="majorHAnsi"/>
        </w:rPr>
        <w:t>Dalley</w:t>
      </w:r>
      <w:proofErr w:type="spellEnd"/>
      <w:r w:rsidR="00B32BE3">
        <w:rPr>
          <w:rFonts w:asciiTheme="majorHAnsi" w:hAnsiTheme="majorHAnsi" w:cstheme="majorHAnsi"/>
        </w:rPr>
        <w:t xml:space="preserve"> Pedraza Sandoval, </w:t>
      </w:r>
      <w:r w:rsidR="00C76FB9">
        <w:rPr>
          <w:rFonts w:asciiTheme="majorHAnsi" w:hAnsiTheme="majorHAnsi" w:cstheme="majorHAnsi"/>
        </w:rPr>
        <w:t>Álvaro</w:t>
      </w:r>
      <w:r w:rsidR="00B32BE3">
        <w:rPr>
          <w:rFonts w:asciiTheme="majorHAnsi" w:hAnsiTheme="majorHAnsi" w:cstheme="majorHAnsi"/>
        </w:rPr>
        <w:t xml:space="preserve"> Leonel Rueda Caballero, Astrid Sánchez Montes de Oca, David Ricardo Racero </w:t>
      </w:r>
      <w:proofErr w:type="spellStart"/>
      <w:r w:rsidR="00B32BE3">
        <w:rPr>
          <w:rFonts w:asciiTheme="majorHAnsi" w:hAnsiTheme="majorHAnsi" w:cstheme="majorHAnsi"/>
        </w:rPr>
        <w:t>Mayorca</w:t>
      </w:r>
      <w:proofErr w:type="spellEnd"/>
      <w:r w:rsidR="00B32BE3">
        <w:rPr>
          <w:rFonts w:asciiTheme="majorHAnsi" w:hAnsiTheme="majorHAnsi" w:cstheme="majorHAnsi"/>
        </w:rPr>
        <w:t xml:space="preserve">, Adriana Carolina Arbeláez Giraldo, James Hermenegildo </w:t>
      </w:r>
      <w:r w:rsidR="00F87B07">
        <w:rPr>
          <w:rFonts w:asciiTheme="majorHAnsi" w:hAnsiTheme="majorHAnsi" w:cstheme="majorHAnsi"/>
        </w:rPr>
        <w:t xml:space="preserve">Mosquera Torres, Luis Alberto </w:t>
      </w:r>
      <w:proofErr w:type="spellStart"/>
      <w:r w:rsidR="00F87B07">
        <w:rPr>
          <w:rFonts w:asciiTheme="majorHAnsi" w:hAnsiTheme="majorHAnsi" w:cstheme="majorHAnsi"/>
        </w:rPr>
        <w:t>Alban</w:t>
      </w:r>
      <w:proofErr w:type="spellEnd"/>
      <w:r w:rsidR="00F87B07">
        <w:rPr>
          <w:rFonts w:asciiTheme="majorHAnsi" w:hAnsiTheme="majorHAnsi" w:cstheme="majorHAnsi"/>
        </w:rPr>
        <w:t xml:space="preserve"> Urbano y </w:t>
      </w:r>
      <w:proofErr w:type="spellStart"/>
      <w:r w:rsidR="00F87B07">
        <w:rPr>
          <w:rFonts w:asciiTheme="majorHAnsi" w:hAnsiTheme="majorHAnsi" w:cstheme="majorHAnsi"/>
        </w:rPr>
        <w:t>Marelen</w:t>
      </w:r>
      <w:proofErr w:type="spellEnd"/>
      <w:r w:rsidR="00F87B07">
        <w:rPr>
          <w:rFonts w:asciiTheme="majorHAnsi" w:hAnsiTheme="majorHAnsi" w:cstheme="majorHAnsi"/>
        </w:rPr>
        <w:t xml:space="preserve"> Castillo Torres.</w:t>
      </w:r>
    </w:p>
    <w:p w14:paraId="4FAB9758" w14:textId="77777777" w:rsidR="003919AF" w:rsidRPr="004D1A72" w:rsidRDefault="003919AF" w:rsidP="009D6B31">
      <w:pPr>
        <w:jc w:val="center"/>
        <w:rPr>
          <w:rFonts w:asciiTheme="majorHAnsi" w:hAnsiTheme="majorHAnsi" w:cstheme="majorHAnsi"/>
          <w:b/>
        </w:rPr>
      </w:pPr>
    </w:p>
    <w:p w14:paraId="10801F30" w14:textId="300AFB6C" w:rsidR="003919AF" w:rsidRPr="004D1A72" w:rsidRDefault="00B03848">
      <w:pPr>
        <w:pStyle w:val="Prrafodelista"/>
        <w:numPr>
          <w:ilvl w:val="0"/>
          <w:numId w:val="1"/>
        </w:numPr>
        <w:rPr>
          <w:rFonts w:asciiTheme="majorHAnsi" w:hAnsiTheme="majorHAnsi" w:cstheme="majorHAnsi"/>
          <w:b/>
        </w:rPr>
      </w:pPr>
      <w:r w:rsidRPr="004D1A72">
        <w:rPr>
          <w:rFonts w:asciiTheme="majorHAnsi" w:hAnsiTheme="majorHAnsi" w:cstheme="majorHAnsi"/>
          <w:b/>
        </w:rPr>
        <w:t>OBJETO DEL</w:t>
      </w:r>
      <w:r w:rsidR="00F87B07">
        <w:rPr>
          <w:rFonts w:asciiTheme="majorHAnsi" w:hAnsiTheme="majorHAnsi" w:cstheme="majorHAnsi"/>
          <w:b/>
        </w:rPr>
        <w:t xml:space="preserve"> ACTO LEGISLATIVO</w:t>
      </w:r>
    </w:p>
    <w:p w14:paraId="2A5AF21A" w14:textId="256B972D" w:rsidR="00C03352" w:rsidRPr="004D1A72" w:rsidRDefault="00C03352" w:rsidP="00C03352">
      <w:pPr>
        <w:rPr>
          <w:rFonts w:asciiTheme="majorHAnsi" w:hAnsiTheme="majorHAnsi" w:cstheme="majorHAnsi"/>
          <w:b/>
        </w:rPr>
      </w:pPr>
    </w:p>
    <w:p w14:paraId="20612733" w14:textId="65C94D21" w:rsidR="00F87B07" w:rsidRDefault="00F87B07" w:rsidP="00C562D5">
      <w:pPr>
        <w:jc w:val="both"/>
        <w:rPr>
          <w:rFonts w:asciiTheme="majorHAnsi" w:hAnsiTheme="majorHAnsi" w:cstheme="majorHAnsi"/>
          <w:bCs/>
        </w:rPr>
      </w:pPr>
      <w:r>
        <w:rPr>
          <w:rFonts w:asciiTheme="majorHAnsi" w:hAnsiTheme="majorHAnsi" w:cstheme="majorHAnsi"/>
          <w:bCs/>
        </w:rPr>
        <w:t xml:space="preserve">Si bien los Actos Legislativos no tienen un Objeto en su texto, vale destacar que este Acto Legislativo </w:t>
      </w:r>
      <w:r>
        <w:rPr>
          <w:rFonts w:asciiTheme="majorHAnsi" w:hAnsiTheme="majorHAnsi" w:cstheme="majorHAnsi"/>
          <w:bCs/>
        </w:rPr>
        <w:lastRenderedPageBreak/>
        <w:t>busca reformar los artículos 12,13,43 y 44 de la Constitución Política con el fin de prohibir la mutilación genital de las niñas en Colombia y consagrar esta práctica como violencia de género; establecer como derecho de las mujeres y las niñas el no sufrir mutilación genital y conservar su integridad física para  gozar en plena igualdad de derechos sexuales en lo atinente a su integridad física y sus órganos sexuales.</w:t>
      </w:r>
    </w:p>
    <w:p w14:paraId="2FEEA2E5" w14:textId="77777777" w:rsidR="007F3E27" w:rsidRDefault="007F3E27" w:rsidP="00C562D5">
      <w:pPr>
        <w:jc w:val="both"/>
        <w:rPr>
          <w:rFonts w:asciiTheme="majorHAnsi" w:hAnsiTheme="majorHAnsi" w:cstheme="majorHAnsi"/>
          <w:bCs/>
        </w:rPr>
      </w:pPr>
    </w:p>
    <w:p w14:paraId="5D830397" w14:textId="77777777" w:rsidR="00F87B07" w:rsidRDefault="00F87B07" w:rsidP="00C562D5">
      <w:pPr>
        <w:jc w:val="both"/>
        <w:rPr>
          <w:rFonts w:asciiTheme="majorHAnsi" w:hAnsiTheme="majorHAnsi" w:cstheme="majorHAnsi"/>
          <w:bCs/>
        </w:rPr>
      </w:pPr>
      <w:r>
        <w:rPr>
          <w:rFonts w:asciiTheme="majorHAnsi" w:hAnsiTheme="majorHAnsi" w:cstheme="majorHAnsi"/>
          <w:bCs/>
        </w:rPr>
        <w:t>El Acto Legislativo propone modificar los artículos 12,13, 43 y 44 de nuestra Constitución política.</w:t>
      </w:r>
    </w:p>
    <w:p w14:paraId="17E47F03" w14:textId="77777777" w:rsidR="007F3E27" w:rsidRDefault="007F3E27" w:rsidP="00C562D5">
      <w:pPr>
        <w:jc w:val="both"/>
        <w:rPr>
          <w:rFonts w:asciiTheme="majorHAnsi" w:hAnsiTheme="majorHAnsi" w:cstheme="majorHAnsi"/>
          <w:bCs/>
        </w:rPr>
      </w:pPr>
    </w:p>
    <w:p w14:paraId="24F24562" w14:textId="0874B9DB" w:rsidR="00DC1EC8" w:rsidRPr="00DC1EC8" w:rsidRDefault="00DC1EC8">
      <w:pPr>
        <w:numPr>
          <w:ilvl w:val="0"/>
          <w:numId w:val="1"/>
        </w:numPr>
        <w:jc w:val="both"/>
        <w:rPr>
          <w:rFonts w:asciiTheme="majorHAnsi" w:hAnsiTheme="majorHAnsi" w:cstheme="majorHAnsi"/>
          <w:b/>
          <w:bCs/>
        </w:rPr>
      </w:pPr>
      <w:r w:rsidRPr="00DC1EC8">
        <w:rPr>
          <w:rFonts w:asciiTheme="majorHAnsi" w:hAnsiTheme="majorHAnsi" w:cstheme="majorHAnsi"/>
          <w:b/>
          <w:bCs/>
        </w:rPr>
        <w:t>JUSTIFICACIÓN DEL PROYECTO</w:t>
      </w:r>
      <w:r w:rsidR="00AB1E31">
        <w:rPr>
          <w:rFonts w:asciiTheme="majorHAnsi" w:hAnsiTheme="majorHAnsi" w:cstheme="majorHAnsi"/>
          <w:b/>
          <w:bCs/>
        </w:rPr>
        <w:t xml:space="preserve"> 147 DE 2023 CÁMARA</w:t>
      </w:r>
    </w:p>
    <w:p w14:paraId="104744D7" w14:textId="77777777" w:rsidR="007F3E27" w:rsidRDefault="007F3E27" w:rsidP="00DC1EC8">
      <w:pPr>
        <w:jc w:val="both"/>
        <w:rPr>
          <w:rFonts w:asciiTheme="majorHAnsi" w:hAnsiTheme="majorHAnsi" w:cstheme="majorHAnsi"/>
          <w:bCs/>
        </w:rPr>
      </w:pPr>
    </w:p>
    <w:p w14:paraId="54B5D7B1" w14:textId="77777777" w:rsidR="00E426C4" w:rsidRPr="00E426C4" w:rsidRDefault="00DC1EC8" w:rsidP="00E426C4">
      <w:pPr>
        <w:pStyle w:val="Sinespaciado"/>
        <w:jc w:val="center"/>
        <w:rPr>
          <w:rFonts w:cs="Times New Roman"/>
          <w:b/>
          <w:bCs/>
          <w:kern w:val="2"/>
          <w:sz w:val="24"/>
          <w:szCs w:val="24"/>
          <w14:ligatures w14:val="standardContextual"/>
        </w:rPr>
      </w:pPr>
      <w:r w:rsidRPr="00DC1EC8">
        <w:rPr>
          <w:rFonts w:asciiTheme="majorHAnsi" w:hAnsiTheme="majorHAnsi" w:cstheme="majorHAnsi"/>
          <w:bCs/>
        </w:rPr>
        <w:t xml:space="preserve">Tal y como consta en la justificación de este proyecto, </w:t>
      </w:r>
      <w:r w:rsidR="00E426C4" w:rsidRPr="00E426C4">
        <w:rPr>
          <w:rFonts w:cs="Times New Roman"/>
          <w:b/>
          <w:bCs/>
          <w:kern w:val="2"/>
          <w:sz w:val="24"/>
          <w:szCs w:val="24"/>
          <w14:ligatures w14:val="standardContextual"/>
        </w:rPr>
        <w:t>&lt;&lt;</w:t>
      </w:r>
      <w:r w:rsidR="00E426C4" w:rsidRPr="00E426C4">
        <w:rPr>
          <w:rFonts w:cs="Times New Roman"/>
          <w:b/>
          <w:bCs/>
          <w:i/>
          <w:iCs/>
          <w:color w:val="000000"/>
          <w:kern w:val="2"/>
          <w:sz w:val="24"/>
          <w:szCs w:val="24"/>
          <w14:ligatures w14:val="standardContextual"/>
        </w:rPr>
        <w:t>La mutilación genital femenina es “una de las manifestaciones más atroces del patriarcado&gt;&gt;</w:t>
      </w:r>
      <w:r w:rsidR="00E426C4" w:rsidRPr="00E426C4">
        <w:rPr>
          <w:rFonts w:cs="Times New Roman"/>
          <w:b/>
          <w:bCs/>
          <w:i/>
          <w:iCs/>
          <w:color w:val="000000"/>
          <w:kern w:val="2"/>
          <w:sz w:val="24"/>
          <w:szCs w:val="24"/>
          <w:vertAlign w:val="superscript"/>
          <w14:ligatures w14:val="standardContextual"/>
        </w:rPr>
        <w:footnoteReference w:id="1"/>
      </w:r>
    </w:p>
    <w:p w14:paraId="5F2092E4" w14:textId="77777777" w:rsidR="00E426C4" w:rsidRPr="00E426C4" w:rsidRDefault="00E426C4" w:rsidP="00E426C4">
      <w:pPr>
        <w:widowControl/>
        <w:jc w:val="both"/>
        <w:rPr>
          <w:rFonts w:cs="Times New Roman"/>
          <w:i/>
          <w:iCs/>
          <w:kern w:val="2"/>
          <w:sz w:val="24"/>
          <w:szCs w:val="24"/>
          <w:lang w:val="es-CO" w:eastAsia="en-US"/>
          <w14:ligatures w14:val="standardContextual"/>
        </w:rPr>
      </w:pPr>
    </w:p>
    <w:p w14:paraId="7FB01CC0" w14:textId="77777777" w:rsidR="00E426C4" w:rsidRPr="00E426C4" w:rsidRDefault="00E426C4" w:rsidP="00E426C4">
      <w:pPr>
        <w:widowControl/>
        <w:jc w:val="both"/>
        <w:rPr>
          <w:rFonts w:cs="Times New Roman"/>
          <w:i/>
          <w:iCs/>
          <w:kern w:val="2"/>
          <w:sz w:val="24"/>
          <w:szCs w:val="24"/>
          <w:lang w:val="es-CO" w:eastAsia="en-US"/>
          <w14:ligatures w14:val="standardContextual"/>
        </w:rPr>
      </w:pPr>
      <w:r w:rsidRPr="00E426C4">
        <w:rPr>
          <w:rFonts w:cs="Times New Roman"/>
          <w:kern w:val="2"/>
          <w:sz w:val="24"/>
          <w:szCs w:val="24"/>
          <w:lang w:val="es-CO" w:eastAsia="en-US"/>
          <w14:ligatures w14:val="standardContextual"/>
        </w:rPr>
        <w:t>Así lo afirmó el secretario general de la ONU António Guterres en un artículo publicado el 6 de febrero de 2023 a través de ONU Noticias, destacando que cada año más de cuatro millones de niñas en el mundo</w:t>
      </w:r>
      <w:r w:rsidRPr="00E426C4">
        <w:rPr>
          <w:rFonts w:cs="Times New Roman"/>
          <w:i/>
          <w:iCs/>
          <w:kern w:val="2"/>
          <w:sz w:val="24"/>
          <w:szCs w:val="24"/>
          <w:lang w:val="es-CO" w:eastAsia="en-US"/>
          <w14:ligatures w14:val="standardContextual"/>
        </w:rPr>
        <w:t xml:space="preserve"> </w:t>
      </w:r>
      <w:r w:rsidRPr="00E426C4">
        <w:rPr>
          <w:rFonts w:ascii="Times New Roman" w:hAnsi="Times New Roman" w:cs="Times New Roman"/>
          <w:i/>
          <w:iCs/>
          <w:kern w:val="2"/>
          <w:sz w:val="24"/>
          <w:szCs w:val="24"/>
          <w:lang w:val="es-CO" w:eastAsia="en-US"/>
          <w14:ligatures w14:val="standardContextual"/>
        </w:rPr>
        <w:t>“corren el riesgo de ser sometidas a este acto de violencia de género”</w:t>
      </w:r>
      <w:r w:rsidRPr="00E426C4">
        <w:rPr>
          <w:rFonts w:cs="Times New Roman"/>
          <w:i/>
          <w:iCs/>
          <w:kern w:val="2"/>
          <w:sz w:val="24"/>
          <w:szCs w:val="24"/>
          <w:lang w:val="es-CO" w:eastAsia="en-US"/>
          <w14:ligatures w14:val="standardContextual"/>
        </w:rPr>
        <w:t xml:space="preserve"> </w:t>
      </w:r>
      <w:r w:rsidRPr="00E426C4">
        <w:rPr>
          <w:rFonts w:cs="Times New Roman"/>
          <w:kern w:val="2"/>
          <w:sz w:val="24"/>
          <w:szCs w:val="24"/>
          <w:lang w:val="es-CO" w:eastAsia="en-US"/>
          <w14:ligatures w14:val="standardContextual"/>
        </w:rPr>
        <w:t>y realizó un llamado a los hombres a unir su voz contra este</w:t>
      </w:r>
      <w:r w:rsidRPr="00E426C4">
        <w:rPr>
          <w:rFonts w:cs="Times New Roman"/>
          <w:i/>
          <w:iCs/>
          <w:kern w:val="2"/>
          <w:sz w:val="24"/>
          <w:szCs w:val="24"/>
          <w:lang w:val="es-CO" w:eastAsia="en-US"/>
          <w14:ligatures w14:val="standardContextual"/>
        </w:rPr>
        <w:t xml:space="preserve"> “acto de violencia de género”.</w:t>
      </w:r>
    </w:p>
    <w:p w14:paraId="224BEF7B" w14:textId="77777777" w:rsidR="00E426C4" w:rsidRPr="00E426C4" w:rsidRDefault="00E426C4" w:rsidP="00E426C4">
      <w:pPr>
        <w:widowControl/>
        <w:jc w:val="both"/>
        <w:rPr>
          <w:rFonts w:cs="Times New Roman"/>
          <w:i/>
          <w:iCs/>
          <w:kern w:val="2"/>
          <w:sz w:val="24"/>
          <w:szCs w:val="24"/>
          <w:lang w:val="es-CO" w:eastAsia="en-US"/>
          <w14:ligatures w14:val="standardContextual"/>
        </w:rPr>
      </w:pPr>
    </w:p>
    <w:p w14:paraId="562F13BB" w14:textId="77777777" w:rsidR="00E426C4" w:rsidRPr="00E426C4" w:rsidRDefault="00E426C4" w:rsidP="00E426C4">
      <w:pPr>
        <w:widowControl/>
        <w:jc w:val="both"/>
        <w:rPr>
          <w:rFonts w:cs="Times New Roman"/>
          <w:kern w:val="2"/>
          <w:sz w:val="24"/>
          <w:szCs w:val="24"/>
          <w:lang w:val="es-CO" w:eastAsia="en-US"/>
          <w14:ligatures w14:val="standardContextual"/>
        </w:rPr>
      </w:pPr>
      <w:r w:rsidRPr="00E426C4">
        <w:rPr>
          <w:rFonts w:cs="Times New Roman"/>
          <w:kern w:val="2"/>
          <w:sz w:val="24"/>
          <w:szCs w:val="24"/>
          <w:lang w:val="es-CO" w:eastAsia="en-US"/>
          <w14:ligatures w14:val="standardContextual"/>
        </w:rPr>
        <w:t xml:space="preserve">Los autores de este proyecto el H.R Andrés Felipe Jiménez Vargas y el H.S Nicolás Albeiro Echeverri </w:t>
      </w:r>
      <w:proofErr w:type="spellStart"/>
      <w:r w:rsidRPr="00E426C4">
        <w:rPr>
          <w:rFonts w:cs="Times New Roman"/>
          <w:kern w:val="2"/>
          <w:sz w:val="24"/>
          <w:szCs w:val="24"/>
          <w:lang w:val="es-CO" w:eastAsia="en-US"/>
          <w14:ligatures w14:val="standardContextual"/>
        </w:rPr>
        <w:t>Alvarán</w:t>
      </w:r>
      <w:proofErr w:type="spellEnd"/>
      <w:r w:rsidRPr="00E426C4">
        <w:rPr>
          <w:rFonts w:cs="Times New Roman"/>
          <w:kern w:val="2"/>
          <w:sz w:val="24"/>
          <w:szCs w:val="24"/>
          <w:lang w:val="es-CO" w:eastAsia="en-US"/>
          <w14:ligatures w14:val="standardContextual"/>
        </w:rPr>
        <w:t xml:space="preserve"> acogemos este llamado del Secretario General de las Naciones Unidas, y presentamos junto con otros Congresistas, comprometidos todos, con la eliminación de todas las formas de violencia contra la mujer y la adopción de normas que promuevan su vida, salud y desarrollo pleno como miembros fundamentales de la sociedad sin dañar a otros, así como la garantía de los derechos de los niños;  presentamos para la consideración del Congreso de la República de Colombia, este Acto Legislativo que tiene como fin reformar diversos artículos de nuestra Constitución Política para prohibir expresamente la mutilación genital femenina.</w:t>
      </w:r>
    </w:p>
    <w:p w14:paraId="6714C2CD" w14:textId="77777777" w:rsidR="00E426C4" w:rsidRPr="00E426C4" w:rsidRDefault="00E426C4" w:rsidP="00E426C4">
      <w:pPr>
        <w:widowControl/>
        <w:jc w:val="both"/>
        <w:rPr>
          <w:rFonts w:cs="Times New Roman"/>
          <w:kern w:val="2"/>
          <w:sz w:val="24"/>
          <w:szCs w:val="24"/>
          <w:lang w:val="es-CO" w:eastAsia="en-US"/>
          <w14:ligatures w14:val="standardContextual"/>
        </w:rPr>
      </w:pPr>
    </w:p>
    <w:p w14:paraId="22821275" w14:textId="77777777" w:rsidR="00E426C4" w:rsidRPr="00E426C4" w:rsidRDefault="00E426C4" w:rsidP="00E426C4">
      <w:pPr>
        <w:widowControl/>
        <w:jc w:val="both"/>
        <w:rPr>
          <w:rFonts w:cs="Times New Roman"/>
          <w:kern w:val="2"/>
          <w:sz w:val="24"/>
          <w:szCs w:val="24"/>
          <w:lang w:val="es-CO" w:eastAsia="en-US"/>
          <w14:ligatures w14:val="standardContextual"/>
        </w:rPr>
      </w:pPr>
      <w:r w:rsidRPr="00E426C4">
        <w:rPr>
          <w:rFonts w:cs="Times New Roman"/>
          <w:kern w:val="2"/>
          <w:sz w:val="24"/>
          <w:szCs w:val="24"/>
          <w:lang w:val="es-CO" w:eastAsia="en-US"/>
          <w14:ligatures w14:val="standardContextual"/>
        </w:rPr>
        <w:t>Los derechos humanos, los derechos de los niños, los derechos de las mujeres, LOS DERECHOS FUNDAMENTALES son para todos y las niñas de las minorías étnicas de este país no pueden ser excluidas de la protección y del ámbito de aplicación de la Constitución, de los derechos fundamentales y de los tratados de derechos humanos ratificados por Colombia que hacen parte del bloque de constitucionalidad.</w:t>
      </w:r>
    </w:p>
    <w:p w14:paraId="730AE020" w14:textId="77777777" w:rsidR="00E426C4" w:rsidRPr="00E426C4" w:rsidRDefault="00E426C4" w:rsidP="00E426C4">
      <w:pPr>
        <w:widowControl/>
        <w:jc w:val="both"/>
        <w:rPr>
          <w:rFonts w:cs="Times New Roman"/>
          <w:kern w:val="2"/>
          <w:sz w:val="24"/>
          <w:szCs w:val="24"/>
          <w:lang w:val="es-CO" w:eastAsia="en-US"/>
          <w14:ligatures w14:val="standardContextual"/>
        </w:rPr>
      </w:pPr>
    </w:p>
    <w:p w14:paraId="034532BA" w14:textId="77777777" w:rsidR="00E426C4" w:rsidRPr="00E426C4" w:rsidRDefault="00E426C4" w:rsidP="00E426C4">
      <w:pPr>
        <w:widowControl/>
        <w:jc w:val="both"/>
        <w:rPr>
          <w:rFonts w:cs="Times New Roman"/>
          <w:kern w:val="2"/>
          <w:sz w:val="24"/>
          <w:szCs w:val="24"/>
          <w:lang w:val="es-CO" w:eastAsia="en-US"/>
          <w14:ligatures w14:val="standardContextual"/>
        </w:rPr>
      </w:pPr>
      <w:r w:rsidRPr="00E426C4">
        <w:rPr>
          <w:rFonts w:cs="Times New Roman"/>
          <w:kern w:val="2"/>
          <w:sz w:val="24"/>
          <w:szCs w:val="24"/>
          <w:lang w:val="es-CO" w:eastAsia="en-US"/>
          <w14:ligatures w14:val="standardContextual"/>
        </w:rPr>
        <w:t xml:space="preserve">Todas las niñas en Colombia sin importar su raza, etnia, religión ni condición social tienen derecho a la vida, la integridad, a no recibir tratos o penas crueles, inhumanos o degradantes, a la salud, al libre desarrollo de la personalidad y a la igualdad de género, derechos todos contra los que atenta la mutilación genital femenina. </w:t>
      </w:r>
    </w:p>
    <w:p w14:paraId="10B7A9DE" w14:textId="77777777" w:rsidR="00E426C4" w:rsidRPr="00E426C4" w:rsidRDefault="00E426C4" w:rsidP="00E426C4">
      <w:pPr>
        <w:widowControl/>
        <w:jc w:val="both"/>
        <w:rPr>
          <w:rFonts w:cs="Times New Roman"/>
          <w:kern w:val="2"/>
          <w:sz w:val="24"/>
          <w:szCs w:val="24"/>
          <w:lang w:val="es-CO" w:eastAsia="en-US"/>
          <w14:ligatures w14:val="standardContextual"/>
        </w:rPr>
      </w:pPr>
    </w:p>
    <w:p w14:paraId="70FC6823" w14:textId="77777777" w:rsidR="00E426C4" w:rsidRPr="00E426C4" w:rsidRDefault="00E426C4" w:rsidP="00E426C4">
      <w:pPr>
        <w:widowControl/>
        <w:jc w:val="both"/>
        <w:rPr>
          <w:rFonts w:cs="Times New Roman"/>
          <w:kern w:val="2"/>
          <w:sz w:val="24"/>
          <w:szCs w:val="24"/>
          <w:lang w:val="es-CO" w:eastAsia="en-US"/>
          <w14:ligatures w14:val="standardContextual"/>
        </w:rPr>
      </w:pPr>
      <w:r w:rsidRPr="00E426C4">
        <w:rPr>
          <w:rFonts w:cs="Times New Roman"/>
          <w:kern w:val="2"/>
          <w:sz w:val="24"/>
          <w:szCs w:val="24"/>
          <w:lang w:val="es-CO" w:eastAsia="en-US"/>
          <w14:ligatures w14:val="standardContextual"/>
        </w:rPr>
        <w:lastRenderedPageBreak/>
        <w:t>La ONU señala que “</w:t>
      </w:r>
      <w:r w:rsidRPr="00E426C4">
        <w:rPr>
          <w:rFonts w:ascii="Times New Roman" w:hAnsi="Times New Roman" w:cs="Times New Roman"/>
          <w:kern w:val="2"/>
          <w:sz w:val="24"/>
          <w:szCs w:val="24"/>
          <w:lang w:val="es-CO" w:eastAsia="en-US"/>
          <w14:ligatures w14:val="standardContextual"/>
        </w:rPr>
        <w:t>l</w:t>
      </w:r>
      <w:r w:rsidRPr="00E426C4">
        <w:rPr>
          <w:rFonts w:ascii="Times New Roman" w:hAnsi="Times New Roman" w:cs="Times New Roman"/>
          <w:i/>
          <w:iCs/>
          <w:kern w:val="2"/>
          <w:sz w:val="24"/>
          <w:szCs w:val="24"/>
          <w:lang w:val="es-CO" w:eastAsia="en-US"/>
          <w14:ligatures w14:val="standardContextual"/>
        </w:rPr>
        <w:t>a mutilación genital femenina tiene su origen en las mismas desigualdades de género y complejas normas sociales que limitan la participación y el liderazgo de las mujeres y que restringen su acceso a la educación y al empleo</w:t>
      </w:r>
      <w:r w:rsidRPr="00E426C4">
        <w:rPr>
          <w:rFonts w:cs="Times New Roman"/>
          <w:i/>
          <w:iCs/>
          <w:kern w:val="2"/>
          <w:sz w:val="24"/>
          <w:szCs w:val="24"/>
          <w:lang w:val="es-CO" w:eastAsia="en-US"/>
          <w14:ligatures w14:val="standardContextual"/>
        </w:rPr>
        <w:t>”</w:t>
      </w:r>
      <w:r w:rsidRPr="00E426C4">
        <w:rPr>
          <w:rFonts w:cs="Times New Roman"/>
          <w:i/>
          <w:iCs/>
          <w:kern w:val="2"/>
          <w:sz w:val="24"/>
          <w:szCs w:val="24"/>
          <w:vertAlign w:val="superscript"/>
          <w:lang w:val="es-CO" w:eastAsia="en-US"/>
          <w14:ligatures w14:val="standardContextual"/>
        </w:rPr>
        <w:footnoteReference w:id="2"/>
      </w:r>
      <w:r w:rsidRPr="00E426C4">
        <w:rPr>
          <w:rFonts w:cs="Times New Roman"/>
          <w:kern w:val="2"/>
          <w:sz w:val="24"/>
          <w:szCs w:val="24"/>
          <w:lang w:val="es-CO" w:eastAsia="en-US"/>
          <w14:ligatures w14:val="standardContextual"/>
        </w:rPr>
        <w:t>.</w:t>
      </w:r>
    </w:p>
    <w:p w14:paraId="1E340A4B" w14:textId="77777777" w:rsidR="00E426C4" w:rsidRPr="00E426C4" w:rsidRDefault="00E426C4" w:rsidP="00E426C4">
      <w:pPr>
        <w:widowControl/>
        <w:jc w:val="both"/>
        <w:rPr>
          <w:rFonts w:cs="Times New Roman"/>
          <w:kern w:val="2"/>
          <w:sz w:val="20"/>
          <w:szCs w:val="20"/>
          <w:lang w:val="es-CO" w:eastAsia="en-US"/>
          <w14:ligatures w14:val="standardContextual"/>
        </w:rPr>
      </w:pPr>
    </w:p>
    <w:p w14:paraId="4D7B9139" w14:textId="77777777" w:rsidR="00E426C4" w:rsidRPr="00E426C4" w:rsidRDefault="00E426C4" w:rsidP="00E426C4">
      <w:pPr>
        <w:widowControl/>
        <w:jc w:val="both"/>
        <w:rPr>
          <w:rFonts w:cs="Times New Roman"/>
          <w:b/>
          <w:bCs/>
          <w:kern w:val="2"/>
          <w:lang w:val="es-CO" w:eastAsia="en-US"/>
          <w14:ligatures w14:val="standardContextual"/>
        </w:rPr>
      </w:pPr>
      <w:r w:rsidRPr="00E426C4">
        <w:rPr>
          <w:rFonts w:cs="Times New Roman"/>
          <w:b/>
          <w:bCs/>
          <w:kern w:val="2"/>
          <w:lang w:val="es-CO" w:eastAsia="en-US"/>
          <w14:ligatures w14:val="standardContextual"/>
        </w:rPr>
        <w:t>¿Qué es la ablación genital femenina MGA?</w:t>
      </w:r>
    </w:p>
    <w:p w14:paraId="187F1778" w14:textId="77777777" w:rsidR="00E426C4" w:rsidRPr="00E426C4" w:rsidRDefault="00E426C4" w:rsidP="00E426C4">
      <w:pPr>
        <w:widowControl/>
        <w:jc w:val="both"/>
        <w:rPr>
          <w:rFonts w:cs="Times New Roman"/>
          <w:kern w:val="2"/>
          <w:lang w:val="es-CO" w:eastAsia="en-US"/>
          <w14:ligatures w14:val="standardContextual"/>
        </w:rPr>
      </w:pPr>
    </w:p>
    <w:p w14:paraId="5EB40F50" w14:textId="77777777" w:rsidR="00E426C4" w:rsidRPr="00E426C4" w:rsidRDefault="00E426C4" w:rsidP="00E426C4">
      <w:pPr>
        <w:widowControl/>
        <w:jc w:val="both"/>
        <w:rPr>
          <w:rFonts w:cs="Times New Roman"/>
          <w:kern w:val="2"/>
          <w:lang w:val="es-CO" w:eastAsia="en-US"/>
          <w14:ligatures w14:val="standardContextual"/>
        </w:rPr>
      </w:pPr>
      <w:r w:rsidRPr="00E426C4">
        <w:rPr>
          <w:rFonts w:cs="Times New Roman"/>
          <w:kern w:val="2"/>
          <w:lang w:val="es-CO" w:eastAsia="en-US"/>
          <w14:ligatures w14:val="standardContextual"/>
        </w:rPr>
        <w:t>De acuerdo con el Fondo de Población de las Naciones Unidas UNFPA</w:t>
      </w:r>
      <w:r w:rsidRPr="00E426C4">
        <w:rPr>
          <w:rFonts w:cs="Times New Roman"/>
          <w:kern w:val="2"/>
          <w:vertAlign w:val="superscript"/>
          <w:lang w:val="es-CO" w:eastAsia="en-US"/>
          <w14:ligatures w14:val="standardContextual"/>
        </w:rPr>
        <w:footnoteReference w:id="3"/>
      </w:r>
      <w:r w:rsidRPr="00E426C4">
        <w:rPr>
          <w:rFonts w:cs="Times New Roman"/>
          <w:kern w:val="2"/>
          <w:lang w:val="es-CO" w:eastAsia="en-US"/>
          <w14:ligatures w14:val="standardContextual"/>
        </w:rPr>
        <w:t xml:space="preserve"> </w:t>
      </w:r>
    </w:p>
    <w:p w14:paraId="3CBC5D29" w14:textId="77777777" w:rsidR="00E426C4" w:rsidRPr="00E426C4" w:rsidRDefault="00E426C4" w:rsidP="00E426C4">
      <w:pPr>
        <w:widowControl/>
        <w:jc w:val="both"/>
        <w:rPr>
          <w:rFonts w:cs="Times New Roman"/>
          <w:kern w:val="2"/>
          <w:lang w:val="es-CO" w:eastAsia="en-US"/>
          <w14:ligatures w14:val="standardContextual"/>
        </w:rPr>
      </w:pPr>
    </w:p>
    <w:p w14:paraId="214EB35B"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cs="Times New Roman"/>
          <w:kern w:val="2"/>
          <w:lang w:val="es-CO" w:eastAsia="en-US"/>
          <w14:ligatures w14:val="standardContextual"/>
        </w:rPr>
        <w:t>“</w:t>
      </w:r>
      <w:r w:rsidRPr="00E426C4">
        <w:rPr>
          <w:rFonts w:ascii="Times New Roman" w:hAnsi="Times New Roman" w:cs="Times New Roman"/>
          <w:i/>
          <w:iCs/>
          <w:kern w:val="2"/>
          <w:lang w:val="es-CO" w:eastAsia="en-US"/>
          <w14:ligatures w14:val="standardContextual"/>
        </w:rPr>
        <w:t>la MGF consiste en cualquier procedimiento que suponga la extirpación parcial o total de los genitales externos femeninos u otro tipo de lesión a los órganos genitales femeninos por razones culturales o de otro tipo, pero no médicas.</w:t>
      </w:r>
    </w:p>
    <w:p w14:paraId="63436C25"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2C98A939"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Se cree que más de 200 millones de niñas y mujeres han sido víctimas de algún tipo de MGF. Pero los índices de MGF están aumentando, como consecuencia del crecimiento de la población mundial. Las niñas y mujeres que han sido sometidas a la mutilación genital femenina viven principalmente en África subsahariana y los Estados árabes, pero la mutilación genital femenina también se practica en algunos países de Asia, Europa del Este y América Latina. También se practican entre las poblaciones migrantes en Europa, América del Norte, Australia y Nueva Zelanda (ver más).</w:t>
      </w:r>
    </w:p>
    <w:p w14:paraId="77A0CB1E"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6E9D2ED0"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Si la MGF sigue aumentando al mismo nivel que hoy, se estima que 68 millones de niñas serán sometidas a esta entre 2015 y 2030 en 25 países en que se trata de una práctica rutinaria y se cuenta con información pertinente.  </w:t>
      </w:r>
    </w:p>
    <w:p w14:paraId="1F19D794"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3D6FFF8A"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Uno de los retos fundamentales consiste no solo en proteger a las niñas que corren peligro en la actualidad, sino también en garantizar que las que nazcan en el futuro no se sometan a los riesgos que supone esta práctica. Este reto cobra especial importancia si tenemos en mente que, en general, los países donde se concentra la MGF están experimentando un gran crecimiento demográfico y cuentan con una población joven muy elevada. En 2019, se calcula que 4,1 millones de niñas fueron sometidas a ablación, y debido al crecimiento de la población, se prevé que ese número aumente a 4,6 millones de niñas en el año 2030.</w:t>
      </w:r>
    </w:p>
    <w:p w14:paraId="0CAB2282"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1C5792BF" w14:textId="77777777" w:rsidR="00E426C4" w:rsidRPr="00E426C4" w:rsidRDefault="00E426C4" w:rsidP="00E426C4">
      <w:pPr>
        <w:widowControl/>
        <w:tabs>
          <w:tab w:val="left" w:pos="7938"/>
        </w:tabs>
        <w:ind w:left="567" w:right="851"/>
        <w:jc w:val="both"/>
        <w:rPr>
          <w:rFonts w:ascii="Times New Roman" w:hAnsi="Times New Roman" w:cs="Times New Roman"/>
          <w:b/>
          <w:bCs/>
          <w:i/>
          <w:iCs/>
          <w:kern w:val="2"/>
          <w:lang w:val="es-CO" w:eastAsia="en-US"/>
          <w14:ligatures w14:val="standardContextual"/>
        </w:rPr>
      </w:pPr>
      <w:r w:rsidRPr="00E426C4">
        <w:rPr>
          <w:rFonts w:ascii="Times New Roman" w:hAnsi="Times New Roman" w:cs="Times New Roman"/>
          <w:b/>
          <w:bCs/>
          <w:i/>
          <w:iCs/>
          <w:kern w:val="2"/>
          <w:lang w:val="es-CO" w:eastAsia="en-US"/>
          <w14:ligatures w14:val="standardContextual"/>
        </w:rPr>
        <w:t>¿Cómo afecta la MGF a la salud de las mujeres y las niñas?</w:t>
      </w:r>
    </w:p>
    <w:p w14:paraId="66A561BB"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71A3338C"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La MGF conlleva graves consecuencias para la salud sexual y reproductiva de las niñas y las mujeres.</w:t>
      </w:r>
    </w:p>
    <w:p w14:paraId="1CFD824A"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447C113F"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lastRenderedPageBreak/>
        <w:t>Las repercusiones de la MGF dependen de varios factores, como el tipo que se practique, la pericia de quien la lleve a cabo, las condiciones higiénicas en las que se realiza, el grado de resistencia y el estado de salud general de la niña/mujer que se somete al procedimiento. Las complicaciones pueden aparecer en todos los tipos de MGF, pero son más frecuentes en la infibulación.</w:t>
      </w:r>
    </w:p>
    <w:p w14:paraId="66AE78D9"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4E5F0A4D"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Las complicaciones inmediatas incluyen dolor agudo, conmoción, hemorragia, tétanos o infección, retención de orina, ulceración de la zona genital y lesión del tejido adyacente, infección de la herida, infección de orina, fiebre y septicemia. Las hemorragias y las infecciones pueden ser tan graves que llegan a causar la muerte.</w:t>
      </w:r>
    </w:p>
    <w:p w14:paraId="2F1B1446"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3CE59546"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Las consecuencias a largo plazo incluyen anemia, formación de quistes y abscesos, formación de tejido queloide, daño a la uretra que produce incontinencia urinaria, dispareunia (coito doloroso), disfunción sexual, hipersensibilidad de la zona genital, mayor riesgo de transmisión del VIH, complicaciones durante el parto y efectos psicológicos.</w:t>
      </w:r>
    </w:p>
    <w:p w14:paraId="4E9C8215"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65374FCB"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La infibulación puede dar lugar a la formación de un exceso de tejido cicatricial, dificultad para orinar, desórdenes menstruales, vejiga recurrente e infección del tracto urinario, fístulas y esterilidad. Puede producirse una obstrucción vaginal casi completa que da como resultado una acumulación del flujo menstrual en la vejiga y en el útero.</w:t>
      </w:r>
    </w:p>
    <w:p w14:paraId="15FD1BBB"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2A1D8783"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La infibulación crea una barrera física para el coito y el parto. Por tanto, una mujer que se ha sometido a este procedimiento tiene que sufrir una dilatación gradual de la abertura vaginal antes de tener una relación sexual. A menudo, el marido o un practicante de circuncisiones realiza un corte a la mujer infibulada en su noche de bodas para permitir que el marido intime con ella. Durante el parto, también tienen que practicar un corte a muchas mujeres porque la abertura vaginal es demasiado pequeña para que pase el bebé. La infibulación también está relacionada con trastornos menstruales y urinarios, infecciones recurrentes de la vejiga y del tracto urinario, fístulas e infertilidad.</w:t>
      </w:r>
    </w:p>
    <w:p w14:paraId="49E4775E"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5CC435A0" w14:textId="77777777" w:rsidR="00E426C4" w:rsidRPr="00E426C4" w:rsidRDefault="00E426C4" w:rsidP="00E426C4">
      <w:pPr>
        <w:widowControl/>
        <w:tabs>
          <w:tab w:val="left" w:pos="7938"/>
        </w:tabs>
        <w:ind w:left="567" w:right="851"/>
        <w:jc w:val="both"/>
        <w:rPr>
          <w:rFonts w:ascii="Times New Roman" w:hAnsi="Times New Roman" w:cs="Times New Roman"/>
          <w:b/>
          <w:bCs/>
          <w:i/>
          <w:iCs/>
          <w:kern w:val="2"/>
          <w:lang w:val="es-CO" w:eastAsia="en-US"/>
          <w14:ligatures w14:val="standardContextual"/>
        </w:rPr>
      </w:pPr>
      <w:r w:rsidRPr="00E426C4">
        <w:rPr>
          <w:rFonts w:ascii="Times New Roman" w:hAnsi="Times New Roman" w:cs="Times New Roman"/>
          <w:b/>
          <w:bCs/>
          <w:i/>
          <w:iCs/>
          <w:kern w:val="2"/>
          <w:lang w:val="es-CO" w:eastAsia="en-US"/>
          <w14:ligatures w14:val="standardContextual"/>
        </w:rPr>
        <w:t>¿Qué consecuencias tiene para el parto?</w:t>
      </w:r>
    </w:p>
    <w:p w14:paraId="6E4A2B37"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2E68D2FE"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Un estudio reciente ha revelado que las mujeres que se habían sometido a la MGF, en comparación con las que no lo habían hecho, se enfrentaban a un riesgo notablemente mayor de requerir una cesárea, una episiotomía y una estancia prolongada en el hospital, y también de sufrir hemorragia posparto.</w:t>
      </w:r>
    </w:p>
    <w:p w14:paraId="0673376A"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0D218885"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Las mujeres infibuladas sufren partos prolongados y obstrucción del parto, lo que a menudo se traduce en la muerte del feto y en fístulas obstétricas. Los hijos de las madres que se han sometido a formas más amplias de MGF corren un mayor riesgo de morir en el parto.</w:t>
      </w:r>
    </w:p>
    <w:p w14:paraId="5A7F13D5"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5828B116"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Estimaciones muy recientes de la OMS, UNICEF, el UNFPA, el Banco Mundial y la División de Población de las Naciones Unidas revelan que la mayoría de los países con </w:t>
      </w:r>
      <w:r w:rsidRPr="00E426C4">
        <w:rPr>
          <w:rFonts w:ascii="Times New Roman" w:hAnsi="Times New Roman" w:cs="Times New Roman"/>
          <w:i/>
          <w:iCs/>
          <w:kern w:val="2"/>
          <w:lang w:val="es-CO" w:eastAsia="en-US"/>
          <w14:ligatures w14:val="standardContextual"/>
        </w:rPr>
        <w:lastRenderedPageBreak/>
        <w:t>una alta prevalencia de la MGF también registran tasas de mortalidad materna altas y un elevado número de muertes maternas. Dos de estos países están entre los cuatro con el mayor número de muertes maternas a escala mundial. Cinco de los países con alta prevalencia registran unas tasas de mortalidad materna de 550 por cada 100 000 nacidos vivos o más, mientras que cuatro registran tasas de 550 por cada100 000 nacidos vivos.</w:t>
      </w:r>
    </w:p>
    <w:p w14:paraId="2C1E899C"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2A91FFBD" w14:textId="77777777" w:rsidR="00E426C4" w:rsidRPr="00E426C4" w:rsidRDefault="00E426C4" w:rsidP="00E426C4">
      <w:pPr>
        <w:widowControl/>
        <w:tabs>
          <w:tab w:val="left" w:pos="7938"/>
        </w:tabs>
        <w:ind w:left="567" w:right="851"/>
        <w:jc w:val="both"/>
        <w:rPr>
          <w:rFonts w:ascii="Times New Roman" w:hAnsi="Times New Roman" w:cs="Times New Roman"/>
          <w:b/>
          <w:bCs/>
          <w:i/>
          <w:iCs/>
          <w:kern w:val="2"/>
          <w:lang w:val="es-CO" w:eastAsia="en-US"/>
          <w14:ligatures w14:val="standardContextual"/>
        </w:rPr>
      </w:pPr>
      <w:r w:rsidRPr="00E426C4">
        <w:rPr>
          <w:rFonts w:ascii="Times New Roman" w:hAnsi="Times New Roman" w:cs="Times New Roman"/>
          <w:b/>
          <w:bCs/>
          <w:i/>
          <w:iCs/>
          <w:kern w:val="2"/>
          <w:lang w:val="es-CO" w:eastAsia="en-US"/>
          <w14:ligatures w14:val="standardContextual"/>
        </w:rPr>
        <w:t>¿Existe alguna relación entre la MGF y el riesgo a contraer una infección por el VIH?</w:t>
      </w:r>
    </w:p>
    <w:p w14:paraId="3E0CB5E0"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08AA1F68"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Dado que el procedimiento va acompañado de una pérdida de sangre y que un instrumento suele utilizarse para varias operaciones, la MGF aumenta el riesgo de transmisión del VIH. Ese es el caso concreto de las comunidades donde un gran grupo de niñas se someten a la mutilación el mismo día como parte de un rito sociocultural.</w:t>
      </w:r>
    </w:p>
    <w:p w14:paraId="018381C5"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2D1623C1"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Además, debido al daño infligido a los órganos sexuales femeninos, las relaciones sexuales pueden producir la laceración del tejido, lo que aumenta en gran medida el riesgo de transmisión del VIH. Lo mismo ocurre con la pérdida de sangre que acompaña al parto.</w:t>
      </w:r>
    </w:p>
    <w:p w14:paraId="45667E01"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07FCB802" w14:textId="77777777" w:rsidR="00E426C4" w:rsidRPr="00E426C4" w:rsidRDefault="00E426C4" w:rsidP="00E426C4">
      <w:pPr>
        <w:widowControl/>
        <w:tabs>
          <w:tab w:val="left" w:pos="7938"/>
        </w:tabs>
        <w:ind w:left="567" w:right="851"/>
        <w:jc w:val="both"/>
        <w:rPr>
          <w:rFonts w:ascii="Times New Roman" w:hAnsi="Times New Roman" w:cs="Times New Roman"/>
          <w:b/>
          <w:bCs/>
          <w:i/>
          <w:iCs/>
          <w:kern w:val="2"/>
          <w:lang w:val="es-CO" w:eastAsia="en-US"/>
          <w14:ligatures w14:val="standardContextual"/>
        </w:rPr>
      </w:pPr>
      <w:r w:rsidRPr="00E426C4">
        <w:rPr>
          <w:rFonts w:ascii="Times New Roman" w:hAnsi="Times New Roman" w:cs="Times New Roman"/>
          <w:b/>
          <w:bCs/>
          <w:i/>
          <w:iCs/>
          <w:kern w:val="2"/>
          <w:lang w:val="es-CO" w:eastAsia="en-US"/>
          <w14:ligatures w14:val="standardContextual"/>
        </w:rPr>
        <w:t>¿Cuáles son las secuelas psicológicas de la MGF?</w:t>
      </w:r>
    </w:p>
    <w:p w14:paraId="052BD309"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7D4BBD7C"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La MGF puede dejar secuelas permanentes en las mujeres y niñas que se someten a ella. El estrés psicológico del procedimiento puede desencadenar desórdenes de conducta en las niñas, muy relacionados con la pérdida de confianza en los cuidadores. A largo plazo, las mujeres pueden experimentar ansiedad y depresión. La disfunción sexual también puede contribuir a los conflictos maritales o al divorcio.</w:t>
      </w:r>
    </w:p>
    <w:p w14:paraId="5DB1273F"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703B769F" w14:textId="77777777" w:rsidR="00E426C4" w:rsidRPr="00E426C4" w:rsidRDefault="00E426C4" w:rsidP="00E426C4">
      <w:pPr>
        <w:widowControl/>
        <w:tabs>
          <w:tab w:val="left" w:pos="7938"/>
        </w:tabs>
        <w:ind w:left="567" w:right="851"/>
        <w:jc w:val="both"/>
        <w:rPr>
          <w:rFonts w:ascii="Times New Roman" w:hAnsi="Times New Roman" w:cs="Times New Roman"/>
          <w:b/>
          <w:bCs/>
          <w:i/>
          <w:iCs/>
          <w:kern w:val="2"/>
          <w:lang w:val="es-CO" w:eastAsia="en-US"/>
          <w14:ligatures w14:val="standardContextual"/>
        </w:rPr>
      </w:pPr>
      <w:r w:rsidRPr="00E426C4">
        <w:rPr>
          <w:rFonts w:ascii="Times New Roman" w:hAnsi="Times New Roman" w:cs="Times New Roman"/>
          <w:b/>
          <w:bCs/>
          <w:i/>
          <w:iCs/>
          <w:kern w:val="2"/>
          <w:lang w:val="es-CO" w:eastAsia="en-US"/>
          <w14:ligatures w14:val="standardContextual"/>
        </w:rPr>
        <w:t>¿Cuántos tipos de MGF existen?</w:t>
      </w:r>
    </w:p>
    <w:p w14:paraId="3442B0B1"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7D8144BF"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La Organización Mundial de la Salud (OMS) ha identificado cuatro tipos:</w:t>
      </w:r>
    </w:p>
    <w:p w14:paraId="63375A68"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5D942DE8"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b/>
          <w:bCs/>
          <w:i/>
          <w:iCs/>
          <w:kern w:val="2"/>
          <w:lang w:val="es-CO" w:eastAsia="en-US"/>
          <w14:ligatures w14:val="standardContextual"/>
        </w:rPr>
        <w:t>Tipo I,</w:t>
      </w:r>
      <w:r w:rsidRPr="00E426C4">
        <w:rPr>
          <w:rFonts w:ascii="Times New Roman" w:hAnsi="Times New Roman" w:cs="Times New Roman"/>
          <w:i/>
          <w:iCs/>
          <w:kern w:val="2"/>
          <w:lang w:val="es-CO" w:eastAsia="en-US"/>
          <w14:ligatures w14:val="standardContextual"/>
        </w:rPr>
        <w:t xml:space="preserve"> también denominado </w:t>
      </w:r>
      <w:proofErr w:type="spellStart"/>
      <w:r w:rsidRPr="00E426C4">
        <w:rPr>
          <w:rFonts w:ascii="Times New Roman" w:hAnsi="Times New Roman" w:cs="Times New Roman"/>
          <w:i/>
          <w:iCs/>
          <w:kern w:val="2"/>
          <w:lang w:val="es-CO" w:eastAsia="en-US"/>
          <w14:ligatures w14:val="standardContextual"/>
        </w:rPr>
        <w:t>clitoridectomía</w:t>
      </w:r>
      <w:proofErr w:type="spellEnd"/>
      <w:r w:rsidRPr="00E426C4">
        <w:rPr>
          <w:rFonts w:ascii="Times New Roman" w:hAnsi="Times New Roman" w:cs="Times New Roman"/>
          <w:i/>
          <w:iCs/>
          <w:kern w:val="2"/>
          <w:lang w:val="es-CO" w:eastAsia="en-US"/>
          <w14:ligatures w14:val="standardContextual"/>
        </w:rPr>
        <w:t>: Resección parcial o total del clítoris y/o el prepucio.</w:t>
      </w:r>
    </w:p>
    <w:p w14:paraId="18B20D3A"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b/>
          <w:bCs/>
          <w:i/>
          <w:iCs/>
          <w:kern w:val="2"/>
          <w:lang w:val="es-CO" w:eastAsia="en-US"/>
          <w14:ligatures w14:val="standardContextual"/>
        </w:rPr>
        <w:t>Tipo II</w:t>
      </w:r>
      <w:r w:rsidRPr="00E426C4">
        <w:rPr>
          <w:rFonts w:ascii="Times New Roman" w:hAnsi="Times New Roman" w:cs="Times New Roman"/>
          <w:i/>
          <w:iCs/>
          <w:kern w:val="2"/>
          <w:lang w:val="es-CO" w:eastAsia="en-US"/>
          <w14:ligatures w14:val="standardContextual"/>
        </w:rPr>
        <w:t>, también denominado escisión: Resección parcial o total del clítoris y los labios menores, con o sin escisión de los labios mayores. La cantidad de tejido que se extirpa varía en gran medida dependiendo de la comunidad.</w:t>
      </w:r>
    </w:p>
    <w:p w14:paraId="01B22BC9" w14:textId="77777777" w:rsidR="00E426C4" w:rsidRPr="00E426C4" w:rsidRDefault="00E426C4" w:rsidP="00E426C4">
      <w:pPr>
        <w:widowControl/>
        <w:tabs>
          <w:tab w:val="left" w:pos="7938"/>
        </w:tabs>
        <w:ind w:left="567" w:right="851"/>
        <w:jc w:val="both"/>
        <w:rPr>
          <w:rFonts w:ascii="Times New Roman" w:hAnsi="Times New Roman" w:cs="Times New Roman"/>
          <w:b/>
          <w:bCs/>
          <w:i/>
          <w:iCs/>
          <w:kern w:val="2"/>
          <w:lang w:val="es-CO" w:eastAsia="en-US"/>
          <w14:ligatures w14:val="standardContextual"/>
        </w:rPr>
      </w:pPr>
      <w:r w:rsidRPr="00E426C4">
        <w:rPr>
          <w:rFonts w:ascii="Times New Roman" w:hAnsi="Times New Roman" w:cs="Times New Roman"/>
          <w:b/>
          <w:bCs/>
          <w:i/>
          <w:iCs/>
          <w:kern w:val="2"/>
          <w:lang w:val="es-CO" w:eastAsia="en-US"/>
          <w14:ligatures w14:val="standardContextual"/>
        </w:rPr>
        <w:t>Tipo III</w:t>
      </w:r>
      <w:r w:rsidRPr="00E426C4">
        <w:rPr>
          <w:rFonts w:ascii="Times New Roman" w:hAnsi="Times New Roman" w:cs="Times New Roman"/>
          <w:i/>
          <w:iCs/>
          <w:kern w:val="2"/>
          <w:lang w:val="es-CO" w:eastAsia="en-US"/>
          <w14:ligatures w14:val="standardContextual"/>
        </w:rPr>
        <w:t>, también denominado infibulación: Estrechamiento de la abertura vaginal y creación de un sello que la cubre. El sello se forma al cortar y recolocar los labios menores y/o los labios mayores. Puede realizarse con o sin resección del clítoris.</w:t>
      </w:r>
    </w:p>
    <w:p w14:paraId="2B467CF6"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b/>
          <w:bCs/>
          <w:i/>
          <w:iCs/>
          <w:kern w:val="2"/>
          <w:lang w:val="es-CO" w:eastAsia="en-US"/>
          <w14:ligatures w14:val="standardContextual"/>
        </w:rPr>
        <w:t>Tipo IV:</w:t>
      </w:r>
      <w:r w:rsidRPr="00E426C4">
        <w:rPr>
          <w:rFonts w:ascii="Times New Roman" w:hAnsi="Times New Roman" w:cs="Times New Roman"/>
          <w:i/>
          <w:iCs/>
          <w:kern w:val="2"/>
          <w:lang w:val="es-CO" w:eastAsia="en-US"/>
          <w14:ligatures w14:val="standardContextual"/>
        </w:rPr>
        <w:t xml:space="preserve"> Todos los demás procedimientos lesivos de los genitales femeninos con fines no médicos, por ejemplo: la perforación, la incisión, el raspado o la cauterización.</w:t>
      </w:r>
    </w:p>
    <w:p w14:paraId="4A34B306"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62C4CCDC"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Otros términos relacionados con la MGF son la incisión, la </w:t>
      </w:r>
      <w:proofErr w:type="spellStart"/>
      <w:r w:rsidRPr="00E426C4">
        <w:rPr>
          <w:rFonts w:ascii="Times New Roman" w:hAnsi="Times New Roman" w:cs="Times New Roman"/>
          <w:i/>
          <w:iCs/>
          <w:kern w:val="2"/>
          <w:lang w:val="es-CO" w:eastAsia="en-US"/>
          <w14:ligatures w14:val="standardContextual"/>
        </w:rPr>
        <w:t>desinfibulación</w:t>
      </w:r>
      <w:proofErr w:type="spellEnd"/>
      <w:r w:rsidRPr="00E426C4">
        <w:rPr>
          <w:rFonts w:ascii="Times New Roman" w:hAnsi="Times New Roman" w:cs="Times New Roman"/>
          <w:i/>
          <w:iCs/>
          <w:kern w:val="2"/>
          <w:lang w:val="es-CO" w:eastAsia="en-US"/>
          <w14:ligatures w14:val="standardContextual"/>
        </w:rPr>
        <w:t xml:space="preserve"> y la </w:t>
      </w:r>
      <w:proofErr w:type="spellStart"/>
      <w:r w:rsidRPr="00E426C4">
        <w:rPr>
          <w:rFonts w:ascii="Times New Roman" w:hAnsi="Times New Roman" w:cs="Times New Roman"/>
          <w:i/>
          <w:iCs/>
          <w:kern w:val="2"/>
          <w:lang w:val="es-CO" w:eastAsia="en-US"/>
          <w14:ligatures w14:val="standardContextual"/>
        </w:rPr>
        <w:t>reinfibulación</w:t>
      </w:r>
      <w:proofErr w:type="spellEnd"/>
      <w:r w:rsidRPr="00E426C4">
        <w:rPr>
          <w:rFonts w:ascii="Times New Roman" w:hAnsi="Times New Roman" w:cs="Times New Roman"/>
          <w:i/>
          <w:iCs/>
          <w:kern w:val="2"/>
          <w:lang w:val="es-CO" w:eastAsia="en-US"/>
          <w14:ligatures w14:val="standardContextual"/>
        </w:rPr>
        <w:t>:</w:t>
      </w:r>
    </w:p>
    <w:p w14:paraId="32F41267"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5872C445"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lastRenderedPageBreak/>
        <w:t xml:space="preserve">La incisión se refiere a la realización de cortes en el clítoris o a la extirpación del prepucio </w:t>
      </w:r>
      <w:proofErr w:type="spellStart"/>
      <w:r w:rsidRPr="00E426C4">
        <w:rPr>
          <w:rFonts w:ascii="Times New Roman" w:hAnsi="Times New Roman" w:cs="Times New Roman"/>
          <w:i/>
          <w:iCs/>
          <w:kern w:val="2"/>
          <w:lang w:val="es-CO" w:eastAsia="en-US"/>
          <w14:ligatures w14:val="standardContextual"/>
        </w:rPr>
        <w:t>clitoral</w:t>
      </w:r>
      <w:proofErr w:type="spellEnd"/>
      <w:r w:rsidRPr="00E426C4">
        <w:rPr>
          <w:rFonts w:ascii="Times New Roman" w:hAnsi="Times New Roman" w:cs="Times New Roman"/>
          <w:i/>
          <w:iCs/>
          <w:kern w:val="2"/>
          <w:lang w:val="es-CO" w:eastAsia="en-US"/>
          <w14:ligatures w14:val="standardContextual"/>
        </w:rPr>
        <w:t>, pero también a las incisiones practicadas en la pared de la vagina y a la incisión en el perineo y la sínfisis.</w:t>
      </w:r>
    </w:p>
    <w:p w14:paraId="45E07683"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La </w:t>
      </w:r>
      <w:proofErr w:type="spellStart"/>
      <w:r w:rsidRPr="00E426C4">
        <w:rPr>
          <w:rFonts w:ascii="Times New Roman" w:hAnsi="Times New Roman" w:cs="Times New Roman"/>
          <w:i/>
          <w:iCs/>
          <w:kern w:val="2"/>
          <w:lang w:val="es-CO" w:eastAsia="en-US"/>
          <w14:ligatures w14:val="standardContextual"/>
        </w:rPr>
        <w:t>desinfibulación</w:t>
      </w:r>
      <w:proofErr w:type="spellEnd"/>
      <w:r w:rsidRPr="00E426C4">
        <w:rPr>
          <w:rFonts w:ascii="Times New Roman" w:hAnsi="Times New Roman" w:cs="Times New Roman"/>
          <w:i/>
          <w:iCs/>
          <w:kern w:val="2"/>
          <w:lang w:val="es-CO" w:eastAsia="en-US"/>
          <w14:ligatures w14:val="standardContextual"/>
        </w:rPr>
        <w:t xml:space="preserve"> hace referencia a la realización de un corte a una mujer a la que se ha practicado una infibulación para permitir la penetración durante las relaciones sexuales o facilitar el parto.</w:t>
      </w:r>
    </w:p>
    <w:p w14:paraId="4F2F6B90"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La </w:t>
      </w:r>
      <w:proofErr w:type="spellStart"/>
      <w:r w:rsidRPr="00E426C4">
        <w:rPr>
          <w:rFonts w:ascii="Times New Roman" w:hAnsi="Times New Roman" w:cs="Times New Roman"/>
          <w:i/>
          <w:iCs/>
          <w:kern w:val="2"/>
          <w:lang w:val="es-CO" w:eastAsia="en-US"/>
          <w14:ligatures w14:val="standardContextual"/>
        </w:rPr>
        <w:t>reinfibulación</w:t>
      </w:r>
      <w:proofErr w:type="spellEnd"/>
      <w:r w:rsidRPr="00E426C4">
        <w:rPr>
          <w:rFonts w:ascii="Times New Roman" w:hAnsi="Times New Roman" w:cs="Times New Roman"/>
          <w:i/>
          <w:iCs/>
          <w:kern w:val="2"/>
          <w:lang w:val="es-CO" w:eastAsia="en-US"/>
          <w14:ligatures w14:val="standardContextual"/>
        </w:rPr>
        <w:t xml:space="preserve"> es la práctica mediante la que se vuelven a coser los labios exteriores tras la </w:t>
      </w:r>
      <w:proofErr w:type="spellStart"/>
      <w:r w:rsidRPr="00E426C4">
        <w:rPr>
          <w:rFonts w:ascii="Times New Roman" w:hAnsi="Times New Roman" w:cs="Times New Roman"/>
          <w:i/>
          <w:iCs/>
          <w:kern w:val="2"/>
          <w:lang w:val="es-CO" w:eastAsia="en-US"/>
          <w14:ligatures w14:val="standardContextual"/>
        </w:rPr>
        <w:t>desinfibulación</w:t>
      </w:r>
      <w:proofErr w:type="spellEnd"/>
      <w:r w:rsidRPr="00E426C4">
        <w:rPr>
          <w:rFonts w:ascii="Times New Roman" w:hAnsi="Times New Roman" w:cs="Times New Roman"/>
          <w:i/>
          <w:iCs/>
          <w:kern w:val="2"/>
          <w:lang w:val="es-CO" w:eastAsia="en-US"/>
          <w14:ligatures w14:val="standardContextual"/>
        </w:rPr>
        <w:t>.</w:t>
      </w:r>
    </w:p>
    <w:p w14:paraId="693E4355"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14AA13C9" w14:textId="77777777" w:rsidR="00E426C4" w:rsidRPr="00E426C4" w:rsidRDefault="00E426C4" w:rsidP="00E426C4">
      <w:pPr>
        <w:widowControl/>
        <w:tabs>
          <w:tab w:val="left" w:pos="7938"/>
        </w:tabs>
        <w:ind w:left="567" w:right="851"/>
        <w:jc w:val="both"/>
        <w:rPr>
          <w:rFonts w:ascii="Times New Roman" w:hAnsi="Times New Roman" w:cs="Times New Roman"/>
          <w:b/>
          <w:bCs/>
          <w:i/>
          <w:iCs/>
          <w:kern w:val="2"/>
          <w:lang w:val="es-CO" w:eastAsia="en-US"/>
          <w14:ligatures w14:val="standardContextual"/>
        </w:rPr>
      </w:pPr>
      <w:r w:rsidRPr="00E426C4">
        <w:rPr>
          <w:rFonts w:ascii="Times New Roman" w:hAnsi="Times New Roman" w:cs="Times New Roman"/>
          <w:b/>
          <w:bCs/>
          <w:i/>
          <w:iCs/>
          <w:kern w:val="2"/>
          <w:lang w:val="es-CO" w:eastAsia="en-US"/>
          <w14:ligatures w14:val="standardContextual"/>
        </w:rPr>
        <w:t>¿Cuáles son los tipos más comunes?</w:t>
      </w:r>
    </w:p>
    <w:p w14:paraId="5BC5BBD1"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Los tipos I y II son los más comunes, pero existen variaciones entre los países. El tipo III —la infibulación— la experimentan alrededor del 10% de las mujeres afectadas y es el más practicado en Somalia, el norte del Sudán y </w:t>
      </w:r>
      <w:proofErr w:type="spellStart"/>
      <w:r w:rsidRPr="00E426C4">
        <w:rPr>
          <w:rFonts w:ascii="Times New Roman" w:hAnsi="Times New Roman" w:cs="Times New Roman"/>
          <w:i/>
          <w:iCs/>
          <w:kern w:val="2"/>
          <w:lang w:val="es-CO" w:eastAsia="en-US"/>
          <w14:ligatures w14:val="standardContextual"/>
        </w:rPr>
        <w:t>Djibouti</w:t>
      </w:r>
      <w:proofErr w:type="spellEnd"/>
      <w:r w:rsidRPr="00E426C4">
        <w:rPr>
          <w:rFonts w:ascii="Times New Roman" w:hAnsi="Times New Roman" w:cs="Times New Roman"/>
          <w:i/>
          <w:iCs/>
          <w:kern w:val="2"/>
          <w:lang w:val="es-CO" w:eastAsia="en-US"/>
          <w14:ligatures w14:val="standardContextual"/>
        </w:rPr>
        <w:t>.</w:t>
      </w:r>
    </w:p>
    <w:p w14:paraId="4BC32ACD"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194DC734" w14:textId="77777777" w:rsidR="00E426C4" w:rsidRPr="00E426C4" w:rsidRDefault="00E426C4" w:rsidP="00E426C4">
      <w:pPr>
        <w:widowControl/>
        <w:tabs>
          <w:tab w:val="left" w:pos="7938"/>
        </w:tabs>
        <w:ind w:left="567" w:right="851"/>
        <w:jc w:val="both"/>
        <w:rPr>
          <w:rFonts w:ascii="Times New Roman" w:hAnsi="Times New Roman" w:cs="Times New Roman"/>
          <w:b/>
          <w:bCs/>
          <w:i/>
          <w:iCs/>
          <w:kern w:val="2"/>
          <w:lang w:val="es-CO" w:eastAsia="en-US"/>
          <w14:ligatures w14:val="standardContextual"/>
        </w:rPr>
      </w:pPr>
      <w:r w:rsidRPr="00E426C4">
        <w:rPr>
          <w:rFonts w:ascii="Times New Roman" w:hAnsi="Times New Roman" w:cs="Times New Roman"/>
          <w:b/>
          <w:bCs/>
          <w:i/>
          <w:iCs/>
          <w:kern w:val="2"/>
          <w:lang w:val="es-CO" w:eastAsia="en-US"/>
          <w14:ligatures w14:val="standardContextual"/>
        </w:rPr>
        <w:t>¿Por qué existen distintos términos para denominar la MGF, como la ablación genital femenina y la circuncisión femenina?</w:t>
      </w:r>
    </w:p>
    <w:p w14:paraId="57DFC95E"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3F3CECD2"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La terminología utilizada para este procedimiento ha sufrido varios cambios.</w:t>
      </w:r>
    </w:p>
    <w:p w14:paraId="1F560DAE"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43579A70"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La primera vez que esta práctica centró la atención internacional, se hacía referencia a ella como «circuncisión femenina». (En África Oriental y Septentrional, este término suele utilizarse para describir el tipo I de MGF.) Sin embargo, el término «circuncisión femenina» ha recibido críticas por establecer un paralelismo con la circuncisión masculina y crear confusión entre las dos prácticas, por otra </w:t>
      </w:r>
      <w:proofErr w:type="gramStart"/>
      <w:r w:rsidRPr="00E426C4">
        <w:rPr>
          <w:rFonts w:ascii="Times New Roman" w:hAnsi="Times New Roman" w:cs="Times New Roman"/>
          <w:i/>
          <w:iCs/>
          <w:kern w:val="2"/>
          <w:lang w:val="es-CO" w:eastAsia="en-US"/>
          <w14:ligatures w14:val="standardContextual"/>
        </w:rPr>
        <w:t>parte</w:t>
      </w:r>
      <w:proofErr w:type="gramEnd"/>
      <w:r w:rsidRPr="00E426C4">
        <w:rPr>
          <w:rFonts w:ascii="Times New Roman" w:hAnsi="Times New Roman" w:cs="Times New Roman"/>
          <w:i/>
          <w:iCs/>
          <w:kern w:val="2"/>
          <w:lang w:val="es-CO" w:eastAsia="en-US"/>
          <w14:ligatures w14:val="standardContextual"/>
        </w:rPr>
        <w:t xml:space="preserve"> muy distintas. El hecho de que expertos en salud de muchos países de África Oriental y Septentrional alentaran la circuncisión masculina para reducir la transmisión del VIH creó aún más confusión; la MGF, por otra parte, puede aumentar el riesgo de transmisión del VIH.</w:t>
      </w:r>
    </w:p>
    <w:p w14:paraId="12CC8671"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4B4E6907"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A veces se argumenta que el término oculta las serias consecuencias físicas y psicológicas de la mutilación genital en la mujer. El UNFPA no fomenta el uso del término «circuncisión femenina» porque las implicaciones para la salud de la circuncisión masculina y femenina son muy distintas.</w:t>
      </w:r>
    </w:p>
    <w:p w14:paraId="1A20126E"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5B6FB41E"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El término «mutilación genital femenina» lo utiliza un amplio abanico de organizaciones en pro de la salud y los derechos humanos de la mujer. Establece una clara distinción con respecto a la circuncisión masculina. Además, el uso de la palabra «mutilación» enfatiza la gravedad del acto y refuerza la idea de que la práctica es una violación de los derechos humanos fundamentales de las mujeres y las niñas. Esta expresión ganó fuerza a finales de la década de los setenta y, desde 1994, se ha utilizado en varios documentos relativos a conferencias de las Naciones Unidas y ha servido como herramienta política y de promoción.</w:t>
      </w:r>
    </w:p>
    <w:p w14:paraId="675DB88A"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117D7794"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A finales de la década de los noventa, se introdujo el término «ablación genital femenina» en parte como respuesta al descontento con el término «mutilación genital femenina». Existe la preocupación de que las comunidades encuentren degradante el término «mutilación», o que implique que los padres o los que la practican realizan este </w:t>
      </w:r>
      <w:r w:rsidRPr="00E426C4">
        <w:rPr>
          <w:rFonts w:ascii="Times New Roman" w:hAnsi="Times New Roman" w:cs="Times New Roman"/>
          <w:i/>
          <w:iCs/>
          <w:kern w:val="2"/>
          <w:lang w:val="es-CO" w:eastAsia="en-US"/>
          <w14:ligatures w14:val="standardContextual"/>
        </w:rPr>
        <w:lastRenderedPageBreak/>
        <w:t>procedimiento con malas intenciones. Algunos temen que el término «mutilación genital femenina» margine a las comunidades que la practican o incluso que se produzca una respuesta adversa, con el posible incremento del número de niñas sometidas a la práctica.</w:t>
      </w:r>
    </w:p>
    <w:p w14:paraId="15611C65"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p>
    <w:p w14:paraId="498B07F0" w14:textId="77777777" w:rsidR="00E426C4" w:rsidRPr="00E426C4" w:rsidRDefault="00E426C4" w:rsidP="00E426C4">
      <w:pPr>
        <w:widowControl/>
        <w:tabs>
          <w:tab w:val="left" w:pos="7938"/>
        </w:tabs>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Algunas organizaciones aceptan ambos términos y hacen referencia a la «mutilación/ablación genital femenina».</w:t>
      </w:r>
    </w:p>
    <w:p w14:paraId="75BC5355" w14:textId="77777777" w:rsidR="00E426C4" w:rsidRPr="00E426C4" w:rsidRDefault="00E426C4" w:rsidP="00E426C4">
      <w:pPr>
        <w:widowControl/>
        <w:tabs>
          <w:tab w:val="left" w:pos="7938"/>
        </w:tabs>
        <w:ind w:left="567" w:right="851"/>
        <w:jc w:val="both"/>
        <w:rPr>
          <w:rFonts w:cs="Times New Roman"/>
          <w:i/>
          <w:iCs/>
          <w:kern w:val="2"/>
          <w:lang w:val="es-CO" w:eastAsia="en-US"/>
          <w14:ligatures w14:val="standardContextual"/>
        </w:rPr>
      </w:pPr>
    </w:p>
    <w:p w14:paraId="54D5D937" w14:textId="77777777" w:rsidR="00E426C4" w:rsidRPr="00E426C4" w:rsidRDefault="00E426C4" w:rsidP="00E426C4">
      <w:pPr>
        <w:widowControl/>
        <w:tabs>
          <w:tab w:val="left" w:pos="7938"/>
        </w:tabs>
        <w:ind w:left="567" w:right="851"/>
        <w:jc w:val="both"/>
        <w:rPr>
          <w:rFonts w:cs="Times New Roman"/>
          <w:b/>
          <w:bCs/>
          <w:i/>
          <w:iCs/>
          <w:kern w:val="2"/>
          <w:lang w:val="es-CO" w:eastAsia="en-US"/>
          <w14:ligatures w14:val="standardContextual"/>
        </w:rPr>
      </w:pPr>
      <w:r w:rsidRPr="00E426C4">
        <w:rPr>
          <w:rFonts w:cs="Times New Roman"/>
          <w:b/>
          <w:bCs/>
          <w:i/>
          <w:iCs/>
          <w:kern w:val="2"/>
          <w:lang w:val="es-CO" w:eastAsia="en-US"/>
          <w14:ligatures w14:val="standardContextual"/>
        </w:rPr>
        <w:t>¿Qué terminología utiliza el UNFPA?</w:t>
      </w:r>
    </w:p>
    <w:p w14:paraId="2AFAFE34" w14:textId="77777777" w:rsidR="00E426C4" w:rsidRPr="00E426C4" w:rsidRDefault="00E426C4" w:rsidP="00E426C4">
      <w:pPr>
        <w:widowControl/>
        <w:tabs>
          <w:tab w:val="left" w:pos="7938"/>
        </w:tabs>
        <w:ind w:left="567" w:right="851"/>
        <w:jc w:val="both"/>
        <w:rPr>
          <w:rFonts w:cs="Times New Roman"/>
          <w:i/>
          <w:iCs/>
          <w:kern w:val="2"/>
          <w:lang w:val="es-CO" w:eastAsia="en-US"/>
          <w14:ligatures w14:val="standardContextual"/>
        </w:rPr>
      </w:pPr>
    </w:p>
    <w:p w14:paraId="79F6E7F4" w14:textId="77777777" w:rsidR="00E426C4" w:rsidRPr="00E426C4" w:rsidRDefault="00E426C4" w:rsidP="00E426C4">
      <w:pPr>
        <w:widowControl/>
        <w:tabs>
          <w:tab w:val="left" w:pos="7938"/>
        </w:tabs>
        <w:ind w:left="567" w:right="851"/>
        <w:jc w:val="both"/>
        <w:rPr>
          <w:rFonts w:cs="Times New Roman"/>
          <w:i/>
          <w:iCs/>
          <w:kern w:val="2"/>
          <w:lang w:val="es-CO" w:eastAsia="en-US"/>
          <w14:ligatures w14:val="standardContextual"/>
        </w:rPr>
      </w:pPr>
      <w:r w:rsidRPr="00E426C4">
        <w:rPr>
          <w:rFonts w:cs="Times New Roman"/>
          <w:i/>
          <w:iCs/>
          <w:kern w:val="2"/>
          <w:lang w:val="es-CO" w:eastAsia="en-US"/>
          <w14:ligatures w14:val="standardContextual"/>
        </w:rPr>
        <w:t>El UNFPA insta a considerar esta cuestión desde un enfoque basado en los derechos humanos, y el término «mutilación genital femenina» describe mejor la práctica desde esa perspectiva.</w:t>
      </w:r>
    </w:p>
    <w:p w14:paraId="102D7E65" w14:textId="77777777" w:rsidR="00E426C4" w:rsidRPr="00E426C4" w:rsidRDefault="00E426C4" w:rsidP="00E426C4">
      <w:pPr>
        <w:widowControl/>
        <w:tabs>
          <w:tab w:val="left" w:pos="7938"/>
        </w:tabs>
        <w:ind w:left="567" w:right="851"/>
        <w:jc w:val="both"/>
        <w:rPr>
          <w:rFonts w:cs="Times New Roman"/>
          <w:i/>
          <w:iCs/>
          <w:kern w:val="2"/>
          <w:lang w:val="es-CO" w:eastAsia="en-US"/>
          <w14:ligatures w14:val="standardContextual"/>
        </w:rPr>
      </w:pPr>
    </w:p>
    <w:p w14:paraId="3C569AD2" w14:textId="77777777" w:rsidR="00E426C4" w:rsidRPr="00E426C4" w:rsidRDefault="00E426C4" w:rsidP="00E426C4">
      <w:pPr>
        <w:widowControl/>
        <w:tabs>
          <w:tab w:val="left" w:pos="7938"/>
        </w:tabs>
        <w:ind w:left="567" w:right="851"/>
        <w:jc w:val="both"/>
        <w:rPr>
          <w:rFonts w:cs="Times New Roman"/>
          <w:i/>
          <w:iCs/>
          <w:kern w:val="2"/>
          <w:lang w:val="es-CO" w:eastAsia="en-US"/>
          <w14:ligatures w14:val="standardContextual"/>
        </w:rPr>
      </w:pPr>
      <w:r w:rsidRPr="00E426C4">
        <w:rPr>
          <w:rFonts w:cs="Times New Roman"/>
          <w:i/>
          <w:iCs/>
          <w:kern w:val="2"/>
          <w:lang w:val="es-CO" w:eastAsia="en-US"/>
          <w14:ligatures w14:val="standardContextual"/>
        </w:rPr>
        <w:t xml:space="preserve">En la actualidad, un gran número de países ha ilegalizado la práctica y un número cada vez mayor de </w:t>
      </w:r>
    </w:p>
    <w:p w14:paraId="617E319E" w14:textId="77777777" w:rsidR="00E426C4" w:rsidRPr="00E426C4" w:rsidRDefault="00E426C4" w:rsidP="00E426C4">
      <w:pPr>
        <w:widowControl/>
        <w:tabs>
          <w:tab w:val="left" w:pos="7938"/>
        </w:tabs>
        <w:ind w:left="567" w:right="851"/>
        <w:jc w:val="both"/>
        <w:rPr>
          <w:rFonts w:cs="Times New Roman"/>
          <w:i/>
          <w:iCs/>
          <w:kern w:val="2"/>
          <w:lang w:val="es-CO" w:eastAsia="en-US"/>
          <w14:ligatures w14:val="standardContextual"/>
        </w:rPr>
      </w:pPr>
      <w:r w:rsidRPr="00E426C4">
        <w:rPr>
          <w:rFonts w:cs="Times New Roman"/>
          <w:i/>
          <w:iCs/>
          <w:kern w:val="2"/>
          <w:lang w:val="es-CO" w:eastAsia="en-US"/>
          <w14:ligatures w14:val="standardContextual"/>
        </w:rPr>
        <w:t>comunidades se han comprometido a abandonarla, y señalan que las propias comunidades, junto con los responsables de la toma de decisiones nacionales, regionales e internacionales, están desafiando las percepciones sociales y culturales de esta práctica. Por tanto, ha llegado el momento de acelerar el impulso hacia su pleno abandono acentuando su dimensión de derechos humanos.</w:t>
      </w:r>
    </w:p>
    <w:p w14:paraId="4142779B" w14:textId="77777777" w:rsidR="00E426C4" w:rsidRPr="00E426C4" w:rsidRDefault="00E426C4" w:rsidP="00E426C4">
      <w:pPr>
        <w:widowControl/>
        <w:tabs>
          <w:tab w:val="left" w:pos="7938"/>
        </w:tabs>
        <w:ind w:left="567" w:right="851"/>
        <w:jc w:val="both"/>
        <w:rPr>
          <w:rFonts w:cs="Times New Roman"/>
          <w:i/>
          <w:iCs/>
          <w:kern w:val="2"/>
          <w:lang w:val="es-CO" w:eastAsia="en-US"/>
          <w14:ligatures w14:val="standardContextual"/>
        </w:rPr>
      </w:pPr>
    </w:p>
    <w:p w14:paraId="2DF33CCB" w14:textId="77777777" w:rsidR="00E426C4" w:rsidRPr="00E426C4" w:rsidRDefault="00E426C4" w:rsidP="00E426C4">
      <w:pPr>
        <w:widowControl/>
        <w:tabs>
          <w:tab w:val="left" w:pos="7938"/>
        </w:tabs>
        <w:ind w:left="567" w:right="851"/>
        <w:jc w:val="both"/>
        <w:rPr>
          <w:rFonts w:cs="Times New Roman"/>
          <w:i/>
          <w:iCs/>
          <w:kern w:val="2"/>
          <w:lang w:val="es-CO" w:eastAsia="en-US"/>
          <w14:ligatures w14:val="standardContextual"/>
        </w:rPr>
      </w:pPr>
    </w:p>
    <w:p w14:paraId="676FF629" w14:textId="77777777" w:rsidR="00E426C4" w:rsidRPr="00E426C4" w:rsidRDefault="00E426C4" w:rsidP="00E426C4">
      <w:pPr>
        <w:widowControl/>
        <w:jc w:val="center"/>
        <w:rPr>
          <w:rFonts w:cs="Times New Roman"/>
          <w:b/>
          <w:bCs/>
          <w:i/>
          <w:iCs/>
          <w:kern w:val="2"/>
          <w:sz w:val="20"/>
          <w:szCs w:val="20"/>
          <w:lang w:val="es-CO" w:eastAsia="en-US"/>
          <w14:ligatures w14:val="standardContextual"/>
        </w:rPr>
      </w:pPr>
      <w:r w:rsidRPr="00E426C4">
        <w:rPr>
          <w:rFonts w:cs="Times New Roman"/>
          <w:b/>
          <w:bCs/>
          <w:i/>
          <w:iCs/>
          <w:noProof/>
          <w:kern w:val="2"/>
          <w:sz w:val="20"/>
          <w:szCs w:val="20"/>
          <w:lang w:val="es-CO" w:eastAsia="es-CO"/>
          <w14:ligatures w14:val="standardContextual"/>
        </w:rPr>
        <w:drawing>
          <wp:inline distT="0" distB="0" distL="0" distR="0" wp14:anchorId="20D42DE6" wp14:editId="06F198A4">
            <wp:extent cx="4560425" cy="2568515"/>
            <wp:effectExtent l="0" t="0" r="0" b="3810"/>
            <wp:docPr id="11908396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3247" cy="2570104"/>
                    </a:xfrm>
                    <a:prstGeom prst="rect">
                      <a:avLst/>
                    </a:prstGeom>
                    <a:noFill/>
                  </pic:spPr>
                </pic:pic>
              </a:graphicData>
            </a:graphic>
          </wp:inline>
        </w:drawing>
      </w:r>
    </w:p>
    <w:p w14:paraId="4D43687F" w14:textId="77777777" w:rsidR="00E426C4" w:rsidRPr="00E426C4" w:rsidRDefault="00E426C4" w:rsidP="00E426C4">
      <w:pPr>
        <w:widowControl/>
        <w:jc w:val="center"/>
        <w:rPr>
          <w:rFonts w:cs="Times New Roman"/>
          <w:kern w:val="2"/>
          <w:sz w:val="20"/>
          <w:szCs w:val="20"/>
          <w:lang w:val="es-CO" w:eastAsia="en-US"/>
          <w14:ligatures w14:val="standardContextual"/>
        </w:rPr>
      </w:pPr>
      <w:r w:rsidRPr="00E426C4">
        <w:rPr>
          <w:rFonts w:cs="Times New Roman"/>
          <w:kern w:val="2"/>
          <w:sz w:val="20"/>
          <w:szCs w:val="20"/>
          <w:lang w:val="es-CO" w:eastAsia="en-US"/>
          <w14:ligatures w14:val="standardContextual"/>
        </w:rPr>
        <w:t>Fuente imagen:</w:t>
      </w:r>
      <w:r w:rsidRPr="00E426C4">
        <w:rPr>
          <w:rFonts w:cs="Times New Roman"/>
          <w:kern w:val="2"/>
          <w:lang w:val="es-CO" w:eastAsia="en-US"/>
          <w14:ligatures w14:val="standardContextual"/>
        </w:rPr>
        <w:t xml:space="preserve"> </w:t>
      </w:r>
      <w:r w:rsidRPr="00E426C4">
        <w:rPr>
          <w:rFonts w:cs="Times New Roman"/>
          <w:kern w:val="2"/>
          <w:sz w:val="20"/>
          <w:szCs w:val="20"/>
          <w:lang w:val="es-CO" w:eastAsia="en-US"/>
          <w14:ligatures w14:val="standardContextual"/>
        </w:rPr>
        <w:t xml:space="preserve">Imagen: </w:t>
      </w:r>
      <w:proofErr w:type="spellStart"/>
      <w:r w:rsidRPr="00E426C4">
        <w:rPr>
          <w:rFonts w:cs="Times New Roman"/>
          <w:kern w:val="2"/>
          <w:sz w:val="20"/>
          <w:szCs w:val="20"/>
          <w:lang w:val="es-CO" w:eastAsia="en-US"/>
          <w14:ligatures w14:val="standardContextual"/>
        </w:rPr>
        <w:t>LegalToday</w:t>
      </w:r>
      <w:proofErr w:type="spellEnd"/>
    </w:p>
    <w:p w14:paraId="2E0CB5AA" w14:textId="77777777" w:rsidR="00E426C4" w:rsidRPr="00E426C4" w:rsidRDefault="00C76FB9" w:rsidP="00E426C4">
      <w:pPr>
        <w:widowControl/>
        <w:jc w:val="center"/>
        <w:rPr>
          <w:rFonts w:cs="Times New Roman"/>
          <w:kern w:val="2"/>
          <w:sz w:val="20"/>
          <w:szCs w:val="20"/>
          <w:lang w:val="es-CO" w:eastAsia="en-US"/>
          <w14:ligatures w14:val="standardContextual"/>
        </w:rPr>
      </w:pPr>
      <w:hyperlink r:id="rId18" w:history="1">
        <w:r w:rsidR="00E426C4" w:rsidRPr="00E426C4">
          <w:rPr>
            <w:rFonts w:cs="Times New Roman"/>
            <w:color w:val="0563C1"/>
            <w:kern w:val="2"/>
            <w:sz w:val="20"/>
            <w:szCs w:val="20"/>
            <w:u w:val="single"/>
            <w:lang w:val="es-CO" w:eastAsia="en-US"/>
            <w14:ligatures w14:val="standardContextual"/>
          </w:rPr>
          <w:t>https://observatorioviolencia.org/la-brecha-de-los-derechos-humanos-la-mutilacion-genital-femenina/</w:t>
        </w:r>
      </w:hyperlink>
    </w:p>
    <w:p w14:paraId="38A21951" w14:textId="77777777" w:rsidR="00E426C4" w:rsidRPr="00E426C4" w:rsidRDefault="00E426C4" w:rsidP="00E426C4">
      <w:pPr>
        <w:widowControl/>
        <w:jc w:val="center"/>
        <w:rPr>
          <w:rFonts w:cs="Times New Roman"/>
          <w:kern w:val="2"/>
          <w:sz w:val="20"/>
          <w:szCs w:val="20"/>
          <w:lang w:val="es-CO" w:eastAsia="en-US"/>
          <w14:ligatures w14:val="standardContextual"/>
        </w:rPr>
      </w:pPr>
    </w:p>
    <w:p w14:paraId="3DB21B1B" w14:textId="77777777" w:rsidR="00E426C4" w:rsidRPr="00E426C4" w:rsidRDefault="00E426C4" w:rsidP="00E426C4">
      <w:pPr>
        <w:widowControl/>
        <w:jc w:val="center"/>
        <w:rPr>
          <w:rFonts w:cs="Times New Roman"/>
          <w:kern w:val="2"/>
          <w:sz w:val="20"/>
          <w:szCs w:val="20"/>
          <w:lang w:val="es-CO" w:eastAsia="en-US"/>
          <w14:ligatures w14:val="standardContextual"/>
        </w:rPr>
      </w:pPr>
    </w:p>
    <w:p w14:paraId="74C6BD1D" w14:textId="77777777" w:rsidR="00E426C4" w:rsidRPr="00E426C4" w:rsidRDefault="00E426C4" w:rsidP="00E426C4">
      <w:pPr>
        <w:widowControl/>
        <w:jc w:val="center"/>
        <w:rPr>
          <w:rFonts w:cs="Times New Roman"/>
          <w:kern w:val="2"/>
          <w:sz w:val="20"/>
          <w:szCs w:val="20"/>
          <w:lang w:val="es-CO" w:eastAsia="en-US"/>
          <w14:ligatures w14:val="standardContextual"/>
        </w:rPr>
      </w:pPr>
    </w:p>
    <w:p w14:paraId="0751E75E" w14:textId="77777777" w:rsidR="00E426C4" w:rsidRPr="00E426C4" w:rsidRDefault="00E426C4" w:rsidP="00E426C4">
      <w:pPr>
        <w:widowControl/>
        <w:jc w:val="center"/>
        <w:rPr>
          <w:rFonts w:cs="Times New Roman"/>
          <w:kern w:val="2"/>
          <w:sz w:val="20"/>
          <w:szCs w:val="20"/>
          <w:lang w:val="es-CO" w:eastAsia="en-US"/>
          <w14:ligatures w14:val="standardContextual"/>
        </w:rPr>
      </w:pPr>
    </w:p>
    <w:p w14:paraId="6C25AEED" w14:textId="77777777" w:rsidR="00E426C4" w:rsidRPr="00E426C4" w:rsidRDefault="00E426C4" w:rsidP="00E426C4">
      <w:pPr>
        <w:widowControl/>
        <w:jc w:val="center"/>
        <w:rPr>
          <w:rFonts w:cs="Times New Roman"/>
          <w:kern w:val="2"/>
          <w:sz w:val="20"/>
          <w:szCs w:val="20"/>
          <w:lang w:val="es-CO" w:eastAsia="en-US"/>
          <w14:ligatures w14:val="standardContextual"/>
        </w:rPr>
      </w:pPr>
    </w:p>
    <w:p w14:paraId="7CB4B99F" w14:textId="77777777" w:rsidR="00E426C4" w:rsidRPr="00E426C4" w:rsidRDefault="00E426C4" w:rsidP="00E426C4">
      <w:pPr>
        <w:widowControl/>
        <w:jc w:val="center"/>
        <w:rPr>
          <w:rFonts w:cs="Times New Roman"/>
          <w:kern w:val="2"/>
          <w:sz w:val="20"/>
          <w:szCs w:val="20"/>
          <w:lang w:val="es-CO" w:eastAsia="en-US"/>
          <w14:ligatures w14:val="standardContextual"/>
        </w:rPr>
      </w:pPr>
    </w:p>
    <w:p w14:paraId="3C420EF5" w14:textId="77777777" w:rsidR="00E426C4" w:rsidRPr="00E426C4" w:rsidRDefault="00E426C4" w:rsidP="00E426C4">
      <w:pPr>
        <w:widowControl/>
        <w:jc w:val="center"/>
        <w:rPr>
          <w:rFonts w:cs="Times New Roman"/>
          <w:kern w:val="2"/>
          <w:sz w:val="20"/>
          <w:szCs w:val="20"/>
          <w:lang w:val="es-CO" w:eastAsia="en-US"/>
          <w14:ligatures w14:val="standardContextual"/>
        </w:rPr>
      </w:pPr>
    </w:p>
    <w:p w14:paraId="4D44B321" w14:textId="77777777" w:rsidR="00E426C4" w:rsidRPr="00E426C4" w:rsidRDefault="00E426C4" w:rsidP="00E426C4">
      <w:pPr>
        <w:keepNext/>
        <w:keepLines/>
        <w:widowControl/>
        <w:spacing w:before="240" w:line="259" w:lineRule="auto"/>
        <w:jc w:val="center"/>
        <w:outlineLvl w:val="0"/>
        <w:rPr>
          <w:rFonts w:ascii="Calibri Light" w:eastAsia="Times New Roman" w:hAnsi="Calibri Light" w:cs="Times New Roman"/>
          <w:b/>
          <w:bCs/>
          <w:kern w:val="2"/>
          <w:sz w:val="32"/>
          <w:szCs w:val="32"/>
          <w:lang w:val="es-CO" w:eastAsia="en-US"/>
          <w14:ligatures w14:val="standardContextual"/>
        </w:rPr>
      </w:pPr>
      <w:r w:rsidRPr="00E426C4">
        <w:rPr>
          <w:rFonts w:ascii="Calibri Light" w:eastAsia="Times New Roman" w:hAnsi="Calibri Light" w:cs="Times New Roman"/>
          <w:b/>
          <w:bCs/>
          <w:kern w:val="2"/>
          <w:sz w:val="32"/>
          <w:szCs w:val="32"/>
          <w:lang w:val="es-CO" w:eastAsia="en-US"/>
          <w14:ligatures w14:val="standardContextual"/>
        </w:rPr>
        <w:t>MUTILACIÓN GENITAL FEMENINA</w:t>
      </w:r>
    </w:p>
    <w:p w14:paraId="5F98E8EE" w14:textId="77777777" w:rsidR="00E426C4" w:rsidRPr="00E426C4" w:rsidRDefault="00E426C4" w:rsidP="00E426C4">
      <w:pPr>
        <w:widowControl/>
        <w:jc w:val="center"/>
        <w:rPr>
          <w:rFonts w:cs="Times New Roman"/>
          <w:kern w:val="2"/>
          <w:sz w:val="20"/>
          <w:szCs w:val="20"/>
          <w:lang w:val="es-CO" w:eastAsia="en-US"/>
          <w14:ligatures w14:val="standardContextual"/>
        </w:rPr>
      </w:pPr>
    </w:p>
    <w:p w14:paraId="082CDA8A" w14:textId="77777777" w:rsidR="00E426C4" w:rsidRPr="00E426C4" w:rsidRDefault="00E426C4" w:rsidP="00E426C4">
      <w:pPr>
        <w:widowControl/>
        <w:jc w:val="center"/>
        <w:rPr>
          <w:rFonts w:cs="Times New Roman"/>
          <w:i/>
          <w:iCs/>
          <w:kern w:val="2"/>
          <w:sz w:val="20"/>
          <w:szCs w:val="20"/>
          <w:lang w:val="es-CO" w:eastAsia="en-US"/>
          <w14:ligatures w14:val="standardContextual"/>
        </w:rPr>
      </w:pPr>
      <w:r w:rsidRPr="00E426C4">
        <w:rPr>
          <w:rFonts w:cs="Times New Roman"/>
          <w:i/>
          <w:iCs/>
          <w:noProof/>
          <w:kern w:val="2"/>
          <w:sz w:val="20"/>
          <w:szCs w:val="20"/>
          <w:lang w:val="es-CO" w:eastAsia="es-CO"/>
          <w14:ligatures w14:val="standardContextual"/>
        </w:rPr>
        <w:drawing>
          <wp:inline distT="0" distB="0" distL="0" distR="0" wp14:anchorId="7D797503" wp14:editId="378ADF17">
            <wp:extent cx="3414531" cy="6054469"/>
            <wp:effectExtent l="0" t="0" r="0" b="3810"/>
            <wp:docPr id="20189242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3031" cy="6087272"/>
                    </a:xfrm>
                    <a:prstGeom prst="rect">
                      <a:avLst/>
                    </a:prstGeom>
                    <a:noFill/>
                  </pic:spPr>
                </pic:pic>
              </a:graphicData>
            </a:graphic>
          </wp:inline>
        </w:drawing>
      </w:r>
    </w:p>
    <w:p w14:paraId="3BC89F13" w14:textId="77777777" w:rsidR="00E426C4" w:rsidRPr="00E426C4" w:rsidRDefault="00E426C4" w:rsidP="00E426C4">
      <w:pPr>
        <w:widowControl/>
        <w:jc w:val="center"/>
        <w:rPr>
          <w:rFonts w:cs="Times New Roman"/>
          <w:i/>
          <w:iCs/>
          <w:kern w:val="2"/>
          <w:sz w:val="20"/>
          <w:szCs w:val="20"/>
          <w:lang w:val="es-CO" w:eastAsia="en-US"/>
          <w14:ligatures w14:val="standardContextual"/>
        </w:rPr>
      </w:pPr>
      <w:r w:rsidRPr="00E426C4">
        <w:rPr>
          <w:rFonts w:cs="Times New Roman"/>
          <w:b/>
          <w:bCs/>
          <w:i/>
          <w:iCs/>
          <w:kern w:val="2"/>
          <w:sz w:val="20"/>
          <w:szCs w:val="20"/>
          <w:lang w:val="es-CO" w:eastAsia="en-US"/>
          <w14:ligatures w14:val="standardContextual"/>
        </w:rPr>
        <w:t>Fuente</w:t>
      </w:r>
      <w:r w:rsidRPr="00E426C4">
        <w:rPr>
          <w:rFonts w:cs="Times New Roman"/>
          <w:i/>
          <w:iCs/>
          <w:kern w:val="2"/>
          <w:sz w:val="20"/>
          <w:szCs w:val="20"/>
          <w:lang w:val="es-CO" w:eastAsia="en-US"/>
          <w14:ligatures w14:val="standardContextual"/>
        </w:rPr>
        <w:t>: Organización interseccional pro derechos humanos</w:t>
      </w:r>
    </w:p>
    <w:p w14:paraId="1A8B658F" w14:textId="77777777" w:rsidR="00E426C4" w:rsidRPr="00E426C4" w:rsidRDefault="00E426C4" w:rsidP="00E426C4">
      <w:pPr>
        <w:widowControl/>
        <w:jc w:val="both"/>
        <w:rPr>
          <w:rFonts w:cs="Times New Roman"/>
          <w:i/>
          <w:iCs/>
          <w:kern w:val="2"/>
          <w:sz w:val="20"/>
          <w:szCs w:val="20"/>
          <w:lang w:val="es-CO" w:eastAsia="en-US"/>
          <w14:ligatures w14:val="standardContextual"/>
        </w:rPr>
      </w:pPr>
    </w:p>
    <w:p w14:paraId="70C3E7A1" w14:textId="77777777" w:rsidR="00E426C4" w:rsidRPr="00E426C4" w:rsidRDefault="00E426C4" w:rsidP="00E426C4">
      <w:pPr>
        <w:widowControl/>
        <w:jc w:val="both"/>
        <w:rPr>
          <w:rFonts w:cs="Times New Roman"/>
          <w:i/>
          <w:iCs/>
          <w:kern w:val="2"/>
          <w:sz w:val="20"/>
          <w:szCs w:val="20"/>
          <w:lang w:val="es-CO" w:eastAsia="en-US"/>
          <w14:ligatures w14:val="standardContextual"/>
        </w:rPr>
      </w:pPr>
    </w:p>
    <w:p w14:paraId="2699ECAC" w14:textId="77777777" w:rsidR="00E426C4" w:rsidRPr="00E426C4" w:rsidRDefault="00E426C4" w:rsidP="00E426C4">
      <w:pPr>
        <w:widowControl/>
        <w:jc w:val="both"/>
        <w:rPr>
          <w:rFonts w:cs="Times New Roman"/>
          <w:i/>
          <w:iCs/>
          <w:kern w:val="2"/>
          <w:sz w:val="20"/>
          <w:szCs w:val="20"/>
          <w:lang w:val="es-CO" w:eastAsia="en-US"/>
          <w14:ligatures w14:val="standardContextual"/>
        </w:rPr>
      </w:pPr>
    </w:p>
    <w:p w14:paraId="7A194C96" w14:textId="77777777" w:rsidR="00E426C4" w:rsidRPr="00E426C4" w:rsidRDefault="00E426C4" w:rsidP="00E426C4">
      <w:pPr>
        <w:widowControl/>
        <w:jc w:val="both"/>
        <w:rPr>
          <w:rFonts w:cs="Times New Roman"/>
          <w:i/>
          <w:iCs/>
          <w:kern w:val="2"/>
          <w:sz w:val="20"/>
          <w:szCs w:val="20"/>
          <w:lang w:val="es-CO" w:eastAsia="en-US"/>
          <w14:ligatures w14:val="standardContextual"/>
        </w:rPr>
      </w:pPr>
    </w:p>
    <w:p w14:paraId="379C08FC" w14:textId="77777777" w:rsidR="00E426C4" w:rsidRPr="00E426C4" w:rsidRDefault="00E426C4" w:rsidP="00E426C4">
      <w:pPr>
        <w:widowControl/>
        <w:jc w:val="both"/>
        <w:rPr>
          <w:rFonts w:cs="Times New Roman"/>
          <w:i/>
          <w:iCs/>
          <w:kern w:val="2"/>
          <w:sz w:val="20"/>
          <w:szCs w:val="20"/>
          <w:lang w:val="es-CO" w:eastAsia="en-US"/>
          <w14:ligatures w14:val="standardContextual"/>
        </w:rPr>
      </w:pPr>
    </w:p>
    <w:p w14:paraId="78117400" w14:textId="77777777" w:rsidR="00E426C4" w:rsidRPr="00E426C4" w:rsidRDefault="00E426C4" w:rsidP="00E426C4">
      <w:pPr>
        <w:keepNext/>
        <w:keepLines/>
        <w:widowControl/>
        <w:spacing w:before="240" w:line="259" w:lineRule="auto"/>
        <w:jc w:val="center"/>
        <w:outlineLvl w:val="0"/>
        <w:rPr>
          <w:rFonts w:ascii="Calibri Light" w:eastAsia="Times New Roman" w:hAnsi="Calibri Light" w:cs="Times New Roman"/>
          <w:b/>
          <w:bCs/>
          <w:kern w:val="2"/>
          <w:sz w:val="32"/>
          <w:szCs w:val="32"/>
          <w:lang w:val="es-CO" w:eastAsia="en-US"/>
          <w14:ligatures w14:val="standardContextual"/>
        </w:rPr>
      </w:pPr>
      <w:r w:rsidRPr="00E426C4">
        <w:rPr>
          <w:rFonts w:ascii="Calibri Light" w:eastAsia="Times New Roman" w:hAnsi="Calibri Light" w:cs="Times New Roman"/>
          <w:b/>
          <w:bCs/>
          <w:kern w:val="2"/>
          <w:sz w:val="32"/>
          <w:szCs w:val="32"/>
          <w:lang w:val="es-CO" w:eastAsia="en-US"/>
          <w14:ligatures w14:val="standardContextual"/>
        </w:rPr>
        <w:t>La mutilación genital femenina en Colombia MGF</w:t>
      </w:r>
    </w:p>
    <w:p w14:paraId="509C16A4" w14:textId="77777777" w:rsidR="00E426C4" w:rsidRPr="00E426C4" w:rsidRDefault="00E426C4" w:rsidP="00E426C4">
      <w:pPr>
        <w:widowControl/>
        <w:jc w:val="both"/>
        <w:rPr>
          <w:rFonts w:cs="Times New Roman"/>
          <w:kern w:val="2"/>
          <w:lang w:val="es-CO" w:eastAsia="en-US"/>
          <w14:ligatures w14:val="standardContextual"/>
        </w:rPr>
      </w:pPr>
      <w:r w:rsidRPr="00E426C4">
        <w:rPr>
          <w:rFonts w:cs="Times New Roman"/>
          <w:kern w:val="2"/>
          <w:lang w:val="es-CO" w:eastAsia="en-US"/>
          <w14:ligatures w14:val="standardContextual"/>
        </w:rPr>
        <w:t>En Colombia se realiza la mutilación genital femenina y es el único país de América Latina que reconoce que dicha práctica aún se realiza en su territorio.</w:t>
      </w:r>
    </w:p>
    <w:p w14:paraId="0F1D6820" w14:textId="77777777" w:rsidR="00E426C4" w:rsidRPr="00E426C4" w:rsidRDefault="00E426C4" w:rsidP="00E426C4">
      <w:pPr>
        <w:widowControl/>
        <w:jc w:val="both"/>
        <w:rPr>
          <w:rFonts w:cs="Times New Roman"/>
          <w:kern w:val="2"/>
          <w:lang w:val="es-CO" w:eastAsia="en-US"/>
          <w14:ligatures w14:val="standardContextual"/>
        </w:rPr>
      </w:pPr>
    </w:p>
    <w:p w14:paraId="76303F3B" w14:textId="77777777" w:rsidR="00E426C4" w:rsidRPr="00E426C4" w:rsidRDefault="00E426C4" w:rsidP="00E426C4">
      <w:pPr>
        <w:widowControl/>
        <w:jc w:val="both"/>
        <w:rPr>
          <w:rFonts w:cs="Times New Roman"/>
          <w:i/>
          <w:iCs/>
          <w:kern w:val="2"/>
          <w:lang w:val="es-CO" w:eastAsia="en-US"/>
          <w14:ligatures w14:val="standardContextual"/>
        </w:rPr>
      </w:pPr>
      <w:r w:rsidRPr="00E426C4">
        <w:rPr>
          <w:rFonts w:cs="Times New Roman"/>
          <w:i/>
          <w:iCs/>
          <w:kern w:val="2"/>
          <w:lang w:val="es-CO" w:eastAsia="en-US"/>
          <w14:ligatures w14:val="standardContextual"/>
        </w:rPr>
        <w:t>En la Monografía “La ablación genital femenina: un análisis jurídico comparado entre Colombia, España y Egipto”</w:t>
      </w:r>
      <w:r w:rsidRPr="00E426C4">
        <w:rPr>
          <w:rFonts w:cs="Times New Roman"/>
          <w:i/>
          <w:iCs/>
          <w:kern w:val="2"/>
          <w:vertAlign w:val="superscript"/>
          <w:lang w:val="es-CO" w:eastAsia="en-US"/>
          <w14:ligatures w14:val="standardContextual"/>
        </w:rPr>
        <w:footnoteReference w:id="4"/>
      </w:r>
      <w:r w:rsidRPr="00E426C4">
        <w:rPr>
          <w:rFonts w:cs="Times New Roman"/>
          <w:i/>
          <w:iCs/>
          <w:kern w:val="2"/>
          <w:lang w:val="es-CO" w:eastAsia="en-US"/>
          <w14:ligatures w14:val="standardContextual"/>
        </w:rPr>
        <w:t xml:space="preserve"> se señala:</w:t>
      </w:r>
    </w:p>
    <w:p w14:paraId="33F6AFB3" w14:textId="77777777" w:rsidR="00E426C4" w:rsidRPr="00E426C4" w:rsidRDefault="00E426C4" w:rsidP="00E426C4">
      <w:pPr>
        <w:widowControl/>
        <w:jc w:val="both"/>
        <w:rPr>
          <w:rFonts w:cs="Times New Roman"/>
          <w:i/>
          <w:iCs/>
          <w:kern w:val="2"/>
          <w:lang w:val="es-CO" w:eastAsia="en-US"/>
          <w14:ligatures w14:val="standardContextual"/>
        </w:rPr>
      </w:pPr>
    </w:p>
    <w:p w14:paraId="19BF23D9"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“De acuerdo con el Ministerio de Salud y el Fondo de Población de las Naciones Unidas, es el único país en Latinoamérica donde actualmente se practica la mutilación genital femenina en las niñas y mujeres, por lo cual, se hace necesario estudiar el contexto y la normatividad que existe alrededor de esta práctica dentro del país (Ministerio de Salud, 2018; UNFPA, 2018). Asimismo, es importante aclarar que el caso colombiano es distinto a los dos países previamente analizados en esta monografía, ya que, a diferencia de Egipto, es una minoría de la población colombiana quien practica la A/MGF; y, a diferencia de España, se trata de una práctica propia y ancestral de poblaciones indígenas colombianas. En vista de lo anterior, en el presente capítulo es primordial analizar la autonomía que tienen las comunidades indígenas en la normatividad colombiana y la importancia del entendimiento de su cultura y del trabajo conjunto con ellas para poder lograr un cambio significativo en la práctica. </w:t>
      </w:r>
    </w:p>
    <w:p w14:paraId="54CEE9B0" w14:textId="77777777" w:rsidR="00E426C4" w:rsidRPr="00E426C4" w:rsidRDefault="00E426C4" w:rsidP="00E426C4">
      <w:pPr>
        <w:widowControl/>
        <w:ind w:left="567" w:right="851"/>
        <w:jc w:val="both"/>
        <w:rPr>
          <w:rFonts w:ascii="Times New Roman" w:hAnsi="Times New Roman" w:cs="Times New Roman"/>
          <w:kern w:val="2"/>
          <w:lang w:val="es-CO" w:eastAsia="en-US"/>
          <w14:ligatures w14:val="standardContextual"/>
        </w:rPr>
      </w:pPr>
    </w:p>
    <w:p w14:paraId="20E7E513" w14:textId="77777777" w:rsidR="00E426C4" w:rsidRPr="00E426C4" w:rsidRDefault="00E426C4" w:rsidP="00E426C4">
      <w:pPr>
        <w:widowControl/>
        <w:ind w:left="567" w:right="851"/>
        <w:jc w:val="both"/>
        <w:rPr>
          <w:rFonts w:ascii="Times New Roman" w:hAnsi="Times New Roman" w:cs="Times New Roman"/>
          <w:b/>
          <w:bCs/>
          <w:i/>
          <w:iCs/>
          <w:kern w:val="2"/>
          <w:lang w:val="es-CO" w:eastAsia="en-US"/>
          <w14:ligatures w14:val="standardContextual"/>
        </w:rPr>
      </w:pPr>
      <w:r w:rsidRPr="00E426C4">
        <w:rPr>
          <w:rFonts w:ascii="Times New Roman" w:hAnsi="Times New Roman" w:cs="Times New Roman"/>
          <w:b/>
          <w:bCs/>
          <w:i/>
          <w:iCs/>
          <w:kern w:val="2"/>
          <w:lang w:val="es-CO" w:eastAsia="en-US"/>
          <w14:ligatures w14:val="standardContextual"/>
        </w:rPr>
        <w:t xml:space="preserve">4.1. Contexto socio-cultural de la ablación genital femenina en Colombia </w:t>
      </w:r>
    </w:p>
    <w:p w14:paraId="7B4BBF19"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Sobre la práctica de la ablación genital femenina en Colombia, Nubia </w:t>
      </w:r>
      <w:proofErr w:type="spellStart"/>
      <w:r w:rsidRPr="00E426C4">
        <w:rPr>
          <w:rFonts w:ascii="Times New Roman" w:hAnsi="Times New Roman" w:cs="Times New Roman"/>
          <w:i/>
          <w:iCs/>
          <w:kern w:val="2"/>
          <w:lang w:val="es-CO" w:eastAsia="en-US"/>
          <w14:ligatures w14:val="standardContextual"/>
        </w:rPr>
        <w:t>Marruego</w:t>
      </w:r>
      <w:proofErr w:type="spellEnd"/>
      <w:r w:rsidRPr="00E426C4">
        <w:rPr>
          <w:rFonts w:ascii="Times New Roman" w:hAnsi="Times New Roman" w:cs="Times New Roman"/>
          <w:i/>
          <w:iCs/>
          <w:kern w:val="2"/>
          <w:lang w:val="es-CO" w:eastAsia="en-US"/>
          <w14:ligatures w14:val="standardContextual"/>
        </w:rPr>
        <w:t xml:space="preserve"> (2013) expone que existen relatos históricos y antropológicos sobre esta en dos comunidades </w:t>
      </w:r>
      <w:proofErr w:type="spellStart"/>
      <w:r w:rsidRPr="00E426C4">
        <w:rPr>
          <w:rFonts w:ascii="Times New Roman" w:hAnsi="Times New Roman" w:cs="Times New Roman"/>
          <w:i/>
          <w:iCs/>
          <w:kern w:val="2"/>
          <w:lang w:val="es-CO" w:eastAsia="en-US"/>
          <w14:ligatures w14:val="standardContextual"/>
        </w:rPr>
        <w:t>índigenas</w:t>
      </w:r>
      <w:proofErr w:type="spellEnd"/>
      <w:r w:rsidRPr="00E426C4">
        <w:rPr>
          <w:rFonts w:ascii="Times New Roman" w:hAnsi="Times New Roman" w:cs="Times New Roman"/>
          <w:i/>
          <w:iCs/>
          <w:kern w:val="2"/>
          <w:lang w:val="es-CO" w:eastAsia="en-US"/>
          <w14:ligatures w14:val="standardContextual"/>
        </w:rPr>
        <w:t xml:space="preserve"> –</w:t>
      </w:r>
      <w:proofErr w:type="spellStart"/>
      <w:r w:rsidRPr="00E426C4">
        <w:rPr>
          <w:rFonts w:ascii="Times New Roman" w:hAnsi="Times New Roman" w:cs="Times New Roman"/>
          <w:i/>
          <w:iCs/>
          <w:kern w:val="2"/>
          <w:lang w:val="es-CO" w:eastAsia="en-US"/>
          <w14:ligatures w14:val="standardContextual"/>
        </w:rPr>
        <w:t>Paeces</w:t>
      </w:r>
      <w:proofErr w:type="spellEnd"/>
      <w:r w:rsidRPr="00E426C4">
        <w:rPr>
          <w:rFonts w:ascii="Times New Roman" w:hAnsi="Times New Roman" w:cs="Times New Roman"/>
          <w:i/>
          <w:iCs/>
          <w:kern w:val="2"/>
          <w:lang w:val="es-CO" w:eastAsia="en-US"/>
          <w14:ligatures w14:val="standardContextual"/>
        </w:rPr>
        <w:t xml:space="preserve"> y </w:t>
      </w:r>
      <w:proofErr w:type="spellStart"/>
      <w:r w:rsidRPr="00E426C4">
        <w:rPr>
          <w:rFonts w:ascii="Times New Roman" w:hAnsi="Times New Roman" w:cs="Times New Roman"/>
          <w:i/>
          <w:iCs/>
          <w:kern w:val="2"/>
          <w:lang w:val="es-CO" w:eastAsia="en-US"/>
          <w14:ligatures w14:val="standardContextual"/>
        </w:rPr>
        <w:t>Embera</w:t>
      </w:r>
      <w:proofErr w:type="spellEnd"/>
      <w:r w:rsidRPr="00E426C4">
        <w:rPr>
          <w:rFonts w:ascii="Times New Roman" w:hAnsi="Times New Roman" w:cs="Times New Roman"/>
          <w:i/>
          <w:iCs/>
          <w:kern w:val="2"/>
          <w:lang w:val="es-CO" w:eastAsia="en-US"/>
          <w14:ligatures w14:val="standardContextual"/>
        </w:rPr>
        <w:t xml:space="preserve"> </w:t>
      </w:r>
      <w:proofErr w:type="spellStart"/>
      <w:r w:rsidRPr="00E426C4">
        <w:rPr>
          <w:rFonts w:ascii="Times New Roman" w:hAnsi="Times New Roman" w:cs="Times New Roman"/>
          <w:i/>
          <w:iCs/>
          <w:kern w:val="2"/>
          <w:lang w:val="es-CO" w:eastAsia="en-US"/>
          <w14:ligatures w14:val="standardContextual"/>
        </w:rPr>
        <w:t>Chamí</w:t>
      </w:r>
      <w:proofErr w:type="spellEnd"/>
      <w:r w:rsidRPr="00E426C4">
        <w:rPr>
          <w:rFonts w:ascii="Times New Roman" w:hAnsi="Times New Roman" w:cs="Times New Roman"/>
          <w:i/>
          <w:iCs/>
          <w:kern w:val="2"/>
          <w:lang w:val="es-CO" w:eastAsia="en-US"/>
          <w14:ligatures w14:val="standardContextual"/>
        </w:rPr>
        <w:t xml:space="preserve">–, pero que esta costumbre se consideraba desaparecida desde el siglo XVIII (2013, p. 37). </w:t>
      </w:r>
    </w:p>
    <w:p w14:paraId="23EF20F0"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p>
    <w:p w14:paraId="27CF5E99"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En efecto, en Colombia no se tenía certeza sobre la continuación de la práctica dentro de su territorio hasta </w:t>
      </w:r>
      <w:proofErr w:type="gramStart"/>
      <w:r w:rsidRPr="00E426C4">
        <w:rPr>
          <w:rFonts w:ascii="Times New Roman" w:hAnsi="Times New Roman" w:cs="Times New Roman"/>
          <w:i/>
          <w:iCs/>
          <w:kern w:val="2"/>
          <w:lang w:val="es-CO" w:eastAsia="en-US"/>
          <w14:ligatures w14:val="standardContextual"/>
        </w:rPr>
        <w:t>que</w:t>
      </w:r>
      <w:proofErr w:type="gramEnd"/>
      <w:r w:rsidRPr="00E426C4">
        <w:rPr>
          <w:rFonts w:ascii="Times New Roman" w:hAnsi="Times New Roman" w:cs="Times New Roman"/>
          <w:i/>
          <w:iCs/>
          <w:kern w:val="2"/>
          <w:lang w:val="es-CO" w:eastAsia="en-US"/>
          <w14:ligatures w14:val="standardContextual"/>
        </w:rPr>
        <w:t xml:space="preserve"> en el año 2007, cuando se conoció la muerte de una recién nacida perteneciente a la comunidad </w:t>
      </w:r>
      <w:proofErr w:type="spellStart"/>
      <w:r w:rsidRPr="00E426C4">
        <w:rPr>
          <w:rFonts w:ascii="Times New Roman" w:hAnsi="Times New Roman" w:cs="Times New Roman"/>
          <w:i/>
          <w:iCs/>
          <w:kern w:val="2"/>
          <w:lang w:val="es-CO" w:eastAsia="en-US"/>
          <w14:ligatures w14:val="standardContextual"/>
        </w:rPr>
        <w:t>Embera</w:t>
      </w:r>
      <w:proofErr w:type="spellEnd"/>
      <w:r w:rsidRPr="00E426C4">
        <w:rPr>
          <w:rFonts w:ascii="Times New Roman" w:hAnsi="Times New Roman" w:cs="Times New Roman"/>
          <w:i/>
          <w:iCs/>
          <w:kern w:val="2"/>
          <w:lang w:val="es-CO" w:eastAsia="en-US"/>
          <w14:ligatures w14:val="standardContextual"/>
        </w:rPr>
        <w:t xml:space="preserve">. Así lo explica Raquel González (2011): La noticia de la existencia de la ablación entre los emberá causó impacto en la opinión pública nacional, puesto que se consideraba que dicha práctica era exclusiva de algunas culturas africanas y asiáticas. </w:t>
      </w:r>
    </w:p>
    <w:p w14:paraId="596CCB07"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p>
    <w:p w14:paraId="3DB5B544"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No se tenía certeza de su presencia en América, a pesar de que desde la década de los setenta se contaba con registros etnográficos que daban cuenta de su existencia entre los </w:t>
      </w:r>
      <w:proofErr w:type="spellStart"/>
      <w:r w:rsidRPr="00E426C4">
        <w:rPr>
          <w:rFonts w:ascii="Times New Roman" w:hAnsi="Times New Roman" w:cs="Times New Roman"/>
          <w:i/>
          <w:iCs/>
          <w:kern w:val="2"/>
          <w:lang w:val="es-CO" w:eastAsia="en-US"/>
          <w14:ligatures w14:val="standardContextual"/>
        </w:rPr>
        <w:t>emberá</w:t>
      </w:r>
      <w:proofErr w:type="spellEnd"/>
      <w:r w:rsidRPr="00E426C4">
        <w:rPr>
          <w:rFonts w:ascii="Times New Roman" w:hAnsi="Times New Roman" w:cs="Times New Roman"/>
          <w:i/>
          <w:iCs/>
          <w:kern w:val="2"/>
          <w:lang w:val="es-CO" w:eastAsia="en-US"/>
          <w14:ligatures w14:val="standardContextual"/>
        </w:rPr>
        <w:t xml:space="preserve"> </w:t>
      </w:r>
      <w:proofErr w:type="spellStart"/>
      <w:r w:rsidRPr="00E426C4">
        <w:rPr>
          <w:rFonts w:ascii="Times New Roman" w:hAnsi="Times New Roman" w:cs="Times New Roman"/>
          <w:i/>
          <w:iCs/>
          <w:kern w:val="2"/>
          <w:lang w:val="es-CO" w:eastAsia="en-US"/>
          <w14:ligatures w14:val="standardContextual"/>
        </w:rPr>
        <w:t>chamí</w:t>
      </w:r>
      <w:proofErr w:type="spellEnd"/>
      <w:r w:rsidRPr="00E426C4">
        <w:rPr>
          <w:rFonts w:ascii="Times New Roman" w:hAnsi="Times New Roman" w:cs="Times New Roman"/>
          <w:i/>
          <w:iCs/>
          <w:kern w:val="2"/>
          <w:lang w:val="es-CO" w:eastAsia="en-US"/>
          <w14:ligatures w14:val="standardContextual"/>
        </w:rPr>
        <w:t xml:space="preserve">, y de que en la década de los noventa ya se había hablado públicamente </w:t>
      </w:r>
      <w:r w:rsidRPr="00E426C4">
        <w:rPr>
          <w:rFonts w:ascii="Times New Roman" w:hAnsi="Times New Roman" w:cs="Times New Roman"/>
          <w:i/>
          <w:iCs/>
          <w:kern w:val="2"/>
          <w:lang w:val="es-CO" w:eastAsia="en-US"/>
          <w14:ligatures w14:val="standardContextual"/>
        </w:rPr>
        <w:lastRenderedPageBreak/>
        <w:t xml:space="preserve">de esta situación (2011). La comunidad indígena que continúa con la práctica, los </w:t>
      </w:r>
      <w:proofErr w:type="spellStart"/>
      <w:r w:rsidRPr="00E426C4">
        <w:rPr>
          <w:rFonts w:ascii="Times New Roman" w:hAnsi="Times New Roman" w:cs="Times New Roman"/>
          <w:i/>
          <w:iCs/>
          <w:kern w:val="2"/>
          <w:lang w:val="es-CO" w:eastAsia="en-US"/>
          <w14:ligatures w14:val="standardContextual"/>
        </w:rPr>
        <w:t>Embera</w:t>
      </w:r>
      <w:proofErr w:type="spellEnd"/>
      <w:r w:rsidRPr="00E426C4">
        <w:rPr>
          <w:rFonts w:ascii="Times New Roman" w:hAnsi="Times New Roman" w:cs="Times New Roman"/>
          <w:i/>
          <w:iCs/>
          <w:kern w:val="2"/>
          <w:lang w:val="es-CO" w:eastAsia="en-US"/>
          <w14:ligatures w14:val="standardContextual"/>
        </w:rPr>
        <w:t xml:space="preserve"> </w:t>
      </w:r>
      <w:proofErr w:type="spellStart"/>
      <w:r w:rsidRPr="00E426C4">
        <w:rPr>
          <w:rFonts w:ascii="Times New Roman" w:hAnsi="Times New Roman" w:cs="Times New Roman"/>
          <w:i/>
          <w:iCs/>
          <w:kern w:val="2"/>
          <w:lang w:val="es-CO" w:eastAsia="en-US"/>
          <w14:ligatures w14:val="standardContextual"/>
        </w:rPr>
        <w:t>Chamí</w:t>
      </w:r>
      <w:proofErr w:type="spellEnd"/>
      <w:r w:rsidRPr="00E426C4">
        <w:rPr>
          <w:rFonts w:ascii="Times New Roman" w:hAnsi="Times New Roman" w:cs="Times New Roman"/>
          <w:i/>
          <w:iCs/>
          <w:kern w:val="2"/>
          <w:lang w:val="es-CO" w:eastAsia="en-US"/>
          <w14:ligatures w14:val="standardContextual"/>
        </w:rPr>
        <w:t xml:space="preserve">, junto con los </w:t>
      </w:r>
      <w:proofErr w:type="spellStart"/>
      <w:r w:rsidRPr="00E426C4">
        <w:rPr>
          <w:rFonts w:ascii="Times New Roman" w:hAnsi="Times New Roman" w:cs="Times New Roman"/>
          <w:i/>
          <w:iCs/>
          <w:kern w:val="2"/>
          <w:lang w:val="es-CO" w:eastAsia="en-US"/>
          <w14:ligatures w14:val="standardContextual"/>
        </w:rPr>
        <w:t>Embera</w:t>
      </w:r>
      <w:proofErr w:type="spellEnd"/>
      <w:r w:rsidRPr="00E426C4">
        <w:rPr>
          <w:rFonts w:ascii="Times New Roman" w:hAnsi="Times New Roman" w:cs="Times New Roman"/>
          <w:i/>
          <w:iCs/>
          <w:kern w:val="2"/>
          <w:lang w:val="es-CO" w:eastAsia="en-US"/>
          <w14:ligatures w14:val="standardContextual"/>
        </w:rPr>
        <w:t xml:space="preserve"> </w:t>
      </w:r>
      <w:proofErr w:type="spellStart"/>
      <w:r w:rsidRPr="00E426C4">
        <w:rPr>
          <w:rFonts w:ascii="Times New Roman" w:hAnsi="Times New Roman" w:cs="Times New Roman"/>
          <w:i/>
          <w:iCs/>
          <w:kern w:val="2"/>
          <w:lang w:val="es-CO" w:eastAsia="en-US"/>
          <w14:ligatures w14:val="standardContextual"/>
        </w:rPr>
        <w:t>Dobidá</w:t>
      </w:r>
      <w:proofErr w:type="spellEnd"/>
      <w:r w:rsidRPr="00E426C4">
        <w:rPr>
          <w:rFonts w:ascii="Times New Roman" w:hAnsi="Times New Roman" w:cs="Times New Roman"/>
          <w:i/>
          <w:iCs/>
          <w:kern w:val="2"/>
          <w:lang w:val="es-CO" w:eastAsia="en-US"/>
          <w14:ligatures w14:val="standardContextual"/>
        </w:rPr>
        <w:t xml:space="preserve"> y </w:t>
      </w:r>
      <w:proofErr w:type="spellStart"/>
      <w:r w:rsidRPr="00E426C4">
        <w:rPr>
          <w:rFonts w:ascii="Times New Roman" w:hAnsi="Times New Roman" w:cs="Times New Roman"/>
          <w:i/>
          <w:iCs/>
          <w:kern w:val="2"/>
          <w:lang w:val="es-CO" w:eastAsia="en-US"/>
          <w14:ligatures w14:val="standardContextual"/>
        </w:rPr>
        <w:t>Embera</w:t>
      </w:r>
      <w:proofErr w:type="spellEnd"/>
      <w:r w:rsidRPr="00E426C4">
        <w:rPr>
          <w:rFonts w:ascii="Times New Roman" w:hAnsi="Times New Roman" w:cs="Times New Roman"/>
          <w:i/>
          <w:iCs/>
          <w:kern w:val="2"/>
          <w:lang w:val="es-CO" w:eastAsia="en-US"/>
          <w14:ligatures w14:val="standardContextual"/>
        </w:rPr>
        <w:t xml:space="preserve"> </w:t>
      </w:r>
      <w:proofErr w:type="spellStart"/>
      <w:r w:rsidRPr="00E426C4">
        <w:rPr>
          <w:rFonts w:ascii="Times New Roman" w:hAnsi="Times New Roman" w:cs="Times New Roman"/>
          <w:i/>
          <w:iCs/>
          <w:kern w:val="2"/>
          <w:lang w:val="es-CO" w:eastAsia="en-US"/>
          <w14:ligatures w14:val="standardContextual"/>
        </w:rPr>
        <w:t>Eyabida</w:t>
      </w:r>
      <w:proofErr w:type="spellEnd"/>
      <w:r w:rsidRPr="00E426C4">
        <w:rPr>
          <w:rFonts w:ascii="Times New Roman" w:hAnsi="Times New Roman" w:cs="Times New Roman"/>
          <w:i/>
          <w:iCs/>
          <w:kern w:val="2"/>
          <w:lang w:val="es-CO" w:eastAsia="en-US"/>
          <w14:ligatures w14:val="standardContextual"/>
        </w:rPr>
        <w:t xml:space="preserve"> – </w:t>
      </w:r>
      <w:proofErr w:type="spellStart"/>
      <w:r w:rsidRPr="00E426C4">
        <w:rPr>
          <w:rFonts w:ascii="Times New Roman" w:hAnsi="Times New Roman" w:cs="Times New Roman"/>
          <w:i/>
          <w:iCs/>
          <w:kern w:val="2"/>
          <w:lang w:val="es-CO" w:eastAsia="en-US"/>
          <w14:ligatures w14:val="standardContextual"/>
        </w:rPr>
        <w:t>Embera</w:t>
      </w:r>
      <w:proofErr w:type="spellEnd"/>
      <w:r w:rsidRPr="00E426C4">
        <w:rPr>
          <w:rFonts w:ascii="Times New Roman" w:hAnsi="Times New Roman" w:cs="Times New Roman"/>
          <w:i/>
          <w:iCs/>
          <w:kern w:val="2"/>
          <w:lang w:val="es-CO" w:eastAsia="en-US"/>
          <w14:ligatures w14:val="standardContextual"/>
        </w:rPr>
        <w:t xml:space="preserve"> </w:t>
      </w:r>
      <w:proofErr w:type="spellStart"/>
      <w:r w:rsidRPr="00E426C4">
        <w:rPr>
          <w:rFonts w:ascii="Times New Roman" w:hAnsi="Times New Roman" w:cs="Times New Roman"/>
          <w:i/>
          <w:iCs/>
          <w:kern w:val="2"/>
          <w:lang w:val="es-CO" w:eastAsia="en-US"/>
          <w14:ligatures w14:val="standardContextual"/>
        </w:rPr>
        <w:t>Katío</w:t>
      </w:r>
      <w:proofErr w:type="spellEnd"/>
      <w:r w:rsidRPr="00E426C4">
        <w:rPr>
          <w:rFonts w:ascii="Times New Roman" w:hAnsi="Times New Roman" w:cs="Times New Roman"/>
          <w:i/>
          <w:iCs/>
          <w:kern w:val="2"/>
          <w:lang w:val="es-CO" w:eastAsia="en-US"/>
          <w14:ligatures w14:val="standardContextual"/>
        </w:rPr>
        <w:t xml:space="preserve">. </w:t>
      </w:r>
    </w:p>
    <w:p w14:paraId="7EF7D6DA"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p>
    <w:p w14:paraId="04FA71A5"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A su vez, esta población </w:t>
      </w:r>
      <w:proofErr w:type="spellStart"/>
      <w:r w:rsidRPr="00E426C4">
        <w:rPr>
          <w:rFonts w:ascii="Times New Roman" w:hAnsi="Times New Roman" w:cs="Times New Roman"/>
          <w:i/>
          <w:iCs/>
          <w:kern w:val="2"/>
          <w:lang w:val="es-CO" w:eastAsia="en-US"/>
          <w14:ligatures w14:val="standardContextual"/>
        </w:rPr>
        <w:t>Chamí</w:t>
      </w:r>
      <w:proofErr w:type="spellEnd"/>
      <w:r w:rsidRPr="00E426C4">
        <w:rPr>
          <w:rFonts w:ascii="Times New Roman" w:hAnsi="Times New Roman" w:cs="Times New Roman"/>
          <w:i/>
          <w:iCs/>
          <w:kern w:val="2"/>
          <w:lang w:val="es-CO" w:eastAsia="en-US"/>
          <w14:ligatures w14:val="standardContextual"/>
        </w:rPr>
        <w:t xml:space="preserve"> consta de 77.714 habitantes49 (de acuerdo con el censo del DANE en el año 2018), quienes están ubicados en los departamentos de Antioquia, Caldas, Risaralda, Valle del Cauca, Quindío y 49 De acuerdo con el censo anterior del DANE, en el año 2005, la población </w:t>
      </w:r>
      <w:proofErr w:type="spellStart"/>
      <w:r w:rsidRPr="00E426C4">
        <w:rPr>
          <w:rFonts w:ascii="Times New Roman" w:hAnsi="Times New Roman" w:cs="Times New Roman"/>
          <w:i/>
          <w:iCs/>
          <w:kern w:val="2"/>
          <w:lang w:val="es-CO" w:eastAsia="en-US"/>
          <w14:ligatures w14:val="standardContextual"/>
        </w:rPr>
        <w:t>Embera</w:t>
      </w:r>
      <w:proofErr w:type="spellEnd"/>
      <w:r w:rsidRPr="00E426C4">
        <w:rPr>
          <w:rFonts w:ascii="Times New Roman" w:hAnsi="Times New Roman" w:cs="Times New Roman"/>
          <w:i/>
          <w:iCs/>
          <w:kern w:val="2"/>
          <w:lang w:val="es-CO" w:eastAsia="en-US"/>
          <w14:ligatures w14:val="standardContextual"/>
        </w:rPr>
        <w:t xml:space="preserve"> </w:t>
      </w:r>
      <w:proofErr w:type="spellStart"/>
      <w:r w:rsidRPr="00E426C4">
        <w:rPr>
          <w:rFonts w:ascii="Times New Roman" w:hAnsi="Times New Roman" w:cs="Times New Roman"/>
          <w:i/>
          <w:iCs/>
          <w:kern w:val="2"/>
          <w:lang w:val="es-CO" w:eastAsia="en-US"/>
          <w14:ligatures w14:val="standardContextual"/>
        </w:rPr>
        <w:t>Chamí</w:t>
      </w:r>
      <w:proofErr w:type="spellEnd"/>
      <w:r w:rsidRPr="00E426C4">
        <w:rPr>
          <w:rFonts w:ascii="Times New Roman" w:hAnsi="Times New Roman" w:cs="Times New Roman"/>
          <w:i/>
          <w:iCs/>
          <w:kern w:val="2"/>
          <w:lang w:val="es-CO" w:eastAsia="en-US"/>
          <w14:ligatures w14:val="standardContextual"/>
        </w:rPr>
        <w:t xml:space="preserve"> era de 29.094 habitantes. 72 Caquetá; por lo cual, son una población minoritaria dentro del territorio colombiano. </w:t>
      </w:r>
    </w:p>
    <w:p w14:paraId="16E67194"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p>
    <w:p w14:paraId="219FFBCE"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Por otro lado, el Fondo de Población de las Naciones Unidas (UNFPA por sus siglas en inglés) explica la A/MGF dentro de las comunidades indígenas </w:t>
      </w:r>
      <w:proofErr w:type="spellStart"/>
      <w:r w:rsidRPr="00E426C4">
        <w:rPr>
          <w:rFonts w:ascii="Times New Roman" w:hAnsi="Times New Roman" w:cs="Times New Roman"/>
          <w:i/>
          <w:iCs/>
          <w:kern w:val="2"/>
          <w:lang w:val="es-CO" w:eastAsia="en-US"/>
          <w14:ligatures w14:val="standardContextual"/>
        </w:rPr>
        <w:t>Embera</w:t>
      </w:r>
      <w:proofErr w:type="spellEnd"/>
      <w:r w:rsidRPr="00E426C4">
        <w:rPr>
          <w:rFonts w:ascii="Times New Roman" w:hAnsi="Times New Roman" w:cs="Times New Roman"/>
          <w:i/>
          <w:iCs/>
          <w:kern w:val="2"/>
          <w:lang w:val="es-CO" w:eastAsia="en-US"/>
          <w14:ligatures w14:val="standardContextual"/>
        </w:rPr>
        <w:t xml:space="preserve"> de la siguiente forma: La ablación genital guarda una estrecha relación con el lugar subordinado de la mujer dentro de la estructura política y familiar del mundo </w:t>
      </w:r>
      <w:proofErr w:type="spellStart"/>
      <w:r w:rsidRPr="00E426C4">
        <w:rPr>
          <w:rFonts w:ascii="Times New Roman" w:hAnsi="Times New Roman" w:cs="Times New Roman"/>
          <w:i/>
          <w:iCs/>
          <w:kern w:val="2"/>
          <w:lang w:val="es-CO" w:eastAsia="en-US"/>
          <w14:ligatures w14:val="standardContextual"/>
        </w:rPr>
        <w:t>Embera</w:t>
      </w:r>
      <w:proofErr w:type="spellEnd"/>
      <w:r w:rsidRPr="00E426C4">
        <w:rPr>
          <w:rFonts w:ascii="Times New Roman" w:hAnsi="Times New Roman" w:cs="Times New Roman"/>
          <w:i/>
          <w:iCs/>
          <w:kern w:val="2"/>
          <w:lang w:val="es-CO" w:eastAsia="en-US"/>
          <w14:ligatures w14:val="standardContextual"/>
        </w:rPr>
        <w:t xml:space="preserve">, por lo que el proyecto50 no cuestionaba una simple práctica cultural, sino el sistema de relaciones de género [...]La ablación ha sido una práctica socialmente aceptada y valorada entre los emberá e incluso, las mujeres emberá la habían asumido hasta ahora como algo natural. Las mujeres, en particular las adultas mayores, consideran que la ablación hace parte de su orgullo y su ser integral como mujeres, e interpretan la práctica como una “curación” (UNFPA, 2011, pp. 20-21). </w:t>
      </w:r>
    </w:p>
    <w:p w14:paraId="118BDACA"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p>
    <w:p w14:paraId="3D553FC4"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Ahora bien, a pesar de la confirmación de procedimientos de la A/MGF en Colombia, no se tiene registro de las cifras de mujeres que han sido sometidas al procedimiento, ni de la cantidad de prácticas realizadas cada año. Lamentablemente, el Ministerio de Salud (2018) establece que: Hoy la mutilación genital femenina se sigue realizando con el agravante de que no existen registros precisos sobre el número de niñas y mujeres afectadas, ni precisión sobre los lugares donde se realiza, ya que los casos que se conocen son aquellos que causan algún tipo de infección o muerte (2018). </w:t>
      </w:r>
    </w:p>
    <w:p w14:paraId="0A7C0784"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p>
    <w:p w14:paraId="5339071A"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Este Ministerio el 6 de febrero de 2018 emitió el Boletín de Prensa No. 12, debido a la conmemoración del “Día Internacional de tolerancia cero con la mutilación genital femenina”. Así, junto con el Instituto Colombiano de Bienestar Familiar (ICBF), la Gobernación de Risaralda y UNFPA se sumaron a la iniciativa de </w:t>
      </w:r>
      <w:proofErr w:type="gramStart"/>
      <w:r w:rsidRPr="00E426C4">
        <w:rPr>
          <w:rFonts w:ascii="Times New Roman" w:hAnsi="Times New Roman" w:cs="Times New Roman"/>
          <w:i/>
          <w:iCs/>
          <w:kern w:val="2"/>
          <w:lang w:val="es-CO" w:eastAsia="en-US"/>
          <w14:ligatures w14:val="standardContextual"/>
        </w:rPr>
        <w:t>cero tolerancia</w:t>
      </w:r>
      <w:proofErr w:type="gramEnd"/>
      <w:r w:rsidRPr="00E426C4">
        <w:rPr>
          <w:rFonts w:ascii="Times New Roman" w:hAnsi="Times New Roman" w:cs="Times New Roman"/>
          <w:i/>
          <w:iCs/>
          <w:kern w:val="2"/>
          <w:lang w:val="es-CO" w:eastAsia="en-US"/>
          <w14:ligatures w14:val="standardContextual"/>
        </w:rPr>
        <w:t xml:space="preserve"> de esta práctica dentro del país e hicieron un llamado con el objetivo de generar una acción colectiva para terminar con esta práctica. El Ministerio, dentro del Boletín, reconoce la afectación que la práctica de la ablación significa en la salud de las niñas y la cataloga como una violación de derechos humanos; además, rechaza tajantemente su continuidad. </w:t>
      </w:r>
    </w:p>
    <w:p w14:paraId="4DD25A78"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p>
    <w:p w14:paraId="19E58842"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Un dato importante que registra este comunicado se refiere a la enunciación de los motivos que, muy posiblemente, han originado la práctica de la mutilación genital. En efecto, establece que: En nuestro país, a través de un trabajo de reflexión conjunta y coordinado con las comunidades indígenas, se han identificado posibles mitos por los que se realiza la mutilación genital femenina, como evitar el alargamiento del clítoris como un pene, que las mujeres sean infieles y otros relacionadas con el comportamiento sexual (Ministerio de Salud, 2018). En el mismo sentido, González (2011) se refiere a los motivos que existen entre las mujeres </w:t>
      </w:r>
      <w:proofErr w:type="spellStart"/>
      <w:r w:rsidRPr="00E426C4">
        <w:rPr>
          <w:rFonts w:ascii="Times New Roman" w:hAnsi="Times New Roman" w:cs="Times New Roman"/>
          <w:i/>
          <w:iCs/>
          <w:kern w:val="2"/>
          <w:lang w:val="es-CO" w:eastAsia="en-US"/>
          <w14:ligatures w14:val="standardContextual"/>
        </w:rPr>
        <w:t>Embera</w:t>
      </w:r>
      <w:proofErr w:type="spellEnd"/>
      <w:r w:rsidRPr="00E426C4">
        <w:rPr>
          <w:rFonts w:ascii="Times New Roman" w:hAnsi="Times New Roman" w:cs="Times New Roman"/>
          <w:i/>
          <w:iCs/>
          <w:kern w:val="2"/>
          <w:lang w:val="es-CO" w:eastAsia="en-US"/>
          <w14:ligatures w14:val="standardContextual"/>
        </w:rPr>
        <w:t xml:space="preserve"> para justificar este procedimiento. Esta </w:t>
      </w:r>
      <w:r w:rsidRPr="00E426C4">
        <w:rPr>
          <w:rFonts w:ascii="Times New Roman" w:hAnsi="Times New Roman" w:cs="Times New Roman"/>
          <w:i/>
          <w:iCs/>
          <w:kern w:val="2"/>
          <w:lang w:val="es-CO" w:eastAsia="en-US"/>
          <w14:ligatures w14:val="standardContextual"/>
        </w:rPr>
        <w:lastRenderedPageBreak/>
        <w:t xml:space="preserve">autora explica que los motivos </w:t>
      </w:r>
      <w:proofErr w:type="spellStart"/>
      <w:r w:rsidRPr="00E426C4">
        <w:rPr>
          <w:rFonts w:ascii="Times New Roman" w:hAnsi="Times New Roman" w:cs="Times New Roman"/>
          <w:i/>
          <w:iCs/>
          <w:kern w:val="2"/>
          <w:lang w:val="es-CO" w:eastAsia="en-US"/>
          <w14:ligatures w14:val="standardContextual"/>
        </w:rPr>
        <w:t>se</w:t>
      </w:r>
      <w:proofErr w:type="spellEnd"/>
      <w:r w:rsidRPr="00E426C4">
        <w:rPr>
          <w:rFonts w:ascii="Times New Roman" w:hAnsi="Times New Roman" w:cs="Times New Roman"/>
          <w:i/>
          <w:iCs/>
          <w:kern w:val="2"/>
          <w:lang w:val="es-CO" w:eastAsia="en-US"/>
          <w14:ligatures w14:val="standardContextual"/>
        </w:rPr>
        <w:t xml:space="preserve"> 50 Proyecto </w:t>
      </w:r>
      <w:proofErr w:type="spellStart"/>
      <w:r w:rsidRPr="00E426C4">
        <w:rPr>
          <w:rFonts w:ascii="Times New Roman" w:hAnsi="Times New Roman" w:cs="Times New Roman"/>
          <w:i/>
          <w:iCs/>
          <w:kern w:val="2"/>
          <w:lang w:val="es-CO" w:eastAsia="en-US"/>
          <w14:ligatures w14:val="standardContextual"/>
        </w:rPr>
        <w:t>Embera</w:t>
      </w:r>
      <w:proofErr w:type="spellEnd"/>
      <w:r w:rsidRPr="00E426C4">
        <w:rPr>
          <w:rFonts w:ascii="Times New Roman" w:hAnsi="Times New Roman" w:cs="Times New Roman"/>
          <w:i/>
          <w:iCs/>
          <w:kern w:val="2"/>
          <w:lang w:val="es-CO" w:eastAsia="en-US"/>
          <w14:ligatures w14:val="standardContextual"/>
        </w:rPr>
        <w:t xml:space="preserve"> - </w:t>
      </w:r>
      <w:proofErr w:type="spellStart"/>
      <w:r w:rsidRPr="00E426C4">
        <w:rPr>
          <w:rFonts w:ascii="Times New Roman" w:hAnsi="Times New Roman" w:cs="Times New Roman"/>
          <w:i/>
          <w:iCs/>
          <w:kern w:val="2"/>
          <w:lang w:val="es-CO" w:eastAsia="en-US"/>
          <w14:ligatures w14:val="standardContextual"/>
        </w:rPr>
        <w:t>Wera</w:t>
      </w:r>
      <w:proofErr w:type="spellEnd"/>
      <w:r w:rsidRPr="00E426C4">
        <w:rPr>
          <w:rFonts w:ascii="Times New Roman" w:hAnsi="Times New Roman" w:cs="Times New Roman"/>
          <w:i/>
          <w:iCs/>
          <w:kern w:val="2"/>
          <w:lang w:val="es-CO" w:eastAsia="en-US"/>
          <w14:ligatures w14:val="standardContextual"/>
        </w:rPr>
        <w:t xml:space="preserve">: Una experiencia de cambio cultural para la eliminación de la ablación genital femenina en Colombia – América Latina. </w:t>
      </w:r>
    </w:p>
    <w:p w14:paraId="15A91D94"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p>
    <w:p w14:paraId="13E062D4"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Este proyecto fue elaborado por el Fondo de Población de las Naciones Unidas y opera en Colombia desde el 2007. 73 han recopilado de las narraciones de las mujeres, y </w:t>
      </w:r>
      <w:proofErr w:type="gramStart"/>
      <w:r w:rsidRPr="00E426C4">
        <w:rPr>
          <w:rFonts w:ascii="Times New Roman" w:hAnsi="Times New Roman" w:cs="Times New Roman"/>
          <w:i/>
          <w:iCs/>
          <w:kern w:val="2"/>
          <w:lang w:val="es-CO" w:eastAsia="en-US"/>
          <w14:ligatures w14:val="standardContextual"/>
        </w:rPr>
        <w:t>que</w:t>
      </w:r>
      <w:proofErr w:type="gramEnd"/>
      <w:r w:rsidRPr="00E426C4">
        <w:rPr>
          <w:rFonts w:ascii="Times New Roman" w:hAnsi="Times New Roman" w:cs="Times New Roman"/>
          <w:i/>
          <w:iCs/>
          <w:kern w:val="2"/>
          <w:lang w:val="es-CO" w:eastAsia="en-US"/>
          <w14:ligatures w14:val="standardContextual"/>
        </w:rPr>
        <w:t xml:space="preserve"> por lo mismo, las razones pueden ser comunes a todas o pueden ser relatadas solo por algunas de ellas. No obstante, González determina que hay un punto de partida para entender lo que motiva a la realización del procedimiento: “idea según la cual el clítoris es normal cuando tiene un tamaño pequeño, pero cuando sobresale constituye un defecto de nacimiento, que si no se corrige a tiempo conllevará graves consecuencias para la mujer, su familia y su entorno social” (2011). </w:t>
      </w:r>
    </w:p>
    <w:p w14:paraId="223C0B00"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p>
    <w:p w14:paraId="747ECA60"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No obstante, la misma comunidad </w:t>
      </w:r>
      <w:proofErr w:type="spellStart"/>
      <w:r w:rsidRPr="00E426C4">
        <w:rPr>
          <w:rFonts w:ascii="Times New Roman" w:hAnsi="Times New Roman" w:cs="Times New Roman"/>
          <w:i/>
          <w:iCs/>
          <w:kern w:val="2"/>
          <w:lang w:val="es-CO" w:eastAsia="en-US"/>
          <w14:ligatures w14:val="standardContextual"/>
        </w:rPr>
        <w:t>Embera</w:t>
      </w:r>
      <w:proofErr w:type="spellEnd"/>
      <w:r w:rsidRPr="00E426C4">
        <w:rPr>
          <w:rFonts w:ascii="Times New Roman" w:hAnsi="Times New Roman" w:cs="Times New Roman"/>
          <w:i/>
          <w:iCs/>
          <w:kern w:val="2"/>
          <w:lang w:val="es-CO" w:eastAsia="en-US"/>
          <w14:ligatures w14:val="standardContextual"/>
        </w:rPr>
        <w:t xml:space="preserve"> </w:t>
      </w:r>
      <w:proofErr w:type="spellStart"/>
      <w:r w:rsidRPr="00E426C4">
        <w:rPr>
          <w:rFonts w:ascii="Times New Roman" w:hAnsi="Times New Roman" w:cs="Times New Roman"/>
          <w:i/>
          <w:iCs/>
          <w:kern w:val="2"/>
          <w:lang w:val="es-CO" w:eastAsia="en-US"/>
          <w14:ligatures w14:val="standardContextual"/>
        </w:rPr>
        <w:t>Chamí</w:t>
      </w:r>
      <w:proofErr w:type="spellEnd"/>
      <w:r w:rsidRPr="00E426C4">
        <w:rPr>
          <w:rFonts w:ascii="Times New Roman" w:hAnsi="Times New Roman" w:cs="Times New Roman"/>
          <w:i/>
          <w:iCs/>
          <w:kern w:val="2"/>
          <w:lang w:val="es-CO" w:eastAsia="en-US"/>
          <w14:ligatures w14:val="standardContextual"/>
        </w:rPr>
        <w:t xml:space="preserve"> ha sido partícipe en el proceso de cambio que tiene como finalidad la erradicación de la A/MGF. Así, un comunicado de la Organización Nacional Indígena de Colombia (ONIC) del 6 de febrero de 2019 expresa los esfuerzos realizados por las mismas comunidades indígenas para terminar con la práctica en Colombia: la firma de dos acuerdos en 2014 y uno en 2017 por parte de las Autoridades de la Nación </w:t>
      </w:r>
      <w:proofErr w:type="spellStart"/>
      <w:r w:rsidRPr="00E426C4">
        <w:rPr>
          <w:rFonts w:ascii="Times New Roman" w:hAnsi="Times New Roman" w:cs="Times New Roman"/>
          <w:i/>
          <w:iCs/>
          <w:kern w:val="2"/>
          <w:lang w:val="es-CO" w:eastAsia="en-US"/>
          <w14:ligatures w14:val="standardContextual"/>
        </w:rPr>
        <w:t>Embera</w:t>
      </w:r>
      <w:proofErr w:type="spellEnd"/>
      <w:r w:rsidRPr="00E426C4">
        <w:rPr>
          <w:rFonts w:ascii="Times New Roman" w:hAnsi="Times New Roman" w:cs="Times New Roman"/>
          <w:i/>
          <w:iCs/>
          <w:kern w:val="2"/>
          <w:lang w:val="es-CO" w:eastAsia="en-US"/>
          <w14:ligatures w14:val="standardContextual"/>
        </w:rPr>
        <w:t xml:space="preserve"> y la ONIC, que tienen por objetivo el compromiso de poner fin a la mutilación genital femenina y que se hacen bajo un principio de que la cultura debe generar vida y no muerte (ONIC, 2019</w:t>
      </w:r>
    </w:p>
    <w:p w14:paraId="3F26BABD" w14:textId="77777777" w:rsidR="00E426C4" w:rsidRPr="00E426C4" w:rsidRDefault="00E426C4" w:rsidP="00E426C4">
      <w:pPr>
        <w:widowControl/>
        <w:jc w:val="both"/>
        <w:rPr>
          <w:rFonts w:ascii="Times New Roman" w:hAnsi="Times New Roman" w:cs="Times New Roman"/>
          <w:i/>
          <w:iCs/>
          <w:kern w:val="2"/>
          <w:lang w:val="es-CO" w:eastAsia="en-US"/>
          <w14:ligatures w14:val="standardContextual"/>
        </w:rPr>
      </w:pPr>
    </w:p>
    <w:p w14:paraId="4BD6B3DC"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En el mismo comunicado, se expone que hay un proyecto denominado </w:t>
      </w:r>
      <w:proofErr w:type="spellStart"/>
      <w:r w:rsidRPr="00E426C4">
        <w:rPr>
          <w:rFonts w:ascii="Times New Roman" w:hAnsi="Times New Roman" w:cs="Times New Roman"/>
          <w:i/>
          <w:iCs/>
          <w:kern w:val="2"/>
          <w:lang w:val="es-CO" w:eastAsia="en-US"/>
          <w14:ligatures w14:val="standardContextual"/>
        </w:rPr>
        <w:t>Embera</w:t>
      </w:r>
      <w:proofErr w:type="spellEnd"/>
      <w:r w:rsidRPr="00E426C4">
        <w:rPr>
          <w:rFonts w:ascii="Times New Roman" w:hAnsi="Times New Roman" w:cs="Times New Roman"/>
          <w:i/>
          <w:iCs/>
          <w:kern w:val="2"/>
          <w:lang w:val="es-CO" w:eastAsia="en-US"/>
          <w14:ligatures w14:val="standardContextual"/>
        </w:rPr>
        <w:t xml:space="preserve"> </w:t>
      </w:r>
      <w:proofErr w:type="spellStart"/>
      <w:r w:rsidRPr="00E426C4">
        <w:rPr>
          <w:rFonts w:ascii="Times New Roman" w:hAnsi="Times New Roman" w:cs="Times New Roman"/>
          <w:i/>
          <w:iCs/>
          <w:kern w:val="2"/>
          <w:lang w:val="es-CO" w:eastAsia="en-US"/>
          <w14:ligatures w14:val="standardContextual"/>
        </w:rPr>
        <w:t>Wera</w:t>
      </w:r>
      <w:proofErr w:type="spellEnd"/>
      <w:r w:rsidRPr="00E426C4">
        <w:rPr>
          <w:rFonts w:ascii="Times New Roman" w:hAnsi="Times New Roman" w:cs="Times New Roman"/>
          <w:i/>
          <w:iCs/>
          <w:kern w:val="2"/>
          <w:lang w:val="es-CO" w:eastAsia="en-US"/>
          <w14:ligatures w14:val="standardContextual"/>
        </w:rPr>
        <w:t xml:space="preserve"> (Mujer </w:t>
      </w:r>
      <w:proofErr w:type="spellStart"/>
      <w:r w:rsidRPr="00E426C4">
        <w:rPr>
          <w:rFonts w:ascii="Times New Roman" w:hAnsi="Times New Roman" w:cs="Times New Roman"/>
          <w:i/>
          <w:iCs/>
          <w:kern w:val="2"/>
          <w:lang w:val="es-CO" w:eastAsia="en-US"/>
          <w14:ligatures w14:val="standardContextual"/>
        </w:rPr>
        <w:t>Embera</w:t>
      </w:r>
      <w:proofErr w:type="spellEnd"/>
      <w:r w:rsidRPr="00E426C4">
        <w:rPr>
          <w:rFonts w:ascii="Times New Roman" w:hAnsi="Times New Roman" w:cs="Times New Roman"/>
          <w:i/>
          <w:iCs/>
          <w:kern w:val="2"/>
          <w:lang w:val="es-CO" w:eastAsia="en-US"/>
          <w14:ligatures w14:val="standardContextual"/>
        </w:rPr>
        <w:t xml:space="preserve">) fundado desde el año 2007, en el cual trabajan conjuntamente las comunidades indígenas, el ICBF, ONIC, el UNFPA y autoridades del Estado colombiano en la generación de espacios de reflexión sobre los derechos de las mujeres para poder suscitar un entendimiento y una posterior transformación en la práctica de la A/MGF. A su vez, en este comunicado, la ONIC destaca el mensaje de la Consejera de Mujer, Familia y Generación de esta organización, </w:t>
      </w:r>
      <w:proofErr w:type="spellStart"/>
      <w:r w:rsidRPr="00E426C4">
        <w:rPr>
          <w:rFonts w:ascii="Times New Roman" w:hAnsi="Times New Roman" w:cs="Times New Roman"/>
          <w:i/>
          <w:iCs/>
          <w:kern w:val="2"/>
          <w:lang w:val="es-CO" w:eastAsia="en-US"/>
          <w14:ligatures w14:val="standardContextual"/>
        </w:rPr>
        <w:t>Lejandrina</w:t>
      </w:r>
      <w:proofErr w:type="spellEnd"/>
      <w:r w:rsidRPr="00E426C4">
        <w:rPr>
          <w:rFonts w:ascii="Times New Roman" w:hAnsi="Times New Roman" w:cs="Times New Roman"/>
          <w:i/>
          <w:iCs/>
          <w:kern w:val="2"/>
          <w:lang w:val="es-CO" w:eastAsia="en-US"/>
          <w14:ligatures w14:val="standardContextual"/>
        </w:rPr>
        <w:t xml:space="preserve"> </w:t>
      </w:r>
      <w:proofErr w:type="spellStart"/>
      <w:r w:rsidRPr="00E426C4">
        <w:rPr>
          <w:rFonts w:ascii="Times New Roman" w:hAnsi="Times New Roman" w:cs="Times New Roman"/>
          <w:i/>
          <w:iCs/>
          <w:kern w:val="2"/>
          <w:lang w:val="es-CO" w:eastAsia="en-US"/>
          <w14:ligatures w14:val="standardContextual"/>
        </w:rPr>
        <w:t>Pator</w:t>
      </w:r>
      <w:proofErr w:type="spellEnd"/>
      <w:r w:rsidRPr="00E426C4">
        <w:rPr>
          <w:rFonts w:ascii="Times New Roman" w:hAnsi="Times New Roman" w:cs="Times New Roman"/>
          <w:i/>
          <w:iCs/>
          <w:kern w:val="2"/>
          <w:lang w:val="es-CO" w:eastAsia="en-US"/>
          <w14:ligatures w14:val="standardContextual"/>
        </w:rPr>
        <w:t xml:space="preserve"> Gil, sobre las estrategias que se deben utilizar para la erradicación de la práctica. Así, reconoce que se debe trabajar desde la espiritualidad y tener un diálogo con la comunidad desde un lenguaje y un saber propio de esta, para poder minimizar el impacto. </w:t>
      </w:r>
    </w:p>
    <w:p w14:paraId="06BED88A"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p>
    <w:p w14:paraId="6285E2E6"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Un año después, el 6 de febrero de 2020 se expidió un comunicado de prensa conjunto entre la ONIC, UNFPA y UNICEF reconociendo la necesidad de poner fin a la práctica de la ablación y reconociendo el trabajo directo que se ha hecho en la inclusión del pueblo </w:t>
      </w:r>
      <w:proofErr w:type="spellStart"/>
      <w:r w:rsidRPr="00E426C4">
        <w:rPr>
          <w:rFonts w:ascii="Times New Roman" w:hAnsi="Times New Roman" w:cs="Times New Roman"/>
          <w:i/>
          <w:iCs/>
          <w:kern w:val="2"/>
          <w:lang w:val="es-CO" w:eastAsia="en-US"/>
          <w14:ligatures w14:val="standardContextual"/>
        </w:rPr>
        <w:t>Embera</w:t>
      </w:r>
      <w:proofErr w:type="spellEnd"/>
      <w:r w:rsidRPr="00E426C4">
        <w:rPr>
          <w:rFonts w:ascii="Times New Roman" w:hAnsi="Times New Roman" w:cs="Times New Roman"/>
          <w:i/>
          <w:iCs/>
          <w:kern w:val="2"/>
          <w:lang w:val="es-CO" w:eastAsia="en-US"/>
          <w14:ligatures w14:val="standardContextual"/>
        </w:rPr>
        <w:t xml:space="preserve"> dentro del propósito de la eliminación de la ablación Todo lo que se ha hecho es muy importante porque muchas veces, más que todo mujeres jóvenes, después de los talleres de concientización sobre el tema decían que no estaban de acuerdo con que se les hiciera eso a las niñas. Pero lo más difícil ha sido concientizar a las mayoras sobre la importancia de eliminar esta práctica porque sus creencias sobre este órgano genital (clítoris) de las niñas están muy arraigadas (Zapata, s.f.). 74 Por otro lado, un actor importante en la lucha contra la ablación en Colombia es UNFPA, el cual trabaja en Colombia desde 1974 y desde entonces ha trabajado en impulsar las capacidades del gobierno en torno al manejo de la población, salud reproductiva y equidad de género. </w:t>
      </w:r>
    </w:p>
    <w:p w14:paraId="455E774F"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p>
    <w:p w14:paraId="5413DECD"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lastRenderedPageBreak/>
        <w:t xml:space="preserve">Este Fondo realizó una línea del tiempo con el objetivo de ilustrar acontecimientos importantes en torno a la mutilación genital femenina alrededor del mundo. Particularmente en Colombia, explican que en 2007 hubo denuncias sobre unos casos de unas niñas </w:t>
      </w:r>
      <w:proofErr w:type="spellStart"/>
      <w:r w:rsidRPr="00E426C4">
        <w:rPr>
          <w:rFonts w:ascii="Times New Roman" w:hAnsi="Times New Roman" w:cs="Times New Roman"/>
          <w:i/>
          <w:iCs/>
          <w:kern w:val="2"/>
          <w:lang w:val="es-CO" w:eastAsia="en-US"/>
          <w14:ligatures w14:val="standardContextual"/>
        </w:rPr>
        <w:t>Embera</w:t>
      </w:r>
      <w:proofErr w:type="spellEnd"/>
      <w:r w:rsidRPr="00E426C4">
        <w:rPr>
          <w:rFonts w:ascii="Times New Roman" w:hAnsi="Times New Roman" w:cs="Times New Roman"/>
          <w:i/>
          <w:iCs/>
          <w:kern w:val="2"/>
          <w:lang w:val="es-CO" w:eastAsia="en-US"/>
          <w14:ligatures w14:val="standardContextual"/>
        </w:rPr>
        <w:t xml:space="preserve"> a quienes la práctica de la ablación les causó la muerte, hecho que generó discusiones en torno a la eliminación de la práctica. En este sentido, en el mismo año se conformó una Mesa Interinstitucional Central conformada por diferentes entidades colombianas, a saber, la Defensoría del Pueblo, el ICBF, la Dirección de Asuntos Indígenas del Ministerio del Interior y de Justicia, la División de Asuntos Étnicos del Ministerio de la Protección Social y la Procuraduría General de la Nación con el objetivo de generar acciones encaminadas a eliminar la A/MGF en Colombia (UNFPA, 2019). </w:t>
      </w:r>
    </w:p>
    <w:p w14:paraId="195734CB"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p>
    <w:p w14:paraId="41910CD0"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A su vez, en esta línea, el UNFPA relata que en el año 2009 el Consejo Regional Indígena de Risaralda emitió la Resolución 1, ordenando erradicar la práctica de la ablación femenina. Posteriormente, en el año 2012 se realizó en Colombia una Cumbre que tenía como agenda la discusión de la eliminación de todas las prácticas nocivas para la salud y la vida de las mujeres indígenas, incluyendo la mutilación genital; en esta Cumbre participaron autoridades del Estado y autoridades y representantes de los pueblos indígenas. </w:t>
      </w:r>
    </w:p>
    <w:p w14:paraId="74A562D3"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p>
    <w:p w14:paraId="07CD1BA3"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proofErr w:type="gramStart"/>
      <w:r w:rsidRPr="00E426C4">
        <w:rPr>
          <w:rFonts w:ascii="Times New Roman" w:hAnsi="Times New Roman" w:cs="Times New Roman"/>
          <w:i/>
          <w:iCs/>
          <w:kern w:val="2"/>
          <w:lang w:val="es-CO" w:eastAsia="en-US"/>
          <w14:ligatures w14:val="standardContextual"/>
        </w:rPr>
        <w:t>Asimismo</w:t>
      </w:r>
      <w:proofErr w:type="gramEnd"/>
      <w:r w:rsidRPr="00E426C4">
        <w:rPr>
          <w:rFonts w:ascii="Times New Roman" w:hAnsi="Times New Roman" w:cs="Times New Roman"/>
          <w:i/>
          <w:iCs/>
          <w:kern w:val="2"/>
          <w:lang w:val="es-CO" w:eastAsia="en-US"/>
          <w14:ligatures w14:val="standardContextual"/>
        </w:rPr>
        <w:t xml:space="preserve"> en el 2014, hubo una alianza entre el UNFPA y la ONIC para fortalecer la Consejería de Mujer, Familia y Generación de esta última con el objetivo de eliminar la práctica de la ablación. Finalmente, es importante rescatar de esta línea de tiempo las acciones originadas en dos departamentos de Colombia en el 2017: en el Valle del Cauca inauguraron un comité de A/MGF dentro de la Mesa Departamental de erradicación de violencia contra la mujer y en Risaralda la Secretaría de Salud implementó un proyecto dirigido a las comunidades </w:t>
      </w:r>
      <w:proofErr w:type="spellStart"/>
      <w:r w:rsidRPr="00E426C4">
        <w:rPr>
          <w:rFonts w:ascii="Times New Roman" w:hAnsi="Times New Roman" w:cs="Times New Roman"/>
          <w:i/>
          <w:iCs/>
          <w:kern w:val="2"/>
          <w:lang w:val="es-CO" w:eastAsia="en-US"/>
          <w14:ligatures w14:val="standardContextual"/>
        </w:rPr>
        <w:t>Embera</w:t>
      </w:r>
      <w:proofErr w:type="spellEnd"/>
      <w:r w:rsidRPr="00E426C4">
        <w:rPr>
          <w:rFonts w:ascii="Times New Roman" w:hAnsi="Times New Roman" w:cs="Times New Roman"/>
          <w:i/>
          <w:iCs/>
          <w:kern w:val="2"/>
          <w:lang w:val="es-CO" w:eastAsia="en-US"/>
          <w14:ligatures w14:val="standardContextual"/>
        </w:rPr>
        <w:t xml:space="preserve"> </w:t>
      </w:r>
      <w:proofErr w:type="spellStart"/>
      <w:r w:rsidRPr="00E426C4">
        <w:rPr>
          <w:rFonts w:ascii="Times New Roman" w:hAnsi="Times New Roman" w:cs="Times New Roman"/>
          <w:i/>
          <w:iCs/>
          <w:kern w:val="2"/>
          <w:lang w:val="es-CO" w:eastAsia="en-US"/>
          <w14:ligatures w14:val="standardContextual"/>
        </w:rPr>
        <w:t>Chamí</w:t>
      </w:r>
      <w:proofErr w:type="spellEnd"/>
      <w:r w:rsidRPr="00E426C4">
        <w:rPr>
          <w:rFonts w:ascii="Times New Roman" w:hAnsi="Times New Roman" w:cs="Times New Roman"/>
          <w:i/>
          <w:iCs/>
          <w:kern w:val="2"/>
          <w:lang w:val="es-CO" w:eastAsia="en-US"/>
          <w14:ligatures w14:val="standardContextual"/>
        </w:rPr>
        <w:t xml:space="preserve"> y </w:t>
      </w:r>
      <w:proofErr w:type="spellStart"/>
      <w:r w:rsidRPr="00E426C4">
        <w:rPr>
          <w:rFonts w:ascii="Times New Roman" w:hAnsi="Times New Roman" w:cs="Times New Roman"/>
          <w:i/>
          <w:iCs/>
          <w:kern w:val="2"/>
          <w:lang w:val="es-CO" w:eastAsia="en-US"/>
          <w14:ligatures w14:val="standardContextual"/>
        </w:rPr>
        <w:t>Embera</w:t>
      </w:r>
      <w:proofErr w:type="spellEnd"/>
      <w:r w:rsidRPr="00E426C4">
        <w:rPr>
          <w:rFonts w:ascii="Times New Roman" w:hAnsi="Times New Roman" w:cs="Times New Roman"/>
          <w:i/>
          <w:iCs/>
          <w:kern w:val="2"/>
          <w:lang w:val="es-CO" w:eastAsia="en-US"/>
          <w14:ligatures w14:val="standardContextual"/>
        </w:rPr>
        <w:t xml:space="preserve"> </w:t>
      </w:r>
      <w:proofErr w:type="spellStart"/>
      <w:r w:rsidRPr="00E426C4">
        <w:rPr>
          <w:rFonts w:ascii="Times New Roman" w:hAnsi="Times New Roman" w:cs="Times New Roman"/>
          <w:i/>
          <w:iCs/>
          <w:kern w:val="2"/>
          <w:lang w:val="es-CO" w:eastAsia="en-US"/>
          <w14:ligatures w14:val="standardContextual"/>
        </w:rPr>
        <w:t>Katío</w:t>
      </w:r>
      <w:proofErr w:type="spellEnd"/>
      <w:r w:rsidRPr="00E426C4">
        <w:rPr>
          <w:rFonts w:ascii="Times New Roman" w:hAnsi="Times New Roman" w:cs="Times New Roman"/>
          <w:i/>
          <w:iCs/>
          <w:kern w:val="2"/>
          <w:lang w:val="es-CO" w:eastAsia="en-US"/>
          <w14:ligatures w14:val="standardContextual"/>
        </w:rPr>
        <w:t xml:space="preserve"> sobre acciones de educación en salud, que tenía como uno de sus objetivos principales la prevención de este procedimiento en las mujeres (UNFPA, 2019). </w:t>
      </w:r>
    </w:p>
    <w:p w14:paraId="62A9EDBE"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p>
    <w:p w14:paraId="2C126E56"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 xml:space="preserve">A su vez, el gobierno colombiano, junto con todos los Estados miembros de las Naciones Unidas, aprobó la Agenda 2030 para el Desarrollo Sostenible de la ONU, la cual consta de 17 propósitos que se comprometen a cumplir. </w:t>
      </w:r>
    </w:p>
    <w:p w14:paraId="5A1FAAB0"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p>
    <w:p w14:paraId="0BE40CCA" w14:textId="77777777" w:rsidR="00E426C4" w:rsidRPr="00E426C4" w:rsidRDefault="00E426C4" w:rsidP="00E426C4">
      <w:pPr>
        <w:widowControl/>
        <w:ind w:left="567" w:right="851"/>
        <w:jc w:val="both"/>
        <w:rPr>
          <w:rFonts w:ascii="Times New Roman" w:hAnsi="Times New Roman" w:cs="Times New Roman"/>
          <w:i/>
          <w:iCs/>
          <w:kern w:val="2"/>
          <w:lang w:val="es-CO" w:eastAsia="en-US"/>
          <w14:ligatures w14:val="standardContextual"/>
        </w:rPr>
      </w:pPr>
      <w:r w:rsidRPr="00E426C4">
        <w:rPr>
          <w:rFonts w:ascii="Times New Roman" w:hAnsi="Times New Roman" w:cs="Times New Roman"/>
          <w:i/>
          <w:iCs/>
          <w:kern w:val="2"/>
          <w:lang w:val="es-CO" w:eastAsia="en-US"/>
          <w14:ligatures w14:val="standardContextual"/>
        </w:rPr>
        <w:t>El objetivo No. 7 se denomina “igualdad de género” y establece como una de las finalidades eliminar todas las prácticas nocivas, incluyendo la A/MGF; por lo tanto, Colombia tiene como propósito para el año 2030 la eliminación de esta práctica (Naciones Unidas, 2015)</w:t>
      </w:r>
    </w:p>
    <w:p w14:paraId="46CB559C" w14:textId="77777777" w:rsidR="00E426C4" w:rsidRPr="00E426C4" w:rsidRDefault="00E426C4" w:rsidP="00E426C4">
      <w:pPr>
        <w:widowControl/>
        <w:ind w:left="567" w:right="851"/>
        <w:jc w:val="both"/>
        <w:rPr>
          <w:rFonts w:cs="Times New Roman"/>
          <w:i/>
          <w:iCs/>
          <w:kern w:val="2"/>
          <w:lang w:val="es-CO" w:eastAsia="en-US"/>
          <w14:ligatures w14:val="standardContextual"/>
        </w:rPr>
      </w:pPr>
    </w:p>
    <w:p w14:paraId="01A00C4E" w14:textId="77777777" w:rsidR="00E426C4" w:rsidRPr="00E426C4" w:rsidRDefault="00E426C4" w:rsidP="00E426C4">
      <w:pPr>
        <w:widowControl/>
        <w:ind w:left="567" w:right="851"/>
        <w:jc w:val="both"/>
        <w:rPr>
          <w:rFonts w:cs="Times New Roman"/>
          <w:i/>
          <w:iCs/>
          <w:kern w:val="2"/>
          <w:lang w:val="es-CO" w:eastAsia="en-US"/>
          <w14:ligatures w14:val="standardContextual"/>
        </w:rPr>
      </w:pPr>
    </w:p>
    <w:p w14:paraId="7404BC83" w14:textId="77777777" w:rsidR="00E426C4" w:rsidRPr="00E426C4" w:rsidRDefault="00E426C4" w:rsidP="00E426C4">
      <w:pPr>
        <w:widowControl/>
        <w:ind w:left="567" w:right="851"/>
        <w:jc w:val="both"/>
        <w:rPr>
          <w:rFonts w:cs="Times New Roman"/>
          <w:i/>
          <w:iCs/>
          <w:kern w:val="2"/>
          <w:lang w:val="es-CO" w:eastAsia="en-US"/>
          <w14:ligatures w14:val="standardContextual"/>
        </w:rPr>
      </w:pPr>
    </w:p>
    <w:p w14:paraId="74C0E5EC" w14:textId="77777777" w:rsidR="00E426C4" w:rsidRPr="00E426C4" w:rsidRDefault="00E426C4" w:rsidP="00E426C4">
      <w:pPr>
        <w:widowControl/>
        <w:ind w:left="567" w:right="851"/>
        <w:jc w:val="both"/>
        <w:rPr>
          <w:rFonts w:cs="Times New Roman"/>
          <w:i/>
          <w:iCs/>
          <w:kern w:val="2"/>
          <w:lang w:val="es-CO" w:eastAsia="en-US"/>
          <w14:ligatures w14:val="standardContextual"/>
        </w:rPr>
      </w:pPr>
    </w:p>
    <w:p w14:paraId="27418F8A" w14:textId="77777777" w:rsidR="00E426C4" w:rsidRPr="00E426C4" w:rsidRDefault="00E426C4" w:rsidP="00E426C4">
      <w:pPr>
        <w:widowControl/>
        <w:ind w:left="567" w:right="851"/>
        <w:jc w:val="both"/>
        <w:rPr>
          <w:rFonts w:cs="Times New Roman"/>
          <w:i/>
          <w:iCs/>
          <w:kern w:val="2"/>
          <w:lang w:val="es-CO" w:eastAsia="en-US"/>
          <w14:ligatures w14:val="standardContextual"/>
        </w:rPr>
      </w:pPr>
    </w:p>
    <w:p w14:paraId="192C5DE7" w14:textId="77777777" w:rsidR="00E426C4" w:rsidRPr="00E426C4" w:rsidRDefault="00E426C4" w:rsidP="00E426C4">
      <w:pPr>
        <w:widowControl/>
        <w:ind w:left="567" w:right="851"/>
        <w:jc w:val="both"/>
        <w:rPr>
          <w:rFonts w:cs="Times New Roman"/>
          <w:i/>
          <w:iCs/>
          <w:kern w:val="2"/>
          <w:lang w:val="es-CO" w:eastAsia="en-US"/>
          <w14:ligatures w14:val="standardContextual"/>
        </w:rPr>
      </w:pPr>
    </w:p>
    <w:p w14:paraId="561B264E" w14:textId="77777777" w:rsidR="00E426C4" w:rsidRPr="00E426C4" w:rsidRDefault="00E426C4" w:rsidP="00E426C4">
      <w:pPr>
        <w:widowControl/>
        <w:ind w:left="567" w:right="851"/>
        <w:jc w:val="both"/>
        <w:rPr>
          <w:rFonts w:cs="Times New Roman"/>
          <w:i/>
          <w:iCs/>
          <w:kern w:val="2"/>
          <w:lang w:val="es-CO" w:eastAsia="en-US"/>
          <w14:ligatures w14:val="standardContextual"/>
        </w:rPr>
      </w:pPr>
    </w:p>
    <w:p w14:paraId="6A9971CC" w14:textId="77777777" w:rsidR="00E426C4" w:rsidRPr="00E426C4" w:rsidRDefault="00E426C4" w:rsidP="00E426C4">
      <w:pPr>
        <w:widowControl/>
        <w:ind w:left="567" w:right="851"/>
        <w:jc w:val="both"/>
        <w:rPr>
          <w:rFonts w:cs="Times New Roman"/>
          <w:i/>
          <w:iCs/>
          <w:kern w:val="2"/>
          <w:lang w:val="es-CO" w:eastAsia="en-US"/>
          <w14:ligatures w14:val="standardContextual"/>
        </w:rPr>
      </w:pPr>
    </w:p>
    <w:p w14:paraId="1BAF9BCB" w14:textId="77777777" w:rsidR="00E426C4" w:rsidRPr="00E426C4" w:rsidRDefault="00E426C4" w:rsidP="00E426C4">
      <w:pPr>
        <w:widowControl/>
        <w:jc w:val="center"/>
        <w:rPr>
          <w:rFonts w:cs="Times New Roman"/>
          <w:b/>
          <w:bCs/>
          <w:kern w:val="2"/>
          <w:sz w:val="24"/>
          <w:szCs w:val="24"/>
          <w:lang w:val="es-CO" w:eastAsia="en-US"/>
          <w14:ligatures w14:val="standardContextual"/>
        </w:rPr>
      </w:pPr>
      <w:r w:rsidRPr="00E426C4">
        <w:rPr>
          <w:rFonts w:cs="Times New Roman"/>
          <w:b/>
          <w:bCs/>
          <w:kern w:val="2"/>
          <w:sz w:val="24"/>
          <w:szCs w:val="24"/>
          <w:lang w:val="es-CO" w:eastAsia="en-US"/>
          <w14:ligatures w14:val="standardContextual"/>
        </w:rPr>
        <w:lastRenderedPageBreak/>
        <w:t>La mutilación genital femenina en el mundo</w:t>
      </w:r>
    </w:p>
    <w:p w14:paraId="3AF877D0" w14:textId="77777777" w:rsidR="00E426C4" w:rsidRPr="00E426C4" w:rsidRDefault="00E426C4" w:rsidP="00E426C4">
      <w:pPr>
        <w:widowControl/>
        <w:jc w:val="both"/>
        <w:rPr>
          <w:rFonts w:cs="Times New Roman"/>
          <w:kern w:val="2"/>
          <w:sz w:val="20"/>
          <w:szCs w:val="20"/>
          <w:lang w:val="es-CO" w:eastAsia="en-US"/>
          <w14:ligatures w14:val="standardContextual"/>
        </w:rPr>
      </w:pPr>
    </w:p>
    <w:p w14:paraId="691941D3" w14:textId="77777777" w:rsidR="00E426C4" w:rsidRPr="00E426C4" w:rsidRDefault="00E426C4" w:rsidP="00E426C4">
      <w:pPr>
        <w:widowControl/>
        <w:jc w:val="both"/>
        <w:rPr>
          <w:rFonts w:cs="Times New Roman"/>
          <w:kern w:val="2"/>
          <w:sz w:val="20"/>
          <w:szCs w:val="20"/>
          <w:lang w:val="es-CO" w:eastAsia="en-US"/>
          <w14:ligatures w14:val="standardContextual"/>
        </w:rPr>
      </w:pPr>
      <w:r w:rsidRPr="00E426C4">
        <w:rPr>
          <w:rFonts w:cs="Times New Roman"/>
          <w:noProof/>
          <w:kern w:val="2"/>
          <w:sz w:val="20"/>
          <w:szCs w:val="20"/>
          <w:lang w:val="es-CO" w:eastAsia="es-CO"/>
          <w14:ligatures w14:val="standardContextual"/>
        </w:rPr>
        <mc:AlternateContent>
          <mc:Choice Requires="wps">
            <w:drawing>
              <wp:anchor distT="0" distB="0" distL="114300" distR="114300" simplePos="0" relativeHeight="251659264" behindDoc="0" locked="0" layoutInCell="1" allowOverlap="1" wp14:anchorId="659D3784" wp14:editId="5B67ABB4">
                <wp:simplePos x="0" y="0"/>
                <wp:positionH relativeFrom="column">
                  <wp:posOffset>231829</wp:posOffset>
                </wp:positionH>
                <wp:positionV relativeFrom="paragraph">
                  <wp:posOffset>1866790</wp:posOffset>
                </wp:positionV>
                <wp:extent cx="1021439" cy="367747"/>
                <wp:effectExtent l="38100" t="0" r="26670" b="70485"/>
                <wp:wrapNone/>
                <wp:docPr id="1312490596" name="Conector recto de flecha 4"/>
                <wp:cNvGraphicFramePr/>
                <a:graphic xmlns:a="http://schemas.openxmlformats.org/drawingml/2006/main">
                  <a:graphicData uri="http://schemas.microsoft.com/office/word/2010/wordprocessingShape">
                    <wps:wsp>
                      <wps:cNvCnPr/>
                      <wps:spPr>
                        <a:xfrm flipH="1">
                          <a:off x="0" y="0"/>
                          <a:ext cx="1021439" cy="367747"/>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19415B" id="_x0000_t32" coordsize="21600,21600" o:spt="32" o:oned="t" path="m,l21600,21600e" filled="f">
                <v:path arrowok="t" fillok="f" o:connecttype="none"/>
                <o:lock v:ext="edit" shapetype="t"/>
              </v:shapetype>
              <v:shape id="Conector recto de flecha 4" o:spid="_x0000_s1026" type="#_x0000_t32" style="position:absolute;margin-left:18.25pt;margin-top:147pt;width:80.45pt;height:28.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" strokecolor="#4472c4" strokeweight=".5pt">
                <v:stroke endarrow="block" joinstyle="miter"/>
              </v:shape>
            </w:pict>
          </mc:Fallback>
        </mc:AlternateContent>
      </w:r>
      <w:r w:rsidRPr="00E426C4">
        <w:rPr>
          <w:rFonts w:cs="Times New Roman"/>
          <w:noProof/>
          <w:kern w:val="2"/>
          <w:sz w:val="20"/>
          <w:szCs w:val="20"/>
          <w:lang w:val="es-CO" w:eastAsia="es-CO"/>
          <w14:ligatures w14:val="standardContextual"/>
        </w:rPr>
        <w:drawing>
          <wp:inline distT="0" distB="0" distL="0" distR="0" wp14:anchorId="3332EFAF" wp14:editId="4421D781">
            <wp:extent cx="5468779" cy="2971800"/>
            <wp:effectExtent l="0" t="0" r="0" b="0"/>
            <wp:docPr id="9244600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7660" cy="2976626"/>
                    </a:xfrm>
                    <a:prstGeom prst="rect">
                      <a:avLst/>
                    </a:prstGeom>
                    <a:noFill/>
                  </pic:spPr>
                </pic:pic>
              </a:graphicData>
            </a:graphic>
          </wp:inline>
        </w:drawing>
      </w:r>
    </w:p>
    <w:p w14:paraId="08FF1EA3" w14:textId="77777777" w:rsidR="00E426C4" w:rsidRPr="00E426C4" w:rsidRDefault="00E426C4" w:rsidP="00E426C4">
      <w:pPr>
        <w:widowControl/>
        <w:jc w:val="both"/>
        <w:rPr>
          <w:rFonts w:cs="Times New Roman"/>
          <w:kern w:val="2"/>
          <w:sz w:val="20"/>
          <w:szCs w:val="20"/>
          <w:lang w:val="es-CO" w:eastAsia="en-US"/>
          <w14:ligatures w14:val="standardContextual"/>
        </w:rPr>
      </w:pPr>
      <w:r w:rsidRPr="00E426C4">
        <w:rPr>
          <w:rFonts w:cs="Times New Roman"/>
          <w:b/>
          <w:bCs/>
          <w:kern w:val="2"/>
          <w:sz w:val="20"/>
          <w:szCs w:val="20"/>
          <w:lang w:val="es-CO" w:eastAsia="en-US"/>
          <w14:ligatures w14:val="standardContextual"/>
        </w:rPr>
        <w:t>Fuente:</w:t>
      </w:r>
      <w:r w:rsidRPr="00E426C4">
        <w:rPr>
          <w:rFonts w:cs="Times New Roman"/>
          <w:kern w:val="2"/>
          <w:lang w:val="es-CO" w:eastAsia="en-US"/>
          <w14:ligatures w14:val="standardContextual"/>
        </w:rPr>
        <w:t xml:space="preserve"> </w:t>
      </w:r>
      <w:hyperlink r:id="rId21" w:history="1">
        <w:r w:rsidRPr="00E426C4">
          <w:rPr>
            <w:rFonts w:cs="Times New Roman"/>
            <w:color w:val="0563C1"/>
            <w:kern w:val="2"/>
            <w:sz w:val="20"/>
            <w:szCs w:val="20"/>
            <w:u w:val="single"/>
            <w:lang w:val="es-CO" w:eastAsia="en-US"/>
            <w14:ligatures w14:val="standardContextual"/>
          </w:rPr>
          <w:t>https://diarioenfermero.es/matronas-crean-un-manual-de-educacion-sexual-para-desterrar-la-mutilacion-genital-femenina/</w:t>
        </w:r>
      </w:hyperlink>
    </w:p>
    <w:p w14:paraId="3E4704AB" w14:textId="77777777" w:rsidR="00E426C4" w:rsidRPr="00E426C4" w:rsidRDefault="00E426C4" w:rsidP="00E426C4">
      <w:pPr>
        <w:widowControl/>
        <w:jc w:val="both"/>
        <w:rPr>
          <w:rFonts w:cs="Times New Roman"/>
          <w:kern w:val="2"/>
          <w:sz w:val="20"/>
          <w:szCs w:val="20"/>
          <w:lang w:val="es-CO" w:eastAsia="en-US"/>
          <w14:ligatures w14:val="standardContextual"/>
        </w:rPr>
      </w:pPr>
    </w:p>
    <w:p w14:paraId="458AE977" w14:textId="22C6A4F2" w:rsidR="00E426C4" w:rsidRDefault="00E426C4" w:rsidP="00E426C4">
      <w:pPr>
        <w:widowControl/>
        <w:jc w:val="both"/>
        <w:rPr>
          <w:rFonts w:cs="Times New Roman"/>
          <w:kern w:val="2"/>
          <w:sz w:val="24"/>
          <w:szCs w:val="24"/>
          <w:lang w:val="es-CO" w:eastAsia="en-US"/>
          <w14:ligatures w14:val="standardContextual"/>
        </w:rPr>
      </w:pPr>
      <w:r w:rsidRPr="00E426C4">
        <w:rPr>
          <w:rFonts w:cs="Times New Roman"/>
          <w:kern w:val="2"/>
          <w:sz w:val="24"/>
          <w:szCs w:val="24"/>
          <w:lang w:val="es-CO" w:eastAsia="en-US"/>
          <w14:ligatures w14:val="standardContextual"/>
        </w:rPr>
        <w:t>Al contemplar el mapa de la mutilación genital en el mundo y a pesar de que se considera que en Colombia se practica solo por algunos grupos indígenas, no debería descartarse que se practique o haya practicado al interior de los territorios de otros grupos étnicos y minoritarios; pues dada su amplia práctica en el continente africano, dicha práctica podría haber sido transmitida ancestralmente a quienes llegaron como esclavos a nuestro país. Indudablemente faltan datos y estadísticas sanitarias confiables al respecto para prevenir que esta terrible tradición continúe afectando a más niñas en el futuro.</w:t>
      </w:r>
    </w:p>
    <w:p w14:paraId="39B2A0F8" w14:textId="14D627C2" w:rsidR="0070117E" w:rsidRDefault="0070117E" w:rsidP="00E426C4">
      <w:pPr>
        <w:widowControl/>
        <w:jc w:val="both"/>
        <w:rPr>
          <w:rFonts w:cs="Times New Roman"/>
          <w:kern w:val="2"/>
          <w:sz w:val="24"/>
          <w:szCs w:val="24"/>
          <w:lang w:val="es-CO" w:eastAsia="en-US"/>
          <w14:ligatures w14:val="standardContextual"/>
        </w:rPr>
      </w:pPr>
    </w:p>
    <w:p w14:paraId="76BFF2E6" w14:textId="7DEE8B47" w:rsidR="0070117E" w:rsidRPr="0070117E" w:rsidRDefault="0070117E" w:rsidP="00E426C4">
      <w:pPr>
        <w:widowControl/>
        <w:jc w:val="both"/>
        <w:rPr>
          <w:rFonts w:cs="Times New Roman"/>
          <w:b/>
          <w:bCs/>
          <w:kern w:val="2"/>
          <w:sz w:val="24"/>
          <w:szCs w:val="24"/>
          <w:lang w:val="es-CO" w:eastAsia="en-US"/>
          <w14:ligatures w14:val="standardContextual"/>
        </w:rPr>
      </w:pPr>
      <w:r w:rsidRPr="0070117E">
        <w:rPr>
          <w:rFonts w:cs="Times New Roman"/>
          <w:b/>
          <w:bCs/>
          <w:kern w:val="2"/>
          <w:sz w:val="24"/>
          <w:szCs w:val="24"/>
          <w:lang w:val="es-CO" w:eastAsia="en-US"/>
          <w14:ligatures w14:val="standardContextual"/>
        </w:rPr>
        <w:t>¿QUE DICE AL RESPECTO EL MARCO UNIVERSAL DE LOS DERECHOS HUMANOS?</w:t>
      </w:r>
    </w:p>
    <w:p w14:paraId="4362294A" w14:textId="27D6D786" w:rsidR="0070117E" w:rsidRDefault="0070117E" w:rsidP="00E426C4">
      <w:pPr>
        <w:widowControl/>
        <w:jc w:val="both"/>
        <w:rPr>
          <w:rFonts w:cs="Times New Roman"/>
          <w:kern w:val="2"/>
          <w:sz w:val="24"/>
          <w:szCs w:val="24"/>
          <w:lang w:val="es-CO" w:eastAsia="en-US"/>
          <w14:ligatures w14:val="standardContextual"/>
        </w:rPr>
      </w:pPr>
    </w:p>
    <w:p w14:paraId="72C1824B" w14:textId="54452F9D" w:rsidR="0070117E" w:rsidRPr="0070117E" w:rsidRDefault="0070117E" w:rsidP="0070117E">
      <w:pPr>
        <w:widowControl/>
        <w:jc w:val="both"/>
        <w:rPr>
          <w:rFonts w:cs="Times New Roman"/>
          <w:kern w:val="2"/>
          <w:sz w:val="24"/>
          <w:szCs w:val="24"/>
          <w:lang w:val="es-CO" w:eastAsia="en-US"/>
          <w14:ligatures w14:val="standardContextual"/>
        </w:rPr>
      </w:pPr>
      <w:r w:rsidRPr="0070117E">
        <w:rPr>
          <w:rFonts w:cs="Times New Roman"/>
          <w:kern w:val="2"/>
          <w:sz w:val="24"/>
          <w:szCs w:val="24"/>
          <w:lang w:val="es-CO" w:eastAsia="en-US"/>
          <w14:ligatures w14:val="standardContextual"/>
        </w:rPr>
        <w:t>Cumplir con la promesa mundial de acabar con la mutilación genital femenina en 2030</w:t>
      </w:r>
      <w:r>
        <w:rPr>
          <w:rFonts w:cs="Times New Roman"/>
          <w:kern w:val="2"/>
          <w:sz w:val="24"/>
          <w:szCs w:val="24"/>
          <w:lang w:val="es-CO" w:eastAsia="en-US"/>
          <w14:ligatures w14:val="standardContextual"/>
        </w:rPr>
        <w:t xml:space="preserve"> </w:t>
      </w:r>
      <w:r w:rsidRPr="0070117E">
        <w:rPr>
          <w:rFonts w:cs="Times New Roman"/>
          <w:kern w:val="2"/>
          <w:sz w:val="24"/>
          <w:szCs w:val="24"/>
          <w:lang w:val="es-CO" w:eastAsia="en-US"/>
          <w14:ligatures w14:val="standardContextual"/>
        </w:rPr>
        <w:t>La mutilación genital femenina (MGF) es una práctica que implica la alteración o lesión de los</w:t>
      </w:r>
      <w:r w:rsidR="00B66EE6">
        <w:rPr>
          <w:rFonts w:cs="Times New Roman"/>
          <w:kern w:val="2"/>
          <w:sz w:val="24"/>
          <w:szCs w:val="24"/>
          <w:lang w:val="es-CO" w:eastAsia="en-US"/>
          <w14:ligatures w14:val="standardContextual"/>
        </w:rPr>
        <w:t xml:space="preserve"> </w:t>
      </w:r>
      <w:r w:rsidRPr="0070117E">
        <w:rPr>
          <w:rFonts w:cs="Times New Roman"/>
          <w:kern w:val="2"/>
          <w:sz w:val="24"/>
          <w:szCs w:val="24"/>
          <w:lang w:val="es-CO" w:eastAsia="en-US"/>
          <w14:ligatures w14:val="standardContextual"/>
        </w:rPr>
        <w:t xml:space="preserve">genitales femeninos por motivos no médicos y que internacionalmente es reconocida como </w:t>
      </w:r>
      <w:r w:rsidR="00B66EE6">
        <w:rPr>
          <w:rFonts w:cs="Times New Roman"/>
          <w:kern w:val="2"/>
          <w:sz w:val="24"/>
          <w:szCs w:val="24"/>
          <w:lang w:val="es-CO" w:eastAsia="en-US"/>
          <w14:ligatures w14:val="standardContextual"/>
        </w:rPr>
        <w:t>u</w:t>
      </w:r>
      <w:r w:rsidRPr="0070117E">
        <w:rPr>
          <w:rFonts w:cs="Times New Roman"/>
          <w:kern w:val="2"/>
          <w:sz w:val="24"/>
          <w:szCs w:val="24"/>
          <w:lang w:val="es-CO" w:eastAsia="en-US"/>
          <w14:ligatures w14:val="standardContextual"/>
        </w:rPr>
        <w:t>na violación grave de los derechos humanos, la salud y la integridad de las mujeres y las niñas.</w:t>
      </w:r>
    </w:p>
    <w:p w14:paraId="04B06791" w14:textId="77777777" w:rsidR="0070117E" w:rsidRPr="0070117E" w:rsidRDefault="0070117E" w:rsidP="0070117E">
      <w:pPr>
        <w:widowControl/>
        <w:jc w:val="both"/>
        <w:rPr>
          <w:rFonts w:cs="Times New Roman"/>
          <w:kern w:val="2"/>
          <w:sz w:val="24"/>
          <w:szCs w:val="24"/>
          <w:lang w:val="es-CO" w:eastAsia="en-US"/>
          <w14:ligatures w14:val="standardContextual"/>
        </w:rPr>
      </w:pPr>
    </w:p>
    <w:p w14:paraId="7E81E3F0" w14:textId="44B9280D" w:rsidR="0070117E" w:rsidRDefault="0070117E" w:rsidP="0070117E">
      <w:pPr>
        <w:widowControl/>
        <w:jc w:val="both"/>
        <w:rPr>
          <w:rFonts w:cs="Times New Roman"/>
          <w:kern w:val="2"/>
          <w:sz w:val="24"/>
          <w:szCs w:val="24"/>
          <w:lang w:val="es-CO" w:eastAsia="en-US"/>
          <w14:ligatures w14:val="standardContextual"/>
        </w:rPr>
      </w:pPr>
      <w:r w:rsidRPr="0070117E">
        <w:rPr>
          <w:rFonts w:cs="Times New Roman"/>
          <w:kern w:val="2"/>
          <w:sz w:val="24"/>
          <w:szCs w:val="24"/>
          <w:lang w:val="es-CO" w:eastAsia="en-US"/>
          <w14:ligatures w14:val="standardContextual"/>
        </w:rPr>
        <w:t>Puede causar complicaciones de salud a corto y largo plazo, incluido dolor crónico, infecciones,</w:t>
      </w:r>
      <w:r w:rsidR="00B66EE6">
        <w:rPr>
          <w:rFonts w:cs="Times New Roman"/>
          <w:kern w:val="2"/>
          <w:sz w:val="24"/>
          <w:szCs w:val="24"/>
          <w:lang w:val="es-CO" w:eastAsia="en-US"/>
          <w14:ligatures w14:val="standardContextual"/>
        </w:rPr>
        <w:t xml:space="preserve"> </w:t>
      </w:r>
      <w:r w:rsidRPr="0070117E">
        <w:rPr>
          <w:rFonts w:cs="Times New Roman"/>
          <w:kern w:val="2"/>
          <w:sz w:val="24"/>
          <w:szCs w:val="24"/>
          <w:lang w:val="es-CO" w:eastAsia="en-US"/>
          <w14:ligatures w14:val="standardContextual"/>
        </w:rPr>
        <w:t>sangrados, mayor riesgo de transmisión del VIH, ansiedad y depresión, complicaciones durante</w:t>
      </w:r>
      <w:r w:rsidR="00B66EE6">
        <w:rPr>
          <w:rFonts w:cs="Times New Roman"/>
          <w:kern w:val="2"/>
          <w:sz w:val="24"/>
          <w:szCs w:val="24"/>
          <w:lang w:val="es-CO" w:eastAsia="en-US"/>
          <w14:ligatures w14:val="standardContextual"/>
        </w:rPr>
        <w:t xml:space="preserve"> </w:t>
      </w:r>
      <w:r w:rsidRPr="0070117E">
        <w:rPr>
          <w:rFonts w:cs="Times New Roman"/>
          <w:kern w:val="2"/>
          <w:sz w:val="24"/>
          <w:szCs w:val="24"/>
          <w:lang w:val="es-CO" w:eastAsia="en-US"/>
          <w14:ligatures w14:val="standardContextual"/>
        </w:rPr>
        <w:t>el parto, infecundidad y, en el peor de los casos, la muerte.</w:t>
      </w:r>
    </w:p>
    <w:p w14:paraId="0E424F05" w14:textId="20DE338F" w:rsidR="00B66EE6" w:rsidRDefault="00B66EE6" w:rsidP="0070117E">
      <w:pPr>
        <w:widowControl/>
        <w:jc w:val="both"/>
        <w:rPr>
          <w:rFonts w:cs="Times New Roman"/>
          <w:kern w:val="2"/>
          <w:sz w:val="24"/>
          <w:szCs w:val="24"/>
          <w:lang w:val="es-CO" w:eastAsia="en-US"/>
          <w14:ligatures w14:val="standardContextual"/>
        </w:rPr>
      </w:pPr>
    </w:p>
    <w:p w14:paraId="076CA608" w14:textId="25377AD7" w:rsidR="00B66EE6" w:rsidRDefault="00B66EE6" w:rsidP="0070117E">
      <w:pPr>
        <w:widowControl/>
        <w:jc w:val="both"/>
        <w:rPr>
          <w:rFonts w:cs="Times New Roman"/>
          <w:kern w:val="2"/>
          <w:sz w:val="24"/>
          <w:szCs w:val="24"/>
          <w:lang w:val="es-CO" w:eastAsia="en-US"/>
          <w14:ligatures w14:val="standardContextual"/>
        </w:rPr>
      </w:pPr>
      <w:r w:rsidRPr="00B66EE6">
        <w:rPr>
          <w:rFonts w:cs="Times New Roman"/>
          <w:kern w:val="2"/>
          <w:sz w:val="24"/>
          <w:szCs w:val="24"/>
          <w:lang w:val="es-CO" w:eastAsia="en-US"/>
          <w14:ligatures w14:val="standardContextual"/>
        </w:rPr>
        <w:lastRenderedPageBreak/>
        <w:t>A pesar de que esta práctica se concentra en cerca de 30 países de África y de Oriente Medio y Asia meridional, así como algunos países asiáticos (India, Indonesia, Iraq y Paquistán) y algunas pequeñas comunidades de Latinoamérica, es un problema universal. Asimismo, persiste en las poblaciones emigrantes que viven en Europa Occidental, en Norte América, Australia y Nueva Zelanda.</w:t>
      </w:r>
    </w:p>
    <w:p w14:paraId="67C0196B" w14:textId="4F9C124F" w:rsidR="00B66EE6" w:rsidRDefault="00B66EE6" w:rsidP="0070117E">
      <w:pPr>
        <w:widowControl/>
        <w:jc w:val="both"/>
        <w:rPr>
          <w:rFonts w:cs="Times New Roman"/>
          <w:kern w:val="2"/>
          <w:sz w:val="24"/>
          <w:szCs w:val="24"/>
          <w:lang w:val="es-CO" w:eastAsia="en-US"/>
          <w14:ligatures w14:val="standardContextual"/>
        </w:rPr>
      </w:pPr>
    </w:p>
    <w:p w14:paraId="317744E1" w14:textId="24D37507" w:rsidR="00B66EE6" w:rsidRPr="00B66EE6" w:rsidRDefault="00B66EE6" w:rsidP="0070117E">
      <w:pPr>
        <w:widowControl/>
        <w:jc w:val="both"/>
        <w:rPr>
          <w:rFonts w:cs="Times New Roman"/>
          <w:b/>
          <w:bCs/>
          <w:kern w:val="2"/>
          <w:sz w:val="24"/>
          <w:szCs w:val="24"/>
          <w:lang w:val="es-CO" w:eastAsia="en-US"/>
          <w14:ligatures w14:val="standardContextual"/>
        </w:rPr>
      </w:pPr>
      <w:r w:rsidRPr="00B66EE6">
        <w:rPr>
          <w:rFonts w:cs="Times New Roman"/>
          <w:b/>
          <w:bCs/>
          <w:kern w:val="2"/>
          <w:sz w:val="24"/>
          <w:szCs w:val="24"/>
          <w:lang w:val="es-CO" w:eastAsia="en-US"/>
          <w14:ligatures w14:val="standardContextual"/>
        </w:rPr>
        <w:t>¿CÓMO SE LUCHA CONTRA ESTE TIPO DE VIOLENCIA DESDE LAS NACIONES UNIDAS?</w:t>
      </w:r>
    </w:p>
    <w:p w14:paraId="5F3D448A" w14:textId="4C7B4869" w:rsidR="00B66EE6" w:rsidRDefault="00B66EE6" w:rsidP="0070117E">
      <w:pPr>
        <w:widowControl/>
        <w:jc w:val="both"/>
        <w:rPr>
          <w:rFonts w:cs="Times New Roman"/>
          <w:kern w:val="2"/>
          <w:sz w:val="24"/>
          <w:szCs w:val="24"/>
          <w:lang w:val="es-CO" w:eastAsia="en-US"/>
          <w14:ligatures w14:val="standardContextual"/>
        </w:rPr>
      </w:pPr>
    </w:p>
    <w:p w14:paraId="4F59DC14" w14:textId="77777777" w:rsidR="00B66EE6" w:rsidRPr="00B66EE6" w:rsidRDefault="00B66EE6" w:rsidP="00B66EE6">
      <w:pPr>
        <w:widowControl/>
        <w:jc w:val="both"/>
        <w:rPr>
          <w:rFonts w:cs="Times New Roman"/>
          <w:kern w:val="2"/>
          <w:sz w:val="24"/>
          <w:szCs w:val="24"/>
          <w:lang w:val="es-CO" w:eastAsia="en-US"/>
          <w14:ligatures w14:val="standardContextual"/>
        </w:rPr>
      </w:pPr>
      <w:r w:rsidRPr="00B66EE6">
        <w:rPr>
          <w:rFonts w:cs="Times New Roman"/>
          <w:kern w:val="2"/>
          <w:sz w:val="24"/>
          <w:szCs w:val="24"/>
          <w:lang w:val="es-CO" w:eastAsia="en-US"/>
          <w14:ligatures w14:val="standardContextual"/>
        </w:rPr>
        <w:t xml:space="preserve">Aunque la práctica se ha mantenido por más de mil años, se puede acabar con la mutilación genital femenina en una sola generación es todavía posible si aceleramos para que el proceso vaya diez veces más rápido. Por este motivo, las Naciones Unidas luchan por su eliminación plena para 2030, siguiendo el espíritu del Objetivo de Desarrollo Sostenible 5. </w:t>
      </w:r>
    </w:p>
    <w:p w14:paraId="455CDCB5" w14:textId="77777777" w:rsidR="00B66EE6" w:rsidRPr="00B66EE6" w:rsidRDefault="00B66EE6" w:rsidP="00B66EE6">
      <w:pPr>
        <w:widowControl/>
        <w:jc w:val="both"/>
        <w:rPr>
          <w:rFonts w:cs="Times New Roman"/>
          <w:kern w:val="2"/>
          <w:sz w:val="24"/>
          <w:szCs w:val="24"/>
          <w:lang w:val="es-CO" w:eastAsia="en-US"/>
          <w14:ligatures w14:val="standardContextual"/>
        </w:rPr>
      </w:pPr>
    </w:p>
    <w:p w14:paraId="168BE5BF" w14:textId="77777777" w:rsidR="00B66EE6" w:rsidRPr="00B66EE6" w:rsidRDefault="00B66EE6" w:rsidP="00B66EE6">
      <w:pPr>
        <w:widowControl/>
        <w:jc w:val="both"/>
        <w:rPr>
          <w:rFonts w:cs="Times New Roman"/>
          <w:kern w:val="2"/>
          <w:sz w:val="24"/>
          <w:szCs w:val="24"/>
          <w:lang w:val="es-CO" w:eastAsia="en-US"/>
          <w14:ligatures w14:val="standardContextual"/>
        </w:rPr>
      </w:pPr>
      <w:r w:rsidRPr="00B66EE6">
        <w:rPr>
          <w:rFonts w:cs="Times New Roman"/>
          <w:kern w:val="2"/>
          <w:sz w:val="24"/>
          <w:szCs w:val="24"/>
          <w:lang w:val="es-CO" w:eastAsia="en-US"/>
          <w14:ligatures w14:val="standardContextual"/>
        </w:rPr>
        <w:t>Para ello cuenta desde 2008 con el mayor programa mundial para acelerar la eliminación de la MGF dirigido por el Fondo de Población de las Naciones Unidas y UNICEF. Ese programa se centra en la actualidad en 17 países africanos principalmente.</w:t>
      </w:r>
    </w:p>
    <w:p w14:paraId="0FF989A3" w14:textId="77777777" w:rsidR="00B66EE6" w:rsidRPr="00B66EE6" w:rsidRDefault="00B66EE6" w:rsidP="00B66EE6">
      <w:pPr>
        <w:widowControl/>
        <w:jc w:val="both"/>
        <w:rPr>
          <w:rFonts w:cs="Times New Roman"/>
          <w:kern w:val="2"/>
          <w:sz w:val="24"/>
          <w:szCs w:val="24"/>
          <w:lang w:val="es-CO" w:eastAsia="en-US"/>
          <w14:ligatures w14:val="standardContextual"/>
        </w:rPr>
      </w:pPr>
    </w:p>
    <w:p w14:paraId="3095BBA9" w14:textId="5C706345" w:rsidR="00B66EE6" w:rsidRDefault="00B66EE6" w:rsidP="00B66EE6">
      <w:pPr>
        <w:widowControl/>
        <w:jc w:val="both"/>
        <w:rPr>
          <w:rFonts w:cs="Times New Roman"/>
          <w:kern w:val="2"/>
          <w:sz w:val="24"/>
          <w:szCs w:val="24"/>
          <w:lang w:val="es-CO" w:eastAsia="en-US"/>
          <w14:ligatures w14:val="standardContextual"/>
        </w:rPr>
      </w:pPr>
      <w:r w:rsidRPr="00B66EE6">
        <w:rPr>
          <w:rFonts w:cs="Times New Roman"/>
          <w:kern w:val="2"/>
          <w:sz w:val="24"/>
          <w:szCs w:val="24"/>
          <w:lang w:val="es-CO" w:eastAsia="en-US"/>
          <w14:ligatures w14:val="standardContextual"/>
        </w:rPr>
        <w:t>A día de hoy esta colaboración ha conllevado importantes logros. Hasta el año pasado, dicho Programa apoyaba a más de 11.000 organizaciones, de las cuales el 83 % eran organizaciones de base que colaboraban con coaliciones y movimientos dirigidos por supervivientes, abogaban por cambios en las políticas y las leyes, y defendían cambios en las normas sociales y de género. (fuente: Informe anual 2022 sobre la MGF).</w:t>
      </w:r>
    </w:p>
    <w:p w14:paraId="5E9D2DC0" w14:textId="4EF0F6DD" w:rsidR="00B66EE6" w:rsidRDefault="00B66EE6" w:rsidP="00B66EE6">
      <w:pPr>
        <w:widowControl/>
        <w:jc w:val="both"/>
        <w:rPr>
          <w:rFonts w:cs="Times New Roman"/>
          <w:kern w:val="2"/>
          <w:sz w:val="24"/>
          <w:szCs w:val="24"/>
          <w:lang w:val="es-CO" w:eastAsia="en-US"/>
          <w14:ligatures w14:val="standardContextual"/>
        </w:rPr>
      </w:pPr>
    </w:p>
    <w:p w14:paraId="0D3B6D81" w14:textId="01504AF4" w:rsidR="00B66EE6" w:rsidRDefault="00B66EE6" w:rsidP="00B66EE6">
      <w:pPr>
        <w:widowControl/>
        <w:jc w:val="both"/>
        <w:rPr>
          <w:rFonts w:cs="Times New Roman"/>
          <w:kern w:val="2"/>
          <w:sz w:val="24"/>
          <w:szCs w:val="24"/>
          <w:lang w:val="es-CO" w:eastAsia="en-US"/>
          <w14:ligatures w14:val="standardContextual"/>
        </w:rPr>
      </w:pPr>
      <w:r>
        <w:rPr>
          <w:rFonts w:cs="Times New Roman"/>
          <w:kern w:val="2"/>
          <w:sz w:val="24"/>
          <w:szCs w:val="24"/>
          <w:lang w:val="es-CO" w:eastAsia="en-US"/>
          <w14:ligatures w14:val="standardContextual"/>
        </w:rPr>
        <w:t>Así las cosas, la lucha contra la mutilación genital ha abarcado el globo y se ha hecho merecedora de la conmemoración del ‘‘</w:t>
      </w:r>
      <w:r w:rsidRPr="00B66EE6">
        <w:rPr>
          <w:rFonts w:cs="Times New Roman"/>
          <w:kern w:val="2"/>
          <w:sz w:val="24"/>
          <w:szCs w:val="24"/>
          <w:lang w:val="es-CO" w:eastAsia="en-US"/>
          <w14:ligatures w14:val="standardContextual"/>
        </w:rPr>
        <w:t>Día Internacional de Tolerancia Cero con la Mutilación Genital Femenina</w:t>
      </w:r>
      <w:r>
        <w:rPr>
          <w:rFonts w:cs="Times New Roman"/>
          <w:kern w:val="2"/>
          <w:sz w:val="24"/>
          <w:szCs w:val="24"/>
          <w:lang w:val="es-CO" w:eastAsia="en-US"/>
          <w14:ligatures w14:val="standardContextual"/>
        </w:rPr>
        <w:t>’’ conmemorándose el 6 de febrero.</w:t>
      </w:r>
    </w:p>
    <w:p w14:paraId="00581171" w14:textId="4DA1C244" w:rsidR="00B66EE6" w:rsidRDefault="00B66EE6" w:rsidP="00B66EE6">
      <w:pPr>
        <w:widowControl/>
        <w:jc w:val="both"/>
        <w:rPr>
          <w:rFonts w:cs="Times New Roman"/>
          <w:kern w:val="2"/>
          <w:sz w:val="24"/>
          <w:szCs w:val="24"/>
          <w:lang w:val="es-CO" w:eastAsia="en-US"/>
          <w14:ligatures w14:val="standardContextual"/>
        </w:rPr>
      </w:pPr>
    </w:p>
    <w:p w14:paraId="51A6821B" w14:textId="6AAADAF5" w:rsidR="00B66EE6" w:rsidRPr="00801A8A" w:rsidRDefault="00801A8A" w:rsidP="00B66EE6">
      <w:pPr>
        <w:widowControl/>
        <w:jc w:val="both"/>
        <w:rPr>
          <w:rFonts w:cs="Times New Roman"/>
          <w:b/>
          <w:bCs/>
          <w:kern w:val="2"/>
          <w:sz w:val="24"/>
          <w:szCs w:val="24"/>
          <w:lang w:val="es-CO" w:eastAsia="en-US"/>
          <w14:ligatures w14:val="standardContextual"/>
        </w:rPr>
      </w:pPr>
      <w:r w:rsidRPr="00801A8A">
        <w:rPr>
          <w:rFonts w:cs="Times New Roman"/>
          <w:b/>
          <w:bCs/>
          <w:kern w:val="2"/>
          <w:sz w:val="24"/>
          <w:szCs w:val="24"/>
          <w:lang w:val="es-CO" w:eastAsia="en-US"/>
          <w14:ligatures w14:val="standardContextual"/>
        </w:rPr>
        <w:t>¿EXISTE ALGÚN INSTRUMENTO INTERNACIONAL ESPECÍFICO QUE PREVEA O PROHIBA LA FIGURA DE LA MUTILACIÓN GENITAL FEMENINA?</w:t>
      </w:r>
    </w:p>
    <w:p w14:paraId="58126C37" w14:textId="379EDD4B" w:rsidR="0070117E" w:rsidRDefault="0070117E" w:rsidP="0070117E">
      <w:pPr>
        <w:widowControl/>
        <w:jc w:val="both"/>
        <w:rPr>
          <w:rFonts w:cs="Times New Roman"/>
          <w:kern w:val="2"/>
          <w:sz w:val="24"/>
          <w:szCs w:val="24"/>
          <w:lang w:val="es-CO" w:eastAsia="en-US"/>
          <w14:ligatures w14:val="standardContextual"/>
        </w:rPr>
      </w:pPr>
    </w:p>
    <w:p w14:paraId="0C45A957" w14:textId="77777777" w:rsidR="00801A8A" w:rsidRPr="00801A8A" w:rsidRDefault="00801A8A" w:rsidP="00801A8A">
      <w:pPr>
        <w:widowControl/>
        <w:jc w:val="both"/>
        <w:rPr>
          <w:rFonts w:cs="Times New Roman"/>
          <w:kern w:val="2"/>
          <w:sz w:val="24"/>
          <w:szCs w:val="24"/>
          <w:lang w:val="es-CO" w:eastAsia="en-US"/>
          <w14:ligatures w14:val="standardContextual"/>
        </w:rPr>
      </w:pPr>
      <w:r w:rsidRPr="00801A8A">
        <w:rPr>
          <w:rFonts w:cs="Times New Roman"/>
          <w:kern w:val="2"/>
          <w:sz w:val="24"/>
          <w:szCs w:val="24"/>
          <w:lang w:val="es-CO" w:eastAsia="en-US"/>
          <w14:ligatures w14:val="standardContextual"/>
        </w:rPr>
        <w:t>La resolución sobre la mutilación genital femenina insta a los países a condenar todas las prácticas dañinas que afecten a las mujeres y a las niñas, en especial las mutilaciones genitales femeninas, y a tomar todas las medidas necesarias, inclusive el hacer cumplir las leyes, llevar a cabo campañas de concientización y asignar suficientes recursos para proteger a las mujeres y a las niñas de esta forma de violencia. Exige una atención especial a la protección y a la asistencia de las mujeres y de las niñas que han sido víctimas de mutilaciones genitales femeninas, y a las que corren riesgo de serlo, inclusive a las mujeres refugiadas y a las migrantes.</w:t>
      </w:r>
    </w:p>
    <w:p w14:paraId="677E2620" w14:textId="77777777" w:rsidR="00801A8A" w:rsidRPr="00801A8A" w:rsidRDefault="00801A8A" w:rsidP="00801A8A">
      <w:pPr>
        <w:widowControl/>
        <w:jc w:val="both"/>
        <w:rPr>
          <w:rFonts w:cs="Times New Roman"/>
          <w:kern w:val="2"/>
          <w:sz w:val="24"/>
          <w:szCs w:val="24"/>
          <w:lang w:val="es-CO" w:eastAsia="en-US"/>
          <w14:ligatures w14:val="standardContextual"/>
        </w:rPr>
      </w:pPr>
    </w:p>
    <w:p w14:paraId="649C5C7D" w14:textId="508C2675" w:rsidR="00801A8A" w:rsidRDefault="00801A8A" w:rsidP="00801A8A">
      <w:pPr>
        <w:widowControl/>
        <w:jc w:val="both"/>
        <w:rPr>
          <w:rFonts w:cs="Times New Roman"/>
          <w:kern w:val="2"/>
          <w:sz w:val="24"/>
          <w:szCs w:val="24"/>
          <w:lang w:val="es-CO" w:eastAsia="en-US"/>
          <w14:ligatures w14:val="standardContextual"/>
        </w:rPr>
      </w:pPr>
      <w:r w:rsidRPr="00801A8A">
        <w:rPr>
          <w:rFonts w:cs="Times New Roman"/>
          <w:kern w:val="2"/>
          <w:sz w:val="24"/>
          <w:szCs w:val="24"/>
          <w:lang w:val="es-CO" w:eastAsia="en-US"/>
          <w14:ligatures w14:val="standardContextual"/>
        </w:rPr>
        <w:lastRenderedPageBreak/>
        <w:t>Como lo pide la resolución, ONU Mujeres seguirá trabajando para proteger y promover los derechos de las mujeres y de las niñas en materia de mutilación genital femenina y poner fin a esta práctica dañina que involucra a toda la sociedad, incluyendo a los gobiernos, a la sociedad civil, al sector privado y otros.</w:t>
      </w:r>
    </w:p>
    <w:p w14:paraId="2BAC3909" w14:textId="0914E2A4" w:rsidR="00801A8A" w:rsidRDefault="00801A8A" w:rsidP="00801A8A">
      <w:pPr>
        <w:widowControl/>
        <w:jc w:val="both"/>
        <w:rPr>
          <w:rFonts w:cs="Times New Roman"/>
          <w:kern w:val="2"/>
          <w:sz w:val="24"/>
          <w:szCs w:val="24"/>
          <w:lang w:val="es-CO" w:eastAsia="en-US"/>
          <w14:ligatures w14:val="standardContextual"/>
        </w:rPr>
      </w:pPr>
    </w:p>
    <w:p w14:paraId="0147754A" w14:textId="2F92BC7B" w:rsidR="00801A8A" w:rsidRDefault="00801A8A" w:rsidP="00801A8A">
      <w:pPr>
        <w:widowControl/>
        <w:jc w:val="both"/>
        <w:rPr>
          <w:rFonts w:cs="Times New Roman"/>
          <w:kern w:val="2"/>
          <w:sz w:val="24"/>
          <w:szCs w:val="24"/>
          <w:lang w:val="es-CO" w:eastAsia="en-US"/>
          <w14:ligatures w14:val="standardContextual"/>
        </w:rPr>
      </w:pPr>
      <w:r>
        <w:rPr>
          <w:rFonts w:cs="Times New Roman"/>
          <w:kern w:val="2"/>
          <w:sz w:val="24"/>
          <w:szCs w:val="24"/>
          <w:lang w:val="es-CO" w:eastAsia="en-US"/>
          <w14:ligatures w14:val="standardContextual"/>
        </w:rPr>
        <w:t xml:space="preserve">Esta resolución, que lleva por número </w:t>
      </w:r>
      <w:r w:rsidRPr="00801A8A">
        <w:rPr>
          <w:rFonts w:cs="Times New Roman"/>
          <w:kern w:val="2"/>
          <w:sz w:val="24"/>
          <w:szCs w:val="24"/>
          <w:lang w:val="es-CO" w:eastAsia="en-US"/>
          <w14:ligatures w14:val="standardContextual"/>
        </w:rPr>
        <w:t>A/RES/71/168</w:t>
      </w:r>
      <w:r>
        <w:rPr>
          <w:rFonts w:cs="Times New Roman"/>
          <w:kern w:val="2"/>
          <w:sz w:val="24"/>
          <w:szCs w:val="24"/>
          <w:lang w:val="es-CO" w:eastAsia="en-US"/>
          <w14:ligatures w14:val="standardContextual"/>
        </w:rPr>
        <w:t>, hace parte de muchos instrumentos que buscan la eliminación de toda violencia contra la mujer. A continuación, se enumeran los siguientes:</w:t>
      </w:r>
    </w:p>
    <w:p w14:paraId="2B5583E4" w14:textId="0AB18711" w:rsidR="00801A8A" w:rsidRDefault="00801A8A" w:rsidP="00801A8A">
      <w:pPr>
        <w:widowControl/>
        <w:jc w:val="both"/>
        <w:rPr>
          <w:rFonts w:cs="Times New Roman"/>
          <w:kern w:val="2"/>
          <w:sz w:val="24"/>
          <w:szCs w:val="24"/>
          <w:lang w:val="es-CO" w:eastAsia="en-US"/>
          <w14:ligatures w14:val="standardContextual"/>
        </w:rPr>
      </w:pPr>
    </w:p>
    <w:p w14:paraId="6DEC3374" w14:textId="77777777" w:rsidR="00B37C6F" w:rsidRDefault="00B37C6F" w:rsidP="00B37C6F">
      <w:pPr>
        <w:pStyle w:val="Prrafodelista"/>
        <w:widowControl/>
        <w:numPr>
          <w:ilvl w:val="0"/>
          <w:numId w:val="42"/>
        </w:numPr>
        <w:jc w:val="both"/>
        <w:rPr>
          <w:rFonts w:cs="Times New Roman"/>
          <w:kern w:val="2"/>
          <w:sz w:val="24"/>
          <w:szCs w:val="24"/>
          <w:lang w:val="es-CO" w:eastAsia="en-US"/>
          <w14:ligatures w14:val="standardContextual"/>
        </w:rPr>
      </w:pPr>
      <w:r w:rsidRPr="00B37C6F">
        <w:rPr>
          <w:rFonts w:cs="Times New Roman"/>
          <w:kern w:val="2"/>
          <w:sz w:val="24"/>
          <w:szCs w:val="24"/>
          <w:lang w:val="es-CO" w:eastAsia="en-US"/>
          <w14:ligatures w14:val="standardContextual"/>
        </w:rPr>
        <w:t>Resolución 53/117, de 9 de diciembre de 1998</w:t>
      </w:r>
    </w:p>
    <w:p w14:paraId="0F656E06" w14:textId="66A8BEEC" w:rsidR="00B37C6F" w:rsidRDefault="00B37C6F" w:rsidP="00C76FB9">
      <w:pPr>
        <w:pStyle w:val="Prrafodelista"/>
        <w:widowControl/>
        <w:numPr>
          <w:ilvl w:val="0"/>
          <w:numId w:val="42"/>
        </w:numPr>
        <w:jc w:val="both"/>
        <w:rPr>
          <w:rFonts w:cs="Times New Roman"/>
          <w:kern w:val="2"/>
          <w:sz w:val="24"/>
          <w:szCs w:val="24"/>
          <w:lang w:val="es-CO" w:eastAsia="en-US"/>
          <w14:ligatures w14:val="standardContextual"/>
        </w:rPr>
      </w:pPr>
      <w:r>
        <w:rPr>
          <w:rFonts w:cs="Times New Roman"/>
          <w:kern w:val="2"/>
          <w:sz w:val="24"/>
          <w:szCs w:val="24"/>
          <w:lang w:val="es-CO" w:eastAsia="en-US"/>
          <w14:ligatures w14:val="standardContextual"/>
        </w:rPr>
        <w:t>R</w:t>
      </w:r>
      <w:r w:rsidRPr="00B37C6F">
        <w:rPr>
          <w:rFonts w:cs="Times New Roman"/>
          <w:kern w:val="2"/>
          <w:sz w:val="24"/>
          <w:szCs w:val="24"/>
          <w:lang w:val="es-CO" w:eastAsia="en-US"/>
          <w14:ligatures w14:val="standardContextual"/>
        </w:rPr>
        <w:t>esoluci</w:t>
      </w:r>
      <w:r>
        <w:rPr>
          <w:rFonts w:cs="Times New Roman"/>
          <w:kern w:val="2"/>
          <w:sz w:val="24"/>
          <w:szCs w:val="24"/>
          <w:lang w:val="es-CO" w:eastAsia="en-US"/>
          <w14:ligatures w14:val="standardContextual"/>
        </w:rPr>
        <w:t>ó</w:t>
      </w:r>
      <w:r w:rsidRPr="00B37C6F">
        <w:rPr>
          <w:rFonts w:cs="Times New Roman"/>
          <w:kern w:val="2"/>
          <w:sz w:val="24"/>
          <w:szCs w:val="24"/>
          <w:lang w:val="es-CO" w:eastAsia="en-US"/>
          <w14:ligatures w14:val="standardContextual"/>
        </w:rPr>
        <w:t>n 56/128, de 19 de diciembre de 2001</w:t>
      </w:r>
    </w:p>
    <w:p w14:paraId="4F98E352" w14:textId="23125ED8" w:rsidR="00B37C6F" w:rsidRDefault="00B37C6F" w:rsidP="00C76FB9">
      <w:pPr>
        <w:pStyle w:val="Prrafodelista"/>
        <w:widowControl/>
        <w:numPr>
          <w:ilvl w:val="0"/>
          <w:numId w:val="42"/>
        </w:numPr>
        <w:jc w:val="both"/>
        <w:rPr>
          <w:rFonts w:cs="Times New Roman"/>
          <w:kern w:val="2"/>
          <w:sz w:val="24"/>
          <w:szCs w:val="24"/>
          <w:lang w:val="es-CO" w:eastAsia="en-US"/>
          <w14:ligatures w14:val="standardContextual"/>
        </w:rPr>
      </w:pPr>
      <w:r>
        <w:rPr>
          <w:rFonts w:cs="Times New Roman"/>
          <w:kern w:val="2"/>
          <w:sz w:val="24"/>
          <w:szCs w:val="24"/>
          <w:lang w:val="es-CO" w:eastAsia="en-US"/>
          <w14:ligatures w14:val="standardContextual"/>
        </w:rPr>
        <w:t>R</w:t>
      </w:r>
      <w:r w:rsidRPr="00B37C6F">
        <w:rPr>
          <w:rFonts w:cs="Times New Roman"/>
          <w:kern w:val="2"/>
          <w:sz w:val="24"/>
          <w:szCs w:val="24"/>
          <w:lang w:val="es-CO" w:eastAsia="en-US"/>
          <w14:ligatures w14:val="standardContextual"/>
        </w:rPr>
        <w:t>esoluci</w:t>
      </w:r>
      <w:r>
        <w:rPr>
          <w:rFonts w:cs="Times New Roman"/>
          <w:kern w:val="2"/>
          <w:sz w:val="24"/>
          <w:szCs w:val="24"/>
          <w:lang w:val="es-CO" w:eastAsia="en-US"/>
          <w14:ligatures w14:val="standardContextual"/>
        </w:rPr>
        <w:t>ó</w:t>
      </w:r>
      <w:r w:rsidRPr="00B37C6F">
        <w:rPr>
          <w:rFonts w:cs="Times New Roman"/>
          <w:kern w:val="2"/>
          <w:sz w:val="24"/>
          <w:szCs w:val="24"/>
          <w:lang w:val="es-CO" w:eastAsia="en-US"/>
          <w14:ligatures w14:val="standardContextual"/>
        </w:rPr>
        <w:t>n 67/146, de 20 de diciembre de 2012</w:t>
      </w:r>
    </w:p>
    <w:p w14:paraId="471A9E1C" w14:textId="7A329E46" w:rsidR="00B37C6F" w:rsidRDefault="00B37C6F" w:rsidP="00C76FB9">
      <w:pPr>
        <w:pStyle w:val="Prrafodelista"/>
        <w:widowControl/>
        <w:numPr>
          <w:ilvl w:val="0"/>
          <w:numId w:val="42"/>
        </w:numPr>
        <w:jc w:val="both"/>
        <w:rPr>
          <w:rFonts w:cs="Times New Roman"/>
          <w:kern w:val="2"/>
          <w:sz w:val="24"/>
          <w:szCs w:val="24"/>
          <w:lang w:val="es-CO" w:eastAsia="en-US"/>
          <w14:ligatures w14:val="standardContextual"/>
        </w:rPr>
      </w:pPr>
      <w:r>
        <w:rPr>
          <w:rFonts w:cs="Times New Roman"/>
          <w:kern w:val="2"/>
          <w:sz w:val="24"/>
          <w:szCs w:val="24"/>
          <w:lang w:val="es-CO" w:eastAsia="en-US"/>
          <w14:ligatures w14:val="standardContextual"/>
        </w:rPr>
        <w:t>R</w:t>
      </w:r>
      <w:r w:rsidRPr="00B37C6F">
        <w:rPr>
          <w:rFonts w:cs="Times New Roman"/>
          <w:kern w:val="2"/>
          <w:sz w:val="24"/>
          <w:szCs w:val="24"/>
          <w:lang w:val="es-CO" w:eastAsia="en-US"/>
          <w14:ligatures w14:val="standardContextual"/>
        </w:rPr>
        <w:t>esoluci</w:t>
      </w:r>
      <w:r>
        <w:rPr>
          <w:rFonts w:cs="Times New Roman"/>
          <w:kern w:val="2"/>
          <w:sz w:val="24"/>
          <w:szCs w:val="24"/>
          <w:lang w:val="es-CO" w:eastAsia="en-US"/>
          <w14:ligatures w14:val="standardContextual"/>
        </w:rPr>
        <w:t>ó</w:t>
      </w:r>
      <w:r w:rsidRPr="00B37C6F">
        <w:rPr>
          <w:rFonts w:cs="Times New Roman"/>
          <w:kern w:val="2"/>
          <w:sz w:val="24"/>
          <w:szCs w:val="24"/>
          <w:lang w:val="es-CO" w:eastAsia="en-US"/>
          <w14:ligatures w14:val="standardContextual"/>
        </w:rPr>
        <w:t>n 68/146, de 18 de diciembre de 2013</w:t>
      </w:r>
    </w:p>
    <w:p w14:paraId="44EF865C" w14:textId="4C681CDA" w:rsidR="00B37C6F" w:rsidRDefault="00B37C6F" w:rsidP="00C76FB9">
      <w:pPr>
        <w:pStyle w:val="Prrafodelista"/>
        <w:widowControl/>
        <w:numPr>
          <w:ilvl w:val="0"/>
          <w:numId w:val="42"/>
        </w:numPr>
        <w:jc w:val="both"/>
        <w:rPr>
          <w:rFonts w:cs="Times New Roman"/>
          <w:kern w:val="2"/>
          <w:sz w:val="24"/>
          <w:szCs w:val="24"/>
          <w:lang w:val="es-CO" w:eastAsia="en-US"/>
          <w14:ligatures w14:val="standardContextual"/>
        </w:rPr>
      </w:pPr>
      <w:r>
        <w:rPr>
          <w:rFonts w:cs="Times New Roman"/>
          <w:kern w:val="2"/>
          <w:sz w:val="24"/>
          <w:szCs w:val="24"/>
          <w:lang w:val="es-CO" w:eastAsia="en-US"/>
          <w14:ligatures w14:val="standardContextual"/>
        </w:rPr>
        <w:t>R</w:t>
      </w:r>
      <w:r w:rsidRPr="00B37C6F">
        <w:rPr>
          <w:rFonts w:cs="Times New Roman"/>
          <w:kern w:val="2"/>
          <w:sz w:val="24"/>
          <w:szCs w:val="24"/>
          <w:lang w:val="es-CO" w:eastAsia="en-US"/>
          <w14:ligatures w14:val="standardContextual"/>
        </w:rPr>
        <w:t>esoluci</w:t>
      </w:r>
      <w:r>
        <w:rPr>
          <w:rFonts w:cs="Times New Roman"/>
          <w:kern w:val="2"/>
          <w:sz w:val="24"/>
          <w:szCs w:val="24"/>
          <w:lang w:val="es-CO" w:eastAsia="en-US"/>
          <w14:ligatures w14:val="standardContextual"/>
        </w:rPr>
        <w:t>ó</w:t>
      </w:r>
      <w:r w:rsidRPr="00B37C6F">
        <w:rPr>
          <w:rFonts w:cs="Times New Roman"/>
          <w:kern w:val="2"/>
          <w:sz w:val="24"/>
          <w:szCs w:val="24"/>
          <w:lang w:val="es-CO" w:eastAsia="en-US"/>
          <w14:ligatures w14:val="standardContextual"/>
        </w:rPr>
        <w:t>n 69/150, de 18 de diciembre de 2014</w:t>
      </w:r>
    </w:p>
    <w:p w14:paraId="5DBF7869" w14:textId="77777777" w:rsidR="00B37C6F" w:rsidRDefault="00B37C6F" w:rsidP="00C76FB9">
      <w:pPr>
        <w:pStyle w:val="Prrafodelista"/>
        <w:widowControl/>
        <w:numPr>
          <w:ilvl w:val="0"/>
          <w:numId w:val="42"/>
        </w:numPr>
        <w:jc w:val="both"/>
        <w:rPr>
          <w:rFonts w:cs="Times New Roman"/>
          <w:kern w:val="2"/>
          <w:sz w:val="24"/>
          <w:szCs w:val="24"/>
          <w:lang w:val="es-CO" w:eastAsia="en-US"/>
          <w14:ligatures w14:val="standardContextual"/>
        </w:rPr>
      </w:pPr>
      <w:r w:rsidRPr="00B37C6F">
        <w:rPr>
          <w:rFonts w:cs="Times New Roman"/>
          <w:kern w:val="2"/>
          <w:sz w:val="24"/>
          <w:szCs w:val="24"/>
          <w:lang w:val="es-CO" w:eastAsia="en-US"/>
          <w14:ligatures w14:val="standardContextual"/>
        </w:rPr>
        <w:t>Resolución de la</w:t>
      </w:r>
      <w:r>
        <w:rPr>
          <w:rFonts w:cs="Times New Roman"/>
          <w:kern w:val="2"/>
          <w:sz w:val="24"/>
          <w:szCs w:val="24"/>
          <w:lang w:val="es-CO" w:eastAsia="en-US"/>
          <w14:ligatures w14:val="standardContextual"/>
        </w:rPr>
        <w:t xml:space="preserve"> </w:t>
      </w:r>
      <w:r w:rsidRPr="00B37C6F">
        <w:rPr>
          <w:rFonts w:cs="Times New Roman"/>
          <w:kern w:val="2"/>
          <w:sz w:val="24"/>
          <w:szCs w:val="24"/>
          <w:lang w:val="es-CO" w:eastAsia="en-US"/>
          <w14:ligatures w14:val="standardContextual"/>
        </w:rPr>
        <w:t>Comisión de la Condición Jurídica y Social de la Mujer</w:t>
      </w:r>
    </w:p>
    <w:p w14:paraId="0840F7A9" w14:textId="0EFE42EB" w:rsidR="00B37C6F" w:rsidRDefault="00B37C6F" w:rsidP="00C76FB9">
      <w:pPr>
        <w:pStyle w:val="Prrafodelista"/>
        <w:widowControl/>
        <w:numPr>
          <w:ilvl w:val="0"/>
          <w:numId w:val="42"/>
        </w:numPr>
        <w:jc w:val="both"/>
        <w:rPr>
          <w:rFonts w:cs="Times New Roman"/>
          <w:kern w:val="2"/>
          <w:sz w:val="24"/>
          <w:szCs w:val="24"/>
          <w:lang w:val="es-CO" w:eastAsia="en-US"/>
          <w14:ligatures w14:val="standardContextual"/>
        </w:rPr>
      </w:pPr>
      <w:r>
        <w:rPr>
          <w:rFonts w:cs="Times New Roman"/>
          <w:kern w:val="2"/>
          <w:sz w:val="24"/>
          <w:szCs w:val="24"/>
          <w:lang w:val="es-CO" w:eastAsia="en-US"/>
          <w14:ligatures w14:val="standardContextual"/>
        </w:rPr>
        <w:t>R</w:t>
      </w:r>
      <w:r w:rsidRPr="00B37C6F">
        <w:rPr>
          <w:rFonts w:cs="Times New Roman"/>
          <w:kern w:val="2"/>
          <w:sz w:val="24"/>
          <w:szCs w:val="24"/>
          <w:lang w:val="es-CO" w:eastAsia="en-US"/>
          <w14:ligatures w14:val="standardContextual"/>
        </w:rPr>
        <w:t>esoluci</w:t>
      </w:r>
      <w:r>
        <w:rPr>
          <w:rFonts w:cs="Times New Roman"/>
          <w:kern w:val="2"/>
          <w:sz w:val="24"/>
          <w:szCs w:val="24"/>
          <w:lang w:val="es-CO" w:eastAsia="en-US"/>
          <w14:ligatures w14:val="standardContextual"/>
        </w:rPr>
        <w:t>ó</w:t>
      </w:r>
      <w:r w:rsidRPr="00B37C6F">
        <w:rPr>
          <w:rFonts w:cs="Times New Roman"/>
          <w:kern w:val="2"/>
          <w:sz w:val="24"/>
          <w:szCs w:val="24"/>
          <w:lang w:val="es-CO" w:eastAsia="en-US"/>
          <w14:ligatures w14:val="standardContextual"/>
        </w:rPr>
        <w:t>n 51/2, de 9 de marzo de 2007</w:t>
      </w:r>
    </w:p>
    <w:p w14:paraId="5847C678" w14:textId="4B59EE83" w:rsidR="00B37C6F" w:rsidRDefault="00B37C6F" w:rsidP="00C76FB9">
      <w:pPr>
        <w:pStyle w:val="Prrafodelista"/>
        <w:widowControl/>
        <w:numPr>
          <w:ilvl w:val="0"/>
          <w:numId w:val="42"/>
        </w:numPr>
        <w:jc w:val="both"/>
        <w:rPr>
          <w:rFonts w:cs="Times New Roman"/>
          <w:kern w:val="2"/>
          <w:sz w:val="24"/>
          <w:szCs w:val="24"/>
          <w:lang w:val="es-CO" w:eastAsia="en-US"/>
          <w14:ligatures w14:val="standardContextual"/>
        </w:rPr>
      </w:pPr>
      <w:r>
        <w:rPr>
          <w:rFonts w:cs="Times New Roman"/>
          <w:kern w:val="2"/>
          <w:sz w:val="24"/>
          <w:szCs w:val="24"/>
          <w:lang w:val="es-CO" w:eastAsia="en-US"/>
          <w14:ligatures w14:val="standardContextual"/>
        </w:rPr>
        <w:t>R</w:t>
      </w:r>
      <w:r w:rsidRPr="00B37C6F">
        <w:rPr>
          <w:rFonts w:cs="Times New Roman"/>
          <w:kern w:val="2"/>
          <w:sz w:val="24"/>
          <w:szCs w:val="24"/>
          <w:lang w:val="es-CO" w:eastAsia="en-US"/>
          <w14:ligatures w14:val="standardContextual"/>
        </w:rPr>
        <w:t>esoluci</w:t>
      </w:r>
      <w:r>
        <w:rPr>
          <w:rFonts w:cs="Times New Roman"/>
          <w:kern w:val="2"/>
          <w:sz w:val="24"/>
          <w:szCs w:val="24"/>
          <w:lang w:val="es-CO" w:eastAsia="en-US"/>
          <w14:ligatures w14:val="standardContextual"/>
        </w:rPr>
        <w:t>ó</w:t>
      </w:r>
      <w:r w:rsidRPr="00B37C6F">
        <w:rPr>
          <w:rFonts w:cs="Times New Roman"/>
          <w:kern w:val="2"/>
          <w:sz w:val="24"/>
          <w:szCs w:val="24"/>
          <w:lang w:val="es-CO" w:eastAsia="en-US"/>
          <w14:ligatures w14:val="standardContextual"/>
        </w:rPr>
        <w:t>n 52/2, de 7 de marzo de 2008</w:t>
      </w:r>
    </w:p>
    <w:p w14:paraId="3179F633" w14:textId="541FF9D2" w:rsidR="00B37C6F" w:rsidRDefault="00B37C6F" w:rsidP="00B37C6F">
      <w:pPr>
        <w:pStyle w:val="Prrafodelista"/>
        <w:widowControl/>
        <w:numPr>
          <w:ilvl w:val="0"/>
          <w:numId w:val="42"/>
        </w:numPr>
        <w:jc w:val="both"/>
        <w:rPr>
          <w:rFonts w:cs="Times New Roman"/>
          <w:kern w:val="2"/>
          <w:sz w:val="24"/>
          <w:szCs w:val="24"/>
          <w:lang w:val="es-CO" w:eastAsia="en-US"/>
          <w14:ligatures w14:val="standardContextual"/>
        </w:rPr>
      </w:pPr>
      <w:r>
        <w:rPr>
          <w:rFonts w:cs="Times New Roman"/>
          <w:kern w:val="2"/>
          <w:sz w:val="24"/>
          <w:szCs w:val="24"/>
          <w:lang w:val="es-CO" w:eastAsia="en-US"/>
          <w14:ligatures w14:val="standardContextual"/>
        </w:rPr>
        <w:t>R</w:t>
      </w:r>
      <w:r w:rsidRPr="00B37C6F">
        <w:rPr>
          <w:rFonts w:cs="Times New Roman"/>
          <w:kern w:val="2"/>
          <w:sz w:val="24"/>
          <w:szCs w:val="24"/>
          <w:lang w:val="es-CO" w:eastAsia="en-US"/>
          <w14:ligatures w14:val="standardContextual"/>
        </w:rPr>
        <w:t>esoluci</w:t>
      </w:r>
      <w:r>
        <w:rPr>
          <w:rFonts w:cs="Times New Roman"/>
          <w:kern w:val="2"/>
          <w:sz w:val="24"/>
          <w:szCs w:val="24"/>
          <w:lang w:val="es-CO" w:eastAsia="en-US"/>
          <w14:ligatures w14:val="standardContextual"/>
        </w:rPr>
        <w:t>ó</w:t>
      </w:r>
      <w:r w:rsidRPr="00B37C6F">
        <w:rPr>
          <w:rFonts w:cs="Times New Roman"/>
          <w:kern w:val="2"/>
          <w:sz w:val="24"/>
          <w:szCs w:val="24"/>
          <w:lang w:val="es-CO" w:eastAsia="en-US"/>
          <w14:ligatures w14:val="standardContextual"/>
        </w:rPr>
        <w:t>n 54/7, de 12 de marzo de 2010</w:t>
      </w:r>
    </w:p>
    <w:p w14:paraId="3FA73452" w14:textId="77777777" w:rsidR="00B37C6F" w:rsidRDefault="00B37C6F" w:rsidP="00B37C6F">
      <w:pPr>
        <w:pStyle w:val="Prrafodelista"/>
        <w:widowControl/>
        <w:numPr>
          <w:ilvl w:val="0"/>
          <w:numId w:val="42"/>
        </w:numPr>
        <w:jc w:val="both"/>
        <w:rPr>
          <w:rFonts w:cs="Times New Roman"/>
          <w:kern w:val="2"/>
          <w:sz w:val="24"/>
          <w:szCs w:val="24"/>
          <w:lang w:val="es-CO" w:eastAsia="en-US"/>
          <w14:ligatures w14:val="standardContextual"/>
        </w:rPr>
      </w:pPr>
      <w:r w:rsidRPr="00B37C6F">
        <w:rPr>
          <w:rFonts w:cs="Times New Roman"/>
          <w:kern w:val="2"/>
          <w:sz w:val="24"/>
          <w:szCs w:val="24"/>
          <w:lang w:val="es-CO" w:eastAsia="en-US"/>
          <w14:ligatures w14:val="standardContextual"/>
        </w:rPr>
        <w:t>Resoluciones del Consejo de Derechos Humanos 27/22 de 26 de septiembre</w:t>
      </w:r>
      <w:r>
        <w:rPr>
          <w:rFonts w:cs="Times New Roman"/>
          <w:kern w:val="2"/>
          <w:sz w:val="24"/>
          <w:szCs w:val="24"/>
          <w:lang w:val="es-CO" w:eastAsia="en-US"/>
          <w14:ligatures w14:val="standardContextual"/>
        </w:rPr>
        <w:t xml:space="preserve"> </w:t>
      </w:r>
      <w:r w:rsidRPr="00B37C6F">
        <w:rPr>
          <w:rFonts w:cs="Times New Roman"/>
          <w:kern w:val="2"/>
          <w:sz w:val="24"/>
          <w:szCs w:val="24"/>
          <w:lang w:val="es-CO" w:eastAsia="en-US"/>
          <w14:ligatures w14:val="standardContextual"/>
        </w:rPr>
        <w:t>de 2014</w:t>
      </w:r>
    </w:p>
    <w:p w14:paraId="0A5DF139" w14:textId="47744850" w:rsidR="00801A8A" w:rsidRPr="00B37C6F" w:rsidRDefault="00B37C6F" w:rsidP="00C76FB9">
      <w:pPr>
        <w:pStyle w:val="Prrafodelista"/>
        <w:widowControl/>
        <w:numPr>
          <w:ilvl w:val="0"/>
          <w:numId w:val="42"/>
        </w:numPr>
        <w:jc w:val="both"/>
        <w:rPr>
          <w:rFonts w:cs="Times New Roman"/>
          <w:kern w:val="2"/>
          <w:sz w:val="24"/>
          <w:szCs w:val="24"/>
          <w:lang w:val="es-CO" w:eastAsia="en-US"/>
          <w14:ligatures w14:val="standardContextual"/>
        </w:rPr>
      </w:pPr>
      <w:r w:rsidRPr="00B37C6F">
        <w:rPr>
          <w:rFonts w:cs="Times New Roman"/>
          <w:kern w:val="2"/>
          <w:sz w:val="24"/>
          <w:szCs w:val="24"/>
          <w:lang w:val="es-CO" w:eastAsia="en-US"/>
          <w14:ligatures w14:val="standardContextual"/>
        </w:rPr>
        <w:t>Resolución 32/21, de 1 de julio de 2016</w:t>
      </w:r>
      <w:r>
        <w:rPr>
          <w:rFonts w:cs="Times New Roman"/>
          <w:kern w:val="2"/>
          <w:sz w:val="24"/>
          <w:szCs w:val="24"/>
          <w:lang w:val="es-CO" w:eastAsia="en-US"/>
          <w14:ligatures w14:val="standardContextual"/>
        </w:rPr>
        <w:t xml:space="preserve"> </w:t>
      </w:r>
      <w:r w:rsidRPr="00B37C6F">
        <w:rPr>
          <w:rFonts w:cs="Times New Roman"/>
          <w:kern w:val="2"/>
          <w:sz w:val="24"/>
          <w:szCs w:val="24"/>
          <w:lang w:val="es-CO" w:eastAsia="en-US"/>
          <w14:ligatures w14:val="standardContextual"/>
        </w:rPr>
        <w:t>Y todas las conclusiones convenidas pertinentes de la Comisión de la Condición Jurídica y Social de la Mujer</w:t>
      </w:r>
      <w:r>
        <w:rPr>
          <w:rFonts w:cs="Times New Roman"/>
          <w:kern w:val="2"/>
          <w:sz w:val="24"/>
          <w:szCs w:val="24"/>
          <w:lang w:val="es-CO" w:eastAsia="en-US"/>
          <w14:ligatures w14:val="standardContextual"/>
        </w:rPr>
        <w:t>.</w:t>
      </w:r>
    </w:p>
    <w:p w14:paraId="69915A82" w14:textId="77777777" w:rsidR="00801A8A" w:rsidRPr="0070117E" w:rsidRDefault="00801A8A" w:rsidP="00801A8A">
      <w:pPr>
        <w:widowControl/>
        <w:jc w:val="both"/>
        <w:rPr>
          <w:rFonts w:cs="Times New Roman"/>
          <w:kern w:val="2"/>
          <w:sz w:val="24"/>
          <w:szCs w:val="24"/>
          <w:lang w:val="es-CO" w:eastAsia="en-US"/>
          <w14:ligatures w14:val="standardContextual"/>
        </w:rPr>
      </w:pPr>
    </w:p>
    <w:p w14:paraId="7D2B4FCC" w14:textId="77777777" w:rsidR="00E426C4" w:rsidRPr="00E426C4" w:rsidRDefault="00E426C4" w:rsidP="00E426C4">
      <w:pPr>
        <w:widowControl/>
        <w:jc w:val="both"/>
        <w:rPr>
          <w:rFonts w:cs="Times New Roman"/>
          <w:kern w:val="2"/>
          <w:sz w:val="24"/>
          <w:szCs w:val="24"/>
          <w:lang w:val="es-CO" w:eastAsia="en-US"/>
          <w14:ligatures w14:val="standardContextual"/>
        </w:rPr>
      </w:pPr>
    </w:p>
    <w:p w14:paraId="01A12F96" w14:textId="77777777" w:rsidR="00E426C4" w:rsidRPr="00E426C4" w:rsidRDefault="00E426C4" w:rsidP="00E426C4">
      <w:pPr>
        <w:widowControl/>
        <w:jc w:val="both"/>
        <w:rPr>
          <w:rFonts w:cs="Times New Roman"/>
          <w:b/>
          <w:bCs/>
          <w:kern w:val="2"/>
          <w:sz w:val="24"/>
          <w:szCs w:val="24"/>
          <w:lang w:val="es-CO" w:eastAsia="en-US"/>
          <w14:ligatures w14:val="standardContextual"/>
        </w:rPr>
      </w:pPr>
      <w:r w:rsidRPr="00E426C4">
        <w:rPr>
          <w:rFonts w:cs="Times New Roman"/>
          <w:b/>
          <w:bCs/>
          <w:kern w:val="2"/>
          <w:sz w:val="24"/>
          <w:szCs w:val="24"/>
          <w:lang w:val="es-CO" w:eastAsia="en-US"/>
          <w14:ligatures w14:val="standardContextual"/>
        </w:rPr>
        <w:t>NORMAS DE DERECHO INTERNACIONAL RATIFICADAS POR COLOMBIA DE LAS QUE SE DERIVA LA OBLIGACIÓN DE PROHIBIR LA MUTILACIÓN GENITAL FEMENINA</w:t>
      </w:r>
    </w:p>
    <w:p w14:paraId="1FAB4551" w14:textId="77777777" w:rsidR="00E426C4" w:rsidRPr="00E426C4" w:rsidRDefault="00E426C4" w:rsidP="00E426C4">
      <w:pPr>
        <w:widowControl/>
        <w:jc w:val="both"/>
        <w:rPr>
          <w:rFonts w:cs="Times New Roman"/>
          <w:b/>
          <w:bCs/>
          <w:kern w:val="2"/>
          <w:sz w:val="24"/>
          <w:szCs w:val="24"/>
          <w:lang w:val="es-CO" w:eastAsia="en-US"/>
          <w14:ligatures w14:val="standardContextual"/>
        </w:rPr>
      </w:pPr>
    </w:p>
    <w:p w14:paraId="088EF445" w14:textId="77777777" w:rsidR="00E426C4" w:rsidRPr="00E426C4" w:rsidRDefault="00E426C4" w:rsidP="00E426C4">
      <w:pPr>
        <w:widowControl/>
        <w:jc w:val="both"/>
        <w:rPr>
          <w:rFonts w:cs="Times New Roman"/>
          <w:b/>
          <w:bCs/>
          <w:kern w:val="2"/>
          <w:sz w:val="24"/>
          <w:szCs w:val="24"/>
          <w:lang w:val="es-CO" w:eastAsia="en-US"/>
          <w14:ligatures w14:val="standardContextual"/>
        </w:rPr>
      </w:pPr>
      <w:r w:rsidRPr="00E426C4">
        <w:rPr>
          <w:rFonts w:cs="Times New Roman"/>
          <w:b/>
          <w:bCs/>
          <w:kern w:val="2"/>
          <w:sz w:val="24"/>
          <w:szCs w:val="24"/>
          <w:lang w:val="es-CO" w:eastAsia="en-US"/>
          <w14:ligatures w14:val="standardContextual"/>
        </w:rPr>
        <w:t>DECLARACIÓN UNIVERSAL DE DERECHOS HUMANOS</w:t>
      </w:r>
    </w:p>
    <w:p w14:paraId="6F3DB0C0" w14:textId="77777777" w:rsidR="00E426C4" w:rsidRPr="00E426C4" w:rsidRDefault="00E426C4" w:rsidP="00E426C4">
      <w:pPr>
        <w:widowControl/>
        <w:jc w:val="both"/>
        <w:rPr>
          <w:rFonts w:cs="Times New Roman"/>
          <w:b/>
          <w:bCs/>
          <w:i/>
          <w:iCs/>
          <w:kern w:val="2"/>
          <w:sz w:val="18"/>
          <w:szCs w:val="18"/>
          <w:lang w:val="es-CO" w:eastAsia="en-US"/>
          <w14:ligatures w14:val="standardContextual"/>
        </w:rPr>
      </w:pPr>
    </w:p>
    <w:p w14:paraId="2CB2A85B" w14:textId="77777777" w:rsidR="00E426C4" w:rsidRPr="00E426C4" w:rsidRDefault="00E426C4" w:rsidP="00E426C4">
      <w:pPr>
        <w:widowControl/>
        <w:jc w:val="both"/>
        <w:rPr>
          <w:rFonts w:cs="Times New Roman"/>
          <w:b/>
          <w:bCs/>
          <w:i/>
          <w:iCs/>
          <w:kern w:val="2"/>
          <w:sz w:val="18"/>
          <w:szCs w:val="18"/>
          <w:lang w:val="es-CO" w:eastAsia="en-US"/>
          <w14:ligatures w14:val="standardContextual"/>
        </w:rPr>
      </w:pPr>
      <w:r w:rsidRPr="00E426C4">
        <w:rPr>
          <w:rFonts w:cs="Times New Roman"/>
          <w:b/>
          <w:bCs/>
          <w:i/>
          <w:iCs/>
          <w:kern w:val="2"/>
          <w:sz w:val="18"/>
          <w:szCs w:val="18"/>
          <w:lang w:val="es-CO" w:eastAsia="en-US"/>
          <w14:ligatures w14:val="standardContextual"/>
        </w:rPr>
        <w:t>“Artículo 2</w:t>
      </w:r>
    </w:p>
    <w:p w14:paraId="5CF16AD2"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Toda persona tiene todos los derechos y libertades proclamados en esta Declaración, sin distinción alguna de raza, color, sexo, idioma, religión, opinión política o de cualquier otra índole, origen nacional o social, posición económica, nacimiento o cualquier otra condición. Además, no se hará distinción alguna fundada en la condición política, jurídica o internacional del país o territorio de cuya jurisdicción dependa una persona, tanto si se trata de un país independiente, como de un territorio bajo administración fiduciaria, no autónomo o sometido a cualquier otra limitación de soberanía.</w:t>
      </w:r>
    </w:p>
    <w:p w14:paraId="349BEA3C" w14:textId="77777777" w:rsidR="00E426C4" w:rsidRPr="00E426C4" w:rsidRDefault="00E426C4" w:rsidP="00E426C4">
      <w:pPr>
        <w:widowControl/>
        <w:jc w:val="both"/>
        <w:rPr>
          <w:rFonts w:cs="Times New Roman"/>
          <w:i/>
          <w:iCs/>
          <w:kern w:val="2"/>
          <w:sz w:val="18"/>
          <w:szCs w:val="18"/>
          <w:lang w:val="es-CO" w:eastAsia="en-US"/>
          <w14:ligatures w14:val="standardContextual"/>
        </w:rPr>
      </w:pPr>
    </w:p>
    <w:p w14:paraId="5C75C182" w14:textId="77777777" w:rsidR="00E426C4" w:rsidRPr="00E426C4" w:rsidRDefault="00E426C4" w:rsidP="00E426C4">
      <w:pPr>
        <w:widowControl/>
        <w:jc w:val="both"/>
        <w:rPr>
          <w:rFonts w:cs="Times New Roman"/>
          <w:b/>
          <w:bCs/>
          <w:i/>
          <w:iCs/>
          <w:kern w:val="2"/>
          <w:sz w:val="18"/>
          <w:szCs w:val="18"/>
          <w:lang w:val="es-CO" w:eastAsia="en-US"/>
          <w14:ligatures w14:val="standardContextual"/>
        </w:rPr>
      </w:pPr>
    </w:p>
    <w:p w14:paraId="2C8D7D88" w14:textId="77777777" w:rsidR="00E426C4" w:rsidRPr="00E426C4" w:rsidRDefault="00E426C4" w:rsidP="00E426C4">
      <w:pPr>
        <w:widowControl/>
        <w:jc w:val="both"/>
        <w:rPr>
          <w:rFonts w:cs="Times New Roman"/>
          <w:b/>
          <w:bCs/>
          <w:i/>
          <w:iCs/>
          <w:kern w:val="2"/>
          <w:sz w:val="18"/>
          <w:szCs w:val="18"/>
          <w:lang w:val="es-CO" w:eastAsia="en-US"/>
          <w14:ligatures w14:val="standardContextual"/>
        </w:rPr>
      </w:pPr>
    </w:p>
    <w:p w14:paraId="4B15940F" w14:textId="77777777" w:rsidR="00E426C4" w:rsidRPr="00E426C4" w:rsidRDefault="00E426C4" w:rsidP="00E426C4">
      <w:pPr>
        <w:widowControl/>
        <w:jc w:val="both"/>
        <w:rPr>
          <w:rFonts w:cs="Times New Roman"/>
          <w:b/>
          <w:bCs/>
          <w:i/>
          <w:iCs/>
          <w:kern w:val="2"/>
          <w:sz w:val="18"/>
          <w:szCs w:val="18"/>
          <w:lang w:val="es-CO" w:eastAsia="en-US"/>
          <w14:ligatures w14:val="standardContextual"/>
        </w:rPr>
      </w:pPr>
      <w:r w:rsidRPr="00E426C4">
        <w:rPr>
          <w:rFonts w:cs="Times New Roman"/>
          <w:b/>
          <w:bCs/>
          <w:i/>
          <w:iCs/>
          <w:kern w:val="2"/>
          <w:sz w:val="18"/>
          <w:szCs w:val="18"/>
          <w:lang w:val="es-CO" w:eastAsia="en-US"/>
          <w14:ligatures w14:val="standardContextual"/>
        </w:rPr>
        <w:t>Artículo 5</w:t>
      </w:r>
    </w:p>
    <w:p w14:paraId="15DDF27F"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Nadie será sometido a torturas ni a penas o tratos crueles, inhumanos o degradantes”.</w:t>
      </w:r>
    </w:p>
    <w:p w14:paraId="7EACACF4" w14:textId="77777777" w:rsidR="00E426C4" w:rsidRPr="00E426C4" w:rsidRDefault="00E426C4" w:rsidP="00E426C4">
      <w:pPr>
        <w:widowControl/>
        <w:jc w:val="both"/>
        <w:rPr>
          <w:rFonts w:cs="Times New Roman"/>
          <w:i/>
          <w:iCs/>
          <w:kern w:val="2"/>
          <w:sz w:val="20"/>
          <w:szCs w:val="20"/>
          <w:lang w:val="es-CO" w:eastAsia="en-US"/>
          <w14:ligatures w14:val="standardContextual"/>
        </w:rPr>
      </w:pPr>
    </w:p>
    <w:p w14:paraId="4173FD09" w14:textId="77777777" w:rsidR="00E426C4" w:rsidRPr="00E426C4" w:rsidRDefault="00E426C4" w:rsidP="00E426C4">
      <w:pPr>
        <w:widowControl/>
        <w:jc w:val="both"/>
        <w:rPr>
          <w:rFonts w:cs="Times New Roman"/>
          <w:b/>
          <w:bCs/>
          <w:kern w:val="2"/>
          <w:sz w:val="24"/>
          <w:szCs w:val="24"/>
          <w:lang w:val="es-CO" w:eastAsia="en-US"/>
          <w14:ligatures w14:val="standardContextual"/>
        </w:rPr>
      </w:pPr>
      <w:r w:rsidRPr="00E426C4">
        <w:rPr>
          <w:rFonts w:cs="Times New Roman"/>
          <w:b/>
          <w:bCs/>
          <w:kern w:val="2"/>
          <w:sz w:val="24"/>
          <w:szCs w:val="24"/>
          <w:lang w:val="es-CO" w:eastAsia="en-US"/>
          <w14:ligatures w14:val="standardContextual"/>
        </w:rPr>
        <w:t>PACTO INTERNACIONAL DE DERECHOS CIVILES Y POLITICOS</w:t>
      </w:r>
    </w:p>
    <w:p w14:paraId="19BF076E" w14:textId="77777777" w:rsidR="00E426C4" w:rsidRPr="00E426C4" w:rsidRDefault="00E426C4" w:rsidP="00E426C4">
      <w:pPr>
        <w:widowControl/>
        <w:jc w:val="both"/>
        <w:rPr>
          <w:rFonts w:cs="Times New Roman"/>
          <w:b/>
          <w:bCs/>
          <w:i/>
          <w:iCs/>
          <w:kern w:val="2"/>
          <w:sz w:val="18"/>
          <w:szCs w:val="18"/>
          <w:lang w:val="es-CO" w:eastAsia="en-US"/>
          <w14:ligatures w14:val="standardContextual"/>
        </w:rPr>
      </w:pPr>
      <w:r w:rsidRPr="00E426C4">
        <w:rPr>
          <w:rFonts w:cs="Times New Roman"/>
          <w:b/>
          <w:bCs/>
          <w:i/>
          <w:iCs/>
          <w:kern w:val="2"/>
          <w:sz w:val="18"/>
          <w:szCs w:val="18"/>
          <w:lang w:val="es-CO" w:eastAsia="en-US"/>
          <w14:ligatures w14:val="standardContextual"/>
        </w:rPr>
        <w:t>Artículo 7</w:t>
      </w:r>
    </w:p>
    <w:p w14:paraId="508CD389"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lastRenderedPageBreak/>
        <w:t>Nadie será sometido a torturas ni a penas o tratos crueles, inhumanos o degradantes. En particular, nadie será sometido sin su libre consentimiento a experimentos médicos o científicos.</w:t>
      </w:r>
    </w:p>
    <w:p w14:paraId="459C2109" w14:textId="77777777" w:rsidR="00E426C4" w:rsidRPr="00E426C4" w:rsidRDefault="00E426C4" w:rsidP="00E426C4">
      <w:pPr>
        <w:widowControl/>
        <w:jc w:val="both"/>
        <w:rPr>
          <w:rFonts w:cs="Times New Roman"/>
          <w:i/>
          <w:iCs/>
          <w:kern w:val="2"/>
          <w:sz w:val="18"/>
          <w:szCs w:val="18"/>
          <w:lang w:val="es-CO" w:eastAsia="en-US"/>
          <w14:ligatures w14:val="standardContextual"/>
        </w:rPr>
      </w:pPr>
    </w:p>
    <w:p w14:paraId="11AC3030" w14:textId="77777777" w:rsidR="00E426C4" w:rsidRPr="00E426C4" w:rsidRDefault="00E426C4" w:rsidP="00E426C4">
      <w:pPr>
        <w:widowControl/>
        <w:jc w:val="both"/>
        <w:rPr>
          <w:rFonts w:cs="Times New Roman"/>
          <w:b/>
          <w:bCs/>
          <w:i/>
          <w:iCs/>
          <w:kern w:val="2"/>
          <w:sz w:val="18"/>
          <w:szCs w:val="18"/>
          <w:lang w:val="es-CO" w:eastAsia="en-US"/>
          <w14:ligatures w14:val="standardContextual"/>
        </w:rPr>
      </w:pPr>
      <w:r w:rsidRPr="00E426C4">
        <w:rPr>
          <w:rFonts w:cs="Times New Roman"/>
          <w:b/>
          <w:bCs/>
          <w:i/>
          <w:iCs/>
          <w:kern w:val="2"/>
          <w:sz w:val="18"/>
          <w:szCs w:val="18"/>
          <w:lang w:val="es-CO" w:eastAsia="en-US"/>
          <w14:ligatures w14:val="standardContextual"/>
        </w:rPr>
        <w:t>Artículo 8</w:t>
      </w:r>
    </w:p>
    <w:p w14:paraId="15C153B8"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1. Nadie estará sometido a esclavitud. La esclavitud y la trata de esclavos estarán prohibidas en todas sus formas.</w:t>
      </w:r>
    </w:p>
    <w:p w14:paraId="34B568C0"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2. Nadie estará sometido a servidumbre.</w:t>
      </w:r>
    </w:p>
    <w:p w14:paraId="2E805C5A"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3.</w:t>
      </w:r>
    </w:p>
    <w:p w14:paraId="0D63B0EE"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a) Nadie será constreñido a ejecutar un trabajo forzoso u obligatorio;</w:t>
      </w:r>
    </w:p>
    <w:p w14:paraId="448751D5"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b) El inciso precedente no podrá ser interpretado en el sentido de que prohíbe, en los países en los cuales ciertos delitos pueden ser castigados con la pena de prisión acompañada de trabajos forzados, el cumplimiento de una pena de trabajos forzados impuesta por un tribunal competente;</w:t>
      </w:r>
    </w:p>
    <w:p w14:paraId="165B3B23"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c) No se considerarán como "trabajo forzoso u obligatorio", a los efectos de este párrafo:</w:t>
      </w:r>
    </w:p>
    <w:p w14:paraId="44F870A0"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i) Los trabajos o servicios que, aparte de los mencionados en el inciso b), se exijan normalmente de una persona presa en virtud de una decisión judicial legalmente dictada, o de una persona que habiendo sido presa en virtud de tal decisión se encuentre en libertad condicional;</w:t>
      </w:r>
    </w:p>
    <w:p w14:paraId="0A058BD6"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ii) El servicio de carácter militar y, en los países donde se admite la exención por razones de conciencia, el servicio nacional que deben prestar conforme a la ley quienes se opongan al servicio militar por razones de conciencia.</w:t>
      </w:r>
    </w:p>
    <w:p w14:paraId="11D23ED4"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iii) El servicio impuesto en casos de peligro o calamidad que amenace la vida o el bienestar de la comunidad;</w:t>
      </w:r>
    </w:p>
    <w:p w14:paraId="49C0F354"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iv) El trabajo o servicio que forme parte de las obligaciones cívicas normales.</w:t>
      </w:r>
    </w:p>
    <w:p w14:paraId="0A43ACB8" w14:textId="77777777" w:rsidR="00E426C4" w:rsidRPr="00E426C4" w:rsidRDefault="00E426C4" w:rsidP="00E426C4">
      <w:pPr>
        <w:widowControl/>
        <w:jc w:val="both"/>
        <w:rPr>
          <w:rFonts w:cs="Times New Roman"/>
          <w:i/>
          <w:iCs/>
          <w:kern w:val="2"/>
          <w:sz w:val="20"/>
          <w:szCs w:val="20"/>
          <w:lang w:val="es-CO" w:eastAsia="en-US"/>
          <w14:ligatures w14:val="standardContextual"/>
        </w:rPr>
      </w:pPr>
    </w:p>
    <w:p w14:paraId="6145C218" w14:textId="77777777" w:rsidR="00E426C4" w:rsidRPr="00E426C4" w:rsidRDefault="00E426C4" w:rsidP="00E426C4">
      <w:pPr>
        <w:widowControl/>
        <w:jc w:val="both"/>
        <w:rPr>
          <w:rFonts w:cs="Times New Roman"/>
          <w:b/>
          <w:bCs/>
          <w:kern w:val="2"/>
          <w:sz w:val="24"/>
          <w:szCs w:val="24"/>
          <w:lang w:val="es-CO" w:eastAsia="en-US"/>
          <w14:ligatures w14:val="standardContextual"/>
        </w:rPr>
      </w:pPr>
      <w:r w:rsidRPr="00E426C4">
        <w:rPr>
          <w:rFonts w:cs="Times New Roman"/>
          <w:b/>
          <w:bCs/>
          <w:kern w:val="2"/>
          <w:sz w:val="24"/>
          <w:szCs w:val="24"/>
          <w:lang w:val="es-CO" w:eastAsia="en-US"/>
          <w14:ligatures w14:val="standardContextual"/>
        </w:rPr>
        <w:t>CONVENCIÓN CONTRA LA TORTURA Y OTROS TRATOS O PENAS CRUELES, INHUMANOS O DEGRADANTES</w:t>
      </w:r>
    </w:p>
    <w:p w14:paraId="4C33F5D9" w14:textId="77777777" w:rsidR="00E426C4" w:rsidRPr="00E426C4" w:rsidRDefault="00E426C4" w:rsidP="00E426C4">
      <w:pPr>
        <w:widowControl/>
        <w:jc w:val="both"/>
        <w:rPr>
          <w:rFonts w:cs="Times New Roman"/>
          <w:b/>
          <w:bCs/>
          <w:i/>
          <w:iCs/>
          <w:kern w:val="2"/>
          <w:sz w:val="18"/>
          <w:szCs w:val="18"/>
          <w:lang w:val="es-CO" w:eastAsia="en-US"/>
          <w14:ligatures w14:val="standardContextual"/>
        </w:rPr>
      </w:pPr>
      <w:r w:rsidRPr="00E426C4">
        <w:rPr>
          <w:rFonts w:cs="Times New Roman"/>
          <w:b/>
          <w:bCs/>
          <w:i/>
          <w:iCs/>
          <w:kern w:val="2"/>
          <w:sz w:val="18"/>
          <w:szCs w:val="18"/>
          <w:lang w:val="es-CO" w:eastAsia="en-US"/>
          <w14:ligatures w14:val="standardContextual"/>
        </w:rPr>
        <w:t>Artículo 24</w:t>
      </w:r>
    </w:p>
    <w:p w14:paraId="006B6B97"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1. Los Estados Partes reconocen el derecho del niño al disfrute del más alto nivel posible de salud y a servicios para el tratamiento de las enfermedades y la rehabilitación de la salud. Los Estados Partes se esforzarán por asegurar que ningún niño sea privado de su derecho al disfrute de esos servicios sanitarios.</w:t>
      </w:r>
    </w:p>
    <w:p w14:paraId="340B2698"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2. Los Estados Partes asegurarán la plena aplicación de este derecho y, en particular, adoptarán las medidas apropiadas para:</w:t>
      </w:r>
    </w:p>
    <w:p w14:paraId="2AD46B8A"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a) Reducir la mortalidad infantil y en la niñez;</w:t>
      </w:r>
      <w:r w:rsidRPr="00E426C4">
        <w:rPr>
          <w:rFonts w:cs="Times New Roman"/>
          <w:kern w:val="2"/>
          <w:sz w:val="18"/>
          <w:szCs w:val="18"/>
          <w:lang w:val="es-CO" w:eastAsia="en-US"/>
          <w14:ligatures w14:val="standardContextual"/>
        </w:rPr>
        <w:t xml:space="preserve"> </w:t>
      </w:r>
      <w:r w:rsidRPr="00E426C4">
        <w:rPr>
          <w:rFonts w:cs="Times New Roman"/>
          <w:i/>
          <w:iCs/>
          <w:kern w:val="2"/>
          <w:sz w:val="18"/>
          <w:szCs w:val="18"/>
          <w:lang w:val="es-CO" w:eastAsia="en-US"/>
          <w14:ligatures w14:val="standardContextual"/>
        </w:rPr>
        <w:t>b) Asegurar la prestación de la asistencia médica y la atención sanitaria que sean necesarias a todos los niños, haciendo hincapié en el desarrollo de la atención primaria de salud;</w:t>
      </w:r>
    </w:p>
    <w:p w14:paraId="322E55B4"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c) Combatir las enfermedades y la malnutrición en el marco de la atención primaria de la salud mediante, entre otras cosas, la aplicación de la tecnología disponible y el suministro de alimentos nutritivos adecuados y agua potable salubre, teniendo en cuenta los peligros y riesgos de contaminación del medio ambiente;</w:t>
      </w:r>
    </w:p>
    <w:p w14:paraId="369A9DF0"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d) Asegurar atención sanitaria prenatal y postnatal apropiada a las madres;</w:t>
      </w:r>
    </w:p>
    <w:p w14:paraId="64A9E394"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e) Asegurar que todos los sectores de la sociedad, y en particular los padres y los niños, conozcan los principios básicos de la salud y la nutrición de los niños, las ventajas de la lactancia materna, la higiene y el saneamiento ambiental y las medidas de prevención de accidentes, tengan acceso a la educación pertinente y reciban apoyo en la aplicación de esos conocimientos;</w:t>
      </w:r>
    </w:p>
    <w:p w14:paraId="648C8FC3"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f) Desarrollar la atención sanitaria preventiva, la orientación a los padres y la educación y servicios en materia</w:t>
      </w:r>
    </w:p>
    <w:p w14:paraId="7F74145C"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de planificación de la familia.</w:t>
      </w:r>
    </w:p>
    <w:p w14:paraId="233E1C89"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3. Los Estados Partes adoptarán todas las medidas eficaces y apropiadas posibles para abolir las prácticas tradicionales que sean perjudiciales para la salud de los niños.</w:t>
      </w:r>
    </w:p>
    <w:p w14:paraId="20D98B37"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4. Los Estados Partes se comprometen a promover y alentar la cooperación internacional con miras a lograr progresivamente la plena realización del derecho reconocido en el presente artículo. A este respecto, se tendrán plenamente en cuenta las necesidades de los países en desarrollo.</w:t>
      </w:r>
    </w:p>
    <w:p w14:paraId="54BE6F7B" w14:textId="77777777" w:rsidR="00E426C4" w:rsidRPr="00E426C4" w:rsidRDefault="00E426C4" w:rsidP="00E426C4">
      <w:pPr>
        <w:widowControl/>
        <w:jc w:val="both"/>
        <w:rPr>
          <w:rFonts w:cs="Times New Roman"/>
          <w:i/>
          <w:iCs/>
          <w:kern w:val="2"/>
          <w:sz w:val="20"/>
          <w:szCs w:val="20"/>
          <w:lang w:val="es-CO" w:eastAsia="en-US"/>
          <w14:ligatures w14:val="standardContextual"/>
        </w:rPr>
      </w:pPr>
    </w:p>
    <w:p w14:paraId="28C7ABDC" w14:textId="77777777" w:rsidR="00E426C4" w:rsidRPr="00E426C4" w:rsidRDefault="00E426C4" w:rsidP="00E426C4">
      <w:pPr>
        <w:widowControl/>
        <w:jc w:val="both"/>
        <w:rPr>
          <w:rFonts w:cs="Times New Roman"/>
          <w:b/>
          <w:bCs/>
          <w:i/>
          <w:iCs/>
          <w:kern w:val="2"/>
          <w:sz w:val="24"/>
          <w:szCs w:val="24"/>
          <w:lang w:val="es-CO" w:eastAsia="en-US"/>
          <w14:ligatures w14:val="standardContextual"/>
        </w:rPr>
      </w:pPr>
      <w:r w:rsidRPr="00E426C4">
        <w:rPr>
          <w:rFonts w:cs="Times New Roman"/>
          <w:b/>
          <w:bCs/>
          <w:i/>
          <w:iCs/>
          <w:kern w:val="2"/>
          <w:sz w:val="24"/>
          <w:szCs w:val="24"/>
          <w:lang w:val="es-CO" w:eastAsia="en-US"/>
          <w14:ligatures w14:val="standardContextual"/>
        </w:rPr>
        <w:t>CONVENCIÓN SOBRE LA ELIMINACIÓN DE TODAS LAS FORMAS DE DISCRIMINACIÓN CONTRA LA MUJER</w:t>
      </w:r>
    </w:p>
    <w:p w14:paraId="0F18D929" w14:textId="77777777" w:rsidR="00E426C4" w:rsidRPr="00E426C4" w:rsidRDefault="00E426C4" w:rsidP="00E426C4">
      <w:pPr>
        <w:widowControl/>
        <w:jc w:val="both"/>
        <w:rPr>
          <w:rFonts w:cs="Times New Roman"/>
          <w:b/>
          <w:bCs/>
          <w:i/>
          <w:iCs/>
          <w:kern w:val="2"/>
          <w:sz w:val="18"/>
          <w:szCs w:val="18"/>
          <w:lang w:val="es-CO" w:eastAsia="en-US"/>
          <w14:ligatures w14:val="standardContextual"/>
        </w:rPr>
      </w:pPr>
      <w:r w:rsidRPr="00E426C4">
        <w:rPr>
          <w:rFonts w:cs="Times New Roman"/>
          <w:b/>
          <w:bCs/>
          <w:i/>
          <w:iCs/>
          <w:kern w:val="2"/>
          <w:sz w:val="18"/>
          <w:szCs w:val="18"/>
          <w:lang w:val="es-CO" w:eastAsia="en-US"/>
          <w14:ligatures w14:val="standardContextual"/>
        </w:rPr>
        <w:t>Artículo 1</w:t>
      </w:r>
    </w:p>
    <w:p w14:paraId="474FC340"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A los efectos de la presente Convención, la expresión “discriminación contra la mujer denotará toda distinción, exclusión o restricción basada en el sexo que tenga por objeto o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14:paraId="5A02416B" w14:textId="77777777" w:rsidR="00E426C4" w:rsidRPr="00E426C4" w:rsidRDefault="00E426C4" w:rsidP="00E426C4">
      <w:pPr>
        <w:widowControl/>
        <w:jc w:val="both"/>
        <w:rPr>
          <w:rFonts w:cs="Times New Roman"/>
          <w:i/>
          <w:iCs/>
          <w:kern w:val="2"/>
          <w:sz w:val="18"/>
          <w:szCs w:val="18"/>
          <w:lang w:val="es-CO" w:eastAsia="en-US"/>
          <w14:ligatures w14:val="standardContextual"/>
        </w:rPr>
      </w:pPr>
    </w:p>
    <w:p w14:paraId="2394978A" w14:textId="77777777" w:rsidR="00E426C4" w:rsidRPr="00E426C4" w:rsidRDefault="00E426C4" w:rsidP="00E426C4">
      <w:pPr>
        <w:widowControl/>
        <w:jc w:val="both"/>
        <w:rPr>
          <w:rFonts w:cs="Times New Roman"/>
          <w:b/>
          <w:bCs/>
          <w:i/>
          <w:iCs/>
          <w:kern w:val="2"/>
          <w:sz w:val="18"/>
          <w:szCs w:val="18"/>
          <w:lang w:val="es-CO" w:eastAsia="en-US"/>
          <w14:ligatures w14:val="standardContextual"/>
        </w:rPr>
      </w:pPr>
      <w:r w:rsidRPr="00E426C4">
        <w:rPr>
          <w:rFonts w:cs="Times New Roman"/>
          <w:b/>
          <w:bCs/>
          <w:i/>
          <w:iCs/>
          <w:kern w:val="2"/>
          <w:sz w:val="18"/>
          <w:szCs w:val="18"/>
          <w:lang w:val="es-CO" w:eastAsia="en-US"/>
          <w14:ligatures w14:val="standardContextual"/>
        </w:rPr>
        <w:lastRenderedPageBreak/>
        <w:t>Artículo 2</w:t>
      </w:r>
    </w:p>
    <w:p w14:paraId="168651AB"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Los Estados Partes condenan la discriminación contra la mujer en todas sus formas, convienen en seguir, por todos los medios apropiados y sin dilaciones, una política encaminada a eliminar la discriminación contra la mujer y, con tal objeto, se comprometen a:</w:t>
      </w:r>
    </w:p>
    <w:p w14:paraId="39F7BA01"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a) Consagrar, si aún no lo han hecho, en sus constituciones nacionales y en cualquier otra legislación apropiada el principio de la igualdad del hombre y de la mujer y asegurar por ley u otros medios apropiados la realización práctica de ese principio;</w:t>
      </w:r>
    </w:p>
    <w:p w14:paraId="6FA78AA2"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b) Adoptar medidas adecuadas, legislativas y de otro carácter, con las sanciones correspondientes, que prohíban toda discriminación contra la mujer;</w:t>
      </w:r>
    </w:p>
    <w:p w14:paraId="097E53A1"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c) Establecer la protección jurídica de los derechos de la mujer sobre una base de igualdad con los del hombre y garantizar, por conducto de los tribunales nacionales competentes y de otras instituciones públicas, la protección efectiva de la mujer contra todo acto de discriminación;</w:t>
      </w:r>
    </w:p>
    <w:p w14:paraId="4E5AF4D2"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d) Abstenerse de incurrir en todo acto o práctica de discriminación contra la mujer y velar por que las autoridades e instituciones públicas actúen de conformidad con esta obligación;</w:t>
      </w:r>
    </w:p>
    <w:p w14:paraId="126EF203"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e) Tomar todas las medidas apropiadas para eliminar la discriminación contra la mujer practicada por cualesquiera personas, organizaciones o empresas;</w:t>
      </w:r>
    </w:p>
    <w:p w14:paraId="454708C6"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 xml:space="preserve">f) Adoptar todas las medidas adecuadas, incluso de carácter legislativo, para modificar o derogar leyes, reglamentos, usos </w:t>
      </w:r>
    </w:p>
    <w:p w14:paraId="512869CC" w14:textId="77777777" w:rsidR="00E426C4" w:rsidRPr="00E426C4" w:rsidRDefault="00E426C4" w:rsidP="00E426C4">
      <w:pPr>
        <w:widowControl/>
        <w:jc w:val="both"/>
        <w:rPr>
          <w:rFonts w:cs="Times New Roman"/>
          <w:i/>
          <w:iCs/>
          <w:kern w:val="2"/>
          <w:sz w:val="18"/>
          <w:szCs w:val="18"/>
          <w:lang w:val="es-CO" w:eastAsia="en-US"/>
          <w14:ligatures w14:val="standardContextual"/>
        </w:rPr>
      </w:pPr>
    </w:p>
    <w:p w14:paraId="166F9718"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y prácticas que constituyan discriminación contra la mujer;</w:t>
      </w:r>
    </w:p>
    <w:p w14:paraId="52044158"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g) Derogar todas las disposiciones penales nacionales que constituyan discriminación contra la mujer.</w:t>
      </w:r>
    </w:p>
    <w:p w14:paraId="084BADB4" w14:textId="77777777" w:rsidR="00E426C4" w:rsidRPr="00E426C4" w:rsidRDefault="00E426C4" w:rsidP="00E426C4">
      <w:pPr>
        <w:widowControl/>
        <w:jc w:val="both"/>
        <w:rPr>
          <w:rFonts w:cs="Times New Roman"/>
          <w:i/>
          <w:iCs/>
          <w:kern w:val="2"/>
          <w:sz w:val="18"/>
          <w:szCs w:val="18"/>
          <w:lang w:val="es-CO" w:eastAsia="en-US"/>
          <w14:ligatures w14:val="standardContextual"/>
        </w:rPr>
      </w:pPr>
    </w:p>
    <w:p w14:paraId="5A5398F9" w14:textId="77777777" w:rsidR="00E426C4" w:rsidRPr="00E426C4" w:rsidRDefault="00E426C4" w:rsidP="00E426C4">
      <w:pPr>
        <w:widowControl/>
        <w:jc w:val="both"/>
        <w:rPr>
          <w:rFonts w:cs="Times New Roman"/>
          <w:b/>
          <w:bCs/>
          <w:i/>
          <w:iCs/>
          <w:kern w:val="2"/>
          <w:sz w:val="18"/>
          <w:szCs w:val="18"/>
          <w:lang w:val="es-CO" w:eastAsia="en-US"/>
          <w14:ligatures w14:val="standardContextual"/>
        </w:rPr>
      </w:pPr>
      <w:r w:rsidRPr="00E426C4">
        <w:rPr>
          <w:rFonts w:cs="Times New Roman"/>
          <w:b/>
          <w:bCs/>
          <w:i/>
          <w:iCs/>
          <w:kern w:val="2"/>
          <w:sz w:val="18"/>
          <w:szCs w:val="18"/>
          <w:lang w:val="es-CO" w:eastAsia="en-US"/>
          <w14:ligatures w14:val="standardContextual"/>
        </w:rPr>
        <w:t>Artículo 3</w:t>
      </w:r>
    </w:p>
    <w:p w14:paraId="54206657" w14:textId="77777777" w:rsidR="00E426C4" w:rsidRPr="00E426C4" w:rsidRDefault="00E426C4" w:rsidP="00E426C4">
      <w:pPr>
        <w:widowControl/>
        <w:jc w:val="both"/>
        <w:rPr>
          <w:rFonts w:cs="Times New Roman"/>
          <w:i/>
          <w:iCs/>
          <w:kern w:val="2"/>
          <w:sz w:val="18"/>
          <w:szCs w:val="18"/>
          <w:lang w:val="es-CO" w:eastAsia="en-US"/>
          <w14:ligatures w14:val="standardContextual"/>
        </w:rPr>
      </w:pPr>
      <w:r w:rsidRPr="00E426C4">
        <w:rPr>
          <w:rFonts w:cs="Times New Roman"/>
          <w:i/>
          <w:iCs/>
          <w:kern w:val="2"/>
          <w:sz w:val="18"/>
          <w:szCs w:val="18"/>
          <w:lang w:val="es-CO" w:eastAsia="en-US"/>
          <w14:ligatures w14:val="standardContextual"/>
        </w:rPr>
        <w:t>Los Estados Partes tomarán en todas las esferas, y en particular en las esferas política, social, económica y cultural, todas las medidas apropiadas, incluso de carácter legislativo, para asegurar el pleno desarrollo y adelanto de la mujer, con el objeto de garantizarle el ejercicio y el goce de los derechos humanos y las libertades fundamentales en igualdad de condiciones con el hombre.</w:t>
      </w:r>
    </w:p>
    <w:p w14:paraId="7A03084B" w14:textId="77777777" w:rsidR="00E426C4" w:rsidRPr="00E426C4" w:rsidRDefault="00E426C4" w:rsidP="00E426C4">
      <w:pPr>
        <w:widowControl/>
        <w:jc w:val="both"/>
        <w:rPr>
          <w:rFonts w:cs="Times New Roman"/>
          <w:i/>
          <w:iCs/>
          <w:kern w:val="2"/>
          <w:sz w:val="18"/>
          <w:szCs w:val="18"/>
          <w:lang w:val="es-CO" w:eastAsia="en-US"/>
          <w14:ligatures w14:val="standardContextual"/>
        </w:rPr>
      </w:pPr>
    </w:p>
    <w:p w14:paraId="61622CA4" w14:textId="77777777" w:rsidR="00E426C4" w:rsidRPr="00E426C4" w:rsidRDefault="00E426C4" w:rsidP="00E426C4">
      <w:pPr>
        <w:widowControl/>
        <w:jc w:val="both"/>
        <w:rPr>
          <w:rFonts w:cs="Times New Roman"/>
          <w:b/>
          <w:bCs/>
          <w:noProof/>
          <w:kern w:val="2"/>
          <w:lang w:val="es-CO" w:eastAsia="en-US"/>
          <w14:ligatures w14:val="standardContextual"/>
        </w:rPr>
      </w:pPr>
      <w:r w:rsidRPr="00E426C4">
        <w:rPr>
          <w:rFonts w:cs="Times New Roman"/>
          <w:b/>
          <w:bCs/>
          <w:noProof/>
          <w:kern w:val="2"/>
          <w:lang w:val="es-CO" w:eastAsia="en-US"/>
          <w14:ligatures w14:val="standardContextual"/>
        </w:rPr>
        <w:t xml:space="preserve">LOS OBJETIVOS DE DESARROLLO SOSTENIBLE </w:t>
      </w:r>
    </w:p>
    <w:p w14:paraId="0E57721D" w14:textId="77777777" w:rsidR="00E426C4" w:rsidRPr="00E426C4" w:rsidRDefault="00E426C4" w:rsidP="00E426C4">
      <w:pPr>
        <w:widowControl/>
        <w:jc w:val="both"/>
        <w:rPr>
          <w:rFonts w:cs="Times New Roman"/>
          <w:noProof/>
          <w:kern w:val="2"/>
          <w:lang w:val="es-CO" w:eastAsia="en-US"/>
          <w14:ligatures w14:val="standardContextual"/>
        </w:rPr>
      </w:pPr>
    </w:p>
    <w:p w14:paraId="4BC1708A" w14:textId="77777777" w:rsidR="00E426C4" w:rsidRPr="00E426C4" w:rsidRDefault="00E426C4" w:rsidP="00E426C4">
      <w:pPr>
        <w:widowControl/>
        <w:jc w:val="center"/>
        <w:rPr>
          <w:rFonts w:cs="Times New Roman"/>
          <w:i/>
          <w:iCs/>
          <w:kern w:val="2"/>
          <w:sz w:val="18"/>
          <w:szCs w:val="18"/>
          <w:lang w:val="es-CO" w:eastAsia="en-US"/>
          <w14:ligatures w14:val="standardContextual"/>
        </w:rPr>
      </w:pPr>
      <w:r w:rsidRPr="00E426C4">
        <w:rPr>
          <w:rFonts w:cs="Times New Roman"/>
          <w:noProof/>
          <w:kern w:val="2"/>
          <w:lang w:val="es-CO" w:eastAsia="es-CO"/>
          <w14:ligatures w14:val="standardContextual"/>
        </w:rPr>
        <w:drawing>
          <wp:inline distT="0" distB="0" distL="0" distR="0" wp14:anchorId="61553BEA" wp14:editId="1DE867DC">
            <wp:extent cx="1289674" cy="1312572"/>
            <wp:effectExtent l="0" t="0" r="6350" b="1905"/>
            <wp:docPr id="108664755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47554" name="Imagen 1" descr="Interfaz de usuario gráfica, Texto, Aplicación&#10;&#10;Descripción generada automáticamente"/>
                    <pic:cNvPicPr/>
                  </pic:nvPicPr>
                  <pic:blipFill rotWithShape="1">
                    <a:blip r:embed="rId22"/>
                    <a:srcRect l="64614" t="31198" r="9878" b="22622"/>
                    <a:stretch/>
                  </pic:blipFill>
                  <pic:spPr bwMode="auto">
                    <a:xfrm>
                      <a:off x="0" y="0"/>
                      <a:ext cx="1296992" cy="1320019"/>
                    </a:xfrm>
                    <a:prstGeom prst="rect">
                      <a:avLst/>
                    </a:prstGeom>
                    <a:ln>
                      <a:noFill/>
                    </a:ln>
                    <a:extLst>
                      <a:ext uri="{53640926-AAD7-44D8-BBD7-CCE9431645EC}">
                        <a14:shadowObscured xmlns:a14="http://schemas.microsoft.com/office/drawing/2010/main"/>
                      </a:ext>
                    </a:extLst>
                  </pic:spPr>
                </pic:pic>
              </a:graphicData>
            </a:graphic>
          </wp:inline>
        </w:drawing>
      </w:r>
      <w:r w:rsidRPr="00E426C4">
        <w:rPr>
          <w:rFonts w:cs="Times New Roman"/>
          <w:noProof/>
          <w:kern w:val="2"/>
          <w:lang w:val="es-CO" w:eastAsia="es-CO"/>
          <w14:ligatures w14:val="standardContextual"/>
        </w:rPr>
        <w:drawing>
          <wp:inline distT="0" distB="0" distL="0" distR="0" wp14:anchorId="77E53351" wp14:editId="2EEEA6CF">
            <wp:extent cx="1223010" cy="1307205"/>
            <wp:effectExtent l="0" t="0" r="0" b="7620"/>
            <wp:docPr id="1488999629"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99629" name="Imagen 1" descr="Interfaz de usuario gráfica, Aplicación, Word&#10;&#10;Descripción generada automáticamente"/>
                    <pic:cNvPicPr/>
                  </pic:nvPicPr>
                  <pic:blipFill rotWithShape="1">
                    <a:blip r:embed="rId23"/>
                    <a:srcRect l="5655" t="20524" r="72417" b="37786"/>
                    <a:stretch/>
                  </pic:blipFill>
                  <pic:spPr bwMode="auto">
                    <a:xfrm>
                      <a:off x="0" y="0"/>
                      <a:ext cx="1223785" cy="1308033"/>
                    </a:xfrm>
                    <a:prstGeom prst="rect">
                      <a:avLst/>
                    </a:prstGeom>
                    <a:ln>
                      <a:noFill/>
                    </a:ln>
                    <a:extLst>
                      <a:ext uri="{53640926-AAD7-44D8-BBD7-CCE9431645EC}">
                        <a14:shadowObscured xmlns:a14="http://schemas.microsoft.com/office/drawing/2010/main"/>
                      </a:ext>
                    </a:extLst>
                  </pic:spPr>
                </pic:pic>
              </a:graphicData>
            </a:graphic>
          </wp:inline>
        </w:drawing>
      </w:r>
    </w:p>
    <w:p w14:paraId="57074C34" w14:textId="77777777" w:rsidR="00E426C4" w:rsidRPr="00E426C4" w:rsidRDefault="00E426C4" w:rsidP="00E426C4">
      <w:pPr>
        <w:widowControl/>
        <w:jc w:val="both"/>
        <w:rPr>
          <w:rFonts w:cs="Times New Roman"/>
          <w:i/>
          <w:iCs/>
          <w:kern w:val="2"/>
          <w:sz w:val="18"/>
          <w:szCs w:val="18"/>
          <w:lang w:val="es-CO" w:eastAsia="en-US"/>
          <w14:ligatures w14:val="standardContextual"/>
        </w:rPr>
      </w:pPr>
    </w:p>
    <w:p w14:paraId="4E033A36" w14:textId="77777777" w:rsidR="00E426C4" w:rsidRPr="00E426C4" w:rsidRDefault="00E426C4" w:rsidP="00E426C4">
      <w:pPr>
        <w:widowControl/>
        <w:jc w:val="both"/>
        <w:rPr>
          <w:rFonts w:cs="Times New Roman"/>
          <w:i/>
          <w:iCs/>
          <w:kern w:val="2"/>
          <w:sz w:val="18"/>
          <w:szCs w:val="18"/>
          <w:lang w:val="es-CO" w:eastAsia="en-US"/>
          <w14:ligatures w14:val="standardContextual"/>
        </w:rPr>
      </w:pPr>
    </w:p>
    <w:p w14:paraId="0CE5F3A7" w14:textId="77777777" w:rsidR="00EB7077" w:rsidRDefault="00EB7077" w:rsidP="00E426C4">
      <w:pPr>
        <w:widowControl/>
        <w:jc w:val="both"/>
        <w:rPr>
          <w:rFonts w:cs="Times New Roman"/>
          <w:b/>
          <w:bCs/>
          <w:i/>
          <w:iCs/>
          <w:kern w:val="2"/>
          <w:lang w:val="es-CO" w:eastAsia="en-US"/>
          <w14:ligatures w14:val="standardContextual"/>
        </w:rPr>
      </w:pPr>
    </w:p>
    <w:p w14:paraId="525D855D" w14:textId="77777777" w:rsidR="00EB7077" w:rsidRPr="00CA792A" w:rsidRDefault="00EB7077" w:rsidP="00EB7077">
      <w:pPr>
        <w:pStyle w:val="Ttulo1"/>
        <w:ind w:left="0"/>
        <w:rPr>
          <w:sz w:val="28"/>
          <w:szCs w:val="28"/>
          <w:lang w:val="es-CO" w:eastAsia="en-US"/>
        </w:rPr>
      </w:pPr>
      <w:r w:rsidRPr="00CA792A">
        <w:rPr>
          <w:sz w:val="28"/>
          <w:szCs w:val="28"/>
          <w:lang w:val="es-CO" w:eastAsia="en-US"/>
        </w:rPr>
        <w:t>Dado que la MGF forma parte de una tradición cultural, ¿se puede condenar?</w:t>
      </w:r>
    </w:p>
    <w:p w14:paraId="4F0EE79A" w14:textId="77777777" w:rsidR="00EB7077" w:rsidRPr="003824E2" w:rsidRDefault="00EB7077" w:rsidP="00EB7077">
      <w:pPr>
        <w:widowControl/>
        <w:jc w:val="both"/>
        <w:rPr>
          <w:rFonts w:cs="Times New Roman"/>
          <w:b/>
          <w:bCs/>
          <w:i/>
          <w:iCs/>
          <w:kern w:val="2"/>
          <w:lang w:val="es-CO" w:eastAsia="en-US"/>
          <w14:ligatures w14:val="standardContextual"/>
        </w:rPr>
      </w:pPr>
    </w:p>
    <w:p w14:paraId="68D20F75" w14:textId="29CBE25E" w:rsidR="00EB7077" w:rsidRPr="00EB7077" w:rsidRDefault="003824E2" w:rsidP="00EB7077">
      <w:pPr>
        <w:widowControl/>
        <w:jc w:val="both"/>
        <w:rPr>
          <w:rFonts w:cs="Times New Roman"/>
          <w:b/>
          <w:bCs/>
          <w:i/>
          <w:iCs/>
          <w:kern w:val="2"/>
          <w:lang w:val="es-CO" w:eastAsia="en-US"/>
          <w14:ligatures w14:val="standardContextual"/>
        </w:rPr>
      </w:pPr>
      <w:r w:rsidRPr="003824E2">
        <w:rPr>
          <w:rFonts w:cs="Times New Roman"/>
          <w:i/>
          <w:iCs/>
          <w:kern w:val="2"/>
          <w:lang w:val="es-CO" w:eastAsia="en-US"/>
          <w14:ligatures w14:val="standardContextual"/>
        </w:rPr>
        <w:t xml:space="preserve">De conformidad con el </w:t>
      </w:r>
      <w:hyperlink r:id="rId24" w:tooltip="Inicio" w:history="1">
        <w:r w:rsidRPr="003824E2">
          <w:rPr>
            <w:rStyle w:val="Hipervnculo"/>
            <w:rFonts w:cs="Times New Roman"/>
            <w:i/>
            <w:iCs/>
            <w:color w:val="auto"/>
            <w:kern w:val="2"/>
            <w:u w:val="none"/>
            <w:lang w:eastAsia="en-US"/>
            <w14:ligatures w14:val="standardContextual"/>
          </w:rPr>
          <w:t>Fondo de Población de las Naciones Unidas</w:t>
        </w:r>
      </w:hyperlink>
      <w:r w:rsidRPr="003824E2">
        <w:rPr>
          <w:rFonts w:cs="Times New Roman"/>
          <w:i/>
          <w:iCs/>
          <w:kern w:val="2"/>
          <w:lang w:val="es-CO" w:eastAsia="en-US"/>
          <w14:ligatures w14:val="standardContextual"/>
        </w:rPr>
        <w:t xml:space="preserve"> UNFPA</w:t>
      </w:r>
      <w:r w:rsidRPr="003824E2">
        <w:rPr>
          <w:rStyle w:val="Refdenotaalpie"/>
          <w:rFonts w:cs="Times New Roman"/>
          <w:i/>
          <w:iCs/>
          <w:kern w:val="2"/>
          <w:lang w:val="es-CO" w:eastAsia="en-US"/>
          <w14:ligatures w14:val="standardContextual"/>
        </w:rPr>
        <w:footnoteReference w:id="5"/>
      </w:r>
      <w:r w:rsidRPr="003824E2">
        <w:rPr>
          <w:rFonts w:cs="Times New Roman"/>
          <w:i/>
          <w:iCs/>
          <w:kern w:val="2"/>
          <w:lang w:val="es-CO" w:eastAsia="en-US"/>
          <w14:ligatures w14:val="standardContextual"/>
        </w:rPr>
        <w:t xml:space="preserve"> la respuesta es</w:t>
      </w:r>
      <w:r>
        <w:rPr>
          <w:rFonts w:cs="Times New Roman"/>
          <w:b/>
          <w:bCs/>
          <w:i/>
          <w:iCs/>
          <w:kern w:val="2"/>
          <w:lang w:val="es-CO" w:eastAsia="en-US"/>
          <w14:ligatures w14:val="standardContextual"/>
        </w:rPr>
        <w:t xml:space="preserve"> “Si</w:t>
      </w:r>
      <w:r w:rsidR="00EB7077" w:rsidRPr="00EB7077">
        <w:rPr>
          <w:rFonts w:cs="Times New Roman"/>
          <w:b/>
          <w:bCs/>
          <w:i/>
          <w:iCs/>
          <w:kern w:val="2"/>
          <w:lang w:val="es-CO" w:eastAsia="en-US"/>
          <w14:ligatures w14:val="standardContextual"/>
        </w:rPr>
        <w:t xml:space="preserve">. La cultura y la tradición proporcionan un marco para el bienestar humano, y los argumentos culturales no pueden utilizarse para consentir la violencia contra las personas, hombres o mujeres. Además, la </w:t>
      </w:r>
      <w:r w:rsidR="00EB7077" w:rsidRPr="00EB7077">
        <w:rPr>
          <w:rFonts w:cs="Times New Roman"/>
          <w:b/>
          <w:bCs/>
          <w:i/>
          <w:iCs/>
          <w:kern w:val="2"/>
          <w:lang w:val="es-CO" w:eastAsia="en-US"/>
          <w14:ligatures w14:val="standardContextual"/>
        </w:rPr>
        <w:lastRenderedPageBreak/>
        <w:t>cultura no es algo estático, sino en constante cambio y adaptación. No obstante, las actividades en favor de la eliminación de la MGF deberían desarrollarse y aplicarse teniendo en cuenta el trasfondo cultural y social de las comunidades que la practican. El comportamiento puede cambiar cuando la gente comprende los peligros de ciertas prácticas y cuando se dan cuenta de que es posible abandonar las prácticas nocivas sin abandonar aspectos significativos de su cultura.</w:t>
      </w:r>
    </w:p>
    <w:p w14:paraId="12F61F4F" w14:textId="77777777" w:rsidR="00EB7077" w:rsidRDefault="00EB7077" w:rsidP="00E426C4">
      <w:pPr>
        <w:widowControl/>
        <w:jc w:val="both"/>
        <w:rPr>
          <w:rFonts w:cs="Times New Roman"/>
          <w:b/>
          <w:bCs/>
          <w:i/>
          <w:iCs/>
          <w:kern w:val="2"/>
          <w:lang w:val="es-CO" w:eastAsia="en-US"/>
          <w14:ligatures w14:val="standardContextual"/>
        </w:rPr>
      </w:pPr>
    </w:p>
    <w:p w14:paraId="5399B767" w14:textId="77777777" w:rsidR="00D52C7D" w:rsidRDefault="003824E2" w:rsidP="003824E2">
      <w:pPr>
        <w:widowControl/>
        <w:jc w:val="both"/>
        <w:rPr>
          <w:rFonts w:cs="Times New Roman"/>
          <w:kern w:val="2"/>
          <w:lang w:val="es-CO" w:eastAsia="en-US"/>
          <w14:ligatures w14:val="standardContextual"/>
        </w:rPr>
      </w:pPr>
      <w:r w:rsidRPr="00D52C7D">
        <w:rPr>
          <w:rFonts w:cs="Times New Roman"/>
          <w:b/>
          <w:bCs/>
          <w:kern w:val="2"/>
          <w:lang w:val="es-CO" w:eastAsia="en-US"/>
          <w14:ligatures w14:val="standardContextual"/>
        </w:rPr>
        <w:t>En esta misma publicación se señala</w:t>
      </w:r>
      <w:r w:rsidRPr="003824E2">
        <w:rPr>
          <w:rFonts w:cs="Times New Roman"/>
          <w:kern w:val="2"/>
          <w:lang w:val="es-CO" w:eastAsia="en-US"/>
          <w14:ligatures w14:val="standardContextual"/>
        </w:rPr>
        <w:t>,</w:t>
      </w:r>
    </w:p>
    <w:p w14:paraId="16BE9FD4" w14:textId="77777777" w:rsidR="00D52C7D" w:rsidRDefault="00D52C7D" w:rsidP="003824E2">
      <w:pPr>
        <w:widowControl/>
        <w:jc w:val="both"/>
        <w:rPr>
          <w:rFonts w:cs="Times New Roman"/>
          <w:b/>
          <w:bCs/>
          <w:i/>
          <w:iCs/>
          <w:kern w:val="2"/>
          <w:lang w:val="es-CO" w:eastAsia="en-US"/>
          <w14:ligatures w14:val="standardContextual"/>
        </w:rPr>
      </w:pPr>
    </w:p>
    <w:p w14:paraId="2AE74382" w14:textId="5185D80F" w:rsidR="003824E2" w:rsidRPr="003824E2" w:rsidRDefault="003824E2" w:rsidP="003824E2">
      <w:pPr>
        <w:widowControl/>
        <w:jc w:val="both"/>
        <w:rPr>
          <w:rFonts w:cs="Times New Roman"/>
          <w:b/>
          <w:bCs/>
          <w:i/>
          <w:iCs/>
          <w:kern w:val="2"/>
          <w:lang w:val="es-CO" w:eastAsia="en-US"/>
          <w14:ligatures w14:val="standardContextual"/>
        </w:rPr>
      </w:pPr>
      <w:r>
        <w:rPr>
          <w:rFonts w:cs="Times New Roman"/>
          <w:b/>
          <w:bCs/>
          <w:i/>
          <w:iCs/>
          <w:kern w:val="2"/>
          <w:lang w:val="es-CO" w:eastAsia="en-US"/>
          <w14:ligatures w14:val="standardContextual"/>
        </w:rPr>
        <w:t>“</w:t>
      </w:r>
      <w:r w:rsidRPr="003824E2">
        <w:rPr>
          <w:rFonts w:cs="Times New Roman"/>
          <w:b/>
          <w:bCs/>
          <w:i/>
          <w:iCs/>
          <w:kern w:val="2"/>
          <w:lang w:val="es-CO" w:eastAsia="en-US"/>
          <w14:ligatures w14:val="standardContextual"/>
        </w:rPr>
        <w:t>¿Tiene alguien derecho a interferir en tradiciones culturales ancestrales como la MGF?</w:t>
      </w:r>
    </w:p>
    <w:p w14:paraId="0515A5A0" w14:textId="0DB7FC21"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Todo niño tiene derecho a ser protegido del maltrato, en todo lugar y en todo momento. El movimiento para erradicar la MGF —que suele tener un origen local— pretende proteger a las niñas de sufrir un daño profundo, permanente y completamente innecesario. Las pruebas demuestran que la mayoría de las personas de los países afectados quieren dejar de mutilar a las niñas, y que el apoyo total a la MGF está en declive incluso en países donde la práctica es casi universal (como Egipto y el Sudán). Erradicar la MGF requerirá de una colaboración intensa y prolongada por parte de todos los miembros de la sociedad, incluidas las familias y las comunidades, los líderes religiosos y de otra índole, los medios de comunicación, los gobiernos y la comunidad internacional.</w:t>
      </w:r>
    </w:p>
    <w:p w14:paraId="66503881" w14:textId="77777777" w:rsidR="003824E2" w:rsidRPr="003824E2" w:rsidRDefault="003824E2" w:rsidP="003824E2">
      <w:pPr>
        <w:widowControl/>
        <w:jc w:val="both"/>
        <w:rPr>
          <w:rFonts w:cs="Times New Roman"/>
          <w:i/>
          <w:iCs/>
          <w:kern w:val="2"/>
          <w:lang w:val="es-CO" w:eastAsia="en-US"/>
          <w14:ligatures w14:val="standardContextual"/>
        </w:rPr>
      </w:pPr>
    </w:p>
    <w:p w14:paraId="2A7FA4F9" w14:textId="77777777" w:rsidR="003824E2" w:rsidRPr="003824E2" w:rsidRDefault="003824E2" w:rsidP="003824E2">
      <w:pPr>
        <w:widowControl/>
        <w:jc w:val="both"/>
        <w:rPr>
          <w:rFonts w:cs="Times New Roman"/>
          <w:b/>
          <w:bCs/>
          <w:i/>
          <w:iCs/>
          <w:kern w:val="2"/>
          <w:lang w:val="es-CO" w:eastAsia="en-US"/>
          <w14:ligatures w14:val="standardContextual"/>
        </w:rPr>
      </w:pPr>
      <w:bookmarkStart w:id="1" w:name="El-origen-étnico"/>
      <w:bookmarkEnd w:id="1"/>
      <w:r w:rsidRPr="003824E2">
        <w:rPr>
          <w:rFonts w:cs="Times New Roman"/>
          <w:b/>
          <w:bCs/>
          <w:i/>
          <w:iCs/>
          <w:kern w:val="2"/>
          <w:lang w:val="es-CO" w:eastAsia="en-US"/>
          <w14:ligatures w14:val="standardContextual"/>
        </w:rPr>
        <w:t>¿Cuál es la relación entre la MGF y el origen étnico?</w:t>
      </w:r>
    </w:p>
    <w:p w14:paraId="7DE8A09F"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 xml:space="preserve">El origen étnico es el factor más relevante para la prevalencia de la MGF y va más allá de la clase socioeconómica y el nivel educativo. Los miembros de determinados grupos étnicos suelen adherirse a las mismas normas sociales, como el practicar o no la MGF, independientemente de dónde vivan. Por ejemplo, la prevalencia de la MGF en el grupo étnico somalí que vive en </w:t>
      </w:r>
      <w:proofErr w:type="spellStart"/>
      <w:r w:rsidRPr="003824E2">
        <w:rPr>
          <w:rFonts w:cs="Times New Roman"/>
          <w:i/>
          <w:iCs/>
          <w:kern w:val="2"/>
          <w:lang w:val="es-CO" w:eastAsia="en-US"/>
          <w14:ligatures w14:val="standardContextual"/>
        </w:rPr>
        <w:t>Kenya</w:t>
      </w:r>
      <w:proofErr w:type="spellEnd"/>
      <w:r w:rsidRPr="003824E2">
        <w:rPr>
          <w:rFonts w:cs="Times New Roman"/>
          <w:i/>
          <w:iCs/>
          <w:kern w:val="2"/>
          <w:lang w:val="es-CO" w:eastAsia="en-US"/>
          <w14:ligatures w14:val="standardContextual"/>
        </w:rPr>
        <w:t>, de un 94%, es la misma que en Somalia, y mucho más alta que la media nacional keniata del 21%.</w:t>
      </w:r>
    </w:p>
    <w:p w14:paraId="6066EE7E" w14:textId="5F6A3B89"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Pero hay excepciones. En el Senegal, por ejemplo, existen grandes variaciones en la prevalencia de la MGF entre las mujeres mandingue dependiendo de dónde viven; así, 55 por ciento en áreas urbanas versus 84 por ciento en áreas rurales. Del mismo modo, la prevalencia de la mutilación genital femenina entre los Po</w:t>
      </w:r>
      <w:r w:rsidR="00CA792A">
        <w:rPr>
          <w:rFonts w:cs="Times New Roman"/>
          <w:i/>
          <w:iCs/>
          <w:kern w:val="2"/>
          <w:lang w:val="es-CO" w:eastAsia="en-US"/>
          <w14:ligatures w14:val="standardContextual"/>
        </w:rPr>
        <w:t>p</w:t>
      </w:r>
      <w:r w:rsidRPr="003824E2">
        <w:rPr>
          <w:rFonts w:cs="Times New Roman"/>
          <w:i/>
          <w:iCs/>
          <w:kern w:val="2"/>
          <w:lang w:val="es-CO" w:eastAsia="en-US"/>
          <w14:ligatures w14:val="standardContextual"/>
        </w:rPr>
        <w:t>ular oscila entre el 41% en las zonas urbanas y el 56% en las zonas rurales.</w:t>
      </w:r>
    </w:p>
    <w:p w14:paraId="43E86ABC" w14:textId="77777777" w:rsidR="003824E2" w:rsidRDefault="003824E2" w:rsidP="003824E2">
      <w:pPr>
        <w:widowControl/>
        <w:jc w:val="both"/>
        <w:rPr>
          <w:rFonts w:cs="Times New Roman"/>
          <w:b/>
          <w:bCs/>
          <w:i/>
          <w:iCs/>
          <w:kern w:val="2"/>
          <w:lang w:val="es-CO" w:eastAsia="en-US"/>
          <w14:ligatures w14:val="standardContextual"/>
        </w:rPr>
      </w:pPr>
      <w:bookmarkStart w:id="2" w:name="Qué-dicen"/>
      <w:bookmarkEnd w:id="2"/>
    </w:p>
    <w:p w14:paraId="67D845FE" w14:textId="0BF4A847"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¿Qué dicen las mujeres y las niñas que han experimentado la MGF?</w:t>
      </w:r>
    </w:p>
    <w:p w14:paraId="6F020287"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Las mujeres de todo el mundo comparten sus experiencias y abogan por el cambio.</w:t>
      </w:r>
    </w:p>
    <w:p w14:paraId="3B27EC68"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«Es lo que mi abuela llamaba las tres penas de una mujer: el día de la circuncisión, la noche de bodas y el nacimiento de un hijo». Extraído de «Las tres penas de una mujer», un poema somalí.</w:t>
      </w:r>
    </w:p>
    <w:p w14:paraId="05A512E6"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«Mis dos hermanas, nuestra madre y yo misma fuimos a visitar a nuestra familia a nuestro país. Creía que íbamos de vacaciones. Un poco más tarde, nos dijeron que nos iban a practicar una infibulación.</w:t>
      </w:r>
      <w:r w:rsidRPr="003824E2">
        <w:rPr>
          <w:rFonts w:cs="Times New Roman"/>
          <w:b/>
          <w:bCs/>
          <w:i/>
          <w:iCs/>
          <w:kern w:val="2"/>
          <w:lang w:val="es-CO" w:eastAsia="en-US"/>
          <w14:ligatures w14:val="standardContextual"/>
        </w:rPr>
        <w:t xml:space="preserve"> El </w:t>
      </w:r>
      <w:r w:rsidRPr="003824E2">
        <w:rPr>
          <w:rFonts w:cs="Times New Roman"/>
          <w:i/>
          <w:iCs/>
          <w:kern w:val="2"/>
          <w:lang w:val="es-CO" w:eastAsia="en-US"/>
          <w14:ligatures w14:val="standardContextual"/>
        </w:rPr>
        <w:t xml:space="preserve">día anterior a que se llevara a cabo la operación, otra niña fue infibulada y murió en la operación. Teníamos mucho miedo y no queríamos compartir el mismo destino. Pero nuestros padres nos dijeron que era obligatorio, así que fuimos. Nos resistimos; realmente creímos que íbamos a morir de dolor. Una mujer te tapa la boca para que no grites, dos más te sujetan el pecho y otras dos las piernas. Después de que nos realizasen la infibulación, nos ataron las piernas con cuerdas, así que fue como si tuviéramos que aprender a caminar de nuevo. Teníamos que intentar ir al baño. Si no podías orinar durante los diez días siguientes, es que algo iba mal. Supongo que tuvimos suerte. Nos fuimos recuperando poco a poco </w:t>
      </w:r>
      <w:r w:rsidRPr="003824E2">
        <w:rPr>
          <w:rFonts w:cs="Times New Roman"/>
          <w:i/>
          <w:iCs/>
          <w:kern w:val="2"/>
          <w:lang w:val="es-CO" w:eastAsia="en-US"/>
          <w14:ligatures w14:val="standardContextual"/>
        </w:rPr>
        <w:lastRenderedPageBreak/>
        <w:t xml:space="preserve">y no morimos como la otra niña, pero el recuerdo y el dolor nunca se fueron del todo». </w:t>
      </w:r>
      <w:proofErr w:type="spellStart"/>
      <w:r w:rsidRPr="003824E2">
        <w:rPr>
          <w:rFonts w:cs="Times New Roman"/>
          <w:i/>
          <w:iCs/>
          <w:kern w:val="2"/>
          <w:lang w:val="es-CO" w:eastAsia="en-US"/>
          <w14:ligatures w14:val="standardContextual"/>
        </w:rPr>
        <w:t>Zainab</w:t>
      </w:r>
      <w:proofErr w:type="spellEnd"/>
      <w:r w:rsidRPr="003824E2">
        <w:rPr>
          <w:rFonts w:cs="Times New Roman"/>
          <w:i/>
          <w:iCs/>
          <w:kern w:val="2"/>
          <w:lang w:val="es-CO" w:eastAsia="en-US"/>
          <w14:ligatures w14:val="standardContextual"/>
        </w:rPr>
        <w:t>, que fue sometida a una infibulación a los 8 años (extraído de la OMS).</w:t>
      </w:r>
    </w:p>
    <w:p w14:paraId="28D2AF1D"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«Si tengo una hija, nunca la someteré a la mutilación o a la ablación genital, y le enseñaré las consecuencias de la práctica desde pequeña». </w:t>
      </w:r>
      <w:proofErr w:type="spellStart"/>
      <w:r w:rsidR="00E76883">
        <w:fldChar w:fldCharType="begin"/>
      </w:r>
      <w:r w:rsidR="00E76883">
        <w:instrText xml:space="preserve"> HYPERLINK "https://www.unfpa.org/es/node/8447" </w:instrText>
      </w:r>
      <w:r w:rsidR="00E76883">
        <w:fldChar w:fldCharType="separate"/>
      </w:r>
      <w:r w:rsidRPr="003824E2">
        <w:rPr>
          <w:rStyle w:val="Hipervnculo"/>
          <w:rFonts w:cs="Times New Roman"/>
          <w:i/>
          <w:iCs/>
          <w:color w:val="auto"/>
          <w:kern w:val="2"/>
          <w:u w:val="none"/>
          <w:lang w:val="es-CO" w:eastAsia="en-US"/>
          <w14:ligatures w14:val="standardContextual"/>
        </w:rPr>
        <w:t>Kadiga</w:t>
      </w:r>
      <w:proofErr w:type="spellEnd"/>
      <w:r w:rsidRPr="003824E2">
        <w:rPr>
          <w:rStyle w:val="Hipervnculo"/>
          <w:rFonts w:cs="Times New Roman"/>
          <w:i/>
          <w:iCs/>
          <w:color w:val="auto"/>
          <w:kern w:val="2"/>
          <w:u w:val="none"/>
          <w:lang w:val="es-CO" w:eastAsia="en-US"/>
          <w14:ligatures w14:val="standardContextual"/>
        </w:rPr>
        <w:t>, Etiopía</w:t>
      </w:r>
      <w:r w:rsidR="00E76883">
        <w:rPr>
          <w:rStyle w:val="Hipervnculo"/>
          <w:rFonts w:cs="Times New Roman"/>
          <w:i/>
          <w:iCs/>
          <w:color w:val="auto"/>
          <w:kern w:val="2"/>
          <w:u w:val="none"/>
          <w:lang w:val="es-CO" w:eastAsia="en-US"/>
          <w14:ligatures w14:val="standardContextual"/>
        </w:rPr>
        <w:fldChar w:fldCharType="end"/>
      </w:r>
      <w:r w:rsidRPr="003824E2">
        <w:rPr>
          <w:rFonts w:cs="Times New Roman"/>
          <w:i/>
          <w:iCs/>
          <w:kern w:val="2"/>
          <w:lang w:val="es-CO" w:eastAsia="en-US"/>
          <w14:ligatures w14:val="standardContextual"/>
        </w:rPr>
        <w:t>.</w:t>
      </w:r>
    </w:p>
    <w:p w14:paraId="3594AFCC" w14:textId="089F907D" w:rsid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 xml:space="preserve">«En mi pueblo hay una niña más pequeña que yo a la que no han cortado porque hablé del tema con sus padres. Les dije lo mucho que me había dolido la operación y cuánto me había traumatizado y me había hecho desconfiar de mis propios padres. Decidieron que no querían que eso le pasara a su hija». </w:t>
      </w:r>
      <w:proofErr w:type="spellStart"/>
      <w:r w:rsidRPr="003824E2">
        <w:rPr>
          <w:rFonts w:cs="Times New Roman"/>
          <w:i/>
          <w:iCs/>
          <w:kern w:val="2"/>
          <w:lang w:val="es-CO" w:eastAsia="en-US"/>
          <w14:ligatures w14:val="standardContextual"/>
        </w:rPr>
        <w:t>Meaza</w:t>
      </w:r>
      <w:proofErr w:type="spellEnd"/>
      <w:r w:rsidRPr="003824E2">
        <w:rPr>
          <w:rFonts w:cs="Times New Roman"/>
          <w:i/>
          <w:iCs/>
          <w:kern w:val="2"/>
          <w:lang w:val="es-CO" w:eastAsia="en-US"/>
          <w14:ligatures w14:val="standardContextual"/>
        </w:rPr>
        <w:t>, 15 años.</w:t>
      </w:r>
    </w:p>
    <w:p w14:paraId="6C76D091" w14:textId="77777777" w:rsidR="003824E2" w:rsidRPr="003824E2" w:rsidRDefault="003824E2" w:rsidP="003824E2">
      <w:pPr>
        <w:widowControl/>
        <w:jc w:val="both"/>
        <w:rPr>
          <w:rFonts w:cs="Times New Roman"/>
          <w:i/>
          <w:iCs/>
          <w:kern w:val="2"/>
          <w:lang w:val="es-CO" w:eastAsia="en-US"/>
          <w14:ligatures w14:val="standardContextual"/>
        </w:rPr>
      </w:pPr>
    </w:p>
    <w:p w14:paraId="2428EACB" w14:textId="77777777" w:rsidR="003824E2" w:rsidRPr="003824E2" w:rsidRDefault="003824E2" w:rsidP="003824E2">
      <w:pPr>
        <w:widowControl/>
        <w:jc w:val="both"/>
        <w:rPr>
          <w:rFonts w:cs="Times New Roman"/>
          <w:b/>
          <w:bCs/>
          <w:i/>
          <w:iCs/>
          <w:kern w:val="2"/>
          <w:lang w:val="es-CO" w:eastAsia="en-US"/>
          <w14:ligatures w14:val="standardContextual"/>
        </w:rPr>
      </w:pPr>
      <w:bookmarkStart w:id="3" w:name="Qué-significa-el-término"/>
      <w:bookmarkEnd w:id="3"/>
      <w:r w:rsidRPr="003824E2">
        <w:rPr>
          <w:rFonts w:cs="Times New Roman"/>
          <w:b/>
          <w:bCs/>
          <w:i/>
          <w:iCs/>
          <w:kern w:val="2"/>
          <w:lang w:val="es-CO" w:eastAsia="en-US"/>
          <w14:ligatures w14:val="standardContextual"/>
        </w:rPr>
        <w:t>¿Qué significa el término «medicalización de la MGF»?</w:t>
      </w:r>
    </w:p>
    <w:p w14:paraId="50C444BD"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 xml:space="preserve">Según la OMS, la medicalización de la MGF ocurre cuando este procedimiento lo realiza un proveedor de atención médica, como un trabajador sanitario de la comunidad, una enfermera o un médico. La MGF medicalizada puede llevarse a cabo en una clínica pública o privada, en casa o en cualquier otro lugar. También incluye el procedimiento de la </w:t>
      </w:r>
      <w:proofErr w:type="spellStart"/>
      <w:r w:rsidRPr="003824E2">
        <w:rPr>
          <w:rFonts w:cs="Times New Roman"/>
          <w:i/>
          <w:iCs/>
          <w:kern w:val="2"/>
          <w:lang w:val="es-CO" w:eastAsia="en-US"/>
          <w14:ligatures w14:val="standardContextual"/>
        </w:rPr>
        <w:t>reinfibulación</w:t>
      </w:r>
      <w:proofErr w:type="spellEnd"/>
      <w:r w:rsidRPr="003824E2">
        <w:rPr>
          <w:rFonts w:cs="Times New Roman"/>
          <w:i/>
          <w:iCs/>
          <w:kern w:val="2"/>
          <w:lang w:val="es-CO" w:eastAsia="en-US"/>
          <w14:ligatures w14:val="standardContextual"/>
        </w:rPr>
        <w:t xml:space="preserve"> en cualquier momento de la vida de una mujer.</w:t>
      </w:r>
    </w:p>
    <w:p w14:paraId="148DDC15"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En 2010, se publicó una estrategia global conjunta entre agencias para </w:t>
      </w:r>
      <w:hyperlink r:id="rId25" w:tgtFrame="_blank" w:history="1">
        <w:r w:rsidRPr="003824E2">
          <w:rPr>
            <w:rStyle w:val="Hipervnculo"/>
            <w:rFonts w:cs="Times New Roman"/>
            <w:i/>
            <w:iCs/>
            <w:color w:val="auto"/>
            <w:kern w:val="2"/>
            <w:u w:val="none"/>
            <w:lang w:val="es-CO" w:eastAsia="en-US"/>
            <w14:ligatures w14:val="standardContextual"/>
          </w:rPr>
          <w:t>evitar que los proveedores de atención médica practiquen la MGF</w:t>
        </w:r>
      </w:hyperlink>
      <w:r w:rsidRPr="003824E2">
        <w:rPr>
          <w:rFonts w:cs="Times New Roman"/>
          <w:i/>
          <w:iCs/>
          <w:kern w:val="2"/>
          <w:lang w:val="es-CO" w:eastAsia="en-US"/>
          <w14:ligatures w14:val="standardContextual"/>
        </w:rPr>
        <w:t>. En 2016, la OMS también publicó pautas sobre </w:t>
      </w:r>
      <w:hyperlink r:id="rId26" w:tgtFrame="_blank" w:history="1">
        <w:r w:rsidRPr="003824E2">
          <w:rPr>
            <w:rStyle w:val="Hipervnculo"/>
            <w:rFonts w:cs="Times New Roman"/>
            <w:i/>
            <w:iCs/>
            <w:color w:val="auto"/>
            <w:kern w:val="2"/>
            <w:u w:val="none"/>
            <w:lang w:val="es-CO" w:eastAsia="en-US"/>
            <w14:ligatures w14:val="standardContextual"/>
          </w:rPr>
          <w:t>el manejo de las complicaciones de salud relacionadas con la mutilación genital femenina</w:t>
        </w:r>
      </w:hyperlink>
      <w:r w:rsidRPr="003824E2">
        <w:rPr>
          <w:rFonts w:cs="Times New Roman"/>
          <w:i/>
          <w:iCs/>
          <w:kern w:val="2"/>
          <w:lang w:val="es-CO" w:eastAsia="en-US"/>
          <w14:ligatures w14:val="standardContextual"/>
        </w:rPr>
        <w:t>. Esta estrategia refleja el consenso entre expertos internacionales, entidades de las Naciones Unidas y los Estados Miembros que representan. Además, el compromiso global de eliminar todas las formas de mutilación genital femenina para 2030 está claramente articulado en la meta 5.3 de los Objetivos de Desarrollo Sostenible (ODS).</w:t>
      </w:r>
    </w:p>
    <w:p w14:paraId="2140C7CE" w14:textId="77777777" w:rsidR="003824E2" w:rsidRPr="003824E2" w:rsidRDefault="003824E2" w:rsidP="003824E2">
      <w:pPr>
        <w:widowControl/>
        <w:jc w:val="both"/>
        <w:rPr>
          <w:rFonts w:cs="Times New Roman"/>
          <w:i/>
          <w:iCs/>
          <w:kern w:val="2"/>
          <w:lang w:val="es-CO" w:eastAsia="en-US"/>
          <w14:ligatures w14:val="standardContextual"/>
        </w:rPr>
      </w:pPr>
      <w:bookmarkStart w:id="4" w:name="un-trabajador-sanitario-cualificado"/>
      <w:bookmarkEnd w:id="4"/>
      <w:r w:rsidRPr="003824E2">
        <w:rPr>
          <w:rFonts w:cs="Times New Roman"/>
          <w:i/>
          <w:iCs/>
          <w:kern w:val="2"/>
          <w:lang w:val="es-CO" w:eastAsia="en-US"/>
          <w14:ligatures w14:val="standardContextual"/>
        </w:rPr>
        <w:t>¿No es más seguro que la MGF la realice un trabajador sanitario cualificado antes que alguien que carece de conocimientos médicos?</w:t>
      </w:r>
    </w:p>
    <w:p w14:paraId="4D3DE9D3"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La MGF nunca puede ser «segura». Incluso cuando se practica en un entorno estéril y por un profesional de la salud, pueden producirse secuelas inmediatas y con el paso del tiempo. La medicalización de la MGF da una falsa sensación de seguridad. Existen riesgos graves asociados a todas las formas de MGF, incluida la MGF medicalizada.</w:t>
      </w:r>
    </w:p>
    <w:p w14:paraId="5B402223"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Los profesionales de la salud que practican la mutilación genital femenina violan el derecho de las niñas y las mujeres a la vida, la integridad física y la salud. También violan un principio ético fundamental de la medicina: "no hacer daño".</w:t>
      </w:r>
    </w:p>
    <w:p w14:paraId="466A746D"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Además, la creencia de que un corte genital "menor" ayudará a evitar formas más graves de mutilación genital femenina no está probada. Varios estudios han demostrado que las niñas pueden ser sometidas a la MGF repetidamente cuando los miembros de la familia o la comunidad no están satisfechos con los resultados de los procedimientos anteriores. También hay evidencia de que los procedimientos "menores" de la MGF son a menudo formas más graves de MGF. Un estudio en Sudán</w:t>
      </w:r>
      <w:r w:rsidRPr="003824E2">
        <w:rPr>
          <w:rFonts w:cs="Times New Roman"/>
          <w:b/>
          <w:bCs/>
          <w:i/>
          <w:iCs/>
          <w:kern w:val="2"/>
          <w:lang w:val="es-CO" w:eastAsia="en-US"/>
          <w14:ligatures w14:val="standardContextual"/>
        </w:rPr>
        <w:t xml:space="preserve"> </w:t>
      </w:r>
      <w:r w:rsidRPr="003824E2">
        <w:rPr>
          <w:rFonts w:cs="Times New Roman"/>
          <w:i/>
          <w:iCs/>
          <w:kern w:val="2"/>
          <w:lang w:val="es-CO" w:eastAsia="en-US"/>
          <w14:ligatures w14:val="standardContextual"/>
        </w:rPr>
        <w:t>encontró que, de las mujeres que afirmaron haber sufrido un tipo de mutilación genital femenina considerada "menor",</w:t>
      </w:r>
      <w:r w:rsidRPr="003824E2">
        <w:rPr>
          <w:rFonts w:cs="Times New Roman"/>
          <w:b/>
          <w:bCs/>
          <w:i/>
          <w:iCs/>
          <w:kern w:val="2"/>
          <w:lang w:val="es-CO" w:eastAsia="en-US"/>
          <w14:ligatures w14:val="standardContextual"/>
        </w:rPr>
        <w:t xml:space="preserve"> </w:t>
      </w:r>
      <w:r w:rsidRPr="003824E2">
        <w:rPr>
          <w:rFonts w:cs="Times New Roman"/>
          <w:i/>
          <w:iCs/>
          <w:kern w:val="2"/>
          <w:lang w:val="es-CO" w:eastAsia="en-US"/>
          <w14:ligatures w14:val="standardContextual"/>
        </w:rPr>
        <w:t>aproximadamente un tercio había sufrido una infibulación, y a todas se les había extirpado el clítoris y los labios menores</w:t>
      </w:r>
      <w:proofErr w:type="gramStart"/>
      <w:r w:rsidRPr="003824E2">
        <w:rPr>
          <w:rFonts w:cs="Times New Roman"/>
          <w:i/>
          <w:iCs/>
          <w:kern w:val="2"/>
          <w:lang w:val="es-CO" w:eastAsia="en-US"/>
          <w14:ligatures w14:val="standardContextual"/>
        </w:rPr>
        <w:t>. .</w:t>
      </w:r>
      <w:proofErr w:type="gramEnd"/>
    </w:p>
    <w:p w14:paraId="7D016005" w14:textId="252C3D9E" w:rsid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Cuando el personal médico realiza la MGF, legitima erróneamente la práctica como médicamente saludable o beneficiosa para la salud de niñas y mujeres. Y debido a que el personal médico a menudo tiene poder, autoridad y respeto en la sociedad, tienen el poder de institucionalizar aún más el procedimiento.</w:t>
      </w:r>
    </w:p>
    <w:p w14:paraId="2D44A274" w14:textId="77777777" w:rsidR="003824E2" w:rsidRPr="003824E2" w:rsidRDefault="003824E2" w:rsidP="003824E2">
      <w:pPr>
        <w:widowControl/>
        <w:jc w:val="both"/>
        <w:rPr>
          <w:rFonts w:cs="Times New Roman"/>
          <w:i/>
          <w:iCs/>
          <w:kern w:val="2"/>
          <w:lang w:val="es-CO" w:eastAsia="en-US"/>
          <w14:ligatures w14:val="standardContextual"/>
        </w:rPr>
      </w:pPr>
    </w:p>
    <w:p w14:paraId="38CDABA2" w14:textId="3D18FDA1" w:rsidR="003824E2" w:rsidRDefault="003824E2" w:rsidP="003824E2">
      <w:pPr>
        <w:widowControl/>
        <w:jc w:val="both"/>
        <w:rPr>
          <w:rFonts w:cs="Times New Roman"/>
          <w:b/>
          <w:bCs/>
          <w:i/>
          <w:iCs/>
          <w:kern w:val="2"/>
          <w:lang w:val="es-CO" w:eastAsia="en-US"/>
          <w14:ligatures w14:val="standardContextual"/>
        </w:rPr>
      </w:pPr>
      <w:bookmarkStart w:id="5" w:name="Cuál-es-el-enfoque"/>
      <w:bookmarkEnd w:id="5"/>
      <w:r w:rsidRPr="003824E2">
        <w:rPr>
          <w:rFonts w:cs="Times New Roman"/>
          <w:b/>
          <w:bCs/>
          <w:i/>
          <w:iCs/>
          <w:kern w:val="2"/>
          <w:lang w:val="es-CO" w:eastAsia="en-US"/>
          <w14:ligatures w14:val="standardContextual"/>
        </w:rPr>
        <w:t>¿Cuál es el enfoque del UNFPA con respecto a la MGF?</w:t>
      </w:r>
    </w:p>
    <w:p w14:paraId="02C6D9E4" w14:textId="77777777" w:rsidR="003824E2" w:rsidRPr="003824E2" w:rsidRDefault="003824E2" w:rsidP="003824E2">
      <w:pPr>
        <w:widowControl/>
        <w:jc w:val="both"/>
        <w:rPr>
          <w:rFonts w:cs="Times New Roman"/>
          <w:b/>
          <w:bCs/>
          <w:i/>
          <w:iCs/>
          <w:kern w:val="2"/>
          <w:lang w:val="es-CO" w:eastAsia="en-US"/>
          <w14:ligatures w14:val="standardContextual"/>
        </w:rPr>
      </w:pPr>
    </w:p>
    <w:p w14:paraId="453E3D98" w14:textId="77777777" w:rsidR="003824E2" w:rsidRPr="003824E2" w:rsidRDefault="00C76FB9" w:rsidP="003824E2">
      <w:pPr>
        <w:widowControl/>
        <w:jc w:val="both"/>
        <w:rPr>
          <w:rFonts w:cs="Times New Roman"/>
          <w:i/>
          <w:iCs/>
          <w:kern w:val="2"/>
          <w:lang w:val="es-CO" w:eastAsia="en-US"/>
          <w14:ligatures w14:val="standardContextual"/>
        </w:rPr>
      </w:pPr>
      <w:hyperlink r:id="rId27" w:history="1">
        <w:r w:rsidR="003824E2" w:rsidRPr="003824E2">
          <w:rPr>
            <w:rStyle w:val="Hipervnculo"/>
            <w:rFonts w:cs="Times New Roman"/>
            <w:i/>
            <w:iCs/>
            <w:color w:val="auto"/>
            <w:kern w:val="2"/>
            <w:u w:val="none"/>
            <w:lang w:val="es-CO" w:eastAsia="en-US"/>
            <w14:ligatures w14:val="standardContextual"/>
          </w:rPr>
          <w:t>El UNFPA y UNICEF</w:t>
        </w:r>
      </w:hyperlink>
      <w:r w:rsidR="003824E2" w:rsidRPr="003824E2">
        <w:rPr>
          <w:rFonts w:cs="Times New Roman"/>
          <w:i/>
          <w:iCs/>
          <w:kern w:val="2"/>
          <w:u w:val="single"/>
          <w:lang w:val="es-CO" w:eastAsia="en-US"/>
          <w14:ligatures w14:val="standardContextual"/>
        </w:rPr>
        <w:t> </w:t>
      </w:r>
      <w:r w:rsidR="003824E2" w:rsidRPr="003824E2">
        <w:rPr>
          <w:rFonts w:cs="Times New Roman"/>
          <w:i/>
          <w:iCs/>
          <w:kern w:val="2"/>
          <w:lang w:val="es-CO" w:eastAsia="en-US"/>
          <w14:ligatures w14:val="standardContextual"/>
        </w:rPr>
        <w:t>lideran conjuntamente el mayor programa a escala mundial para acelerar el abandono de la MGF y atender sus consecuencias.</w:t>
      </w:r>
    </w:p>
    <w:p w14:paraId="7FCDBE97"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Las redes de líderes religiosos, parlamentarios, organizaciones no gubernamentales y activistas en pro de la juventud y los derechos humanos están apoyando la campaña. Se ha implicado y fortalecido a las organizaciones de la sociedad civil para que apliquen una educación liderada por la comunidad y unas sesiones de diálogo sobre los derechos humanos y la salud. Estas redes están contribuyendo a que un creciente número de comunidades declare el abandono de la MGF. Se ha producido un cambio entre los líderes religiosos, muchos de los cuales han pasado de respaldar la práctica a condenarla de forma activa. Cada vez se realizan más declaraciones públicas que desvinculan la MGF de la religión y que apoyan su abandono.</w:t>
      </w:r>
    </w:p>
    <w:p w14:paraId="1315A6E9"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Con el apoyo y la orientación técnica del UNFPA, se ha producido un aumento de las actividades que fortalecen el papel de los servicios de salud pública para evitar la MGF y, allí donde es posible, tratar a sus víctimas y mitigar sus efectos negativos. El personal sanitario ha sido formado para tratar las complicaciones derivadas de la MGF y se ha incluido la integración de la atención a la MGF en el plan de estudios de la educación médica. Se han reforzado los sistemas de remisión de pacientes entre los profesionales de la salud y las actividades comunitarias.</w:t>
      </w:r>
    </w:p>
    <w:p w14:paraId="40B0FC74"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Varios países han aprobado nuevas leyes nacionales que prohíben la MGF y han desarrollado una política nacional con medidas concretas para lograr su abandono definitivo. Las emisoras de radio transmiten debates y programas que admiten llamadas de los oyentes en los que se habla abiertamente del daño que causa la MGF. El uso de los medios de comunicación para posicionar a la opinión pública contra la práctica ha contribuido a cambiar las percepciones y ha transformado la percepción pública de las niñas que no se someten a este procedimiento. </w:t>
      </w:r>
    </w:p>
    <w:p w14:paraId="52D5EF9B" w14:textId="77777777" w:rsidR="003824E2" w:rsidRDefault="003824E2" w:rsidP="003824E2">
      <w:pPr>
        <w:widowControl/>
        <w:jc w:val="both"/>
        <w:rPr>
          <w:rFonts w:cs="Times New Roman"/>
          <w:i/>
          <w:iCs/>
          <w:kern w:val="2"/>
          <w:lang w:val="es-CO" w:eastAsia="en-US"/>
          <w14:ligatures w14:val="standardContextual"/>
        </w:rPr>
      </w:pPr>
      <w:bookmarkStart w:id="6" w:name="En-qué-países-está-prohibida"/>
      <w:bookmarkEnd w:id="6"/>
    </w:p>
    <w:p w14:paraId="60D1D6BD" w14:textId="21A1AF7C" w:rsidR="003824E2" w:rsidRPr="003824E2" w:rsidRDefault="003824E2" w:rsidP="003824E2">
      <w:pPr>
        <w:widowControl/>
        <w:jc w:val="both"/>
        <w:rPr>
          <w:rFonts w:cs="Times New Roman"/>
          <w:b/>
          <w:bCs/>
          <w:i/>
          <w:iCs/>
          <w:kern w:val="2"/>
          <w:sz w:val="28"/>
          <w:szCs w:val="28"/>
          <w:lang w:val="es-CO" w:eastAsia="en-US"/>
          <w14:ligatures w14:val="standardContextual"/>
        </w:rPr>
      </w:pPr>
      <w:r w:rsidRPr="003824E2">
        <w:rPr>
          <w:rFonts w:cs="Times New Roman"/>
          <w:b/>
          <w:bCs/>
          <w:i/>
          <w:iCs/>
          <w:kern w:val="2"/>
          <w:sz w:val="28"/>
          <w:szCs w:val="28"/>
          <w:lang w:val="es-CO" w:eastAsia="en-US"/>
          <w14:ligatures w14:val="standardContextual"/>
        </w:rPr>
        <w:t>¿En qué países está prohibida por ley la MGF?</w:t>
      </w:r>
    </w:p>
    <w:p w14:paraId="6D280060" w14:textId="77777777"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 xml:space="preserve">África: </w:t>
      </w:r>
      <w:proofErr w:type="spellStart"/>
      <w:r w:rsidRPr="003824E2">
        <w:rPr>
          <w:rFonts w:cs="Times New Roman"/>
          <w:b/>
          <w:bCs/>
          <w:i/>
          <w:iCs/>
          <w:kern w:val="2"/>
          <w:lang w:val="es-CO" w:eastAsia="en-US"/>
          <w14:ligatures w14:val="standardContextual"/>
        </w:rPr>
        <w:t>Benin</w:t>
      </w:r>
      <w:proofErr w:type="spellEnd"/>
      <w:r w:rsidRPr="003824E2">
        <w:rPr>
          <w:rFonts w:cs="Times New Roman"/>
          <w:b/>
          <w:bCs/>
          <w:i/>
          <w:iCs/>
          <w:kern w:val="2"/>
          <w:lang w:val="es-CO" w:eastAsia="en-US"/>
          <w14:ligatures w14:val="standardContextual"/>
        </w:rPr>
        <w:t xml:space="preserve"> (2003); Burkina Faso (1996); Chad (2003); </w:t>
      </w:r>
      <w:proofErr w:type="spellStart"/>
      <w:r w:rsidRPr="003824E2">
        <w:rPr>
          <w:rFonts w:cs="Times New Roman"/>
          <w:b/>
          <w:bCs/>
          <w:i/>
          <w:iCs/>
          <w:kern w:val="2"/>
          <w:lang w:val="es-CO" w:eastAsia="en-US"/>
          <w14:ligatures w14:val="standardContextual"/>
        </w:rPr>
        <w:t>Côte</w:t>
      </w:r>
      <w:proofErr w:type="spellEnd"/>
      <w:r w:rsidRPr="003824E2">
        <w:rPr>
          <w:rFonts w:cs="Times New Roman"/>
          <w:b/>
          <w:bCs/>
          <w:i/>
          <w:iCs/>
          <w:kern w:val="2"/>
          <w:lang w:val="es-CO" w:eastAsia="en-US"/>
          <w14:ligatures w14:val="standardContextual"/>
        </w:rPr>
        <w:t xml:space="preserve"> </w:t>
      </w:r>
      <w:proofErr w:type="spellStart"/>
      <w:r w:rsidRPr="003824E2">
        <w:rPr>
          <w:rFonts w:cs="Times New Roman"/>
          <w:b/>
          <w:bCs/>
          <w:i/>
          <w:iCs/>
          <w:kern w:val="2"/>
          <w:lang w:val="es-CO" w:eastAsia="en-US"/>
          <w14:ligatures w14:val="standardContextual"/>
        </w:rPr>
        <w:t>d'Ivoire</w:t>
      </w:r>
      <w:proofErr w:type="spellEnd"/>
      <w:r w:rsidRPr="003824E2">
        <w:rPr>
          <w:rFonts w:cs="Times New Roman"/>
          <w:b/>
          <w:bCs/>
          <w:i/>
          <w:iCs/>
          <w:kern w:val="2"/>
          <w:lang w:val="es-CO" w:eastAsia="en-US"/>
          <w14:ligatures w14:val="standardContextual"/>
        </w:rPr>
        <w:t xml:space="preserve"> (1998); </w:t>
      </w:r>
      <w:proofErr w:type="spellStart"/>
      <w:r w:rsidRPr="003824E2">
        <w:rPr>
          <w:rFonts w:cs="Times New Roman"/>
          <w:b/>
          <w:bCs/>
          <w:i/>
          <w:iCs/>
          <w:kern w:val="2"/>
          <w:lang w:val="es-CO" w:eastAsia="en-US"/>
          <w14:ligatures w14:val="standardContextual"/>
        </w:rPr>
        <w:t>Djibouti</w:t>
      </w:r>
      <w:proofErr w:type="spellEnd"/>
      <w:r w:rsidRPr="003824E2">
        <w:rPr>
          <w:rFonts w:cs="Times New Roman"/>
          <w:b/>
          <w:bCs/>
          <w:i/>
          <w:iCs/>
          <w:kern w:val="2"/>
          <w:lang w:val="es-CO" w:eastAsia="en-US"/>
          <w14:ligatures w14:val="standardContextual"/>
        </w:rPr>
        <w:t xml:space="preserve"> (1994, 2009); Egipto (2008); Eritrea (2007); Etiopía (2004); Ghana (1994, 2007); Guinea (1965, 2000); Guinea-Bissau (2011); </w:t>
      </w:r>
      <w:proofErr w:type="spellStart"/>
      <w:r w:rsidRPr="003824E2">
        <w:rPr>
          <w:rFonts w:cs="Times New Roman"/>
          <w:b/>
          <w:bCs/>
          <w:i/>
          <w:iCs/>
          <w:kern w:val="2"/>
          <w:lang w:val="es-CO" w:eastAsia="en-US"/>
          <w14:ligatures w14:val="standardContextual"/>
        </w:rPr>
        <w:t>Kenya</w:t>
      </w:r>
      <w:proofErr w:type="spellEnd"/>
      <w:r w:rsidRPr="003824E2">
        <w:rPr>
          <w:rFonts w:cs="Times New Roman"/>
          <w:b/>
          <w:bCs/>
          <w:i/>
          <w:iCs/>
          <w:kern w:val="2"/>
          <w:lang w:val="es-CO" w:eastAsia="en-US"/>
          <w14:ligatures w14:val="standardContextual"/>
        </w:rPr>
        <w:t xml:space="preserve"> (2001, 2011); Mauritania (2005); Níger (2003); Nigeria (1999-2002, varios estados; prohibición federal en 2015); República Centroafricana (1996, 2006); Senegal (1999); Sudáfrica (2000); Sudán (2020); </w:t>
      </w:r>
      <w:proofErr w:type="spellStart"/>
      <w:r w:rsidRPr="003824E2">
        <w:rPr>
          <w:rFonts w:cs="Times New Roman"/>
          <w:b/>
          <w:bCs/>
          <w:i/>
          <w:iCs/>
          <w:kern w:val="2"/>
          <w:lang w:val="es-CO" w:eastAsia="en-US"/>
          <w14:ligatures w14:val="standardContextual"/>
        </w:rPr>
        <w:t>Tanzanía</w:t>
      </w:r>
      <w:proofErr w:type="spellEnd"/>
      <w:r w:rsidRPr="003824E2">
        <w:rPr>
          <w:rFonts w:cs="Times New Roman"/>
          <w:b/>
          <w:bCs/>
          <w:i/>
          <w:iCs/>
          <w:kern w:val="2"/>
          <w:lang w:val="es-CO" w:eastAsia="en-US"/>
          <w14:ligatures w14:val="standardContextual"/>
        </w:rPr>
        <w:t xml:space="preserve"> (1998); Togo (1998); Uganda (2010); y Zambia (2005, 2011).</w:t>
      </w:r>
    </w:p>
    <w:p w14:paraId="32A35C69" w14:textId="77777777"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Otros: Austria (2002); Bélgica (2000); Canadá (1997); Chipre (2003); Dinamarca (2003); España (2003); Estados Unidos (ley federal, 1996; 17 de los 50 estados entre 1994 y 2006); Francia (Código Penal, 1979); Italia (2005); Luxemburgo (solo en lo referente a las mutilaciones, sin especificar la mutilación «genital», 2008); Noruega (1995); Nueva Zelandia (1995); Portugal (2007); Reino Unido (1985); Suecia (1982, 1998) y Suiza (2005, una nueva normativa penal más estricta en 2012).</w:t>
      </w:r>
    </w:p>
    <w:p w14:paraId="401CF399" w14:textId="4DA0393A"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Muchos estados individuales de la Commonwealth de Australia (1994-2006) han legislado para prohibir la mutilación genital femenina.</w:t>
      </w:r>
    </w:p>
    <w:p w14:paraId="31BA0B0D" w14:textId="77777777"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Las penas varían de un mínimo de seis meses de cárcel a un máximo de cadena perpetua. Varios países también incluyen multas económicas en la pena.</w:t>
      </w:r>
    </w:p>
    <w:p w14:paraId="1EF32A15" w14:textId="77777777" w:rsidR="003824E2" w:rsidRDefault="003824E2" w:rsidP="003824E2">
      <w:pPr>
        <w:widowControl/>
        <w:jc w:val="both"/>
        <w:rPr>
          <w:rFonts w:cs="Times New Roman"/>
          <w:b/>
          <w:bCs/>
          <w:i/>
          <w:iCs/>
          <w:kern w:val="2"/>
          <w:lang w:val="es-CO" w:eastAsia="en-US"/>
          <w14:ligatures w14:val="standardContextual"/>
        </w:rPr>
      </w:pPr>
      <w:bookmarkStart w:id="7" w:name="CIPD"/>
      <w:bookmarkEnd w:id="7"/>
    </w:p>
    <w:p w14:paraId="4946BCBA" w14:textId="7455E9B1"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¿Qué dice el Programa de Acción de la CIPD al respecto?</w:t>
      </w:r>
    </w:p>
    <w:p w14:paraId="39C2FE97"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El </w:t>
      </w:r>
      <w:hyperlink r:id="rId28" w:history="1">
        <w:r w:rsidRPr="003824E2">
          <w:rPr>
            <w:rStyle w:val="Hipervnculo"/>
            <w:rFonts w:cs="Times New Roman"/>
            <w:i/>
            <w:iCs/>
            <w:color w:val="auto"/>
            <w:kern w:val="2"/>
            <w:u w:val="none"/>
            <w:lang w:val="es-CO" w:eastAsia="en-US"/>
            <w14:ligatures w14:val="standardContextual"/>
          </w:rPr>
          <w:t>Programa de Acción</w:t>
        </w:r>
      </w:hyperlink>
      <w:r w:rsidRPr="003824E2">
        <w:rPr>
          <w:rFonts w:cs="Times New Roman"/>
          <w:i/>
          <w:iCs/>
          <w:kern w:val="2"/>
          <w:lang w:val="es-CO" w:eastAsia="en-US"/>
          <w14:ligatures w14:val="standardContextual"/>
        </w:rPr>
        <w:t> de la </w:t>
      </w:r>
      <w:hyperlink r:id="rId29" w:history="1">
        <w:r w:rsidRPr="003824E2">
          <w:rPr>
            <w:rStyle w:val="Hipervnculo"/>
            <w:rFonts w:cs="Times New Roman"/>
            <w:i/>
            <w:iCs/>
            <w:color w:val="auto"/>
            <w:kern w:val="2"/>
            <w:u w:val="none"/>
            <w:lang w:val="es-CO" w:eastAsia="en-US"/>
            <w14:ligatures w14:val="standardContextual"/>
          </w:rPr>
          <w:t>Conferencia Internacional sobre la Población y el Desarrollo</w:t>
        </w:r>
      </w:hyperlink>
      <w:r w:rsidRPr="003824E2">
        <w:rPr>
          <w:rFonts w:cs="Times New Roman"/>
          <w:i/>
          <w:iCs/>
          <w:kern w:val="2"/>
          <w:lang w:val="es-CO" w:eastAsia="en-US"/>
          <w14:ligatures w14:val="standardContextual"/>
        </w:rPr>
        <w:t xml:space="preserve"> reconoce que la violencia contra la mujer es un fenómeno muy extendido. «En varios países, las prácticas tradicionales </w:t>
      </w:r>
      <w:r w:rsidRPr="003824E2">
        <w:rPr>
          <w:rFonts w:cs="Times New Roman"/>
          <w:i/>
          <w:iCs/>
          <w:kern w:val="2"/>
          <w:lang w:val="es-CO" w:eastAsia="en-US"/>
          <w14:ligatures w14:val="standardContextual"/>
        </w:rPr>
        <w:lastRenderedPageBreak/>
        <w:t>encaminadas a controlar la sexualidad de la mujer han sido causa de grandes sufrimientos. Entre ellas se encuentra la práctica de la mutilación de los genitales femeninos, que constituye una violación de derechos fundamentales y un riesgo que afecta a las mujeres en su salud reproductiva durante toda la vida» (párr. 7.35).</w:t>
      </w:r>
    </w:p>
    <w:p w14:paraId="08ADCA97" w14:textId="77777777"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El Programa de Acción insta a «los gobiernos y las comunidades [a] adoptar con carácter urgente medidas para poner fin a la práctica de la mutilación genital de la mujer y proteger a las mujeres y niñas contra todas las prácticas peligrosas de esa índole. Las medidas encaminadas a eliminar esta práctica deberían incluir programas eficaces de divulgación en la comunidad, en los que participen los dirigentes religiosos y locales, y que incluyan educación y orientación acerca de sus efectos sobre la salud de las niñas y mujeres, así como tratamiento y la rehabilitación apropiados para las que hayan sufrido una mutilación. Los servicios deberían incluir la orientación de las mujeres y los hombres con miras a desalentar dicha práctica» (párr. 7.40).</w:t>
      </w:r>
    </w:p>
    <w:p w14:paraId="0E41AD45"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El capítulo 4, párrafo 4.4, afirma que «los países deberían adoptar medidas para habilitar a la mujer y eliminar la desigualdad entre hombres y mujeres a la mayor brevedad posible […] eliminando todas las prácticas que discriminan contra la mujer; ayudando a la mujer a establecer y realizar sus derechos, incluidos los relativos a la salud reproductiva y sexual». El párrafo 4.9 afirma que «los países deberían adoptar medidas exhaustivas para eliminar todas las formas de explotación, abuso, acoso y violencia contra las mujeres, las adolescentes y las niñas».</w:t>
      </w:r>
    </w:p>
    <w:p w14:paraId="74E5163C" w14:textId="77777777" w:rsidR="003824E2" w:rsidRDefault="003824E2" w:rsidP="003824E2">
      <w:pPr>
        <w:widowControl/>
        <w:jc w:val="both"/>
        <w:rPr>
          <w:rFonts w:cs="Times New Roman"/>
          <w:i/>
          <w:iCs/>
          <w:kern w:val="2"/>
          <w:lang w:val="es-CO" w:eastAsia="en-US"/>
          <w14:ligatures w14:val="standardContextual"/>
        </w:rPr>
      </w:pPr>
      <w:bookmarkStart w:id="8" w:name="los-instrumentos-internacionales-y-regio"/>
      <w:bookmarkEnd w:id="8"/>
    </w:p>
    <w:p w14:paraId="08A0DC34" w14:textId="71A227FD"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¿Cuáles son los instrumentos internacionales y regionales de referencia para la erradicación de la MGF?</w:t>
      </w:r>
    </w:p>
    <w:p w14:paraId="1E2C69D8"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La mayoría de gobiernos de los países donde se practica la MGF han ratificado convenciones y declaraciones internacionales que establecen cláusulas para el fomento y la protección de la salud de las mujeres y las niñas. Por ejemplo:</w:t>
      </w:r>
    </w:p>
    <w:p w14:paraId="28E54ABA"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1948</w:t>
      </w:r>
    </w:p>
    <w:p w14:paraId="7F709171"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b/>
          <w:bCs/>
          <w:i/>
          <w:iCs/>
          <w:kern w:val="2"/>
          <w:u w:val="single"/>
          <w:lang w:val="es-CO" w:eastAsia="en-US"/>
          <w14:ligatures w14:val="standardContextual"/>
        </w:rPr>
        <w:t>La </w:t>
      </w:r>
      <w:hyperlink r:id="rId30" w:history="1">
        <w:r w:rsidRPr="003824E2">
          <w:rPr>
            <w:rStyle w:val="Hipervnculo"/>
            <w:rFonts w:cs="Times New Roman"/>
            <w:b/>
            <w:bCs/>
            <w:i/>
            <w:iCs/>
            <w:color w:val="auto"/>
            <w:kern w:val="2"/>
            <w:lang w:val="es-CO" w:eastAsia="en-US"/>
            <w14:ligatures w14:val="standardContextual"/>
          </w:rPr>
          <w:t>Declaración Universal de Derechos Humanos</w:t>
        </w:r>
      </w:hyperlink>
      <w:r w:rsidRPr="003824E2">
        <w:rPr>
          <w:rFonts w:cs="Times New Roman"/>
          <w:i/>
          <w:iCs/>
          <w:kern w:val="2"/>
          <w:lang w:val="es-CO" w:eastAsia="en-US"/>
          <w14:ligatures w14:val="standardContextual"/>
        </w:rPr>
        <w:t> proclama el derecho de todo ser humano a vivir en condiciones que le permitan disfrutar de buena salud y asistencia médica (art. 25). La Declaración Universal de Derechos Humanos, que la Asamblea General de las Naciones Unidas aprobó el 10 de diciembre de 1948, contiene cinco artículos que, juntos, conforman la base para condenar la MGF: el artículo 2, sobre la discriminación; el artículo 3, sobre el derecho a la seguridad personal; el artículo 5, sobre el trato cruel, inhumano o degradante; el artículo 12, sobre la privacidad; el artículo 25, sobre el derecho a un nivel de vida adecuado (que incluye la asistencia médica) y a la protección de la maternidad.</w:t>
      </w:r>
    </w:p>
    <w:p w14:paraId="1C888E05" w14:textId="77777777"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1951</w:t>
      </w:r>
    </w:p>
    <w:p w14:paraId="3DBD13EF"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b/>
          <w:bCs/>
          <w:i/>
          <w:iCs/>
          <w:kern w:val="2"/>
          <w:lang w:val="es-CO" w:eastAsia="en-US"/>
          <w14:ligatures w14:val="standardContextual"/>
        </w:rPr>
        <w:t>La </w:t>
      </w:r>
      <w:hyperlink r:id="rId31" w:history="1">
        <w:r w:rsidRPr="003824E2">
          <w:rPr>
            <w:rStyle w:val="Hipervnculo"/>
            <w:rFonts w:cs="Times New Roman"/>
            <w:b/>
            <w:bCs/>
            <w:i/>
            <w:iCs/>
            <w:color w:val="auto"/>
            <w:kern w:val="2"/>
            <w:lang w:val="es-CO" w:eastAsia="en-US"/>
            <w14:ligatures w14:val="standardContextual"/>
          </w:rPr>
          <w:t>Convención sobre el Estatuto de los Refugiados</w:t>
        </w:r>
      </w:hyperlink>
      <w:r w:rsidRPr="003824E2">
        <w:rPr>
          <w:rFonts w:cs="Times New Roman"/>
          <w:i/>
          <w:iCs/>
          <w:kern w:val="2"/>
          <w:lang w:val="es-CO" w:eastAsia="en-US"/>
          <w14:ligatures w14:val="standardContextual"/>
        </w:rPr>
        <w:t> define quién es refugiado, cuáles son sus derechos, y explica las obligaciones legales de los Estados. Aquellas personas que huyen de la amenaza de la MGF </w:t>
      </w:r>
      <w:hyperlink r:id="rId32" w:history="1">
        <w:r w:rsidRPr="003824E2">
          <w:rPr>
            <w:rStyle w:val="Hipervnculo"/>
            <w:rFonts w:cs="Times New Roman"/>
            <w:i/>
            <w:iCs/>
            <w:color w:val="auto"/>
            <w:kern w:val="2"/>
            <w:u w:val="none"/>
            <w:lang w:val="es-CO" w:eastAsia="en-US"/>
            <w14:ligatures w14:val="standardContextual"/>
          </w:rPr>
          <w:t>cumplen los requisitos para obtener el estatuto de refugiado</w:t>
        </w:r>
      </w:hyperlink>
      <w:r w:rsidRPr="003824E2">
        <w:rPr>
          <w:rFonts w:cs="Times New Roman"/>
          <w:i/>
          <w:iCs/>
          <w:kern w:val="2"/>
          <w:lang w:val="es-CO" w:eastAsia="en-US"/>
          <w14:ligatures w14:val="standardContextual"/>
        </w:rPr>
        <w:t>.</w:t>
      </w:r>
    </w:p>
    <w:p w14:paraId="06117DD3" w14:textId="77777777" w:rsidR="003824E2" w:rsidRDefault="003824E2" w:rsidP="003824E2">
      <w:pPr>
        <w:widowControl/>
        <w:jc w:val="both"/>
        <w:rPr>
          <w:rFonts w:cs="Times New Roman"/>
          <w:b/>
          <w:bCs/>
          <w:i/>
          <w:iCs/>
          <w:kern w:val="2"/>
          <w:lang w:val="es-CO" w:eastAsia="en-US"/>
          <w14:ligatures w14:val="standardContextual"/>
        </w:rPr>
      </w:pPr>
    </w:p>
    <w:p w14:paraId="19B2818E" w14:textId="1392E96C"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1966</w:t>
      </w:r>
    </w:p>
    <w:p w14:paraId="7020F43B" w14:textId="77777777"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El </w:t>
      </w:r>
      <w:hyperlink r:id="rId33" w:history="1">
        <w:r w:rsidRPr="003824E2">
          <w:rPr>
            <w:rStyle w:val="Hipervnculo"/>
            <w:rFonts w:cs="Times New Roman"/>
            <w:b/>
            <w:bCs/>
            <w:i/>
            <w:iCs/>
            <w:color w:val="auto"/>
            <w:kern w:val="2"/>
            <w:lang w:val="es-CO" w:eastAsia="en-US"/>
            <w14:ligatures w14:val="standardContextual"/>
          </w:rPr>
          <w:t>Pacto Internacional de Derechos Civiles y Políticos</w:t>
        </w:r>
      </w:hyperlink>
      <w:r w:rsidRPr="003824E2">
        <w:rPr>
          <w:rFonts w:cs="Times New Roman"/>
          <w:b/>
          <w:bCs/>
          <w:i/>
          <w:iCs/>
          <w:kern w:val="2"/>
          <w:lang w:val="es-CO" w:eastAsia="en-US"/>
          <w14:ligatures w14:val="standardContextual"/>
        </w:rPr>
        <w:t> y el </w:t>
      </w:r>
      <w:hyperlink r:id="rId34" w:history="1">
        <w:r w:rsidRPr="003824E2">
          <w:rPr>
            <w:rStyle w:val="Hipervnculo"/>
            <w:rFonts w:cs="Times New Roman"/>
            <w:b/>
            <w:bCs/>
            <w:i/>
            <w:iCs/>
            <w:color w:val="auto"/>
            <w:kern w:val="2"/>
            <w:lang w:val="es-CO" w:eastAsia="en-US"/>
            <w14:ligatures w14:val="standardContextual"/>
          </w:rPr>
          <w:t>Pacto Internacional de Derechos Económicos, Sociales y Culturales</w:t>
        </w:r>
      </w:hyperlink>
      <w:r w:rsidRPr="003824E2">
        <w:rPr>
          <w:rFonts w:cs="Times New Roman"/>
          <w:b/>
          <w:bCs/>
          <w:i/>
          <w:iCs/>
          <w:kern w:val="2"/>
          <w:lang w:val="es-CO" w:eastAsia="en-US"/>
          <w14:ligatures w14:val="standardContextual"/>
        </w:rPr>
        <w:t> </w:t>
      </w:r>
      <w:r w:rsidRPr="003824E2">
        <w:rPr>
          <w:rFonts w:cs="Times New Roman"/>
          <w:i/>
          <w:iCs/>
          <w:kern w:val="2"/>
          <w:lang w:val="es-CO" w:eastAsia="en-US"/>
          <w14:ligatures w14:val="standardContextual"/>
        </w:rPr>
        <w:t>condenan la discriminación por motivos de sexo y reconocen el derecho universal al disfrute del más alto nivel posible de salud física y mental (art. 12).</w:t>
      </w:r>
    </w:p>
    <w:p w14:paraId="7D44DF34" w14:textId="77777777" w:rsidR="003824E2" w:rsidRDefault="003824E2" w:rsidP="003824E2">
      <w:pPr>
        <w:widowControl/>
        <w:jc w:val="both"/>
        <w:rPr>
          <w:rFonts w:cs="Times New Roman"/>
          <w:b/>
          <w:bCs/>
          <w:i/>
          <w:iCs/>
          <w:kern w:val="2"/>
          <w:lang w:val="es-CO" w:eastAsia="en-US"/>
          <w14:ligatures w14:val="standardContextual"/>
        </w:rPr>
      </w:pPr>
    </w:p>
    <w:p w14:paraId="3B467EDC" w14:textId="6814B3DC"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lastRenderedPageBreak/>
        <w:t>1979</w:t>
      </w:r>
    </w:p>
    <w:p w14:paraId="1A7D887A"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b/>
          <w:bCs/>
          <w:i/>
          <w:iCs/>
          <w:kern w:val="2"/>
          <w:lang w:val="es-CO" w:eastAsia="en-US"/>
          <w14:ligatures w14:val="standardContextual"/>
        </w:rPr>
        <w:t>La </w:t>
      </w:r>
      <w:hyperlink r:id="rId35" w:history="1">
        <w:r w:rsidRPr="003824E2">
          <w:rPr>
            <w:rStyle w:val="Hipervnculo"/>
            <w:rFonts w:cs="Times New Roman"/>
            <w:b/>
            <w:bCs/>
            <w:i/>
            <w:iCs/>
            <w:color w:val="auto"/>
            <w:kern w:val="2"/>
            <w:lang w:val="es-CO" w:eastAsia="en-US"/>
            <w14:ligatures w14:val="standardContextual"/>
          </w:rPr>
          <w:t>Convención sobre la eliminación de todas las formas de discriminación contra la mujer</w:t>
        </w:r>
      </w:hyperlink>
      <w:r w:rsidRPr="003824E2">
        <w:rPr>
          <w:rFonts w:cs="Times New Roman"/>
          <w:b/>
          <w:bCs/>
          <w:i/>
          <w:iCs/>
          <w:kern w:val="2"/>
          <w:lang w:val="es-CO" w:eastAsia="en-US"/>
          <w14:ligatures w14:val="standardContextual"/>
        </w:rPr>
        <w:t> </w:t>
      </w:r>
      <w:r w:rsidRPr="003824E2">
        <w:rPr>
          <w:rFonts w:cs="Times New Roman"/>
          <w:i/>
          <w:iCs/>
          <w:kern w:val="2"/>
          <w:lang w:val="es-CO" w:eastAsia="en-US"/>
          <w14:ligatures w14:val="standardContextual"/>
        </w:rPr>
        <w:t>conmina a los Estados Partes a «adoptar todas las medidas adecuadas […] para modificar o derogar leyes, reglamentos, usos y prácticas que constituyan discriminación contra la mujer» (art. 2f) y «modificar los patrones socioculturales de conducta de hombres y mujeres, con miras a alcanzar la eliminación de los prejuicios y las prácticas consuetudinarias y de cualquier otra índole que estén basados en la idea de la inferioridad o superioridad de cualquiera de los sexos […]» (art. 5a).</w:t>
      </w:r>
    </w:p>
    <w:p w14:paraId="5CE97FE5"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La Recomendación General n.º 24 (1999) de la Convención enfatiza que algunas prácticas culturales o tradicionales, como la mutilación genital de la mujer, conllevan también un elevado riesgo de muerte y discapacidad, y recomienda que los Estados Partes garanticen leyes que prohíban la MGF.</w:t>
      </w:r>
    </w:p>
    <w:p w14:paraId="04DC4A4A"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La Recomendación General n.º 14 (1990) recomienda que los Estados Partes adopten medidas apropiadas y eficaces encaminadas a erradicar la práctica de la MGF; que recopilen y difundan datos básicos sobre esas prácticas tradicionales; que apoyen a las organizaciones de mujeres que trabajan en favor de la eliminación de las prácticas perjudiciales para la mujer; que alienten a los políticos, profesionales, dirigentes religiosos y comunitarios para que contribuyan a modificar actitudes; que introduzcan programas adecuados de enseñanza y capacitación; que incluyan estrategias adecuadas orientadas a erradicar la MGF en las políticas nacionales de salud; que soliciten asistencia, información y asesoramiento a las organizaciones pertinentes del sistema de las Naciones Unidas; y que incluyan en sus informes al Comité, con arreglo a los artículos 10 y 12 de la Convención, información acerca de las medidas adoptadas para eliminar la MGF.</w:t>
      </w:r>
    </w:p>
    <w:p w14:paraId="190F4794" w14:textId="77777777" w:rsidR="003824E2" w:rsidRDefault="003824E2" w:rsidP="003824E2">
      <w:pPr>
        <w:widowControl/>
        <w:jc w:val="both"/>
        <w:rPr>
          <w:rFonts w:cs="Times New Roman"/>
          <w:b/>
          <w:bCs/>
          <w:i/>
          <w:iCs/>
          <w:kern w:val="2"/>
          <w:lang w:val="es-CO" w:eastAsia="en-US"/>
          <w14:ligatures w14:val="standardContextual"/>
        </w:rPr>
      </w:pPr>
    </w:p>
    <w:p w14:paraId="121AA10C" w14:textId="5633B763"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1984</w:t>
      </w:r>
    </w:p>
    <w:p w14:paraId="22A10AA0"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b/>
          <w:bCs/>
          <w:i/>
          <w:iCs/>
          <w:kern w:val="2"/>
          <w:lang w:val="es-CO" w:eastAsia="en-US"/>
          <w14:ligatures w14:val="standardContextual"/>
        </w:rPr>
        <w:t>La </w:t>
      </w:r>
      <w:hyperlink r:id="rId36" w:history="1">
        <w:r w:rsidRPr="003824E2">
          <w:rPr>
            <w:rStyle w:val="Hipervnculo"/>
            <w:rFonts w:cs="Times New Roman"/>
            <w:b/>
            <w:bCs/>
            <w:i/>
            <w:iCs/>
            <w:color w:val="auto"/>
            <w:kern w:val="2"/>
            <w:lang w:val="es-CO" w:eastAsia="en-US"/>
            <w14:ligatures w14:val="standardContextual"/>
          </w:rPr>
          <w:t>Convención contra la Tortura y Otros Tratos o Penas Crueles, Inhumanos o Degradantes</w:t>
        </w:r>
      </w:hyperlink>
      <w:r w:rsidRPr="003824E2">
        <w:rPr>
          <w:rFonts w:cs="Times New Roman"/>
          <w:b/>
          <w:bCs/>
          <w:i/>
          <w:iCs/>
          <w:kern w:val="2"/>
          <w:lang w:val="es-CO" w:eastAsia="en-US"/>
          <w14:ligatures w14:val="standardContextual"/>
        </w:rPr>
        <w:t> </w:t>
      </w:r>
      <w:r w:rsidRPr="003824E2">
        <w:rPr>
          <w:rFonts w:cs="Times New Roman"/>
          <w:i/>
          <w:iCs/>
          <w:kern w:val="2"/>
          <w:lang w:val="es-CO" w:eastAsia="en-US"/>
          <w14:ligatures w14:val="standardContextual"/>
        </w:rPr>
        <w:t>se aprobó y se abrió a la firma, ratificación y adhesión por la Asamblea General en su Resolución 39/46 (entró en vigor en 1990). El Comité contra la Tortura ha dejado claro en la </w:t>
      </w:r>
      <w:hyperlink r:id="rId37" w:history="1">
        <w:r w:rsidRPr="003824E2">
          <w:rPr>
            <w:rStyle w:val="Hipervnculo"/>
            <w:rFonts w:cs="Times New Roman"/>
            <w:i/>
            <w:iCs/>
            <w:color w:val="auto"/>
            <w:kern w:val="2"/>
            <w:u w:val="none"/>
            <w:lang w:val="es-CO" w:eastAsia="en-US"/>
            <w14:ligatures w14:val="standardContextual"/>
          </w:rPr>
          <w:t>Observación General n.º 2</w:t>
        </w:r>
      </w:hyperlink>
      <w:r w:rsidRPr="003824E2">
        <w:rPr>
          <w:rFonts w:cs="Times New Roman"/>
          <w:i/>
          <w:iCs/>
          <w:kern w:val="2"/>
          <w:lang w:val="es-CO" w:eastAsia="en-US"/>
          <w14:ligatures w14:val="standardContextual"/>
        </w:rPr>
        <w:t> que la MGF entra dentro de su mandato. Tanto el Relator Especial de las Naciones Unidas sobre la violencia contra la mujer como el Relator Especial de las Naciones Unidas sobre la tortura han reconocido que la MGF puede considerarse tortura según esta Convención.</w:t>
      </w:r>
    </w:p>
    <w:p w14:paraId="14A814A2" w14:textId="77777777" w:rsidR="003824E2" w:rsidRDefault="003824E2" w:rsidP="003824E2">
      <w:pPr>
        <w:widowControl/>
        <w:jc w:val="both"/>
        <w:rPr>
          <w:rFonts w:cs="Times New Roman"/>
          <w:b/>
          <w:bCs/>
          <w:i/>
          <w:iCs/>
          <w:kern w:val="2"/>
          <w:lang w:val="es-CO" w:eastAsia="en-US"/>
          <w14:ligatures w14:val="standardContextual"/>
        </w:rPr>
      </w:pPr>
    </w:p>
    <w:p w14:paraId="1721579F" w14:textId="7A39C0D8"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1989</w:t>
      </w:r>
    </w:p>
    <w:p w14:paraId="752B2AC7" w14:textId="0F2C4F90" w:rsidR="003824E2" w:rsidRDefault="003824E2" w:rsidP="003824E2">
      <w:pPr>
        <w:widowControl/>
        <w:jc w:val="both"/>
        <w:rPr>
          <w:rFonts w:cs="Times New Roman"/>
          <w:i/>
          <w:iCs/>
          <w:kern w:val="2"/>
          <w:lang w:val="es-CO" w:eastAsia="en-US"/>
          <w14:ligatures w14:val="standardContextual"/>
        </w:rPr>
      </w:pPr>
      <w:r w:rsidRPr="003824E2">
        <w:rPr>
          <w:rFonts w:cs="Times New Roman"/>
          <w:b/>
          <w:bCs/>
          <w:i/>
          <w:iCs/>
          <w:kern w:val="2"/>
          <w:u w:val="single"/>
          <w:lang w:val="es-CO" w:eastAsia="en-US"/>
          <w14:ligatures w14:val="standardContextual"/>
        </w:rPr>
        <w:t>La </w:t>
      </w:r>
      <w:hyperlink r:id="rId38" w:history="1">
        <w:r w:rsidRPr="003824E2">
          <w:rPr>
            <w:rStyle w:val="Hipervnculo"/>
            <w:rFonts w:cs="Times New Roman"/>
            <w:b/>
            <w:bCs/>
            <w:i/>
            <w:iCs/>
            <w:color w:val="auto"/>
            <w:kern w:val="2"/>
            <w:lang w:val="es-CO" w:eastAsia="en-US"/>
            <w14:ligatures w14:val="standardContextual"/>
          </w:rPr>
          <w:t>Convención sobre los Derechos del Niño</w:t>
        </w:r>
      </w:hyperlink>
      <w:r w:rsidRPr="003824E2">
        <w:rPr>
          <w:rFonts w:cs="Times New Roman"/>
          <w:b/>
          <w:bCs/>
          <w:i/>
          <w:iCs/>
          <w:kern w:val="2"/>
          <w:lang w:val="es-CO" w:eastAsia="en-US"/>
          <w14:ligatures w14:val="standardContextual"/>
        </w:rPr>
        <w:t> </w:t>
      </w:r>
      <w:r w:rsidRPr="003824E2">
        <w:rPr>
          <w:rFonts w:cs="Times New Roman"/>
          <w:i/>
          <w:iCs/>
          <w:kern w:val="2"/>
          <w:lang w:val="es-CO" w:eastAsia="en-US"/>
          <w14:ligatures w14:val="standardContextual"/>
        </w:rPr>
        <w:t>protege contra toda forma de perjuicio o abuso físico o mental (art. 19.1); insta a que no se someta a los niños a torturas ni a otros tratos o penas crueles, inhumanos o degradantes (art. 37a); y exige a los Estados Partes que adopten todas las medidas eficaces y apropiadas posibles para abolir las prácticas tradicionales que sean perjudiciales para la salud de los niños (art. 24.3).</w:t>
      </w:r>
    </w:p>
    <w:p w14:paraId="31F51072" w14:textId="77777777" w:rsidR="003824E2" w:rsidRPr="003824E2" w:rsidRDefault="003824E2" w:rsidP="003824E2">
      <w:pPr>
        <w:widowControl/>
        <w:jc w:val="both"/>
        <w:rPr>
          <w:rFonts w:cs="Times New Roman"/>
          <w:i/>
          <w:iCs/>
          <w:kern w:val="2"/>
          <w:lang w:val="es-CO" w:eastAsia="en-US"/>
          <w14:ligatures w14:val="standardContextual"/>
        </w:rPr>
      </w:pPr>
    </w:p>
    <w:p w14:paraId="14150118" w14:textId="77777777"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1993</w:t>
      </w:r>
    </w:p>
    <w:p w14:paraId="04D79F4F" w14:textId="2184A3AF" w:rsid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La </w:t>
      </w:r>
      <w:hyperlink r:id="rId39" w:history="1">
        <w:r w:rsidRPr="003824E2">
          <w:rPr>
            <w:rStyle w:val="Hipervnculo"/>
            <w:rFonts w:cs="Times New Roman"/>
            <w:b/>
            <w:bCs/>
            <w:i/>
            <w:iCs/>
            <w:color w:val="auto"/>
            <w:kern w:val="2"/>
            <w:u w:val="none"/>
            <w:lang w:val="es-CO" w:eastAsia="en-US"/>
            <w14:ligatures w14:val="standardContextual"/>
          </w:rPr>
          <w:t>Declaración y Programa de Acción de Viena de la Conferencia Mundial de Derechos Humanos</w:t>
        </w:r>
      </w:hyperlink>
      <w:r w:rsidRPr="003824E2">
        <w:rPr>
          <w:rFonts w:cs="Times New Roman"/>
          <w:b/>
          <w:bCs/>
          <w:i/>
          <w:iCs/>
          <w:kern w:val="2"/>
          <w:lang w:val="es-CO" w:eastAsia="en-US"/>
          <w14:ligatures w14:val="standardContextual"/>
        </w:rPr>
        <w:t> amplió su agenda internacional de derechos humanos para que abarcase la violencia de género, incluida la MGF.</w:t>
      </w:r>
    </w:p>
    <w:p w14:paraId="788821E0" w14:textId="77777777" w:rsidR="003824E2" w:rsidRPr="003824E2" w:rsidRDefault="003824E2" w:rsidP="003824E2">
      <w:pPr>
        <w:widowControl/>
        <w:jc w:val="both"/>
        <w:rPr>
          <w:rFonts w:cs="Times New Roman"/>
          <w:b/>
          <w:bCs/>
          <w:i/>
          <w:iCs/>
          <w:kern w:val="2"/>
          <w:lang w:val="es-CO" w:eastAsia="en-US"/>
          <w14:ligatures w14:val="standardContextual"/>
        </w:rPr>
      </w:pPr>
    </w:p>
    <w:p w14:paraId="5F0745E8" w14:textId="77777777"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1994</w:t>
      </w:r>
    </w:p>
    <w:p w14:paraId="3511B591" w14:textId="19887C26" w:rsid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lastRenderedPageBreak/>
        <w:t>El Programa de Acción de la Conferencia Internacional sobre la Población y el Desarrollo insta a los gobiernos a «adoptar con carácter urgente medidas para poner fin a la práctica de la mutilación genital de la mujer y proteger a las mujeres y niñas contra todas las prácticas peligrosas de esa índole».</w:t>
      </w:r>
    </w:p>
    <w:p w14:paraId="240F7554" w14:textId="77777777" w:rsidR="003824E2" w:rsidRPr="003824E2" w:rsidRDefault="003824E2" w:rsidP="003824E2">
      <w:pPr>
        <w:widowControl/>
        <w:jc w:val="both"/>
        <w:rPr>
          <w:rFonts w:cs="Times New Roman"/>
          <w:b/>
          <w:bCs/>
          <w:i/>
          <w:iCs/>
          <w:kern w:val="2"/>
          <w:lang w:val="es-CO" w:eastAsia="en-US"/>
          <w14:ligatures w14:val="standardContextual"/>
        </w:rPr>
      </w:pPr>
    </w:p>
    <w:p w14:paraId="036F3ED1" w14:textId="77777777"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1995</w:t>
      </w:r>
    </w:p>
    <w:p w14:paraId="5DC981CF"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b/>
          <w:bCs/>
          <w:i/>
          <w:iCs/>
          <w:kern w:val="2"/>
          <w:lang w:val="es-CO" w:eastAsia="en-US"/>
          <w14:ligatures w14:val="standardContextual"/>
        </w:rPr>
        <w:t>La </w:t>
      </w:r>
      <w:hyperlink r:id="rId40" w:history="1">
        <w:r w:rsidRPr="003824E2">
          <w:rPr>
            <w:rStyle w:val="Hipervnculo"/>
            <w:rFonts w:cs="Times New Roman"/>
            <w:b/>
            <w:bCs/>
            <w:i/>
            <w:iCs/>
            <w:color w:val="auto"/>
            <w:kern w:val="2"/>
            <w:lang w:val="es-CO" w:eastAsia="en-US"/>
            <w14:ligatures w14:val="standardContextual"/>
          </w:rPr>
          <w:t>Plataforma de Acción de la Cuarta Conferencia Mundial sobre la Mujer</w:t>
        </w:r>
      </w:hyperlink>
      <w:r w:rsidRPr="003824E2">
        <w:rPr>
          <w:rFonts w:cs="Times New Roman"/>
          <w:b/>
          <w:bCs/>
          <w:i/>
          <w:iCs/>
          <w:kern w:val="2"/>
          <w:lang w:val="es-CO" w:eastAsia="en-US"/>
          <w14:ligatures w14:val="standardContextual"/>
        </w:rPr>
        <w:t> </w:t>
      </w:r>
      <w:r w:rsidRPr="003824E2">
        <w:rPr>
          <w:rFonts w:cs="Times New Roman"/>
          <w:i/>
          <w:iCs/>
          <w:kern w:val="2"/>
          <w:lang w:val="es-CO" w:eastAsia="en-US"/>
          <w14:ligatures w14:val="standardContextual"/>
        </w:rPr>
        <w:t>urge a los gobiernos, a las organizaciones internacionales y a los grupos no gubernamentales a desarrollar políticas y programas que eliminen cualquier forma de discriminación contra las niñas, incluida la mutilación genital femenina.</w:t>
      </w:r>
    </w:p>
    <w:p w14:paraId="3C28FC80" w14:textId="77777777" w:rsidR="003824E2" w:rsidRDefault="003824E2" w:rsidP="003824E2">
      <w:pPr>
        <w:widowControl/>
        <w:jc w:val="both"/>
        <w:rPr>
          <w:rFonts w:cs="Times New Roman"/>
          <w:b/>
          <w:bCs/>
          <w:i/>
          <w:iCs/>
          <w:kern w:val="2"/>
          <w:lang w:val="es-CO" w:eastAsia="en-US"/>
          <w14:ligatures w14:val="standardContextual"/>
        </w:rPr>
      </w:pPr>
    </w:p>
    <w:p w14:paraId="1685D0A5" w14:textId="0014E1D9"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1997</w:t>
      </w:r>
    </w:p>
    <w:p w14:paraId="26A219BE"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La Carta Africana sobre los Derechos Humanos y de los Pueblos pone de relieve los derechos humanos. El artículo 4 se centra en la integridad de la persona, el artículo 5 en la dignidad humana y en la protección contra la degradación, el artículo 16 en el derecho a la salud, y el artículo 18 (3) en la protección de los derechos de las mujeres y los niños.</w:t>
      </w:r>
    </w:p>
    <w:p w14:paraId="3A713E0B" w14:textId="77777777" w:rsidR="003824E2" w:rsidRDefault="003824E2" w:rsidP="003824E2">
      <w:pPr>
        <w:widowControl/>
        <w:jc w:val="both"/>
        <w:rPr>
          <w:rFonts w:cs="Times New Roman"/>
          <w:b/>
          <w:bCs/>
          <w:i/>
          <w:iCs/>
          <w:kern w:val="2"/>
          <w:lang w:val="es-CO" w:eastAsia="en-US"/>
          <w14:ligatures w14:val="standardContextual"/>
        </w:rPr>
      </w:pPr>
    </w:p>
    <w:p w14:paraId="33C252A9" w14:textId="0B6B9CF6"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1998</w:t>
      </w:r>
    </w:p>
    <w:p w14:paraId="40E9DF8E" w14:textId="2565FA13" w:rsidR="003824E2" w:rsidRDefault="003824E2" w:rsidP="003824E2">
      <w:pPr>
        <w:widowControl/>
        <w:jc w:val="both"/>
        <w:rPr>
          <w:rFonts w:cs="Times New Roman"/>
          <w:i/>
          <w:iCs/>
          <w:kern w:val="2"/>
          <w:lang w:val="es-CO" w:eastAsia="en-US"/>
          <w14:ligatures w14:val="standardContextual"/>
        </w:rPr>
      </w:pPr>
      <w:r w:rsidRPr="003824E2">
        <w:rPr>
          <w:rFonts w:cs="Times New Roman"/>
          <w:b/>
          <w:bCs/>
          <w:i/>
          <w:iCs/>
          <w:kern w:val="2"/>
          <w:lang w:val="es-CO" w:eastAsia="en-US"/>
          <w14:ligatures w14:val="standardContextual"/>
        </w:rPr>
        <w:t>La </w:t>
      </w:r>
      <w:hyperlink r:id="rId41" w:tgtFrame="_blank" w:history="1">
        <w:r w:rsidRPr="003824E2">
          <w:rPr>
            <w:rStyle w:val="Hipervnculo"/>
            <w:rFonts w:cs="Times New Roman"/>
            <w:b/>
            <w:bCs/>
            <w:i/>
            <w:iCs/>
            <w:color w:val="auto"/>
            <w:kern w:val="2"/>
            <w:lang w:val="es-CO" w:eastAsia="en-US"/>
            <w14:ligatures w14:val="standardContextual"/>
          </w:rPr>
          <w:t>Declaración de Addis Abeba sobre la violencia contra la mujer</w:t>
        </w:r>
      </w:hyperlink>
      <w:r w:rsidRPr="003824E2">
        <w:rPr>
          <w:rFonts w:cs="Times New Roman"/>
          <w:b/>
          <w:bCs/>
          <w:i/>
          <w:iCs/>
          <w:kern w:val="2"/>
          <w:lang w:val="es-CO" w:eastAsia="en-US"/>
          <w14:ligatures w14:val="standardContextual"/>
        </w:rPr>
        <w:t> </w:t>
      </w:r>
      <w:r w:rsidRPr="003824E2">
        <w:rPr>
          <w:rFonts w:cs="Times New Roman"/>
          <w:i/>
          <w:iCs/>
          <w:kern w:val="2"/>
          <w:lang w:val="es-CO" w:eastAsia="en-US"/>
          <w14:ligatures w14:val="standardContextual"/>
        </w:rPr>
        <w:t>constituye un importante avance hacia la formulación de una carta africana sobre la violencia contra la mujer al proporcionar el marco necesario para promulgar leyes nacionales contra la MGF. La Organización de la Unidad Africana (OUA) la aprobó en la 68.ª sesión del Consejo de Ministros en julio de 1998. La Declaración fue aprobada más tarde por la Asamblea de Jefes de Estado y de Gobierno.</w:t>
      </w:r>
    </w:p>
    <w:p w14:paraId="543768B8" w14:textId="77777777" w:rsidR="003824E2" w:rsidRPr="003824E2" w:rsidRDefault="003824E2" w:rsidP="003824E2">
      <w:pPr>
        <w:widowControl/>
        <w:jc w:val="both"/>
        <w:rPr>
          <w:rFonts w:cs="Times New Roman"/>
          <w:b/>
          <w:bCs/>
          <w:i/>
          <w:iCs/>
          <w:kern w:val="2"/>
          <w:lang w:val="es-CO" w:eastAsia="en-US"/>
          <w14:ligatures w14:val="standardContextual"/>
        </w:rPr>
      </w:pPr>
    </w:p>
    <w:p w14:paraId="67323355" w14:textId="77777777"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La </w:t>
      </w:r>
      <w:hyperlink r:id="rId42" w:history="1">
        <w:r w:rsidRPr="003824E2">
          <w:rPr>
            <w:rStyle w:val="Hipervnculo"/>
            <w:rFonts w:cs="Times New Roman"/>
            <w:b/>
            <w:bCs/>
            <w:i/>
            <w:iCs/>
            <w:color w:val="auto"/>
            <w:kern w:val="2"/>
            <w:lang w:val="es-CO" w:eastAsia="en-US"/>
            <w14:ligatures w14:val="standardContextual"/>
          </w:rPr>
          <w:t>Declaración de Banjul</w:t>
        </w:r>
      </w:hyperlink>
      <w:r w:rsidRPr="003824E2">
        <w:rPr>
          <w:rFonts w:cs="Times New Roman"/>
          <w:b/>
          <w:bCs/>
          <w:i/>
          <w:iCs/>
          <w:kern w:val="2"/>
          <w:lang w:val="es-CO" w:eastAsia="en-US"/>
          <w14:ligatures w14:val="standardContextual"/>
        </w:rPr>
        <w:t> condena la MGF y exige su eliminación.</w:t>
      </w:r>
    </w:p>
    <w:p w14:paraId="174F58F3" w14:textId="77777777" w:rsidR="003824E2" w:rsidRDefault="003824E2" w:rsidP="003824E2">
      <w:pPr>
        <w:widowControl/>
        <w:jc w:val="both"/>
        <w:rPr>
          <w:rFonts w:cs="Times New Roman"/>
          <w:b/>
          <w:bCs/>
          <w:i/>
          <w:iCs/>
          <w:kern w:val="2"/>
          <w:lang w:val="es-CO" w:eastAsia="en-US"/>
          <w14:ligatures w14:val="standardContextual"/>
        </w:rPr>
      </w:pPr>
    </w:p>
    <w:p w14:paraId="0BE8418A" w14:textId="6CB92F10"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1999</w:t>
      </w:r>
    </w:p>
    <w:p w14:paraId="6826EFB2" w14:textId="77777777"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La </w:t>
      </w:r>
      <w:hyperlink r:id="rId43" w:history="1">
        <w:r w:rsidRPr="003824E2">
          <w:rPr>
            <w:rStyle w:val="Hipervnculo"/>
            <w:rFonts w:cs="Times New Roman"/>
            <w:b/>
            <w:bCs/>
            <w:i/>
            <w:iCs/>
            <w:color w:val="auto"/>
            <w:kern w:val="2"/>
            <w:lang w:val="es-CO" w:eastAsia="en-US"/>
            <w14:ligatures w14:val="standardContextual"/>
          </w:rPr>
          <w:t>Comisión de Asuntos Sociales, Humanitarios y Culturales de las Naciones Unidas</w:t>
        </w:r>
      </w:hyperlink>
      <w:r w:rsidRPr="003824E2">
        <w:rPr>
          <w:rFonts w:cs="Times New Roman"/>
          <w:b/>
          <w:bCs/>
          <w:i/>
          <w:iCs/>
          <w:kern w:val="2"/>
          <w:lang w:val="es-CO" w:eastAsia="en-US"/>
          <w14:ligatures w14:val="standardContextual"/>
        </w:rPr>
        <w:t> </w:t>
      </w:r>
      <w:r w:rsidRPr="003824E2">
        <w:rPr>
          <w:rFonts w:cs="Times New Roman"/>
          <w:i/>
          <w:iCs/>
          <w:kern w:val="2"/>
          <w:lang w:val="es-CO" w:eastAsia="en-US"/>
          <w14:ligatures w14:val="standardContextual"/>
        </w:rPr>
        <w:t>aprobó una resolución que insta a los Estados a aplicar las leyes y políticas nacionales que prohíben las prácticas tradicionales o consuetudinarias que afectan a la salud de las mujeres y las niñas, incluida la MGF.</w:t>
      </w:r>
    </w:p>
    <w:p w14:paraId="38C67215"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b/>
          <w:bCs/>
          <w:i/>
          <w:iCs/>
          <w:kern w:val="2"/>
          <w:lang w:val="es-CO" w:eastAsia="en-US"/>
          <w14:ligatures w14:val="standardContextual"/>
        </w:rPr>
        <w:t>La </w:t>
      </w:r>
      <w:hyperlink r:id="rId44" w:history="1">
        <w:r w:rsidRPr="003824E2">
          <w:rPr>
            <w:rStyle w:val="Hipervnculo"/>
            <w:rFonts w:cs="Times New Roman"/>
            <w:b/>
            <w:bCs/>
            <w:i/>
            <w:iCs/>
            <w:color w:val="auto"/>
            <w:kern w:val="2"/>
            <w:lang w:val="es-CO" w:eastAsia="en-US"/>
            <w14:ligatures w14:val="standardContextual"/>
          </w:rPr>
          <w:t>Declaración de Uagadugú del Taller Regional sobre la Lucha contra la Mutilación Genital Femenina</w:t>
        </w:r>
      </w:hyperlink>
      <w:r w:rsidRPr="003824E2">
        <w:rPr>
          <w:rFonts w:cs="Times New Roman"/>
          <w:b/>
          <w:bCs/>
          <w:i/>
          <w:iCs/>
          <w:kern w:val="2"/>
          <w:lang w:val="es-CO" w:eastAsia="en-US"/>
          <w14:ligatures w14:val="standardContextual"/>
        </w:rPr>
        <w:t> </w:t>
      </w:r>
      <w:r w:rsidRPr="003824E2">
        <w:rPr>
          <w:rFonts w:cs="Times New Roman"/>
          <w:i/>
          <w:iCs/>
          <w:kern w:val="2"/>
          <w:lang w:val="es-CO" w:eastAsia="en-US"/>
          <w14:ligatures w14:val="standardContextual"/>
        </w:rPr>
        <w:t>insta a establecer redes y mecanismos que combatan la MGF.</w:t>
      </w:r>
    </w:p>
    <w:p w14:paraId="3013511E"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b/>
          <w:bCs/>
          <w:i/>
          <w:iCs/>
          <w:kern w:val="2"/>
          <w:lang w:val="es-CO" w:eastAsia="en-US"/>
          <w14:ligatures w14:val="standardContextual"/>
        </w:rPr>
        <w:t>Las </w:t>
      </w:r>
      <w:hyperlink r:id="rId45" w:history="1">
        <w:r w:rsidRPr="003824E2">
          <w:rPr>
            <w:rStyle w:val="Hipervnculo"/>
            <w:rFonts w:cs="Times New Roman"/>
            <w:b/>
            <w:bCs/>
            <w:i/>
            <w:iCs/>
            <w:color w:val="auto"/>
            <w:kern w:val="2"/>
            <w:lang w:val="es-CO" w:eastAsia="en-US"/>
            <w14:ligatures w14:val="standardContextual"/>
          </w:rPr>
          <w:t>medidas clave para seguir ejecutando el Programa de Acción de la Conferencia Internacional sobre la Población y el Desarrollo</w:t>
        </w:r>
      </w:hyperlink>
      <w:r w:rsidRPr="003824E2">
        <w:rPr>
          <w:rFonts w:cs="Times New Roman"/>
          <w:b/>
          <w:bCs/>
          <w:i/>
          <w:iCs/>
          <w:kern w:val="2"/>
          <w:lang w:val="es-CO" w:eastAsia="en-US"/>
          <w14:ligatures w14:val="standardContextual"/>
        </w:rPr>
        <w:t> </w:t>
      </w:r>
      <w:r w:rsidRPr="003824E2">
        <w:rPr>
          <w:rFonts w:cs="Times New Roman"/>
          <w:i/>
          <w:iCs/>
          <w:kern w:val="2"/>
          <w:lang w:val="es-CO" w:eastAsia="en-US"/>
          <w14:ligatures w14:val="standardContextual"/>
        </w:rPr>
        <w:t>instan a los gobiernos a fomentar los derechos humanos de las mujeres y las niñas y a protegerlas de la coerción, la discriminación y la violencia, incluidas las</w:t>
      </w:r>
      <w:r w:rsidRPr="003824E2">
        <w:rPr>
          <w:rFonts w:cs="Times New Roman"/>
          <w:b/>
          <w:bCs/>
          <w:i/>
          <w:iCs/>
          <w:kern w:val="2"/>
          <w:lang w:val="es-CO" w:eastAsia="en-US"/>
          <w14:ligatures w14:val="standardContextual"/>
        </w:rPr>
        <w:t xml:space="preserve"> </w:t>
      </w:r>
      <w:r w:rsidRPr="003824E2">
        <w:rPr>
          <w:rFonts w:cs="Times New Roman"/>
          <w:i/>
          <w:iCs/>
          <w:kern w:val="2"/>
          <w:lang w:val="es-CO" w:eastAsia="en-US"/>
          <w14:ligatures w14:val="standardContextual"/>
        </w:rPr>
        <w:t>prácticas</w:t>
      </w:r>
      <w:r w:rsidRPr="003824E2">
        <w:rPr>
          <w:rFonts w:cs="Times New Roman"/>
          <w:b/>
          <w:bCs/>
          <w:i/>
          <w:iCs/>
          <w:kern w:val="2"/>
          <w:lang w:val="es-CO" w:eastAsia="en-US"/>
          <w14:ligatures w14:val="standardContextual"/>
        </w:rPr>
        <w:t xml:space="preserve"> </w:t>
      </w:r>
      <w:r w:rsidRPr="003824E2">
        <w:rPr>
          <w:rFonts w:cs="Times New Roman"/>
          <w:i/>
          <w:iCs/>
          <w:kern w:val="2"/>
          <w:lang w:val="es-CO" w:eastAsia="en-US"/>
          <w14:ligatures w14:val="standardContextual"/>
        </w:rPr>
        <w:t>nocivas. También los urge a garantizar que el personal sanitario esté capacitado y formado para atender a las personas que han sido sometidas a prácticas nocivas.</w:t>
      </w:r>
    </w:p>
    <w:p w14:paraId="4FD85BAE" w14:textId="77777777" w:rsidR="003824E2" w:rsidRDefault="003824E2" w:rsidP="003824E2">
      <w:pPr>
        <w:widowControl/>
        <w:jc w:val="both"/>
        <w:rPr>
          <w:rFonts w:cs="Times New Roman"/>
          <w:b/>
          <w:bCs/>
          <w:i/>
          <w:iCs/>
          <w:kern w:val="2"/>
          <w:lang w:val="es-CO" w:eastAsia="en-US"/>
          <w14:ligatures w14:val="standardContextual"/>
        </w:rPr>
      </w:pPr>
    </w:p>
    <w:p w14:paraId="701BBC4B" w14:textId="5A14178D"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2000</w:t>
      </w:r>
    </w:p>
    <w:p w14:paraId="731385A0"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b/>
          <w:bCs/>
          <w:i/>
          <w:iCs/>
          <w:kern w:val="2"/>
          <w:lang w:val="es-CO" w:eastAsia="en-US"/>
          <w14:ligatures w14:val="standardContextual"/>
        </w:rPr>
        <w:t>Las </w:t>
      </w:r>
      <w:hyperlink r:id="rId46" w:history="1">
        <w:r w:rsidRPr="003824E2">
          <w:rPr>
            <w:rStyle w:val="Hipervnculo"/>
            <w:rFonts w:cs="Times New Roman"/>
            <w:b/>
            <w:bCs/>
            <w:i/>
            <w:iCs/>
            <w:color w:val="auto"/>
            <w:kern w:val="2"/>
            <w:lang w:val="es-CO" w:eastAsia="en-US"/>
            <w14:ligatures w14:val="standardContextual"/>
          </w:rPr>
          <w:t>nuevas medidas e iniciativas para la aplicación de la Declaración y Plataforma de Acción de Beijing</w:t>
        </w:r>
      </w:hyperlink>
      <w:r w:rsidRPr="003824E2">
        <w:rPr>
          <w:rFonts w:cs="Times New Roman"/>
          <w:b/>
          <w:bCs/>
          <w:i/>
          <w:iCs/>
          <w:kern w:val="2"/>
          <w:lang w:val="es-CO" w:eastAsia="en-US"/>
          <w14:ligatures w14:val="standardContextual"/>
        </w:rPr>
        <w:t> </w:t>
      </w:r>
      <w:r w:rsidRPr="003824E2">
        <w:rPr>
          <w:rFonts w:cs="Times New Roman"/>
          <w:i/>
          <w:iCs/>
          <w:kern w:val="2"/>
          <w:lang w:val="es-CO" w:eastAsia="en-US"/>
          <w14:ligatures w14:val="standardContextual"/>
        </w:rPr>
        <w:t>reconocen el progreso hecho en las iniciativas nacionales para prohibir la MGF y señalan que las actitudes y las normas discriminatorias continúan haciendo que las mujeres y las niñas sean vulnerables a la violencia de género, incluida la MGF. Insta a los gobiernos a combatir y eliminar la violencia contra la mujer.</w:t>
      </w:r>
    </w:p>
    <w:p w14:paraId="12CAF53D" w14:textId="77777777" w:rsidR="003824E2" w:rsidRDefault="003824E2" w:rsidP="003824E2">
      <w:pPr>
        <w:widowControl/>
        <w:jc w:val="both"/>
        <w:rPr>
          <w:rFonts w:cs="Times New Roman"/>
          <w:b/>
          <w:bCs/>
          <w:i/>
          <w:iCs/>
          <w:kern w:val="2"/>
          <w:lang w:val="es-CO" w:eastAsia="en-US"/>
          <w14:ligatures w14:val="standardContextual"/>
        </w:rPr>
      </w:pPr>
    </w:p>
    <w:p w14:paraId="4EFA390B" w14:textId="3A420BC9"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2001</w:t>
      </w:r>
    </w:p>
    <w:p w14:paraId="706B46D1"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b/>
          <w:bCs/>
          <w:i/>
          <w:iCs/>
          <w:kern w:val="2"/>
          <w:lang w:val="es-CO" w:eastAsia="en-US"/>
          <w14:ligatures w14:val="standardContextual"/>
        </w:rPr>
        <w:t>El </w:t>
      </w:r>
      <w:hyperlink r:id="rId47" w:history="1">
        <w:r w:rsidRPr="003824E2">
          <w:rPr>
            <w:rStyle w:val="Hipervnculo"/>
            <w:rFonts w:cs="Times New Roman"/>
            <w:b/>
            <w:bCs/>
            <w:i/>
            <w:iCs/>
            <w:color w:val="auto"/>
            <w:kern w:val="2"/>
            <w:lang w:val="es-CO" w:eastAsia="en-US"/>
            <w14:ligatures w14:val="standardContextual"/>
          </w:rPr>
          <w:t>Parlamento Europeo adoptó una resolución</w:t>
        </w:r>
      </w:hyperlink>
      <w:r w:rsidRPr="003824E2">
        <w:rPr>
          <w:rFonts w:cs="Times New Roman"/>
          <w:b/>
          <w:bCs/>
          <w:i/>
          <w:iCs/>
          <w:kern w:val="2"/>
          <w:lang w:val="es-CO" w:eastAsia="en-US"/>
          <w14:ligatures w14:val="standardContextual"/>
        </w:rPr>
        <w:t> </w:t>
      </w:r>
      <w:r w:rsidRPr="003824E2">
        <w:rPr>
          <w:rFonts w:cs="Times New Roman"/>
          <w:i/>
          <w:iCs/>
          <w:kern w:val="2"/>
          <w:lang w:val="es-CO" w:eastAsia="en-US"/>
          <w14:ligatures w14:val="standardContextual"/>
        </w:rPr>
        <w:t>sobre las mutilaciones genitales femeninas en la que se instaba a adoptar medidas que protegieran a las supervivientes de la práctica y se urgía a los Estados miembros a reconocer el derecho de asilo a las mujeres y las niñas que se encontraran en riesgo de ser sometidas a la MGF.</w:t>
      </w:r>
    </w:p>
    <w:p w14:paraId="15B21A70" w14:textId="77777777" w:rsidR="003824E2" w:rsidRDefault="003824E2" w:rsidP="003824E2">
      <w:pPr>
        <w:widowControl/>
        <w:jc w:val="both"/>
        <w:rPr>
          <w:rFonts w:cs="Times New Roman"/>
          <w:b/>
          <w:bCs/>
          <w:i/>
          <w:iCs/>
          <w:kern w:val="2"/>
          <w:lang w:val="es-CO" w:eastAsia="en-US"/>
          <w14:ligatures w14:val="standardContextual"/>
        </w:rPr>
      </w:pPr>
    </w:p>
    <w:p w14:paraId="5E88A860" w14:textId="0F2EE920"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2003</w:t>
      </w:r>
    </w:p>
    <w:p w14:paraId="3BB04CCF" w14:textId="77777777"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El Protocolo a la Carta Africana de Derechos Humanos y de los Pueblos sobre los Derechos de la Mujer en África, también conocido como el </w:t>
      </w:r>
      <w:hyperlink r:id="rId48" w:tgtFrame="_blank" w:history="1">
        <w:r w:rsidRPr="003824E2">
          <w:rPr>
            <w:rStyle w:val="Hipervnculo"/>
            <w:rFonts w:cs="Times New Roman"/>
            <w:b/>
            <w:bCs/>
            <w:i/>
            <w:iCs/>
            <w:color w:val="auto"/>
            <w:kern w:val="2"/>
            <w:lang w:val="es-CO" w:eastAsia="en-US"/>
            <w14:ligatures w14:val="standardContextual"/>
          </w:rPr>
          <w:t>Protocolo de Maputo</w:t>
        </w:r>
      </w:hyperlink>
      <w:r w:rsidRPr="003824E2">
        <w:rPr>
          <w:rFonts w:cs="Times New Roman"/>
          <w:b/>
          <w:bCs/>
          <w:i/>
          <w:iCs/>
          <w:kern w:val="2"/>
          <w:lang w:val="es-CO" w:eastAsia="en-US"/>
          <w14:ligatures w14:val="standardContextual"/>
        </w:rPr>
        <w:t> insta a la «eliminación de las prácticas nocivas».</w:t>
      </w:r>
    </w:p>
    <w:p w14:paraId="7B9ADADB" w14:textId="77777777" w:rsidR="00D52C7D" w:rsidRDefault="00D52C7D" w:rsidP="003824E2">
      <w:pPr>
        <w:widowControl/>
        <w:jc w:val="both"/>
        <w:rPr>
          <w:rFonts w:cs="Times New Roman"/>
          <w:b/>
          <w:bCs/>
          <w:i/>
          <w:iCs/>
          <w:kern w:val="2"/>
          <w:lang w:val="es-CO" w:eastAsia="en-US"/>
          <w14:ligatures w14:val="standardContextual"/>
        </w:rPr>
      </w:pPr>
    </w:p>
    <w:p w14:paraId="757F642F" w14:textId="6DEEC224"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2007</w:t>
      </w:r>
    </w:p>
    <w:p w14:paraId="333347C0" w14:textId="77777777"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La Comisión de la Condición Jurídica y Social de la Mujer aprobó una </w:t>
      </w:r>
      <w:hyperlink r:id="rId49" w:tgtFrame="_blank" w:history="1">
        <w:r w:rsidRPr="003824E2">
          <w:rPr>
            <w:rStyle w:val="Hipervnculo"/>
            <w:rFonts w:cs="Times New Roman"/>
            <w:b/>
            <w:bCs/>
            <w:i/>
            <w:iCs/>
            <w:color w:val="auto"/>
            <w:kern w:val="2"/>
            <w:lang w:val="es-CO" w:eastAsia="en-US"/>
            <w14:ligatures w14:val="standardContextual"/>
          </w:rPr>
          <w:t>resolución sobre la eliminación de la MGF</w:t>
        </w:r>
      </w:hyperlink>
      <w:r w:rsidRPr="003824E2">
        <w:rPr>
          <w:rFonts w:cs="Times New Roman"/>
          <w:b/>
          <w:bCs/>
          <w:i/>
          <w:iCs/>
          <w:kern w:val="2"/>
          <w:lang w:val="es-CO" w:eastAsia="en-US"/>
          <w14:ligatures w14:val="standardContextual"/>
        </w:rPr>
        <w:t>.</w:t>
      </w:r>
    </w:p>
    <w:p w14:paraId="4DC39CEE" w14:textId="77777777" w:rsidR="00D52C7D" w:rsidRDefault="00D52C7D" w:rsidP="003824E2">
      <w:pPr>
        <w:widowControl/>
        <w:jc w:val="both"/>
        <w:rPr>
          <w:rFonts w:cs="Times New Roman"/>
          <w:b/>
          <w:bCs/>
          <w:i/>
          <w:iCs/>
          <w:kern w:val="2"/>
          <w:lang w:val="es-CO" w:eastAsia="en-US"/>
          <w14:ligatures w14:val="standardContextual"/>
        </w:rPr>
      </w:pPr>
    </w:p>
    <w:p w14:paraId="51546126" w14:textId="7ECB0674"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2010</w:t>
      </w:r>
    </w:p>
    <w:p w14:paraId="2D1FC4D3" w14:textId="77777777"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La Comisión de la Condición Jurídica y Social de la Mujer aprobó la </w:t>
      </w:r>
      <w:hyperlink r:id="rId50" w:tgtFrame="_blank" w:history="1">
        <w:r w:rsidRPr="003824E2">
          <w:rPr>
            <w:rStyle w:val="Hipervnculo"/>
            <w:rFonts w:cs="Times New Roman"/>
            <w:b/>
            <w:bCs/>
            <w:i/>
            <w:iCs/>
            <w:color w:val="auto"/>
            <w:kern w:val="2"/>
            <w:lang w:val="es-CO" w:eastAsia="en-US"/>
            <w14:ligatures w14:val="standardContextual"/>
          </w:rPr>
          <w:t>Resolución 54/7 </w:t>
        </w:r>
      </w:hyperlink>
      <w:r w:rsidRPr="003824E2">
        <w:rPr>
          <w:rFonts w:cs="Times New Roman"/>
          <w:b/>
          <w:bCs/>
          <w:i/>
          <w:iCs/>
          <w:kern w:val="2"/>
          <w:lang w:val="es-CO" w:eastAsia="en-US"/>
          <w14:ligatures w14:val="standardContextual"/>
        </w:rPr>
        <w:t>sobre la eliminación de la MGF.</w:t>
      </w:r>
    </w:p>
    <w:p w14:paraId="0DD23779" w14:textId="77777777" w:rsidR="00D52C7D" w:rsidRDefault="00D52C7D" w:rsidP="003824E2">
      <w:pPr>
        <w:widowControl/>
        <w:jc w:val="both"/>
        <w:rPr>
          <w:rFonts w:cs="Times New Roman"/>
          <w:b/>
          <w:bCs/>
          <w:i/>
          <w:iCs/>
          <w:kern w:val="2"/>
          <w:lang w:val="es-CO" w:eastAsia="en-US"/>
          <w14:ligatures w14:val="standardContextual"/>
        </w:rPr>
      </w:pPr>
    </w:p>
    <w:p w14:paraId="36CE9A36" w14:textId="64683BFD"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2011</w:t>
      </w:r>
    </w:p>
    <w:p w14:paraId="2EFECF01" w14:textId="54A6D946" w:rsid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 xml:space="preserve">La Asamblea de la Unión Africana/UA/Dic. 383 (XVII) </w:t>
      </w:r>
      <w:r w:rsidRPr="003824E2">
        <w:rPr>
          <w:rFonts w:cs="Times New Roman"/>
          <w:i/>
          <w:iCs/>
          <w:kern w:val="2"/>
          <w:lang w:val="es-CO" w:eastAsia="en-US"/>
          <w14:ligatures w14:val="standardContextual"/>
        </w:rPr>
        <w:t>publicó una </w:t>
      </w:r>
      <w:hyperlink r:id="rId51" w:tgtFrame="_blank" w:history="1">
        <w:r w:rsidRPr="003824E2">
          <w:rPr>
            <w:rStyle w:val="Hipervnculo"/>
            <w:rFonts w:cs="Times New Roman"/>
            <w:i/>
            <w:iCs/>
            <w:color w:val="auto"/>
            <w:kern w:val="2"/>
            <w:lang w:val="es-CO" w:eastAsia="en-US"/>
            <w14:ligatures w14:val="standardContextual"/>
          </w:rPr>
          <w:t>decisión </w:t>
        </w:r>
      </w:hyperlink>
      <w:r w:rsidRPr="003824E2">
        <w:rPr>
          <w:rFonts w:cs="Times New Roman"/>
          <w:i/>
          <w:iCs/>
          <w:kern w:val="2"/>
          <w:lang w:val="es-CO" w:eastAsia="en-US"/>
          <w14:ligatures w14:val="standardContextual"/>
        </w:rPr>
        <w:t>en la que declaraba que la mutilación genital femenina (MGF) es una violación manifiesta de los derechos humanos fundamentales de la mujer y la niña, con graves consecuencias para las vidas de millones de personas en todo el mundo, sobre todo de las mujeres y las niñas de África.</w:t>
      </w:r>
    </w:p>
    <w:p w14:paraId="1FEA34BD" w14:textId="77777777" w:rsidR="00D52C7D" w:rsidRPr="003824E2" w:rsidRDefault="00D52C7D" w:rsidP="003824E2">
      <w:pPr>
        <w:widowControl/>
        <w:jc w:val="both"/>
        <w:rPr>
          <w:rFonts w:cs="Times New Roman"/>
          <w:b/>
          <w:bCs/>
          <w:i/>
          <w:iCs/>
          <w:kern w:val="2"/>
          <w:lang w:val="es-CO" w:eastAsia="en-US"/>
          <w14:ligatures w14:val="standardContextual"/>
        </w:rPr>
      </w:pPr>
    </w:p>
    <w:p w14:paraId="0058147C" w14:textId="76F5F61F" w:rsid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La 56.ª sesión de la Comisión de la Condición Jurídica y Social de la Mujer aprobó el </w:t>
      </w:r>
      <w:hyperlink r:id="rId52" w:tgtFrame="_blank" w:history="1">
        <w:r w:rsidRPr="003824E2">
          <w:rPr>
            <w:rStyle w:val="Hipervnculo"/>
            <w:rFonts w:cs="Times New Roman"/>
            <w:b/>
            <w:bCs/>
            <w:i/>
            <w:iCs/>
            <w:color w:val="auto"/>
            <w:kern w:val="2"/>
            <w:lang w:val="es-CO" w:eastAsia="en-US"/>
            <w14:ligatures w14:val="standardContextual"/>
          </w:rPr>
          <w:t>borrador de decisión</w:t>
        </w:r>
      </w:hyperlink>
      <w:r w:rsidRPr="003824E2">
        <w:rPr>
          <w:rFonts w:cs="Times New Roman"/>
          <w:b/>
          <w:bCs/>
          <w:i/>
          <w:iCs/>
          <w:kern w:val="2"/>
          <w:lang w:val="es-CO" w:eastAsia="en-US"/>
          <w14:ligatures w14:val="standardContextual"/>
        </w:rPr>
        <w:t xml:space="preserve"> «Eliminar la mutilación genital femenina» (E/CN.6/2012/L.1). </w:t>
      </w:r>
      <w:r w:rsidRPr="003824E2">
        <w:rPr>
          <w:rFonts w:cs="Times New Roman"/>
          <w:i/>
          <w:iCs/>
          <w:kern w:val="2"/>
          <w:lang w:val="es-CO" w:eastAsia="en-US"/>
          <w14:ligatures w14:val="standardContextual"/>
        </w:rPr>
        <w:t>El Secretario General publicó el informe «</w:t>
      </w:r>
      <w:hyperlink r:id="rId53" w:history="1">
        <w:r w:rsidRPr="003824E2">
          <w:rPr>
            <w:rStyle w:val="Hipervnculo"/>
            <w:rFonts w:cs="Times New Roman"/>
            <w:i/>
            <w:iCs/>
            <w:color w:val="auto"/>
            <w:kern w:val="2"/>
            <w:lang w:val="es-CO" w:eastAsia="en-US"/>
            <w14:ligatures w14:val="standardContextual"/>
          </w:rPr>
          <w:t>Erradicación de la mutilación genital femenina</w:t>
        </w:r>
      </w:hyperlink>
      <w:r w:rsidRPr="003824E2">
        <w:rPr>
          <w:rFonts w:cs="Times New Roman"/>
          <w:i/>
          <w:iCs/>
          <w:kern w:val="2"/>
          <w:lang w:val="es-CO" w:eastAsia="en-US"/>
          <w14:ligatures w14:val="standardContextual"/>
        </w:rPr>
        <w:t>» en el que se resumían los progresos realizados en la aplicación de la Resolución 54/7 de 2010 de la Comisión de la Condición Jurídica y Social de la Mujer.</w:t>
      </w:r>
    </w:p>
    <w:p w14:paraId="54EFFDB2" w14:textId="77777777" w:rsidR="00D52C7D" w:rsidRPr="003824E2" w:rsidRDefault="00D52C7D" w:rsidP="003824E2">
      <w:pPr>
        <w:widowControl/>
        <w:jc w:val="both"/>
        <w:rPr>
          <w:rFonts w:cs="Times New Roman"/>
          <w:b/>
          <w:bCs/>
          <w:i/>
          <w:iCs/>
          <w:kern w:val="2"/>
          <w:lang w:val="es-CO" w:eastAsia="en-US"/>
          <w14:ligatures w14:val="standardContextual"/>
        </w:rPr>
      </w:pPr>
    </w:p>
    <w:p w14:paraId="4E169896" w14:textId="77777777"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La Asamblea Mundial de la Salud aprobó la </w:t>
      </w:r>
      <w:hyperlink r:id="rId54" w:history="1">
        <w:r w:rsidRPr="003824E2">
          <w:rPr>
            <w:rStyle w:val="Hipervnculo"/>
            <w:rFonts w:cs="Times New Roman"/>
            <w:b/>
            <w:bCs/>
            <w:i/>
            <w:iCs/>
            <w:color w:val="auto"/>
            <w:kern w:val="2"/>
            <w:lang w:val="es-CO" w:eastAsia="en-US"/>
            <w14:ligatures w14:val="standardContextual"/>
          </w:rPr>
          <w:t>Resolución WHA61.16</w:t>
        </w:r>
      </w:hyperlink>
      <w:r w:rsidRPr="003824E2">
        <w:rPr>
          <w:rFonts w:cs="Times New Roman"/>
          <w:b/>
          <w:bCs/>
          <w:i/>
          <w:iCs/>
          <w:kern w:val="2"/>
          <w:lang w:val="es-CO" w:eastAsia="en-US"/>
          <w14:ligatures w14:val="standardContextual"/>
        </w:rPr>
        <w:t> y el informe sobre los progresos realizados (</w:t>
      </w:r>
      <w:hyperlink r:id="rId55" w:history="1">
        <w:r w:rsidRPr="003824E2">
          <w:rPr>
            <w:rStyle w:val="Hipervnculo"/>
            <w:rFonts w:cs="Times New Roman"/>
            <w:b/>
            <w:bCs/>
            <w:i/>
            <w:iCs/>
            <w:color w:val="auto"/>
            <w:kern w:val="2"/>
            <w:lang w:val="es-CO" w:eastAsia="en-US"/>
            <w14:ligatures w14:val="standardContextual"/>
          </w:rPr>
          <w:t>A64/26A</w:t>
        </w:r>
      </w:hyperlink>
      <w:r w:rsidRPr="003824E2">
        <w:rPr>
          <w:rFonts w:cs="Times New Roman"/>
          <w:b/>
          <w:bCs/>
          <w:i/>
          <w:iCs/>
          <w:kern w:val="2"/>
          <w:lang w:val="es-CO" w:eastAsia="en-US"/>
          <w14:ligatures w14:val="standardContextual"/>
        </w:rPr>
        <w:t>) ambos referidos a la MGF.</w:t>
      </w:r>
    </w:p>
    <w:p w14:paraId="53E88D88" w14:textId="77777777"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2012</w:t>
      </w:r>
    </w:p>
    <w:p w14:paraId="1B8A76DF"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b/>
          <w:bCs/>
          <w:i/>
          <w:iCs/>
          <w:kern w:val="2"/>
          <w:lang w:val="es-CO" w:eastAsia="en-US"/>
          <w14:ligatures w14:val="standardContextual"/>
        </w:rPr>
        <w:t>La </w:t>
      </w:r>
      <w:hyperlink r:id="rId56" w:history="1">
        <w:r w:rsidRPr="003824E2">
          <w:rPr>
            <w:rStyle w:val="Hipervnculo"/>
            <w:rFonts w:cs="Times New Roman"/>
            <w:b/>
            <w:bCs/>
            <w:i/>
            <w:iCs/>
            <w:color w:val="auto"/>
            <w:kern w:val="2"/>
            <w:lang w:val="es-CO" w:eastAsia="en-US"/>
            <w14:ligatures w14:val="standardContextual"/>
          </w:rPr>
          <w:t>Resolución del Parlamento Europeo del 14 de junio de 2012</w:t>
        </w:r>
      </w:hyperlink>
      <w:r w:rsidRPr="003824E2">
        <w:rPr>
          <w:rFonts w:cs="Times New Roman"/>
          <w:b/>
          <w:bCs/>
          <w:i/>
          <w:iCs/>
          <w:kern w:val="2"/>
          <w:lang w:val="es-CO" w:eastAsia="en-US"/>
          <w14:ligatures w14:val="standardContextual"/>
        </w:rPr>
        <w:t> </w:t>
      </w:r>
      <w:r w:rsidRPr="003824E2">
        <w:rPr>
          <w:rFonts w:cs="Times New Roman"/>
          <w:i/>
          <w:iCs/>
          <w:kern w:val="2"/>
          <w:lang w:val="es-CO" w:eastAsia="en-US"/>
          <w14:ligatures w14:val="standardContextual"/>
        </w:rPr>
        <w:t>se centró en la erradicación de la mutilación genital femenina.</w:t>
      </w:r>
    </w:p>
    <w:p w14:paraId="76770677" w14:textId="77777777" w:rsidR="00D52C7D" w:rsidRDefault="00D52C7D" w:rsidP="003824E2">
      <w:pPr>
        <w:widowControl/>
        <w:jc w:val="both"/>
        <w:rPr>
          <w:rFonts w:cs="Times New Roman"/>
          <w:b/>
          <w:bCs/>
          <w:i/>
          <w:iCs/>
          <w:kern w:val="2"/>
          <w:lang w:val="es-CO" w:eastAsia="en-US"/>
          <w14:ligatures w14:val="standardContextual"/>
        </w:rPr>
      </w:pPr>
    </w:p>
    <w:p w14:paraId="29FF0209" w14:textId="4F3FF918" w:rsidR="003824E2" w:rsidRDefault="003824E2" w:rsidP="003824E2">
      <w:pPr>
        <w:widowControl/>
        <w:jc w:val="both"/>
        <w:rPr>
          <w:rFonts w:cs="Times New Roman"/>
          <w:i/>
          <w:iCs/>
          <w:kern w:val="2"/>
          <w:lang w:val="es-CO" w:eastAsia="en-US"/>
          <w14:ligatures w14:val="standardContextual"/>
        </w:rPr>
      </w:pPr>
      <w:r w:rsidRPr="003824E2">
        <w:rPr>
          <w:rFonts w:cs="Times New Roman"/>
          <w:b/>
          <w:bCs/>
          <w:i/>
          <w:iCs/>
          <w:kern w:val="2"/>
          <w:lang w:val="es-CO" w:eastAsia="en-US"/>
          <w14:ligatures w14:val="standardContextual"/>
        </w:rPr>
        <w:t>La Asamblea General de las Naciones Unidas aprobó la </w:t>
      </w:r>
      <w:hyperlink r:id="rId57" w:history="1">
        <w:r w:rsidRPr="003824E2">
          <w:rPr>
            <w:rStyle w:val="Hipervnculo"/>
            <w:rFonts w:cs="Times New Roman"/>
            <w:b/>
            <w:bCs/>
            <w:i/>
            <w:iCs/>
            <w:color w:val="auto"/>
            <w:kern w:val="2"/>
            <w:lang w:val="es-CO" w:eastAsia="en-US"/>
            <w14:ligatures w14:val="standardContextual"/>
          </w:rPr>
          <w:t>Resolución de la niña (62/140)</w:t>
        </w:r>
      </w:hyperlink>
      <w:r w:rsidRPr="003824E2">
        <w:rPr>
          <w:rFonts w:cs="Times New Roman"/>
          <w:b/>
          <w:bCs/>
          <w:i/>
          <w:iCs/>
          <w:kern w:val="2"/>
          <w:lang w:val="es-CO" w:eastAsia="en-US"/>
          <w14:ligatures w14:val="standardContextual"/>
        </w:rPr>
        <w:t> </w:t>
      </w:r>
      <w:r w:rsidRPr="003824E2">
        <w:rPr>
          <w:rFonts w:cs="Times New Roman"/>
          <w:i/>
          <w:iCs/>
          <w:kern w:val="2"/>
          <w:lang w:val="es-CO" w:eastAsia="en-US"/>
          <w14:ligatures w14:val="standardContextual"/>
        </w:rPr>
        <w:t>en la que ponía de manifiesto estar «profundamente preocupada […] por la práctica perjudicial, irreparable e irreversible de la mutilación genital femenina». El informe del Secretario General sobre la niña también ponía especial énfasis en la MGF (</w:t>
      </w:r>
      <w:hyperlink r:id="rId58" w:tgtFrame="_blank" w:history="1">
        <w:r w:rsidRPr="003824E2">
          <w:rPr>
            <w:rStyle w:val="Hipervnculo"/>
            <w:rFonts w:cs="Times New Roman"/>
            <w:i/>
            <w:iCs/>
            <w:color w:val="auto"/>
            <w:kern w:val="2"/>
            <w:lang w:val="es-CO" w:eastAsia="en-US"/>
            <w14:ligatures w14:val="standardContextual"/>
          </w:rPr>
          <w:t>A/64/315</w:t>
        </w:r>
      </w:hyperlink>
      <w:r w:rsidRPr="003824E2">
        <w:rPr>
          <w:rFonts w:cs="Times New Roman"/>
          <w:i/>
          <w:iCs/>
          <w:kern w:val="2"/>
          <w:lang w:val="es-CO" w:eastAsia="en-US"/>
          <w14:ligatures w14:val="standardContextual"/>
        </w:rPr>
        <w:t>, 2009 y </w:t>
      </w:r>
      <w:hyperlink r:id="rId59" w:history="1">
        <w:r w:rsidRPr="003824E2">
          <w:rPr>
            <w:rStyle w:val="Hipervnculo"/>
            <w:rFonts w:cs="Times New Roman"/>
            <w:i/>
            <w:iCs/>
            <w:color w:val="auto"/>
            <w:kern w:val="2"/>
            <w:lang w:val="es-CO" w:eastAsia="en-US"/>
            <w14:ligatures w14:val="standardContextual"/>
          </w:rPr>
          <w:t>A/66/257</w:t>
        </w:r>
      </w:hyperlink>
      <w:r w:rsidRPr="003824E2">
        <w:rPr>
          <w:rFonts w:cs="Times New Roman"/>
          <w:i/>
          <w:iCs/>
          <w:kern w:val="2"/>
          <w:lang w:val="es-CO" w:eastAsia="en-US"/>
          <w14:ligatures w14:val="standardContextual"/>
        </w:rPr>
        <w:t>, 2012).</w:t>
      </w:r>
    </w:p>
    <w:p w14:paraId="6443DCEB" w14:textId="77777777" w:rsidR="00D52C7D" w:rsidRPr="003824E2" w:rsidRDefault="00D52C7D" w:rsidP="003824E2">
      <w:pPr>
        <w:widowControl/>
        <w:jc w:val="both"/>
        <w:rPr>
          <w:rFonts w:cs="Times New Roman"/>
          <w:i/>
          <w:iCs/>
          <w:kern w:val="2"/>
          <w:lang w:val="es-CO" w:eastAsia="en-US"/>
          <w14:ligatures w14:val="standardContextual"/>
        </w:rPr>
      </w:pPr>
    </w:p>
    <w:p w14:paraId="36FDCF83" w14:textId="77777777"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lastRenderedPageBreak/>
        <w:t>La Asamblea General de las Naciones Unidas también publicó </w:t>
      </w:r>
      <w:hyperlink r:id="rId60" w:history="1">
        <w:r w:rsidRPr="003824E2">
          <w:rPr>
            <w:rStyle w:val="Hipervnculo"/>
            <w:rFonts w:cs="Times New Roman"/>
            <w:b/>
            <w:bCs/>
            <w:i/>
            <w:iCs/>
            <w:color w:val="auto"/>
            <w:kern w:val="2"/>
            <w:lang w:val="es-CO" w:eastAsia="en-US"/>
            <w14:ligatures w14:val="standardContextual"/>
          </w:rPr>
          <w:t>una resolución</w:t>
        </w:r>
      </w:hyperlink>
      <w:r w:rsidRPr="003824E2">
        <w:rPr>
          <w:rFonts w:cs="Times New Roman"/>
          <w:b/>
          <w:bCs/>
          <w:i/>
          <w:iCs/>
          <w:kern w:val="2"/>
          <w:lang w:val="es-CO" w:eastAsia="en-US"/>
          <w14:ligatures w14:val="standardContextual"/>
        </w:rPr>
        <w:t> en la que instaba a la «intensificación de los esfuerzos mundiales para la eliminación de la mutilación genital femenina».</w:t>
      </w:r>
    </w:p>
    <w:p w14:paraId="14BC32AE" w14:textId="77777777" w:rsidR="00D52C7D" w:rsidRDefault="00D52C7D" w:rsidP="003824E2">
      <w:pPr>
        <w:widowControl/>
        <w:jc w:val="both"/>
        <w:rPr>
          <w:rFonts w:cs="Times New Roman"/>
          <w:b/>
          <w:bCs/>
          <w:i/>
          <w:iCs/>
          <w:kern w:val="2"/>
          <w:lang w:val="es-CO" w:eastAsia="en-US"/>
          <w14:ligatures w14:val="standardContextual"/>
        </w:rPr>
      </w:pPr>
    </w:p>
    <w:p w14:paraId="420EAFED" w14:textId="1A7EFCFD"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2014</w:t>
      </w:r>
    </w:p>
    <w:p w14:paraId="4880010C" w14:textId="77777777"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El Consejo de Derechos Humanos aprobó </w:t>
      </w:r>
      <w:hyperlink r:id="rId61" w:history="1">
        <w:r w:rsidRPr="003824E2">
          <w:rPr>
            <w:rStyle w:val="Hipervnculo"/>
            <w:rFonts w:cs="Times New Roman"/>
            <w:b/>
            <w:bCs/>
            <w:i/>
            <w:iCs/>
            <w:color w:val="auto"/>
            <w:kern w:val="2"/>
            <w:lang w:val="es-CO" w:eastAsia="en-US"/>
            <w14:ligatures w14:val="standardContextual"/>
          </w:rPr>
          <w:t>una resolución</w:t>
        </w:r>
      </w:hyperlink>
      <w:r w:rsidRPr="003824E2">
        <w:rPr>
          <w:rFonts w:cs="Times New Roman"/>
          <w:b/>
          <w:bCs/>
          <w:i/>
          <w:iCs/>
          <w:kern w:val="2"/>
          <w:lang w:val="es-CO" w:eastAsia="en-US"/>
          <w14:ligatures w14:val="standardContextual"/>
        </w:rPr>
        <w:t> en la que instaba a la «intensificación de los esfuerzos mundiales e intercambio de buenas prácticas para la eliminación efectiva de la mutilación genital femenina».</w:t>
      </w:r>
    </w:p>
    <w:p w14:paraId="71B4FD0D" w14:textId="77777777" w:rsidR="003824E2" w:rsidRPr="003824E2" w:rsidRDefault="003824E2" w:rsidP="003824E2">
      <w:pPr>
        <w:widowControl/>
        <w:jc w:val="both"/>
        <w:rPr>
          <w:rFonts w:cs="Times New Roman"/>
          <w:b/>
          <w:bCs/>
          <w:i/>
          <w:iCs/>
          <w:kern w:val="2"/>
          <w:lang w:val="en-US" w:eastAsia="en-US"/>
          <w14:ligatures w14:val="standardContextual"/>
        </w:rPr>
      </w:pPr>
      <w:r w:rsidRPr="003824E2">
        <w:rPr>
          <w:rFonts w:cs="Times New Roman"/>
          <w:b/>
          <w:bCs/>
          <w:i/>
          <w:iCs/>
          <w:kern w:val="2"/>
          <w:lang w:val="es-CO" w:eastAsia="en-US"/>
          <w14:ligatures w14:val="standardContextual"/>
        </w:rPr>
        <w:t> </w:t>
      </w:r>
      <w:r w:rsidRPr="003824E2">
        <w:rPr>
          <w:rFonts w:cs="Times New Roman"/>
          <w:b/>
          <w:bCs/>
          <w:i/>
          <w:iCs/>
          <w:kern w:val="2"/>
          <w:lang w:val="en-US" w:eastAsia="en-US"/>
          <w14:ligatures w14:val="standardContextual"/>
        </w:rPr>
        <w:br/>
        <w:t>Fuentes</w:t>
      </w:r>
    </w:p>
    <w:p w14:paraId="475CD7CE" w14:textId="77777777" w:rsidR="003824E2" w:rsidRPr="003824E2" w:rsidRDefault="003824E2" w:rsidP="003824E2">
      <w:pPr>
        <w:widowControl/>
        <w:jc w:val="both"/>
        <w:rPr>
          <w:rFonts w:cs="Times New Roman"/>
          <w:i/>
          <w:iCs/>
          <w:kern w:val="2"/>
          <w:lang w:val="en-US" w:eastAsia="en-US"/>
          <w14:ligatures w14:val="standardContextual"/>
        </w:rPr>
      </w:pPr>
      <w:r w:rsidRPr="003824E2">
        <w:rPr>
          <w:rFonts w:cs="Times New Roman"/>
          <w:i/>
          <w:iCs/>
          <w:kern w:val="2"/>
          <w:lang w:val="en-US" w:eastAsia="en-US"/>
          <w14:ligatures w14:val="standardContextual"/>
        </w:rPr>
        <w:t>Female Genital Mutilation/Cutting: A Statistical Overview and Exploration of the Dynamics of Change. Nueva York, UNICEF, 2013.</w:t>
      </w:r>
    </w:p>
    <w:p w14:paraId="4FCFCBE2" w14:textId="77777777" w:rsidR="003824E2" w:rsidRPr="003824E2" w:rsidRDefault="003824E2" w:rsidP="003824E2">
      <w:pPr>
        <w:widowControl/>
        <w:jc w:val="both"/>
        <w:rPr>
          <w:rFonts w:cs="Times New Roman"/>
          <w:i/>
          <w:iCs/>
          <w:kern w:val="2"/>
          <w:lang w:val="en-US" w:eastAsia="en-US"/>
          <w14:ligatures w14:val="standardContextual"/>
        </w:rPr>
      </w:pPr>
      <w:proofErr w:type="spellStart"/>
      <w:r w:rsidRPr="003824E2">
        <w:rPr>
          <w:rFonts w:cs="Times New Roman"/>
          <w:i/>
          <w:iCs/>
          <w:kern w:val="2"/>
          <w:lang w:val="en-US" w:eastAsia="en-US"/>
          <w14:ligatures w14:val="standardContextual"/>
        </w:rPr>
        <w:t>DevInfo</w:t>
      </w:r>
      <w:proofErr w:type="spellEnd"/>
      <w:r w:rsidRPr="003824E2">
        <w:rPr>
          <w:rFonts w:cs="Times New Roman"/>
          <w:i/>
          <w:iCs/>
          <w:kern w:val="2"/>
          <w:lang w:val="en-US" w:eastAsia="en-US"/>
          <w14:ligatures w14:val="standardContextual"/>
        </w:rPr>
        <w:t>. UNFPA Dashboard. UNFPA, 2014.</w:t>
      </w:r>
    </w:p>
    <w:p w14:paraId="71CD72F7" w14:textId="77777777" w:rsidR="003824E2" w:rsidRPr="003824E2" w:rsidRDefault="003824E2" w:rsidP="003824E2">
      <w:pPr>
        <w:widowControl/>
        <w:jc w:val="both"/>
        <w:rPr>
          <w:rFonts w:cs="Times New Roman"/>
          <w:i/>
          <w:iCs/>
          <w:kern w:val="2"/>
          <w:lang w:val="en-US" w:eastAsia="en-US"/>
          <w14:ligatures w14:val="standardContextual"/>
        </w:rPr>
      </w:pPr>
      <w:r w:rsidRPr="003824E2">
        <w:rPr>
          <w:rFonts w:cs="Times New Roman"/>
          <w:i/>
          <w:iCs/>
          <w:kern w:val="2"/>
          <w:lang w:val="en-US" w:eastAsia="en-US"/>
          <w14:ligatures w14:val="standardContextual"/>
        </w:rPr>
        <w:t>Implementation of the International and Regional Human Rights Framework for the Elimination of Female Genital Mutilation. Nueva York, UNFPA, 2014.</w:t>
      </w:r>
    </w:p>
    <w:p w14:paraId="71C07413" w14:textId="77777777" w:rsidR="003824E2" w:rsidRPr="003824E2" w:rsidRDefault="003824E2" w:rsidP="003824E2">
      <w:pPr>
        <w:widowControl/>
        <w:jc w:val="both"/>
        <w:rPr>
          <w:rFonts w:cs="Times New Roman"/>
          <w:i/>
          <w:iCs/>
          <w:kern w:val="2"/>
          <w:lang w:val="en-US" w:eastAsia="en-US"/>
          <w14:ligatures w14:val="standardContextual"/>
        </w:rPr>
      </w:pPr>
      <w:r w:rsidRPr="003824E2">
        <w:rPr>
          <w:rFonts w:cs="Times New Roman"/>
          <w:i/>
          <w:iCs/>
          <w:kern w:val="2"/>
          <w:lang w:val="en-US" w:eastAsia="en-US"/>
          <w14:ligatures w14:val="standardContextual"/>
        </w:rPr>
        <w:t>Female Genital Mutilation: A Joint WHO/UNICEF/UNFPA Statement. OMS, 1997.</w:t>
      </w:r>
    </w:p>
    <w:p w14:paraId="7F31F0F6" w14:textId="77777777" w:rsidR="003824E2" w:rsidRPr="003824E2" w:rsidRDefault="003824E2" w:rsidP="003824E2">
      <w:pPr>
        <w:widowControl/>
        <w:jc w:val="both"/>
        <w:rPr>
          <w:rFonts w:cs="Times New Roman"/>
          <w:i/>
          <w:iCs/>
          <w:kern w:val="2"/>
          <w:lang w:val="en-US" w:eastAsia="en-US"/>
          <w14:ligatures w14:val="standardContextual"/>
        </w:rPr>
      </w:pPr>
      <w:r w:rsidRPr="003824E2">
        <w:rPr>
          <w:rFonts w:cs="Times New Roman"/>
          <w:i/>
          <w:iCs/>
          <w:kern w:val="2"/>
          <w:lang w:val="en-US" w:eastAsia="en-US"/>
          <w14:ligatures w14:val="standardContextual"/>
        </w:rPr>
        <w:t>Eliminating Female Genital Mutilation: An interagency statement. OMS, 2008.</w:t>
      </w:r>
    </w:p>
    <w:p w14:paraId="39F61B82" w14:textId="77777777" w:rsidR="003824E2" w:rsidRPr="003824E2" w:rsidRDefault="003824E2" w:rsidP="003824E2">
      <w:pPr>
        <w:widowControl/>
        <w:jc w:val="both"/>
        <w:rPr>
          <w:rFonts w:cs="Times New Roman"/>
          <w:i/>
          <w:iCs/>
          <w:kern w:val="2"/>
          <w:lang w:val="en-US" w:eastAsia="en-US"/>
          <w14:ligatures w14:val="standardContextual"/>
        </w:rPr>
      </w:pPr>
      <w:r w:rsidRPr="003824E2">
        <w:rPr>
          <w:rFonts w:cs="Times New Roman"/>
          <w:i/>
          <w:iCs/>
          <w:kern w:val="2"/>
          <w:lang w:val="en-US" w:eastAsia="en-US"/>
          <w14:ligatures w14:val="standardContextual"/>
        </w:rPr>
        <w:t>Global Strategy to Stop health-care providers from performing FGM. OMS, 2010.</w:t>
      </w:r>
    </w:p>
    <w:p w14:paraId="318A13BC" w14:textId="77777777" w:rsidR="003824E2" w:rsidRPr="003824E2" w:rsidRDefault="003824E2" w:rsidP="003824E2">
      <w:pPr>
        <w:widowControl/>
        <w:jc w:val="both"/>
        <w:rPr>
          <w:rFonts w:cs="Times New Roman"/>
          <w:i/>
          <w:iCs/>
          <w:kern w:val="2"/>
          <w:lang w:val="en-US" w:eastAsia="en-US"/>
          <w14:ligatures w14:val="standardContextual"/>
        </w:rPr>
      </w:pPr>
      <w:r w:rsidRPr="003824E2">
        <w:rPr>
          <w:rFonts w:cs="Times New Roman"/>
          <w:i/>
          <w:iCs/>
          <w:kern w:val="2"/>
          <w:lang w:val="en-US" w:eastAsia="en-US"/>
          <w14:ligatures w14:val="standardContextual"/>
        </w:rPr>
        <w:t>Female Genital Mutilation: The Practice WHO Information Package. OMS, 1994</w:t>
      </w:r>
    </w:p>
    <w:p w14:paraId="1923CE0B" w14:textId="77777777" w:rsidR="003824E2" w:rsidRPr="003824E2" w:rsidRDefault="003824E2" w:rsidP="003824E2">
      <w:pPr>
        <w:widowControl/>
        <w:jc w:val="both"/>
        <w:rPr>
          <w:rFonts w:cs="Times New Roman"/>
          <w:i/>
          <w:iCs/>
          <w:kern w:val="2"/>
          <w:lang w:val="en-US" w:eastAsia="en-US"/>
          <w14:ligatures w14:val="standardContextual"/>
        </w:rPr>
      </w:pPr>
      <w:r w:rsidRPr="003824E2">
        <w:rPr>
          <w:rFonts w:cs="Times New Roman"/>
          <w:i/>
          <w:iCs/>
          <w:kern w:val="2"/>
          <w:lang w:val="en-US" w:eastAsia="en-US"/>
          <w14:ligatures w14:val="standardContextual"/>
        </w:rPr>
        <w:t>Jacqueline Smith. Visions and Discussions on Genital Mutilation of Girls, An International Survey. 1995.</w:t>
      </w:r>
    </w:p>
    <w:p w14:paraId="0DA43F0F" w14:textId="77777777" w:rsidR="003824E2" w:rsidRPr="003824E2" w:rsidRDefault="003824E2" w:rsidP="003824E2">
      <w:pPr>
        <w:widowControl/>
        <w:jc w:val="both"/>
        <w:rPr>
          <w:rFonts w:cs="Times New Roman"/>
          <w:i/>
          <w:iCs/>
          <w:kern w:val="2"/>
          <w:lang w:val="en-US" w:eastAsia="en-US"/>
          <w14:ligatures w14:val="standardContextual"/>
        </w:rPr>
      </w:pPr>
      <w:r w:rsidRPr="003824E2">
        <w:rPr>
          <w:rFonts w:cs="Times New Roman"/>
          <w:i/>
          <w:iCs/>
          <w:kern w:val="2"/>
          <w:lang w:val="en-US" w:eastAsia="en-US"/>
          <w14:ligatures w14:val="standardContextual"/>
        </w:rPr>
        <w:t xml:space="preserve">Nahid Toubia, Caring for women with circumcision. A technical manual for healthcare providers. </w:t>
      </w:r>
      <w:proofErr w:type="spellStart"/>
      <w:r w:rsidRPr="003824E2">
        <w:rPr>
          <w:rFonts w:cs="Times New Roman"/>
          <w:i/>
          <w:iCs/>
          <w:kern w:val="2"/>
          <w:lang w:val="en-US" w:eastAsia="en-US"/>
          <w14:ligatures w14:val="standardContextual"/>
        </w:rPr>
        <w:t>Rainbo</w:t>
      </w:r>
      <w:proofErr w:type="spellEnd"/>
      <w:r w:rsidRPr="003824E2">
        <w:rPr>
          <w:rFonts w:cs="Times New Roman"/>
          <w:i/>
          <w:iCs/>
          <w:kern w:val="2"/>
          <w:lang w:val="en-US" w:eastAsia="en-US"/>
          <w14:ligatures w14:val="standardContextual"/>
        </w:rPr>
        <w:t>, 1999.</w:t>
      </w:r>
    </w:p>
    <w:p w14:paraId="7113EBBA" w14:textId="77777777" w:rsidR="003824E2" w:rsidRPr="003824E2" w:rsidRDefault="003824E2" w:rsidP="003824E2">
      <w:pPr>
        <w:widowControl/>
        <w:jc w:val="both"/>
        <w:rPr>
          <w:rFonts w:cs="Times New Roman"/>
          <w:i/>
          <w:iCs/>
          <w:kern w:val="2"/>
          <w:lang w:val="en-US" w:eastAsia="en-US"/>
          <w14:ligatures w14:val="standardContextual"/>
        </w:rPr>
      </w:pPr>
      <w:r w:rsidRPr="003824E2">
        <w:rPr>
          <w:rFonts w:cs="Times New Roman"/>
          <w:i/>
          <w:iCs/>
          <w:kern w:val="2"/>
          <w:lang w:val="en-US" w:eastAsia="en-US"/>
          <w14:ligatures w14:val="standardContextual"/>
        </w:rPr>
        <w:t xml:space="preserve">M. de </w:t>
      </w:r>
      <w:proofErr w:type="spellStart"/>
      <w:r w:rsidRPr="003824E2">
        <w:rPr>
          <w:rFonts w:cs="Times New Roman"/>
          <w:i/>
          <w:iCs/>
          <w:kern w:val="2"/>
          <w:lang w:val="en-US" w:eastAsia="en-US"/>
          <w14:ligatures w14:val="standardContextual"/>
        </w:rPr>
        <w:t>Bruyn</w:t>
      </w:r>
      <w:proofErr w:type="spellEnd"/>
      <w:r w:rsidRPr="003824E2">
        <w:rPr>
          <w:rFonts w:cs="Times New Roman"/>
          <w:i/>
          <w:iCs/>
          <w:kern w:val="2"/>
          <w:lang w:val="en-US" w:eastAsia="en-US"/>
          <w14:ligatures w14:val="standardContextual"/>
        </w:rPr>
        <w:t>. Socio-cultural aspects of female genital cutting. KIT, 1998.</w:t>
      </w:r>
    </w:p>
    <w:p w14:paraId="24473123" w14:textId="77777777" w:rsidR="003824E2" w:rsidRPr="00CA792A" w:rsidRDefault="003824E2" w:rsidP="003824E2">
      <w:pPr>
        <w:widowControl/>
        <w:jc w:val="both"/>
        <w:rPr>
          <w:rFonts w:cs="Times New Roman"/>
          <w:i/>
          <w:iCs/>
          <w:kern w:val="2"/>
          <w:lang w:val="en-US" w:eastAsia="en-US"/>
          <w14:ligatures w14:val="standardContextual"/>
        </w:rPr>
      </w:pPr>
      <w:r w:rsidRPr="003824E2">
        <w:rPr>
          <w:rFonts w:cs="Times New Roman"/>
          <w:i/>
          <w:iCs/>
          <w:kern w:val="2"/>
          <w:lang w:val="en-US" w:eastAsia="en-US"/>
          <w14:ligatures w14:val="standardContextual"/>
        </w:rPr>
        <w:t xml:space="preserve">E. </w:t>
      </w:r>
      <w:proofErr w:type="spellStart"/>
      <w:r w:rsidRPr="003824E2">
        <w:rPr>
          <w:rFonts w:cs="Times New Roman"/>
          <w:i/>
          <w:iCs/>
          <w:kern w:val="2"/>
          <w:lang w:val="en-US" w:eastAsia="en-US"/>
          <w14:ligatures w14:val="standardContextual"/>
        </w:rPr>
        <w:t>Leye</w:t>
      </w:r>
      <w:proofErr w:type="spellEnd"/>
      <w:r w:rsidRPr="003824E2">
        <w:rPr>
          <w:rFonts w:cs="Times New Roman"/>
          <w:i/>
          <w:iCs/>
          <w:kern w:val="2"/>
          <w:lang w:val="en-US" w:eastAsia="en-US"/>
          <w14:ligatures w14:val="standardContextual"/>
        </w:rPr>
        <w:t xml:space="preserve">, K. </w:t>
      </w:r>
      <w:proofErr w:type="spellStart"/>
      <w:r w:rsidRPr="003824E2">
        <w:rPr>
          <w:rFonts w:cs="Times New Roman"/>
          <w:i/>
          <w:iCs/>
          <w:kern w:val="2"/>
          <w:lang w:val="en-US" w:eastAsia="en-US"/>
          <w14:ligatures w14:val="standardContextual"/>
        </w:rPr>
        <w:t>Roelens</w:t>
      </w:r>
      <w:proofErr w:type="spellEnd"/>
      <w:r w:rsidRPr="003824E2">
        <w:rPr>
          <w:rFonts w:cs="Times New Roman"/>
          <w:i/>
          <w:iCs/>
          <w:kern w:val="2"/>
          <w:lang w:val="en-US" w:eastAsia="en-US"/>
          <w14:ligatures w14:val="standardContextual"/>
        </w:rPr>
        <w:t xml:space="preserve">, M. Temmerman. Medical aspects of female genital mutilation. </w:t>
      </w:r>
      <w:r w:rsidRPr="00CA792A">
        <w:rPr>
          <w:rFonts w:cs="Times New Roman"/>
          <w:i/>
          <w:iCs/>
          <w:kern w:val="2"/>
          <w:lang w:val="en-US" w:eastAsia="en-US"/>
          <w14:ligatures w14:val="standardContextual"/>
        </w:rPr>
        <w:t xml:space="preserve">Centro </w:t>
      </w:r>
      <w:proofErr w:type="spellStart"/>
      <w:r w:rsidRPr="00CA792A">
        <w:rPr>
          <w:rFonts w:cs="Times New Roman"/>
          <w:i/>
          <w:iCs/>
          <w:kern w:val="2"/>
          <w:lang w:val="en-US" w:eastAsia="en-US"/>
          <w14:ligatures w14:val="standardContextual"/>
        </w:rPr>
        <w:t>Internacional</w:t>
      </w:r>
      <w:proofErr w:type="spellEnd"/>
      <w:r w:rsidRPr="00CA792A">
        <w:rPr>
          <w:rFonts w:cs="Times New Roman"/>
          <w:i/>
          <w:iCs/>
          <w:kern w:val="2"/>
          <w:lang w:val="en-US" w:eastAsia="en-US"/>
          <w14:ligatures w14:val="standardContextual"/>
        </w:rPr>
        <w:t xml:space="preserve"> de </w:t>
      </w:r>
      <w:proofErr w:type="spellStart"/>
      <w:r w:rsidRPr="00CA792A">
        <w:rPr>
          <w:rFonts w:cs="Times New Roman"/>
          <w:i/>
          <w:iCs/>
          <w:kern w:val="2"/>
          <w:lang w:val="en-US" w:eastAsia="en-US"/>
          <w14:ligatures w14:val="standardContextual"/>
        </w:rPr>
        <w:t>Salud</w:t>
      </w:r>
      <w:proofErr w:type="spellEnd"/>
      <w:r w:rsidRPr="00CA792A">
        <w:rPr>
          <w:rFonts w:cs="Times New Roman"/>
          <w:i/>
          <w:iCs/>
          <w:kern w:val="2"/>
          <w:lang w:val="en-US" w:eastAsia="en-US"/>
          <w14:ligatures w14:val="standardContextual"/>
        </w:rPr>
        <w:t xml:space="preserve"> </w:t>
      </w:r>
      <w:proofErr w:type="spellStart"/>
      <w:r w:rsidRPr="00CA792A">
        <w:rPr>
          <w:rFonts w:cs="Times New Roman"/>
          <w:i/>
          <w:iCs/>
          <w:kern w:val="2"/>
          <w:lang w:val="en-US" w:eastAsia="en-US"/>
          <w14:ligatures w14:val="standardContextual"/>
        </w:rPr>
        <w:t>Reproductiva</w:t>
      </w:r>
      <w:proofErr w:type="spellEnd"/>
      <w:r w:rsidRPr="00CA792A">
        <w:rPr>
          <w:rFonts w:cs="Times New Roman"/>
          <w:i/>
          <w:iCs/>
          <w:kern w:val="2"/>
          <w:lang w:val="en-US" w:eastAsia="en-US"/>
          <w14:ligatures w14:val="standardContextual"/>
        </w:rPr>
        <w:t xml:space="preserve">, Universidad de </w:t>
      </w:r>
      <w:proofErr w:type="spellStart"/>
      <w:r w:rsidRPr="00CA792A">
        <w:rPr>
          <w:rFonts w:cs="Times New Roman"/>
          <w:i/>
          <w:iCs/>
          <w:kern w:val="2"/>
          <w:lang w:val="en-US" w:eastAsia="en-US"/>
          <w14:ligatures w14:val="standardContextual"/>
        </w:rPr>
        <w:t>Gante</w:t>
      </w:r>
      <w:proofErr w:type="spellEnd"/>
      <w:r w:rsidRPr="00CA792A">
        <w:rPr>
          <w:rFonts w:cs="Times New Roman"/>
          <w:i/>
          <w:iCs/>
          <w:kern w:val="2"/>
          <w:lang w:val="en-US" w:eastAsia="en-US"/>
          <w14:ligatures w14:val="standardContextual"/>
        </w:rPr>
        <w:t>. 1998.</w:t>
      </w:r>
    </w:p>
    <w:p w14:paraId="5A34DB36" w14:textId="77777777" w:rsidR="003824E2" w:rsidRPr="003824E2" w:rsidRDefault="003824E2" w:rsidP="003824E2">
      <w:pPr>
        <w:widowControl/>
        <w:jc w:val="both"/>
        <w:rPr>
          <w:rFonts w:cs="Times New Roman"/>
          <w:i/>
          <w:iCs/>
          <w:kern w:val="2"/>
          <w:lang w:val="en-US" w:eastAsia="en-US"/>
          <w14:ligatures w14:val="standardContextual"/>
        </w:rPr>
      </w:pPr>
      <w:r w:rsidRPr="003824E2">
        <w:rPr>
          <w:rFonts w:cs="Times New Roman"/>
          <w:i/>
          <w:iCs/>
          <w:kern w:val="2"/>
          <w:lang w:val="en-US" w:eastAsia="en-US"/>
          <w14:ligatures w14:val="standardContextual"/>
        </w:rPr>
        <w:t xml:space="preserve">Prof. H. </w:t>
      </w:r>
      <w:proofErr w:type="spellStart"/>
      <w:r w:rsidRPr="003824E2">
        <w:rPr>
          <w:rFonts w:cs="Times New Roman"/>
          <w:i/>
          <w:iCs/>
          <w:kern w:val="2"/>
          <w:lang w:val="en-US" w:eastAsia="en-US"/>
          <w14:ligatures w14:val="standardContextual"/>
        </w:rPr>
        <w:t>Rushwan</w:t>
      </w:r>
      <w:proofErr w:type="spellEnd"/>
      <w:r w:rsidRPr="003824E2">
        <w:rPr>
          <w:rFonts w:cs="Times New Roman"/>
          <w:i/>
          <w:iCs/>
          <w:kern w:val="2"/>
          <w:lang w:val="en-US" w:eastAsia="en-US"/>
          <w14:ligatures w14:val="standardContextual"/>
        </w:rPr>
        <w:t xml:space="preserve"> FGC management during pregnancy, childbirth and post-partum period. Background paper for WHO Consultation, Ginebra, 1997.</w:t>
      </w:r>
    </w:p>
    <w:p w14:paraId="38CA9C1B" w14:textId="77777777" w:rsidR="003824E2" w:rsidRPr="003824E2" w:rsidRDefault="003824E2" w:rsidP="003824E2">
      <w:pPr>
        <w:widowControl/>
        <w:jc w:val="both"/>
        <w:rPr>
          <w:rFonts w:cs="Times New Roman"/>
          <w:i/>
          <w:iCs/>
          <w:kern w:val="2"/>
          <w:lang w:val="en-US" w:eastAsia="en-US"/>
          <w14:ligatures w14:val="standardContextual"/>
        </w:rPr>
      </w:pPr>
      <w:r w:rsidRPr="003824E2">
        <w:rPr>
          <w:rFonts w:cs="Times New Roman"/>
          <w:i/>
          <w:iCs/>
          <w:kern w:val="2"/>
          <w:lang w:val="en-US" w:eastAsia="en-US"/>
          <w14:ligatures w14:val="standardContextual"/>
        </w:rPr>
        <w:t xml:space="preserve">S. </w:t>
      </w:r>
      <w:proofErr w:type="spellStart"/>
      <w:r w:rsidRPr="003824E2">
        <w:rPr>
          <w:rFonts w:cs="Times New Roman"/>
          <w:i/>
          <w:iCs/>
          <w:kern w:val="2"/>
          <w:lang w:val="en-US" w:eastAsia="en-US"/>
          <w14:ligatures w14:val="standardContextual"/>
        </w:rPr>
        <w:t>Izett</w:t>
      </w:r>
      <w:proofErr w:type="spellEnd"/>
      <w:r w:rsidRPr="003824E2">
        <w:rPr>
          <w:rFonts w:cs="Times New Roman"/>
          <w:i/>
          <w:iCs/>
          <w:kern w:val="2"/>
          <w:lang w:val="en-US" w:eastAsia="en-US"/>
          <w14:ligatures w14:val="standardContextual"/>
        </w:rPr>
        <w:t xml:space="preserve">, N. Toubia. Learning about social change. A research and evaluation guidebook using female circumcision as a case study. </w:t>
      </w:r>
      <w:proofErr w:type="spellStart"/>
      <w:r w:rsidRPr="003824E2">
        <w:rPr>
          <w:rFonts w:cs="Times New Roman"/>
          <w:i/>
          <w:iCs/>
          <w:kern w:val="2"/>
          <w:lang w:val="en-US" w:eastAsia="en-US"/>
          <w14:ligatures w14:val="standardContextual"/>
        </w:rPr>
        <w:t>Rainbo</w:t>
      </w:r>
      <w:proofErr w:type="spellEnd"/>
      <w:r w:rsidRPr="003824E2">
        <w:rPr>
          <w:rFonts w:cs="Times New Roman"/>
          <w:i/>
          <w:iCs/>
          <w:kern w:val="2"/>
          <w:lang w:val="en-US" w:eastAsia="en-US"/>
          <w14:ligatures w14:val="standardContextual"/>
        </w:rPr>
        <w:t>, 1999.</w:t>
      </w:r>
    </w:p>
    <w:p w14:paraId="4FD38A74"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n-US" w:eastAsia="en-US"/>
          <w14:ligatures w14:val="standardContextual"/>
        </w:rPr>
        <w:t xml:space="preserve">M. Hekmati. Towards the Eradication of Female Genital Mutilation in Egypt. </w:t>
      </w:r>
      <w:r w:rsidRPr="003824E2">
        <w:rPr>
          <w:rFonts w:cs="Times New Roman"/>
          <w:i/>
          <w:iCs/>
          <w:kern w:val="2"/>
          <w:lang w:val="es-CO" w:eastAsia="en-US"/>
          <w14:ligatures w14:val="standardContextual"/>
        </w:rPr>
        <w:t>1999.</w:t>
      </w:r>
    </w:p>
    <w:p w14:paraId="01736B65"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 xml:space="preserve">ECOSOC, documento E/CN.4/Sub.2/1999/14: Tercer informe sobre la evolución de la situación relativa a la eliminación de las prácticas tradicionales que afectan a la salud de las mujeres y las niñas, de </w:t>
      </w:r>
      <w:proofErr w:type="spellStart"/>
      <w:r w:rsidRPr="003824E2">
        <w:rPr>
          <w:rFonts w:cs="Times New Roman"/>
          <w:i/>
          <w:iCs/>
          <w:kern w:val="2"/>
          <w:lang w:val="es-CO" w:eastAsia="en-US"/>
          <w14:ligatures w14:val="standardContextual"/>
        </w:rPr>
        <w:t>Halima</w:t>
      </w:r>
      <w:proofErr w:type="spellEnd"/>
      <w:r w:rsidRPr="003824E2">
        <w:rPr>
          <w:rFonts w:cs="Times New Roman"/>
          <w:i/>
          <w:iCs/>
          <w:kern w:val="2"/>
          <w:lang w:val="es-CO" w:eastAsia="en-US"/>
          <w14:ligatures w14:val="standardContextual"/>
        </w:rPr>
        <w:t xml:space="preserve"> </w:t>
      </w:r>
      <w:proofErr w:type="spellStart"/>
      <w:r w:rsidRPr="003824E2">
        <w:rPr>
          <w:rFonts w:cs="Times New Roman"/>
          <w:i/>
          <w:iCs/>
          <w:kern w:val="2"/>
          <w:lang w:val="es-CO" w:eastAsia="en-US"/>
          <w14:ligatures w14:val="standardContextual"/>
        </w:rPr>
        <w:t>Embarek</w:t>
      </w:r>
      <w:proofErr w:type="spellEnd"/>
      <w:r w:rsidRPr="003824E2">
        <w:rPr>
          <w:rFonts w:cs="Times New Roman"/>
          <w:i/>
          <w:iCs/>
          <w:kern w:val="2"/>
          <w:lang w:val="es-CO" w:eastAsia="en-US"/>
          <w14:ligatures w14:val="standardContextual"/>
        </w:rPr>
        <w:t xml:space="preserve"> </w:t>
      </w:r>
      <w:proofErr w:type="spellStart"/>
      <w:r w:rsidRPr="003824E2">
        <w:rPr>
          <w:rFonts w:cs="Times New Roman"/>
          <w:i/>
          <w:iCs/>
          <w:kern w:val="2"/>
          <w:lang w:val="es-CO" w:eastAsia="en-US"/>
          <w14:ligatures w14:val="standardContextual"/>
        </w:rPr>
        <w:t>Warzazi</w:t>
      </w:r>
      <w:proofErr w:type="spellEnd"/>
      <w:r w:rsidRPr="003824E2">
        <w:rPr>
          <w:rFonts w:cs="Times New Roman"/>
          <w:i/>
          <w:iCs/>
          <w:kern w:val="2"/>
          <w:lang w:val="es-CO" w:eastAsia="en-US"/>
          <w14:ligatures w14:val="standardContextual"/>
        </w:rPr>
        <w:t>, de conformidad con la Resolución 1998/16 de la Subcomisión.</w:t>
      </w:r>
    </w:p>
    <w:p w14:paraId="43EBC0B5"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Comité de los Derechos Económicos, Sociales y Culturales. Observación General n.º 14. El derecho al disfrute del más alto nivel posible de salud. UN Doc. E/C. 12/2000/4.</w:t>
      </w:r>
    </w:p>
    <w:p w14:paraId="464CB061"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Comité para la Eliminación de la Discriminación contra la Mujer. Recomendación General n.º 14, Circuncisión femenina. Recomendación General n.º 19, La violencia contra la mujer. Recomendación General n.º 24, La mujer y la salud.</w:t>
      </w:r>
    </w:p>
    <w:p w14:paraId="07174944" w14:textId="77777777"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Documento A/C.3/54/C.13 de la Asamblea General. Prácticas tradicionales o consuetudinarias que afectan a la salud de la mujer y la niña.</w:t>
      </w:r>
    </w:p>
    <w:p w14:paraId="236268E2" w14:textId="31455B36" w:rsidR="003824E2" w:rsidRPr="003824E2" w:rsidRDefault="003824E2" w:rsidP="003824E2">
      <w:pPr>
        <w:widowControl/>
        <w:jc w:val="both"/>
        <w:rPr>
          <w:rFonts w:cs="Times New Roman"/>
          <w:i/>
          <w:iCs/>
          <w:kern w:val="2"/>
          <w:lang w:val="es-CO" w:eastAsia="en-US"/>
          <w14:ligatures w14:val="standardContextual"/>
        </w:rPr>
      </w:pPr>
      <w:r w:rsidRPr="003824E2">
        <w:rPr>
          <w:rFonts w:cs="Times New Roman"/>
          <w:i/>
          <w:iCs/>
          <w:kern w:val="2"/>
          <w:lang w:val="es-CO" w:eastAsia="en-US"/>
          <w14:ligatures w14:val="standardContextual"/>
        </w:rPr>
        <w:t>Comité de los Derechos Humanos. Observación General n.º 20. Prohibición de la tortura u otros tratos o penas crueles, inhumanos o degradantes. Observación General n.º 28. La igualdad de derechos entre hombres y mujeres. CCPR/C/21/rev.1/Add.10.</w:t>
      </w:r>
      <w:r w:rsidR="00D52C7D">
        <w:rPr>
          <w:rFonts w:cs="Times New Roman"/>
          <w:i/>
          <w:iCs/>
          <w:kern w:val="2"/>
          <w:lang w:val="es-CO" w:eastAsia="en-US"/>
          <w14:ligatures w14:val="standardContextual"/>
        </w:rPr>
        <w:t>”</w:t>
      </w:r>
    </w:p>
    <w:p w14:paraId="115E5BE7" w14:textId="77777777" w:rsidR="003824E2" w:rsidRPr="003824E2" w:rsidRDefault="003824E2" w:rsidP="003824E2">
      <w:pPr>
        <w:widowControl/>
        <w:jc w:val="both"/>
        <w:rPr>
          <w:rFonts w:cs="Times New Roman"/>
          <w:b/>
          <w:bCs/>
          <w:i/>
          <w:iCs/>
          <w:kern w:val="2"/>
          <w:lang w:val="es-CO" w:eastAsia="en-US"/>
          <w14:ligatures w14:val="standardContextual"/>
        </w:rPr>
      </w:pPr>
      <w:r w:rsidRPr="003824E2">
        <w:rPr>
          <w:rFonts w:cs="Times New Roman"/>
          <w:b/>
          <w:bCs/>
          <w:i/>
          <w:iCs/>
          <w:kern w:val="2"/>
          <w:lang w:val="es-CO" w:eastAsia="en-US"/>
          <w14:ligatures w14:val="standardContextual"/>
        </w:rPr>
        <w:t> </w:t>
      </w:r>
    </w:p>
    <w:p w14:paraId="6BF8706D" w14:textId="3FEA5FEC" w:rsidR="003824E2" w:rsidRPr="003824E2" w:rsidRDefault="003824E2" w:rsidP="003824E2">
      <w:pPr>
        <w:widowControl/>
        <w:jc w:val="both"/>
        <w:rPr>
          <w:rFonts w:cs="Times New Roman"/>
          <w:b/>
          <w:bCs/>
          <w:kern w:val="2"/>
          <w:lang w:val="es-CO" w:eastAsia="en-US"/>
          <w14:ligatures w14:val="standardContextual"/>
        </w:rPr>
      </w:pPr>
      <w:r w:rsidRPr="003824E2">
        <w:rPr>
          <w:rFonts w:cs="Times New Roman"/>
          <w:b/>
          <w:bCs/>
          <w:kern w:val="2"/>
          <w:lang w:val="es-CO" w:eastAsia="en-US"/>
          <w14:ligatures w14:val="standardContextual"/>
        </w:rPr>
        <w:lastRenderedPageBreak/>
        <w:t> </w:t>
      </w:r>
      <w:r w:rsidR="00D52C7D" w:rsidRPr="00D52C7D">
        <w:rPr>
          <w:rFonts w:cs="Times New Roman"/>
          <w:b/>
          <w:bCs/>
          <w:kern w:val="2"/>
          <w:lang w:val="es-CO" w:eastAsia="en-US"/>
          <w14:ligatures w14:val="standardContextual"/>
        </w:rPr>
        <w:t xml:space="preserve">Así las cosas, es evidente que el Estado colombiano se encuentra en mora frente al cumplimiento de todas las obligaciones internacionales derivadas de instrumentos de derechos humanos internacionales </w:t>
      </w:r>
      <w:r w:rsidR="00D52C7D">
        <w:rPr>
          <w:rFonts w:cs="Times New Roman"/>
          <w:b/>
          <w:bCs/>
          <w:kern w:val="2"/>
          <w:lang w:val="es-CO" w:eastAsia="en-US"/>
          <w14:ligatures w14:val="standardContextual"/>
        </w:rPr>
        <w:t xml:space="preserve">que hacen parte del bloque de constitucionalidad para prohibir explícitamente la mutilación genital de niñas sino además para garantizar a sus víctimas protección y atención en salud física y mental. </w:t>
      </w:r>
    </w:p>
    <w:p w14:paraId="34FDF8B0" w14:textId="77777777" w:rsidR="003824E2" w:rsidRPr="003824E2" w:rsidRDefault="003824E2" w:rsidP="003824E2">
      <w:pPr>
        <w:widowControl/>
        <w:jc w:val="both"/>
        <w:rPr>
          <w:rFonts w:cs="Times New Roman"/>
          <w:b/>
          <w:bCs/>
          <w:kern w:val="2"/>
          <w:lang w:val="es-CO" w:eastAsia="en-US"/>
          <w14:ligatures w14:val="standardContextual"/>
        </w:rPr>
      </w:pPr>
      <w:r w:rsidRPr="003824E2">
        <w:rPr>
          <w:rFonts w:cs="Times New Roman"/>
          <w:b/>
          <w:bCs/>
          <w:kern w:val="2"/>
          <w:lang w:val="es-CO" w:eastAsia="en-US"/>
          <w14:ligatures w14:val="standardContextual"/>
        </w:rPr>
        <w:t> </w:t>
      </w:r>
    </w:p>
    <w:p w14:paraId="13DB5B0B" w14:textId="7550DEDC" w:rsidR="00EB7077" w:rsidRDefault="00D52C7D" w:rsidP="00E426C4">
      <w:pPr>
        <w:widowControl/>
        <w:jc w:val="both"/>
        <w:rPr>
          <w:rFonts w:cs="Times New Roman"/>
          <w:b/>
          <w:bCs/>
          <w:i/>
          <w:iCs/>
          <w:kern w:val="2"/>
          <w:lang w:val="es-CO" w:eastAsia="en-US"/>
          <w14:ligatures w14:val="standardContextual"/>
        </w:rPr>
      </w:pPr>
      <w:r>
        <w:rPr>
          <w:rFonts w:cs="Times New Roman"/>
          <w:b/>
          <w:bCs/>
          <w:i/>
          <w:iCs/>
          <w:kern w:val="2"/>
          <w:lang w:val="es-CO" w:eastAsia="en-US"/>
          <w14:ligatures w14:val="standardContextual"/>
        </w:rPr>
        <w:t>La aplicación de los derechos humanos no demanda consulta previa.</w:t>
      </w:r>
    </w:p>
    <w:p w14:paraId="008FC924" w14:textId="77777777" w:rsidR="00EB7077" w:rsidRDefault="00EB7077" w:rsidP="00E426C4">
      <w:pPr>
        <w:widowControl/>
        <w:jc w:val="both"/>
        <w:rPr>
          <w:rFonts w:cs="Times New Roman"/>
          <w:b/>
          <w:bCs/>
          <w:i/>
          <w:iCs/>
          <w:kern w:val="2"/>
          <w:lang w:val="es-CO" w:eastAsia="en-US"/>
          <w14:ligatures w14:val="standardContextual"/>
        </w:rPr>
      </w:pPr>
    </w:p>
    <w:p w14:paraId="660155C2" w14:textId="6140732F" w:rsidR="00E426C4" w:rsidRPr="00E426C4" w:rsidRDefault="00E426C4" w:rsidP="00E426C4">
      <w:pPr>
        <w:widowControl/>
        <w:jc w:val="both"/>
        <w:rPr>
          <w:rFonts w:cs="Times New Roman"/>
          <w:b/>
          <w:bCs/>
          <w:i/>
          <w:iCs/>
          <w:kern w:val="2"/>
          <w:lang w:val="es-CO" w:eastAsia="en-US"/>
          <w14:ligatures w14:val="standardContextual"/>
        </w:rPr>
      </w:pPr>
      <w:r w:rsidRPr="00E426C4">
        <w:rPr>
          <w:rFonts w:cs="Times New Roman"/>
          <w:b/>
          <w:bCs/>
          <w:i/>
          <w:iCs/>
          <w:kern w:val="2"/>
          <w:lang w:val="es-CO" w:eastAsia="en-US"/>
          <w14:ligatures w14:val="standardContextual"/>
        </w:rPr>
        <w:t>JURISPRUDENCIA CONSTITUCIONAL</w:t>
      </w:r>
    </w:p>
    <w:p w14:paraId="5C43F314" w14:textId="77777777" w:rsidR="00E426C4" w:rsidRPr="00E426C4" w:rsidRDefault="00E426C4" w:rsidP="00E426C4">
      <w:pPr>
        <w:widowControl/>
        <w:jc w:val="both"/>
        <w:rPr>
          <w:rFonts w:cs="Times New Roman"/>
          <w:i/>
          <w:iCs/>
          <w:kern w:val="2"/>
          <w:sz w:val="18"/>
          <w:szCs w:val="18"/>
          <w:lang w:val="es-CO" w:eastAsia="en-US"/>
          <w14:ligatures w14:val="standardContextual"/>
        </w:rPr>
      </w:pPr>
    </w:p>
    <w:p w14:paraId="35D12CEB" w14:textId="77777777" w:rsidR="00E426C4" w:rsidRPr="00E426C4" w:rsidRDefault="00E426C4" w:rsidP="00E426C4">
      <w:pPr>
        <w:widowControl/>
        <w:jc w:val="both"/>
        <w:rPr>
          <w:rFonts w:cs="Times New Roman"/>
          <w:i/>
          <w:iCs/>
          <w:kern w:val="2"/>
          <w:sz w:val="20"/>
          <w:szCs w:val="20"/>
          <w:lang w:val="es-CO" w:eastAsia="en-US"/>
          <w14:ligatures w14:val="standardContextual"/>
        </w:rPr>
      </w:pPr>
      <w:r w:rsidRPr="00E426C4">
        <w:rPr>
          <w:rFonts w:cs="Times New Roman"/>
          <w:i/>
          <w:iCs/>
          <w:kern w:val="2"/>
          <w:sz w:val="20"/>
          <w:szCs w:val="20"/>
          <w:lang w:val="es-CO" w:eastAsia="en-US"/>
          <w14:ligatures w14:val="standardContextual"/>
        </w:rPr>
        <w:t xml:space="preserve">“En la sentencia C-882 de 2011, la Corte pone de presente que la jurisdicción especial indígena no es absoluta. Por lo mismo, esta corporación ha adoptado diferentes criterios o límites a dicha jurisdicción, los cuales son enunciados a modo de recopilación en dicha providencia. En efecto, uno de estos límites es el núcleo duro de los derechos humanos, como, por ejemplo, el derecho a un debido proceso, la prohibición de tortura y de penas y tartos crueles e inhumanos. Otro límite es la realización de actos arbitrarios que afecten el núcleo esencial de derechos fundamentales de las personas pertenecientes a las poblaciones indígenas; límite que se debe ponderar en cada caso concreto. </w:t>
      </w:r>
    </w:p>
    <w:p w14:paraId="34B5075E" w14:textId="77777777" w:rsidR="00E426C4" w:rsidRPr="00E426C4" w:rsidRDefault="00E426C4" w:rsidP="00E426C4">
      <w:pPr>
        <w:widowControl/>
        <w:jc w:val="both"/>
        <w:rPr>
          <w:rFonts w:cs="Times New Roman"/>
          <w:i/>
          <w:iCs/>
          <w:kern w:val="2"/>
          <w:sz w:val="20"/>
          <w:szCs w:val="20"/>
          <w:lang w:val="es-CO" w:eastAsia="en-US"/>
          <w14:ligatures w14:val="standardContextual"/>
        </w:rPr>
      </w:pPr>
    </w:p>
    <w:p w14:paraId="1FE86C61" w14:textId="77777777" w:rsidR="00E426C4" w:rsidRPr="00E426C4" w:rsidRDefault="00E426C4" w:rsidP="00E426C4">
      <w:pPr>
        <w:widowControl/>
        <w:jc w:val="both"/>
        <w:rPr>
          <w:rFonts w:cs="Times New Roman"/>
          <w:i/>
          <w:iCs/>
          <w:kern w:val="2"/>
          <w:sz w:val="20"/>
          <w:szCs w:val="20"/>
          <w:lang w:val="es-CO" w:eastAsia="en-US"/>
          <w14:ligatures w14:val="standardContextual"/>
        </w:rPr>
      </w:pPr>
      <w:r w:rsidRPr="00E426C4">
        <w:rPr>
          <w:rFonts w:cs="Times New Roman"/>
          <w:i/>
          <w:iCs/>
          <w:kern w:val="2"/>
          <w:sz w:val="20"/>
          <w:szCs w:val="20"/>
          <w:lang w:val="es-CO" w:eastAsia="en-US"/>
          <w14:ligatures w14:val="standardContextual"/>
        </w:rPr>
        <w:t>Por otro lado, esta sentencia reconoce que se pueden generar tensiones entre el derecho de autonomía y otros principios o derechos reconocidos constitucionalmente. En vista de lo anterior, la Corte ha desarrollado criterios tendientes a dirimir dichas tensiones; el primero de ellos se refiere a:</w:t>
      </w:r>
    </w:p>
    <w:p w14:paraId="329286CD" w14:textId="77777777" w:rsidR="00E426C4" w:rsidRPr="00E426C4" w:rsidRDefault="00E426C4" w:rsidP="00E426C4">
      <w:pPr>
        <w:widowControl/>
        <w:jc w:val="both"/>
        <w:rPr>
          <w:rFonts w:cs="Times New Roman"/>
          <w:i/>
          <w:iCs/>
          <w:kern w:val="2"/>
          <w:sz w:val="20"/>
          <w:szCs w:val="20"/>
          <w:lang w:val="es-CO" w:eastAsia="en-US"/>
          <w14:ligatures w14:val="standardContextual"/>
        </w:rPr>
      </w:pPr>
    </w:p>
    <w:p w14:paraId="3A4A3DD7" w14:textId="77777777" w:rsidR="00E426C4" w:rsidRPr="00E426C4" w:rsidRDefault="00E426C4" w:rsidP="00E426C4">
      <w:pPr>
        <w:widowControl/>
        <w:jc w:val="both"/>
        <w:rPr>
          <w:rFonts w:cs="Times New Roman"/>
          <w:i/>
          <w:iCs/>
          <w:kern w:val="2"/>
          <w:sz w:val="20"/>
          <w:szCs w:val="20"/>
          <w:lang w:val="es-CO" w:eastAsia="en-US"/>
          <w14:ligatures w14:val="standardContextual"/>
        </w:rPr>
      </w:pPr>
      <w:r w:rsidRPr="00E426C4">
        <w:rPr>
          <w:rFonts w:cs="Times New Roman"/>
          <w:i/>
          <w:iCs/>
          <w:kern w:val="2"/>
          <w:sz w:val="20"/>
          <w:szCs w:val="20"/>
          <w:lang w:val="es-CO" w:eastAsia="en-US"/>
          <w14:ligatures w14:val="standardContextual"/>
        </w:rPr>
        <w:t xml:space="preserve">Los conflictos deben resolverse a favor del principio de maximización de la autonomía, es decir, los jueces y las demás autoridades deben favorecer el derecho de las comunidades a la autonomía, salvo cuando (i) esté de por medio un derecho fundamental de uno de sus miembros u otro principio constitucional que adquiera mayor peso en la ponderación que se lleva a cabo 53 Esta sentencia analiza el caso de dos personas que ingresaron al territorio del Resguardo Indígena La Laguna a hurtar. Estos fueron capturados y juzgados por las autoridades del Cabildo en ejercicio de su jurisdicción indígena, por lo cual se presentó una tutela por la presunta violación del derecho fundamental al debido proceso. </w:t>
      </w:r>
    </w:p>
    <w:p w14:paraId="4D333300" w14:textId="77777777" w:rsidR="00E426C4" w:rsidRPr="00E426C4" w:rsidRDefault="00E426C4" w:rsidP="00E426C4">
      <w:pPr>
        <w:widowControl/>
        <w:jc w:val="both"/>
        <w:rPr>
          <w:rFonts w:cs="Times New Roman"/>
          <w:i/>
          <w:iCs/>
          <w:kern w:val="2"/>
          <w:sz w:val="20"/>
          <w:szCs w:val="20"/>
          <w:lang w:val="es-CO" w:eastAsia="en-US"/>
          <w14:ligatures w14:val="standardContextual"/>
        </w:rPr>
      </w:pPr>
      <w:r w:rsidRPr="00E426C4">
        <w:rPr>
          <w:rFonts w:cs="Times New Roman"/>
          <w:i/>
          <w:iCs/>
          <w:kern w:val="2"/>
          <w:sz w:val="20"/>
          <w:szCs w:val="20"/>
          <w:lang w:val="es-CO" w:eastAsia="en-US"/>
          <w14:ligatures w14:val="standardContextual"/>
        </w:rPr>
        <w:t>La Corte resuelve el problema jurídico de si el Cabildo vulneró el derecho al debido proceso, al adelantar juzgamiento en su contra a pesar de que estas personas no eran indígenas.</w:t>
      </w:r>
    </w:p>
    <w:p w14:paraId="4038754B" w14:textId="77777777" w:rsidR="00E426C4" w:rsidRPr="00E426C4" w:rsidRDefault="00E426C4" w:rsidP="00E426C4">
      <w:pPr>
        <w:widowControl/>
        <w:jc w:val="both"/>
        <w:rPr>
          <w:rFonts w:cs="Times New Roman"/>
          <w:i/>
          <w:iCs/>
          <w:kern w:val="2"/>
          <w:sz w:val="20"/>
          <w:szCs w:val="20"/>
          <w:lang w:val="es-CO" w:eastAsia="en-US"/>
          <w14:ligatures w14:val="standardContextual"/>
        </w:rPr>
      </w:pPr>
      <w:r w:rsidRPr="00E426C4">
        <w:rPr>
          <w:rFonts w:cs="Times New Roman"/>
          <w:i/>
          <w:iCs/>
          <w:kern w:val="2"/>
          <w:sz w:val="20"/>
          <w:szCs w:val="20"/>
          <w:lang w:val="es-CO" w:eastAsia="en-US"/>
          <w14:ligatures w14:val="standardContextual"/>
        </w:rPr>
        <w:t>77</w:t>
      </w:r>
    </w:p>
    <w:p w14:paraId="50F8A678" w14:textId="77777777" w:rsidR="00E426C4" w:rsidRPr="00E426C4" w:rsidRDefault="00E426C4" w:rsidP="00E426C4">
      <w:pPr>
        <w:widowControl/>
        <w:jc w:val="both"/>
        <w:rPr>
          <w:rFonts w:cs="Times New Roman"/>
          <w:i/>
          <w:iCs/>
          <w:kern w:val="2"/>
          <w:sz w:val="20"/>
          <w:szCs w:val="20"/>
          <w:lang w:val="es-CO" w:eastAsia="en-US"/>
          <w14:ligatures w14:val="standardContextual"/>
        </w:rPr>
      </w:pPr>
      <w:r w:rsidRPr="00E426C4">
        <w:rPr>
          <w:rFonts w:cs="Times New Roman"/>
          <w:i/>
          <w:iCs/>
          <w:kern w:val="2"/>
          <w:sz w:val="20"/>
          <w:szCs w:val="20"/>
          <w:lang w:val="es-CO" w:eastAsia="en-US"/>
          <w14:ligatures w14:val="standardContextual"/>
        </w:rPr>
        <w:t>en el caso concreto o (ii) la restricción de la autonomía constituya la medida menos gravosa posible (Corte Constitucional, 2011).</w:t>
      </w:r>
    </w:p>
    <w:p w14:paraId="6E173CD5" w14:textId="77777777" w:rsidR="00E426C4" w:rsidRPr="00E426C4" w:rsidRDefault="00E426C4" w:rsidP="00E426C4">
      <w:pPr>
        <w:widowControl/>
        <w:jc w:val="both"/>
        <w:rPr>
          <w:rFonts w:cs="Times New Roman"/>
          <w:i/>
          <w:iCs/>
          <w:kern w:val="2"/>
          <w:sz w:val="20"/>
          <w:szCs w:val="20"/>
          <w:lang w:val="es-CO" w:eastAsia="en-US"/>
          <w14:ligatures w14:val="standardContextual"/>
        </w:rPr>
      </w:pPr>
    </w:p>
    <w:p w14:paraId="0C859F28" w14:textId="77777777" w:rsidR="00E426C4" w:rsidRPr="00E426C4" w:rsidRDefault="00E426C4" w:rsidP="00E426C4">
      <w:pPr>
        <w:widowControl/>
        <w:jc w:val="both"/>
        <w:rPr>
          <w:rFonts w:cs="Times New Roman"/>
          <w:i/>
          <w:iCs/>
          <w:kern w:val="2"/>
          <w:sz w:val="20"/>
          <w:szCs w:val="20"/>
          <w:lang w:val="es-CO" w:eastAsia="en-US"/>
          <w14:ligatures w14:val="standardContextual"/>
        </w:rPr>
      </w:pPr>
      <w:r w:rsidRPr="00E426C4">
        <w:rPr>
          <w:rFonts w:cs="Times New Roman"/>
          <w:i/>
          <w:iCs/>
          <w:kern w:val="2"/>
          <w:sz w:val="20"/>
          <w:szCs w:val="20"/>
          <w:lang w:val="es-CO" w:eastAsia="en-US"/>
          <w14:ligatures w14:val="standardContextual"/>
        </w:rPr>
        <w:t xml:space="preserve">Ahora bien, en esta sentencia C-882 de 2011 la Corte enuncia cuáles son los valores que se consideran de mayor valor y que, por consiguiente, pueden limitar la autonomía indígena, las cuales son “el derecho a la vida, la prohibición a la tortura, la responsabilidad individual por los actos y la proporcionalidad de la pena a la gravedad de la </w:t>
      </w:r>
      <w:proofErr w:type="gramStart"/>
      <w:r w:rsidRPr="00E426C4">
        <w:rPr>
          <w:rFonts w:cs="Times New Roman"/>
          <w:i/>
          <w:iCs/>
          <w:kern w:val="2"/>
          <w:sz w:val="20"/>
          <w:szCs w:val="20"/>
          <w:lang w:val="es-CO" w:eastAsia="en-US"/>
          <w14:ligatures w14:val="standardContextual"/>
        </w:rPr>
        <w:t>falta”(</w:t>
      </w:r>
      <w:proofErr w:type="gramEnd"/>
      <w:r w:rsidRPr="00E426C4">
        <w:rPr>
          <w:rFonts w:cs="Times New Roman"/>
          <w:i/>
          <w:iCs/>
          <w:kern w:val="2"/>
          <w:sz w:val="20"/>
          <w:szCs w:val="20"/>
          <w:lang w:val="es-CO" w:eastAsia="en-US"/>
          <w14:ligatures w14:val="standardContextual"/>
        </w:rPr>
        <w:t xml:space="preserve">Corte Constitucional, </w:t>
      </w:r>
    </w:p>
    <w:p w14:paraId="7D378B08" w14:textId="77777777" w:rsidR="00E426C4" w:rsidRPr="00E426C4" w:rsidRDefault="00E426C4" w:rsidP="00E426C4">
      <w:pPr>
        <w:widowControl/>
        <w:jc w:val="both"/>
        <w:rPr>
          <w:rFonts w:cs="Times New Roman"/>
          <w:i/>
          <w:iCs/>
          <w:kern w:val="2"/>
          <w:sz w:val="20"/>
          <w:szCs w:val="20"/>
          <w:lang w:val="es-CO" w:eastAsia="en-US"/>
          <w14:ligatures w14:val="standardContextual"/>
        </w:rPr>
      </w:pPr>
      <w:r w:rsidRPr="00E426C4">
        <w:rPr>
          <w:rFonts w:cs="Times New Roman"/>
          <w:i/>
          <w:iCs/>
          <w:kern w:val="2"/>
          <w:sz w:val="20"/>
          <w:szCs w:val="20"/>
          <w:lang w:val="es-CO" w:eastAsia="en-US"/>
          <w14:ligatures w14:val="standardContextual"/>
        </w:rPr>
        <w:t xml:space="preserve">2011). </w:t>
      </w:r>
    </w:p>
    <w:p w14:paraId="56DDB960" w14:textId="77777777" w:rsidR="00E426C4" w:rsidRPr="00E426C4" w:rsidRDefault="00E426C4" w:rsidP="00E426C4">
      <w:pPr>
        <w:widowControl/>
        <w:jc w:val="both"/>
        <w:rPr>
          <w:rFonts w:cs="Times New Roman"/>
          <w:i/>
          <w:iCs/>
          <w:kern w:val="2"/>
          <w:sz w:val="20"/>
          <w:szCs w:val="20"/>
          <w:lang w:val="es-CO" w:eastAsia="en-US"/>
          <w14:ligatures w14:val="standardContextual"/>
        </w:rPr>
      </w:pPr>
    </w:p>
    <w:p w14:paraId="131D814D" w14:textId="77777777" w:rsidR="00E426C4" w:rsidRPr="00E426C4" w:rsidRDefault="00E426C4" w:rsidP="00E426C4">
      <w:pPr>
        <w:widowControl/>
        <w:jc w:val="both"/>
        <w:rPr>
          <w:rFonts w:cs="Times New Roman"/>
          <w:i/>
          <w:iCs/>
          <w:kern w:val="2"/>
          <w:sz w:val="20"/>
          <w:szCs w:val="20"/>
          <w:lang w:val="es-CO" w:eastAsia="en-US"/>
          <w14:ligatures w14:val="standardContextual"/>
        </w:rPr>
      </w:pPr>
      <w:r w:rsidRPr="00E426C4">
        <w:rPr>
          <w:rFonts w:cs="Times New Roman"/>
          <w:i/>
          <w:iCs/>
          <w:kern w:val="2"/>
          <w:sz w:val="20"/>
          <w:szCs w:val="20"/>
          <w:lang w:val="es-CO" w:eastAsia="en-US"/>
          <w14:ligatures w14:val="standardContextual"/>
        </w:rPr>
        <w:t xml:space="preserve">El segundo criterio es el principio de mayor autonomía para la decisión de conflictos internos, que implica que debe respetar más la autonomía cuando la controversia que se está estudiando solo involucre a miembros de la misma población o comunidad específica. El tercer y último criterio es el principio de a mayor conservación de la identidad cultural, </w:t>
      </w:r>
    </w:p>
    <w:p w14:paraId="6DF63040" w14:textId="77777777" w:rsidR="00E426C4" w:rsidRPr="00E426C4" w:rsidRDefault="00E426C4" w:rsidP="00E426C4">
      <w:pPr>
        <w:widowControl/>
        <w:jc w:val="both"/>
        <w:rPr>
          <w:rFonts w:cs="Times New Roman"/>
          <w:i/>
          <w:iCs/>
          <w:kern w:val="2"/>
          <w:sz w:val="20"/>
          <w:szCs w:val="20"/>
          <w:lang w:val="es-CO" w:eastAsia="en-US"/>
          <w14:ligatures w14:val="standardContextual"/>
        </w:rPr>
      </w:pPr>
      <w:r w:rsidRPr="00E426C4">
        <w:rPr>
          <w:rFonts w:cs="Times New Roman"/>
          <w:i/>
          <w:iCs/>
          <w:kern w:val="2"/>
          <w:sz w:val="20"/>
          <w:szCs w:val="20"/>
          <w:lang w:val="es-CO" w:eastAsia="en-US"/>
          <w14:ligatures w14:val="standardContextual"/>
        </w:rPr>
        <w:t xml:space="preserve">mayor autonomía. Este principio tiene bajo consideración qué tan aislada esta la comunidad de lo que se considera como cultura mayoritaria; </w:t>
      </w:r>
      <w:proofErr w:type="gramStart"/>
      <w:r w:rsidRPr="00E426C4">
        <w:rPr>
          <w:rFonts w:cs="Times New Roman"/>
          <w:i/>
          <w:iCs/>
          <w:kern w:val="2"/>
          <w:sz w:val="20"/>
          <w:szCs w:val="20"/>
          <w:lang w:val="es-CO" w:eastAsia="en-US"/>
          <w14:ligatures w14:val="standardContextual"/>
        </w:rPr>
        <w:t>o</w:t>
      </w:r>
      <w:proofErr w:type="gramEnd"/>
      <w:r w:rsidRPr="00E426C4">
        <w:rPr>
          <w:rFonts w:cs="Times New Roman"/>
          <w:i/>
          <w:iCs/>
          <w:kern w:val="2"/>
          <w:sz w:val="20"/>
          <w:szCs w:val="20"/>
          <w:lang w:val="es-CO" w:eastAsia="en-US"/>
          <w14:ligatures w14:val="standardContextual"/>
        </w:rPr>
        <w:t xml:space="preserve"> por el contrario, qué tan integrada está. </w:t>
      </w:r>
    </w:p>
    <w:p w14:paraId="18A5F9D1" w14:textId="77777777" w:rsidR="00E426C4" w:rsidRPr="00E426C4" w:rsidRDefault="00E426C4" w:rsidP="00E426C4">
      <w:pPr>
        <w:widowControl/>
        <w:jc w:val="both"/>
        <w:rPr>
          <w:rFonts w:cs="Times New Roman"/>
          <w:i/>
          <w:iCs/>
          <w:kern w:val="2"/>
          <w:sz w:val="20"/>
          <w:szCs w:val="20"/>
          <w:lang w:val="es-CO" w:eastAsia="en-US"/>
          <w14:ligatures w14:val="standardContextual"/>
        </w:rPr>
      </w:pPr>
    </w:p>
    <w:p w14:paraId="326D966D" w14:textId="77777777" w:rsidR="00E426C4" w:rsidRPr="00E426C4" w:rsidRDefault="00E426C4" w:rsidP="00E426C4">
      <w:pPr>
        <w:widowControl/>
        <w:jc w:val="both"/>
        <w:rPr>
          <w:rFonts w:cs="Times New Roman"/>
          <w:i/>
          <w:iCs/>
          <w:kern w:val="2"/>
          <w:sz w:val="20"/>
          <w:szCs w:val="20"/>
          <w:lang w:val="es-CO" w:eastAsia="en-US"/>
          <w14:ligatures w14:val="standardContextual"/>
        </w:rPr>
      </w:pPr>
      <w:r w:rsidRPr="00E426C4">
        <w:rPr>
          <w:rFonts w:cs="Times New Roman"/>
          <w:i/>
          <w:iCs/>
          <w:kern w:val="2"/>
          <w:sz w:val="20"/>
          <w:szCs w:val="20"/>
          <w:lang w:val="es-CO" w:eastAsia="en-US"/>
          <w14:ligatures w14:val="standardContextual"/>
        </w:rPr>
        <w:t xml:space="preserve">Por otro lado, la Sentencia T-002 de 201254 hace un análisis sobre un conflicto de competencia entre la jurisdicción indígena y la ordinaria en dos casos de acceso carnal en menores de edad –uno de ellos de una menor perteneciente a la comunidad </w:t>
      </w:r>
      <w:proofErr w:type="spellStart"/>
      <w:r w:rsidRPr="00E426C4">
        <w:rPr>
          <w:rFonts w:cs="Times New Roman"/>
          <w:i/>
          <w:iCs/>
          <w:kern w:val="2"/>
          <w:sz w:val="20"/>
          <w:szCs w:val="20"/>
          <w:lang w:val="es-CO" w:eastAsia="en-US"/>
          <w14:ligatures w14:val="standardContextual"/>
        </w:rPr>
        <w:t>Embera</w:t>
      </w:r>
      <w:proofErr w:type="spellEnd"/>
      <w:r w:rsidRPr="00E426C4">
        <w:rPr>
          <w:rFonts w:cs="Times New Roman"/>
          <w:i/>
          <w:iCs/>
          <w:kern w:val="2"/>
          <w:sz w:val="20"/>
          <w:szCs w:val="20"/>
          <w:lang w:val="es-CO" w:eastAsia="en-US"/>
          <w14:ligatures w14:val="standardContextual"/>
        </w:rPr>
        <w:t xml:space="preserve"> </w:t>
      </w:r>
      <w:proofErr w:type="spellStart"/>
      <w:r w:rsidRPr="00E426C4">
        <w:rPr>
          <w:rFonts w:cs="Times New Roman"/>
          <w:i/>
          <w:iCs/>
          <w:kern w:val="2"/>
          <w:sz w:val="20"/>
          <w:szCs w:val="20"/>
          <w:lang w:val="es-CO" w:eastAsia="en-US"/>
          <w14:ligatures w14:val="standardContextual"/>
        </w:rPr>
        <w:t>Chamí</w:t>
      </w:r>
      <w:proofErr w:type="spellEnd"/>
      <w:r w:rsidRPr="00E426C4">
        <w:rPr>
          <w:rFonts w:cs="Times New Roman"/>
          <w:i/>
          <w:iCs/>
          <w:kern w:val="2"/>
          <w:sz w:val="20"/>
          <w:szCs w:val="20"/>
          <w:lang w:val="es-CO" w:eastAsia="en-US"/>
          <w14:ligatures w14:val="standardContextual"/>
        </w:rPr>
        <w:t xml:space="preserve">–sobre los cuales realiza una ponderación entre la protección de los derechos de los niños y la </w:t>
      </w:r>
    </w:p>
    <w:p w14:paraId="3130A2B9" w14:textId="77777777" w:rsidR="00E426C4" w:rsidRPr="00E426C4" w:rsidRDefault="00E426C4" w:rsidP="00E426C4">
      <w:pPr>
        <w:widowControl/>
        <w:jc w:val="both"/>
        <w:rPr>
          <w:rFonts w:cs="Times New Roman"/>
          <w:i/>
          <w:iCs/>
          <w:kern w:val="2"/>
          <w:sz w:val="20"/>
          <w:szCs w:val="20"/>
          <w:lang w:val="es-CO" w:eastAsia="en-US"/>
          <w14:ligatures w14:val="standardContextual"/>
        </w:rPr>
      </w:pPr>
      <w:r w:rsidRPr="00E426C4">
        <w:rPr>
          <w:rFonts w:cs="Times New Roman"/>
          <w:i/>
          <w:iCs/>
          <w:kern w:val="2"/>
          <w:sz w:val="20"/>
          <w:szCs w:val="20"/>
          <w:lang w:val="es-CO" w:eastAsia="en-US"/>
          <w14:ligatures w14:val="standardContextual"/>
        </w:rPr>
        <w:t>protección de la autonomía jurisdiccional y la integridad étnica y cultural. Así, establece que:</w:t>
      </w:r>
    </w:p>
    <w:p w14:paraId="31DF65DB" w14:textId="77777777" w:rsidR="00E426C4" w:rsidRPr="00E426C4" w:rsidRDefault="00E426C4" w:rsidP="00E426C4">
      <w:pPr>
        <w:widowControl/>
        <w:jc w:val="both"/>
        <w:rPr>
          <w:rFonts w:cs="Times New Roman"/>
          <w:i/>
          <w:iCs/>
          <w:kern w:val="2"/>
          <w:sz w:val="20"/>
          <w:szCs w:val="20"/>
          <w:lang w:val="es-CO" w:eastAsia="en-US"/>
          <w14:ligatures w14:val="standardContextual"/>
        </w:rPr>
      </w:pPr>
      <w:r w:rsidRPr="00E426C4">
        <w:rPr>
          <w:rFonts w:cs="Times New Roman"/>
          <w:i/>
          <w:iCs/>
          <w:kern w:val="2"/>
          <w:sz w:val="20"/>
          <w:szCs w:val="20"/>
          <w:lang w:val="es-CO" w:eastAsia="en-US"/>
          <w14:ligatures w14:val="standardContextual"/>
        </w:rPr>
        <w:t xml:space="preserve">si bien las decisiones del juez constitucional relacionadas con la integridad sexual de los menores son expresión de la lucha que libra el Estado desde la administración de justicia para salvaguardar la integridad, la salud y la supervivencia del menor, cuando se trata de menores indígenas esta lucha no puede librarse en términos que excluyan la diversidad (Corte </w:t>
      </w:r>
    </w:p>
    <w:p w14:paraId="62534372" w14:textId="77777777" w:rsidR="00E426C4" w:rsidRPr="00E426C4" w:rsidRDefault="00E426C4" w:rsidP="00E426C4">
      <w:pPr>
        <w:widowControl/>
        <w:jc w:val="both"/>
        <w:rPr>
          <w:rFonts w:cs="Times New Roman"/>
          <w:i/>
          <w:iCs/>
          <w:kern w:val="2"/>
          <w:sz w:val="20"/>
          <w:szCs w:val="20"/>
          <w:lang w:val="es-CO" w:eastAsia="en-US"/>
          <w14:ligatures w14:val="standardContextual"/>
        </w:rPr>
      </w:pPr>
      <w:r w:rsidRPr="00E426C4">
        <w:rPr>
          <w:rFonts w:cs="Times New Roman"/>
          <w:i/>
          <w:iCs/>
          <w:kern w:val="2"/>
          <w:sz w:val="20"/>
          <w:szCs w:val="20"/>
          <w:lang w:val="es-CO" w:eastAsia="en-US"/>
          <w14:ligatures w14:val="standardContextual"/>
        </w:rPr>
        <w:t>Constitucional, 2012).</w:t>
      </w:r>
    </w:p>
    <w:p w14:paraId="2F4F51CB" w14:textId="77777777" w:rsidR="00E426C4" w:rsidRPr="00E426C4" w:rsidRDefault="00E426C4" w:rsidP="00E426C4">
      <w:pPr>
        <w:widowControl/>
        <w:jc w:val="both"/>
        <w:rPr>
          <w:rFonts w:cs="Times New Roman"/>
          <w:i/>
          <w:iCs/>
          <w:kern w:val="2"/>
          <w:sz w:val="20"/>
          <w:szCs w:val="20"/>
          <w:lang w:val="es-CO" w:eastAsia="en-US"/>
          <w14:ligatures w14:val="standardContextual"/>
        </w:rPr>
      </w:pPr>
    </w:p>
    <w:p w14:paraId="1101A95F" w14:textId="77777777" w:rsidR="00E426C4" w:rsidRPr="00E426C4" w:rsidRDefault="00E426C4" w:rsidP="00E426C4">
      <w:pPr>
        <w:widowControl/>
        <w:jc w:val="both"/>
        <w:rPr>
          <w:rFonts w:cs="Times New Roman"/>
          <w:i/>
          <w:iCs/>
          <w:kern w:val="2"/>
          <w:sz w:val="20"/>
          <w:szCs w:val="20"/>
          <w:lang w:val="es-CO" w:eastAsia="en-US"/>
          <w14:ligatures w14:val="standardContextual"/>
        </w:rPr>
      </w:pPr>
      <w:r w:rsidRPr="00E426C4">
        <w:rPr>
          <w:rFonts w:cs="Times New Roman"/>
          <w:i/>
          <w:iCs/>
          <w:kern w:val="2"/>
          <w:sz w:val="20"/>
          <w:szCs w:val="20"/>
          <w:lang w:val="es-CO" w:eastAsia="en-US"/>
          <w14:ligatures w14:val="standardContextual"/>
        </w:rPr>
        <w:t>La Corte Constitucional concluye que:</w:t>
      </w:r>
    </w:p>
    <w:p w14:paraId="07CB6613" w14:textId="77777777" w:rsidR="00E426C4" w:rsidRPr="00E426C4" w:rsidRDefault="00E426C4" w:rsidP="00E426C4">
      <w:pPr>
        <w:widowControl/>
        <w:jc w:val="both"/>
        <w:rPr>
          <w:rFonts w:cs="Times New Roman"/>
          <w:i/>
          <w:iCs/>
          <w:kern w:val="2"/>
          <w:sz w:val="20"/>
          <w:szCs w:val="20"/>
          <w:lang w:val="es-CO" w:eastAsia="en-US"/>
          <w14:ligatures w14:val="standardContextual"/>
        </w:rPr>
      </w:pPr>
    </w:p>
    <w:p w14:paraId="2117A219" w14:textId="77777777" w:rsidR="00E426C4" w:rsidRPr="00E426C4" w:rsidRDefault="00E426C4" w:rsidP="00E426C4">
      <w:pPr>
        <w:widowControl/>
        <w:jc w:val="both"/>
        <w:rPr>
          <w:rFonts w:cs="Times New Roman"/>
          <w:i/>
          <w:iCs/>
          <w:kern w:val="2"/>
          <w:sz w:val="20"/>
          <w:szCs w:val="20"/>
          <w:lang w:val="es-CO" w:eastAsia="en-US"/>
          <w14:ligatures w14:val="standardContextual"/>
        </w:rPr>
      </w:pPr>
      <w:r w:rsidRPr="00E426C4">
        <w:rPr>
          <w:rFonts w:cs="Times New Roman"/>
          <w:i/>
          <w:iCs/>
          <w:kern w:val="2"/>
          <w:sz w:val="20"/>
          <w:szCs w:val="20"/>
          <w:lang w:val="es-CO" w:eastAsia="en-US"/>
          <w14:ligatures w14:val="standardContextual"/>
        </w:rPr>
        <w:t xml:space="preserve">La Sala reitera que no existe actualmente una regla de jurisprudencia general que permita sustraer del conocimiento de las autoridades tradicionales indígenas los casos relacionados con la afectación de la integridad sexual de los menores pertenecientes a sus resguardos, ni que les impida buscar la protección de los menores mediante procedimientos internos. Finalmente, recalca la importancia de evaluar esa protección, entendida como su capacidad de proteger los 54 En esta sentencia se analizan dos acciones de tutela que habían sido interpuestas contra el Consejo Superior de la Judicatura. En la primera se buscaba la protección de los derechos fundamentales a la defensa, al debido proceso, a la igualdad, a la diversidad étnica y a la jurisdicción indígena de un miembro de la comunidad indígena </w:t>
      </w:r>
      <w:proofErr w:type="spellStart"/>
      <w:r w:rsidRPr="00E426C4">
        <w:rPr>
          <w:rFonts w:cs="Times New Roman"/>
          <w:i/>
          <w:iCs/>
          <w:kern w:val="2"/>
          <w:sz w:val="20"/>
          <w:szCs w:val="20"/>
          <w:lang w:val="es-CO" w:eastAsia="en-US"/>
          <w14:ligatures w14:val="standardContextual"/>
        </w:rPr>
        <w:t>Embera</w:t>
      </w:r>
      <w:proofErr w:type="spellEnd"/>
      <w:r w:rsidRPr="00E426C4">
        <w:rPr>
          <w:rFonts w:cs="Times New Roman"/>
          <w:i/>
          <w:iCs/>
          <w:kern w:val="2"/>
          <w:sz w:val="20"/>
          <w:szCs w:val="20"/>
          <w:lang w:val="es-CO" w:eastAsia="en-US"/>
          <w14:ligatures w14:val="standardContextual"/>
        </w:rPr>
        <w:t xml:space="preserve"> </w:t>
      </w:r>
      <w:proofErr w:type="spellStart"/>
      <w:r w:rsidRPr="00E426C4">
        <w:rPr>
          <w:rFonts w:cs="Times New Roman"/>
          <w:i/>
          <w:iCs/>
          <w:kern w:val="2"/>
          <w:sz w:val="20"/>
          <w:szCs w:val="20"/>
          <w:lang w:val="es-CO" w:eastAsia="en-US"/>
          <w14:ligatures w14:val="standardContextual"/>
        </w:rPr>
        <w:t>Chamí</w:t>
      </w:r>
      <w:proofErr w:type="spellEnd"/>
      <w:r w:rsidRPr="00E426C4">
        <w:rPr>
          <w:rFonts w:cs="Times New Roman"/>
          <w:i/>
          <w:iCs/>
          <w:kern w:val="2"/>
          <w:sz w:val="20"/>
          <w:szCs w:val="20"/>
          <w:lang w:val="es-CO" w:eastAsia="en-US"/>
          <w14:ligatures w14:val="standardContextual"/>
        </w:rPr>
        <w:t>, quien fue juzgado por cometer actos sexuales abusivos contra una menor por la jurisdicción ordinaria. La segunda tutela, fue interpuesta con el fin de proteger los derechos fundamentales a la jurisdicción especial indígena y al debido proceso, ya que fue juzgado por la jurisdicción ordinaria un miembro de una población indígena por acceso carnal abusivo en una menor. En ambos casos el Consejo Superior de la Judicatura dirimió los conflictos a favor de la jurisdicción ordinaria.</w:t>
      </w:r>
    </w:p>
    <w:p w14:paraId="22B25F97" w14:textId="77777777" w:rsidR="00E426C4" w:rsidRPr="00E426C4" w:rsidRDefault="00E426C4" w:rsidP="00E426C4">
      <w:pPr>
        <w:widowControl/>
        <w:jc w:val="both"/>
        <w:rPr>
          <w:rFonts w:cs="Times New Roman"/>
          <w:i/>
          <w:iCs/>
          <w:kern w:val="2"/>
          <w:sz w:val="20"/>
          <w:szCs w:val="20"/>
          <w:lang w:val="es-CO" w:eastAsia="en-US"/>
          <w14:ligatures w14:val="standardContextual"/>
        </w:rPr>
      </w:pPr>
      <w:r w:rsidRPr="00E426C4">
        <w:rPr>
          <w:rFonts w:cs="Times New Roman"/>
          <w:i/>
          <w:iCs/>
          <w:kern w:val="2"/>
          <w:sz w:val="20"/>
          <w:szCs w:val="20"/>
          <w:lang w:val="es-CO" w:eastAsia="en-US"/>
          <w14:ligatures w14:val="standardContextual"/>
        </w:rPr>
        <w:t>78 derechos de sus asociados, mediante análisis cuidadosos y respetuosos de la institucionalidad del resguardo (Corte Constitucional, 2012).</w:t>
      </w:r>
    </w:p>
    <w:p w14:paraId="3009FAC6" w14:textId="77777777" w:rsidR="00E426C4" w:rsidRPr="00E426C4" w:rsidRDefault="00E426C4" w:rsidP="00E426C4">
      <w:pPr>
        <w:widowControl/>
        <w:jc w:val="both"/>
        <w:rPr>
          <w:rFonts w:cs="Times New Roman"/>
          <w:i/>
          <w:iCs/>
          <w:kern w:val="2"/>
          <w:sz w:val="20"/>
          <w:szCs w:val="20"/>
          <w:lang w:val="es-CO" w:eastAsia="en-US"/>
          <w14:ligatures w14:val="standardContextual"/>
        </w:rPr>
      </w:pPr>
    </w:p>
    <w:p w14:paraId="09E64C62" w14:textId="4FDAC52A" w:rsidR="00E426C4" w:rsidRDefault="00E426C4" w:rsidP="00E426C4">
      <w:pPr>
        <w:widowControl/>
        <w:jc w:val="both"/>
        <w:rPr>
          <w:rFonts w:cs="Times New Roman"/>
          <w:i/>
          <w:iCs/>
          <w:kern w:val="2"/>
          <w:sz w:val="20"/>
          <w:szCs w:val="20"/>
          <w:lang w:val="es-CO" w:eastAsia="en-US"/>
          <w14:ligatures w14:val="standardContextual"/>
        </w:rPr>
      </w:pPr>
      <w:r w:rsidRPr="00E426C4">
        <w:rPr>
          <w:rFonts w:cs="Times New Roman"/>
          <w:i/>
          <w:iCs/>
          <w:kern w:val="2"/>
          <w:sz w:val="20"/>
          <w:szCs w:val="20"/>
          <w:lang w:val="es-CO" w:eastAsia="en-US"/>
          <w14:ligatures w14:val="standardContextual"/>
        </w:rPr>
        <w:t>En conclusión, antes de entrar a analizar cuáles son las prohibiciones en la normatividad ordinaria y los planes del gobierno nacional en torno a la A/MGF, se debe tener en cuenta que en Colombia las mujeres que practican la ablación genital pertenecen a un pueblo indígena que cuenta con autonomía jurisdiccional. Desde luego, es importante analizar qué ha hecho Colombia en relación con la regulación de la ablación. Así, la Constitución Política no hace mención alguna a la práctica; no obstante, sí se protegen los derechos a la igualdad de todas las personas ante la ley sin discriminación alguna por razones de sexo, raza, origen nacional o familiar, lengua, religión, opinión política o filosófica (artículo 13); a la igualdad de derechos y oportunidades entre las mujeres y los hombres y a la no discriminación de la mujer (artículo 43); y, a la vida, integridad física, salud y cuidado como derechos fundamentales de los niños, a quienes se les debe proteger de toda forma de violencia física o moral y cuyos derechos prevalecen sobre los derechos de las demás personas (artículo 44)”</w:t>
      </w:r>
      <w:r w:rsidRPr="00E426C4">
        <w:rPr>
          <w:rFonts w:cs="Times New Roman"/>
          <w:i/>
          <w:iCs/>
          <w:kern w:val="2"/>
          <w:sz w:val="20"/>
          <w:szCs w:val="20"/>
          <w:vertAlign w:val="superscript"/>
          <w:lang w:val="es-CO" w:eastAsia="en-US"/>
          <w14:ligatures w14:val="standardContextual"/>
        </w:rPr>
        <w:footnoteReference w:id="6"/>
      </w:r>
      <w:r w:rsidRPr="00E426C4">
        <w:rPr>
          <w:rFonts w:cs="Times New Roman"/>
          <w:i/>
          <w:iCs/>
          <w:kern w:val="2"/>
          <w:sz w:val="20"/>
          <w:szCs w:val="20"/>
          <w:lang w:val="es-CO" w:eastAsia="en-US"/>
          <w14:ligatures w14:val="standardContextual"/>
        </w:rPr>
        <w:t>.</w:t>
      </w:r>
    </w:p>
    <w:p w14:paraId="16CAC35D" w14:textId="54DE180F" w:rsidR="00B37C6F" w:rsidRDefault="00B37C6F" w:rsidP="00E426C4">
      <w:pPr>
        <w:widowControl/>
        <w:jc w:val="both"/>
        <w:rPr>
          <w:rFonts w:cs="Times New Roman"/>
          <w:i/>
          <w:iCs/>
          <w:kern w:val="2"/>
          <w:sz w:val="20"/>
          <w:szCs w:val="20"/>
          <w:lang w:val="es-CO" w:eastAsia="en-US"/>
          <w14:ligatures w14:val="standardContextual"/>
        </w:rPr>
      </w:pPr>
    </w:p>
    <w:p w14:paraId="5BA42901" w14:textId="5A41AEE7" w:rsidR="00745E2A" w:rsidRDefault="00745E2A" w:rsidP="00E426C4">
      <w:pPr>
        <w:widowControl/>
        <w:jc w:val="both"/>
        <w:rPr>
          <w:rFonts w:cs="Times New Roman"/>
          <w:i/>
          <w:iCs/>
          <w:kern w:val="2"/>
          <w:sz w:val="20"/>
          <w:szCs w:val="20"/>
          <w:lang w:val="es-CO" w:eastAsia="en-US"/>
          <w14:ligatures w14:val="standardContextual"/>
        </w:rPr>
      </w:pPr>
      <w:r>
        <w:rPr>
          <w:rFonts w:cs="Times New Roman"/>
          <w:i/>
          <w:iCs/>
          <w:kern w:val="2"/>
          <w:sz w:val="20"/>
          <w:szCs w:val="20"/>
          <w:lang w:val="es-CO" w:eastAsia="en-US"/>
          <w14:ligatures w14:val="standardContextual"/>
        </w:rPr>
        <w:t>Asimismo, la Corte Constitucional en su Sentencia SU091 de 2023 aclaró sobre la violencia contra la mujer que:</w:t>
      </w:r>
    </w:p>
    <w:p w14:paraId="24DFB853" w14:textId="35AF0AEA" w:rsidR="00745E2A" w:rsidRDefault="00745E2A" w:rsidP="00E426C4">
      <w:pPr>
        <w:widowControl/>
        <w:jc w:val="both"/>
        <w:rPr>
          <w:rFonts w:cs="Times New Roman"/>
          <w:i/>
          <w:iCs/>
          <w:kern w:val="2"/>
          <w:sz w:val="20"/>
          <w:szCs w:val="20"/>
          <w:lang w:val="es-CO" w:eastAsia="en-US"/>
          <w14:ligatures w14:val="standardContextual"/>
        </w:rPr>
      </w:pPr>
    </w:p>
    <w:p w14:paraId="174286C8" w14:textId="64C07266" w:rsidR="00745E2A" w:rsidRPr="00E426C4" w:rsidRDefault="00745E2A" w:rsidP="00E426C4">
      <w:pPr>
        <w:widowControl/>
        <w:jc w:val="both"/>
        <w:rPr>
          <w:rFonts w:cs="Times New Roman"/>
          <w:i/>
          <w:iCs/>
          <w:kern w:val="2"/>
          <w:sz w:val="20"/>
          <w:szCs w:val="20"/>
          <w:lang w:val="es-CO" w:eastAsia="en-US"/>
          <w14:ligatures w14:val="standardContextual"/>
        </w:rPr>
      </w:pPr>
      <w:r>
        <w:rPr>
          <w:rFonts w:cs="Times New Roman"/>
          <w:i/>
          <w:iCs/>
          <w:kern w:val="2"/>
          <w:sz w:val="20"/>
          <w:szCs w:val="20"/>
          <w:lang w:val="es-CO" w:eastAsia="en-US"/>
          <w14:ligatures w14:val="standardContextual"/>
        </w:rPr>
        <w:lastRenderedPageBreak/>
        <w:t>‘‘</w:t>
      </w:r>
      <w:r w:rsidRPr="00745E2A">
        <w:rPr>
          <w:rFonts w:cs="Times New Roman"/>
          <w:i/>
          <w:iCs/>
          <w:kern w:val="2"/>
          <w:sz w:val="20"/>
          <w:szCs w:val="20"/>
          <w:lang w:val="es-CO" w:eastAsia="en-US"/>
          <w14:ligatures w14:val="standardContextual"/>
        </w:rPr>
        <w:t>la autonomía indígena y el reconocimiento al principio de diversidad étnica no son excluyentes con el derecho de las mujeres a tener una vida libre de violencias, por lo que no cabe duda de que al interior de las comunidades indígenas se debe avanzar hacia su protección, y armonizar, en cada caso, con las costumbres indígenas</w:t>
      </w:r>
      <w:r>
        <w:rPr>
          <w:rFonts w:cs="Times New Roman"/>
          <w:i/>
          <w:iCs/>
          <w:kern w:val="2"/>
          <w:sz w:val="20"/>
          <w:szCs w:val="20"/>
          <w:lang w:val="es-CO" w:eastAsia="en-US"/>
          <w14:ligatures w14:val="standardContextual"/>
        </w:rPr>
        <w:t>’’</w:t>
      </w:r>
      <w:r w:rsidRPr="00745E2A">
        <w:rPr>
          <w:rFonts w:cs="Times New Roman"/>
          <w:i/>
          <w:iCs/>
          <w:kern w:val="2"/>
          <w:sz w:val="20"/>
          <w:szCs w:val="20"/>
          <w:lang w:val="es-CO" w:eastAsia="en-US"/>
          <w14:ligatures w14:val="standardContextual"/>
        </w:rPr>
        <w:t>.</w:t>
      </w:r>
      <w:r>
        <w:rPr>
          <w:rStyle w:val="Refdenotaalpie"/>
          <w:rFonts w:cs="Times New Roman"/>
          <w:i/>
          <w:iCs/>
          <w:kern w:val="2"/>
          <w:sz w:val="20"/>
          <w:szCs w:val="20"/>
          <w:lang w:val="es-CO" w:eastAsia="en-US"/>
          <w14:ligatures w14:val="standardContextual"/>
        </w:rPr>
        <w:footnoteReference w:id="7"/>
      </w:r>
    </w:p>
    <w:p w14:paraId="630D05E5" w14:textId="77777777" w:rsidR="00E426C4" w:rsidRPr="00E426C4" w:rsidRDefault="00E426C4" w:rsidP="00E426C4">
      <w:pPr>
        <w:widowControl/>
        <w:jc w:val="both"/>
        <w:rPr>
          <w:rFonts w:cs="Times New Roman"/>
          <w:i/>
          <w:iCs/>
          <w:kern w:val="2"/>
          <w:sz w:val="20"/>
          <w:szCs w:val="20"/>
          <w:lang w:val="es-CO" w:eastAsia="en-US"/>
          <w14:ligatures w14:val="standardContextual"/>
        </w:rPr>
      </w:pPr>
    </w:p>
    <w:p w14:paraId="05A8082C" w14:textId="77777777" w:rsidR="00E426C4" w:rsidRPr="00E426C4" w:rsidRDefault="00E426C4" w:rsidP="00E426C4">
      <w:pPr>
        <w:widowControl/>
        <w:jc w:val="center"/>
        <w:rPr>
          <w:rFonts w:ascii="Times New Roman" w:hAnsi="Times New Roman" w:cs="Times New Roman"/>
          <w:b/>
          <w:bCs/>
          <w:kern w:val="2"/>
          <w:sz w:val="24"/>
          <w:szCs w:val="24"/>
          <w:lang w:val="es-CO" w:eastAsia="en-US"/>
          <w14:ligatures w14:val="standardContextual"/>
        </w:rPr>
      </w:pPr>
      <w:r w:rsidRPr="00E426C4">
        <w:rPr>
          <w:rFonts w:ascii="Times New Roman" w:hAnsi="Times New Roman" w:cs="Times New Roman"/>
          <w:b/>
          <w:bCs/>
          <w:kern w:val="2"/>
          <w:sz w:val="24"/>
          <w:szCs w:val="24"/>
          <w:lang w:val="es-CO" w:eastAsia="en-US"/>
          <w14:ligatures w14:val="standardContextual"/>
        </w:rPr>
        <w:t>Mutilación genital femenina en población afro en Colombia</w:t>
      </w:r>
    </w:p>
    <w:p w14:paraId="1A4E3BA1" w14:textId="77777777" w:rsidR="00E426C4" w:rsidRPr="00E426C4" w:rsidRDefault="00E426C4" w:rsidP="00E426C4">
      <w:pPr>
        <w:widowControl/>
        <w:jc w:val="both"/>
        <w:rPr>
          <w:rFonts w:ascii="Times New Roman" w:hAnsi="Times New Roman" w:cs="Times New Roman"/>
          <w:b/>
          <w:bCs/>
          <w:kern w:val="2"/>
          <w:sz w:val="24"/>
          <w:szCs w:val="24"/>
          <w:lang w:val="es-CO" w:eastAsia="en-US"/>
          <w14:ligatures w14:val="standardContextual"/>
        </w:rPr>
      </w:pPr>
    </w:p>
    <w:p w14:paraId="46525971" w14:textId="77777777" w:rsidR="00E426C4" w:rsidRPr="00E426C4" w:rsidRDefault="00E426C4" w:rsidP="00E426C4">
      <w:pPr>
        <w:widowControl/>
        <w:jc w:val="both"/>
        <w:rPr>
          <w:rFonts w:ascii="Times New Roman" w:hAnsi="Times New Roman" w:cs="Times New Roman"/>
          <w:kern w:val="2"/>
          <w:sz w:val="24"/>
          <w:szCs w:val="24"/>
          <w:lang w:val="es-CO" w:eastAsia="en-US"/>
          <w14:ligatures w14:val="standardContextual"/>
        </w:rPr>
      </w:pPr>
      <w:r w:rsidRPr="00E426C4">
        <w:rPr>
          <w:rFonts w:ascii="Times New Roman" w:hAnsi="Times New Roman" w:cs="Times New Roman"/>
          <w:kern w:val="2"/>
          <w:sz w:val="24"/>
          <w:szCs w:val="24"/>
          <w:lang w:val="es-CO" w:eastAsia="en-US"/>
          <w14:ligatures w14:val="standardContextual"/>
        </w:rPr>
        <w:t xml:space="preserve">En la mayoría de bases de datos nacionales e internacionales </w:t>
      </w:r>
      <w:r w:rsidRPr="00E426C4">
        <w:rPr>
          <w:rFonts w:ascii="Times New Roman" w:hAnsi="Times New Roman" w:cs="Times New Roman"/>
          <w:b/>
          <w:bCs/>
          <w:kern w:val="2"/>
          <w:sz w:val="24"/>
          <w:szCs w:val="24"/>
          <w:lang w:val="es-CO" w:eastAsia="en-US"/>
          <w14:ligatures w14:val="standardContextual"/>
        </w:rPr>
        <w:t>no existe información académica</w:t>
      </w:r>
      <w:r w:rsidRPr="00E426C4">
        <w:rPr>
          <w:rFonts w:ascii="Times New Roman" w:hAnsi="Times New Roman" w:cs="Times New Roman"/>
          <w:kern w:val="2"/>
          <w:sz w:val="24"/>
          <w:szCs w:val="24"/>
          <w:lang w:val="es-CO" w:eastAsia="en-US"/>
          <w14:ligatures w14:val="standardContextual"/>
        </w:rPr>
        <w:t xml:space="preserve"> sobre ablación en poblaciones afrocolombianas, los estudios existentes analizan el tema en el Cauca, pero en su mayoría se concentran en comunidades indígenas. Sin embargo, se revisaron 58 documentos al respecto (trabajos académicos, prensa, informes gubernamentales, etc…), encontrando que, como mencionan Carmelo (2021), Leguizamón y Becerra (s.f.), </w:t>
      </w:r>
      <w:proofErr w:type="spellStart"/>
      <w:r w:rsidRPr="00E426C4">
        <w:rPr>
          <w:rFonts w:ascii="Times New Roman" w:hAnsi="Times New Roman" w:cs="Times New Roman"/>
          <w:kern w:val="2"/>
          <w:sz w:val="24"/>
          <w:szCs w:val="24"/>
          <w:lang w:val="es-CO" w:eastAsia="en-US"/>
          <w14:ligatures w14:val="standardContextual"/>
        </w:rPr>
        <w:t>Cosoy</w:t>
      </w:r>
      <w:proofErr w:type="spellEnd"/>
      <w:r w:rsidRPr="00E426C4">
        <w:rPr>
          <w:rFonts w:ascii="Times New Roman" w:hAnsi="Times New Roman" w:cs="Times New Roman"/>
          <w:kern w:val="2"/>
          <w:sz w:val="24"/>
          <w:szCs w:val="24"/>
          <w:lang w:val="es-CO" w:eastAsia="en-US"/>
          <w14:ligatures w14:val="standardContextual"/>
        </w:rPr>
        <w:t xml:space="preserve"> (2016), UNFPA (2023) y Sociedad Colombiana de Pediatría (s.f.), </w:t>
      </w:r>
      <w:r w:rsidRPr="00E426C4">
        <w:rPr>
          <w:rFonts w:ascii="Times New Roman" w:hAnsi="Times New Roman" w:cs="Times New Roman"/>
          <w:b/>
          <w:bCs/>
          <w:kern w:val="2"/>
          <w:sz w:val="24"/>
          <w:szCs w:val="24"/>
          <w:lang w:val="es-CO" w:eastAsia="en-US"/>
          <w14:ligatures w14:val="standardContextual"/>
        </w:rPr>
        <w:t>existe evidencia de esta práctica en algunos pueblos afrodescendientes</w:t>
      </w:r>
      <w:r w:rsidRPr="00E426C4">
        <w:rPr>
          <w:rFonts w:ascii="Times New Roman" w:hAnsi="Times New Roman" w:cs="Times New Roman"/>
          <w:kern w:val="2"/>
          <w:sz w:val="24"/>
          <w:szCs w:val="24"/>
          <w:lang w:val="es-CO" w:eastAsia="en-US"/>
          <w14:ligatures w14:val="standardContextual"/>
        </w:rPr>
        <w:t>.</w:t>
      </w:r>
    </w:p>
    <w:p w14:paraId="603E289A" w14:textId="77777777" w:rsidR="00E426C4" w:rsidRPr="00E426C4" w:rsidRDefault="00E426C4" w:rsidP="00E426C4">
      <w:pPr>
        <w:widowControl/>
        <w:jc w:val="both"/>
        <w:rPr>
          <w:rFonts w:ascii="Times New Roman" w:hAnsi="Times New Roman" w:cs="Times New Roman"/>
          <w:kern w:val="2"/>
          <w:sz w:val="24"/>
          <w:szCs w:val="24"/>
          <w:lang w:val="es-CO" w:eastAsia="en-US"/>
          <w14:ligatures w14:val="standardContextual"/>
        </w:rPr>
      </w:pPr>
    </w:p>
    <w:p w14:paraId="4BA89302" w14:textId="668067DE" w:rsidR="00E426C4" w:rsidRPr="00E426C4" w:rsidRDefault="00E426C4" w:rsidP="00E426C4">
      <w:pPr>
        <w:widowControl/>
        <w:jc w:val="both"/>
        <w:rPr>
          <w:rFonts w:ascii="Times New Roman" w:hAnsi="Times New Roman" w:cs="Times New Roman"/>
          <w:kern w:val="2"/>
          <w:sz w:val="24"/>
          <w:szCs w:val="24"/>
          <w:lang w:val="es-CO" w:eastAsia="en-US"/>
          <w14:ligatures w14:val="standardContextual"/>
        </w:rPr>
      </w:pPr>
      <w:r w:rsidRPr="00E426C4">
        <w:rPr>
          <w:rFonts w:ascii="Times New Roman" w:hAnsi="Times New Roman" w:cs="Times New Roman"/>
          <w:kern w:val="2"/>
          <w:sz w:val="24"/>
          <w:szCs w:val="24"/>
          <w:lang w:val="es-CO" w:eastAsia="en-US"/>
          <w14:ligatures w14:val="standardContextual"/>
        </w:rPr>
        <w:t xml:space="preserve">Gallo (2023), entrevistó a Laura Lozano, entonces asesora de Género, Derechos e Interculturalidad del Fondo de Población de las Naciones Unidas (UNFPA) para Infobae, quien sostuvo que “la </w:t>
      </w:r>
      <w:proofErr w:type="spellStart"/>
      <w:r w:rsidRPr="00E426C4">
        <w:rPr>
          <w:rFonts w:ascii="Times New Roman" w:hAnsi="Times New Roman" w:cs="Times New Roman"/>
          <w:kern w:val="2"/>
          <w:sz w:val="24"/>
          <w:szCs w:val="24"/>
          <w:lang w:val="es-CO" w:eastAsia="en-US"/>
          <w14:ligatures w14:val="standardContextual"/>
        </w:rPr>
        <w:t>Unfpa</w:t>
      </w:r>
      <w:proofErr w:type="spellEnd"/>
      <w:r w:rsidRPr="00E426C4">
        <w:rPr>
          <w:rFonts w:ascii="Times New Roman" w:hAnsi="Times New Roman" w:cs="Times New Roman"/>
          <w:kern w:val="2"/>
          <w:sz w:val="24"/>
          <w:szCs w:val="24"/>
          <w:lang w:val="es-CO" w:eastAsia="en-US"/>
          <w14:ligatures w14:val="standardContextual"/>
        </w:rPr>
        <w:t xml:space="preserve"> ha identificado casos de mutilación genital femenina en otros lugares de Colombia, no solo en comunidades indígenas, sino también afrodescendientes e, incluso, en poblaciones no étnicas”. De hecho, la </w:t>
      </w:r>
      <w:r w:rsidRPr="00E426C4">
        <w:rPr>
          <w:rFonts w:ascii="Times New Roman" w:hAnsi="Times New Roman" w:cs="Times New Roman"/>
          <w:b/>
          <w:bCs/>
          <w:kern w:val="2"/>
          <w:sz w:val="24"/>
          <w:szCs w:val="24"/>
          <w:lang w:val="es-CO" w:eastAsia="en-US"/>
          <w14:ligatures w14:val="standardContextual"/>
        </w:rPr>
        <w:t>Conferencia Nacional de Organizaciones Afrocolombianas</w:t>
      </w:r>
      <w:r w:rsidRPr="00E426C4">
        <w:rPr>
          <w:rFonts w:ascii="Times New Roman" w:hAnsi="Times New Roman" w:cs="Times New Roman"/>
          <w:kern w:val="2"/>
          <w:sz w:val="24"/>
          <w:szCs w:val="24"/>
          <w:lang w:val="es-CO" w:eastAsia="en-US"/>
          <w14:ligatures w14:val="standardContextual"/>
        </w:rPr>
        <w:t xml:space="preserve"> C.N.O.A hizo un llamado a Colombia para unir más esfuerzos en la lucha contra la Mutilación Genital Femenina en comunidades afrocolombianas.</w:t>
      </w:r>
    </w:p>
    <w:p w14:paraId="1D1C7F42" w14:textId="77777777" w:rsidR="00E426C4" w:rsidRPr="00E426C4" w:rsidRDefault="00E426C4" w:rsidP="00E426C4">
      <w:pPr>
        <w:widowControl/>
        <w:ind w:left="720"/>
        <w:contextualSpacing/>
        <w:jc w:val="both"/>
        <w:rPr>
          <w:rFonts w:ascii="Times New Roman" w:hAnsi="Times New Roman" w:cs="Times New Roman"/>
          <w:kern w:val="2"/>
          <w:sz w:val="24"/>
          <w:szCs w:val="24"/>
          <w:lang w:val="es-CO" w:eastAsia="en-US"/>
          <w14:ligatures w14:val="standardContextual"/>
        </w:rPr>
      </w:pPr>
    </w:p>
    <w:p w14:paraId="7369BF9A" w14:textId="4238B77F" w:rsidR="00E426C4" w:rsidRPr="00E426C4" w:rsidRDefault="00E426C4" w:rsidP="00E426C4">
      <w:pPr>
        <w:widowControl/>
        <w:jc w:val="both"/>
        <w:rPr>
          <w:rFonts w:ascii="Times New Roman" w:hAnsi="Times New Roman" w:cs="Times New Roman"/>
          <w:kern w:val="2"/>
          <w:lang w:val="es-CO" w:eastAsia="en-US"/>
          <w14:ligatures w14:val="standardContextual"/>
        </w:rPr>
      </w:pPr>
      <w:r w:rsidRPr="00E426C4">
        <w:rPr>
          <w:rFonts w:ascii="Times New Roman" w:hAnsi="Times New Roman" w:cs="Times New Roman"/>
          <w:kern w:val="2"/>
          <w:sz w:val="24"/>
          <w:szCs w:val="24"/>
          <w:lang w:val="es-CO" w:eastAsia="en-US"/>
          <w14:ligatures w14:val="standardContextual"/>
        </w:rPr>
        <w:t xml:space="preserve">El Ministerio del Interior con apoyo de otras entidades, realizó un estudio estadístico (2009 </w:t>
      </w:r>
      <w:proofErr w:type="gramStart"/>
      <w:r w:rsidRPr="00E426C4">
        <w:rPr>
          <w:rFonts w:ascii="Times New Roman" w:hAnsi="Times New Roman" w:cs="Times New Roman"/>
          <w:kern w:val="2"/>
          <w:sz w:val="24"/>
          <w:szCs w:val="24"/>
          <w:lang w:val="es-CO" w:eastAsia="en-US"/>
          <w14:ligatures w14:val="standardContextual"/>
        </w:rPr>
        <w:t>a  2019</w:t>
      </w:r>
      <w:proofErr w:type="gramEnd"/>
      <w:r w:rsidRPr="00E426C4">
        <w:rPr>
          <w:rFonts w:ascii="Times New Roman" w:hAnsi="Times New Roman" w:cs="Times New Roman"/>
          <w:kern w:val="2"/>
          <w:sz w:val="24"/>
          <w:szCs w:val="24"/>
          <w:lang w:val="es-CO" w:eastAsia="en-US"/>
          <w14:ligatures w14:val="standardContextual"/>
        </w:rPr>
        <w:t xml:space="preserve">) de ingresados a la prestación de servicios de salud por las afectaciones físicas en niñas y mujeres relacionadas con mutilación genital (son </w:t>
      </w:r>
      <w:r w:rsidRPr="00E426C4">
        <w:rPr>
          <w:rFonts w:ascii="Times New Roman" w:hAnsi="Times New Roman" w:cs="Times New Roman"/>
          <w:b/>
          <w:bCs/>
          <w:kern w:val="2"/>
          <w:sz w:val="24"/>
          <w:szCs w:val="24"/>
          <w:lang w:val="es-CO" w:eastAsia="en-US"/>
          <w14:ligatures w14:val="standardContextual"/>
        </w:rPr>
        <w:t>diagnósticos relacionados, no confirmados</w:t>
      </w:r>
      <w:r w:rsidRPr="00E426C4">
        <w:rPr>
          <w:rFonts w:ascii="Times New Roman" w:hAnsi="Times New Roman" w:cs="Times New Roman"/>
          <w:kern w:val="2"/>
          <w:sz w:val="24"/>
          <w:szCs w:val="24"/>
          <w:lang w:val="es-CO" w:eastAsia="en-US"/>
          <w14:ligatures w14:val="standardContextual"/>
        </w:rPr>
        <w:t xml:space="preserve">), pero permiten dar luces ante el fenómeno que aún cuenta con un amplio </w:t>
      </w:r>
      <w:r w:rsidRPr="00E426C4">
        <w:rPr>
          <w:rFonts w:ascii="Times New Roman" w:hAnsi="Times New Roman" w:cs="Times New Roman"/>
          <w:b/>
          <w:bCs/>
          <w:kern w:val="2"/>
          <w:sz w:val="24"/>
          <w:szCs w:val="24"/>
          <w:lang w:val="es-CO" w:eastAsia="en-US"/>
          <w14:ligatures w14:val="standardContextual"/>
        </w:rPr>
        <w:t>subregistro</w:t>
      </w:r>
      <w:r w:rsidRPr="00E426C4">
        <w:rPr>
          <w:rFonts w:ascii="Times New Roman" w:hAnsi="Times New Roman" w:cs="Times New Roman"/>
          <w:kern w:val="2"/>
          <w:sz w:val="24"/>
          <w:szCs w:val="24"/>
          <w:lang w:val="es-CO" w:eastAsia="en-US"/>
          <w14:ligatures w14:val="standardContextual"/>
        </w:rPr>
        <w:t>). A continuación, se presentan esas estadísticas frente a la población que se auto reconoce como negros, afros, raizales</w:t>
      </w:r>
      <w:r w:rsidRPr="00E426C4">
        <w:rPr>
          <w:rFonts w:ascii="Times New Roman" w:hAnsi="Times New Roman" w:cs="Times New Roman"/>
          <w:kern w:val="2"/>
          <w:lang w:val="es-CO" w:eastAsia="en-US"/>
          <w14:ligatures w14:val="standardContextual"/>
        </w:rPr>
        <w:t xml:space="preserve"> o palenqueros (el estudio los identifica como NARP):</w:t>
      </w:r>
    </w:p>
    <w:p w14:paraId="023889AD" w14:textId="77777777" w:rsidR="00E426C4" w:rsidRPr="00E426C4" w:rsidRDefault="00E426C4" w:rsidP="00E426C4">
      <w:pPr>
        <w:widowControl/>
        <w:ind w:left="-284"/>
        <w:jc w:val="center"/>
        <w:rPr>
          <w:rFonts w:ascii="Times New Roman" w:hAnsi="Times New Roman" w:cs="Times New Roman"/>
          <w:kern w:val="2"/>
          <w:sz w:val="24"/>
          <w:szCs w:val="24"/>
          <w:lang w:val="es-CO" w:eastAsia="en-US"/>
          <w14:ligatures w14:val="standardContextual"/>
        </w:rPr>
      </w:pPr>
      <w:r w:rsidRPr="00E426C4">
        <w:rPr>
          <w:rFonts w:ascii="Times New Roman" w:hAnsi="Times New Roman" w:cs="Times New Roman"/>
          <w:noProof/>
          <w:kern w:val="2"/>
          <w:lang w:val="es-CO" w:eastAsia="es-CO"/>
          <w14:ligatures w14:val="standardContextual"/>
        </w:rPr>
        <w:lastRenderedPageBreak/>
        <mc:AlternateContent>
          <mc:Choice Requires="wps">
            <w:drawing>
              <wp:anchor distT="0" distB="0" distL="114300" distR="114300" simplePos="0" relativeHeight="251660288" behindDoc="0" locked="0" layoutInCell="1" allowOverlap="1" wp14:anchorId="14821AC2" wp14:editId="5E4949DC">
                <wp:simplePos x="0" y="0"/>
                <wp:positionH relativeFrom="column">
                  <wp:posOffset>4149090</wp:posOffset>
                </wp:positionH>
                <wp:positionV relativeFrom="paragraph">
                  <wp:posOffset>487045</wp:posOffset>
                </wp:positionV>
                <wp:extent cx="581025" cy="219075"/>
                <wp:effectExtent l="19050" t="19050" r="28575" b="28575"/>
                <wp:wrapNone/>
                <wp:docPr id="1106788602" name="Rectángulo 7"/>
                <wp:cNvGraphicFramePr/>
                <a:graphic xmlns:a="http://schemas.openxmlformats.org/drawingml/2006/main">
                  <a:graphicData uri="http://schemas.microsoft.com/office/word/2010/wordprocessingShape">
                    <wps:wsp>
                      <wps:cNvSpPr/>
                      <wps:spPr>
                        <a:xfrm>
                          <a:off x="0" y="0"/>
                          <a:ext cx="581025" cy="2190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ADEB9F" id="Rectángulo 7" o:spid="_x0000_s1026" style="position:absolute;margin-left:326.7pt;margin-top:38.35pt;width:45.75pt;height:17.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" filled="f" strokecolor="red" strokeweight="3pt"/>
            </w:pict>
          </mc:Fallback>
        </mc:AlternateContent>
      </w:r>
      <w:r w:rsidRPr="00E426C4">
        <w:rPr>
          <w:rFonts w:ascii="Times New Roman" w:hAnsi="Times New Roman" w:cs="Times New Roman"/>
          <w:noProof/>
          <w:kern w:val="2"/>
          <w:lang w:val="es-CO" w:eastAsia="es-CO"/>
          <w14:ligatures w14:val="standardContextual"/>
        </w:rPr>
        <w:drawing>
          <wp:inline distT="0" distB="0" distL="0" distR="0" wp14:anchorId="3CA35E67" wp14:editId="62697B52">
            <wp:extent cx="5874385" cy="2594161"/>
            <wp:effectExtent l="0" t="0" r="0" b="0"/>
            <wp:docPr id="15669526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52642" name="Imagen 1566952642"/>
                    <pic:cNvPicPr/>
                  </pic:nvPicPr>
                  <pic:blipFill rotWithShape="1">
                    <a:blip r:embed="rId62">
                      <a:extLst>
                        <a:ext uri="{28A0092B-C50C-407E-A947-70E740481C1C}">
                          <a14:useLocalDpi xmlns:a14="http://schemas.microsoft.com/office/drawing/2010/main" val="0"/>
                        </a:ext>
                      </a:extLst>
                    </a:blip>
                    <a:srcRect t="2107" b="22301"/>
                    <a:stretch/>
                  </pic:blipFill>
                  <pic:spPr bwMode="auto">
                    <a:xfrm>
                      <a:off x="0" y="0"/>
                      <a:ext cx="5960971" cy="2632398"/>
                    </a:xfrm>
                    <a:prstGeom prst="rect">
                      <a:avLst/>
                    </a:prstGeom>
                    <a:ln>
                      <a:noFill/>
                    </a:ln>
                    <a:extLst>
                      <a:ext uri="{53640926-AAD7-44D8-BBD7-CCE9431645EC}">
                        <a14:shadowObscured xmlns:a14="http://schemas.microsoft.com/office/drawing/2010/main"/>
                      </a:ext>
                    </a:extLst>
                  </pic:spPr>
                </pic:pic>
              </a:graphicData>
            </a:graphic>
          </wp:inline>
        </w:drawing>
      </w:r>
    </w:p>
    <w:p w14:paraId="4E0674FC" w14:textId="77777777" w:rsidR="00E426C4" w:rsidRPr="00E426C4" w:rsidRDefault="00E426C4" w:rsidP="00E426C4">
      <w:pPr>
        <w:widowControl/>
        <w:ind w:left="360"/>
        <w:jc w:val="both"/>
        <w:rPr>
          <w:rFonts w:ascii="Times New Roman" w:hAnsi="Times New Roman" w:cs="Times New Roman"/>
          <w:kern w:val="2"/>
          <w:lang w:val="es-CO" w:eastAsia="en-US"/>
          <w14:ligatures w14:val="standardContextual"/>
        </w:rPr>
      </w:pPr>
      <w:r w:rsidRPr="00E426C4">
        <w:rPr>
          <w:rFonts w:ascii="Times New Roman" w:hAnsi="Times New Roman" w:cs="Times New Roman"/>
          <w:noProof/>
          <w:kern w:val="2"/>
          <w:lang w:val="es-CO" w:eastAsia="es-CO"/>
          <w14:ligatures w14:val="standardContextual"/>
        </w:rPr>
        <mc:AlternateContent>
          <mc:Choice Requires="wps">
            <w:drawing>
              <wp:anchor distT="0" distB="0" distL="114300" distR="114300" simplePos="0" relativeHeight="251661312" behindDoc="0" locked="0" layoutInCell="1" allowOverlap="1" wp14:anchorId="03ACD3D5" wp14:editId="18473A18">
                <wp:simplePos x="0" y="0"/>
                <wp:positionH relativeFrom="column">
                  <wp:posOffset>4248150</wp:posOffset>
                </wp:positionH>
                <wp:positionV relativeFrom="paragraph">
                  <wp:posOffset>800100</wp:posOffset>
                </wp:positionV>
                <wp:extent cx="581025" cy="219075"/>
                <wp:effectExtent l="19050" t="19050" r="28575" b="28575"/>
                <wp:wrapNone/>
                <wp:docPr id="892444465" name="Rectángulo 7"/>
                <wp:cNvGraphicFramePr/>
                <a:graphic xmlns:a="http://schemas.openxmlformats.org/drawingml/2006/main">
                  <a:graphicData uri="http://schemas.microsoft.com/office/word/2010/wordprocessingShape">
                    <wps:wsp>
                      <wps:cNvSpPr/>
                      <wps:spPr>
                        <a:xfrm>
                          <a:off x="0" y="0"/>
                          <a:ext cx="581025" cy="2190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12CC0C" id="Rectángulo 7" o:spid="_x0000_s1026" style="position:absolute;margin-left:334.5pt;margin-top:63pt;width:45.75pt;height:1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" filled="f" strokecolor="red" strokeweight="3pt"/>
            </w:pict>
          </mc:Fallback>
        </mc:AlternateContent>
      </w:r>
      <w:r w:rsidRPr="00E426C4">
        <w:rPr>
          <w:rFonts w:ascii="Times New Roman" w:hAnsi="Times New Roman" w:cs="Times New Roman"/>
          <w:noProof/>
          <w:kern w:val="2"/>
          <w:lang w:val="es-CO" w:eastAsia="es-CO"/>
          <w14:ligatures w14:val="standardContextual"/>
        </w:rPr>
        <w:drawing>
          <wp:inline distT="0" distB="0" distL="0" distR="0" wp14:anchorId="7F8C6888" wp14:editId="489323FD">
            <wp:extent cx="5572903" cy="2829320"/>
            <wp:effectExtent l="0" t="0" r="8890" b="9525"/>
            <wp:docPr id="18703310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31040" name="Imagen 1870331040"/>
                    <pic:cNvPicPr/>
                  </pic:nvPicPr>
                  <pic:blipFill>
                    <a:blip r:embed="rId63">
                      <a:extLst>
                        <a:ext uri="{28A0092B-C50C-407E-A947-70E740481C1C}">
                          <a14:useLocalDpi xmlns:a14="http://schemas.microsoft.com/office/drawing/2010/main" val="0"/>
                        </a:ext>
                      </a:extLst>
                    </a:blip>
                    <a:stretch>
                      <a:fillRect/>
                    </a:stretch>
                  </pic:blipFill>
                  <pic:spPr>
                    <a:xfrm>
                      <a:off x="0" y="0"/>
                      <a:ext cx="5572903" cy="2829320"/>
                    </a:xfrm>
                    <a:prstGeom prst="rect">
                      <a:avLst/>
                    </a:prstGeom>
                  </pic:spPr>
                </pic:pic>
              </a:graphicData>
            </a:graphic>
          </wp:inline>
        </w:drawing>
      </w:r>
    </w:p>
    <w:p w14:paraId="68C2B7CC" w14:textId="77777777" w:rsidR="00E426C4" w:rsidRPr="00E426C4" w:rsidRDefault="00E426C4" w:rsidP="00E426C4">
      <w:pPr>
        <w:widowControl/>
        <w:ind w:left="360"/>
        <w:jc w:val="both"/>
        <w:rPr>
          <w:rFonts w:ascii="Times New Roman" w:hAnsi="Times New Roman" w:cs="Times New Roman"/>
          <w:kern w:val="2"/>
          <w:lang w:val="es-CO" w:eastAsia="en-US"/>
          <w14:ligatures w14:val="standardContextual"/>
        </w:rPr>
      </w:pPr>
      <w:r w:rsidRPr="00E426C4">
        <w:rPr>
          <w:rFonts w:ascii="Times New Roman" w:hAnsi="Times New Roman" w:cs="Times New Roman"/>
          <w:noProof/>
          <w:kern w:val="2"/>
          <w:lang w:val="es-CO" w:eastAsia="es-CO"/>
          <w14:ligatures w14:val="standardContextual"/>
        </w:rPr>
        <w:lastRenderedPageBreak/>
        <mc:AlternateContent>
          <mc:Choice Requires="wps">
            <w:drawing>
              <wp:anchor distT="0" distB="0" distL="114300" distR="114300" simplePos="0" relativeHeight="251662336" behindDoc="0" locked="0" layoutInCell="1" allowOverlap="1" wp14:anchorId="4FD8810B" wp14:editId="3FDB5E8F">
                <wp:simplePos x="0" y="0"/>
                <wp:positionH relativeFrom="column">
                  <wp:posOffset>4244340</wp:posOffset>
                </wp:positionH>
                <wp:positionV relativeFrom="paragraph">
                  <wp:posOffset>690880</wp:posOffset>
                </wp:positionV>
                <wp:extent cx="581025" cy="219075"/>
                <wp:effectExtent l="19050" t="19050" r="28575" b="28575"/>
                <wp:wrapNone/>
                <wp:docPr id="1904553709" name="Rectángulo 7"/>
                <wp:cNvGraphicFramePr/>
                <a:graphic xmlns:a="http://schemas.openxmlformats.org/drawingml/2006/main">
                  <a:graphicData uri="http://schemas.microsoft.com/office/word/2010/wordprocessingShape">
                    <wps:wsp>
                      <wps:cNvSpPr/>
                      <wps:spPr>
                        <a:xfrm>
                          <a:off x="0" y="0"/>
                          <a:ext cx="581025" cy="2190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BB0B53" id="Rectángulo 7" o:spid="_x0000_s1026" style="position:absolute;margin-left:334.2pt;margin-top:54.4pt;width:45.75pt;height:17.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" filled="f" strokecolor="red" strokeweight="3pt"/>
            </w:pict>
          </mc:Fallback>
        </mc:AlternateContent>
      </w:r>
      <w:r w:rsidRPr="00E426C4">
        <w:rPr>
          <w:rFonts w:ascii="Times New Roman" w:hAnsi="Times New Roman" w:cs="Times New Roman"/>
          <w:noProof/>
          <w:kern w:val="2"/>
          <w:lang w:val="es-CO" w:eastAsia="es-CO"/>
          <w14:ligatures w14:val="standardContextual"/>
        </w:rPr>
        <w:drawing>
          <wp:inline distT="0" distB="0" distL="0" distR="0" wp14:anchorId="5DC76C70" wp14:editId="4697F262">
            <wp:extent cx="5612130" cy="2909570"/>
            <wp:effectExtent l="0" t="0" r="7620" b="5080"/>
            <wp:docPr id="120120997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209978" name="Imagen 1201209978"/>
                    <pic:cNvPicPr/>
                  </pic:nvPicPr>
                  <pic:blipFill>
                    <a:blip r:embed="rId64">
                      <a:extLst>
                        <a:ext uri="{28A0092B-C50C-407E-A947-70E740481C1C}">
                          <a14:useLocalDpi xmlns:a14="http://schemas.microsoft.com/office/drawing/2010/main" val="0"/>
                        </a:ext>
                      </a:extLst>
                    </a:blip>
                    <a:stretch>
                      <a:fillRect/>
                    </a:stretch>
                  </pic:blipFill>
                  <pic:spPr>
                    <a:xfrm>
                      <a:off x="0" y="0"/>
                      <a:ext cx="5612130" cy="2909570"/>
                    </a:xfrm>
                    <a:prstGeom prst="rect">
                      <a:avLst/>
                    </a:prstGeom>
                  </pic:spPr>
                </pic:pic>
              </a:graphicData>
            </a:graphic>
          </wp:inline>
        </w:drawing>
      </w:r>
    </w:p>
    <w:p w14:paraId="1111EC32" w14:textId="77777777" w:rsidR="00E426C4" w:rsidRPr="00E426C4" w:rsidRDefault="00E426C4" w:rsidP="00E426C4">
      <w:pPr>
        <w:widowControl/>
        <w:ind w:left="360"/>
        <w:jc w:val="both"/>
        <w:rPr>
          <w:rFonts w:ascii="Times New Roman" w:hAnsi="Times New Roman" w:cs="Times New Roman"/>
          <w:kern w:val="2"/>
          <w:lang w:val="es-CO" w:eastAsia="en-US"/>
          <w14:ligatures w14:val="standardContextual"/>
        </w:rPr>
      </w:pPr>
      <w:r w:rsidRPr="00E426C4">
        <w:rPr>
          <w:rFonts w:ascii="Times New Roman" w:hAnsi="Times New Roman" w:cs="Times New Roman"/>
          <w:noProof/>
          <w:kern w:val="2"/>
          <w:lang w:val="es-CO" w:eastAsia="es-CO"/>
          <w14:ligatures w14:val="standardContextual"/>
        </w:rPr>
        <mc:AlternateContent>
          <mc:Choice Requires="wps">
            <w:drawing>
              <wp:anchor distT="0" distB="0" distL="114300" distR="114300" simplePos="0" relativeHeight="251663360" behindDoc="0" locked="0" layoutInCell="1" allowOverlap="1" wp14:anchorId="4E3A7071" wp14:editId="32F88CE6">
                <wp:simplePos x="0" y="0"/>
                <wp:positionH relativeFrom="column">
                  <wp:posOffset>4311015</wp:posOffset>
                </wp:positionH>
                <wp:positionV relativeFrom="paragraph">
                  <wp:posOffset>548005</wp:posOffset>
                </wp:positionV>
                <wp:extent cx="581025" cy="219075"/>
                <wp:effectExtent l="19050" t="19050" r="28575" b="28575"/>
                <wp:wrapNone/>
                <wp:docPr id="1760240994" name="Rectángulo 7"/>
                <wp:cNvGraphicFramePr/>
                <a:graphic xmlns:a="http://schemas.openxmlformats.org/drawingml/2006/main">
                  <a:graphicData uri="http://schemas.microsoft.com/office/word/2010/wordprocessingShape">
                    <wps:wsp>
                      <wps:cNvSpPr/>
                      <wps:spPr>
                        <a:xfrm>
                          <a:off x="0" y="0"/>
                          <a:ext cx="581025" cy="2190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F13BC0" id="Rectángulo 7" o:spid="_x0000_s1026" style="position:absolute;margin-left:339.45pt;margin-top:43.15pt;width:45.7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" filled="f" strokecolor="red" strokeweight="3pt"/>
            </w:pict>
          </mc:Fallback>
        </mc:AlternateContent>
      </w:r>
      <w:r w:rsidRPr="00E426C4">
        <w:rPr>
          <w:rFonts w:ascii="Times New Roman" w:hAnsi="Times New Roman" w:cs="Times New Roman"/>
          <w:noProof/>
          <w:kern w:val="2"/>
          <w:lang w:val="es-CO" w:eastAsia="es-CO"/>
          <w14:ligatures w14:val="standardContextual"/>
        </w:rPr>
        <w:drawing>
          <wp:inline distT="0" distB="0" distL="0" distR="0" wp14:anchorId="044211F9" wp14:editId="75B83CB2">
            <wp:extent cx="5612130" cy="2494280"/>
            <wp:effectExtent l="0" t="0" r="7620" b="1270"/>
            <wp:docPr id="43058469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84697" name="Imagen 430584697"/>
                    <pic:cNvPicPr/>
                  </pic:nvPicPr>
                  <pic:blipFill>
                    <a:blip r:embed="rId65">
                      <a:extLst>
                        <a:ext uri="{28A0092B-C50C-407E-A947-70E740481C1C}">
                          <a14:useLocalDpi xmlns:a14="http://schemas.microsoft.com/office/drawing/2010/main" val="0"/>
                        </a:ext>
                      </a:extLst>
                    </a:blip>
                    <a:stretch>
                      <a:fillRect/>
                    </a:stretch>
                  </pic:blipFill>
                  <pic:spPr>
                    <a:xfrm>
                      <a:off x="0" y="0"/>
                      <a:ext cx="5612130" cy="2494280"/>
                    </a:xfrm>
                    <a:prstGeom prst="rect">
                      <a:avLst/>
                    </a:prstGeom>
                  </pic:spPr>
                </pic:pic>
              </a:graphicData>
            </a:graphic>
          </wp:inline>
        </w:drawing>
      </w:r>
    </w:p>
    <w:p w14:paraId="779F00E5" w14:textId="77777777" w:rsidR="00E426C4" w:rsidRPr="00E426C4" w:rsidRDefault="00E426C4" w:rsidP="00E426C4">
      <w:pPr>
        <w:widowControl/>
        <w:ind w:left="360"/>
        <w:jc w:val="both"/>
        <w:rPr>
          <w:rFonts w:ascii="Times New Roman" w:hAnsi="Times New Roman" w:cs="Times New Roman"/>
          <w:kern w:val="2"/>
          <w:lang w:val="es-CO" w:eastAsia="en-US"/>
          <w14:ligatures w14:val="standardContextual"/>
        </w:rPr>
      </w:pPr>
      <w:r w:rsidRPr="00E426C4">
        <w:rPr>
          <w:rFonts w:ascii="Times New Roman" w:hAnsi="Times New Roman" w:cs="Times New Roman"/>
          <w:noProof/>
          <w:kern w:val="2"/>
          <w:lang w:val="es-CO" w:eastAsia="es-CO"/>
          <w14:ligatures w14:val="standardContextual"/>
        </w:rPr>
        <w:lastRenderedPageBreak/>
        <mc:AlternateContent>
          <mc:Choice Requires="wps">
            <w:drawing>
              <wp:anchor distT="0" distB="0" distL="114300" distR="114300" simplePos="0" relativeHeight="251664384" behindDoc="0" locked="0" layoutInCell="1" allowOverlap="1" wp14:anchorId="37FD5E31" wp14:editId="0E135C70">
                <wp:simplePos x="0" y="0"/>
                <wp:positionH relativeFrom="column">
                  <wp:posOffset>4291965</wp:posOffset>
                </wp:positionH>
                <wp:positionV relativeFrom="paragraph">
                  <wp:posOffset>509905</wp:posOffset>
                </wp:positionV>
                <wp:extent cx="581025" cy="219075"/>
                <wp:effectExtent l="19050" t="19050" r="28575" b="28575"/>
                <wp:wrapNone/>
                <wp:docPr id="431137932" name="Rectángulo 7"/>
                <wp:cNvGraphicFramePr/>
                <a:graphic xmlns:a="http://schemas.openxmlformats.org/drawingml/2006/main">
                  <a:graphicData uri="http://schemas.microsoft.com/office/word/2010/wordprocessingShape">
                    <wps:wsp>
                      <wps:cNvSpPr/>
                      <wps:spPr>
                        <a:xfrm>
                          <a:off x="0" y="0"/>
                          <a:ext cx="581025" cy="2190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6AFDAE" id="Rectángulo 7" o:spid="_x0000_s1026" style="position:absolute;margin-left:337.95pt;margin-top:40.15pt;width:45.75pt;height:17.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" filled="f" strokecolor="red" strokeweight="3pt"/>
            </w:pict>
          </mc:Fallback>
        </mc:AlternateContent>
      </w:r>
      <w:r w:rsidRPr="00E426C4">
        <w:rPr>
          <w:rFonts w:ascii="Times New Roman" w:hAnsi="Times New Roman" w:cs="Times New Roman"/>
          <w:noProof/>
          <w:kern w:val="2"/>
          <w:lang w:val="es-CO" w:eastAsia="es-CO"/>
          <w14:ligatures w14:val="standardContextual"/>
        </w:rPr>
        <w:drawing>
          <wp:inline distT="0" distB="0" distL="0" distR="0" wp14:anchorId="17CDF7FA" wp14:editId="53AEE9A4">
            <wp:extent cx="5430008" cy="2524477"/>
            <wp:effectExtent l="0" t="0" r="0" b="9525"/>
            <wp:docPr id="10968946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94632" name="Imagen 1096894632"/>
                    <pic:cNvPicPr/>
                  </pic:nvPicPr>
                  <pic:blipFill>
                    <a:blip r:embed="rId66">
                      <a:extLst>
                        <a:ext uri="{28A0092B-C50C-407E-A947-70E740481C1C}">
                          <a14:useLocalDpi xmlns:a14="http://schemas.microsoft.com/office/drawing/2010/main" val="0"/>
                        </a:ext>
                      </a:extLst>
                    </a:blip>
                    <a:stretch>
                      <a:fillRect/>
                    </a:stretch>
                  </pic:blipFill>
                  <pic:spPr>
                    <a:xfrm>
                      <a:off x="0" y="0"/>
                      <a:ext cx="5430008" cy="2524477"/>
                    </a:xfrm>
                    <a:prstGeom prst="rect">
                      <a:avLst/>
                    </a:prstGeom>
                  </pic:spPr>
                </pic:pic>
              </a:graphicData>
            </a:graphic>
          </wp:inline>
        </w:drawing>
      </w:r>
    </w:p>
    <w:p w14:paraId="29F23D04" w14:textId="77777777" w:rsidR="00E426C4" w:rsidRPr="00E426C4" w:rsidRDefault="00E426C4" w:rsidP="00E426C4">
      <w:pPr>
        <w:widowControl/>
        <w:jc w:val="both"/>
        <w:rPr>
          <w:rFonts w:ascii="Times New Roman" w:hAnsi="Times New Roman" w:cs="Times New Roman"/>
          <w:kern w:val="2"/>
          <w:lang w:val="es-CO" w:eastAsia="en-US"/>
          <w14:ligatures w14:val="standardContextual"/>
        </w:rPr>
      </w:pPr>
      <w:r w:rsidRPr="00E426C4">
        <w:rPr>
          <w:rFonts w:ascii="Times New Roman" w:hAnsi="Times New Roman" w:cs="Times New Roman"/>
          <w:kern w:val="2"/>
          <w:lang w:val="es-CO" w:eastAsia="en-US"/>
          <w14:ligatures w14:val="standardContextual"/>
        </w:rPr>
        <w:t xml:space="preserve">https://www.youtube.com/watch?v=0fpvxv0b-L4 </w:t>
      </w:r>
      <w:proofErr w:type="spellStart"/>
      <w:r w:rsidRPr="00E426C4">
        <w:rPr>
          <w:rFonts w:ascii="Times New Roman" w:hAnsi="Times New Roman" w:cs="Times New Roman"/>
          <w:kern w:val="2"/>
          <w:lang w:val="es-CO" w:eastAsia="en-US"/>
          <w14:ligatures w14:val="standardContextual"/>
        </w:rPr>
        <w:t>Mariama</w:t>
      </w:r>
      <w:proofErr w:type="spellEnd"/>
      <w:r w:rsidRPr="00E426C4">
        <w:rPr>
          <w:rFonts w:ascii="Times New Roman" w:hAnsi="Times New Roman" w:cs="Times New Roman"/>
          <w:kern w:val="2"/>
          <w:lang w:val="es-CO" w:eastAsia="en-US"/>
          <w14:ligatures w14:val="standardContextual"/>
        </w:rPr>
        <w:t>, el corto de UNAF contra la mutilación genital femenina</w:t>
      </w:r>
    </w:p>
    <w:p w14:paraId="4D1B849D" w14:textId="77777777" w:rsidR="00E426C4" w:rsidRPr="00E426C4" w:rsidRDefault="00E426C4" w:rsidP="00E426C4">
      <w:pPr>
        <w:widowControl/>
        <w:ind w:left="360"/>
        <w:jc w:val="both"/>
        <w:rPr>
          <w:rFonts w:ascii="Times New Roman" w:hAnsi="Times New Roman" w:cs="Times New Roman"/>
          <w:kern w:val="2"/>
          <w:lang w:val="es-CO" w:eastAsia="en-US"/>
          <w14:ligatures w14:val="standardContextual"/>
        </w:rPr>
      </w:pPr>
    </w:p>
    <w:p w14:paraId="33BB63C9" w14:textId="77777777" w:rsidR="00E426C4" w:rsidRPr="00E426C4" w:rsidRDefault="00E426C4" w:rsidP="00E426C4">
      <w:pPr>
        <w:widowControl/>
        <w:jc w:val="both"/>
        <w:rPr>
          <w:rFonts w:ascii="Times New Roman" w:hAnsi="Times New Roman" w:cs="Times New Roman"/>
          <w:kern w:val="2"/>
          <w:sz w:val="24"/>
          <w:szCs w:val="24"/>
          <w:lang w:val="es-CO" w:eastAsia="en-US"/>
          <w14:ligatures w14:val="standardContextual"/>
        </w:rPr>
      </w:pPr>
      <w:r w:rsidRPr="00E426C4">
        <w:rPr>
          <w:rFonts w:ascii="Times New Roman" w:hAnsi="Times New Roman" w:cs="Times New Roman"/>
          <w:kern w:val="2"/>
          <w:sz w:val="24"/>
          <w:szCs w:val="24"/>
          <w:lang w:val="es-CO" w:eastAsia="en-US"/>
          <w14:ligatures w14:val="standardContextual"/>
        </w:rPr>
        <w:t>Las estadísticas muestran que</w:t>
      </w:r>
      <w:r w:rsidRPr="00E426C4">
        <w:rPr>
          <w:rFonts w:ascii="Times New Roman" w:hAnsi="Times New Roman" w:cs="Times New Roman"/>
          <w:b/>
          <w:bCs/>
          <w:kern w:val="2"/>
          <w:sz w:val="24"/>
          <w:szCs w:val="24"/>
          <w:lang w:val="es-CO" w:eastAsia="en-US"/>
          <w14:ligatures w14:val="standardContextual"/>
        </w:rPr>
        <w:t xml:space="preserve"> </w:t>
      </w:r>
      <w:r w:rsidRPr="00E426C4">
        <w:rPr>
          <w:rFonts w:ascii="Times New Roman" w:hAnsi="Times New Roman" w:cs="Times New Roman"/>
          <w:b/>
          <w:bCs/>
          <w:kern w:val="2"/>
          <w:sz w:val="24"/>
          <w:szCs w:val="24"/>
          <w:u w:val="single"/>
          <w:lang w:val="es-CO" w:eastAsia="en-US"/>
          <w14:ligatures w14:val="standardContextual"/>
        </w:rPr>
        <w:t xml:space="preserve">MÁS DE 86 NIÑAS, ADOLECENTES Y MUJERES QUE SE AUTO RECONOCEN COMO NEGRAS, AFROS, RAIZALES O PALENQUERAS </w:t>
      </w:r>
      <w:r w:rsidRPr="00E426C4">
        <w:rPr>
          <w:rFonts w:ascii="Times New Roman" w:hAnsi="Times New Roman" w:cs="Times New Roman"/>
          <w:kern w:val="2"/>
          <w:sz w:val="24"/>
          <w:szCs w:val="24"/>
          <w:lang w:val="es-CO" w:eastAsia="en-US"/>
          <w14:ligatures w14:val="standardContextual"/>
        </w:rPr>
        <w:t xml:space="preserve">recibieron servicios de salud por afectaciones físicas relacionadas con mutilación genital (diagnósticos relacionados, no confirmados) entre 2009 y 2019, lo cual puede aportar datos a esclarecer un subregistro alrededor del fenómeno en población afro. </w:t>
      </w:r>
    </w:p>
    <w:p w14:paraId="36EFED50" w14:textId="77777777" w:rsidR="00E426C4" w:rsidRPr="00E426C4" w:rsidRDefault="00E426C4" w:rsidP="00E426C4">
      <w:pPr>
        <w:widowControl/>
        <w:jc w:val="both"/>
        <w:rPr>
          <w:rFonts w:ascii="Times New Roman" w:hAnsi="Times New Roman" w:cs="Times New Roman"/>
          <w:b/>
          <w:bCs/>
          <w:kern w:val="2"/>
          <w:sz w:val="24"/>
          <w:szCs w:val="24"/>
          <w:lang w:val="es-CO" w:eastAsia="en-US"/>
          <w14:ligatures w14:val="standardContextual"/>
        </w:rPr>
      </w:pPr>
    </w:p>
    <w:p w14:paraId="2D6FE0FE" w14:textId="77777777" w:rsidR="00E426C4" w:rsidRPr="00E426C4" w:rsidRDefault="00E426C4" w:rsidP="00E426C4">
      <w:pPr>
        <w:widowControl/>
        <w:jc w:val="center"/>
        <w:rPr>
          <w:rFonts w:ascii="Times New Roman" w:hAnsi="Times New Roman" w:cs="Times New Roman"/>
          <w:b/>
          <w:bCs/>
          <w:kern w:val="2"/>
          <w:sz w:val="24"/>
          <w:szCs w:val="24"/>
          <w:lang w:val="es-CO" w:eastAsia="en-US"/>
          <w14:ligatures w14:val="standardContextual"/>
        </w:rPr>
      </w:pPr>
      <w:r w:rsidRPr="00E426C4">
        <w:rPr>
          <w:rFonts w:ascii="Times New Roman" w:hAnsi="Times New Roman" w:cs="Times New Roman"/>
          <w:b/>
          <w:bCs/>
          <w:kern w:val="2"/>
          <w:sz w:val="24"/>
          <w:szCs w:val="24"/>
          <w:lang w:val="es-CO" w:eastAsia="en-US"/>
          <w14:ligatures w14:val="standardContextual"/>
        </w:rPr>
        <w:t>Mutilación genital femenina en personas con discapacidad</w:t>
      </w:r>
    </w:p>
    <w:p w14:paraId="38173C54" w14:textId="77777777" w:rsidR="00E426C4" w:rsidRPr="00E426C4" w:rsidRDefault="00E426C4" w:rsidP="00E426C4">
      <w:pPr>
        <w:widowControl/>
        <w:jc w:val="both"/>
        <w:rPr>
          <w:rFonts w:ascii="Times New Roman" w:hAnsi="Times New Roman" w:cs="Times New Roman"/>
          <w:b/>
          <w:bCs/>
          <w:kern w:val="2"/>
          <w:sz w:val="24"/>
          <w:szCs w:val="24"/>
          <w:lang w:val="es-CO" w:eastAsia="en-US"/>
          <w14:ligatures w14:val="standardContextual"/>
        </w:rPr>
      </w:pPr>
    </w:p>
    <w:p w14:paraId="6E722400" w14:textId="77777777" w:rsidR="00E426C4" w:rsidRPr="00E426C4" w:rsidRDefault="00E426C4" w:rsidP="00E426C4">
      <w:pPr>
        <w:widowControl/>
        <w:jc w:val="both"/>
        <w:rPr>
          <w:rFonts w:ascii="Times New Roman" w:hAnsi="Times New Roman" w:cs="Times New Roman"/>
          <w:kern w:val="2"/>
          <w:sz w:val="24"/>
          <w:szCs w:val="24"/>
          <w:lang w:val="es-CO" w:eastAsia="en-US"/>
          <w14:ligatures w14:val="standardContextual"/>
        </w:rPr>
      </w:pPr>
      <w:r w:rsidRPr="00E426C4">
        <w:rPr>
          <w:rFonts w:ascii="Times New Roman" w:hAnsi="Times New Roman" w:cs="Times New Roman"/>
          <w:kern w:val="2"/>
          <w:sz w:val="24"/>
          <w:szCs w:val="24"/>
          <w:lang w:val="es-CO" w:eastAsia="en-US"/>
          <w14:ligatures w14:val="standardContextual"/>
        </w:rPr>
        <w:t>Aunque tampoco existen datos específicos en Colombia sobre el total de niñas, adolescentes y mujeres con discapacidad en Colombia que han sufrido mutilación genital forzada, este es un factor que debe tenerse en cuenta pues esta población ha sido considerada por la sociedad como asexual o hipersexual, y como personas incapaces de vivir en pareja y ser madres, provocando un control férreo y represivo de sus derechos sexuales y reproductivos. La gestión de la menstruación, la esterilización y la anticoncepción forzosas, la mutilación genital femenina y los abortos coercitivos son tan solo algunos ejemplos de las violaciones de derechos que padecen muchas mujeres y adolescentes con discapacidad, sin dar su consentimiento o sin entender completamente las consecuencias.</w:t>
      </w:r>
    </w:p>
    <w:p w14:paraId="2BDC0AC3" w14:textId="77777777" w:rsidR="00E426C4" w:rsidRPr="00E426C4" w:rsidRDefault="00E426C4" w:rsidP="00E426C4">
      <w:pPr>
        <w:widowControl/>
        <w:jc w:val="both"/>
        <w:rPr>
          <w:rFonts w:ascii="Times New Roman" w:hAnsi="Times New Roman" w:cs="Times New Roman"/>
          <w:b/>
          <w:bCs/>
          <w:kern w:val="2"/>
          <w:sz w:val="24"/>
          <w:szCs w:val="24"/>
          <w:lang w:val="es-CO" w:eastAsia="en-US"/>
          <w14:ligatures w14:val="standardContextual"/>
        </w:rPr>
      </w:pPr>
    </w:p>
    <w:p w14:paraId="3395B0EF" w14:textId="77777777" w:rsidR="00E426C4" w:rsidRPr="00E426C4" w:rsidRDefault="00E426C4" w:rsidP="00E426C4">
      <w:pPr>
        <w:widowControl/>
        <w:jc w:val="both"/>
        <w:rPr>
          <w:rFonts w:ascii="Times New Roman" w:hAnsi="Times New Roman" w:cs="Times New Roman"/>
          <w:b/>
          <w:bCs/>
          <w:kern w:val="2"/>
          <w:sz w:val="20"/>
          <w:szCs w:val="20"/>
          <w:lang w:val="es-CO" w:eastAsia="en-US"/>
          <w14:ligatures w14:val="standardContextual"/>
        </w:rPr>
      </w:pPr>
      <w:r w:rsidRPr="00E426C4">
        <w:rPr>
          <w:rFonts w:ascii="Times New Roman" w:hAnsi="Times New Roman" w:cs="Times New Roman"/>
          <w:b/>
          <w:bCs/>
          <w:kern w:val="2"/>
          <w:sz w:val="20"/>
          <w:szCs w:val="20"/>
          <w:lang w:val="es-CO" w:eastAsia="en-US"/>
          <w14:ligatures w14:val="standardContextual"/>
        </w:rPr>
        <w:t>Referencias</w:t>
      </w:r>
    </w:p>
    <w:p w14:paraId="10B18F5A" w14:textId="77777777" w:rsidR="00E426C4" w:rsidRPr="00E426C4" w:rsidRDefault="00E426C4" w:rsidP="00E426C4">
      <w:pPr>
        <w:widowControl/>
        <w:jc w:val="both"/>
        <w:rPr>
          <w:rFonts w:ascii="Times New Roman" w:hAnsi="Times New Roman" w:cs="Times New Roman"/>
          <w:kern w:val="2"/>
          <w:sz w:val="20"/>
          <w:szCs w:val="20"/>
          <w:lang w:val="es-CO" w:eastAsia="en-US"/>
          <w14:ligatures w14:val="standardContextual"/>
        </w:rPr>
      </w:pPr>
    </w:p>
    <w:p w14:paraId="06D530F6" w14:textId="77777777" w:rsidR="00E426C4" w:rsidRPr="00E426C4" w:rsidRDefault="00E426C4" w:rsidP="00E426C4">
      <w:pPr>
        <w:widowControl/>
        <w:ind w:left="709" w:hanging="709"/>
        <w:jc w:val="both"/>
        <w:rPr>
          <w:rFonts w:ascii="Times New Roman" w:hAnsi="Times New Roman" w:cs="Times New Roman"/>
          <w:kern w:val="2"/>
          <w:sz w:val="20"/>
          <w:szCs w:val="20"/>
          <w:lang w:val="es-CO" w:eastAsia="en-US"/>
          <w14:ligatures w14:val="standardContextual"/>
        </w:rPr>
      </w:pPr>
      <w:r w:rsidRPr="00E426C4">
        <w:rPr>
          <w:rFonts w:ascii="Times New Roman" w:hAnsi="Times New Roman" w:cs="Times New Roman"/>
          <w:kern w:val="2"/>
          <w:sz w:val="20"/>
          <w:szCs w:val="20"/>
          <w:lang w:val="es-CO" w:eastAsia="en-US"/>
          <w14:ligatures w14:val="standardContextual"/>
        </w:rPr>
        <w:t xml:space="preserve">Carmelo, A. (2021). </w:t>
      </w:r>
      <w:r w:rsidRPr="00E426C4">
        <w:rPr>
          <w:rFonts w:ascii="Times New Roman" w:hAnsi="Times New Roman" w:cs="Times New Roman"/>
          <w:i/>
          <w:iCs/>
          <w:kern w:val="2"/>
          <w:sz w:val="20"/>
          <w:szCs w:val="20"/>
          <w:lang w:val="es-CO" w:eastAsia="en-US"/>
          <w14:ligatures w14:val="standardContextual"/>
        </w:rPr>
        <w:t>La penalización de la mutilación genital femenina como forma de protección de los derechos humanos en Sudán</w:t>
      </w:r>
      <w:r w:rsidRPr="00E426C4">
        <w:rPr>
          <w:rFonts w:ascii="Times New Roman" w:hAnsi="Times New Roman" w:cs="Times New Roman"/>
          <w:kern w:val="2"/>
          <w:sz w:val="20"/>
          <w:szCs w:val="20"/>
          <w:lang w:val="es-CO" w:eastAsia="en-US"/>
          <w14:ligatures w14:val="standardContextual"/>
        </w:rPr>
        <w:t xml:space="preserve">. Volumen 4, número 3 año 2021. </w:t>
      </w:r>
      <w:proofErr w:type="spellStart"/>
      <w:r w:rsidRPr="00E426C4">
        <w:rPr>
          <w:rFonts w:ascii="Times New Roman" w:hAnsi="Times New Roman" w:cs="Times New Roman"/>
          <w:kern w:val="2"/>
          <w:sz w:val="20"/>
          <w:szCs w:val="20"/>
          <w:lang w:val="es-CO" w:eastAsia="en-US"/>
          <w14:ligatures w14:val="standardContextual"/>
        </w:rPr>
        <w:t>doi</w:t>
      </w:r>
      <w:proofErr w:type="spellEnd"/>
      <w:r w:rsidRPr="00E426C4">
        <w:rPr>
          <w:rFonts w:ascii="Times New Roman" w:hAnsi="Times New Roman" w:cs="Times New Roman"/>
          <w:kern w:val="2"/>
          <w:sz w:val="20"/>
          <w:szCs w:val="20"/>
          <w:lang w:val="es-CO" w:eastAsia="en-US"/>
          <w14:ligatures w14:val="standardContextual"/>
        </w:rPr>
        <w:t>: 10.32457/</w:t>
      </w:r>
      <w:proofErr w:type="gramStart"/>
      <w:r w:rsidRPr="00E426C4">
        <w:rPr>
          <w:rFonts w:ascii="Times New Roman" w:hAnsi="Times New Roman" w:cs="Times New Roman"/>
          <w:kern w:val="2"/>
          <w:sz w:val="20"/>
          <w:szCs w:val="20"/>
          <w:lang w:val="es-CO" w:eastAsia="en-US"/>
          <w14:ligatures w14:val="standardContextual"/>
        </w:rPr>
        <w:t>rjyd.v</w:t>
      </w:r>
      <w:proofErr w:type="gramEnd"/>
      <w:r w:rsidRPr="00E426C4">
        <w:rPr>
          <w:rFonts w:ascii="Times New Roman" w:hAnsi="Times New Roman" w:cs="Times New Roman"/>
          <w:kern w:val="2"/>
          <w:sz w:val="20"/>
          <w:szCs w:val="20"/>
          <w:lang w:val="es-CO" w:eastAsia="en-US"/>
          <w14:ligatures w14:val="standardContextual"/>
        </w:rPr>
        <w:t>4i4.485</w:t>
      </w:r>
    </w:p>
    <w:p w14:paraId="3BC408DC" w14:textId="77777777" w:rsidR="00E426C4" w:rsidRPr="00E426C4" w:rsidRDefault="00E426C4" w:rsidP="00E426C4">
      <w:pPr>
        <w:widowControl/>
        <w:ind w:left="709" w:hanging="709"/>
        <w:jc w:val="both"/>
        <w:rPr>
          <w:rFonts w:ascii="Times New Roman" w:hAnsi="Times New Roman" w:cs="Times New Roman"/>
          <w:kern w:val="2"/>
          <w:sz w:val="20"/>
          <w:szCs w:val="20"/>
          <w:lang w:val="es-CO" w:eastAsia="en-US"/>
          <w14:ligatures w14:val="standardContextual"/>
        </w:rPr>
      </w:pPr>
      <w:r w:rsidRPr="00E426C4">
        <w:rPr>
          <w:rFonts w:ascii="Times New Roman" w:hAnsi="Times New Roman" w:cs="Times New Roman"/>
          <w:kern w:val="2"/>
          <w:sz w:val="20"/>
          <w:szCs w:val="20"/>
          <w:lang w:val="es-CO" w:eastAsia="en-US"/>
          <w14:ligatures w14:val="standardContextual"/>
        </w:rPr>
        <w:t xml:space="preserve">Leguizamón, A; y Becerra, L. (22 de agosto de 2022). Allí está oculto un relato de olvido y silencio. Cuerpos en silencio El Tiempo. https://eltiempo.com/justicia/investigacion/mutilacion-genital-femenina-colombia-la-vida-de-indigenas-embera-527072 </w:t>
      </w:r>
    </w:p>
    <w:p w14:paraId="6A94C24D" w14:textId="77777777" w:rsidR="00E426C4" w:rsidRPr="00E426C4" w:rsidRDefault="00E426C4" w:rsidP="00E426C4">
      <w:pPr>
        <w:widowControl/>
        <w:ind w:left="709" w:hanging="709"/>
        <w:jc w:val="both"/>
        <w:rPr>
          <w:rFonts w:ascii="Times New Roman" w:hAnsi="Times New Roman" w:cs="Times New Roman"/>
          <w:kern w:val="2"/>
          <w:sz w:val="20"/>
          <w:szCs w:val="20"/>
          <w:lang w:val="es-CO" w:eastAsia="en-US"/>
          <w14:ligatures w14:val="standardContextual"/>
        </w:rPr>
      </w:pPr>
      <w:proofErr w:type="spellStart"/>
      <w:r w:rsidRPr="00E426C4">
        <w:rPr>
          <w:rFonts w:ascii="Times New Roman" w:hAnsi="Times New Roman" w:cs="Times New Roman"/>
          <w:kern w:val="2"/>
          <w:sz w:val="20"/>
          <w:szCs w:val="20"/>
          <w:lang w:val="es-CO" w:eastAsia="en-US"/>
          <w14:ligatures w14:val="standardContextual"/>
        </w:rPr>
        <w:t>Cosoy</w:t>
      </w:r>
      <w:proofErr w:type="spellEnd"/>
      <w:r w:rsidRPr="00E426C4">
        <w:rPr>
          <w:rFonts w:ascii="Times New Roman" w:hAnsi="Times New Roman" w:cs="Times New Roman"/>
          <w:kern w:val="2"/>
          <w:sz w:val="20"/>
          <w:szCs w:val="20"/>
          <w:lang w:val="es-CO" w:eastAsia="en-US"/>
          <w14:ligatures w14:val="standardContextual"/>
        </w:rPr>
        <w:t xml:space="preserve">, N. (14 de julio de 2016). </w:t>
      </w:r>
      <w:r w:rsidRPr="00E426C4">
        <w:rPr>
          <w:rFonts w:ascii="Times New Roman" w:hAnsi="Times New Roman" w:cs="Times New Roman"/>
          <w:i/>
          <w:iCs/>
          <w:kern w:val="2"/>
          <w:sz w:val="20"/>
          <w:szCs w:val="20"/>
          <w:lang w:val="es-CO" w:eastAsia="en-US"/>
          <w14:ligatures w14:val="standardContextual"/>
        </w:rPr>
        <w:t>El silencioso problema de la mutilación genital femenina en Colombia</w:t>
      </w:r>
      <w:r w:rsidRPr="00E426C4">
        <w:rPr>
          <w:rFonts w:ascii="Times New Roman" w:hAnsi="Times New Roman" w:cs="Times New Roman"/>
          <w:kern w:val="2"/>
          <w:sz w:val="20"/>
          <w:szCs w:val="20"/>
          <w:lang w:val="es-CO" w:eastAsia="en-US"/>
          <w14:ligatures w14:val="standardContextual"/>
        </w:rPr>
        <w:t>. BBC y Semana.  https://www.semana.com/nacion/articulo/mutilacion-genital-femenina-en-colombia/481851/</w:t>
      </w:r>
    </w:p>
    <w:p w14:paraId="67EEF0C4" w14:textId="77777777" w:rsidR="00E426C4" w:rsidRPr="00E426C4" w:rsidRDefault="00E426C4" w:rsidP="00E426C4">
      <w:pPr>
        <w:widowControl/>
        <w:ind w:left="709" w:hanging="709"/>
        <w:jc w:val="both"/>
        <w:rPr>
          <w:rFonts w:ascii="Times New Roman" w:hAnsi="Times New Roman" w:cs="Times New Roman"/>
          <w:kern w:val="2"/>
          <w:sz w:val="20"/>
          <w:szCs w:val="20"/>
          <w:lang w:val="es-CO" w:eastAsia="en-US"/>
          <w14:ligatures w14:val="standardContextual"/>
        </w:rPr>
      </w:pPr>
      <w:r w:rsidRPr="00E426C4">
        <w:rPr>
          <w:rFonts w:ascii="Times New Roman" w:hAnsi="Times New Roman" w:cs="Times New Roman"/>
          <w:kern w:val="2"/>
          <w:sz w:val="20"/>
          <w:szCs w:val="20"/>
          <w:lang w:val="es-CO" w:eastAsia="en-US"/>
          <w14:ligatures w14:val="standardContextual"/>
        </w:rPr>
        <w:lastRenderedPageBreak/>
        <w:t xml:space="preserve">UNFPA. (6 de febrero de 2023). </w:t>
      </w:r>
      <w:r w:rsidRPr="00E426C4">
        <w:rPr>
          <w:rFonts w:ascii="Times New Roman" w:hAnsi="Times New Roman" w:cs="Times New Roman"/>
          <w:i/>
          <w:iCs/>
          <w:kern w:val="2"/>
          <w:sz w:val="20"/>
          <w:szCs w:val="20"/>
          <w:lang w:val="es-CO" w:eastAsia="en-US"/>
          <w14:ligatures w14:val="standardContextual"/>
        </w:rPr>
        <w:t>Día Internacional de Tolerancia Cero con la Mutilación Genital Femenina</w:t>
      </w:r>
      <w:r w:rsidRPr="00E426C4">
        <w:rPr>
          <w:rFonts w:ascii="Times New Roman" w:hAnsi="Times New Roman" w:cs="Times New Roman"/>
          <w:kern w:val="2"/>
          <w:sz w:val="20"/>
          <w:szCs w:val="20"/>
          <w:lang w:val="es-CO" w:eastAsia="en-US"/>
          <w14:ligatures w14:val="standardContextual"/>
        </w:rPr>
        <w:t>. https://colombia.unfpa.org/es/news/dia-internacional-de-tolerancia-cero-con-la-mutilacion-genital-femenina-2023#:~:text=En%20Colombia%2C%20es%20una%20pr%C3%A1ctica,por%20fuera%20de%20contextos%20%C3%A9tnicos</w:t>
      </w:r>
    </w:p>
    <w:p w14:paraId="54978584" w14:textId="77777777" w:rsidR="00E426C4" w:rsidRPr="00E426C4" w:rsidRDefault="00E426C4" w:rsidP="00E426C4">
      <w:pPr>
        <w:widowControl/>
        <w:ind w:left="709" w:hanging="709"/>
        <w:jc w:val="both"/>
        <w:rPr>
          <w:rFonts w:ascii="Times New Roman" w:hAnsi="Times New Roman" w:cs="Times New Roman"/>
          <w:kern w:val="2"/>
          <w:sz w:val="20"/>
          <w:szCs w:val="20"/>
          <w:lang w:val="es-CO" w:eastAsia="en-US"/>
          <w14:ligatures w14:val="standardContextual"/>
        </w:rPr>
      </w:pPr>
      <w:r w:rsidRPr="00E426C4">
        <w:rPr>
          <w:rFonts w:ascii="Times New Roman" w:hAnsi="Times New Roman" w:cs="Times New Roman"/>
          <w:kern w:val="2"/>
          <w:sz w:val="20"/>
          <w:szCs w:val="20"/>
          <w:lang w:val="es-CO" w:eastAsia="en-US"/>
          <w14:ligatures w14:val="standardContextual"/>
        </w:rPr>
        <w:t xml:space="preserve">Sociedad Colombiana de Pediatría. (s.f.). </w:t>
      </w:r>
      <w:r w:rsidRPr="00E426C4">
        <w:rPr>
          <w:rFonts w:ascii="Times New Roman" w:hAnsi="Times New Roman" w:cs="Times New Roman"/>
          <w:i/>
          <w:iCs/>
          <w:kern w:val="2"/>
          <w:sz w:val="20"/>
          <w:szCs w:val="20"/>
          <w:lang w:val="es-CO" w:eastAsia="en-US"/>
          <w14:ligatures w14:val="standardContextual"/>
        </w:rPr>
        <w:t>La mutilación genital también se practica en Colombia</w:t>
      </w:r>
      <w:r w:rsidRPr="00E426C4">
        <w:rPr>
          <w:rFonts w:ascii="Times New Roman" w:hAnsi="Times New Roman" w:cs="Times New Roman"/>
          <w:kern w:val="2"/>
          <w:sz w:val="20"/>
          <w:szCs w:val="20"/>
          <w:lang w:val="es-CO" w:eastAsia="en-US"/>
          <w14:ligatures w14:val="standardContextual"/>
        </w:rPr>
        <w:t>. https://scp.com.co/la-mutilacion-genital-tambien-se-practica-en-colombia/</w:t>
      </w:r>
    </w:p>
    <w:p w14:paraId="53E9EB86" w14:textId="77777777" w:rsidR="00E426C4" w:rsidRPr="00E426C4" w:rsidRDefault="00E426C4" w:rsidP="00E426C4">
      <w:pPr>
        <w:widowControl/>
        <w:ind w:left="709" w:hanging="709"/>
        <w:jc w:val="both"/>
        <w:rPr>
          <w:rFonts w:ascii="Times New Roman" w:hAnsi="Times New Roman" w:cs="Times New Roman"/>
          <w:kern w:val="2"/>
          <w:sz w:val="20"/>
          <w:szCs w:val="20"/>
          <w:lang w:val="es-CO" w:eastAsia="en-US"/>
          <w14:ligatures w14:val="standardContextual"/>
        </w:rPr>
      </w:pPr>
      <w:r w:rsidRPr="00E426C4">
        <w:rPr>
          <w:rFonts w:ascii="Times New Roman" w:hAnsi="Times New Roman" w:cs="Times New Roman"/>
          <w:kern w:val="2"/>
          <w:sz w:val="20"/>
          <w:szCs w:val="20"/>
          <w:lang w:val="es-CO" w:eastAsia="en-US"/>
          <w14:ligatures w14:val="standardContextual"/>
        </w:rPr>
        <w:t xml:space="preserve">Gallo, H. (14 de agosto de 2022). </w:t>
      </w:r>
      <w:r w:rsidRPr="00E426C4">
        <w:rPr>
          <w:rFonts w:ascii="Times New Roman" w:hAnsi="Times New Roman" w:cs="Times New Roman"/>
          <w:i/>
          <w:iCs/>
          <w:kern w:val="2"/>
          <w:sz w:val="20"/>
          <w:szCs w:val="20"/>
          <w:lang w:val="es-CO" w:eastAsia="en-US"/>
          <w14:ligatures w14:val="standardContextual"/>
        </w:rPr>
        <w:t>Mutilación genital femenina en Colombia: Infobae investigó qué pasa con esta práctica en el país</w:t>
      </w:r>
      <w:r w:rsidRPr="00E426C4">
        <w:rPr>
          <w:rFonts w:ascii="Times New Roman" w:hAnsi="Times New Roman" w:cs="Times New Roman"/>
          <w:kern w:val="2"/>
          <w:sz w:val="20"/>
          <w:szCs w:val="20"/>
          <w:lang w:val="es-CO" w:eastAsia="en-US"/>
          <w14:ligatures w14:val="standardContextual"/>
        </w:rPr>
        <w:t>. INFOBAE. https://www.infobae.com/america/colombia/2022/08/14/mutilacion-genital-femenina-en-colombia-infobae-investigo-que-pasa-con-esta-practica-en-el-pais/</w:t>
      </w:r>
    </w:p>
    <w:p w14:paraId="4FFD53F6" w14:textId="198F04B0" w:rsidR="00E426C4" w:rsidRDefault="00E426C4" w:rsidP="00E426C4">
      <w:pPr>
        <w:widowControl/>
        <w:ind w:left="709" w:hanging="709"/>
        <w:jc w:val="both"/>
        <w:rPr>
          <w:rFonts w:ascii="Times New Roman" w:hAnsi="Times New Roman" w:cs="Times New Roman"/>
          <w:kern w:val="2"/>
          <w:sz w:val="20"/>
          <w:szCs w:val="20"/>
          <w:lang w:val="es-CO" w:eastAsia="en-US"/>
          <w14:ligatures w14:val="standardContextual"/>
        </w:rPr>
      </w:pPr>
      <w:r w:rsidRPr="00E426C4">
        <w:rPr>
          <w:rFonts w:ascii="Times New Roman" w:hAnsi="Times New Roman" w:cs="Times New Roman"/>
          <w:kern w:val="2"/>
          <w:sz w:val="20"/>
          <w:szCs w:val="20"/>
          <w:lang w:val="es-CO" w:eastAsia="en-US"/>
          <w14:ligatures w14:val="standardContextual"/>
        </w:rPr>
        <w:t xml:space="preserve">Conferencia Nacional de Organizaciones Afrocolombianas. (s.f.). </w:t>
      </w:r>
      <w:r w:rsidRPr="00E426C4">
        <w:rPr>
          <w:rFonts w:ascii="Times New Roman" w:hAnsi="Times New Roman" w:cs="Times New Roman"/>
          <w:i/>
          <w:iCs/>
          <w:kern w:val="2"/>
          <w:sz w:val="20"/>
          <w:szCs w:val="20"/>
          <w:lang w:val="es-CO" w:eastAsia="en-US"/>
          <w14:ligatures w14:val="standardContextual"/>
        </w:rPr>
        <w:t>Día internacional de la tolerancia cero con la mutilación genital femenina</w:t>
      </w:r>
      <w:r w:rsidRPr="00E426C4">
        <w:rPr>
          <w:rFonts w:ascii="Times New Roman" w:hAnsi="Times New Roman" w:cs="Times New Roman"/>
          <w:kern w:val="2"/>
          <w:sz w:val="20"/>
          <w:szCs w:val="20"/>
          <w:lang w:val="es-CO" w:eastAsia="en-US"/>
          <w14:ligatures w14:val="standardContextual"/>
        </w:rPr>
        <w:t xml:space="preserve">. </w:t>
      </w:r>
      <w:hyperlink r:id="rId67" w:history="1">
        <w:r w:rsidR="00D52C7D" w:rsidRPr="00E426C4">
          <w:rPr>
            <w:rStyle w:val="Hipervnculo"/>
            <w:rFonts w:ascii="Times New Roman" w:hAnsi="Times New Roman" w:cs="Times New Roman"/>
            <w:kern w:val="2"/>
            <w:sz w:val="20"/>
            <w:szCs w:val="20"/>
            <w:lang w:val="es-CO" w:eastAsia="en-US"/>
            <w14:ligatures w14:val="standardContextual"/>
          </w:rPr>
          <w:t>https://colombia.unfpa.org/sites/default/files/pub-pdf/css_burkina_faso_resumen_de_actividades_y_logros.pdf</w:t>
        </w:r>
      </w:hyperlink>
    </w:p>
    <w:p w14:paraId="3C9D89F7" w14:textId="1EB38A43" w:rsidR="00D52C7D" w:rsidRDefault="00D52C7D" w:rsidP="00E426C4">
      <w:pPr>
        <w:widowControl/>
        <w:ind w:left="709" w:hanging="709"/>
        <w:jc w:val="both"/>
        <w:rPr>
          <w:rFonts w:ascii="Times New Roman" w:hAnsi="Times New Roman" w:cs="Times New Roman"/>
          <w:kern w:val="2"/>
          <w:sz w:val="20"/>
          <w:szCs w:val="20"/>
          <w:lang w:val="es-CO" w:eastAsia="en-US"/>
          <w14:ligatures w14:val="standardContextual"/>
        </w:rPr>
      </w:pPr>
    </w:p>
    <w:p w14:paraId="68CBFA43" w14:textId="744CD8F1" w:rsidR="00D52C7D" w:rsidRDefault="00D52C7D" w:rsidP="00E426C4">
      <w:pPr>
        <w:widowControl/>
        <w:ind w:left="709" w:hanging="709"/>
        <w:jc w:val="both"/>
        <w:rPr>
          <w:rFonts w:ascii="Times New Roman" w:hAnsi="Times New Roman" w:cs="Times New Roman"/>
          <w:kern w:val="2"/>
          <w:sz w:val="20"/>
          <w:szCs w:val="20"/>
          <w:lang w:val="es-CO" w:eastAsia="en-US"/>
          <w14:ligatures w14:val="standardContextual"/>
        </w:rPr>
      </w:pPr>
    </w:p>
    <w:p w14:paraId="432B9860" w14:textId="6EB6C676" w:rsidR="00D52C7D" w:rsidRPr="00D813BD" w:rsidRDefault="00D52C7D" w:rsidP="00D52C7D">
      <w:pPr>
        <w:pStyle w:val="Prrafodelista"/>
        <w:widowControl/>
        <w:numPr>
          <w:ilvl w:val="0"/>
          <w:numId w:val="1"/>
        </w:numPr>
        <w:jc w:val="both"/>
        <w:rPr>
          <w:rFonts w:ascii="Times New Roman" w:hAnsi="Times New Roman" w:cs="Times New Roman"/>
          <w:b/>
          <w:bCs/>
          <w:kern w:val="2"/>
          <w:lang w:val="es-CO" w:eastAsia="en-US"/>
          <w14:ligatures w14:val="standardContextual"/>
        </w:rPr>
      </w:pPr>
      <w:r w:rsidRPr="00D813BD">
        <w:rPr>
          <w:rFonts w:ascii="Times New Roman" w:hAnsi="Times New Roman" w:cs="Times New Roman"/>
          <w:b/>
          <w:bCs/>
          <w:kern w:val="2"/>
          <w:lang w:val="es-CO" w:eastAsia="en-US"/>
          <w14:ligatures w14:val="standardContextual"/>
        </w:rPr>
        <w:t>LA MUTILACIÓN GENITAL DE NIÑAS EN LOS MEDIOS DE COMUNICACIÓN</w:t>
      </w:r>
    </w:p>
    <w:p w14:paraId="5441D853" w14:textId="7D14BB65" w:rsidR="00D52C7D" w:rsidRDefault="00D52C7D" w:rsidP="00E426C4">
      <w:pPr>
        <w:widowControl/>
        <w:ind w:left="709" w:hanging="709"/>
        <w:jc w:val="both"/>
        <w:rPr>
          <w:rFonts w:ascii="Times New Roman" w:hAnsi="Times New Roman" w:cs="Times New Roman"/>
          <w:kern w:val="2"/>
          <w:sz w:val="20"/>
          <w:szCs w:val="20"/>
          <w:lang w:val="es-CO" w:eastAsia="en-US"/>
          <w14:ligatures w14:val="standardContextual"/>
        </w:rPr>
      </w:pPr>
    </w:p>
    <w:p w14:paraId="1F660A54" w14:textId="28A6FD14" w:rsidR="00D52C7D" w:rsidRDefault="00D52C7D" w:rsidP="00E426C4">
      <w:pPr>
        <w:widowControl/>
        <w:ind w:left="709" w:hanging="709"/>
        <w:jc w:val="both"/>
        <w:rPr>
          <w:rFonts w:ascii="Times New Roman" w:hAnsi="Times New Roman" w:cs="Times New Roman"/>
          <w:kern w:val="2"/>
          <w:sz w:val="20"/>
          <w:szCs w:val="20"/>
          <w:lang w:val="es-CO" w:eastAsia="en-US"/>
          <w14:ligatures w14:val="standardContextual"/>
        </w:rPr>
      </w:pPr>
    </w:p>
    <w:p w14:paraId="4CA7DEA2" w14:textId="33A3D493" w:rsidR="00D52C7D" w:rsidRPr="00D52C7D" w:rsidRDefault="00D52C7D" w:rsidP="00D813BD">
      <w:pPr>
        <w:widowControl/>
        <w:shd w:val="clear" w:color="auto" w:fill="FFFFFF"/>
        <w:jc w:val="both"/>
        <w:outlineLvl w:val="0"/>
        <w:rPr>
          <w:rFonts w:ascii="Times New Roman" w:eastAsia="Times New Roman" w:hAnsi="Times New Roman" w:cs="Times New Roman"/>
          <w:b/>
          <w:bCs/>
          <w:i/>
          <w:iCs/>
          <w:color w:val="111111"/>
          <w:kern w:val="36"/>
          <w:sz w:val="28"/>
          <w:szCs w:val="28"/>
          <w:lang w:val="es-CO" w:eastAsia="es-CO"/>
        </w:rPr>
      </w:pPr>
      <w:r>
        <w:rPr>
          <w:rFonts w:ascii="Times New Roman" w:eastAsia="Times New Roman" w:hAnsi="Times New Roman" w:cs="Times New Roman"/>
          <w:b/>
          <w:bCs/>
          <w:i/>
          <w:iCs/>
          <w:color w:val="111111"/>
          <w:kern w:val="36"/>
          <w:sz w:val="28"/>
          <w:szCs w:val="28"/>
          <w:lang w:val="es-CO" w:eastAsia="es-CO"/>
        </w:rPr>
        <w:t>“</w:t>
      </w:r>
      <w:r w:rsidRPr="00D52C7D">
        <w:rPr>
          <w:rFonts w:ascii="Times New Roman" w:eastAsia="Times New Roman" w:hAnsi="Times New Roman" w:cs="Times New Roman"/>
          <w:b/>
          <w:bCs/>
          <w:i/>
          <w:iCs/>
          <w:color w:val="111111"/>
          <w:kern w:val="36"/>
          <w:sz w:val="28"/>
          <w:szCs w:val="28"/>
          <w:lang w:val="es-CO" w:eastAsia="es-CO"/>
        </w:rPr>
        <w:t>Una niña de 13 años y otra de 23 días, víctimas de mutilación genital en Bogotá</w:t>
      </w:r>
      <w:r>
        <w:rPr>
          <w:rFonts w:ascii="Times New Roman" w:eastAsia="Times New Roman" w:hAnsi="Times New Roman" w:cs="Times New Roman"/>
          <w:b/>
          <w:bCs/>
          <w:i/>
          <w:iCs/>
          <w:color w:val="111111"/>
          <w:kern w:val="36"/>
          <w:sz w:val="28"/>
          <w:szCs w:val="28"/>
          <w:lang w:val="es-CO" w:eastAsia="es-CO"/>
        </w:rPr>
        <w:t>”</w:t>
      </w:r>
      <w:r>
        <w:rPr>
          <w:rStyle w:val="Refdenotaalpie"/>
          <w:rFonts w:ascii="Times New Roman" w:eastAsia="Times New Roman" w:hAnsi="Times New Roman" w:cs="Times New Roman"/>
          <w:b/>
          <w:bCs/>
          <w:i/>
          <w:iCs/>
          <w:color w:val="111111"/>
          <w:kern w:val="36"/>
          <w:sz w:val="28"/>
          <w:szCs w:val="28"/>
          <w:lang w:val="es-CO" w:eastAsia="es-CO"/>
        </w:rPr>
        <w:footnoteReference w:id="8"/>
      </w:r>
    </w:p>
    <w:p w14:paraId="2947A376" w14:textId="3C56AC60" w:rsidR="00D52C7D" w:rsidRDefault="00D52C7D" w:rsidP="00E426C4">
      <w:pPr>
        <w:widowControl/>
        <w:ind w:left="709" w:hanging="709"/>
        <w:jc w:val="both"/>
        <w:rPr>
          <w:rFonts w:ascii="Times New Roman" w:hAnsi="Times New Roman" w:cs="Times New Roman"/>
          <w:kern w:val="2"/>
          <w:sz w:val="20"/>
          <w:szCs w:val="20"/>
          <w:lang w:val="es-CO" w:eastAsia="en-US"/>
          <w14:ligatures w14:val="standardContextual"/>
        </w:rPr>
      </w:pPr>
    </w:p>
    <w:p w14:paraId="641FB5CA" w14:textId="3DAB8643" w:rsidR="00D52C7D" w:rsidRPr="00293C7E" w:rsidRDefault="00D52C7D" w:rsidP="00E426C4">
      <w:pPr>
        <w:widowControl/>
        <w:ind w:left="709" w:hanging="709"/>
        <w:jc w:val="both"/>
        <w:rPr>
          <w:rFonts w:ascii="Times New Roman" w:hAnsi="Times New Roman" w:cs="Times New Roman"/>
          <w:i/>
          <w:iCs/>
          <w:kern w:val="2"/>
          <w:lang w:val="es-CO" w:eastAsia="en-US"/>
          <w14:ligatures w14:val="standardContextual"/>
        </w:rPr>
      </w:pPr>
      <w:r w:rsidRPr="00293C7E">
        <w:rPr>
          <w:rFonts w:ascii="Times New Roman" w:hAnsi="Times New Roman" w:cs="Times New Roman"/>
          <w:i/>
          <w:iCs/>
          <w:kern w:val="2"/>
          <w:lang w:eastAsia="en-US"/>
          <w14:ligatures w14:val="standardContextual"/>
        </w:rPr>
        <w:t>Al menos dos niñas indígenas han sido víctimas de la </w:t>
      </w:r>
      <w:hyperlink r:id="rId68" w:history="1">
        <w:r w:rsidRPr="00293C7E">
          <w:rPr>
            <w:rStyle w:val="Hipervnculo"/>
            <w:rFonts w:ascii="Times New Roman" w:hAnsi="Times New Roman" w:cs="Times New Roman"/>
            <w:i/>
            <w:iCs/>
            <w:color w:val="auto"/>
            <w:kern w:val="2"/>
            <w:lang w:eastAsia="en-US"/>
            <w14:ligatures w14:val="standardContextual"/>
          </w:rPr>
          <w:t>mutilación genital femenina</w:t>
        </w:r>
      </w:hyperlink>
      <w:r w:rsidRPr="00293C7E">
        <w:rPr>
          <w:rFonts w:ascii="Times New Roman" w:hAnsi="Times New Roman" w:cs="Times New Roman"/>
          <w:i/>
          <w:iCs/>
          <w:kern w:val="2"/>
          <w:lang w:eastAsia="en-US"/>
          <w14:ligatures w14:val="standardContextual"/>
        </w:rPr>
        <w:t xml:space="preserve"> en lo que va del año en Bogotá. Una de ellas tiene 13 años y la otra apenas 23 días de vida al momento de sufrir la práctica. De acuerdo con la información compartida por la Secretaría de Salud de la capital colombiana, ambos casos fueron reportados porque presentaron dificultades médicas y tuvieron que ser asistidas con urgencia en centros de salud, por riesgos de anemia e incluso muerte. La entidad estima que en 2023 hubo 90 casos en Colombia, el único país de América Latina en el que se practica la ablación. Activistas </w:t>
      </w:r>
      <w:proofErr w:type="spellStart"/>
      <w:r w:rsidRPr="00293C7E">
        <w:rPr>
          <w:rFonts w:ascii="Times New Roman" w:hAnsi="Times New Roman" w:cs="Times New Roman"/>
          <w:i/>
          <w:iCs/>
          <w:kern w:val="2"/>
          <w:lang w:eastAsia="en-US"/>
          <w14:ligatures w14:val="standardContextual"/>
        </w:rPr>
        <w:t>embera</w:t>
      </w:r>
      <w:proofErr w:type="spellEnd"/>
      <w:r w:rsidRPr="00293C7E">
        <w:rPr>
          <w:rFonts w:ascii="Times New Roman" w:hAnsi="Times New Roman" w:cs="Times New Roman"/>
          <w:i/>
          <w:iCs/>
          <w:kern w:val="2"/>
          <w:lang w:eastAsia="en-US"/>
          <w14:ligatures w14:val="standardContextual"/>
        </w:rPr>
        <w:t xml:space="preserve">, como Arelis Cortés, lamentan el “enorme </w:t>
      </w:r>
      <w:proofErr w:type="spellStart"/>
      <w:r w:rsidRPr="00293C7E">
        <w:rPr>
          <w:rFonts w:ascii="Times New Roman" w:hAnsi="Times New Roman" w:cs="Times New Roman"/>
          <w:i/>
          <w:iCs/>
          <w:kern w:val="2"/>
          <w:lang w:eastAsia="en-US"/>
          <w14:ligatures w14:val="standardContextual"/>
        </w:rPr>
        <w:t>subrregistro</w:t>
      </w:r>
      <w:proofErr w:type="spellEnd"/>
      <w:r w:rsidRPr="00293C7E">
        <w:rPr>
          <w:rFonts w:ascii="Times New Roman" w:hAnsi="Times New Roman" w:cs="Times New Roman"/>
          <w:i/>
          <w:iCs/>
          <w:kern w:val="2"/>
          <w:lang w:eastAsia="en-US"/>
          <w14:ligatures w14:val="standardContextual"/>
        </w:rPr>
        <w:t>” y la pasividad del Gobierno: “Es una deuda del país con las niñas indígenas”.</w:t>
      </w:r>
    </w:p>
    <w:p w14:paraId="74EA8DD2" w14:textId="44F8C0A7" w:rsidR="00D52C7D" w:rsidRDefault="00D52C7D" w:rsidP="00E426C4">
      <w:pPr>
        <w:widowControl/>
        <w:ind w:left="709" w:hanging="709"/>
        <w:jc w:val="both"/>
        <w:rPr>
          <w:rFonts w:ascii="Times New Roman" w:hAnsi="Times New Roman" w:cs="Times New Roman"/>
          <w:kern w:val="2"/>
          <w:sz w:val="20"/>
          <w:szCs w:val="20"/>
          <w:lang w:val="es-CO" w:eastAsia="en-US"/>
          <w14:ligatures w14:val="standardContextual"/>
        </w:rPr>
      </w:pPr>
    </w:p>
    <w:p w14:paraId="712DC48E" w14:textId="08D30695" w:rsidR="00293C7E" w:rsidRPr="00293C7E" w:rsidRDefault="00293C7E" w:rsidP="00293C7E">
      <w:pPr>
        <w:widowControl/>
        <w:ind w:left="709" w:hanging="709"/>
        <w:jc w:val="both"/>
        <w:rPr>
          <w:rFonts w:ascii="Times New Roman" w:hAnsi="Times New Roman" w:cs="Times New Roman"/>
          <w:b/>
          <w:bCs/>
          <w:i/>
          <w:iCs/>
          <w:kern w:val="2"/>
          <w:sz w:val="28"/>
          <w:szCs w:val="28"/>
          <w:lang w:val="es-CO" w:eastAsia="en-US"/>
          <w14:ligatures w14:val="standardContextual"/>
        </w:rPr>
      </w:pPr>
      <w:r w:rsidRPr="00293C7E">
        <w:rPr>
          <w:rFonts w:ascii="Times New Roman" w:hAnsi="Times New Roman" w:cs="Times New Roman"/>
          <w:b/>
          <w:bCs/>
          <w:i/>
          <w:iCs/>
          <w:kern w:val="2"/>
          <w:sz w:val="28"/>
          <w:szCs w:val="28"/>
          <w:lang w:val="es-CO" w:eastAsia="en-US"/>
          <w14:ligatures w14:val="standardContextual"/>
        </w:rPr>
        <w:t>“Mutilación genital femenina en Colombia: Infobae investigó qué pasa con esta práctica en el país”</w:t>
      </w:r>
      <w:r w:rsidRPr="00293C7E">
        <w:rPr>
          <w:rStyle w:val="Refdenotaalpie"/>
          <w:rFonts w:ascii="Times New Roman" w:hAnsi="Times New Roman" w:cs="Times New Roman"/>
          <w:b/>
          <w:bCs/>
          <w:i/>
          <w:iCs/>
          <w:kern w:val="2"/>
          <w:sz w:val="28"/>
          <w:szCs w:val="28"/>
          <w:lang w:val="es-CO" w:eastAsia="en-US"/>
          <w14:ligatures w14:val="standardContextual"/>
        </w:rPr>
        <w:footnoteReference w:id="9"/>
      </w:r>
    </w:p>
    <w:p w14:paraId="3A2B3E51" w14:textId="77777777" w:rsidR="00293C7E" w:rsidRPr="00293C7E" w:rsidRDefault="00293C7E" w:rsidP="00293C7E">
      <w:pPr>
        <w:widowControl/>
        <w:ind w:left="709" w:hanging="709"/>
        <w:jc w:val="both"/>
        <w:rPr>
          <w:rFonts w:ascii="Times New Roman" w:hAnsi="Times New Roman" w:cs="Times New Roman"/>
          <w:i/>
          <w:iCs/>
          <w:kern w:val="2"/>
          <w:lang w:val="es-CO" w:eastAsia="en-US"/>
          <w14:ligatures w14:val="standardContextual"/>
        </w:rPr>
      </w:pPr>
    </w:p>
    <w:p w14:paraId="03DA72BA" w14:textId="4D2C5E52" w:rsidR="00293C7E" w:rsidRPr="00293C7E" w:rsidRDefault="00293C7E" w:rsidP="00293C7E">
      <w:pPr>
        <w:widowControl/>
        <w:ind w:left="709" w:hanging="709"/>
        <w:jc w:val="both"/>
        <w:rPr>
          <w:rFonts w:ascii="Times New Roman" w:hAnsi="Times New Roman" w:cs="Times New Roman"/>
          <w:i/>
          <w:iCs/>
          <w:kern w:val="2"/>
          <w:lang w:val="es-CO" w:eastAsia="en-US"/>
          <w14:ligatures w14:val="standardContextual"/>
        </w:rPr>
      </w:pPr>
      <w:r w:rsidRPr="00293C7E">
        <w:rPr>
          <w:rFonts w:ascii="Times New Roman" w:hAnsi="Times New Roman" w:cs="Times New Roman"/>
          <w:i/>
          <w:iCs/>
          <w:kern w:val="2"/>
          <w:lang w:val="es-CO" w:eastAsia="en-US"/>
          <w14:ligatures w14:val="standardContextual"/>
        </w:rPr>
        <w:t>También conocida como ‘corte de callo’ o ‘ablación femenina’, este procedimiento ha sido una incógnita en el territorio nacional durante años. Infobae Colombia presenta el panorama de lo que ocurre actualmente en las comunidades indígenas.</w:t>
      </w:r>
    </w:p>
    <w:p w14:paraId="1603AABD" w14:textId="25B9CB36" w:rsidR="00D52C7D" w:rsidRPr="00D813BD" w:rsidRDefault="00D52C7D" w:rsidP="00E426C4">
      <w:pPr>
        <w:widowControl/>
        <w:ind w:left="709" w:hanging="709"/>
        <w:jc w:val="both"/>
        <w:rPr>
          <w:rFonts w:ascii="Times New Roman" w:hAnsi="Times New Roman" w:cs="Times New Roman"/>
          <w:i/>
          <w:iCs/>
          <w:kern w:val="2"/>
          <w:lang w:val="es-CO" w:eastAsia="en-US"/>
          <w14:ligatures w14:val="standardContextual"/>
        </w:rPr>
      </w:pPr>
    </w:p>
    <w:p w14:paraId="3940B721" w14:textId="77777777" w:rsidR="00293C7E" w:rsidRPr="00293C7E" w:rsidRDefault="00293C7E" w:rsidP="00293C7E">
      <w:pPr>
        <w:widowControl/>
        <w:ind w:left="709" w:hanging="709"/>
        <w:jc w:val="both"/>
        <w:rPr>
          <w:rFonts w:ascii="Times New Roman" w:hAnsi="Times New Roman" w:cs="Times New Roman"/>
          <w:i/>
          <w:iCs/>
          <w:kern w:val="2"/>
          <w:lang w:val="es-CO" w:eastAsia="en-US"/>
          <w14:ligatures w14:val="standardContextual"/>
        </w:rPr>
      </w:pPr>
      <w:r w:rsidRPr="00293C7E">
        <w:rPr>
          <w:rFonts w:ascii="Times New Roman" w:hAnsi="Times New Roman" w:cs="Times New Roman"/>
          <w:b/>
          <w:bCs/>
          <w:i/>
          <w:iCs/>
          <w:kern w:val="2"/>
          <w:lang w:val="es-CO" w:eastAsia="en-US"/>
          <w14:ligatures w14:val="standardContextual"/>
        </w:rPr>
        <w:t xml:space="preserve">Dayana </w:t>
      </w:r>
      <w:proofErr w:type="spellStart"/>
      <w:r w:rsidRPr="00293C7E">
        <w:rPr>
          <w:rFonts w:ascii="Times New Roman" w:hAnsi="Times New Roman" w:cs="Times New Roman"/>
          <w:b/>
          <w:bCs/>
          <w:i/>
          <w:iCs/>
          <w:kern w:val="2"/>
          <w:lang w:val="es-CO" w:eastAsia="en-US"/>
          <w14:ligatures w14:val="standardContextual"/>
        </w:rPr>
        <w:t>Domicó</w:t>
      </w:r>
      <w:proofErr w:type="spellEnd"/>
      <w:r w:rsidRPr="00293C7E">
        <w:rPr>
          <w:rFonts w:ascii="Times New Roman" w:hAnsi="Times New Roman" w:cs="Times New Roman"/>
          <w:b/>
          <w:bCs/>
          <w:i/>
          <w:iCs/>
          <w:kern w:val="2"/>
          <w:lang w:val="es-CO" w:eastAsia="en-US"/>
          <w14:ligatures w14:val="standardContextual"/>
        </w:rPr>
        <w:t xml:space="preserve"> recuerda</w:t>
      </w:r>
      <w:r w:rsidRPr="00293C7E">
        <w:rPr>
          <w:rFonts w:ascii="Times New Roman" w:hAnsi="Times New Roman" w:cs="Times New Roman"/>
          <w:i/>
          <w:iCs/>
          <w:kern w:val="2"/>
          <w:lang w:val="es-CO" w:eastAsia="en-US"/>
          <w14:ligatures w14:val="standardContextual"/>
        </w:rPr>
        <w:t xml:space="preserve"> el caso de una bebé indígena recién nacida a la que le habían cortado una parte de sus genitales. Aunque en un inicio se creyó que la responsable del hecho había sido la </w:t>
      </w:r>
      <w:r w:rsidRPr="00293C7E">
        <w:rPr>
          <w:rFonts w:ascii="Times New Roman" w:hAnsi="Times New Roman" w:cs="Times New Roman"/>
          <w:i/>
          <w:iCs/>
          <w:kern w:val="2"/>
          <w:lang w:val="es-CO" w:eastAsia="en-US"/>
          <w14:ligatures w14:val="standardContextual"/>
        </w:rPr>
        <w:lastRenderedPageBreak/>
        <w:t>madre de la pequeña</w:t>
      </w:r>
      <w:r w:rsidRPr="00293C7E">
        <w:rPr>
          <w:rFonts w:ascii="Times New Roman" w:hAnsi="Times New Roman" w:cs="Times New Roman"/>
          <w:i/>
          <w:iCs/>
          <w:kern w:val="2"/>
          <w:sz w:val="20"/>
          <w:szCs w:val="20"/>
          <w:lang w:val="es-CO" w:eastAsia="en-US"/>
          <w14:ligatures w14:val="standardContextual"/>
        </w:rPr>
        <w:t>,</w:t>
      </w:r>
      <w:r w:rsidRPr="00293C7E">
        <w:rPr>
          <w:rFonts w:ascii="Times New Roman" w:hAnsi="Times New Roman" w:cs="Times New Roman"/>
          <w:kern w:val="2"/>
          <w:sz w:val="20"/>
          <w:szCs w:val="20"/>
          <w:lang w:val="es-CO" w:eastAsia="en-US"/>
          <w14:ligatures w14:val="standardContextual"/>
        </w:rPr>
        <w:t xml:space="preserve"> </w:t>
      </w:r>
      <w:r w:rsidRPr="00293C7E">
        <w:rPr>
          <w:rFonts w:ascii="Times New Roman" w:hAnsi="Times New Roman" w:cs="Times New Roman"/>
          <w:i/>
          <w:iCs/>
          <w:kern w:val="2"/>
          <w:lang w:val="es-CO" w:eastAsia="en-US"/>
          <w14:ligatures w14:val="standardContextual"/>
        </w:rPr>
        <w:t>una joven de 22 años, </w:t>
      </w:r>
      <w:r w:rsidRPr="00293C7E">
        <w:rPr>
          <w:rFonts w:ascii="Times New Roman" w:hAnsi="Times New Roman" w:cs="Times New Roman"/>
          <w:b/>
          <w:bCs/>
          <w:i/>
          <w:iCs/>
          <w:kern w:val="2"/>
          <w:lang w:val="es-CO" w:eastAsia="en-US"/>
          <w14:ligatures w14:val="standardContextual"/>
        </w:rPr>
        <w:t>luego se conoció que fue la abuela de la menor quien realizó el procedimiento. Todo a espaldas de la progenitora</w:t>
      </w:r>
      <w:r w:rsidRPr="00293C7E">
        <w:rPr>
          <w:rFonts w:ascii="Times New Roman" w:hAnsi="Times New Roman" w:cs="Times New Roman"/>
          <w:i/>
          <w:iCs/>
          <w:kern w:val="2"/>
          <w:lang w:val="es-CO" w:eastAsia="en-US"/>
          <w14:ligatures w14:val="standardContextual"/>
        </w:rPr>
        <w:t>.</w:t>
      </w:r>
    </w:p>
    <w:p w14:paraId="10B24341" w14:textId="427C430A" w:rsidR="00293C7E" w:rsidRPr="00293C7E" w:rsidRDefault="00293C7E" w:rsidP="00293C7E">
      <w:pPr>
        <w:widowControl/>
        <w:ind w:left="709" w:hanging="709"/>
        <w:jc w:val="both"/>
        <w:rPr>
          <w:rFonts w:ascii="Times New Roman" w:hAnsi="Times New Roman" w:cs="Times New Roman"/>
          <w:i/>
          <w:iCs/>
          <w:kern w:val="2"/>
          <w:lang w:val="es-CO" w:eastAsia="en-US"/>
          <w14:ligatures w14:val="standardContextual"/>
        </w:rPr>
      </w:pPr>
    </w:p>
    <w:p w14:paraId="21CAC864" w14:textId="37CD45EA" w:rsidR="00293C7E" w:rsidRPr="00D813BD" w:rsidRDefault="00293C7E" w:rsidP="00293C7E">
      <w:pPr>
        <w:widowControl/>
        <w:ind w:left="709" w:hanging="709"/>
        <w:jc w:val="both"/>
        <w:rPr>
          <w:rFonts w:ascii="Times New Roman" w:hAnsi="Times New Roman" w:cs="Times New Roman"/>
          <w:i/>
          <w:iCs/>
          <w:kern w:val="2"/>
          <w:lang w:val="es-CO" w:eastAsia="en-US"/>
          <w14:ligatures w14:val="standardContextual"/>
        </w:rPr>
      </w:pPr>
      <w:proofErr w:type="spellStart"/>
      <w:r w:rsidRPr="00293C7E">
        <w:rPr>
          <w:rFonts w:ascii="Times New Roman" w:hAnsi="Times New Roman" w:cs="Times New Roman"/>
          <w:b/>
          <w:bCs/>
          <w:i/>
          <w:iCs/>
          <w:kern w:val="2"/>
          <w:lang w:val="es-CO" w:eastAsia="en-US"/>
          <w14:ligatures w14:val="standardContextual"/>
        </w:rPr>
        <w:t>Domicó</w:t>
      </w:r>
      <w:proofErr w:type="spellEnd"/>
      <w:r w:rsidRPr="00293C7E">
        <w:rPr>
          <w:rFonts w:ascii="Times New Roman" w:hAnsi="Times New Roman" w:cs="Times New Roman"/>
          <w:b/>
          <w:bCs/>
          <w:i/>
          <w:iCs/>
          <w:kern w:val="2"/>
          <w:lang w:val="es-CO" w:eastAsia="en-US"/>
          <w14:ligatures w14:val="standardContextual"/>
        </w:rPr>
        <w:t xml:space="preserve">, lideresa de la comunidad </w:t>
      </w:r>
      <w:proofErr w:type="spellStart"/>
      <w:r w:rsidRPr="00293C7E">
        <w:rPr>
          <w:rFonts w:ascii="Times New Roman" w:hAnsi="Times New Roman" w:cs="Times New Roman"/>
          <w:b/>
          <w:bCs/>
          <w:i/>
          <w:iCs/>
          <w:kern w:val="2"/>
          <w:lang w:val="es-CO" w:eastAsia="en-US"/>
          <w14:ligatures w14:val="standardContextual"/>
        </w:rPr>
        <w:t>embera</w:t>
      </w:r>
      <w:proofErr w:type="spellEnd"/>
      <w:r w:rsidRPr="00293C7E">
        <w:rPr>
          <w:rFonts w:ascii="Times New Roman" w:hAnsi="Times New Roman" w:cs="Times New Roman"/>
          <w:b/>
          <w:bCs/>
          <w:i/>
          <w:iCs/>
          <w:kern w:val="2"/>
          <w:lang w:val="es-CO" w:eastAsia="en-US"/>
          <w14:ligatures w14:val="standardContextual"/>
        </w:rPr>
        <w:t xml:space="preserve"> </w:t>
      </w:r>
      <w:proofErr w:type="spellStart"/>
      <w:r w:rsidRPr="00293C7E">
        <w:rPr>
          <w:rFonts w:ascii="Times New Roman" w:hAnsi="Times New Roman" w:cs="Times New Roman"/>
          <w:b/>
          <w:bCs/>
          <w:i/>
          <w:iCs/>
          <w:kern w:val="2"/>
          <w:lang w:val="es-CO" w:eastAsia="en-US"/>
          <w14:ligatures w14:val="standardContextual"/>
        </w:rPr>
        <w:t>katío</w:t>
      </w:r>
      <w:proofErr w:type="spellEnd"/>
      <w:r w:rsidRPr="00293C7E">
        <w:rPr>
          <w:rFonts w:ascii="Times New Roman" w:hAnsi="Times New Roman" w:cs="Times New Roman"/>
          <w:b/>
          <w:bCs/>
          <w:i/>
          <w:iCs/>
          <w:kern w:val="2"/>
          <w:lang w:val="es-CO" w:eastAsia="en-US"/>
          <w14:ligatures w14:val="standardContextual"/>
        </w:rPr>
        <w:t xml:space="preserve"> y </w:t>
      </w:r>
      <w:proofErr w:type="spellStart"/>
      <w:r w:rsidRPr="00293C7E">
        <w:rPr>
          <w:rFonts w:ascii="Times New Roman" w:hAnsi="Times New Roman" w:cs="Times New Roman"/>
          <w:b/>
          <w:bCs/>
          <w:i/>
          <w:iCs/>
          <w:kern w:val="2"/>
          <w:lang w:val="es-CO" w:eastAsia="en-US"/>
          <w14:ligatures w14:val="standardContextual"/>
        </w:rPr>
        <w:t>excoordinadora</w:t>
      </w:r>
      <w:proofErr w:type="spellEnd"/>
      <w:r w:rsidRPr="00293C7E">
        <w:rPr>
          <w:rFonts w:ascii="Times New Roman" w:hAnsi="Times New Roman" w:cs="Times New Roman"/>
          <w:b/>
          <w:bCs/>
          <w:i/>
          <w:iCs/>
          <w:kern w:val="2"/>
          <w:lang w:val="es-CO" w:eastAsia="en-US"/>
          <w14:ligatures w14:val="standardContextual"/>
        </w:rPr>
        <w:t xml:space="preserve"> nacional de Juventud de la Organización Nacional Indígena en Colombia (ONIC)</w:t>
      </w:r>
      <w:r w:rsidRPr="00293C7E">
        <w:rPr>
          <w:rFonts w:ascii="Times New Roman" w:hAnsi="Times New Roman" w:cs="Times New Roman"/>
          <w:i/>
          <w:iCs/>
          <w:kern w:val="2"/>
          <w:lang w:val="es-CO" w:eastAsia="en-US"/>
          <w14:ligatures w14:val="standardContextual"/>
        </w:rPr>
        <w:t>, interrogó a la joven madre que vivía en Bogotá, y ella le relató que había salido a “hacer una vuelta” y cuando regresó, la abuela de la pequeña ya le había cortado los genitales a la bebé: “Pensé que podría cuidar a mi hija para que no se lo hicieran, pero no”, se lamentó la joven.</w:t>
      </w:r>
    </w:p>
    <w:p w14:paraId="58FFE631" w14:textId="77777777" w:rsidR="00D813BD" w:rsidRPr="00293C7E" w:rsidRDefault="00D813BD" w:rsidP="00293C7E">
      <w:pPr>
        <w:widowControl/>
        <w:ind w:left="709" w:hanging="709"/>
        <w:jc w:val="both"/>
        <w:rPr>
          <w:rFonts w:ascii="Times New Roman" w:hAnsi="Times New Roman" w:cs="Times New Roman"/>
          <w:i/>
          <w:iCs/>
          <w:kern w:val="2"/>
          <w:lang w:val="es-CO" w:eastAsia="en-US"/>
          <w14:ligatures w14:val="standardContextual"/>
        </w:rPr>
      </w:pPr>
    </w:p>
    <w:p w14:paraId="7B766B82" w14:textId="09CBBB61" w:rsidR="00293C7E" w:rsidRPr="00293C7E" w:rsidRDefault="00293C7E" w:rsidP="00293C7E">
      <w:pPr>
        <w:widowControl/>
        <w:ind w:left="709" w:hanging="709"/>
        <w:jc w:val="both"/>
        <w:rPr>
          <w:rFonts w:ascii="Times New Roman" w:hAnsi="Times New Roman" w:cs="Times New Roman"/>
          <w:i/>
          <w:iCs/>
          <w:kern w:val="2"/>
          <w:lang w:val="es-CO" w:eastAsia="en-US"/>
          <w14:ligatures w14:val="standardContextual"/>
        </w:rPr>
      </w:pPr>
      <w:r w:rsidRPr="00293C7E">
        <w:rPr>
          <w:rFonts w:ascii="Times New Roman" w:hAnsi="Times New Roman" w:cs="Times New Roman"/>
          <w:i/>
          <w:iCs/>
          <w:kern w:val="2"/>
          <w:lang w:val="es-CO" w:eastAsia="en-US"/>
          <w14:ligatures w14:val="standardContextual"/>
        </w:rPr>
        <w:t xml:space="preserve">La pequeña había sido sometida a un ritual conocido entre los indígenas </w:t>
      </w:r>
      <w:proofErr w:type="spellStart"/>
      <w:r w:rsidRPr="00293C7E">
        <w:rPr>
          <w:rFonts w:ascii="Times New Roman" w:hAnsi="Times New Roman" w:cs="Times New Roman"/>
          <w:i/>
          <w:iCs/>
          <w:kern w:val="2"/>
          <w:lang w:val="es-CO" w:eastAsia="en-US"/>
          <w14:ligatures w14:val="standardContextual"/>
        </w:rPr>
        <w:t>embera</w:t>
      </w:r>
      <w:proofErr w:type="spellEnd"/>
      <w:r w:rsidRPr="00293C7E">
        <w:rPr>
          <w:rFonts w:ascii="Times New Roman" w:hAnsi="Times New Roman" w:cs="Times New Roman"/>
          <w:i/>
          <w:iCs/>
          <w:kern w:val="2"/>
          <w:lang w:val="es-CO" w:eastAsia="en-US"/>
          <w14:ligatures w14:val="standardContextual"/>
        </w:rPr>
        <w:t xml:space="preserve"> como </w:t>
      </w:r>
      <w:r w:rsidRPr="00293C7E">
        <w:rPr>
          <w:rFonts w:ascii="Times New Roman" w:hAnsi="Times New Roman" w:cs="Times New Roman"/>
          <w:b/>
          <w:bCs/>
          <w:i/>
          <w:iCs/>
          <w:kern w:val="2"/>
          <w:lang w:val="es-CO" w:eastAsia="en-US"/>
          <w14:ligatures w14:val="standardContextual"/>
        </w:rPr>
        <w:t>‘corte de callo’</w:t>
      </w:r>
      <w:r w:rsidRPr="00293C7E">
        <w:rPr>
          <w:rFonts w:ascii="Times New Roman" w:hAnsi="Times New Roman" w:cs="Times New Roman"/>
          <w:i/>
          <w:iCs/>
          <w:kern w:val="2"/>
          <w:lang w:val="es-CO" w:eastAsia="en-US"/>
          <w14:ligatures w14:val="standardContextual"/>
        </w:rPr>
        <w:t> o </w:t>
      </w:r>
      <w:r w:rsidRPr="00293C7E">
        <w:rPr>
          <w:rFonts w:ascii="Times New Roman" w:hAnsi="Times New Roman" w:cs="Times New Roman"/>
          <w:b/>
          <w:bCs/>
          <w:i/>
          <w:iCs/>
          <w:kern w:val="2"/>
          <w:lang w:val="es-CO" w:eastAsia="en-US"/>
          <w14:ligatures w14:val="standardContextual"/>
        </w:rPr>
        <w:t>‘curación’,</w:t>
      </w:r>
      <w:r w:rsidRPr="00293C7E">
        <w:rPr>
          <w:rFonts w:ascii="Times New Roman" w:hAnsi="Times New Roman" w:cs="Times New Roman"/>
          <w:i/>
          <w:iCs/>
          <w:kern w:val="2"/>
          <w:lang w:val="es-CO" w:eastAsia="en-US"/>
          <w14:ligatures w14:val="standardContextual"/>
        </w:rPr>
        <w:t> un procedimiento en el que </w:t>
      </w:r>
      <w:r w:rsidRPr="00293C7E">
        <w:rPr>
          <w:rFonts w:ascii="Times New Roman" w:hAnsi="Times New Roman" w:cs="Times New Roman"/>
          <w:b/>
          <w:bCs/>
          <w:i/>
          <w:iCs/>
          <w:kern w:val="2"/>
          <w:lang w:val="es-CO" w:eastAsia="en-US"/>
          <w14:ligatures w14:val="standardContextual"/>
        </w:rPr>
        <w:t>se le extirpa, de forma total o parcial, el genital a las mujeres pertenecientes a la comunidad</w:t>
      </w:r>
      <w:r w:rsidRPr="00293C7E">
        <w:rPr>
          <w:rFonts w:ascii="Times New Roman" w:hAnsi="Times New Roman" w:cs="Times New Roman"/>
          <w:i/>
          <w:iCs/>
          <w:kern w:val="2"/>
          <w:lang w:val="es-CO" w:eastAsia="en-US"/>
          <w14:ligatures w14:val="standardContextual"/>
        </w:rPr>
        <w:t>. La práctica, que ocurre bajo completo secretismo en Colombia, y en otros países del mundo, especialmente de África, fue denominada por la Organización Mundial de la Salud (OMS) como </w:t>
      </w:r>
      <w:r w:rsidRPr="00293C7E">
        <w:rPr>
          <w:rFonts w:ascii="Times New Roman" w:hAnsi="Times New Roman" w:cs="Times New Roman"/>
          <w:b/>
          <w:bCs/>
          <w:i/>
          <w:iCs/>
          <w:kern w:val="2"/>
          <w:lang w:val="es-CO" w:eastAsia="en-US"/>
          <w14:ligatures w14:val="standardContextual"/>
        </w:rPr>
        <w:t>‘Mutilación Genital Femenina’ (MGF)</w:t>
      </w:r>
      <w:r w:rsidRPr="00293C7E">
        <w:rPr>
          <w:rFonts w:ascii="Times New Roman" w:hAnsi="Times New Roman" w:cs="Times New Roman"/>
          <w:i/>
          <w:iCs/>
          <w:kern w:val="2"/>
          <w:lang w:val="es-CO" w:eastAsia="en-US"/>
          <w14:ligatures w14:val="standardContextual"/>
        </w:rPr>
        <w:t>.</w:t>
      </w:r>
      <w:r w:rsidRPr="00D813BD">
        <w:rPr>
          <w:rFonts w:ascii="Times New Roman" w:hAnsi="Times New Roman" w:cs="Times New Roman"/>
          <w:i/>
          <w:iCs/>
          <w:kern w:val="2"/>
          <w:lang w:val="es-CO" w:eastAsia="en-US"/>
          <w14:ligatures w14:val="standardContextual"/>
        </w:rPr>
        <w:t>”</w:t>
      </w:r>
    </w:p>
    <w:p w14:paraId="63B59315" w14:textId="77777777" w:rsidR="00D52C7D" w:rsidRPr="00E426C4" w:rsidRDefault="00D52C7D" w:rsidP="00E426C4">
      <w:pPr>
        <w:widowControl/>
        <w:ind w:left="709" w:hanging="709"/>
        <w:jc w:val="both"/>
        <w:rPr>
          <w:rFonts w:ascii="Times New Roman" w:hAnsi="Times New Roman" w:cs="Times New Roman"/>
          <w:kern w:val="2"/>
          <w:sz w:val="20"/>
          <w:szCs w:val="20"/>
          <w:lang w:val="es-CO" w:eastAsia="en-US"/>
          <w14:ligatures w14:val="standardContextual"/>
        </w:rPr>
      </w:pPr>
    </w:p>
    <w:p w14:paraId="30EE69D5" w14:textId="134F3662" w:rsidR="00293C7E" w:rsidRDefault="00293C7E" w:rsidP="00293C7E">
      <w:pPr>
        <w:jc w:val="both"/>
        <w:rPr>
          <w:rFonts w:asciiTheme="majorHAnsi" w:hAnsiTheme="majorHAnsi" w:cstheme="majorHAnsi"/>
          <w:b/>
          <w:bCs/>
          <w:i/>
          <w:iCs/>
          <w:sz w:val="28"/>
          <w:szCs w:val="28"/>
          <w:lang w:val="es-CO"/>
        </w:rPr>
      </w:pPr>
      <w:r>
        <w:rPr>
          <w:rFonts w:asciiTheme="majorHAnsi" w:hAnsiTheme="majorHAnsi" w:cstheme="majorHAnsi"/>
          <w:b/>
          <w:bCs/>
          <w:i/>
          <w:iCs/>
          <w:sz w:val="28"/>
          <w:szCs w:val="28"/>
          <w:lang w:val="es-CO"/>
        </w:rPr>
        <w:t>“</w:t>
      </w:r>
      <w:r w:rsidRPr="00293C7E">
        <w:rPr>
          <w:rFonts w:asciiTheme="majorHAnsi" w:hAnsiTheme="majorHAnsi" w:cstheme="majorHAnsi"/>
          <w:b/>
          <w:bCs/>
          <w:i/>
          <w:iCs/>
          <w:sz w:val="28"/>
          <w:szCs w:val="28"/>
          <w:lang w:val="es-CO"/>
        </w:rPr>
        <w:t>La mutilación genital femenina: un debate urgente por la dignidad humana</w:t>
      </w:r>
      <w:r>
        <w:rPr>
          <w:rFonts w:asciiTheme="majorHAnsi" w:hAnsiTheme="majorHAnsi" w:cstheme="majorHAnsi"/>
          <w:b/>
          <w:bCs/>
          <w:i/>
          <w:iCs/>
          <w:sz w:val="28"/>
          <w:szCs w:val="28"/>
          <w:lang w:val="es-CO"/>
        </w:rPr>
        <w:t>”</w:t>
      </w:r>
      <w:r>
        <w:rPr>
          <w:rStyle w:val="Refdenotaalpie"/>
          <w:rFonts w:asciiTheme="majorHAnsi" w:hAnsiTheme="majorHAnsi" w:cstheme="majorHAnsi"/>
          <w:b/>
          <w:bCs/>
          <w:i/>
          <w:iCs/>
          <w:sz w:val="28"/>
          <w:szCs w:val="28"/>
          <w:lang w:val="es-CO"/>
        </w:rPr>
        <w:footnoteReference w:id="10"/>
      </w:r>
    </w:p>
    <w:p w14:paraId="160CC216" w14:textId="027E7580" w:rsidR="00293C7E" w:rsidRDefault="00293C7E" w:rsidP="00293C7E">
      <w:pPr>
        <w:jc w:val="both"/>
        <w:rPr>
          <w:rFonts w:asciiTheme="majorHAnsi" w:hAnsiTheme="majorHAnsi" w:cstheme="majorHAnsi"/>
          <w:b/>
          <w:bCs/>
          <w:i/>
          <w:iCs/>
          <w:sz w:val="28"/>
          <w:szCs w:val="28"/>
          <w:lang w:val="es-CO"/>
        </w:rPr>
      </w:pPr>
    </w:p>
    <w:p w14:paraId="2719D61E" w14:textId="77777777" w:rsidR="00293C7E" w:rsidRPr="00293C7E" w:rsidRDefault="00293C7E" w:rsidP="00293C7E">
      <w:pPr>
        <w:jc w:val="both"/>
        <w:rPr>
          <w:rFonts w:asciiTheme="majorHAnsi" w:hAnsiTheme="majorHAnsi" w:cstheme="majorHAnsi"/>
          <w:i/>
          <w:iCs/>
          <w:lang w:val="es-CO"/>
        </w:rPr>
      </w:pPr>
      <w:r w:rsidRPr="00293C7E">
        <w:rPr>
          <w:rFonts w:asciiTheme="majorHAnsi" w:hAnsiTheme="majorHAnsi" w:cstheme="majorHAnsi"/>
          <w:i/>
          <w:iCs/>
          <w:lang w:val="es-CO"/>
        </w:rPr>
        <w:t>En Colombia y en otros países, muchas mujeres y niñas son sometidas a mutilaciones genitales que ponen en riesgo su integridad y su vida. ¿Cómo avanzar hacia estrategias para cambios culturales frente a esta práctica?</w:t>
      </w:r>
    </w:p>
    <w:p w14:paraId="06465CD6" w14:textId="77777777" w:rsidR="00293C7E" w:rsidRDefault="00293C7E" w:rsidP="00293C7E">
      <w:pPr>
        <w:jc w:val="both"/>
        <w:rPr>
          <w:rFonts w:asciiTheme="majorHAnsi" w:hAnsiTheme="majorHAnsi" w:cstheme="majorHAnsi"/>
          <w:i/>
          <w:iCs/>
          <w:lang w:val="es-CO"/>
        </w:rPr>
      </w:pPr>
    </w:p>
    <w:p w14:paraId="71C7B99C" w14:textId="60CF2835" w:rsidR="00293C7E" w:rsidRPr="00293C7E" w:rsidRDefault="00293C7E" w:rsidP="00293C7E">
      <w:pPr>
        <w:jc w:val="both"/>
        <w:rPr>
          <w:rFonts w:asciiTheme="majorHAnsi" w:hAnsiTheme="majorHAnsi" w:cstheme="majorHAnsi"/>
          <w:b/>
          <w:bCs/>
          <w:i/>
          <w:iCs/>
          <w:lang w:val="es-CO"/>
        </w:rPr>
      </w:pPr>
      <w:r w:rsidRPr="00293C7E">
        <w:rPr>
          <w:rFonts w:asciiTheme="majorHAnsi" w:hAnsiTheme="majorHAnsi" w:cstheme="majorHAnsi"/>
          <w:b/>
          <w:bCs/>
          <w:i/>
          <w:iCs/>
          <w:lang w:val="es-CO"/>
        </w:rPr>
        <w:t>Una discusión no tan obvia</w:t>
      </w:r>
    </w:p>
    <w:p w14:paraId="533673D7" w14:textId="77777777" w:rsidR="00293C7E" w:rsidRDefault="00293C7E" w:rsidP="00293C7E">
      <w:pPr>
        <w:jc w:val="both"/>
        <w:rPr>
          <w:rFonts w:asciiTheme="majorHAnsi" w:hAnsiTheme="majorHAnsi" w:cstheme="majorHAnsi"/>
          <w:i/>
          <w:iCs/>
          <w:lang w:val="es-CO"/>
        </w:rPr>
      </w:pPr>
    </w:p>
    <w:p w14:paraId="16287BF4" w14:textId="04D75076" w:rsidR="00293C7E" w:rsidRPr="00293C7E" w:rsidRDefault="00293C7E" w:rsidP="00293C7E">
      <w:pPr>
        <w:jc w:val="both"/>
        <w:rPr>
          <w:rFonts w:asciiTheme="majorHAnsi" w:hAnsiTheme="majorHAnsi" w:cstheme="majorHAnsi"/>
          <w:i/>
          <w:iCs/>
          <w:lang w:val="es-CO"/>
        </w:rPr>
      </w:pPr>
      <w:r w:rsidRPr="00293C7E">
        <w:rPr>
          <w:rFonts w:asciiTheme="majorHAnsi" w:hAnsiTheme="majorHAnsi" w:cstheme="majorHAnsi"/>
          <w:i/>
          <w:iCs/>
          <w:lang w:val="es-CO"/>
        </w:rPr>
        <w:t>El próximo 6 de febrero se conmemorará el «Día Internacional de Tolerancia Cero contra la Mutilación Genital Femenina», un suceso que abre el debate sobre el origen e implicaciones de esta práctica para las mujeres alrededor del mundo. Hablar sobre este tema y entender sus diversas posturas es fundamental para proteger la dignidad y la vida de niñas y mujeres que viven esta realidad.</w:t>
      </w:r>
    </w:p>
    <w:p w14:paraId="032791C9" w14:textId="77777777" w:rsidR="00293C7E" w:rsidRDefault="00293C7E" w:rsidP="00293C7E">
      <w:pPr>
        <w:jc w:val="both"/>
        <w:rPr>
          <w:rFonts w:asciiTheme="majorHAnsi" w:hAnsiTheme="majorHAnsi" w:cstheme="majorHAnsi"/>
          <w:i/>
          <w:iCs/>
          <w:lang w:val="es-CO"/>
        </w:rPr>
      </w:pPr>
    </w:p>
    <w:p w14:paraId="2A27F0DF" w14:textId="6B06E90D" w:rsidR="00293C7E" w:rsidRPr="00293C7E" w:rsidRDefault="00293C7E" w:rsidP="00293C7E">
      <w:pPr>
        <w:jc w:val="both"/>
        <w:rPr>
          <w:rFonts w:asciiTheme="majorHAnsi" w:hAnsiTheme="majorHAnsi" w:cstheme="majorHAnsi"/>
          <w:i/>
          <w:iCs/>
          <w:lang w:val="es-CO"/>
        </w:rPr>
      </w:pPr>
      <w:r w:rsidRPr="00293C7E">
        <w:rPr>
          <w:rFonts w:asciiTheme="majorHAnsi" w:hAnsiTheme="majorHAnsi" w:cstheme="majorHAnsi"/>
          <w:i/>
          <w:iCs/>
          <w:lang w:val="es-CO"/>
        </w:rPr>
        <w:t>La Mutilación Genital Femenina (MGF), también conocida como ablación, ha sido reconocida por </w:t>
      </w:r>
      <w:hyperlink r:id="rId69" w:history="1">
        <w:r w:rsidRPr="00293C7E">
          <w:rPr>
            <w:rStyle w:val="Hipervnculo"/>
            <w:rFonts w:asciiTheme="majorHAnsi" w:hAnsiTheme="majorHAnsi" w:cstheme="majorHAnsi"/>
            <w:i/>
            <w:iCs/>
            <w:lang w:val="es-CO"/>
          </w:rPr>
          <w:t>Naciones Unidas</w:t>
        </w:r>
      </w:hyperlink>
      <w:r w:rsidRPr="00293C7E">
        <w:rPr>
          <w:rFonts w:asciiTheme="majorHAnsi" w:hAnsiTheme="majorHAnsi" w:cstheme="majorHAnsi"/>
          <w:i/>
          <w:iCs/>
          <w:lang w:val="es-CO"/>
        </w:rPr>
        <w:t> como una transgresión a los derechos humanos de mujeres y niñas. En Occidente la MGF ha sido considerada una muestra de la desigualdad de género y una forma de discriminación contra la mujer.</w:t>
      </w:r>
    </w:p>
    <w:p w14:paraId="335CC3CC" w14:textId="77777777" w:rsidR="00293C7E" w:rsidRDefault="00293C7E" w:rsidP="00293C7E">
      <w:pPr>
        <w:jc w:val="both"/>
        <w:rPr>
          <w:rFonts w:asciiTheme="majorHAnsi" w:hAnsiTheme="majorHAnsi" w:cstheme="majorHAnsi"/>
          <w:i/>
          <w:iCs/>
          <w:lang w:val="es-CO"/>
        </w:rPr>
      </w:pPr>
    </w:p>
    <w:p w14:paraId="59505B73" w14:textId="20107B74" w:rsidR="00293C7E" w:rsidRPr="00293C7E" w:rsidRDefault="00293C7E" w:rsidP="00293C7E">
      <w:pPr>
        <w:jc w:val="both"/>
        <w:rPr>
          <w:rFonts w:asciiTheme="majorHAnsi" w:hAnsiTheme="majorHAnsi" w:cstheme="majorHAnsi"/>
          <w:i/>
          <w:iCs/>
          <w:lang w:val="es-CO"/>
        </w:rPr>
      </w:pPr>
      <w:r w:rsidRPr="00293C7E">
        <w:rPr>
          <w:rFonts w:asciiTheme="majorHAnsi" w:hAnsiTheme="majorHAnsi" w:cstheme="majorHAnsi"/>
          <w:i/>
          <w:iCs/>
          <w:lang w:val="es-CO"/>
        </w:rPr>
        <w:t>Según la ONU, las niñas menores de 18 años son las principales afectadas por esta práctica, lo cual constituye una violación de los derechos de las niñas en etapas tempranas de sus vidas.</w:t>
      </w:r>
    </w:p>
    <w:p w14:paraId="35217E6E" w14:textId="77777777" w:rsidR="00293C7E" w:rsidRDefault="00293C7E" w:rsidP="00293C7E">
      <w:pPr>
        <w:jc w:val="both"/>
        <w:rPr>
          <w:rFonts w:asciiTheme="majorHAnsi" w:hAnsiTheme="majorHAnsi" w:cstheme="majorHAnsi"/>
          <w:i/>
          <w:iCs/>
          <w:lang w:val="es-CO"/>
        </w:rPr>
      </w:pPr>
    </w:p>
    <w:p w14:paraId="7AD12CB5" w14:textId="08D02B80" w:rsidR="00293C7E" w:rsidRPr="00293C7E" w:rsidRDefault="00293C7E" w:rsidP="00293C7E">
      <w:pPr>
        <w:jc w:val="both"/>
        <w:rPr>
          <w:rFonts w:asciiTheme="majorHAnsi" w:hAnsiTheme="majorHAnsi" w:cstheme="majorHAnsi"/>
          <w:i/>
          <w:iCs/>
          <w:lang w:val="es-CO"/>
        </w:rPr>
      </w:pPr>
      <w:r w:rsidRPr="00293C7E">
        <w:rPr>
          <w:rFonts w:asciiTheme="majorHAnsi" w:hAnsiTheme="majorHAnsi" w:cstheme="majorHAnsi"/>
          <w:i/>
          <w:iCs/>
          <w:lang w:val="es-CO"/>
        </w:rPr>
        <w:t>El decimoséptimo objetivo de Desarrollo Sostenible (ODS) de la Agenda 2030 se centra en «alcanzar la igualdad de género y empoderar a mujeres y niñas». Uno de sus indicadores específicos es “eliminar las prácticas nocivas como el matrimonio infantil y la mutilación genital femenina”.</w:t>
      </w:r>
    </w:p>
    <w:p w14:paraId="408752E1" w14:textId="77777777" w:rsidR="00293C7E" w:rsidRDefault="00293C7E" w:rsidP="00293C7E">
      <w:pPr>
        <w:jc w:val="both"/>
        <w:rPr>
          <w:rFonts w:asciiTheme="majorHAnsi" w:hAnsiTheme="majorHAnsi" w:cstheme="majorHAnsi"/>
          <w:i/>
          <w:iCs/>
          <w:lang w:val="es-CO"/>
        </w:rPr>
      </w:pPr>
    </w:p>
    <w:p w14:paraId="45AD051A" w14:textId="60FC0CE3" w:rsidR="00293C7E" w:rsidRPr="00293C7E" w:rsidRDefault="00293C7E" w:rsidP="00293C7E">
      <w:pPr>
        <w:jc w:val="both"/>
        <w:rPr>
          <w:rFonts w:asciiTheme="majorHAnsi" w:hAnsiTheme="majorHAnsi" w:cstheme="majorHAnsi"/>
          <w:i/>
          <w:iCs/>
          <w:lang w:val="es-CO"/>
        </w:rPr>
      </w:pPr>
      <w:r w:rsidRPr="00293C7E">
        <w:rPr>
          <w:rFonts w:asciiTheme="majorHAnsi" w:hAnsiTheme="majorHAnsi" w:cstheme="majorHAnsi"/>
          <w:i/>
          <w:iCs/>
          <w:lang w:val="es-CO"/>
        </w:rPr>
        <w:lastRenderedPageBreak/>
        <w:t>Sin embargo, en algunos países del Sur, como Sri Lanka, Gambia e inclusive Colombia, donde se practica la MGF, se afirma que existen elementos culturales subyacentes y, más allá de la visión prohibicionista, se proponen esfuerzos para garantizar condiciones médicas y sanitarias. Una alternativa que podría tener efectos reales sobre el bienestar de las mujeres y evitaría la estigmatización que la convierte en una práctica secreta o tabú.</w:t>
      </w:r>
    </w:p>
    <w:p w14:paraId="486E691F" w14:textId="4EC397E4" w:rsidR="00293C7E" w:rsidRDefault="00293C7E" w:rsidP="00293C7E">
      <w:pPr>
        <w:jc w:val="both"/>
        <w:rPr>
          <w:rFonts w:asciiTheme="majorHAnsi" w:hAnsiTheme="majorHAnsi" w:cstheme="majorHAnsi"/>
          <w:b/>
          <w:bCs/>
          <w:i/>
          <w:iCs/>
          <w:sz w:val="28"/>
          <w:szCs w:val="28"/>
          <w:lang w:val="es-CO"/>
        </w:rPr>
      </w:pPr>
    </w:p>
    <w:p w14:paraId="3DD39A05" w14:textId="299CE486" w:rsidR="00293C7E" w:rsidRPr="00293C7E" w:rsidRDefault="00293C7E" w:rsidP="00293C7E">
      <w:pPr>
        <w:jc w:val="both"/>
        <w:rPr>
          <w:rFonts w:asciiTheme="majorHAnsi" w:hAnsiTheme="majorHAnsi" w:cstheme="majorHAnsi"/>
          <w:b/>
          <w:bCs/>
          <w:i/>
          <w:iCs/>
          <w:sz w:val="28"/>
          <w:szCs w:val="28"/>
          <w:lang w:val="es-CO"/>
        </w:rPr>
      </w:pPr>
      <w:r>
        <w:rPr>
          <w:rFonts w:asciiTheme="majorHAnsi" w:hAnsiTheme="majorHAnsi" w:cstheme="majorHAnsi"/>
          <w:b/>
          <w:bCs/>
          <w:i/>
          <w:iCs/>
          <w:sz w:val="28"/>
          <w:szCs w:val="28"/>
          <w:lang w:val="es-CO"/>
        </w:rPr>
        <w:t>“</w:t>
      </w:r>
      <w:r w:rsidRPr="00293C7E">
        <w:rPr>
          <w:rFonts w:asciiTheme="majorHAnsi" w:hAnsiTheme="majorHAnsi" w:cstheme="majorHAnsi"/>
          <w:b/>
          <w:bCs/>
          <w:i/>
          <w:iCs/>
          <w:sz w:val="28"/>
          <w:szCs w:val="28"/>
          <w:lang w:val="es-CO"/>
        </w:rPr>
        <w:t>Colombia, único país latinoamericano donde se da la ablación genital</w:t>
      </w:r>
      <w:r>
        <w:rPr>
          <w:rFonts w:asciiTheme="majorHAnsi" w:hAnsiTheme="majorHAnsi" w:cstheme="majorHAnsi"/>
          <w:b/>
          <w:bCs/>
          <w:i/>
          <w:iCs/>
          <w:sz w:val="28"/>
          <w:szCs w:val="28"/>
          <w:lang w:val="es-CO"/>
        </w:rPr>
        <w:t>”</w:t>
      </w:r>
      <w:r>
        <w:rPr>
          <w:rStyle w:val="Refdenotaalpie"/>
          <w:rFonts w:asciiTheme="majorHAnsi" w:hAnsiTheme="majorHAnsi" w:cstheme="majorHAnsi"/>
          <w:b/>
          <w:bCs/>
          <w:i/>
          <w:iCs/>
          <w:sz w:val="28"/>
          <w:szCs w:val="28"/>
          <w:lang w:val="es-CO"/>
        </w:rPr>
        <w:footnoteReference w:id="11"/>
      </w:r>
    </w:p>
    <w:p w14:paraId="40A6D733" w14:textId="77777777" w:rsidR="00293C7E" w:rsidRPr="00293C7E" w:rsidRDefault="00293C7E" w:rsidP="00293C7E">
      <w:pPr>
        <w:jc w:val="both"/>
        <w:rPr>
          <w:rFonts w:asciiTheme="majorHAnsi" w:hAnsiTheme="majorHAnsi" w:cstheme="majorHAnsi"/>
          <w:b/>
          <w:bCs/>
          <w:i/>
          <w:iCs/>
          <w:sz w:val="28"/>
          <w:szCs w:val="28"/>
          <w:lang w:val="es-CO"/>
        </w:rPr>
      </w:pPr>
    </w:p>
    <w:p w14:paraId="20CD4236" w14:textId="7B77B360" w:rsidR="00F87B07" w:rsidRPr="00293C7E" w:rsidRDefault="00293C7E" w:rsidP="007F3E27">
      <w:pPr>
        <w:jc w:val="both"/>
        <w:rPr>
          <w:rFonts w:asciiTheme="majorHAnsi" w:hAnsiTheme="majorHAnsi" w:cstheme="majorHAnsi"/>
          <w:bCs/>
          <w:i/>
          <w:iCs/>
        </w:rPr>
      </w:pPr>
      <w:r>
        <w:rPr>
          <w:rFonts w:asciiTheme="majorHAnsi" w:hAnsiTheme="majorHAnsi" w:cstheme="majorHAnsi"/>
          <w:bCs/>
          <w:i/>
          <w:iCs/>
        </w:rPr>
        <w:t>“</w:t>
      </w:r>
      <w:r w:rsidRPr="00293C7E">
        <w:rPr>
          <w:rFonts w:asciiTheme="majorHAnsi" w:hAnsiTheme="majorHAnsi" w:cstheme="majorHAnsi"/>
          <w:bCs/>
          <w:i/>
          <w:iCs/>
        </w:rPr>
        <w:t>La muerte de dos niñas indígenas por infecciones derivadas de una mutilación genital en 2007 fue lo que sacó a la luz la práctica de extraer el clítoris a las recién nacidas.</w:t>
      </w:r>
    </w:p>
    <w:p w14:paraId="0CA158D5" w14:textId="24D9986E" w:rsidR="00293C7E" w:rsidRPr="00293C7E" w:rsidRDefault="00293C7E" w:rsidP="007F3E27">
      <w:pPr>
        <w:jc w:val="both"/>
        <w:rPr>
          <w:rFonts w:asciiTheme="majorHAnsi" w:hAnsiTheme="majorHAnsi" w:cstheme="majorHAnsi"/>
          <w:bCs/>
          <w:i/>
          <w:iCs/>
        </w:rPr>
      </w:pPr>
    </w:p>
    <w:p w14:paraId="26302D5C" w14:textId="77777777" w:rsidR="00293C7E" w:rsidRPr="00293C7E" w:rsidRDefault="00293C7E" w:rsidP="00293C7E">
      <w:pPr>
        <w:jc w:val="both"/>
        <w:rPr>
          <w:rFonts w:asciiTheme="majorHAnsi" w:hAnsiTheme="majorHAnsi" w:cstheme="majorHAnsi"/>
          <w:bCs/>
          <w:i/>
          <w:iCs/>
          <w:lang w:val="es-CO"/>
        </w:rPr>
      </w:pPr>
      <w:r w:rsidRPr="00293C7E">
        <w:rPr>
          <w:rFonts w:asciiTheme="majorHAnsi" w:hAnsiTheme="majorHAnsi" w:cstheme="majorHAnsi"/>
          <w:bCs/>
          <w:i/>
          <w:iCs/>
          <w:lang w:val="es-CO"/>
        </w:rPr>
        <w:t xml:space="preserve">Colombia es el único país latinoamericano donde se da la mutilación genital femenina, algo desconocido hasta hace poco incluso para muchos varones del pueblo indígena </w:t>
      </w:r>
      <w:proofErr w:type="spellStart"/>
      <w:r w:rsidRPr="00293C7E">
        <w:rPr>
          <w:rFonts w:asciiTheme="majorHAnsi" w:hAnsiTheme="majorHAnsi" w:cstheme="majorHAnsi"/>
          <w:bCs/>
          <w:i/>
          <w:iCs/>
          <w:lang w:val="es-CO"/>
        </w:rPr>
        <w:t>embera</w:t>
      </w:r>
      <w:proofErr w:type="spellEnd"/>
      <w:r w:rsidRPr="00293C7E">
        <w:rPr>
          <w:rFonts w:asciiTheme="majorHAnsi" w:hAnsiTheme="majorHAnsi" w:cstheme="majorHAnsi"/>
          <w:bCs/>
          <w:i/>
          <w:iCs/>
          <w:lang w:val="es-CO"/>
        </w:rPr>
        <w:t>, cuyas mujeres realizan esa práctica en un ámbito privado y casi secreto.</w:t>
      </w:r>
    </w:p>
    <w:p w14:paraId="3A5F564F" w14:textId="77777777" w:rsidR="00293C7E" w:rsidRPr="00293C7E" w:rsidRDefault="00293C7E" w:rsidP="00293C7E">
      <w:pPr>
        <w:jc w:val="both"/>
        <w:rPr>
          <w:rFonts w:asciiTheme="majorHAnsi" w:hAnsiTheme="majorHAnsi" w:cstheme="majorHAnsi"/>
          <w:bCs/>
          <w:i/>
          <w:iCs/>
          <w:lang w:val="es-CO"/>
        </w:rPr>
      </w:pPr>
    </w:p>
    <w:p w14:paraId="2148FA17" w14:textId="2A432E59" w:rsidR="00293C7E" w:rsidRPr="00293C7E" w:rsidRDefault="00293C7E" w:rsidP="00293C7E">
      <w:pPr>
        <w:jc w:val="both"/>
        <w:rPr>
          <w:rFonts w:asciiTheme="majorHAnsi" w:hAnsiTheme="majorHAnsi" w:cstheme="majorHAnsi"/>
          <w:bCs/>
          <w:i/>
          <w:iCs/>
          <w:lang w:val="es-CO"/>
        </w:rPr>
      </w:pPr>
      <w:r w:rsidRPr="00293C7E">
        <w:rPr>
          <w:rFonts w:asciiTheme="majorHAnsi" w:hAnsiTheme="majorHAnsi" w:cstheme="majorHAnsi"/>
          <w:bCs/>
          <w:i/>
          <w:iCs/>
          <w:lang w:val="es-CO"/>
        </w:rPr>
        <w:t>Al cumplirse este viernes el </w:t>
      </w:r>
      <w:r w:rsidRPr="00293C7E">
        <w:rPr>
          <w:rFonts w:asciiTheme="majorHAnsi" w:hAnsiTheme="majorHAnsi" w:cstheme="majorHAnsi"/>
          <w:b/>
          <w:bCs/>
          <w:i/>
          <w:iCs/>
          <w:lang w:val="es-CO"/>
        </w:rPr>
        <w:t>Día Internacional de Tolerancia Cero con la Mutilación Genital Femenina,</w:t>
      </w:r>
      <w:r w:rsidRPr="00293C7E">
        <w:rPr>
          <w:rFonts w:asciiTheme="majorHAnsi" w:hAnsiTheme="majorHAnsi" w:cstheme="majorHAnsi"/>
          <w:bCs/>
          <w:i/>
          <w:iCs/>
          <w:lang w:val="es-CO"/>
        </w:rPr>
        <w:t> el </w:t>
      </w:r>
      <w:r w:rsidRPr="00293C7E">
        <w:rPr>
          <w:rFonts w:asciiTheme="majorHAnsi" w:hAnsiTheme="majorHAnsi" w:cstheme="majorHAnsi"/>
          <w:b/>
          <w:bCs/>
          <w:i/>
          <w:iCs/>
          <w:lang w:val="es-CO"/>
        </w:rPr>
        <w:t>Fondo de Población de las Naciones Unidas (UNFPA) </w:t>
      </w:r>
      <w:r w:rsidRPr="00293C7E">
        <w:rPr>
          <w:rFonts w:asciiTheme="majorHAnsi" w:hAnsiTheme="majorHAnsi" w:cstheme="majorHAnsi"/>
          <w:bCs/>
          <w:i/>
          <w:iCs/>
          <w:lang w:val="es-CO"/>
        </w:rPr>
        <w:t>llamó la atención sobre la necesidad de que se dediquen mayores esfuerzos a erradicar unas prácticas que violan los derechos humanos, afectan la salud y ponen en riesgo la vida de unos tres millones de niñas todos los años en el mundo.</w:t>
      </w:r>
      <w:r>
        <w:rPr>
          <w:rFonts w:asciiTheme="majorHAnsi" w:hAnsiTheme="majorHAnsi" w:cstheme="majorHAnsi"/>
          <w:bCs/>
          <w:i/>
          <w:iCs/>
          <w:lang w:val="es-CO"/>
        </w:rPr>
        <w:t>”</w:t>
      </w:r>
    </w:p>
    <w:p w14:paraId="4AB97E84" w14:textId="49375D87" w:rsidR="00293C7E" w:rsidRPr="00293C7E" w:rsidRDefault="00293C7E" w:rsidP="007F3E27">
      <w:pPr>
        <w:jc w:val="both"/>
        <w:rPr>
          <w:rFonts w:asciiTheme="majorHAnsi" w:hAnsiTheme="majorHAnsi" w:cstheme="majorHAnsi"/>
          <w:bCs/>
          <w:lang w:val="es-CO"/>
        </w:rPr>
      </w:pPr>
    </w:p>
    <w:p w14:paraId="68569056" w14:textId="5BEC2A14" w:rsidR="003D206D" w:rsidRDefault="003D206D" w:rsidP="00C03352">
      <w:pPr>
        <w:rPr>
          <w:rFonts w:asciiTheme="majorHAnsi" w:hAnsiTheme="majorHAnsi" w:cstheme="majorHAnsi"/>
          <w:b/>
        </w:rPr>
      </w:pPr>
    </w:p>
    <w:p w14:paraId="716F352B" w14:textId="7E236157" w:rsidR="005A0662" w:rsidRPr="005A0662" w:rsidRDefault="00D52C7D" w:rsidP="00D813BD">
      <w:pPr>
        <w:jc w:val="both"/>
        <w:rPr>
          <w:rFonts w:asciiTheme="majorHAnsi" w:hAnsiTheme="majorHAnsi" w:cstheme="majorHAnsi"/>
          <w:b/>
        </w:rPr>
      </w:pPr>
      <w:r>
        <w:rPr>
          <w:rFonts w:asciiTheme="majorHAnsi" w:hAnsiTheme="majorHAnsi" w:cstheme="majorHAnsi"/>
          <w:b/>
        </w:rPr>
        <w:t>5</w:t>
      </w:r>
      <w:r w:rsidR="00F87B07">
        <w:rPr>
          <w:rFonts w:asciiTheme="majorHAnsi" w:hAnsiTheme="majorHAnsi" w:cstheme="majorHAnsi"/>
          <w:b/>
        </w:rPr>
        <w:t>.</w:t>
      </w:r>
      <w:r w:rsidR="005A0662" w:rsidRPr="005A0662">
        <w:rPr>
          <w:rFonts w:asciiTheme="majorHAnsi" w:hAnsiTheme="majorHAnsi" w:cstheme="majorHAnsi"/>
          <w:b/>
        </w:rPr>
        <w:tab/>
      </w:r>
      <w:r w:rsidR="00D813BD">
        <w:rPr>
          <w:rFonts w:asciiTheme="majorHAnsi" w:hAnsiTheme="majorHAnsi" w:cstheme="majorHAnsi"/>
          <w:b/>
        </w:rPr>
        <w:t>CUADRO DE MODIFICACIONES PROPUESTAS PARA PRIMER DEBATE EN PRIMERA VUELTA DEL ACTO LEGISLATIVO 082 DE 2024</w:t>
      </w:r>
      <w:r w:rsidR="00F87B07">
        <w:rPr>
          <w:rFonts w:asciiTheme="majorHAnsi" w:hAnsiTheme="majorHAnsi" w:cstheme="majorHAnsi"/>
          <w:b/>
        </w:rPr>
        <w:t xml:space="preserve"> C</w:t>
      </w:r>
      <w:r w:rsidR="005A0662" w:rsidRPr="005A0662">
        <w:rPr>
          <w:rFonts w:asciiTheme="majorHAnsi" w:hAnsiTheme="majorHAnsi" w:cstheme="majorHAnsi"/>
          <w:b/>
        </w:rPr>
        <w:t>ÁMARA</w:t>
      </w:r>
    </w:p>
    <w:p w14:paraId="73DCAD79" w14:textId="77777777" w:rsidR="003E23B1" w:rsidRDefault="003E23B1" w:rsidP="00C03352">
      <w:pPr>
        <w:rPr>
          <w:rFonts w:asciiTheme="majorHAnsi" w:hAnsiTheme="majorHAnsi" w:cstheme="majorHAnsi"/>
          <w:b/>
        </w:rPr>
      </w:pPr>
    </w:p>
    <w:p w14:paraId="08CA83E8" w14:textId="77777777" w:rsidR="003E23B1" w:rsidRDefault="003E23B1" w:rsidP="00C03352">
      <w:pPr>
        <w:rPr>
          <w:rFonts w:asciiTheme="majorHAnsi" w:hAnsiTheme="majorHAnsi" w:cstheme="majorHAnsi"/>
          <w:b/>
        </w:rPr>
      </w:pPr>
    </w:p>
    <w:tbl>
      <w:tblPr>
        <w:tblStyle w:val="Tablaconcuadrcula"/>
        <w:tblW w:w="0" w:type="auto"/>
        <w:tblLook w:val="04A0" w:firstRow="1" w:lastRow="0" w:firstColumn="1" w:lastColumn="0" w:noHBand="0" w:noVBand="1"/>
      </w:tblPr>
      <w:tblGrid>
        <w:gridCol w:w="3156"/>
        <w:gridCol w:w="2997"/>
        <w:gridCol w:w="2997"/>
      </w:tblGrid>
      <w:tr w:rsidR="005A0662" w:rsidRPr="00071425" w14:paraId="4DA49A8A" w14:textId="25BD0E95" w:rsidTr="005A0662">
        <w:tc>
          <w:tcPr>
            <w:tcW w:w="3156" w:type="dxa"/>
          </w:tcPr>
          <w:p w14:paraId="74FB575F" w14:textId="1A4A033C" w:rsidR="005A0662" w:rsidRPr="00071425" w:rsidRDefault="005A0662" w:rsidP="00C03352">
            <w:pPr>
              <w:rPr>
                <w:rFonts w:asciiTheme="majorHAnsi" w:hAnsiTheme="majorHAnsi" w:cstheme="majorHAnsi"/>
                <w:b/>
                <w:sz w:val="18"/>
                <w:szCs w:val="18"/>
              </w:rPr>
            </w:pPr>
            <w:r w:rsidRPr="00071425">
              <w:rPr>
                <w:rFonts w:asciiTheme="majorHAnsi" w:hAnsiTheme="majorHAnsi" w:cstheme="majorHAnsi"/>
                <w:b/>
                <w:sz w:val="18"/>
                <w:szCs w:val="18"/>
              </w:rPr>
              <w:t>TEXTO RADICADO</w:t>
            </w:r>
          </w:p>
        </w:tc>
        <w:tc>
          <w:tcPr>
            <w:tcW w:w="2997" w:type="dxa"/>
          </w:tcPr>
          <w:p w14:paraId="6953C475" w14:textId="729F8203" w:rsidR="005A0662" w:rsidRPr="00071425" w:rsidRDefault="005A0662" w:rsidP="00C03352">
            <w:pPr>
              <w:rPr>
                <w:rFonts w:asciiTheme="majorHAnsi" w:hAnsiTheme="majorHAnsi" w:cstheme="majorHAnsi"/>
                <w:b/>
                <w:sz w:val="18"/>
                <w:szCs w:val="18"/>
              </w:rPr>
            </w:pPr>
            <w:r w:rsidRPr="00071425">
              <w:rPr>
                <w:rFonts w:asciiTheme="majorHAnsi" w:hAnsiTheme="majorHAnsi" w:cstheme="majorHAnsi"/>
                <w:b/>
                <w:sz w:val="18"/>
                <w:szCs w:val="18"/>
              </w:rPr>
              <w:t>MODIFICACIONES PROPUESTAS PARA PRIMER DEBATE</w:t>
            </w:r>
            <w:r w:rsidR="00E82E31">
              <w:rPr>
                <w:rFonts w:asciiTheme="majorHAnsi" w:hAnsiTheme="majorHAnsi" w:cstheme="majorHAnsi"/>
                <w:b/>
                <w:sz w:val="18"/>
                <w:szCs w:val="18"/>
              </w:rPr>
              <w:t xml:space="preserve"> EN PRIMERA VUELTA</w:t>
            </w:r>
          </w:p>
        </w:tc>
        <w:tc>
          <w:tcPr>
            <w:tcW w:w="2997" w:type="dxa"/>
          </w:tcPr>
          <w:p w14:paraId="60E53A3A" w14:textId="1150BA93" w:rsidR="005A0662" w:rsidRPr="00071425" w:rsidRDefault="005A0662" w:rsidP="00C03352">
            <w:pPr>
              <w:rPr>
                <w:rFonts w:asciiTheme="majorHAnsi" w:hAnsiTheme="majorHAnsi" w:cstheme="majorHAnsi"/>
                <w:b/>
                <w:sz w:val="18"/>
                <w:szCs w:val="18"/>
              </w:rPr>
            </w:pPr>
            <w:r w:rsidRPr="00071425">
              <w:rPr>
                <w:rFonts w:asciiTheme="majorHAnsi" w:hAnsiTheme="majorHAnsi" w:cstheme="majorHAnsi"/>
                <w:b/>
                <w:sz w:val="18"/>
                <w:szCs w:val="18"/>
              </w:rPr>
              <w:t>OBSERVACIONES</w:t>
            </w:r>
          </w:p>
        </w:tc>
      </w:tr>
      <w:tr w:rsidR="005A0662" w:rsidRPr="00071425" w14:paraId="331276AD" w14:textId="54F7A394" w:rsidTr="005A0662">
        <w:tc>
          <w:tcPr>
            <w:tcW w:w="3156" w:type="dxa"/>
          </w:tcPr>
          <w:p w14:paraId="70608B9C" w14:textId="77777777" w:rsidR="00E426C4" w:rsidRPr="00E426C4" w:rsidRDefault="00E426C4" w:rsidP="00E426C4">
            <w:pPr>
              <w:rPr>
                <w:rFonts w:asciiTheme="majorHAnsi" w:hAnsiTheme="majorHAnsi" w:cstheme="majorHAnsi"/>
                <w:b/>
                <w:bCs/>
                <w:i/>
                <w:sz w:val="18"/>
                <w:szCs w:val="18"/>
                <w:lang w:val="es-ES"/>
              </w:rPr>
            </w:pPr>
            <w:bookmarkStart w:id="9" w:name="_Hlk175557766"/>
            <w:r w:rsidRPr="00E426C4">
              <w:rPr>
                <w:rFonts w:asciiTheme="majorHAnsi" w:hAnsiTheme="majorHAnsi" w:cstheme="majorHAnsi"/>
                <w:b/>
                <w:bCs/>
                <w:i/>
                <w:sz w:val="18"/>
                <w:szCs w:val="18"/>
                <w:lang w:val="es-ES"/>
              </w:rPr>
              <w:t>“POR MEDIO DEL CUAL SE MODIFICAN LOS ARTÍCULOS 12, 13 Y 43 DE LA CONSTITUCIÓN POLITICA Y SE PROHÍBE LA MUTILACIÓN GENITAL FEMENINA MGF EN COLOMBIA”</w:t>
            </w:r>
          </w:p>
          <w:p w14:paraId="43AAB273" w14:textId="77777777" w:rsidR="005A0662" w:rsidRPr="00E426C4" w:rsidRDefault="005A0662" w:rsidP="00C03352">
            <w:pPr>
              <w:rPr>
                <w:rFonts w:asciiTheme="majorHAnsi" w:hAnsiTheme="majorHAnsi" w:cstheme="majorHAnsi"/>
                <w:b/>
                <w:sz w:val="18"/>
                <w:szCs w:val="18"/>
                <w:lang w:val="es-ES"/>
              </w:rPr>
            </w:pPr>
          </w:p>
          <w:p w14:paraId="3EC97866" w14:textId="77777777" w:rsidR="005A0662" w:rsidRPr="00071425" w:rsidRDefault="005A0662" w:rsidP="00071425">
            <w:pPr>
              <w:rPr>
                <w:rFonts w:asciiTheme="majorHAnsi" w:hAnsiTheme="majorHAnsi" w:cstheme="majorHAnsi"/>
                <w:b/>
                <w:sz w:val="18"/>
                <w:szCs w:val="18"/>
              </w:rPr>
            </w:pPr>
          </w:p>
        </w:tc>
        <w:tc>
          <w:tcPr>
            <w:tcW w:w="2997" w:type="dxa"/>
          </w:tcPr>
          <w:p w14:paraId="521CB9D8" w14:textId="1654F518" w:rsidR="005A0662" w:rsidRPr="00071425" w:rsidRDefault="00E426C4" w:rsidP="00C03352">
            <w:pPr>
              <w:rPr>
                <w:rFonts w:asciiTheme="majorHAnsi" w:hAnsiTheme="majorHAnsi" w:cstheme="majorHAnsi"/>
                <w:bCs/>
                <w:sz w:val="18"/>
                <w:szCs w:val="18"/>
              </w:rPr>
            </w:pPr>
            <w:r w:rsidRPr="00E426C4">
              <w:rPr>
                <w:rFonts w:asciiTheme="majorHAnsi" w:hAnsiTheme="majorHAnsi" w:cstheme="majorHAnsi"/>
                <w:b/>
                <w:bCs/>
                <w:i/>
                <w:sz w:val="18"/>
                <w:szCs w:val="18"/>
                <w:lang w:val="es-ES"/>
              </w:rPr>
              <w:t xml:space="preserve">“POR MEDIO DEL CUAL SE MODIFICAN LOS ARTÍCULOS 12, 13 Y 43 </w:t>
            </w:r>
            <w:r w:rsidRPr="00E426C4">
              <w:rPr>
                <w:rFonts w:asciiTheme="majorHAnsi" w:hAnsiTheme="majorHAnsi" w:cstheme="majorHAnsi"/>
                <w:b/>
                <w:bCs/>
                <w:i/>
                <w:sz w:val="18"/>
                <w:szCs w:val="18"/>
                <w:u w:val="single"/>
                <w:lang w:val="es-ES"/>
              </w:rPr>
              <w:t>y 44</w:t>
            </w:r>
            <w:r>
              <w:rPr>
                <w:rFonts w:asciiTheme="majorHAnsi" w:hAnsiTheme="majorHAnsi" w:cstheme="majorHAnsi"/>
                <w:b/>
                <w:bCs/>
                <w:i/>
                <w:sz w:val="18"/>
                <w:szCs w:val="18"/>
                <w:lang w:val="es-ES"/>
              </w:rPr>
              <w:t xml:space="preserve"> </w:t>
            </w:r>
            <w:r w:rsidRPr="00E426C4">
              <w:rPr>
                <w:rFonts w:asciiTheme="majorHAnsi" w:hAnsiTheme="majorHAnsi" w:cstheme="majorHAnsi"/>
                <w:b/>
                <w:bCs/>
                <w:i/>
                <w:sz w:val="18"/>
                <w:szCs w:val="18"/>
                <w:lang w:val="es-ES"/>
              </w:rPr>
              <w:t>DE LA CONSTITUCIÓN POLITICA Y SE PROHÍBE LA MUTILACIÓN GENITAL FEMENINA MGF EN COLOMBIA</w:t>
            </w:r>
          </w:p>
        </w:tc>
        <w:tc>
          <w:tcPr>
            <w:tcW w:w="2997" w:type="dxa"/>
          </w:tcPr>
          <w:p w14:paraId="0118FEE5" w14:textId="34795D49" w:rsidR="00E426C4" w:rsidRDefault="00E426C4" w:rsidP="007A39CE">
            <w:pPr>
              <w:jc w:val="both"/>
              <w:rPr>
                <w:rFonts w:asciiTheme="majorHAnsi" w:hAnsiTheme="majorHAnsi" w:cstheme="majorHAnsi"/>
                <w:bCs/>
                <w:sz w:val="18"/>
                <w:szCs w:val="18"/>
              </w:rPr>
            </w:pPr>
            <w:r>
              <w:rPr>
                <w:rFonts w:asciiTheme="majorHAnsi" w:hAnsiTheme="majorHAnsi" w:cstheme="majorHAnsi"/>
                <w:bCs/>
                <w:sz w:val="18"/>
                <w:szCs w:val="18"/>
              </w:rPr>
              <w:t>Por error involuntario se omitió incluir el artículo 44 en el título del Acto Legislativo radicado pero el texto ya lo incluía</w:t>
            </w:r>
          </w:p>
          <w:p w14:paraId="494E6467" w14:textId="77777777" w:rsidR="00E426C4" w:rsidRDefault="00E426C4" w:rsidP="007A39CE">
            <w:pPr>
              <w:jc w:val="both"/>
              <w:rPr>
                <w:rFonts w:asciiTheme="majorHAnsi" w:hAnsiTheme="majorHAnsi" w:cstheme="majorHAnsi"/>
                <w:bCs/>
                <w:sz w:val="18"/>
                <w:szCs w:val="18"/>
              </w:rPr>
            </w:pPr>
          </w:p>
          <w:p w14:paraId="3B4B3CCF" w14:textId="3F994C4F" w:rsidR="005A0662" w:rsidRPr="007A39CE" w:rsidRDefault="005A0662" w:rsidP="007A39CE">
            <w:pPr>
              <w:jc w:val="both"/>
              <w:rPr>
                <w:rFonts w:asciiTheme="majorHAnsi" w:hAnsiTheme="majorHAnsi" w:cstheme="majorHAnsi"/>
                <w:bCs/>
                <w:sz w:val="18"/>
                <w:szCs w:val="18"/>
              </w:rPr>
            </w:pPr>
          </w:p>
        </w:tc>
      </w:tr>
      <w:tr w:rsidR="005A0662" w14:paraId="234F3F7E" w14:textId="50689515" w:rsidTr="005A0662">
        <w:tc>
          <w:tcPr>
            <w:tcW w:w="3156" w:type="dxa"/>
          </w:tcPr>
          <w:p w14:paraId="58FE0BC1" w14:textId="77777777" w:rsidR="00E426C4" w:rsidRPr="00E426C4" w:rsidRDefault="00E426C4" w:rsidP="00E426C4">
            <w:pPr>
              <w:spacing w:before="280" w:after="280"/>
              <w:jc w:val="both"/>
              <w:rPr>
                <w:rFonts w:asciiTheme="majorHAnsi" w:hAnsiTheme="majorHAnsi" w:cstheme="majorHAnsi"/>
                <w:b/>
                <w:bCs/>
                <w:sz w:val="18"/>
                <w:szCs w:val="18"/>
              </w:rPr>
            </w:pPr>
            <w:bookmarkStart w:id="10" w:name="_Hlk175557970"/>
            <w:bookmarkEnd w:id="9"/>
            <w:r w:rsidRPr="00E426C4">
              <w:rPr>
                <w:rFonts w:asciiTheme="majorHAnsi" w:hAnsiTheme="majorHAnsi" w:cstheme="majorHAnsi"/>
                <w:b/>
                <w:bCs/>
                <w:sz w:val="18"/>
                <w:szCs w:val="18"/>
              </w:rPr>
              <w:t>El Congreso de la República</w:t>
            </w:r>
          </w:p>
          <w:p w14:paraId="50C40435" w14:textId="47E127F8" w:rsidR="00E426C4" w:rsidRPr="00E426C4" w:rsidRDefault="00E426C4" w:rsidP="00E426C4">
            <w:pPr>
              <w:spacing w:before="280" w:after="280"/>
              <w:jc w:val="both"/>
              <w:rPr>
                <w:rFonts w:asciiTheme="majorHAnsi" w:hAnsiTheme="majorHAnsi" w:cstheme="majorHAnsi"/>
                <w:b/>
                <w:bCs/>
                <w:sz w:val="18"/>
                <w:szCs w:val="18"/>
              </w:rPr>
            </w:pPr>
            <w:r>
              <w:rPr>
                <w:rFonts w:asciiTheme="majorHAnsi" w:hAnsiTheme="majorHAnsi" w:cstheme="majorHAnsi"/>
                <w:b/>
                <w:bCs/>
                <w:sz w:val="18"/>
                <w:szCs w:val="18"/>
              </w:rPr>
              <w:t>D</w:t>
            </w:r>
            <w:r w:rsidRPr="00E426C4">
              <w:rPr>
                <w:rFonts w:asciiTheme="majorHAnsi" w:hAnsiTheme="majorHAnsi" w:cstheme="majorHAnsi"/>
                <w:b/>
                <w:bCs/>
                <w:sz w:val="18"/>
                <w:szCs w:val="18"/>
              </w:rPr>
              <w:t>ecreta</w:t>
            </w:r>
          </w:p>
          <w:p w14:paraId="245090C1" w14:textId="77777777" w:rsidR="00E426C4" w:rsidRPr="00E426C4" w:rsidRDefault="00E426C4" w:rsidP="00E426C4">
            <w:pPr>
              <w:spacing w:before="280" w:after="280"/>
              <w:jc w:val="both"/>
              <w:rPr>
                <w:rFonts w:asciiTheme="majorHAnsi" w:hAnsiTheme="majorHAnsi" w:cstheme="majorHAnsi"/>
                <w:b/>
                <w:bCs/>
                <w:sz w:val="18"/>
                <w:szCs w:val="18"/>
              </w:rPr>
            </w:pPr>
            <w:bookmarkStart w:id="11" w:name="_Hlk147492701"/>
            <w:r w:rsidRPr="00E426C4">
              <w:rPr>
                <w:rFonts w:asciiTheme="majorHAnsi" w:hAnsiTheme="majorHAnsi" w:cstheme="majorHAnsi"/>
                <w:b/>
                <w:bCs/>
                <w:sz w:val="18"/>
                <w:szCs w:val="18"/>
              </w:rPr>
              <w:lastRenderedPageBreak/>
              <w:t>Artículo 1º</w:t>
            </w:r>
            <w:r w:rsidRPr="00E426C4">
              <w:rPr>
                <w:rFonts w:asciiTheme="majorHAnsi" w:hAnsiTheme="majorHAnsi" w:cstheme="majorHAnsi"/>
                <w:sz w:val="18"/>
                <w:szCs w:val="18"/>
              </w:rPr>
              <w:t>. Modifíquese el artículo 12 de la Constitución Política de Colombia, el cual quedará así:</w:t>
            </w:r>
          </w:p>
          <w:bookmarkEnd w:id="11"/>
          <w:p w14:paraId="18EB11CD" w14:textId="77777777" w:rsidR="00E426C4" w:rsidRPr="00E426C4" w:rsidRDefault="00E426C4" w:rsidP="00E426C4">
            <w:pPr>
              <w:spacing w:before="280" w:after="280"/>
              <w:jc w:val="both"/>
              <w:rPr>
                <w:rFonts w:asciiTheme="majorHAnsi" w:hAnsiTheme="majorHAnsi" w:cstheme="majorHAnsi"/>
                <w:b/>
                <w:bCs/>
                <w:sz w:val="18"/>
                <w:szCs w:val="18"/>
              </w:rPr>
            </w:pPr>
            <w:r w:rsidRPr="00E426C4">
              <w:rPr>
                <w:rFonts w:asciiTheme="majorHAnsi" w:hAnsiTheme="majorHAnsi" w:cstheme="majorHAnsi"/>
                <w:b/>
                <w:bCs/>
                <w:sz w:val="18"/>
                <w:szCs w:val="18"/>
              </w:rPr>
              <w:t>ARTICULO 12</w:t>
            </w:r>
            <w:r w:rsidRPr="00E426C4">
              <w:rPr>
                <w:rFonts w:asciiTheme="majorHAnsi" w:hAnsiTheme="majorHAnsi" w:cstheme="majorHAnsi"/>
                <w:b/>
                <w:sz w:val="18"/>
                <w:szCs w:val="18"/>
              </w:rPr>
              <w:t xml:space="preserve">. </w:t>
            </w:r>
            <w:r w:rsidRPr="00E426C4">
              <w:rPr>
                <w:rFonts w:asciiTheme="majorHAnsi" w:hAnsiTheme="majorHAnsi" w:cstheme="majorHAnsi"/>
                <w:bCs/>
                <w:sz w:val="18"/>
                <w:szCs w:val="18"/>
              </w:rPr>
              <w:t>Nadie será sometido a desaparición forzada, a torturas ni a tratos o penas crueles, inhumanos o degradantes.</w:t>
            </w:r>
          </w:p>
          <w:p w14:paraId="371332A8" w14:textId="6C03811B" w:rsidR="00E426C4" w:rsidRPr="00E426C4" w:rsidRDefault="00E426C4" w:rsidP="00E426C4">
            <w:pPr>
              <w:spacing w:before="280" w:after="280"/>
              <w:jc w:val="both"/>
              <w:rPr>
                <w:rFonts w:asciiTheme="majorHAnsi" w:hAnsiTheme="majorHAnsi" w:cstheme="majorHAnsi"/>
                <w:b/>
                <w:bCs/>
                <w:sz w:val="18"/>
                <w:szCs w:val="18"/>
                <w:u w:val="single"/>
              </w:rPr>
            </w:pPr>
            <w:r w:rsidRPr="00E426C4">
              <w:rPr>
                <w:rFonts w:asciiTheme="majorHAnsi" w:hAnsiTheme="majorHAnsi" w:cstheme="majorHAnsi"/>
                <w:b/>
                <w:bCs/>
                <w:sz w:val="18"/>
                <w:szCs w:val="18"/>
                <w:u w:val="single"/>
              </w:rPr>
              <w:t>La mutilación genital femenina constituye violencia de género y se prohíbe su práctica en todo el territorio nacional. La ley regulará las sanciones en que incurrirán quienes la practiquen</w:t>
            </w:r>
            <w:r w:rsidR="00436939">
              <w:rPr>
                <w:rFonts w:asciiTheme="majorHAnsi" w:hAnsiTheme="majorHAnsi" w:cstheme="majorHAnsi"/>
                <w:b/>
                <w:bCs/>
                <w:sz w:val="18"/>
                <w:szCs w:val="18"/>
                <w:u w:val="single"/>
              </w:rPr>
              <w:t>.</w:t>
            </w:r>
          </w:p>
          <w:p w14:paraId="665F9134" w14:textId="77777777" w:rsidR="005A0662" w:rsidRPr="00071425" w:rsidRDefault="005A0662" w:rsidP="00E426C4">
            <w:pPr>
              <w:spacing w:before="280" w:after="280"/>
              <w:jc w:val="both"/>
              <w:rPr>
                <w:rFonts w:asciiTheme="majorHAnsi" w:hAnsiTheme="majorHAnsi" w:cstheme="majorHAnsi"/>
                <w:b/>
                <w:sz w:val="18"/>
                <w:szCs w:val="18"/>
              </w:rPr>
            </w:pPr>
          </w:p>
        </w:tc>
        <w:tc>
          <w:tcPr>
            <w:tcW w:w="2997" w:type="dxa"/>
          </w:tcPr>
          <w:p w14:paraId="6AB80A11" w14:textId="7C3800A1" w:rsidR="00436939" w:rsidRPr="00A4157B" w:rsidRDefault="00436939" w:rsidP="00436939">
            <w:pPr>
              <w:spacing w:before="280" w:after="280"/>
              <w:jc w:val="both"/>
              <w:rPr>
                <w:rFonts w:asciiTheme="majorHAnsi" w:hAnsiTheme="majorHAnsi" w:cstheme="majorHAnsi"/>
                <w:b/>
                <w:bCs/>
                <w:sz w:val="18"/>
                <w:szCs w:val="18"/>
                <w:u w:val="single"/>
              </w:rPr>
            </w:pPr>
            <w:r w:rsidRPr="00E426C4">
              <w:rPr>
                <w:rFonts w:asciiTheme="majorHAnsi" w:hAnsiTheme="majorHAnsi" w:cstheme="majorHAnsi"/>
                <w:b/>
                <w:bCs/>
                <w:sz w:val="18"/>
                <w:szCs w:val="18"/>
              </w:rPr>
              <w:lastRenderedPageBreak/>
              <w:t>El Congreso de la República</w:t>
            </w:r>
            <w:r w:rsidR="00A4157B">
              <w:rPr>
                <w:rFonts w:asciiTheme="majorHAnsi" w:hAnsiTheme="majorHAnsi" w:cstheme="majorHAnsi"/>
                <w:b/>
                <w:bCs/>
                <w:sz w:val="18"/>
                <w:szCs w:val="18"/>
              </w:rPr>
              <w:t xml:space="preserve"> </w:t>
            </w:r>
            <w:r w:rsidR="00A4157B" w:rsidRPr="00A4157B">
              <w:rPr>
                <w:rFonts w:asciiTheme="majorHAnsi" w:hAnsiTheme="majorHAnsi" w:cstheme="majorHAnsi"/>
                <w:b/>
                <w:bCs/>
                <w:sz w:val="18"/>
                <w:szCs w:val="18"/>
                <w:u w:val="single"/>
              </w:rPr>
              <w:t>de Colombia</w:t>
            </w:r>
          </w:p>
          <w:p w14:paraId="31671DAC" w14:textId="77777777" w:rsidR="00436939" w:rsidRPr="00E426C4" w:rsidRDefault="00436939" w:rsidP="00436939">
            <w:pPr>
              <w:spacing w:before="280" w:after="280"/>
              <w:jc w:val="both"/>
              <w:rPr>
                <w:rFonts w:asciiTheme="majorHAnsi" w:hAnsiTheme="majorHAnsi" w:cstheme="majorHAnsi"/>
                <w:b/>
                <w:bCs/>
                <w:sz w:val="18"/>
                <w:szCs w:val="18"/>
              </w:rPr>
            </w:pPr>
            <w:r>
              <w:rPr>
                <w:rFonts w:asciiTheme="majorHAnsi" w:hAnsiTheme="majorHAnsi" w:cstheme="majorHAnsi"/>
                <w:b/>
                <w:bCs/>
                <w:sz w:val="18"/>
                <w:szCs w:val="18"/>
              </w:rPr>
              <w:lastRenderedPageBreak/>
              <w:t>D</w:t>
            </w:r>
            <w:r w:rsidRPr="00E426C4">
              <w:rPr>
                <w:rFonts w:asciiTheme="majorHAnsi" w:hAnsiTheme="majorHAnsi" w:cstheme="majorHAnsi"/>
                <w:b/>
                <w:bCs/>
                <w:sz w:val="18"/>
                <w:szCs w:val="18"/>
              </w:rPr>
              <w:t>ecreta</w:t>
            </w:r>
          </w:p>
          <w:p w14:paraId="5BEA0DC0" w14:textId="77777777" w:rsidR="00436939" w:rsidRPr="00E426C4" w:rsidRDefault="00436939" w:rsidP="00436939">
            <w:pPr>
              <w:spacing w:before="280" w:after="280"/>
              <w:jc w:val="both"/>
              <w:rPr>
                <w:rFonts w:asciiTheme="majorHAnsi" w:hAnsiTheme="majorHAnsi" w:cstheme="majorHAnsi"/>
                <w:b/>
                <w:bCs/>
                <w:sz w:val="18"/>
                <w:szCs w:val="18"/>
              </w:rPr>
            </w:pPr>
            <w:r w:rsidRPr="00E426C4">
              <w:rPr>
                <w:rFonts w:asciiTheme="majorHAnsi" w:hAnsiTheme="majorHAnsi" w:cstheme="majorHAnsi"/>
                <w:b/>
                <w:bCs/>
                <w:sz w:val="18"/>
                <w:szCs w:val="18"/>
              </w:rPr>
              <w:t>Artículo 1º</w:t>
            </w:r>
            <w:r w:rsidRPr="00E426C4">
              <w:rPr>
                <w:rFonts w:asciiTheme="majorHAnsi" w:hAnsiTheme="majorHAnsi" w:cstheme="majorHAnsi"/>
                <w:sz w:val="18"/>
                <w:szCs w:val="18"/>
              </w:rPr>
              <w:t>. Modifíquese el artículo 12 de la Constitución Política de Colombia, el cual quedará así:</w:t>
            </w:r>
          </w:p>
          <w:p w14:paraId="3D1E566B" w14:textId="77777777" w:rsidR="00436939" w:rsidRPr="00E426C4" w:rsidRDefault="00436939" w:rsidP="00436939">
            <w:pPr>
              <w:spacing w:before="280" w:after="280"/>
              <w:jc w:val="both"/>
              <w:rPr>
                <w:rFonts w:asciiTheme="majorHAnsi" w:hAnsiTheme="majorHAnsi" w:cstheme="majorHAnsi"/>
                <w:b/>
                <w:bCs/>
                <w:sz w:val="18"/>
                <w:szCs w:val="18"/>
              </w:rPr>
            </w:pPr>
            <w:r w:rsidRPr="00E426C4">
              <w:rPr>
                <w:rFonts w:asciiTheme="majorHAnsi" w:hAnsiTheme="majorHAnsi" w:cstheme="majorHAnsi"/>
                <w:b/>
                <w:bCs/>
                <w:sz w:val="18"/>
                <w:szCs w:val="18"/>
              </w:rPr>
              <w:t>ARTICULO 12</w:t>
            </w:r>
            <w:r w:rsidRPr="00E426C4">
              <w:rPr>
                <w:rFonts w:asciiTheme="majorHAnsi" w:hAnsiTheme="majorHAnsi" w:cstheme="majorHAnsi"/>
                <w:b/>
                <w:sz w:val="18"/>
                <w:szCs w:val="18"/>
              </w:rPr>
              <w:t xml:space="preserve">. </w:t>
            </w:r>
            <w:r w:rsidRPr="00E426C4">
              <w:rPr>
                <w:rFonts w:asciiTheme="majorHAnsi" w:hAnsiTheme="majorHAnsi" w:cstheme="majorHAnsi"/>
                <w:bCs/>
                <w:sz w:val="18"/>
                <w:szCs w:val="18"/>
              </w:rPr>
              <w:t>Nadie será sometido a desaparición forzada, a torturas ni a tratos o penas crueles, inhumanos o degradantes.</w:t>
            </w:r>
          </w:p>
          <w:p w14:paraId="4FE60E47" w14:textId="2D8BF759" w:rsidR="00436939" w:rsidRPr="00E426C4" w:rsidRDefault="00436939" w:rsidP="00436939">
            <w:pPr>
              <w:spacing w:before="280" w:after="280"/>
              <w:jc w:val="both"/>
              <w:rPr>
                <w:rFonts w:asciiTheme="majorHAnsi" w:hAnsiTheme="majorHAnsi" w:cstheme="majorHAnsi"/>
                <w:b/>
                <w:bCs/>
                <w:sz w:val="18"/>
                <w:szCs w:val="18"/>
                <w:u w:val="single"/>
              </w:rPr>
            </w:pPr>
            <w:r w:rsidRPr="00E426C4">
              <w:rPr>
                <w:rFonts w:asciiTheme="majorHAnsi" w:hAnsiTheme="majorHAnsi" w:cstheme="majorHAnsi"/>
                <w:sz w:val="18"/>
                <w:szCs w:val="18"/>
              </w:rPr>
              <w:t>La mutilación genital femenina constituye violencia de género y se prohíbe su práctica en todo el territorio nacional. La ley regulará las sanciones en que incurrirán quienes</w:t>
            </w:r>
            <w:r w:rsidRPr="00E426C4">
              <w:rPr>
                <w:rFonts w:asciiTheme="majorHAnsi" w:hAnsiTheme="majorHAnsi" w:cstheme="majorHAnsi"/>
                <w:b/>
                <w:bCs/>
                <w:sz w:val="18"/>
                <w:szCs w:val="18"/>
              </w:rPr>
              <w:t xml:space="preserve"> la</w:t>
            </w:r>
            <w:r w:rsidRPr="00E426C4">
              <w:rPr>
                <w:rFonts w:asciiTheme="majorHAnsi" w:hAnsiTheme="majorHAnsi" w:cstheme="majorHAnsi"/>
                <w:b/>
                <w:bCs/>
                <w:sz w:val="18"/>
                <w:szCs w:val="18"/>
                <w:u w:val="single"/>
              </w:rPr>
              <w:t xml:space="preserve"> </w:t>
            </w:r>
            <w:r w:rsidRPr="00E426C4">
              <w:rPr>
                <w:rFonts w:asciiTheme="majorHAnsi" w:hAnsiTheme="majorHAnsi" w:cstheme="majorHAnsi"/>
                <w:sz w:val="18"/>
                <w:szCs w:val="18"/>
              </w:rPr>
              <w:t>practiquen</w:t>
            </w:r>
            <w:r>
              <w:rPr>
                <w:rFonts w:asciiTheme="majorHAnsi" w:hAnsiTheme="majorHAnsi" w:cstheme="majorHAnsi"/>
                <w:sz w:val="18"/>
                <w:szCs w:val="18"/>
              </w:rPr>
              <w:t xml:space="preserve">, </w:t>
            </w:r>
            <w:r>
              <w:rPr>
                <w:rFonts w:asciiTheme="majorHAnsi" w:hAnsiTheme="majorHAnsi" w:cstheme="majorHAnsi"/>
                <w:b/>
                <w:bCs/>
                <w:sz w:val="18"/>
                <w:szCs w:val="18"/>
                <w:u w:val="single"/>
              </w:rPr>
              <w:t>incentiven o impongan su práctica</w:t>
            </w:r>
            <w:r w:rsidRPr="00E426C4">
              <w:rPr>
                <w:rFonts w:asciiTheme="majorHAnsi" w:hAnsiTheme="majorHAnsi" w:cstheme="majorHAnsi"/>
                <w:b/>
                <w:bCs/>
                <w:sz w:val="18"/>
                <w:szCs w:val="18"/>
                <w:u w:val="single"/>
              </w:rPr>
              <w:t xml:space="preserve">. </w:t>
            </w:r>
          </w:p>
          <w:p w14:paraId="7B52673B" w14:textId="0E5BC666" w:rsidR="00E426C4" w:rsidRPr="00E426C4" w:rsidRDefault="00E426C4" w:rsidP="00E426C4">
            <w:pPr>
              <w:jc w:val="both"/>
              <w:rPr>
                <w:rFonts w:asciiTheme="majorHAnsi" w:hAnsiTheme="majorHAnsi" w:cstheme="majorHAnsi"/>
                <w:b/>
                <w:sz w:val="18"/>
                <w:szCs w:val="18"/>
              </w:rPr>
            </w:pPr>
          </w:p>
        </w:tc>
        <w:tc>
          <w:tcPr>
            <w:tcW w:w="2997" w:type="dxa"/>
          </w:tcPr>
          <w:p w14:paraId="57DCB966" w14:textId="77777777" w:rsidR="005A0662" w:rsidRDefault="005A0662" w:rsidP="00C03352">
            <w:pPr>
              <w:rPr>
                <w:rFonts w:asciiTheme="majorHAnsi" w:hAnsiTheme="majorHAnsi" w:cstheme="majorHAnsi"/>
                <w:b/>
                <w:sz w:val="18"/>
                <w:szCs w:val="18"/>
              </w:rPr>
            </w:pPr>
          </w:p>
          <w:p w14:paraId="1D8E8D3D" w14:textId="77777777" w:rsidR="007A39CE" w:rsidRDefault="007A39CE" w:rsidP="00C03352">
            <w:pPr>
              <w:rPr>
                <w:rFonts w:asciiTheme="majorHAnsi" w:hAnsiTheme="majorHAnsi" w:cstheme="majorHAnsi"/>
                <w:b/>
                <w:sz w:val="18"/>
                <w:szCs w:val="18"/>
              </w:rPr>
            </w:pPr>
          </w:p>
          <w:p w14:paraId="5973A750" w14:textId="6C4B9311" w:rsidR="007A39CE" w:rsidRPr="00436939" w:rsidRDefault="00436939" w:rsidP="00436939">
            <w:pPr>
              <w:jc w:val="both"/>
              <w:rPr>
                <w:rFonts w:asciiTheme="majorHAnsi" w:hAnsiTheme="majorHAnsi" w:cstheme="majorHAnsi"/>
                <w:bCs/>
                <w:sz w:val="18"/>
                <w:szCs w:val="18"/>
              </w:rPr>
            </w:pPr>
            <w:r w:rsidRPr="00436939">
              <w:rPr>
                <w:rFonts w:asciiTheme="majorHAnsi" w:hAnsiTheme="majorHAnsi" w:cstheme="majorHAnsi"/>
                <w:bCs/>
                <w:sz w:val="18"/>
                <w:szCs w:val="18"/>
              </w:rPr>
              <w:t xml:space="preserve">Se hace necesario incluir en las eventuales sanciones que establecerá la Ley, no solo a quienes la practiquen sino a quienes incentivan o impongan </w:t>
            </w:r>
            <w:r w:rsidRPr="00436939">
              <w:rPr>
                <w:rFonts w:asciiTheme="majorHAnsi" w:hAnsiTheme="majorHAnsi" w:cstheme="majorHAnsi"/>
                <w:bCs/>
                <w:sz w:val="18"/>
                <w:szCs w:val="18"/>
              </w:rPr>
              <w:lastRenderedPageBreak/>
              <w:t xml:space="preserve">la práctica de la </w:t>
            </w:r>
            <w:r w:rsidR="00CC3E62">
              <w:rPr>
                <w:rFonts w:asciiTheme="majorHAnsi" w:hAnsiTheme="majorHAnsi" w:cstheme="majorHAnsi"/>
                <w:bCs/>
                <w:sz w:val="18"/>
                <w:szCs w:val="18"/>
              </w:rPr>
              <w:t>mutilación genital de las niñas, p</w:t>
            </w:r>
            <w:r w:rsidRPr="00436939">
              <w:rPr>
                <w:rFonts w:asciiTheme="majorHAnsi" w:hAnsiTheme="majorHAnsi" w:cstheme="majorHAnsi"/>
                <w:bCs/>
                <w:sz w:val="18"/>
                <w:szCs w:val="18"/>
              </w:rPr>
              <w:t>orque suelen ser personas diferentes y no siempre la mujer que la pr</w:t>
            </w:r>
            <w:r w:rsidR="00CC3E62">
              <w:rPr>
                <w:rFonts w:asciiTheme="majorHAnsi" w:hAnsiTheme="majorHAnsi" w:cstheme="majorHAnsi"/>
                <w:bCs/>
                <w:sz w:val="18"/>
                <w:szCs w:val="18"/>
              </w:rPr>
              <w:t>a</w:t>
            </w:r>
            <w:r w:rsidRPr="00436939">
              <w:rPr>
                <w:rFonts w:asciiTheme="majorHAnsi" w:hAnsiTheme="majorHAnsi" w:cstheme="majorHAnsi"/>
                <w:bCs/>
                <w:sz w:val="18"/>
                <w:szCs w:val="18"/>
              </w:rPr>
              <w:t>ctica lo hace por voluntad propia</w:t>
            </w:r>
            <w:r w:rsidR="00CC3E62">
              <w:rPr>
                <w:rFonts w:asciiTheme="majorHAnsi" w:hAnsiTheme="majorHAnsi" w:cstheme="majorHAnsi"/>
                <w:bCs/>
                <w:sz w:val="18"/>
                <w:szCs w:val="18"/>
              </w:rPr>
              <w:t>,</w:t>
            </w:r>
            <w:r w:rsidRPr="00436939">
              <w:rPr>
                <w:rFonts w:asciiTheme="majorHAnsi" w:hAnsiTheme="majorHAnsi" w:cstheme="majorHAnsi"/>
                <w:bCs/>
                <w:sz w:val="18"/>
                <w:szCs w:val="18"/>
              </w:rPr>
              <w:t xml:space="preserve"> sino incentivada </w:t>
            </w:r>
            <w:r w:rsidR="00CC3E62">
              <w:rPr>
                <w:rFonts w:asciiTheme="majorHAnsi" w:hAnsiTheme="majorHAnsi" w:cstheme="majorHAnsi"/>
                <w:bCs/>
                <w:sz w:val="18"/>
                <w:szCs w:val="18"/>
              </w:rPr>
              <w:t>u</w:t>
            </w:r>
            <w:r w:rsidRPr="00436939">
              <w:rPr>
                <w:rFonts w:asciiTheme="majorHAnsi" w:hAnsiTheme="majorHAnsi" w:cstheme="majorHAnsi"/>
                <w:bCs/>
                <w:sz w:val="18"/>
                <w:szCs w:val="18"/>
              </w:rPr>
              <w:t xml:space="preserve"> obligada por otros</w:t>
            </w:r>
            <w:r w:rsidR="00CC3E62">
              <w:rPr>
                <w:rFonts w:asciiTheme="majorHAnsi" w:hAnsiTheme="majorHAnsi" w:cstheme="majorHAnsi"/>
                <w:bCs/>
                <w:sz w:val="18"/>
                <w:szCs w:val="18"/>
              </w:rPr>
              <w:t xml:space="preserve"> y es a estos- que obligan o incentivan esta práctica, a los que también debe sancionar la ley.</w:t>
            </w:r>
          </w:p>
          <w:p w14:paraId="5ABED04B" w14:textId="77777777" w:rsidR="007A39CE" w:rsidRDefault="007A39CE" w:rsidP="00C03352">
            <w:pPr>
              <w:rPr>
                <w:rFonts w:asciiTheme="majorHAnsi" w:hAnsiTheme="majorHAnsi" w:cstheme="majorHAnsi"/>
                <w:b/>
                <w:sz w:val="18"/>
                <w:szCs w:val="18"/>
              </w:rPr>
            </w:pPr>
          </w:p>
          <w:p w14:paraId="572C3632" w14:textId="0F6D2F1C" w:rsidR="007A39CE" w:rsidRPr="00071425" w:rsidRDefault="007A39CE" w:rsidP="00C03352">
            <w:pPr>
              <w:rPr>
                <w:rFonts w:asciiTheme="majorHAnsi" w:hAnsiTheme="majorHAnsi" w:cstheme="majorHAnsi"/>
                <w:b/>
                <w:sz w:val="18"/>
                <w:szCs w:val="18"/>
              </w:rPr>
            </w:pPr>
          </w:p>
        </w:tc>
      </w:tr>
      <w:tr w:rsidR="005A0662" w14:paraId="66E32228" w14:textId="562807C3" w:rsidTr="005A0662">
        <w:tc>
          <w:tcPr>
            <w:tcW w:w="3156" w:type="dxa"/>
          </w:tcPr>
          <w:p w14:paraId="318448A4" w14:textId="77777777" w:rsidR="00E426C4" w:rsidRPr="00E426C4" w:rsidRDefault="005A0662" w:rsidP="00E426C4">
            <w:pPr>
              <w:spacing w:before="280" w:after="280"/>
              <w:ind w:left="284" w:right="333"/>
              <w:rPr>
                <w:rFonts w:asciiTheme="majorHAnsi" w:eastAsia="Bookman Old Style" w:hAnsiTheme="majorHAnsi" w:cstheme="majorHAnsi"/>
                <w:color w:val="000000"/>
                <w:sz w:val="18"/>
                <w:szCs w:val="18"/>
              </w:rPr>
            </w:pPr>
            <w:bookmarkStart w:id="12" w:name="_Hlk175558013"/>
            <w:bookmarkEnd w:id="10"/>
            <w:r w:rsidRPr="00071425">
              <w:rPr>
                <w:rFonts w:asciiTheme="majorHAnsi" w:eastAsia="Bookman Old Style" w:hAnsiTheme="majorHAnsi" w:cstheme="majorHAnsi"/>
                <w:color w:val="000000"/>
                <w:sz w:val="18"/>
                <w:szCs w:val="18"/>
                <w:u w:val="single"/>
              </w:rPr>
              <w:lastRenderedPageBreak/>
              <w:t xml:space="preserve"> </w:t>
            </w:r>
            <w:r w:rsidR="00E426C4" w:rsidRPr="00E426C4">
              <w:rPr>
                <w:rFonts w:asciiTheme="majorHAnsi" w:eastAsia="Bookman Old Style" w:hAnsiTheme="majorHAnsi" w:cstheme="majorHAnsi"/>
                <w:b/>
                <w:bCs/>
                <w:color w:val="000000"/>
                <w:sz w:val="18"/>
                <w:szCs w:val="18"/>
              </w:rPr>
              <w:t xml:space="preserve">Artículo 2º. </w:t>
            </w:r>
            <w:r w:rsidR="00E426C4" w:rsidRPr="00E426C4">
              <w:rPr>
                <w:rFonts w:asciiTheme="majorHAnsi" w:eastAsia="Bookman Old Style" w:hAnsiTheme="majorHAnsi" w:cstheme="majorHAnsi"/>
                <w:color w:val="000000"/>
                <w:sz w:val="18"/>
                <w:szCs w:val="18"/>
              </w:rPr>
              <w:t>Modifíquese el artículo 13 de la Constitución Política de Colombia, el cual quedará así:</w:t>
            </w:r>
          </w:p>
          <w:p w14:paraId="474FA266" w14:textId="77777777" w:rsidR="00E426C4" w:rsidRPr="00E426C4" w:rsidRDefault="00E426C4" w:rsidP="00E426C4">
            <w:pPr>
              <w:spacing w:before="280" w:after="280"/>
              <w:ind w:left="284" w:right="333"/>
              <w:jc w:val="both"/>
              <w:rPr>
                <w:rFonts w:asciiTheme="majorHAnsi" w:eastAsia="Bookman Old Style" w:hAnsiTheme="majorHAnsi" w:cstheme="majorHAnsi"/>
                <w:color w:val="000000"/>
                <w:sz w:val="18"/>
                <w:szCs w:val="18"/>
                <w:u w:val="single"/>
              </w:rPr>
            </w:pPr>
            <w:r w:rsidRPr="00E426C4">
              <w:rPr>
                <w:rFonts w:asciiTheme="majorHAnsi" w:eastAsia="Bookman Old Style" w:hAnsiTheme="majorHAnsi" w:cstheme="majorHAnsi"/>
                <w:b/>
                <w:bCs/>
                <w:color w:val="000000"/>
                <w:sz w:val="18"/>
                <w:szCs w:val="18"/>
              </w:rPr>
              <w:t xml:space="preserve">ARTICULO 13. </w:t>
            </w:r>
            <w:r w:rsidRPr="00E426C4">
              <w:rPr>
                <w:rFonts w:asciiTheme="majorHAnsi" w:eastAsia="Bookman Old Style" w:hAnsiTheme="majorHAnsi" w:cstheme="majorHAnsi"/>
                <w:color w:val="000000"/>
                <w:sz w:val="18"/>
                <w:szCs w:val="18"/>
              </w:rPr>
              <w:t>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r w:rsidRPr="00E426C4">
              <w:rPr>
                <w:rFonts w:asciiTheme="majorHAnsi" w:eastAsia="Bookman Old Style" w:hAnsiTheme="majorHAnsi" w:cstheme="majorHAnsi"/>
                <w:color w:val="000000"/>
                <w:sz w:val="18"/>
                <w:szCs w:val="18"/>
                <w:u w:val="single"/>
              </w:rPr>
              <w:t>.</w:t>
            </w:r>
          </w:p>
          <w:p w14:paraId="45BF23F1" w14:textId="77777777" w:rsidR="00E426C4" w:rsidRPr="00E426C4" w:rsidRDefault="00E426C4" w:rsidP="00E426C4">
            <w:pPr>
              <w:spacing w:before="280" w:after="280"/>
              <w:ind w:left="284" w:right="333"/>
              <w:jc w:val="both"/>
              <w:rPr>
                <w:rFonts w:asciiTheme="majorHAnsi" w:eastAsia="Bookman Old Style" w:hAnsiTheme="majorHAnsi" w:cstheme="majorHAnsi"/>
                <w:b/>
                <w:bCs/>
                <w:color w:val="000000"/>
                <w:sz w:val="18"/>
                <w:szCs w:val="18"/>
                <w:u w:val="single"/>
              </w:rPr>
            </w:pPr>
            <w:r w:rsidRPr="00E426C4">
              <w:rPr>
                <w:rFonts w:asciiTheme="majorHAnsi" w:eastAsia="Bookman Old Style" w:hAnsiTheme="majorHAnsi" w:cstheme="majorHAnsi"/>
                <w:b/>
                <w:bCs/>
                <w:color w:val="000000"/>
                <w:sz w:val="18"/>
                <w:szCs w:val="18"/>
                <w:u w:val="single"/>
              </w:rPr>
              <w:t xml:space="preserve">Ninguna niña podrá ser sometida a mutilación genital </w:t>
            </w:r>
          </w:p>
          <w:p w14:paraId="40560306" w14:textId="77777777" w:rsidR="00E426C4" w:rsidRPr="00E426C4" w:rsidRDefault="00E426C4" w:rsidP="00E426C4">
            <w:pPr>
              <w:spacing w:before="280" w:after="280"/>
              <w:ind w:left="284" w:right="333"/>
              <w:jc w:val="both"/>
              <w:rPr>
                <w:rFonts w:asciiTheme="majorHAnsi" w:eastAsia="Bookman Old Style" w:hAnsiTheme="majorHAnsi" w:cstheme="majorHAnsi"/>
                <w:color w:val="000000"/>
                <w:sz w:val="18"/>
                <w:szCs w:val="18"/>
              </w:rPr>
            </w:pPr>
            <w:r w:rsidRPr="00E426C4">
              <w:rPr>
                <w:rFonts w:asciiTheme="majorHAnsi" w:eastAsia="Bookman Old Style" w:hAnsiTheme="majorHAnsi" w:cstheme="majorHAnsi"/>
                <w:color w:val="000000"/>
                <w:sz w:val="18"/>
                <w:szCs w:val="18"/>
              </w:rPr>
              <w:t>El Estado promoverá las condiciones para que la igualdad sea real y efectiva y adoptará medidas en favor de grupos discriminados o marginados.</w:t>
            </w:r>
          </w:p>
          <w:p w14:paraId="37F8A742" w14:textId="77777777" w:rsidR="00E426C4" w:rsidRPr="00E426C4" w:rsidRDefault="00E426C4" w:rsidP="00E426C4">
            <w:pPr>
              <w:spacing w:before="280" w:after="280"/>
              <w:ind w:left="284" w:right="333"/>
              <w:jc w:val="both"/>
              <w:rPr>
                <w:rFonts w:asciiTheme="majorHAnsi" w:eastAsia="Bookman Old Style" w:hAnsiTheme="majorHAnsi" w:cstheme="majorHAnsi"/>
                <w:color w:val="000000"/>
                <w:sz w:val="18"/>
                <w:szCs w:val="18"/>
              </w:rPr>
            </w:pPr>
            <w:r w:rsidRPr="00E426C4">
              <w:rPr>
                <w:rFonts w:asciiTheme="majorHAnsi" w:eastAsia="Bookman Old Style" w:hAnsiTheme="majorHAnsi" w:cstheme="majorHAnsi"/>
                <w:color w:val="000000"/>
                <w:sz w:val="18"/>
                <w:szCs w:val="18"/>
              </w:rPr>
              <w:t xml:space="preserve">El Estado protegerá especialmente a aquellas personas </w:t>
            </w:r>
            <w:proofErr w:type="gramStart"/>
            <w:r w:rsidRPr="00E426C4">
              <w:rPr>
                <w:rFonts w:asciiTheme="majorHAnsi" w:eastAsia="Bookman Old Style" w:hAnsiTheme="majorHAnsi" w:cstheme="majorHAnsi"/>
                <w:color w:val="000000"/>
                <w:sz w:val="18"/>
                <w:szCs w:val="18"/>
              </w:rPr>
              <w:t>que</w:t>
            </w:r>
            <w:proofErr w:type="gramEnd"/>
            <w:r w:rsidRPr="00E426C4">
              <w:rPr>
                <w:rFonts w:asciiTheme="majorHAnsi" w:eastAsia="Bookman Old Style" w:hAnsiTheme="majorHAnsi" w:cstheme="majorHAnsi"/>
                <w:color w:val="000000"/>
                <w:sz w:val="18"/>
                <w:szCs w:val="18"/>
              </w:rPr>
              <w:t xml:space="preserve"> por su condición </w:t>
            </w:r>
            <w:r w:rsidRPr="00E426C4">
              <w:rPr>
                <w:rFonts w:asciiTheme="majorHAnsi" w:eastAsia="Bookman Old Style" w:hAnsiTheme="majorHAnsi" w:cstheme="majorHAnsi"/>
                <w:color w:val="000000"/>
                <w:sz w:val="18"/>
                <w:szCs w:val="18"/>
              </w:rPr>
              <w:lastRenderedPageBreak/>
              <w:t>económica, física o mental, se encuentren en circunstancia de debilidad manifiesta y sancionará los abusos o maltratos que contra ellas se cometan.</w:t>
            </w:r>
          </w:p>
          <w:p w14:paraId="32437E65" w14:textId="5935716E" w:rsidR="005A0662" w:rsidRPr="00071425" w:rsidRDefault="005A0662" w:rsidP="00E426C4">
            <w:pPr>
              <w:spacing w:before="280" w:after="280"/>
              <w:ind w:left="284" w:right="333"/>
              <w:jc w:val="both"/>
              <w:rPr>
                <w:rFonts w:asciiTheme="majorHAnsi" w:hAnsiTheme="majorHAnsi" w:cstheme="majorHAnsi"/>
                <w:b/>
                <w:sz w:val="18"/>
                <w:szCs w:val="18"/>
              </w:rPr>
            </w:pPr>
          </w:p>
        </w:tc>
        <w:tc>
          <w:tcPr>
            <w:tcW w:w="2997" w:type="dxa"/>
          </w:tcPr>
          <w:p w14:paraId="29095FC7" w14:textId="77777777" w:rsidR="00E426C4" w:rsidRPr="00E426C4" w:rsidRDefault="00E426C4" w:rsidP="00E426C4">
            <w:pPr>
              <w:spacing w:before="280" w:after="280"/>
              <w:ind w:left="284" w:right="333"/>
              <w:rPr>
                <w:rFonts w:asciiTheme="majorHAnsi" w:eastAsia="Bookman Old Style" w:hAnsiTheme="majorHAnsi" w:cstheme="majorHAnsi"/>
                <w:color w:val="000000"/>
                <w:sz w:val="18"/>
                <w:szCs w:val="18"/>
              </w:rPr>
            </w:pPr>
            <w:r w:rsidRPr="00E426C4">
              <w:rPr>
                <w:rFonts w:asciiTheme="majorHAnsi" w:eastAsia="Bookman Old Style" w:hAnsiTheme="majorHAnsi" w:cstheme="majorHAnsi"/>
                <w:b/>
                <w:bCs/>
                <w:color w:val="000000"/>
                <w:sz w:val="18"/>
                <w:szCs w:val="18"/>
              </w:rPr>
              <w:lastRenderedPageBreak/>
              <w:t xml:space="preserve">Artículo 2º. </w:t>
            </w:r>
            <w:r w:rsidRPr="00E426C4">
              <w:rPr>
                <w:rFonts w:asciiTheme="majorHAnsi" w:eastAsia="Bookman Old Style" w:hAnsiTheme="majorHAnsi" w:cstheme="majorHAnsi"/>
                <w:color w:val="000000"/>
                <w:sz w:val="18"/>
                <w:szCs w:val="18"/>
              </w:rPr>
              <w:t>Modifíquese el artículo 13 de la Constitución Política de Colombia, el cual quedará así:</w:t>
            </w:r>
          </w:p>
          <w:p w14:paraId="67AC0B04" w14:textId="77777777" w:rsidR="00E426C4" w:rsidRPr="00E426C4" w:rsidRDefault="00E426C4" w:rsidP="00E426C4">
            <w:pPr>
              <w:spacing w:before="280" w:after="280"/>
              <w:ind w:left="284" w:right="333"/>
              <w:jc w:val="both"/>
              <w:rPr>
                <w:rFonts w:asciiTheme="majorHAnsi" w:eastAsia="Bookman Old Style" w:hAnsiTheme="majorHAnsi" w:cstheme="majorHAnsi"/>
                <w:color w:val="000000"/>
                <w:sz w:val="18"/>
                <w:szCs w:val="18"/>
                <w:u w:val="single"/>
              </w:rPr>
            </w:pPr>
            <w:r w:rsidRPr="00E426C4">
              <w:rPr>
                <w:rFonts w:asciiTheme="majorHAnsi" w:eastAsia="Bookman Old Style" w:hAnsiTheme="majorHAnsi" w:cstheme="majorHAnsi"/>
                <w:b/>
                <w:bCs/>
                <w:color w:val="000000"/>
                <w:sz w:val="18"/>
                <w:szCs w:val="18"/>
              </w:rPr>
              <w:t xml:space="preserve">ARTICULO 13. </w:t>
            </w:r>
            <w:r w:rsidRPr="00E426C4">
              <w:rPr>
                <w:rFonts w:asciiTheme="majorHAnsi" w:eastAsia="Bookman Old Style" w:hAnsiTheme="majorHAnsi" w:cstheme="majorHAnsi"/>
                <w:color w:val="000000"/>
                <w:sz w:val="18"/>
                <w:szCs w:val="18"/>
              </w:rPr>
              <w:t>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r w:rsidRPr="00E426C4">
              <w:rPr>
                <w:rFonts w:asciiTheme="majorHAnsi" w:eastAsia="Bookman Old Style" w:hAnsiTheme="majorHAnsi" w:cstheme="majorHAnsi"/>
                <w:color w:val="000000"/>
                <w:sz w:val="18"/>
                <w:szCs w:val="18"/>
                <w:u w:val="single"/>
              </w:rPr>
              <w:t>.</w:t>
            </w:r>
          </w:p>
          <w:p w14:paraId="4E2F7B5C" w14:textId="1B247E3D" w:rsidR="00E426C4" w:rsidRPr="00E426C4" w:rsidRDefault="00E426C4" w:rsidP="00E426C4">
            <w:pPr>
              <w:spacing w:before="280" w:after="280"/>
              <w:ind w:left="284" w:right="333"/>
              <w:jc w:val="both"/>
              <w:rPr>
                <w:rFonts w:asciiTheme="majorHAnsi" w:eastAsia="Bookman Old Style" w:hAnsiTheme="majorHAnsi" w:cstheme="majorHAnsi"/>
                <w:b/>
                <w:bCs/>
                <w:color w:val="000000"/>
                <w:sz w:val="18"/>
                <w:szCs w:val="18"/>
                <w:u w:val="single"/>
              </w:rPr>
            </w:pPr>
            <w:r w:rsidRPr="00E426C4">
              <w:rPr>
                <w:rFonts w:asciiTheme="majorHAnsi" w:eastAsia="Bookman Old Style" w:hAnsiTheme="majorHAnsi" w:cstheme="majorHAnsi"/>
                <w:color w:val="000000"/>
                <w:sz w:val="18"/>
                <w:szCs w:val="18"/>
              </w:rPr>
              <w:t>Ninguna niña podrá ser sometida a mutilación genital</w:t>
            </w:r>
            <w:r w:rsidRPr="00E426C4">
              <w:rPr>
                <w:rFonts w:asciiTheme="majorHAnsi" w:eastAsia="Bookman Old Style" w:hAnsiTheme="majorHAnsi" w:cstheme="majorHAnsi"/>
                <w:b/>
                <w:bCs/>
                <w:color w:val="000000"/>
                <w:sz w:val="18"/>
                <w:szCs w:val="18"/>
                <w:u w:val="single"/>
              </w:rPr>
              <w:t xml:space="preserve"> </w:t>
            </w:r>
            <w:r>
              <w:rPr>
                <w:rFonts w:asciiTheme="majorHAnsi" w:eastAsia="Bookman Old Style" w:hAnsiTheme="majorHAnsi" w:cstheme="majorHAnsi"/>
                <w:b/>
                <w:bCs/>
                <w:color w:val="000000"/>
                <w:sz w:val="18"/>
                <w:szCs w:val="18"/>
                <w:u w:val="single"/>
              </w:rPr>
              <w:t xml:space="preserve">y el Estado deberá adoptar políticas públicas con enfoque diferencial para </w:t>
            </w:r>
            <w:r w:rsidR="00436939">
              <w:rPr>
                <w:rFonts w:asciiTheme="majorHAnsi" w:eastAsia="Bookman Old Style" w:hAnsiTheme="majorHAnsi" w:cstheme="majorHAnsi"/>
                <w:b/>
                <w:bCs/>
                <w:color w:val="000000"/>
                <w:sz w:val="18"/>
                <w:szCs w:val="18"/>
                <w:u w:val="single"/>
              </w:rPr>
              <w:t>garantizar la prevención de esta conducta, la transformación cultural hacia el respeto por la integridad física de las niñas y la atención</w:t>
            </w:r>
            <w:r>
              <w:rPr>
                <w:rFonts w:asciiTheme="majorHAnsi" w:eastAsia="Bookman Old Style" w:hAnsiTheme="majorHAnsi" w:cstheme="majorHAnsi"/>
                <w:b/>
                <w:bCs/>
                <w:color w:val="000000"/>
                <w:sz w:val="18"/>
                <w:szCs w:val="18"/>
                <w:u w:val="single"/>
              </w:rPr>
              <w:t xml:space="preserve"> en salud física y </w:t>
            </w:r>
            <w:r>
              <w:rPr>
                <w:rFonts w:asciiTheme="majorHAnsi" w:eastAsia="Bookman Old Style" w:hAnsiTheme="majorHAnsi" w:cstheme="majorHAnsi"/>
                <w:b/>
                <w:bCs/>
                <w:color w:val="000000"/>
                <w:sz w:val="18"/>
                <w:szCs w:val="18"/>
                <w:u w:val="single"/>
              </w:rPr>
              <w:lastRenderedPageBreak/>
              <w:t>mental para las víctimas</w:t>
            </w:r>
            <w:r w:rsidR="00CC3E62">
              <w:rPr>
                <w:rFonts w:asciiTheme="majorHAnsi" w:eastAsia="Bookman Old Style" w:hAnsiTheme="majorHAnsi" w:cstheme="majorHAnsi"/>
                <w:b/>
                <w:bCs/>
                <w:color w:val="000000"/>
                <w:sz w:val="18"/>
                <w:szCs w:val="18"/>
                <w:u w:val="single"/>
              </w:rPr>
              <w:t xml:space="preserve"> de esta práctica</w:t>
            </w:r>
            <w:r>
              <w:rPr>
                <w:rFonts w:asciiTheme="majorHAnsi" w:eastAsia="Bookman Old Style" w:hAnsiTheme="majorHAnsi" w:cstheme="majorHAnsi"/>
                <w:b/>
                <w:bCs/>
                <w:color w:val="000000"/>
                <w:sz w:val="18"/>
                <w:szCs w:val="18"/>
                <w:u w:val="single"/>
              </w:rPr>
              <w:t>.</w:t>
            </w:r>
          </w:p>
          <w:p w14:paraId="0E9C4946" w14:textId="77777777" w:rsidR="00E426C4" w:rsidRPr="00E426C4" w:rsidRDefault="00E426C4" w:rsidP="00E426C4">
            <w:pPr>
              <w:spacing w:before="280" w:after="280"/>
              <w:ind w:left="284" w:right="333"/>
              <w:jc w:val="both"/>
              <w:rPr>
                <w:rFonts w:asciiTheme="majorHAnsi" w:eastAsia="Bookman Old Style" w:hAnsiTheme="majorHAnsi" w:cstheme="majorHAnsi"/>
                <w:color w:val="000000"/>
                <w:sz w:val="18"/>
                <w:szCs w:val="18"/>
              </w:rPr>
            </w:pPr>
            <w:r w:rsidRPr="00E426C4">
              <w:rPr>
                <w:rFonts w:asciiTheme="majorHAnsi" w:eastAsia="Bookman Old Style" w:hAnsiTheme="majorHAnsi" w:cstheme="majorHAnsi"/>
                <w:color w:val="000000"/>
                <w:sz w:val="18"/>
                <w:szCs w:val="18"/>
              </w:rPr>
              <w:t>El Estado promoverá las condiciones para que la igualdad sea real y efectiva y adoptará medidas en favor de grupos discriminados o marginados.</w:t>
            </w:r>
          </w:p>
          <w:p w14:paraId="1CB3B589" w14:textId="77777777" w:rsidR="00E426C4" w:rsidRPr="00E426C4" w:rsidRDefault="00E426C4" w:rsidP="00E426C4">
            <w:pPr>
              <w:spacing w:before="280" w:after="280"/>
              <w:ind w:left="284" w:right="333"/>
              <w:jc w:val="both"/>
              <w:rPr>
                <w:rFonts w:asciiTheme="majorHAnsi" w:eastAsia="Bookman Old Style" w:hAnsiTheme="majorHAnsi" w:cstheme="majorHAnsi"/>
                <w:color w:val="000000"/>
                <w:sz w:val="18"/>
                <w:szCs w:val="18"/>
              </w:rPr>
            </w:pPr>
            <w:r w:rsidRPr="00E426C4">
              <w:rPr>
                <w:rFonts w:asciiTheme="majorHAnsi" w:eastAsia="Bookman Old Style" w:hAnsiTheme="majorHAnsi" w:cstheme="majorHAnsi"/>
                <w:color w:val="000000"/>
                <w:sz w:val="18"/>
                <w:szCs w:val="18"/>
              </w:rPr>
              <w:t xml:space="preserve">El Estado protegerá especialmente a aquellas personas </w:t>
            </w:r>
            <w:proofErr w:type="gramStart"/>
            <w:r w:rsidRPr="00E426C4">
              <w:rPr>
                <w:rFonts w:asciiTheme="majorHAnsi" w:eastAsia="Bookman Old Style" w:hAnsiTheme="majorHAnsi" w:cstheme="majorHAnsi"/>
                <w:color w:val="000000"/>
                <w:sz w:val="18"/>
                <w:szCs w:val="18"/>
              </w:rPr>
              <w:t>que</w:t>
            </w:r>
            <w:proofErr w:type="gramEnd"/>
            <w:r w:rsidRPr="00E426C4">
              <w:rPr>
                <w:rFonts w:asciiTheme="majorHAnsi" w:eastAsia="Bookman Old Style" w:hAnsiTheme="majorHAnsi" w:cstheme="majorHAnsi"/>
                <w:color w:val="000000"/>
                <w:sz w:val="18"/>
                <w:szCs w:val="18"/>
              </w:rPr>
              <w:t xml:space="preserve"> por su condición económica, física o mental, se encuentren en circunstancia de debilidad manifiesta y sancionará los abusos o maltratos que contra ellas se cometan.</w:t>
            </w:r>
          </w:p>
          <w:p w14:paraId="73F36579" w14:textId="77777777" w:rsidR="007A39CE" w:rsidRDefault="007A39CE" w:rsidP="00C03352">
            <w:pPr>
              <w:rPr>
                <w:rFonts w:asciiTheme="majorHAnsi" w:hAnsiTheme="majorHAnsi" w:cstheme="majorHAnsi"/>
                <w:b/>
                <w:sz w:val="18"/>
                <w:szCs w:val="18"/>
              </w:rPr>
            </w:pPr>
          </w:p>
          <w:p w14:paraId="6254B651" w14:textId="364D1EE6" w:rsidR="007A39CE" w:rsidRPr="00071425" w:rsidRDefault="007A39CE" w:rsidP="00C03352">
            <w:pPr>
              <w:rPr>
                <w:rFonts w:asciiTheme="majorHAnsi" w:hAnsiTheme="majorHAnsi" w:cstheme="majorHAnsi"/>
                <w:b/>
                <w:sz w:val="18"/>
                <w:szCs w:val="18"/>
              </w:rPr>
            </w:pPr>
          </w:p>
        </w:tc>
        <w:tc>
          <w:tcPr>
            <w:tcW w:w="2997" w:type="dxa"/>
          </w:tcPr>
          <w:p w14:paraId="026E64C1" w14:textId="77777777" w:rsidR="005A0662" w:rsidRDefault="005A0662" w:rsidP="00C03352">
            <w:pPr>
              <w:rPr>
                <w:rFonts w:asciiTheme="majorHAnsi" w:hAnsiTheme="majorHAnsi" w:cstheme="majorHAnsi"/>
                <w:b/>
                <w:sz w:val="18"/>
                <w:szCs w:val="18"/>
              </w:rPr>
            </w:pPr>
          </w:p>
          <w:p w14:paraId="2CC9C91B" w14:textId="77777777" w:rsidR="00436939" w:rsidRPr="00436939" w:rsidRDefault="00436939" w:rsidP="00436939">
            <w:pPr>
              <w:jc w:val="both"/>
              <w:rPr>
                <w:rFonts w:asciiTheme="majorHAnsi" w:hAnsiTheme="majorHAnsi" w:cstheme="majorHAnsi"/>
                <w:bCs/>
                <w:sz w:val="18"/>
                <w:szCs w:val="18"/>
              </w:rPr>
            </w:pPr>
          </w:p>
          <w:p w14:paraId="58BE9762" w14:textId="2D4D3769" w:rsidR="00436939" w:rsidRPr="00071425" w:rsidRDefault="00436939" w:rsidP="00436939">
            <w:pPr>
              <w:jc w:val="both"/>
              <w:rPr>
                <w:rFonts w:asciiTheme="majorHAnsi" w:hAnsiTheme="majorHAnsi" w:cstheme="majorHAnsi"/>
                <w:b/>
                <w:sz w:val="18"/>
                <w:szCs w:val="18"/>
              </w:rPr>
            </w:pPr>
            <w:r w:rsidRPr="00436939">
              <w:rPr>
                <w:rFonts w:asciiTheme="majorHAnsi" w:hAnsiTheme="majorHAnsi" w:cstheme="majorHAnsi"/>
                <w:bCs/>
                <w:sz w:val="18"/>
                <w:szCs w:val="18"/>
              </w:rPr>
              <w:t>Además de la prohibición, se incluye la obligación para el Estado de adoptar políticas públicas con enfoque diferencial para prevenir la ocurrencia de esta conducta y garantizar la atención en salud de las niñas víctimas de esta práctica cruel e inhumana</w:t>
            </w:r>
            <w:r>
              <w:rPr>
                <w:rFonts w:asciiTheme="majorHAnsi" w:hAnsiTheme="majorHAnsi" w:cstheme="majorHAnsi"/>
                <w:bCs/>
                <w:sz w:val="18"/>
                <w:szCs w:val="18"/>
              </w:rPr>
              <w:t>.</w:t>
            </w:r>
          </w:p>
        </w:tc>
      </w:tr>
      <w:bookmarkEnd w:id="12"/>
      <w:tr w:rsidR="005A0662" w14:paraId="1E62B696" w14:textId="22C278C0" w:rsidTr="005A0662">
        <w:tc>
          <w:tcPr>
            <w:tcW w:w="3156" w:type="dxa"/>
          </w:tcPr>
          <w:p w14:paraId="52894E4B" w14:textId="77777777" w:rsidR="00436939" w:rsidRPr="00436939" w:rsidRDefault="00436939" w:rsidP="00436939">
            <w:pPr>
              <w:jc w:val="both"/>
              <w:rPr>
                <w:rFonts w:asciiTheme="majorHAnsi" w:hAnsiTheme="majorHAnsi" w:cstheme="majorHAnsi"/>
                <w:bCs/>
                <w:sz w:val="18"/>
                <w:szCs w:val="18"/>
              </w:rPr>
            </w:pPr>
            <w:r w:rsidRPr="00436939">
              <w:rPr>
                <w:rFonts w:asciiTheme="majorHAnsi" w:hAnsiTheme="majorHAnsi" w:cstheme="majorHAnsi"/>
                <w:b/>
                <w:bCs/>
                <w:sz w:val="18"/>
                <w:szCs w:val="18"/>
              </w:rPr>
              <w:t xml:space="preserve">Artículo 3º. </w:t>
            </w:r>
            <w:r w:rsidRPr="00436939">
              <w:rPr>
                <w:rFonts w:asciiTheme="majorHAnsi" w:hAnsiTheme="majorHAnsi" w:cstheme="majorHAnsi"/>
                <w:bCs/>
                <w:sz w:val="18"/>
                <w:szCs w:val="18"/>
              </w:rPr>
              <w:t>Modifíquese el artículo 43 de la Constitución Política de Colombia, el cual quedará así:</w:t>
            </w:r>
          </w:p>
          <w:p w14:paraId="788D6F1B" w14:textId="77777777" w:rsidR="00436939" w:rsidRPr="00436939" w:rsidRDefault="00436939" w:rsidP="00436939">
            <w:pPr>
              <w:jc w:val="both"/>
              <w:rPr>
                <w:rFonts w:asciiTheme="majorHAnsi" w:hAnsiTheme="majorHAnsi" w:cstheme="majorHAnsi"/>
                <w:bCs/>
                <w:sz w:val="18"/>
                <w:szCs w:val="18"/>
              </w:rPr>
            </w:pPr>
          </w:p>
          <w:p w14:paraId="64EC532C" w14:textId="77777777" w:rsidR="00436939" w:rsidRPr="00436939" w:rsidRDefault="00436939" w:rsidP="00436939">
            <w:pPr>
              <w:jc w:val="both"/>
              <w:rPr>
                <w:rFonts w:asciiTheme="majorHAnsi" w:hAnsiTheme="majorHAnsi" w:cstheme="majorHAnsi"/>
                <w:bCs/>
                <w:sz w:val="18"/>
                <w:szCs w:val="18"/>
              </w:rPr>
            </w:pPr>
            <w:r w:rsidRPr="00436939">
              <w:rPr>
                <w:rFonts w:asciiTheme="majorHAnsi" w:hAnsiTheme="majorHAnsi" w:cstheme="majorHAnsi"/>
                <w:b/>
                <w:bCs/>
                <w:sz w:val="18"/>
                <w:szCs w:val="18"/>
              </w:rPr>
              <w:t xml:space="preserve">ARTICULO 43. </w:t>
            </w:r>
            <w:r w:rsidRPr="00436939">
              <w:rPr>
                <w:rFonts w:asciiTheme="majorHAnsi" w:hAnsiTheme="majorHAnsi" w:cstheme="majorHAnsi"/>
                <w:bCs/>
                <w:sz w:val="18"/>
                <w:szCs w:val="18"/>
              </w:rPr>
              <w:t xml:space="preserve">La mujer y el hombre tienen iguales derechos y oportunidades. La mujer no podrá ser sometida a ninguna clase de discriminación </w:t>
            </w:r>
            <w:r w:rsidRPr="00436939">
              <w:rPr>
                <w:rFonts w:asciiTheme="majorHAnsi" w:hAnsiTheme="majorHAnsi" w:cstheme="majorHAnsi"/>
                <w:b/>
                <w:bCs/>
                <w:sz w:val="18"/>
                <w:szCs w:val="18"/>
                <w:u w:val="single"/>
              </w:rPr>
              <w:t>ni violencia; la mutilación genital femenina se prohíbe en todo el territorio nacional.</w:t>
            </w:r>
            <w:r w:rsidRPr="00436939">
              <w:rPr>
                <w:rFonts w:asciiTheme="majorHAnsi" w:hAnsiTheme="majorHAnsi" w:cstheme="majorHAnsi"/>
                <w:bCs/>
                <w:sz w:val="18"/>
                <w:szCs w:val="18"/>
              </w:rPr>
              <w:t xml:space="preserve"> Durante el embarazo y después del parto gozará de especial asistencia y protección del Estado, y recibirá de éste subsidio alimentario si entonces estuviere desempleada o desamparada.</w:t>
            </w:r>
          </w:p>
          <w:p w14:paraId="593F9C45" w14:textId="77777777" w:rsidR="00436939" w:rsidRPr="00436939" w:rsidRDefault="00436939" w:rsidP="00436939">
            <w:pPr>
              <w:jc w:val="both"/>
              <w:rPr>
                <w:rFonts w:asciiTheme="majorHAnsi" w:hAnsiTheme="majorHAnsi" w:cstheme="majorHAnsi"/>
                <w:bCs/>
                <w:sz w:val="18"/>
                <w:szCs w:val="18"/>
              </w:rPr>
            </w:pPr>
          </w:p>
          <w:p w14:paraId="785AE25F" w14:textId="77777777" w:rsidR="00436939" w:rsidRPr="00436939" w:rsidRDefault="00436939" w:rsidP="00436939">
            <w:pPr>
              <w:jc w:val="both"/>
              <w:rPr>
                <w:rFonts w:asciiTheme="majorHAnsi" w:hAnsiTheme="majorHAnsi" w:cstheme="majorHAnsi"/>
                <w:bCs/>
                <w:sz w:val="18"/>
                <w:szCs w:val="18"/>
              </w:rPr>
            </w:pPr>
            <w:r w:rsidRPr="00436939">
              <w:rPr>
                <w:rFonts w:asciiTheme="majorHAnsi" w:hAnsiTheme="majorHAnsi" w:cstheme="majorHAnsi"/>
                <w:bCs/>
                <w:sz w:val="18"/>
                <w:szCs w:val="18"/>
              </w:rPr>
              <w:t>El Estado apoyará de manera especial a la mujer cabeza de familia.</w:t>
            </w:r>
          </w:p>
          <w:p w14:paraId="32A2457A" w14:textId="2EDF95F9" w:rsidR="005A0662" w:rsidRPr="00071425" w:rsidRDefault="005A0662" w:rsidP="005A0662">
            <w:pPr>
              <w:jc w:val="both"/>
              <w:rPr>
                <w:rFonts w:asciiTheme="majorHAnsi" w:hAnsiTheme="majorHAnsi" w:cstheme="majorHAnsi"/>
                <w:bCs/>
                <w:sz w:val="18"/>
                <w:szCs w:val="18"/>
              </w:rPr>
            </w:pPr>
          </w:p>
        </w:tc>
        <w:tc>
          <w:tcPr>
            <w:tcW w:w="2997" w:type="dxa"/>
          </w:tcPr>
          <w:p w14:paraId="16503735" w14:textId="32F5813A" w:rsidR="005A0662" w:rsidRPr="00071425" w:rsidRDefault="007A39CE" w:rsidP="005A0662">
            <w:pPr>
              <w:jc w:val="both"/>
              <w:rPr>
                <w:rFonts w:asciiTheme="majorHAnsi" w:hAnsiTheme="majorHAnsi" w:cstheme="majorHAnsi"/>
                <w:b/>
                <w:sz w:val="18"/>
                <w:szCs w:val="18"/>
              </w:rPr>
            </w:pPr>
            <w:r>
              <w:rPr>
                <w:rFonts w:asciiTheme="majorHAnsi" w:hAnsiTheme="majorHAnsi" w:cstheme="majorHAnsi"/>
                <w:b/>
                <w:sz w:val="18"/>
                <w:szCs w:val="18"/>
              </w:rPr>
              <w:t>Sin modificaciones</w:t>
            </w:r>
          </w:p>
        </w:tc>
        <w:tc>
          <w:tcPr>
            <w:tcW w:w="2997" w:type="dxa"/>
          </w:tcPr>
          <w:p w14:paraId="199F11AE" w14:textId="77777777" w:rsidR="005A0662" w:rsidRPr="00071425" w:rsidRDefault="005A0662" w:rsidP="005A0662">
            <w:pPr>
              <w:jc w:val="both"/>
              <w:rPr>
                <w:rFonts w:asciiTheme="majorHAnsi" w:hAnsiTheme="majorHAnsi" w:cstheme="majorHAnsi"/>
                <w:b/>
                <w:sz w:val="18"/>
                <w:szCs w:val="18"/>
              </w:rPr>
            </w:pPr>
          </w:p>
        </w:tc>
      </w:tr>
      <w:tr w:rsidR="00384E37" w14:paraId="53F10018" w14:textId="0675EEF8" w:rsidTr="005A0662">
        <w:tc>
          <w:tcPr>
            <w:tcW w:w="3156" w:type="dxa"/>
          </w:tcPr>
          <w:p w14:paraId="3CF326A6" w14:textId="1C5D3CB9" w:rsidR="00384E37" w:rsidRPr="00436939" w:rsidRDefault="00384E37" w:rsidP="00384E37">
            <w:pPr>
              <w:jc w:val="both"/>
              <w:rPr>
                <w:rFonts w:asciiTheme="majorHAnsi" w:hAnsiTheme="majorHAnsi" w:cstheme="majorHAnsi"/>
                <w:bCs/>
                <w:sz w:val="18"/>
                <w:szCs w:val="18"/>
              </w:rPr>
            </w:pPr>
            <w:bookmarkStart w:id="13" w:name="_Hlk175558419"/>
            <w:r w:rsidRPr="00436939">
              <w:rPr>
                <w:rFonts w:asciiTheme="majorHAnsi" w:hAnsiTheme="majorHAnsi" w:cstheme="majorHAnsi"/>
                <w:b/>
                <w:bCs/>
                <w:sz w:val="18"/>
                <w:szCs w:val="18"/>
              </w:rPr>
              <w:t xml:space="preserve">Artículo </w:t>
            </w:r>
            <w:r w:rsidRPr="00384E37">
              <w:rPr>
                <w:rFonts w:asciiTheme="majorHAnsi" w:hAnsiTheme="majorHAnsi" w:cstheme="majorHAnsi"/>
                <w:b/>
                <w:bCs/>
                <w:strike/>
                <w:sz w:val="18"/>
                <w:szCs w:val="18"/>
              </w:rPr>
              <w:t>1º</w:t>
            </w:r>
            <w:r w:rsidRPr="00436939">
              <w:rPr>
                <w:rFonts w:asciiTheme="majorHAnsi" w:hAnsiTheme="majorHAnsi" w:cstheme="majorHAnsi"/>
                <w:b/>
                <w:bCs/>
                <w:sz w:val="18"/>
                <w:szCs w:val="18"/>
              </w:rPr>
              <w:t xml:space="preserve">. </w:t>
            </w:r>
            <w:r w:rsidRPr="00436939">
              <w:rPr>
                <w:rFonts w:asciiTheme="majorHAnsi" w:hAnsiTheme="majorHAnsi" w:cstheme="majorHAnsi"/>
                <w:bCs/>
                <w:sz w:val="18"/>
                <w:szCs w:val="18"/>
              </w:rPr>
              <w:t>Modifíquese el artículo 44 de la Constitución Política de Colombia, el cual quedará así:</w:t>
            </w:r>
          </w:p>
          <w:p w14:paraId="571E8359" w14:textId="77777777" w:rsidR="00384E37" w:rsidRPr="00436939" w:rsidRDefault="00384E37" w:rsidP="00384E37">
            <w:pPr>
              <w:jc w:val="both"/>
              <w:rPr>
                <w:rFonts w:asciiTheme="majorHAnsi" w:hAnsiTheme="majorHAnsi" w:cstheme="majorHAnsi"/>
                <w:b/>
                <w:bCs/>
                <w:sz w:val="18"/>
                <w:szCs w:val="18"/>
              </w:rPr>
            </w:pPr>
          </w:p>
          <w:p w14:paraId="48A1CD64" w14:textId="77777777" w:rsidR="00384E37" w:rsidRPr="00436939" w:rsidRDefault="00384E37" w:rsidP="00384E37">
            <w:pPr>
              <w:jc w:val="both"/>
              <w:rPr>
                <w:rFonts w:asciiTheme="majorHAnsi" w:hAnsiTheme="majorHAnsi" w:cstheme="majorHAnsi"/>
                <w:bCs/>
                <w:sz w:val="18"/>
                <w:szCs w:val="18"/>
              </w:rPr>
            </w:pPr>
            <w:r w:rsidRPr="00436939">
              <w:rPr>
                <w:rFonts w:asciiTheme="majorHAnsi" w:hAnsiTheme="majorHAnsi" w:cstheme="majorHAnsi"/>
                <w:b/>
                <w:bCs/>
                <w:sz w:val="18"/>
                <w:szCs w:val="18"/>
              </w:rPr>
              <w:t xml:space="preserve">ARTICULO 44. </w:t>
            </w:r>
            <w:r w:rsidRPr="00436939">
              <w:rPr>
                <w:rFonts w:asciiTheme="majorHAnsi" w:hAnsiTheme="majorHAnsi" w:cstheme="majorHAnsi"/>
                <w:bCs/>
                <w:sz w:val="18"/>
                <w:szCs w:val="18"/>
              </w:rPr>
              <w:t xml:space="preserve">Son derechos fundamentales de los niños: la vida, la integridad física, la salud y la seguridad social, la alimentación equilibrada, su nombre y nacionalidad, tener una familia y no ser separados de ella, el </w:t>
            </w:r>
            <w:r w:rsidRPr="00436939">
              <w:rPr>
                <w:rFonts w:asciiTheme="majorHAnsi" w:hAnsiTheme="majorHAnsi" w:cstheme="majorHAnsi"/>
                <w:bCs/>
                <w:sz w:val="18"/>
                <w:szCs w:val="18"/>
              </w:rPr>
              <w:lastRenderedPageBreak/>
              <w:t xml:space="preserve">cuidado y amor, la educación y la cultura, la recreación y la libre expresión de su opinión. Serán protegidos contra toda forma de abandono, violencia física o moral, </w:t>
            </w:r>
            <w:r w:rsidRPr="00436939">
              <w:rPr>
                <w:rFonts w:asciiTheme="majorHAnsi" w:hAnsiTheme="majorHAnsi" w:cstheme="majorHAnsi"/>
                <w:b/>
                <w:bCs/>
                <w:sz w:val="18"/>
                <w:szCs w:val="18"/>
                <w:u w:val="single"/>
              </w:rPr>
              <w:t>mutilación genital,</w:t>
            </w:r>
            <w:r w:rsidRPr="00436939">
              <w:rPr>
                <w:rFonts w:asciiTheme="majorHAnsi" w:hAnsiTheme="majorHAnsi" w:cstheme="majorHAnsi"/>
                <w:bCs/>
                <w:sz w:val="18"/>
                <w:szCs w:val="18"/>
              </w:rPr>
              <w:t xml:space="preserve"> secuestro, venta, abuso sexual, explotación laboral o económica y trabajos riesgosos. Gozarán también de los demás derechos consagrados en la Constitución, en las leyes y en los tratados internacionales ratificados por Colombia.</w:t>
            </w:r>
          </w:p>
          <w:p w14:paraId="025149ED" w14:textId="77777777" w:rsidR="00384E37" w:rsidRPr="00436939" w:rsidRDefault="00384E37" w:rsidP="00384E37">
            <w:pPr>
              <w:jc w:val="both"/>
              <w:rPr>
                <w:rFonts w:asciiTheme="majorHAnsi" w:hAnsiTheme="majorHAnsi" w:cstheme="majorHAnsi"/>
                <w:bCs/>
                <w:sz w:val="18"/>
                <w:szCs w:val="18"/>
              </w:rPr>
            </w:pPr>
          </w:p>
          <w:p w14:paraId="038DBF5A" w14:textId="77777777" w:rsidR="00384E37" w:rsidRPr="00436939" w:rsidRDefault="00384E37" w:rsidP="00384E37">
            <w:pPr>
              <w:jc w:val="both"/>
              <w:rPr>
                <w:rFonts w:asciiTheme="majorHAnsi" w:hAnsiTheme="majorHAnsi" w:cstheme="majorHAnsi"/>
                <w:bCs/>
                <w:sz w:val="18"/>
                <w:szCs w:val="18"/>
              </w:rPr>
            </w:pPr>
            <w:r w:rsidRPr="00436939">
              <w:rPr>
                <w:rFonts w:asciiTheme="majorHAnsi" w:hAnsiTheme="majorHAnsi" w:cstheme="majorHAnsi"/>
                <w:bCs/>
                <w:sz w:val="18"/>
                <w:szCs w:val="18"/>
              </w:rPr>
              <w:t>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w:t>
            </w:r>
          </w:p>
          <w:p w14:paraId="6FF2804A" w14:textId="77777777" w:rsidR="00384E37" w:rsidRPr="00436939" w:rsidRDefault="00384E37" w:rsidP="00384E37">
            <w:pPr>
              <w:jc w:val="both"/>
              <w:rPr>
                <w:rFonts w:asciiTheme="majorHAnsi" w:hAnsiTheme="majorHAnsi" w:cstheme="majorHAnsi"/>
                <w:bCs/>
                <w:sz w:val="18"/>
                <w:szCs w:val="18"/>
              </w:rPr>
            </w:pPr>
          </w:p>
          <w:p w14:paraId="4530883D" w14:textId="77777777" w:rsidR="00384E37" w:rsidRPr="00436939" w:rsidRDefault="00384E37" w:rsidP="00384E37">
            <w:pPr>
              <w:jc w:val="both"/>
              <w:rPr>
                <w:rFonts w:asciiTheme="majorHAnsi" w:hAnsiTheme="majorHAnsi" w:cstheme="majorHAnsi"/>
                <w:bCs/>
                <w:sz w:val="18"/>
                <w:szCs w:val="18"/>
              </w:rPr>
            </w:pPr>
            <w:r w:rsidRPr="00436939">
              <w:rPr>
                <w:rFonts w:asciiTheme="majorHAnsi" w:hAnsiTheme="majorHAnsi" w:cstheme="majorHAnsi"/>
                <w:bCs/>
                <w:sz w:val="18"/>
                <w:szCs w:val="18"/>
              </w:rPr>
              <w:t>Los derechos de los niños prevalecen sobre los derechos de los demás.</w:t>
            </w:r>
          </w:p>
          <w:p w14:paraId="4C035329" w14:textId="23C73C6C" w:rsidR="00384E37" w:rsidRPr="00071425" w:rsidRDefault="00384E37" w:rsidP="00384E37">
            <w:pPr>
              <w:jc w:val="both"/>
              <w:rPr>
                <w:rFonts w:asciiTheme="majorHAnsi" w:hAnsiTheme="majorHAnsi" w:cstheme="majorHAnsi"/>
                <w:bCs/>
                <w:sz w:val="18"/>
                <w:szCs w:val="18"/>
              </w:rPr>
            </w:pPr>
          </w:p>
        </w:tc>
        <w:tc>
          <w:tcPr>
            <w:tcW w:w="2997" w:type="dxa"/>
          </w:tcPr>
          <w:p w14:paraId="0519E5FD" w14:textId="77777777" w:rsidR="00384E37" w:rsidRPr="00436939" w:rsidRDefault="00384E37" w:rsidP="00384E37">
            <w:pPr>
              <w:jc w:val="both"/>
              <w:rPr>
                <w:rFonts w:asciiTheme="majorHAnsi" w:hAnsiTheme="majorHAnsi" w:cstheme="majorHAnsi"/>
                <w:bCs/>
                <w:sz w:val="18"/>
                <w:szCs w:val="18"/>
              </w:rPr>
            </w:pPr>
            <w:r w:rsidRPr="00436939">
              <w:rPr>
                <w:rFonts w:asciiTheme="majorHAnsi" w:hAnsiTheme="majorHAnsi" w:cstheme="majorHAnsi"/>
                <w:b/>
                <w:bCs/>
                <w:sz w:val="18"/>
                <w:szCs w:val="18"/>
              </w:rPr>
              <w:lastRenderedPageBreak/>
              <w:t xml:space="preserve">Artículo </w:t>
            </w:r>
            <w:r w:rsidRPr="00384E37">
              <w:rPr>
                <w:rFonts w:asciiTheme="majorHAnsi" w:hAnsiTheme="majorHAnsi" w:cstheme="majorHAnsi"/>
                <w:b/>
                <w:bCs/>
                <w:sz w:val="18"/>
                <w:szCs w:val="18"/>
                <w:u w:val="single"/>
              </w:rPr>
              <w:t>4º</w:t>
            </w:r>
            <w:r w:rsidRPr="00436939">
              <w:rPr>
                <w:rFonts w:asciiTheme="majorHAnsi" w:hAnsiTheme="majorHAnsi" w:cstheme="majorHAnsi"/>
                <w:b/>
                <w:bCs/>
                <w:sz w:val="18"/>
                <w:szCs w:val="18"/>
              </w:rPr>
              <w:t xml:space="preserve">. </w:t>
            </w:r>
            <w:r w:rsidRPr="00436939">
              <w:rPr>
                <w:rFonts w:asciiTheme="majorHAnsi" w:hAnsiTheme="majorHAnsi" w:cstheme="majorHAnsi"/>
                <w:bCs/>
                <w:sz w:val="18"/>
                <w:szCs w:val="18"/>
              </w:rPr>
              <w:t>Modifíquese el artículo 44 de la Constitución Política de Colombia, el cual quedará así:</w:t>
            </w:r>
          </w:p>
          <w:p w14:paraId="4D98C0D3" w14:textId="77777777" w:rsidR="00384E37" w:rsidRPr="00436939" w:rsidRDefault="00384E37" w:rsidP="00384E37">
            <w:pPr>
              <w:jc w:val="both"/>
              <w:rPr>
                <w:rFonts w:asciiTheme="majorHAnsi" w:hAnsiTheme="majorHAnsi" w:cstheme="majorHAnsi"/>
                <w:b/>
                <w:bCs/>
                <w:sz w:val="18"/>
                <w:szCs w:val="18"/>
              </w:rPr>
            </w:pPr>
          </w:p>
          <w:p w14:paraId="782A350B" w14:textId="77777777" w:rsidR="00384E37" w:rsidRPr="00436939" w:rsidRDefault="00384E37" w:rsidP="00384E37">
            <w:pPr>
              <w:jc w:val="both"/>
              <w:rPr>
                <w:rFonts w:asciiTheme="majorHAnsi" w:hAnsiTheme="majorHAnsi" w:cstheme="majorHAnsi"/>
                <w:bCs/>
                <w:sz w:val="18"/>
                <w:szCs w:val="18"/>
              </w:rPr>
            </w:pPr>
            <w:r w:rsidRPr="00436939">
              <w:rPr>
                <w:rFonts w:asciiTheme="majorHAnsi" w:hAnsiTheme="majorHAnsi" w:cstheme="majorHAnsi"/>
                <w:b/>
                <w:bCs/>
                <w:sz w:val="18"/>
                <w:szCs w:val="18"/>
              </w:rPr>
              <w:t xml:space="preserve">ARTICULO 44. </w:t>
            </w:r>
            <w:r w:rsidRPr="00436939">
              <w:rPr>
                <w:rFonts w:asciiTheme="majorHAnsi" w:hAnsiTheme="majorHAnsi" w:cstheme="majorHAnsi"/>
                <w:bCs/>
                <w:sz w:val="18"/>
                <w:szCs w:val="18"/>
              </w:rPr>
              <w:t xml:space="preserve">Son derechos fundamentales de los niños: la vida, la integridad física, la salud y la seguridad social, la alimentación equilibrada, su nombre y nacionalidad, tener una familia y no </w:t>
            </w:r>
            <w:r w:rsidRPr="00436939">
              <w:rPr>
                <w:rFonts w:asciiTheme="majorHAnsi" w:hAnsiTheme="majorHAnsi" w:cstheme="majorHAnsi"/>
                <w:bCs/>
                <w:sz w:val="18"/>
                <w:szCs w:val="18"/>
              </w:rPr>
              <w:lastRenderedPageBreak/>
              <w:t xml:space="preserve">ser separados de ella, el cuidado y amor, la educación y la cultura, la recreación y la libre expresión de su opinión. Serán protegidos contra toda forma de abandono, violencia física o moral, </w:t>
            </w:r>
            <w:r w:rsidRPr="00436939">
              <w:rPr>
                <w:rFonts w:asciiTheme="majorHAnsi" w:hAnsiTheme="majorHAnsi" w:cstheme="majorHAnsi"/>
                <w:b/>
                <w:bCs/>
                <w:sz w:val="18"/>
                <w:szCs w:val="18"/>
                <w:u w:val="single"/>
              </w:rPr>
              <w:t>mutilación genital,</w:t>
            </w:r>
            <w:r w:rsidRPr="00436939">
              <w:rPr>
                <w:rFonts w:asciiTheme="majorHAnsi" w:hAnsiTheme="majorHAnsi" w:cstheme="majorHAnsi"/>
                <w:bCs/>
                <w:sz w:val="18"/>
                <w:szCs w:val="18"/>
              </w:rPr>
              <w:t xml:space="preserve"> secuestro, venta, abuso sexual, explotación laboral o económica y trabajos riesgosos. Gozarán también de los demás derechos consagrados en la Constitución, en las leyes y en los tratados internacionales ratificados por Colombia.</w:t>
            </w:r>
          </w:p>
          <w:p w14:paraId="0641D166" w14:textId="77777777" w:rsidR="00384E37" w:rsidRPr="00436939" w:rsidRDefault="00384E37" w:rsidP="00384E37">
            <w:pPr>
              <w:jc w:val="both"/>
              <w:rPr>
                <w:rFonts w:asciiTheme="majorHAnsi" w:hAnsiTheme="majorHAnsi" w:cstheme="majorHAnsi"/>
                <w:bCs/>
                <w:sz w:val="18"/>
                <w:szCs w:val="18"/>
              </w:rPr>
            </w:pPr>
          </w:p>
          <w:p w14:paraId="260AE6D6" w14:textId="77777777" w:rsidR="00384E37" w:rsidRPr="00436939" w:rsidRDefault="00384E37" w:rsidP="00384E37">
            <w:pPr>
              <w:jc w:val="both"/>
              <w:rPr>
                <w:rFonts w:asciiTheme="majorHAnsi" w:hAnsiTheme="majorHAnsi" w:cstheme="majorHAnsi"/>
                <w:bCs/>
                <w:sz w:val="18"/>
                <w:szCs w:val="18"/>
              </w:rPr>
            </w:pPr>
            <w:r w:rsidRPr="00436939">
              <w:rPr>
                <w:rFonts w:asciiTheme="majorHAnsi" w:hAnsiTheme="majorHAnsi" w:cstheme="majorHAnsi"/>
                <w:bCs/>
                <w:sz w:val="18"/>
                <w:szCs w:val="18"/>
              </w:rPr>
              <w:t>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w:t>
            </w:r>
          </w:p>
          <w:p w14:paraId="0B465CBD" w14:textId="77777777" w:rsidR="00384E37" w:rsidRPr="00436939" w:rsidRDefault="00384E37" w:rsidP="00384E37">
            <w:pPr>
              <w:jc w:val="both"/>
              <w:rPr>
                <w:rFonts w:asciiTheme="majorHAnsi" w:hAnsiTheme="majorHAnsi" w:cstheme="majorHAnsi"/>
                <w:bCs/>
                <w:sz w:val="18"/>
                <w:szCs w:val="18"/>
              </w:rPr>
            </w:pPr>
          </w:p>
          <w:p w14:paraId="25606C98" w14:textId="77777777" w:rsidR="00384E37" w:rsidRPr="00436939" w:rsidRDefault="00384E37" w:rsidP="00384E37">
            <w:pPr>
              <w:jc w:val="both"/>
              <w:rPr>
                <w:rFonts w:asciiTheme="majorHAnsi" w:hAnsiTheme="majorHAnsi" w:cstheme="majorHAnsi"/>
                <w:bCs/>
                <w:sz w:val="18"/>
                <w:szCs w:val="18"/>
              </w:rPr>
            </w:pPr>
            <w:r w:rsidRPr="00436939">
              <w:rPr>
                <w:rFonts w:asciiTheme="majorHAnsi" w:hAnsiTheme="majorHAnsi" w:cstheme="majorHAnsi"/>
                <w:bCs/>
                <w:sz w:val="18"/>
                <w:szCs w:val="18"/>
              </w:rPr>
              <w:t>Los derechos de los niños prevalecen sobre los derechos de los demás.</w:t>
            </w:r>
          </w:p>
          <w:p w14:paraId="369A2E5A" w14:textId="09B1CD33" w:rsidR="00384E37" w:rsidRPr="00071425" w:rsidRDefault="00384E37" w:rsidP="00384E37">
            <w:pPr>
              <w:rPr>
                <w:rFonts w:asciiTheme="majorHAnsi" w:hAnsiTheme="majorHAnsi" w:cstheme="majorHAnsi"/>
                <w:b/>
                <w:sz w:val="18"/>
                <w:szCs w:val="18"/>
              </w:rPr>
            </w:pPr>
          </w:p>
        </w:tc>
        <w:tc>
          <w:tcPr>
            <w:tcW w:w="2997" w:type="dxa"/>
          </w:tcPr>
          <w:p w14:paraId="38F9AF4C" w14:textId="77777777" w:rsidR="00384E37" w:rsidRDefault="00384E37" w:rsidP="00384E37">
            <w:pPr>
              <w:rPr>
                <w:rFonts w:asciiTheme="majorHAnsi" w:hAnsiTheme="majorHAnsi" w:cstheme="majorHAnsi"/>
                <w:b/>
                <w:sz w:val="18"/>
                <w:szCs w:val="18"/>
              </w:rPr>
            </w:pPr>
          </w:p>
          <w:p w14:paraId="2F17FEE0" w14:textId="77777777" w:rsidR="00384E37" w:rsidRDefault="00384E37" w:rsidP="00384E37">
            <w:pPr>
              <w:rPr>
                <w:rFonts w:asciiTheme="majorHAnsi" w:hAnsiTheme="majorHAnsi" w:cstheme="majorHAnsi"/>
                <w:b/>
                <w:sz w:val="18"/>
                <w:szCs w:val="18"/>
              </w:rPr>
            </w:pPr>
          </w:p>
          <w:p w14:paraId="0C6AB39F" w14:textId="77777777" w:rsidR="00384E37" w:rsidRDefault="00384E37" w:rsidP="00384E37">
            <w:pPr>
              <w:rPr>
                <w:rFonts w:asciiTheme="majorHAnsi" w:hAnsiTheme="majorHAnsi" w:cstheme="majorHAnsi"/>
                <w:b/>
                <w:sz w:val="18"/>
                <w:szCs w:val="18"/>
              </w:rPr>
            </w:pPr>
          </w:p>
          <w:p w14:paraId="7444837F" w14:textId="77777777" w:rsidR="00384E37" w:rsidRDefault="00384E37" w:rsidP="00384E37">
            <w:pPr>
              <w:rPr>
                <w:rFonts w:asciiTheme="majorHAnsi" w:hAnsiTheme="majorHAnsi" w:cstheme="majorHAnsi"/>
                <w:b/>
                <w:sz w:val="18"/>
                <w:szCs w:val="18"/>
              </w:rPr>
            </w:pPr>
          </w:p>
          <w:p w14:paraId="506935A1" w14:textId="567CE88C" w:rsidR="00384E37" w:rsidRDefault="00384E37" w:rsidP="00384E37">
            <w:pPr>
              <w:rPr>
                <w:rFonts w:asciiTheme="majorHAnsi" w:hAnsiTheme="majorHAnsi" w:cstheme="majorHAnsi"/>
                <w:b/>
                <w:sz w:val="18"/>
                <w:szCs w:val="18"/>
              </w:rPr>
            </w:pPr>
            <w:r>
              <w:rPr>
                <w:rFonts w:asciiTheme="majorHAnsi" w:hAnsiTheme="majorHAnsi" w:cstheme="majorHAnsi"/>
                <w:b/>
                <w:sz w:val="18"/>
                <w:szCs w:val="18"/>
              </w:rPr>
              <w:t>Se corrige error en la numeración del artículo</w:t>
            </w:r>
          </w:p>
          <w:p w14:paraId="514855B1" w14:textId="77777777" w:rsidR="00384E37" w:rsidRDefault="00384E37" w:rsidP="00384E37">
            <w:pPr>
              <w:rPr>
                <w:rFonts w:asciiTheme="majorHAnsi" w:hAnsiTheme="majorHAnsi" w:cstheme="majorHAnsi"/>
                <w:b/>
                <w:sz w:val="18"/>
                <w:szCs w:val="18"/>
              </w:rPr>
            </w:pPr>
          </w:p>
          <w:p w14:paraId="752308A0" w14:textId="77777777" w:rsidR="00384E37" w:rsidRDefault="00384E37" w:rsidP="00384E37">
            <w:pPr>
              <w:rPr>
                <w:rFonts w:asciiTheme="majorHAnsi" w:hAnsiTheme="majorHAnsi" w:cstheme="majorHAnsi"/>
                <w:b/>
                <w:sz w:val="18"/>
                <w:szCs w:val="18"/>
              </w:rPr>
            </w:pPr>
          </w:p>
          <w:p w14:paraId="409D92D1" w14:textId="77777777" w:rsidR="00384E37" w:rsidRDefault="00384E37" w:rsidP="00384E37">
            <w:pPr>
              <w:rPr>
                <w:rFonts w:asciiTheme="majorHAnsi" w:hAnsiTheme="majorHAnsi" w:cstheme="majorHAnsi"/>
                <w:b/>
                <w:sz w:val="18"/>
                <w:szCs w:val="18"/>
              </w:rPr>
            </w:pPr>
          </w:p>
          <w:p w14:paraId="06A3972E" w14:textId="77777777" w:rsidR="00384E37" w:rsidRDefault="00384E37" w:rsidP="00384E37">
            <w:pPr>
              <w:rPr>
                <w:rFonts w:asciiTheme="majorHAnsi" w:hAnsiTheme="majorHAnsi" w:cstheme="majorHAnsi"/>
                <w:b/>
                <w:sz w:val="18"/>
                <w:szCs w:val="18"/>
              </w:rPr>
            </w:pPr>
          </w:p>
          <w:p w14:paraId="755D60C1" w14:textId="77777777" w:rsidR="00384E37" w:rsidRPr="00071425" w:rsidRDefault="00384E37" w:rsidP="00384E37">
            <w:pPr>
              <w:rPr>
                <w:rFonts w:asciiTheme="majorHAnsi" w:hAnsiTheme="majorHAnsi" w:cstheme="majorHAnsi"/>
                <w:b/>
                <w:sz w:val="18"/>
                <w:szCs w:val="18"/>
              </w:rPr>
            </w:pPr>
          </w:p>
        </w:tc>
      </w:tr>
      <w:bookmarkEnd w:id="13"/>
      <w:tr w:rsidR="005A0662" w:rsidRPr="005B6713" w14:paraId="691C809D" w14:textId="1A55C2F4" w:rsidTr="005A0662">
        <w:tc>
          <w:tcPr>
            <w:tcW w:w="3156" w:type="dxa"/>
          </w:tcPr>
          <w:p w14:paraId="5F9D8AE8" w14:textId="09CB86F8" w:rsidR="005A0662" w:rsidRPr="00071425" w:rsidRDefault="00436939" w:rsidP="005A0662">
            <w:pPr>
              <w:jc w:val="both"/>
              <w:rPr>
                <w:rFonts w:asciiTheme="majorHAnsi" w:hAnsiTheme="majorHAnsi" w:cstheme="majorHAnsi"/>
                <w:b/>
                <w:sz w:val="18"/>
                <w:szCs w:val="18"/>
              </w:rPr>
            </w:pPr>
            <w:r w:rsidRPr="00436939">
              <w:rPr>
                <w:rFonts w:asciiTheme="majorHAnsi" w:hAnsiTheme="majorHAnsi" w:cstheme="majorHAnsi"/>
                <w:b/>
                <w:bCs/>
                <w:sz w:val="18"/>
                <w:szCs w:val="18"/>
                <w:lang w:val="es-ES"/>
              </w:rPr>
              <w:lastRenderedPageBreak/>
              <w:t xml:space="preserve">Artículo </w:t>
            </w:r>
            <w:r w:rsidR="00384E37" w:rsidRPr="00384E37">
              <w:rPr>
                <w:rFonts w:asciiTheme="majorHAnsi" w:hAnsiTheme="majorHAnsi" w:cstheme="majorHAnsi"/>
                <w:b/>
                <w:bCs/>
                <w:strike/>
                <w:sz w:val="18"/>
                <w:szCs w:val="18"/>
                <w:lang w:val="es-ES"/>
              </w:rPr>
              <w:t>2</w:t>
            </w:r>
            <w:r w:rsidRPr="00384E37">
              <w:rPr>
                <w:rFonts w:asciiTheme="majorHAnsi" w:hAnsiTheme="majorHAnsi" w:cstheme="majorHAnsi"/>
                <w:b/>
                <w:bCs/>
                <w:strike/>
                <w:sz w:val="18"/>
                <w:szCs w:val="18"/>
                <w:lang w:val="es-ES"/>
              </w:rPr>
              <w:t>.</w:t>
            </w:r>
            <w:r w:rsidRPr="00436939">
              <w:rPr>
                <w:rFonts w:asciiTheme="majorHAnsi" w:hAnsiTheme="majorHAnsi" w:cstheme="majorHAnsi"/>
                <w:b/>
                <w:bCs/>
                <w:sz w:val="18"/>
                <w:szCs w:val="18"/>
                <w:lang w:val="es-ES"/>
              </w:rPr>
              <w:t xml:space="preserve"> Vigencia.</w:t>
            </w:r>
            <w:r w:rsidRPr="00436939">
              <w:rPr>
                <w:rFonts w:asciiTheme="majorHAnsi" w:hAnsiTheme="majorHAnsi" w:cstheme="majorHAnsi"/>
                <w:b/>
                <w:sz w:val="18"/>
                <w:szCs w:val="18"/>
                <w:lang w:val="es-ES"/>
              </w:rPr>
              <w:t xml:space="preserve"> </w:t>
            </w:r>
            <w:r w:rsidRPr="00436939">
              <w:rPr>
                <w:rFonts w:asciiTheme="majorHAnsi" w:hAnsiTheme="majorHAnsi" w:cstheme="majorHAnsi"/>
                <w:bCs/>
                <w:sz w:val="18"/>
                <w:szCs w:val="18"/>
                <w:lang w:val="es-ES"/>
              </w:rPr>
              <w:t>El presente Acto Legislativo rige a partir de su promulgación.</w:t>
            </w:r>
          </w:p>
        </w:tc>
        <w:tc>
          <w:tcPr>
            <w:tcW w:w="2997" w:type="dxa"/>
          </w:tcPr>
          <w:p w14:paraId="39E6DF97" w14:textId="3D2BA77F" w:rsidR="00071425" w:rsidRPr="00436939" w:rsidRDefault="00384E37" w:rsidP="00071425">
            <w:pPr>
              <w:jc w:val="both"/>
              <w:rPr>
                <w:rFonts w:asciiTheme="majorHAnsi" w:hAnsiTheme="majorHAnsi" w:cstheme="majorHAnsi"/>
                <w:b/>
                <w:sz w:val="18"/>
                <w:szCs w:val="18"/>
              </w:rPr>
            </w:pPr>
            <w:r w:rsidRPr="00384E37">
              <w:rPr>
                <w:rFonts w:asciiTheme="majorHAnsi" w:hAnsiTheme="majorHAnsi" w:cstheme="majorHAnsi"/>
                <w:b/>
                <w:bCs/>
                <w:sz w:val="18"/>
                <w:szCs w:val="18"/>
                <w:u w:val="single"/>
                <w:lang w:val="es-ES"/>
              </w:rPr>
              <w:t>Artículo 5</w:t>
            </w:r>
            <w:r w:rsidRPr="00384E37">
              <w:rPr>
                <w:rFonts w:asciiTheme="majorHAnsi" w:hAnsiTheme="majorHAnsi" w:cstheme="majorHAnsi"/>
                <w:b/>
                <w:bCs/>
                <w:sz w:val="18"/>
                <w:szCs w:val="18"/>
                <w:lang w:val="es-ES"/>
              </w:rPr>
              <w:t>. Vigencia</w:t>
            </w:r>
            <w:r w:rsidRPr="00384E37">
              <w:rPr>
                <w:rFonts w:asciiTheme="majorHAnsi" w:hAnsiTheme="majorHAnsi" w:cstheme="majorHAnsi"/>
                <w:sz w:val="18"/>
                <w:szCs w:val="18"/>
                <w:lang w:val="es-ES"/>
              </w:rPr>
              <w:t>. El presente Acto Legislativo rige a partir de su promulgación</w:t>
            </w:r>
          </w:p>
        </w:tc>
        <w:tc>
          <w:tcPr>
            <w:tcW w:w="2997" w:type="dxa"/>
          </w:tcPr>
          <w:p w14:paraId="6724C169" w14:textId="11B0A742" w:rsidR="005A0662" w:rsidRPr="00071425" w:rsidRDefault="00384E37" w:rsidP="00C03352">
            <w:pPr>
              <w:rPr>
                <w:rFonts w:asciiTheme="majorHAnsi" w:hAnsiTheme="majorHAnsi" w:cstheme="majorHAnsi"/>
                <w:b/>
                <w:sz w:val="18"/>
                <w:szCs w:val="18"/>
              </w:rPr>
            </w:pPr>
            <w:r>
              <w:rPr>
                <w:rFonts w:asciiTheme="majorHAnsi" w:hAnsiTheme="majorHAnsi" w:cstheme="majorHAnsi"/>
                <w:b/>
                <w:sz w:val="18"/>
                <w:szCs w:val="18"/>
              </w:rPr>
              <w:t>Se corrige error en numeración del artículo</w:t>
            </w:r>
          </w:p>
        </w:tc>
      </w:tr>
    </w:tbl>
    <w:p w14:paraId="6D191E8A" w14:textId="77777777" w:rsidR="003E23B1" w:rsidRDefault="003E23B1" w:rsidP="00C03352">
      <w:pPr>
        <w:rPr>
          <w:rFonts w:asciiTheme="majorHAnsi" w:hAnsiTheme="majorHAnsi" w:cstheme="majorHAnsi"/>
          <w:b/>
        </w:rPr>
      </w:pPr>
    </w:p>
    <w:p w14:paraId="1DEBA439" w14:textId="77777777" w:rsidR="00AF6B6B" w:rsidRDefault="00AF6B6B" w:rsidP="00C03352">
      <w:pPr>
        <w:rPr>
          <w:rFonts w:asciiTheme="majorHAnsi" w:hAnsiTheme="majorHAnsi" w:cstheme="majorHAnsi"/>
          <w:b/>
        </w:rPr>
      </w:pPr>
    </w:p>
    <w:p w14:paraId="26ED7E3B" w14:textId="77777777" w:rsidR="0069691C" w:rsidRPr="0069691C" w:rsidRDefault="0069691C" w:rsidP="0069691C">
      <w:pPr>
        <w:pStyle w:val="Prrafodelista"/>
        <w:widowControl/>
        <w:numPr>
          <w:ilvl w:val="0"/>
          <w:numId w:val="1"/>
        </w:numPr>
        <w:spacing w:after="160" w:line="259" w:lineRule="auto"/>
        <w:jc w:val="both"/>
        <w:rPr>
          <w:rFonts w:asciiTheme="majorHAnsi" w:hAnsiTheme="majorHAnsi" w:cstheme="majorHAnsi"/>
          <w:b/>
          <w:lang w:val="es-MX"/>
        </w:rPr>
      </w:pPr>
      <w:r w:rsidRPr="0069691C">
        <w:rPr>
          <w:rFonts w:asciiTheme="majorHAnsi" w:hAnsiTheme="majorHAnsi" w:cstheme="majorHAnsi"/>
          <w:b/>
          <w:lang w:val="es-MX"/>
        </w:rPr>
        <w:t>CONVENIENCIA Y NECESIDAD</w:t>
      </w:r>
    </w:p>
    <w:p w14:paraId="17AF9D1C" w14:textId="4C804C64" w:rsidR="0069691C" w:rsidRPr="0069691C" w:rsidRDefault="0069691C" w:rsidP="0069691C">
      <w:pPr>
        <w:widowControl/>
        <w:spacing w:after="160" w:line="259" w:lineRule="auto"/>
        <w:ind w:left="202"/>
        <w:jc w:val="both"/>
        <w:rPr>
          <w:rFonts w:asciiTheme="majorHAnsi" w:hAnsiTheme="majorHAnsi" w:cstheme="majorHAnsi"/>
          <w:bCs/>
          <w:lang w:val="es-MX"/>
        </w:rPr>
      </w:pPr>
      <w:r w:rsidRPr="0069691C">
        <w:rPr>
          <w:rFonts w:asciiTheme="majorHAnsi" w:hAnsiTheme="majorHAnsi" w:cstheme="majorHAnsi"/>
          <w:bCs/>
          <w:lang w:val="es-MX"/>
        </w:rPr>
        <w:t>En virtud de lo anterior, los autores consideramos que este Acto Legislativo es absolutamente pertinente y necesario para garantizar otros derechos fundamentales de todas las niñas en Colombia. La Constitución Política debe consagrar expresamente la prohibición de la mutilación genital femenina, de cara a continuar construyendo un país en el que todos sus habitantes sean respetados en su integridad personal, física y mental y se contribuya así a garantizar la vida, la salud, el derecho al goce de la vida, del libre desarrollo de la personalidad, y de la sexualidad plena de todas nuestras mujeres sin exclusiones para que exista verdadera igualdad de género.</w:t>
      </w:r>
    </w:p>
    <w:p w14:paraId="0E54750D" w14:textId="533447B4" w:rsidR="009D6B31" w:rsidRPr="003D206D" w:rsidRDefault="009D6B31" w:rsidP="003D206D">
      <w:pPr>
        <w:pStyle w:val="Prrafodelista"/>
        <w:widowControl/>
        <w:numPr>
          <w:ilvl w:val="0"/>
          <w:numId w:val="1"/>
        </w:numPr>
        <w:spacing w:after="160" w:line="259" w:lineRule="auto"/>
        <w:jc w:val="both"/>
        <w:rPr>
          <w:rFonts w:asciiTheme="majorHAnsi" w:hAnsiTheme="majorHAnsi" w:cstheme="majorHAnsi"/>
          <w:b/>
          <w:lang w:val="es-MX"/>
        </w:rPr>
      </w:pPr>
      <w:r w:rsidRPr="003D206D">
        <w:rPr>
          <w:rFonts w:asciiTheme="majorHAnsi" w:hAnsiTheme="majorHAnsi" w:cstheme="majorHAnsi"/>
          <w:b/>
          <w:lang w:val="es-MX"/>
        </w:rPr>
        <w:t>CIRCUNSTANCIAS O EVENTOS QUE PODRÍAN GENERAR CONFLICTOS DE INTERÉS</w:t>
      </w:r>
    </w:p>
    <w:p w14:paraId="591B2240" w14:textId="0E3C5C5E" w:rsidR="009D6B31" w:rsidRPr="004D1A72" w:rsidRDefault="009D6B31" w:rsidP="009D6B31">
      <w:pPr>
        <w:jc w:val="both"/>
        <w:rPr>
          <w:rFonts w:asciiTheme="majorHAnsi" w:hAnsiTheme="majorHAnsi" w:cstheme="majorHAnsi"/>
          <w:lang w:val="es-MX"/>
        </w:rPr>
      </w:pPr>
      <w:r w:rsidRPr="004D1A72">
        <w:rPr>
          <w:rFonts w:asciiTheme="majorHAnsi" w:hAnsiTheme="majorHAnsi" w:cstheme="majorHAnsi"/>
          <w:lang w:val="es-MX"/>
        </w:rPr>
        <w:t>De conformidad con lo establecido en el artículo 3° de la Ley 2003 del 19 de noviembre de 2019, que modifica el artículo 291 de la Ley 5ª de 1992, estableciendo la obligación del ponente del proyecto de presentar la descripción de las posibles circunstancias o eventos que podrán generar un conflicto de interés para la discusión y votación del proyecto, frente al presente proyecto, se considera que no genera conflictos de interés, dado que se trata de una norma de carácter general.</w:t>
      </w:r>
    </w:p>
    <w:p w14:paraId="4586BA6A" w14:textId="77777777" w:rsidR="00C12FC4" w:rsidRPr="004D1A72" w:rsidRDefault="00C12FC4" w:rsidP="009D6B31">
      <w:pPr>
        <w:jc w:val="both"/>
        <w:rPr>
          <w:rFonts w:asciiTheme="majorHAnsi" w:hAnsiTheme="majorHAnsi" w:cstheme="majorHAnsi"/>
          <w:lang w:val="es-MX"/>
        </w:rPr>
      </w:pPr>
    </w:p>
    <w:p w14:paraId="41F06AB1" w14:textId="77777777" w:rsidR="00C76FB9" w:rsidRDefault="00C76FB9" w:rsidP="009D6B31">
      <w:pPr>
        <w:jc w:val="both"/>
        <w:rPr>
          <w:rFonts w:asciiTheme="majorHAnsi" w:hAnsiTheme="majorHAnsi" w:cstheme="majorHAnsi"/>
          <w:lang w:val="es-MX"/>
        </w:rPr>
      </w:pPr>
    </w:p>
    <w:p w14:paraId="00FDE9BD" w14:textId="2DAF8790" w:rsidR="009D6B31" w:rsidRDefault="009D6B31" w:rsidP="009D6B31">
      <w:pPr>
        <w:jc w:val="both"/>
        <w:rPr>
          <w:rFonts w:asciiTheme="majorHAnsi" w:hAnsiTheme="majorHAnsi" w:cstheme="majorHAnsi"/>
          <w:lang w:val="es-MX"/>
        </w:rPr>
      </w:pPr>
      <w:r w:rsidRPr="004D1A72">
        <w:rPr>
          <w:rFonts w:asciiTheme="majorHAnsi" w:hAnsiTheme="majorHAnsi" w:cstheme="majorHAnsi"/>
          <w:lang w:val="es-MX"/>
        </w:rPr>
        <w:t>No obstante, se recuerda que la descripción de los posibles conflictos de interés que se puedan presentar frente al trámite del presente proyecto de ley no exime del deber del Congresista de identificar causales adicionales y manifestarlas previamente a la votación.</w:t>
      </w:r>
    </w:p>
    <w:p w14:paraId="1E3FFAA4" w14:textId="77777777" w:rsidR="00C76FB9" w:rsidRPr="00F82736" w:rsidRDefault="00C76FB9" w:rsidP="009D6B31">
      <w:pPr>
        <w:jc w:val="both"/>
        <w:rPr>
          <w:rFonts w:asciiTheme="majorHAnsi" w:hAnsiTheme="majorHAnsi" w:cstheme="majorHAnsi"/>
          <w:b/>
          <w:bCs/>
          <w:lang w:val="es-MX"/>
        </w:rPr>
      </w:pPr>
    </w:p>
    <w:p w14:paraId="28F6F37D" w14:textId="1B2B46E2" w:rsidR="00AE13EC" w:rsidRDefault="00AE13EC" w:rsidP="009D6B31">
      <w:pPr>
        <w:jc w:val="both"/>
        <w:rPr>
          <w:rFonts w:asciiTheme="majorHAnsi" w:hAnsiTheme="majorHAnsi" w:cstheme="majorHAnsi"/>
          <w:b/>
          <w:bCs/>
          <w:lang w:val="es-MX"/>
        </w:rPr>
      </w:pPr>
    </w:p>
    <w:p w14:paraId="6F3E0DD3" w14:textId="51A347C9" w:rsidR="00F82736" w:rsidRPr="00F82736" w:rsidRDefault="00F82736" w:rsidP="003D206D">
      <w:pPr>
        <w:pStyle w:val="Prrafodelista"/>
        <w:numPr>
          <w:ilvl w:val="0"/>
          <w:numId w:val="1"/>
        </w:numPr>
        <w:jc w:val="both"/>
        <w:rPr>
          <w:rFonts w:asciiTheme="majorHAnsi" w:hAnsiTheme="majorHAnsi" w:cstheme="majorHAnsi"/>
          <w:b/>
          <w:bCs/>
          <w:lang w:val="es-MX"/>
        </w:rPr>
      </w:pPr>
      <w:r w:rsidRPr="00F82736">
        <w:rPr>
          <w:rFonts w:asciiTheme="majorHAnsi" w:hAnsiTheme="majorHAnsi" w:cstheme="majorHAnsi"/>
          <w:b/>
          <w:bCs/>
          <w:lang w:val="es-MX"/>
        </w:rPr>
        <w:t>PROPOSICIÓN</w:t>
      </w:r>
      <w:r>
        <w:rPr>
          <w:rFonts w:asciiTheme="majorHAnsi" w:hAnsiTheme="majorHAnsi" w:cstheme="majorHAnsi"/>
          <w:b/>
          <w:bCs/>
          <w:lang w:val="es-MX"/>
        </w:rPr>
        <w:t xml:space="preserve"> </w:t>
      </w:r>
      <w:r w:rsidRPr="00F82736">
        <w:rPr>
          <w:rFonts w:asciiTheme="majorHAnsi" w:hAnsiTheme="majorHAnsi" w:cstheme="majorHAnsi"/>
          <w:b/>
          <w:bCs/>
          <w:lang w:val="es-MX"/>
        </w:rPr>
        <w:t>FINAL</w:t>
      </w:r>
    </w:p>
    <w:p w14:paraId="5FE38551" w14:textId="77777777" w:rsidR="00E82E31" w:rsidRDefault="00E82E31" w:rsidP="00AC4E3E">
      <w:pPr>
        <w:jc w:val="both"/>
        <w:rPr>
          <w:rFonts w:asciiTheme="majorHAnsi" w:hAnsiTheme="majorHAnsi" w:cstheme="majorHAnsi"/>
          <w:lang w:val="es-MX"/>
        </w:rPr>
      </w:pPr>
    </w:p>
    <w:p w14:paraId="1E5CCFAB" w14:textId="177F1F0D" w:rsidR="00D71599" w:rsidRDefault="00F82736" w:rsidP="00E82E31">
      <w:pPr>
        <w:jc w:val="both"/>
        <w:rPr>
          <w:rFonts w:asciiTheme="majorHAnsi" w:hAnsiTheme="majorHAnsi" w:cstheme="majorHAnsi"/>
        </w:rPr>
      </w:pPr>
      <w:r w:rsidRPr="007D480C">
        <w:rPr>
          <w:rFonts w:asciiTheme="majorHAnsi" w:hAnsiTheme="majorHAnsi" w:cstheme="majorHAnsi"/>
          <w:lang w:val="es-MX"/>
        </w:rPr>
        <w:t>Con base en los a</w:t>
      </w:r>
      <w:r w:rsidR="007D480C">
        <w:rPr>
          <w:rFonts w:asciiTheme="majorHAnsi" w:hAnsiTheme="majorHAnsi" w:cstheme="majorHAnsi"/>
          <w:lang w:val="es-MX"/>
        </w:rPr>
        <w:t>nteriores argumentos, present</w:t>
      </w:r>
      <w:r w:rsidR="00E82E31">
        <w:rPr>
          <w:rFonts w:asciiTheme="majorHAnsi" w:hAnsiTheme="majorHAnsi" w:cstheme="majorHAnsi"/>
          <w:lang w:val="es-MX"/>
        </w:rPr>
        <w:t xml:space="preserve">amos </w:t>
      </w:r>
      <w:r w:rsidR="007D480C">
        <w:rPr>
          <w:rFonts w:asciiTheme="majorHAnsi" w:hAnsiTheme="majorHAnsi" w:cstheme="majorHAnsi"/>
          <w:lang w:val="es-MX"/>
        </w:rPr>
        <w:t xml:space="preserve">ponencia </w:t>
      </w:r>
      <w:r w:rsidRPr="007D480C">
        <w:rPr>
          <w:rFonts w:asciiTheme="majorHAnsi" w:hAnsiTheme="majorHAnsi" w:cstheme="majorHAnsi"/>
          <w:lang w:val="es-MX"/>
        </w:rPr>
        <w:t>y so</w:t>
      </w:r>
      <w:r w:rsidR="007D480C">
        <w:rPr>
          <w:rFonts w:asciiTheme="majorHAnsi" w:hAnsiTheme="majorHAnsi" w:cstheme="majorHAnsi"/>
          <w:lang w:val="es-MX"/>
        </w:rPr>
        <w:t>licit</w:t>
      </w:r>
      <w:r w:rsidR="00E82E31">
        <w:rPr>
          <w:rFonts w:asciiTheme="majorHAnsi" w:hAnsiTheme="majorHAnsi" w:cstheme="majorHAnsi"/>
          <w:lang w:val="es-MX"/>
        </w:rPr>
        <w:t>amos</w:t>
      </w:r>
      <w:r w:rsidR="007D480C">
        <w:rPr>
          <w:rFonts w:asciiTheme="majorHAnsi" w:hAnsiTheme="majorHAnsi" w:cstheme="majorHAnsi"/>
          <w:lang w:val="es-MX"/>
        </w:rPr>
        <w:t xml:space="preserve"> a l</w:t>
      </w:r>
      <w:r w:rsidRPr="007D480C">
        <w:rPr>
          <w:rFonts w:asciiTheme="majorHAnsi" w:hAnsiTheme="majorHAnsi" w:cstheme="majorHAnsi"/>
          <w:lang w:val="es-MX"/>
        </w:rPr>
        <w:t>a Comisi</w:t>
      </w:r>
      <w:r w:rsidR="007D480C">
        <w:rPr>
          <w:rFonts w:asciiTheme="majorHAnsi" w:hAnsiTheme="majorHAnsi" w:cstheme="majorHAnsi"/>
          <w:lang w:val="es-MX"/>
        </w:rPr>
        <w:t>ón</w:t>
      </w:r>
      <w:r w:rsidRPr="007D480C">
        <w:rPr>
          <w:rFonts w:asciiTheme="majorHAnsi" w:hAnsiTheme="majorHAnsi" w:cstheme="majorHAnsi"/>
          <w:lang w:val="es-MX"/>
        </w:rPr>
        <w:t xml:space="preserve"> </w:t>
      </w:r>
      <w:r w:rsidR="00C8468B">
        <w:rPr>
          <w:rFonts w:asciiTheme="majorHAnsi" w:hAnsiTheme="majorHAnsi" w:cstheme="majorHAnsi"/>
          <w:lang w:val="es-MX"/>
        </w:rPr>
        <w:t xml:space="preserve">Primera </w:t>
      </w:r>
      <w:r w:rsidR="007D480C">
        <w:rPr>
          <w:rFonts w:asciiTheme="majorHAnsi" w:hAnsiTheme="majorHAnsi" w:cstheme="majorHAnsi"/>
          <w:lang w:val="es-MX"/>
        </w:rPr>
        <w:t>de</w:t>
      </w:r>
      <w:r w:rsidR="003A64C5">
        <w:rPr>
          <w:rFonts w:asciiTheme="majorHAnsi" w:hAnsiTheme="majorHAnsi" w:cstheme="majorHAnsi"/>
          <w:lang w:val="es-MX"/>
        </w:rPr>
        <w:t xml:space="preserve"> </w:t>
      </w:r>
      <w:r w:rsidR="007D480C">
        <w:rPr>
          <w:rFonts w:asciiTheme="majorHAnsi" w:hAnsiTheme="majorHAnsi" w:cstheme="majorHAnsi"/>
          <w:lang w:val="es-MX"/>
        </w:rPr>
        <w:t>l</w:t>
      </w:r>
      <w:r w:rsidR="003A64C5">
        <w:rPr>
          <w:rFonts w:asciiTheme="majorHAnsi" w:hAnsiTheme="majorHAnsi" w:cstheme="majorHAnsi"/>
          <w:lang w:val="es-MX"/>
        </w:rPr>
        <w:t>a Cámara de Representantes</w:t>
      </w:r>
      <w:r w:rsidR="007D480C">
        <w:rPr>
          <w:rFonts w:asciiTheme="majorHAnsi" w:hAnsiTheme="majorHAnsi" w:cstheme="majorHAnsi"/>
          <w:lang w:val="es-MX"/>
        </w:rPr>
        <w:t>,</w:t>
      </w:r>
      <w:r w:rsidRPr="007D480C">
        <w:rPr>
          <w:rFonts w:asciiTheme="majorHAnsi" w:hAnsiTheme="majorHAnsi" w:cstheme="majorHAnsi"/>
          <w:lang w:val="es-MX"/>
        </w:rPr>
        <w:t xml:space="preserve"> </w:t>
      </w:r>
      <w:r w:rsidR="007D480C">
        <w:rPr>
          <w:rFonts w:asciiTheme="majorHAnsi" w:hAnsiTheme="majorHAnsi" w:cstheme="majorHAnsi"/>
          <w:lang w:val="es-MX"/>
        </w:rPr>
        <w:t xml:space="preserve">dar primer debate </w:t>
      </w:r>
      <w:r w:rsidR="00E82E31">
        <w:rPr>
          <w:rFonts w:asciiTheme="majorHAnsi" w:hAnsiTheme="majorHAnsi" w:cstheme="majorHAnsi"/>
          <w:lang w:val="es-MX"/>
        </w:rPr>
        <w:t xml:space="preserve">en primera vuelta, al </w:t>
      </w:r>
      <w:r w:rsidRPr="007D480C">
        <w:rPr>
          <w:rFonts w:asciiTheme="majorHAnsi" w:hAnsiTheme="majorHAnsi" w:cstheme="majorHAnsi"/>
          <w:lang w:val="es-MX"/>
        </w:rPr>
        <w:t xml:space="preserve">Proyecto de </w:t>
      </w:r>
      <w:r w:rsidR="00E82E31">
        <w:rPr>
          <w:rFonts w:asciiTheme="majorHAnsi" w:hAnsiTheme="majorHAnsi" w:cstheme="majorHAnsi"/>
          <w:lang w:val="es-MX"/>
        </w:rPr>
        <w:t>Acto Legislativo No</w:t>
      </w:r>
      <w:r w:rsidR="004759DD">
        <w:rPr>
          <w:rFonts w:asciiTheme="majorHAnsi" w:hAnsiTheme="majorHAnsi" w:cstheme="majorHAnsi"/>
        </w:rPr>
        <w:t xml:space="preserve">. </w:t>
      </w:r>
      <w:r w:rsidR="00E82E31">
        <w:rPr>
          <w:rFonts w:asciiTheme="majorHAnsi" w:hAnsiTheme="majorHAnsi" w:cstheme="majorHAnsi"/>
        </w:rPr>
        <w:t xml:space="preserve">082 de 2024 </w:t>
      </w:r>
      <w:r w:rsidR="004759DD" w:rsidRPr="00E82E31">
        <w:rPr>
          <w:rFonts w:asciiTheme="majorHAnsi" w:hAnsiTheme="majorHAnsi" w:cstheme="majorHAnsi"/>
        </w:rPr>
        <w:t xml:space="preserve">Cámara </w:t>
      </w:r>
      <w:r w:rsidR="00E82E31" w:rsidRPr="00E426C4">
        <w:rPr>
          <w:rFonts w:asciiTheme="majorHAnsi" w:hAnsiTheme="majorHAnsi" w:cstheme="majorHAnsi"/>
          <w:b/>
          <w:bCs/>
          <w:i/>
          <w:sz w:val="18"/>
          <w:szCs w:val="18"/>
        </w:rPr>
        <w:t>“POR MEDIO DEL CUAL SE MODIFICAN LOS ARTÍCULOS 12, 13 Y 43</w:t>
      </w:r>
      <w:r w:rsidR="00E82E31">
        <w:rPr>
          <w:rFonts w:asciiTheme="majorHAnsi" w:hAnsiTheme="majorHAnsi" w:cstheme="majorHAnsi"/>
          <w:b/>
          <w:bCs/>
          <w:i/>
          <w:sz w:val="18"/>
          <w:szCs w:val="18"/>
        </w:rPr>
        <w:t xml:space="preserve"> </w:t>
      </w:r>
      <w:r w:rsidR="00E82E31" w:rsidRPr="00E426C4">
        <w:rPr>
          <w:rFonts w:asciiTheme="majorHAnsi" w:hAnsiTheme="majorHAnsi" w:cstheme="majorHAnsi"/>
          <w:b/>
          <w:bCs/>
          <w:i/>
          <w:sz w:val="18"/>
          <w:szCs w:val="18"/>
        </w:rPr>
        <w:t>DE LA CONSTITUCIÓN POLITICA Y SE PROHÍBE LA MUTILACIÓN GENITAL FEMENINA MGF EN COLOMBIA</w:t>
      </w:r>
      <w:r w:rsidR="00E82E31">
        <w:rPr>
          <w:rFonts w:asciiTheme="majorHAnsi" w:hAnsiTheme="majorHAnsi" w:cstheme="majorHAnsi"/>
          <w:b/>
          <w:bCs/>
          <w:i/>
          <w:sz w:val="18"/>
          <w:szCs w:val="18"/>
        </w:rPr>
        <w:t xml:space="preserve">” </w:t>
      </w:r>
      <w:r w:rsidR="00E82E31" w:rsidRPr="00E82E31">
        <w:rPr>
          <w:rFonts w:asciiTheme="majorHAnsi" w:hAnsiTheme="majorHAnsi" w:cstheme="majorHAnsi"/>
        </w:rPr>
        <w:t>conforme a</w:t>
      </w:r>
      <w:r w:rsidR="00A4157B">
        <w:rPr>
          <w:rFonts w:asciiTheme="majorHAnsi" w:hAnsiTheme="majorHAnsi" w:cstheme="majorHAnsi"/>
        </w:rPr>
        <w:t>l texto propuesto</w:t>
      </w:r>
      <w:r w:rsidR="00E82E31" w:rsidRPr="00E82E31">
        <w:rPr>
          <w:rFonts w:asciiTheme="majorHAnsi" w:hAnsiTheme="majorHAnsi" w:cstheme="majorHAnsi"/>
        </w:rPr>
        <w:t>.</w:t>
      </w:r>
    </w:p>
    <w:p w14:paraId="02D6F56A" w14:textId="77777777" w:rsidR="00C76FB9" w:rsidRDefault="00C76FB9" w:rsidP="00E82E31">
      <w:pPr>
        <w:jc w:val="both"/>
        <w:rPr>
          <w:rFonts w:asciiTheme="majorHAnsi" w:hAnsiTheme="majorHAnsi" w:cstheme="majorHAnsi"/>
          <w:b/>
          <w:bCs/>
          <w:i/>
        </w:rPr>
      </w:pPr>
    </w:p>
    <w:p w14:paraId="58C6FE72" w14:textId="14011427" w:rsidR="00E82E31" w:rsidRDefault="00E82E31" w:rsidP="00E82E31">
      <w:pPr>
        <w:jc w:val="both"/>
        <w:rPr>
          <w:rFonts w:asciiTheme="majorHAnsi" w:hAnsiTheme="majorHAnsi" w:cstheme="majorHAnsi"/>
          <w:i/>
          <w:iCs/>
        </w:rPr>
      </w:pPr>
    </w:p>
    <w:p w14:paraId="27FCAE23" w14:textId="0B91A61F" w:rsidR="009D6B31" w:rsidRDefault="00D71599" w:rsidP="009D6B31">
      <w:pPr>
        <w:jc w:val="both"/>
        <w:rPr>
          <w:rFonts w:asciiTheme="majorHAnsi" w:hAnsiTheme="majorHAnsi" w:cstheme="majorHAnsi"/>
          <w:lang w:val="es-MX"/>
        </w:rPr>
      </w:pPr>
      <w:r w:rsidRPr="00D71599">
        <w:rPr>
          <w:rFonts w:asciiTheme="majorHAnsi" w:hAnsiTheme="majorHAnsi" w:cstheme="majorHAnsi"/>
          <w:lang w:val="es-MX"/>
        </w:rPr>
        <w:t>De los honorables Congresist</w:t>
      </w:r>
      <w:r w:rsidR="009D6B31" w:rsidRPr="00D71599">
        <w:rPr>
          <w:rFonts w:asciiTheme="majorHAnsi" w:hAnsiTheme="majorHAnsi" w:cstheme="majorHAnsi"/>
          <w:lang w:val="es-MX"/>
        </w:rPr>
        <w:t>as,</w:t>
      </w:r>
    </w:p>
    <w:p w14:paraId="6D9EB918" w14:textId="77777777" w:rsidR="00C76FB9" w:rsidRPr="00D71599" w:rsidRDefault="00C76FB9" w:rsidP="009D6B31">
      <w:pPr>
        <w:jc w:val="both"/>
        <w:rPr>
          <w:rFonts w:asciiTheme="majorHAnsi" w:hAnsiTheme="majorHAnsi" w:cstheme="majorHAnsi"/>
          <w:lang w:val="es-MX"/>
        </w:rPr>
      </w:pPr>
    </w:p>
    <w:p w14:paraId="4EF971A0" w14:textId="77777777" w:rsidR="002A2A96" w:rsidRPr="00D63E2A" w:rsidRDefault="002A2A96" w:rsidP="009D6B31">
      <w:pPr>
        <w:spacing w:line="300" w:lineRule="auto"/>
        <w:jc w:val="both"/>
        <w:rPr>
          <w:rFonts w:asciiTheme="majorHAnsi" w:hAnsiTheme="majorHAnsi" w:cstheme="majorHAnsi"/>
          <w:noProof/>
          <w:lang w:val="es-CO"/>
        </w:rPr>
      </w:pPr>
    </w:p>
    <w:tbl>
      <w:tblPr>
        <w:tblStyle w:val="Tablaconcuadrcula"/>
        <w:tblW w:w="0" w:type="auto"/>
        <w:tblLook w:val="04A0" w:firstRow="1" w:lastRow="0" w:firstColumn="1" w:lastColumn="0" w:noHBand="0" w:noVBand="1"/>
      </w:tblPr>
      <w:tblGrid>
        <w:gridCol w:w="4575"/>
        <w:gridCol w:w="4575"/>
      </w:tblGrid>
      <w:tr w:rsidR="00E24798" w14:paraId="3F890073" w14:textId="77777777" w:rsidTr="00C76FB9">
        <w:tc>
          <w:tcPr>
            <w:tcW w:w="4575" w:type="dxa"/>
          </w:tcPr>
          <w:p w14:paraId="5424DC53"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252545CE"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21F3A7A9" w14:textId="7D2FC9A3"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2D5773EB" w14:textId="77777777" w:rsidR="00C76FB9" w:rsidRDefault="00C76FB9" w:rsidP="00C76FB9">
            <w:pPr>
              <w:spacing w:line="300" w:lineRule="auto"/>
              <w:jc w:val="both"/>
              <w:rPr>
                <w:rFonts w:asciiTheme="majorHAnsi" w:eastAsia="Times New Roman" w:hAnsiTheme="majorHAnsi" w:cstheme="majorHAnsi"/>
                <w:b/>
                <w:color w:val="000000" w:themeColor="text1"/>
                <w:spacing w:val="-2"/>
                <w:lang w:eastAsia="es-ES"/>
              </w:rPr>
            </w:pPr>
          </w:p>
          <w:p w14:paraId="1B73BE3C"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4255D458"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ANDRÉS FELIPE JIMÉNEZ VARGAS</w:t>
            </w:r>
          </w:p>
          <w:p w14:paraId="71C017EC"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HONORABLE REPRESENTANTE</w:t>
            </w:r>
          </w:p>
          <w:p w14:paraId="71629E69"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PARTIDO CONSERVADOR</w:t>
            </w:r>
          </w:p>
          <w:p w14:paraId="6F640EB7"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AUTOR Y COORDINADOR PONENTE</w:t>
            </w:r>
          </w:p>
        </w:tc>
        <w:tc>
          <w:tcPr>
            <w:tcW w:w="4575" w:type="dxa"/>
          </w:tcPr>
          <w:p w14:paraId="6C9563F6"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3A28BA58"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4781A40D"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537F57A5"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2918A299" w14:textId="77777777" w:rsidR="00C76FB9" w:rsidRDefault="00C76FB9" w:rsidP="00C76FB9">
            <w:pPr>
              <w:spacing w:line="300" w:lineRule="auto"/>
              <w:jc w:val="both"/>
              <w:rPr>
                <w:rFonts w:asciiTheme="majorHAnsi" w:eastAsia="Times New Roman" w:hAnsiTheme="majorHAnsi" w:cstheme="majorHAnsi"/>
                <w:b/>
                <w:color w:val="000000" w:themeColor="text1"/>
                <w:spacing w:val="-2"/>
                <w:lang w:eastAsia="es-ES"/>
              </w:rPr>
            </w:pPr>
          </w:p>
          <w:p w14:paraId="5752355F" w14:textId="3F39D7CD"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JOSÉ JAIME USCATEGUI PASTRANA</w:t>
            </w:r>
          </w:p>
          <w:p w14:paraId="07D674F3" w14:textId="77777777" w:rsidR="00E24798" w:rsidRPr="006A480E" w:rsidRDefault="00E24798" w:rsidP="00C76FB9">
            <w:pPr>
              <w:spacing w:line="300" w:lineRule="auto"/>
              <w:jc w:val="both"/>
              <w:rPr>
                <w:rFonts w:asciiTheme="majorHAnsi" w:eastAsia="Times New Roman" w:hAnsiTheme="majorHAnsi" w:cstheme="majorHAnsi"/>
                <w:b/>
                <w:color w:val="000000" w:themeColor="text1"/>
                <w:spacing w:val="-2"/>
                <w:lang w:val="es-ES" w:eastAsia="es-ES"/>
              </w:rPr>
            </w:pPr>
            <w:r w:rsidRPr="006A480E">
              <w:rPr>
                <w:rFonts w:asciiTheme="majorHAnsi" w:eastAsia="Times New Roman" w:hAnsiTheme="majorHAnsi" w:cstheme="majorHAnsi"/>
                <w:b/>
                <w:color w:val="000000" w:themeColor="text1"/>
                <w:spacing w:val="-2"/>
                <w:lang w:val="es-ES" w:eastAsia="es-ES"/>
              </w:rPr>
              <w:t>HONORABLE REPRESENTANTE</w:t>
            </w:r>
          </w:p>
          <w:p w14:paraId="49515648"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val="es-ES" w:eastAsia="es-ES"/>
              </w:rPr>
            </w:pPr>
            <w:r w:rsidRPr="006A480E">
              <w:rPr>
                <w:rFonts w:asciiTheme="majorHAnsi" w:eastAsia="Times New Roman" w:hAnsiTheme="majorHAnsi" w:cstheme="majorHAnsi"/>
                <w:b/>
                <w:color w:val="000000" w:themeColor="text1"/>
                <w:spacing w:val="-2"/>
                <w:lang w:val="es-ES" w:eastAsia="es-ES"/>
              </w:rPr>
              <w:t>PARTIDO C</w:t>
            </w:r>
            <w:r>
              <w:rPr>
                <w:rFonts w:asciiTheme="majorHAnsi" w:eastAsia="Times New Roman" w:hAnsiTheme="majorHAnsi" w:cstheme="majorHAnsi"/>
                <w:b/>
                <w:color w:val="000000" w:themeColor="text1"/>
                <w:spacing w:val="-2"/>
                <w:lang w:val="es-ES" w:eastAsia="es-ES"/>
              </w:rPr>
              <w:t>ENTRO DEMOCRÁTICO</w:t>
            </w:r>
          </w:p>
          <w:p w14:paraId="5067F759"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sidRPr="006A480E">
              <w:rPr>
                <w:rFonts w:asciiTheme="majorHAnsi" w:eastAsia="Times New Roman" w:hAnsiTheme="majorHAnsi" w:cstheme="majorHAnsi"/>
                <w:b/>
                <w:color w:val="000000" w:themeColor="text1"/>
                <w:spacing w:val="-2"/>
                <w:lang w:val="es-ES" w:eastAsia="es-ES"/>
              </w:rPr>
              <w:t>COORDINADOR PONENTE</w:t>
            </w:r>
          </w:p>
        </w:tc>
      </w:tr>
      <w:tr w:rsidR="00E24798" w14:paraId="343CB54A" w14:textId="77777777" w:rsidTr="00C76FB9">
        <w:tc>
          <w:tcPr>
            <w:tcW w:w="4575" w:type="dxa"/>
          </w:tcPr>
          <w:p w14:paraId="05E323EE"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75E6275E" w14:textId="0F06C209"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114E8793" w14:textId="77777777" w:rsidR="00C76FB9" w:rsidRDefault="00C76FB9" w:rsidP="00C76FB9">
            <w:pPr>
              <w:spacing w:line="300" w:lineRule="auto"/>
              <w:jc w:val="both"/>
              <w:rPr>
                <w:rFonts w:asciiTheme="majorHAnsi" w:eastAsia="Times New Roman" w:hAnsiTheme="majorHAnsi" w:cstheme="majorHAnsi"/>
                <w:b/>
                <w:color w:val="000000" w:themeColor="text1"/>
                <w:spacing w:val="-2"/>
                <w:lang w:eastAsia="es-ES"/>
              </w:rPr>
            </w:pPr>
          </w:p>
          <w:p w14:paraId="19812D0C"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0BA9EE6B"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17838A53" w14:textId="77777777" w:rsidR="00C76FB9" w:rsidRDefault="00C76FB9" w:rsidP="00C76FB9">
            <w:pPr>
              <w:spacing w:line="300" w:lineRule="auto"/>
              <w:jc w:val="both"/>
              <w:rPr>
                <w:rFonts w:asciiTheme="majorHAnsi" w:eastAsia="Times New Roman" w:hAnsiTheme="majorHAnsi" w:cstheme="majorHAnsi"/>
                <w:b/>
                <w:color w:val="000000" w:themeColor="text1"/>
                <w:spacing w:val="-2"/>
                <w:lang w:eastAsia="es-ES"/>
              </w:rPr>
            </w:pPr>
          </w:p>
          <w:p w14:paraId="112C362C" w14:textId="31229A3B"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ALVARO LEONEL RUEDA CABALLERO</w:t>
            </w:r>
          </w:p>
          <w:p w14:paraId="6826EB68"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HONORABLE REPRESENTANTE</w:t>
            </w:r>
          </w:p>
          <w:p w14:paraId="3821E22D"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PONENTE</w:t>
            </w:r>
          </w:p>
          <w:p w14:paraId="06EEB9AF"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PARTIDO LIBERAL</w:t>
            </w:r>
          </w:p>
        </w:tc>
        <w:tc>
          <w:tcPr>
            <w:tcW w:w="4575" w:type="dxa"/>
          </w:tcPr>
          <w:p w14:paraId="0F56202E"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761D41A0"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5B6B8AD0"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47B938C9" w14:textId="0CB3BDA4"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667EE8A2" w14:textId="77777777" w:rsidR="00C76FB9" w:rsidRDefault="00C76FB9" w:rsidP="00C76FB9">
            <w:pPr>
              <w:spacing w:line="300" w:lineRule="auto"/>
              <w:jc w:val="both"/>
              <w:rPr>
                <w:rFonts w:asciiTheme="majorHAnsi" w:eastAsia="Times New Roman" w:hAnsiTheme="majorHAnsi" w:cstheme="majorHAnsi"/>
                <w:b/>
                <w:color w:val="000000" w:themeColor="text1"/>
                <w:spacing w:val="-2"/>
                <w:lang w:eastAsia="es-ES"/>
              </w:rPr>
            </w:pPr>
          </w:p>
          <w:p w14:paraId="395CAF3F" w14:textId="77777777" w:rsidR="00C76FB9" w:rsidRDefault="00C76FB9" w:rsidP="00C76FB9">
            <w:pPr>
              <w:spacing w:line="300" w:lineRule="auto"/>
              <w:jc w:val="both"/>
              <w:rPr>
                <w:rFonts w:asciiTheme="majorHAnsi" w:eastAsia="Times New Roman" w:hAnsiTheme="majorHAnsi" w:cstheme="majorHAnsi"/>
                <w:b/>
                <w:color w:val="000000" w:themeColor="text1"/>
                <w:spacing w:val="-2"/>
                <w:lang w:eastAsia="es-ES"/>
              </w:rPr>
            </w:pPr>
          </w:p>
          <w:p w14:paraId="27C44E17" w14:textId="2C5E512B"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ASTRID SÁNCHEZ MONTES DE OCA</w:t>
            </w:r>
          </w:p>
          <w:p w14:paraId="30F47E61"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HONORABLE REPRESENTANTE</w:t>
            </w:r>
          </w:p>
          <w:p w14:paraId="2EA127A8"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PONENTE</w:t>
            </w:r>
          </w:p>
          <w:p w14:paraId="777B1864"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PARTIDO DE LA U</w:t>
            </w:r>
          </w:p>
          <w:p w14:paraId="4863B5A7"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tc>
      </w:tr>
      <w:tr w:rsidR="00E24798" w14:paraId="3392FD07" w14:textId="77777777" w:rsidTr="00C76FB9">
        <w:tc>
          <w:tcPr>
            <w:tcW w:w="4575" w:type="dxa"/>
          </w:tcPr>
          <w:p w14:paraId="1803A7C2"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5F478914"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5662A8AB"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21ED913F"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31E9F1A8"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76E896B7"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DAVID RICARDO RACERO MAYORCA</w:t>
            </w:r>
          </w:p>
          <w:p w14:paraId="53EADEC5"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HONORABLE REPRESENTANTE</w:t>
            </w:r>
          </w:p>
          <w:p w14:paraId="747101CE"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PONENTE</w:t>
            </w:r>
          </w:p>
          <w:p w14:paraId="2E5F3EAA"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COALICIÓN PACTO HISTÓRICO</w:t>
            </w:r>
          </w:p>
          <w:p w14:paraId="16F3B8EE"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tc>
        <w:tc>
          <w:tcPr>
            <w:tcW w:w="4575" w:type="dxa"/>
          </w:tcPr>
          <w:p w14:paraId="1F0A4CA4"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692B02AC"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32126B2F"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07A6B6BB"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21BCD071"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639554D8"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ADRIANA CAROLINA ARBELÁEZ GIRALDO</w:t>
            </w:r>
          </w:p>
          <w:p w14:paraId="72E4BB7B"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HONORABLE REPRESENTANTE</w:t>
            </w:r>
          </w:p>
          <w:p w14:paraId="4BF955CB"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PONENTE</w:t>
            </w:r>
          </w:p>
          <w:p w14:paraId="375D2D2E"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PARTIDO CAMBIO RADICAL</w:t>
            </w:r>
          </w:p>
          <w:p w14:paraId="0C9B0EC9"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tc>
      </w:tr>
      <w:tr w:rsidR="00E24798" w14:paraId="188C2E2E" w14:textId="77777777" w:rsidTr="00C76FB9">
        <w:tc>
          <w:tcPr>
            <w:tcW w:w="4575" w:type="dxa"/>
          </w:tcPr>
          <w:p w14:paraId="2901BE60"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42F131A1"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3A09D5A4"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2655BA7D"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41E012F2"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JAMES HERMENEGILDO MOSQUERA TORRES</w:t>
            </w:r>
          </w:p>
          <w:p w14:paraId="4C4396F8"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HONORABLE REPRESENTANTE</w:t>
            </w:r>
          </w:p>
          <w:p w14:paraId="580385C1"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PONENTE</w:t>
            </w:r>
          </w:p>
          <w:p w14:paraId="1A2F18E7"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CIRCUNSCRIPCIÓN PARA LAS VÍCTIMAS</w:t>
            </w:r>
          </w:p>
        </w:tc>
        <w:tc>
          <w:tcPr>
            <w:tcW w:w="4575" w:type="dxa"/>
          </w:tcPr>
          <w:p w14:paraId="1BDB1CF4"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3FF2779C"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53E373A3"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57D8177E"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180A3077"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LUIS ALBERTO ALBÁN URBANO</w:t>
            </w:r>
          </w:p>
          <w:p w14:paraId="59F20A17"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HONORABLE REPRESENTANTE</w:t>
            </w:r>
          </w:p>
          <w:p w14:paraId="3579EB6C"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PONENTE</w:t>
            </w:r>
          </w:p>
          <w:p w14:paraId="21496AA0"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PARTIDO COMUNES</w:t>
            </w:r>
          </w:p>
        </w:tc>
      </w:tr>
      <w:tr w:rsidR="00E24798" w14:paraId="36BDC083" w14:textId="77777777" w:rsidTr="00C76FB9">
        <w:tc>
          <w:tcPr>
            <w:tcW w:w="4575" w:type="dxa"/>
          </w:tcPr>
          <w:p w14:paraId="54D45B13"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71B6C2DD"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0B5E85C2"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443E257D"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1F31073A"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MARELEN CASTILLO</w:t>
            </w:r>
          </w:p>
          <w:p w14:paraId="36EEF53E"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HONORABLE REPRESENTANTE</w:t>
            </w:r>
          </w:p>
          <w:p w14:paraId="084315B5"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PONENTE</w:t>
            </w:r>
          </w:p>
        </w:tc>
        <w:tc>
          <w:tcPr>
            <w:tcW w:w="4575" w:type="dxa"/>
          </w:tcPr>
          <w:p w14:paraId="10A46D7D"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0F0918C0"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6B072409"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0BFE6682"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p w14:paraId="39AF38CF"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JENNIFER PEDRAZA</w:t>
            </w:r>
          </w:p>
          <w:p w14:paraId="12231DCA"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HONORABLE REPRESENTANTE</w:t>
            </w:r>
          </w:p>
          <w:p w14:paraId="683A97E3"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PONENTE</w:t>
            </w:r>
          </w:p>
          <w:p w14:paraId="2AE1C093"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PARTIDO DIGNIDAD Y COMPROMISO</w:t>
            </w:r>
          </w:p>
          <w:p w14:paraId="31A58A77" w14:textId="77777777" w:rsidR="00E24798" w:rsidRDefault="00E24798" w:rsidP="00C76FB9">
            <w:pPr>
              <w:spacing w:line="300" w:lineRule="auto"/>
              <w:jc w:val="both"/>
              <w:rPr>
                <w:rFonts w:asciiTheme="majorHAnsi" w:eastAsia="Times New Roman" w:hAnsiTheme="majorHAnsi" w:cstheme="majorHAnsi"/>
                <w:b/>
                <w:color w:val="000000" w:themeColor="text1"/>
                <w:spacing w:val="-2"/>
                <w:lang w:eastAsia="es-ES"/>
              </w:rPr>
            </w:pPr>
          </w:p>
        </w:tc>
      </w:tr>
    </w:tbl>
    <w:p w14:paraId="2A6159A4" w14:textId="77777777" w:rsidR="0017021D" w:rsidRDefault="0017021D"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119FD934" w14:textId="77777777" w:rsidR="0017021D" w:rsidRDefault="0017021D" w:rsidP="00B34F5A">
      <w:pPr>
        <w:spacing w:line="300" w:lineRule="auto"/>
        <w:jc w:val="center"/>
        <w:rPr>
          <w:rFonts w:asciiTheme="majorHAnsi" w:eastAsia="Times New Roman" w:hAnsiTheme="majorHAnsi" w:cstheme="majorHAnsi"/>
          <w:b/>
          <w:color w:val="000000" w:themeColor="text1"/>
          <w:spacing w:val="-2"/>
          <w:sz w:val="20"/>
          <w:szCs w:val="20"/>
          <w:lang w:val="es-CO" w:eastAsia="es-ES"/>
        </w:rPr>
      </w:pPr>
    </w:p>
    <w:p w14:paraId="49C3F33E" w14:textId="77777777" w:rsidR="00C76FB9" w:rsidRDefault="00C76FB9">
      <w:pPr>
        <w:rPr>
          <w:rFonts w:asciiTheme="majorHAnsi" w:eastAsia="Times New Roman" w:hAnsiTheme="majorHAnsi" w:cstheme="majorHAnsi"/>
          <w:b/>
          <w:color w:val="000000" w:themeColor="text1"/>
          <w:spacing w:val="-2"/>
          <w:lang w:val="es-CO" w:eastAsia="es-ES"/>
        </w:rPr>
      </w:pPr>
      <w:r>
        <w:rPr>
          <w:rFonts w:asciiTheme="majorHAnsi" w:eastAsia="Times New Roman" w:hAnsiTheme="majorHAnsi" w:cstheme="majorHAnsi"/>
          <w:b/>
          <w:color w:val="000000" w:themeColor="text1"/>
          <w:spacing w:val="-2"/>
          <w:lang w:val="es-CO" w:eastAsia="es-ES"/>
        </w:rPr>
        <w:br w:type="page"/>
      </w:r>
    </w:p>
    <w:p w14:paraId="25A1D96B" w14:textId="25EB2A56" w:rsidR="003867BC" w:rsidRPr="00E82E31" w:rsidRDefault="003867BC" w:rsidP="00B34F5A">
      <w:pPr>
        <w:spacing w:line="300" w:lineRule="auto"/>
        <w:jc w:val="center"/>
        <w:rPr>
          <w:rFonts w:asciiTheme="majorHAnsi" w:eastAsia="Times New Roman" w:hAnsiTheme="majorHAnsi" w:cstheme="majorHAnsi"/>
          <w:b/>
          <w:color w:val="000000" w:themeColor="text1"/>
          <w:spacing w:val="-2"/>
          <w:lang w:val="es-CO" w:eastAsia="es-ES"/>
        </w:rPr>
      </w:pPr>
      <w:r w:rsidRPr="00E82E31">
        <w:rPr>
          <w:rFonts w:asciiTheme="majorHAnsi" w:eastAsia="Times New Roman" w:hAnsiTheme="majorHAnsi" w:cstheme="majorHAnsi"/>
          <w:b/>
          <w:color w:val="000000" w:themeColor="text1"/>
          <w:spacing w:val="-2"/>
          <w:lang w:val="es-CO" w:eastAsia="es-ES"/>
        </w:rPr>
        <w:lastRenderedPageBreak/>
        <w:t>TEXTO PROPUESTO PARA PRIMER DEBATE</w:t>
      </w:r>
      <w:r w:rsidR="00E82E31" w:rsidRPr="00E82E31">
        <w:rPr>
          <w:rFonts w:asciiTheme="majorHAnsi" w:eastAsia="Times New Roman" w:hAnsiTheme="majorHAnsi" w:cstheme="majorHAnsi"/>
          <w:b/>
          <w:color w:val="000000" w:themeColor="text1"/>
          <w:spacing w:val="-2"/>
          <w:lang w:val="es-CO" w:eastAsia="es-ES"/>
        </w:rPr>
        <w:t>-PRIMERA VUELTA</w:t>
      </w:r>
    </w:p>
    <w:p w14:paraId="6910120E" w14:textId="60B07CF6" w:rsidR="003D52B5" w:rsidRPr="00E82E31" w:rsidRDefault="00C76FB9" w:rsidP="00B34F5A">
      <w:pPr>
        <w:spacing w:line="300" w:lineRule="auto"/>
        <w:jc w:val="center"/>
        <w:rPr>
          <w:rFonts w:asciiTheme="majorHAnsi" w:eastAsia="Times New Roman" w:hAnsiTheme="majorHAnsi" w:cstheme="majorHAnsi"/>
          <w:b/>
          <w:color w:val="000000" w:themeColor="text1"/>
          <w:spacing w:val="-2"/>
          <w:lang w:val="es-CO" w:eastAsia="es-ES"/>
        </w:rPr>
      </w:pPr>
      <w:r>
        <w:rPr>
          <w:rFonts w:asciiTheme="majorHAnsi" w:eastAsia="Times New Roman" w:hAnsiTheme="majorHAnsi" w:cstheme="majorHAnsi"/>
          <w:b/>
          <w:color w:val="000000" w:themeColor="text1"/>
          <w:spacing w:val="-2"/>
          <w:lang w:val="es-CO" w:eastAsia="es-ES"/>
        </w:rPr>
        <w:t xml:space="preserve">AL </w:t>
      </w:r>
      <w:r w:rsidR="003D52B5" w:rsidRPr="00E82E31">
        <w:rPr>
          <w:rFonts w:asciiTheme="majorHAnsi" w:eastAsia="Times New Roman" w:hAnsiTheme="majorHAnsi" w:cstheme="majorHAnsi"/>
          <w:b/>
          <w:color w:val="000000" w:themeColor="text1"/>
          <w:spacing w:val="-2"/>
          <w:lang w:val="es-CO" w:eastAsia="es-ES"/>
        </w:rPr>
        <w:t xml:space="preserve">PROYECTO DE </w:t>
      </w:r>
      <w:r w:rsidR="00E82E31" w:rsidRPr="00E82E31">
        <w:rPr>
          <w:rFonts w:asciiTheme="majorHAnsi" w:eastAsia="Times New Roman" w:hAnsiTheme="majorHAnsi" w:cstheme="majorHAnsi"/>
          <w:b/>
          <w:color w:val="000000" w:themeColor="text1"/>
          <w:spacing w:val="-2"/>
          <w:lang w:val="es-CO" w:eastAsia="es-ES"/>
        </w:rPr>
        <w:t xml:space="preserve">ACTO LEGISLATIVO </w:t>
      </w:r>
      <w:r w:rsidR="003D52B5" w:rsidRPr="00E82E31">
        <w:rPr>
          <w:rFonts w:asciiTheme="majorHAnsi" w:eastAsia="Times New Roman" w:hAnsiTheme="majorHAnsi" w:cstheme="majorHAnsi"/>
          <w:b/>
          <w:color w:val="000000" w:themeColor="text1"/>
          <w:spacing w:val="-2"/>
          <w:lang w:val="es-CO" w:eastAsia="es-ES"/>
        </w:rPr>
        <w:t xml:space="preserve">No </w:t>
      </w:r>
      <w:r w:rsidR="00E82E31" w:rsidRPr="00E82E31">
        <w:rPr>
          <w:rFonts w:asciiTheme="majorHAnsi" w:eastAsia="Times New Roman" w:hAnsiTheme="majorHAnsi" w:cstheme="majorHAnsi"/>
          <w:b/>
          <w:color w:val="000000" w:themeColor="text1"/>
          <w:spacing w:val="-2"/>
          <w:lang w:val="es-CO" w:eastAsia="es-ES"/>
        </w:rPr>
        <w:t xml:space="preserve">082 DE 2024 CÁMARA </w:t>
      </w:r>
    </w:p>
    <w:p w14:paraId="09BF11B3" w14:textId="77777777" w:rsidR="00E82E31" w:rsidRPr="00E82E31" w:rsidRDefault="00E82E31" w:rsidP="00AC4E3E">
      <w:pPr>
        <w:spacing w:line="300" w:lineRule="auto"/>
        <w:jc w:val="center"/>
        <w:rPr>
          <w:rFonts w:asciiTheme="majorHAnsi" w:eastAsia="Times New Roman" w:hAnsiTheme="majorHAnsi" w:cstheme="majorHAnsi"/>
          <w:b/>
          <w:color w:val="000000" w:themeColor="text1"/>
          <w:spacing w:val="-2"/>
          <w:lang w:val="es-CO" w:eastAsia="es-ES"/>
        </w:rPr>
      </w:pPr>
      <w:r w:rsidRPr="00E426C4">
        <w:rPr>
          <w:rFonts w:asciiTheme="majorHAnsi" w:eastAsia="Times New Roman" w:hAnsiTheme="majorHAnsi" w:cstheme="majorHAnsi"/>
          <w:b/>
          <w:bCs/>
          <w:i/>
          <w:color w:val="000000" w:themeColor="text1"/>
          <w:spacing w:val="-2"/>
          <w:lang w:eastAsia="es-ES"/>
        </w:rPr>
        <w:t xml:space="preserve">“POR MEDIO DEL CUAL SE MODIFICAN LOS ARTÍCULOS 12, 13 Y 43 </w:t>
      </w:r>
      <w:r w:rsidRPr="00A4157B">
        <w:rPr>
          <w:rFonts w:asciiTheme="majorHAnsi" w:eastAsia="Times New Roman" w:hAnsiTheme="majorHAnsi" w:cstheme="majorHAnsi"/>
          <w:b/>
          <w:bCs/>
          <w:i/>
          <w:color w:val="000000" w:themeColor="text1"/>
          <w:spacing w:val="-2"/>
          <w:lang w:eastAsia="es-ES"/>
        </w:rPr>
        <w:t>y 44</w:t>
      </w:r>
      <w:r w:rsidRPr="00E82E31">
        <w:rPr>
          <w:rFonts w:asciiTheme="majorHAnsi" w:eastAsia="Times New Roman" w:hAnsiTheme="majorHAnsi" w:cstheme="majorHAnsi"/>
          <w:b/>
          <w:bCs/>
          <w:i/>
          <w:color w:val="000000" w:themeColor="text1"/>
          <w:spacing w:val="-2"/>
          <w:lang w:eastAsia="es-ES"/>
        </w:rPr>
        <w:t xml:space="preserve"> </w:t>
      </w:r>
      <w:r w:rsidRPr="00E426C4">
        <w:rPr>
          <w:rFonts w:asciiTheme="majorHAnsi" w:eastAsia="Times New Roman" w:hAnsiTheme="majorHAnsi" w:cstheme="majorHAnsi"/>
          <w:b/>
          <w:bCs/>
          <w:i/>
          <w:color w:val="000000" w:themeColor="text1"/>
          <w:spacing w:val="-2"/>
          <w:lang w:eastAsia="es-ES"/>
        </w:rPr>
        <w:t>DE LA CONSTITUCIÓN POLITICA Y SE PROHÍBE LA MUTILACIÓN GENITAL FEMENINA MGF EN COLOMBIA</w:t>
      </w:r>
      <w:r w:rsidRPr="00E82E31">
        <w:rPr>
          <w:rFonts w:asciiTheme="majorHAnsi" w:eastAsia="Times New Roman" w:hAnsiTheme="majorHAnsi" w:cstheme="majorHAnsi"/>
          <w:b/>
          <w:color w:val="000000" w:themeColor="text1"/>
          <w:spacing w:val="-2"/>
          <w:lang w:val="es-CO" w:eastAsia="es-ES"/>
        </w:rPr>
        <w:t xml:space="preserve"> </w:t>
      </w:r>
    </w:p>
    <w:p w14:paraId="448C44E1" w14:textId="77777777" w:rsidR="00E82E31" w:rsidRPr="00E82E31" w:rsidRDefault="00E82E31" w:rsidP="00AC4E3E">
      <w:pPr>
        <w:spacing w:line="300" w:lineRule="auto"/>
        <w:jc w:val="center"/>
        <w:rPr>
          <w:rFonts w:asciiTheme="majorHAnsi" w:eastAsia="Times New Roman" w:hAnsiTheme="majorHAnsi" w:cstheme="majorHAnsi"/>
          <w:b/>
          <w:color w:val="000000" w:themeColor="text1"/>
          <w:spacing w:val="-2"/>
          <w:lang w:val="es-CO" w:eastAsia="es-ES"/>
        </w:rPr>
      </w:pPr>
    </w:p>
    <w:p w14:paraId="1BBDF91A" w14:textId="24382F56" w:rsidR="00AC4E3E" w:rsidRPr="00E82E31" w:rsidRDefault="00AC4E3E" w:rsidP="00AC4E3E">
      <w:pPr>
        <w:spacing w:line="300" w:lineRule="auto"/>
        <w:jc w:val="center"/>
        <w:rPr>
          <w:rFonts w:asciiTheme="majorHAnsi" w:eastAsia="Times New Roman" w:hAnsiTheme="majorHAnsi" w:cstheme="majorHAnsi"/>
          <w:b/>
          <w:color w:val="000000" w:themeColor="text1"/>
          <w:spacing w:val="-2"/>
          <w:lang w:val="es-CO" w:eastAsia="es-ES"/>
        </w:rPr>
      </w:pPr>
      <w:r w:rsidRPr="00E82E31">
        <w:rPr>
          <w:rFonts w:asciiTheme="majorHAnsi" w:eastAsia="Times New Roman" w:hAnsiTheme="majorHAnsi" w:cstheme="majorHAnsi"/>
          <w:b/>
          <w:color w:val="000000" w:themeColor="text1"/>
          <w:spacing w:val="-2"/>
          <w:lang w:val="es-CO" w:eastAsia="es-ES"/>
        </w:rPr>
        <w:t>El Congreso de la República</w:t>
      </w:r>
      <w:r w:rsidR="00A4157B">
        <w:rPr>
          <w:rFonts w:asciiTheme="majorHAnsi" w:eastAsia="Times New Roman" w:hAnsiTheme="majorHAnsi" w:cstheme="majorHAnsi"/>
          <w:b/>
          <w:color w:val="000000" w:themeColor="text1"/>
          <w:spacing w:val="-2"/>
          <w:lang w:val="es-CO" w:eastAsia="es-ES"/>
        </w:rPr>
        <w:t xml:space="preserve"> de Colombia</w:t>
      </w:r>
    </w:p>
    <w:p w14:paraId="620A0AFF" w14:textId="77777777" w:rsidR="00AC4E3E" w:rsidRPr="00E82E31" w:rsidRDefault="00AC4E3E" w:rsidP="00AC4E3E">
      <w:pPr>
        <w:spacing w:line="300" w:lineRule="auto"/>
        <w:jc w:val="center"/>
        <w:rPr>
          <w:rFonts w:asciiTheme="majorHAnsi" w:eastAsia="Times New Roman" w:hAnsiTheme="majorHAnsi" w:cstheme="majorHAnsi"/>
          <w:b/>
          <w:color w:val="000000" w:themeColor="text1"/>
          <w:spacing w:val="-2"/>
          <w:lang w:val="es-CO" w:eastAsia="es-ES"/>
        </w:rPr>
      </w:pPr>
    </w:p>
    <w:p w14:paraId="3654CD73" w14:textId="77777777" w:rsidR="00AC4E3E" w:rsidRPr="00E82E31" w:rsidRDefault="00AC4E3E" w:rsidP="00AC4E3E">
      <w:pPr>
        <w:spacing w:line="300" w:lineRule="auto"/>
        <w:jc w:val="center"/>
        <w:rPr>
          <w:rFonts w:asciiTheme="majorHAnsi" w:eastAsia="Times New Roman" w:hAnsiTheme="majorHAnsi" w:cstheme="majorHAnsi"/>
          <w:b/>
          <w:color w:val="000000" w:themeColor="text1"/>
          <w:spacing w:val="-2"/>
          <w:lang w:val="es-CO" w:eastAsia="es-ES"/>
        </w:rPr>
      </w:pPr>
      <w:r w:rsidRPr="00E82E31">
        <w:rPr>
          <w:rFonts w:asciiTheme="majorHAnsi" w:eastAsia="Times New Roman" w:hAnsiTheme="majorHAnsi" w:cstheme="majorHAnsi"/>
          <w:b/>
          <w:color w:val="000000" w:themeColor="text1"/>
          <w:spacing w:val="-2"/>
          <w:lang w:val="es-CO" w:eastAsia="es-ES"/>
        </w:rPr>
        <w:t>Decreta</w:t>
      </w:r>
    </w:p>
    <w:p w14:paraId="15C2103E" w14:textId="77777777" w:rsidR="00E82E31" w:rsidRPr="00E426C4" w:rsidRDefault="00E82E31" w:rsidP="00E82E31">
      <w:pPr>
        <w:widowControl/>
        <w:spacing w:before="280" w:after="280"/>
        <w:jc w:val="both"/>
        <w:rPr>
          <w:rFonts w:asciiTheme="majorHAnsi" w:eastAsiaTheme="minorHAnsi" w:hAnsiTheme="majorHAnsi" w:cstheme="majorHAnsi"/>
          <w:b/>
          <w:bCs/>
          <w:lang w:val="es-CO" w:eastAsia="en-US"/>
        </w:rPr>
      </w:pPr>
      <w:r w:rsidRPr="00E426C4">
        <w:rPr>
          <w:rFonts w:asciiTheme="majorHAnsi" w:eastAsiaTheme="minorHAnsi" w:hAnsiTheme="majorHAnsi" w:cstheme="majorHAnsi"/>
          <w:b/>
          <w:bCs/>
          <w:lang w:val="es-CO" w:eastAsia="en-US"/>
        </w:rPr>
        <w:t>Artículo 1º. Modifíquese el artículo 12 de la Constitución Política de Colombia, el cual quedará así:</w:t>
      </w:r>
    </w:p>
    <w:p w14:paraId="50F5D5E7" w14:textId="77777777" w:rsidR="00E82E31" w:rsidRPr="00E426C4" w:rsidRDefault="00E82E31" w:rsidP="00E82E31">
      <w:pPr>
        <w:widowControl/>
        <w:spacing w:before="280" w:after="280"/>
        <w:jc w:val="both"/>
        <w:rPr>
          <w:rFonts w:asciiTheme="majorHAnsi" w:eastAsiaTheme="minorHAnsi" w:hAnsiTheme="majorHAnsi" w:cstheme="majorHAnsi"/>
          <w:b/>
          <w:bCs/>
          <w:lang w:val="es-CO" w:eastAsia="en-US"/>
        </w:rPr>
      </w:pPr>
      <w:r w:rsidRPr="00E426C4">
        <w:rPr>
          <w:rFonts w:asciiTheme="majorHAnsi" w:eastAsiaTheme="minorHAnsi" w:hAnsiTheme="majorHAnsi" w:cstheme="majorHAnsi"/>
          <w:b/>
          <w:bCs/>
          <w:lang w:val="es-CO" w:eastAsia="en-US"/>
        </w:rPr>
        <w:t>ARTICULO 12</w:t>
      </w:r>
      <w:r w:rsidRPr="00E426C4">
        <w:rPr>
          <w:rFonts w:asciiTheme="majorHAnsi" w:eastAsiaTheme="minorHAnsi" w:hAnsiTheme="majorHAnsi" w:cstheme="majorHAnsi"/>
          <w:b/>
          <w:lang w:val="es-CO" w:eastAsia="en-US"/>
        </w:rPr>
        <w:t xml:space="preserve">. </w:t>
      </w:r>
      <w:r w:rsidRPr="00E426C4">
        <w:rPr>
          <w:rFonts w:asciiTheme="majorHAnsi" w:eastAsiaTheme="minorHAnsi" w:hAnsiTheme="majorHAnsi" w:cstheme="majorHAnsi"/>
          <w:bCs/>
          <w:lang w:val="es-CO" w:eastAsia="en-US"/>
        </w:rPr>
        <w:t>Nadie será sometido a desaparición forzada, a torturas ni a tratos o penas crueles, inhumanos o degradantes.</w:t>
      </w:r>
    </w:p>
    <w:p w14:paraId="021BEA08" w14:textId="77777777" w:rsidR="00E82E31" w:rsidRPr="00E426C4" w:rsidRDefault="00E82E31" w:rsidP="00E82E31">
      <w:pPr>
        <w:widowControl/>
        <w:spacing w:before="280" w:after="280"/>
        <w:jc w:val="both"/>
        <w:rPr>
          <w:rFonts w:asciiTheme="majorHAnsi" w:eastAsiaTheme="minorHAnsi" w:hAnsiTheme="majorHAnsi" w:cstheme="majorHAnsi"/>
          <w:lang w:val="es-CO" w:eastAsia="en-US"/>
        </w:rPr>
      </w:pPr>
      <w:r w:rsidRPr="00E426C4">
        <w:rPr>
          <w:rFonts w:asciiTheme="majorHAnsi" w:eastAsiaTheme="minorHAnsi" w:hAnsiTheme="majorHAnsi" w:cstheme="majorHAnsi"/>
          <w:lang w:val="es-CO" w:eastAsia="en-US"/>
        </w:rPr>
        <w:t>La mutilación genital femenina constituye violencia de género y se prohíbe su práctica en todo el territorio nacional. La ley regulará las sanciones en que incurrirán quienes</w:t>
      </w:r>
      <w:r w:rsidRPr="00E426C4">
        <w:rPr>
          <w:rFonts w:asciiTheme="majorHAnsi" w:eastAsiaTheme="minorHAnsi" w:hAnsiTheme="majorHAnsi" w:cstheme="majorHAnsi"/>
          <w:b/>
          <w:bCs/>
          <w:lang w:val="es-CO" w:eastAsia="en-US"/>
        </w:rPr>
        <w:t xml:space="preserve"> la</w:t>
      </w:r>
      <w:r w:rsidRPr="00E426C4">
        <w:rPr>
          <w:rFonts w:asciiTheme="majorHAnsi" w:eastAsiaTheme="minorHAnsi" w:hAnsiTheme="majorHAnsi" w:cstheme="majorHAnsi"/>
          <w:b/>
          <w:bCs/>
          <w:u w:val="single"/>
          <w:lang w:val="es-CO" w:eastAsia="en-US"/>
        </w:rPr>
        <w:t xml:space="preserve"> </w:t>
      </w:r>
      <w:r w:rsidRPr="00E426C4">
        <w:rPr>
          <w:rFonts w:asciiTheme="majorHAnsi" w:eastAsiaTheme="minorHAnsi" w:hAnsiTheme="majorHAnsi" w:cstheme="majorHAnsi"/>
          <w:lang w:val="es-CO" w:eastAsia="en-US"/>
        </w:rPr>
        <w:t>practiquen</w:t>
      </w:r>
      <w:r w:rsidRPr="00E82E31">
        <w:rPr>
          <w:rFonts w:asciiTheme="majorHAnsi" w:hAnsiTheme="majorHAnsi" w:cstheme="majorHAnsi"/>
        </w:rPr>
        <w:t>, incentiven o impongan su práctica</w:t>
      </w:r>
      <w:r w:rsidRPr="00E426C4">
        <w:rPr>
          <w:rFonts w:asciiTheme="majorHAnsi" w:eastAsiaTheme="minorHAnsi" w:hAnsiTheme="majorHAnsi" w:cstheme="majorHAnsi"/>
          <w:lang w:val="es-CO" w:eastAsia="en-US"/>
        </w:rPr>
        <w:t xml:space="preserve">. </w:t>
      </w:r>
    </w:p>
    <w:p w14:paraId="10E3994E" w14:textId="77777777" w:rsidR="00E82E31" w:rsidRPr="00E82E31" w:rsidRDefault="00E82E31" w:rsidP="00E82E31">
      <w:pPr>
        <w:spacing w:line="300" w:lineRule="auto"/>
        <w:jc w:val="both"/>
        <w:rPr>
          <w:rFonts w:asciiTheme="majorHAnsi" w:eastAsia="Times New Roman" w:hAnsiTheme="majorHAnsi" w:cstheme="majorHAnsi"/>
          <w:b/>
          <w:color w:val="000000" w:themeColor="text1"/>
          <w:spacing w:val="-2"/>
          <w:lang w:val="es-CO" w:eastAsia="es-ES"/>
        </w:rPr>
      </w:pPr>
      <w:r w:rsidRPr="00E82E31">
        <w:rPr>
          <w:rFonts w:asciiTheme="majorHAnsi" w:eastAsia="Times New Roman" w:hAnsiTheme="majorHAnsi" w:cstheme="majorHAnsi"/>
          <w:b/>
          <w:color w:val="000000" w:themeColor="text1"/>
          <w:spacing w:val="-2"/>
          <w:lang w:val="es-CO" w:eastAsia="es-ES"/>
        </w:rPr>
        <w:t>Artículo 2º. Modifíquese el artículo 13 de la Constitución Política de Colombia, el cual quedará así:</w:t>
      </w:r>
    </w:p>
    <w:p w14:paraId="47EE1486" w14:textId="77777777" w:rsidR="00E82E31" w:rsidRDefault="00E82E31" w:rsidP="00E82E31">
      <w:pPr>
        <w:spacing w:line="300" w:lineRule="auto"/>
        <w:jc w:val="both"/>
        <w:rPr>
          <w:rFonts w:asciiTheme="majorHAnsi" w:eastAsia="Times New Roman" w:hAnsiTheme="majorHAnsi" w:cstheme="majorHAnsi"/>
          <w:bCs/>
          <w:color w:val="000000" w:themeColor="text1"/>
          <w:spacing w:val="-2"/>
          <w:lang w:val="es-CO" w:eastAsia="es-ES"/>
        </w:rPr>
      </w:pPr>
    </w:p>
    <w:p w14:paraId="067CF0E0" w14:textId="404F9403" w:rsidR="00E82E31" w:rsidRPr="00E82E31" w:rsidRDefault="00E82E31" w:rsidP="00E82E31">
      <w:pPr>
        <w:spacing w:line="300" w:lineRule="auto"/>
        <w:jc w:val="both"/>
        <w:rPr>
          <w:rFonts w:asciiTheme="majorHAnsi" w:eastAsia="Times New Roman" w:hAnsiTheme="majorHAnsi" w:cstheme="majorHAnsi"/>
          <w:bCs/>
          <w:color w:val="000000" w:themeColor="text1"/>
          <w:spacing w:val="-2"/>
          <w:lang w:val="es-CO" w:eastAsia="es-ES"/>
        </w:rPr>
      </w:pPr>
      <w:r w:rsidRPr="00E24798">
        <w:rPr>
          <w:rFonts w:asciiTheme="majorHAnsi" w:eastAsia="Times New Roman" w:hAnsiTheme="majorHAnsi" w:cstheme="majorHAnsi"/>
          <w:b/>
          <w:color w:val="000000" w:themeColor="text1"/>
          <w:spacing w:val="-2"/>
          <w:lang w:val="es-CO" w:eastAsia="es-ES"/>
        </w:rPr>
        <w:t>ARTICULO 13.</w:t>
      </w:r>
      <w:r w:rsidRPr="00E82E31">
        <w:rPr>
          <w:rFonts w:asciiTheme="majorHAnsi" w:eastAsia="Times New Roman" w:hAnsiTheme="majorHAnsi" w:cstheme="majorHAnsi"/>
          <w:bCs/>
          <w:color w:val="000000" w:themeColor="text1"/>
          <w:spacing w:val="-2"/>
          <w:lang w:val="es-CO" w:eastAsia="es-ES"/>
        </w:rPr>
        <w:t xml:space="preserve"> 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p>
    <w:p w14:paraId="023162F2" w14:textId="77777777" w:rsidR="00E82E31" w:rsidRPr="00E82E31" w:rsidRDefault="00E82E31" w:rsidP="00E82E31">
      <w:pPr>
        <w:spacing w:line="300" w:lineRule="auto"/>
        <w:jc w:val="both"/>
        <w:rPr>
          <w:rFonts w:asciiTheme="majorHAnsi" w:eastAsia="Times New Roman" w:hAnsiTheme="majorHAnsi" w:cstheme="majorHAnsi"/>
          <w:bCs/>
          <w:color w:val="000000" w:themeColor="text1"/>
          <w:spacing w:val="-2"/>
          <w:lang w:val="es-CO" w:eastAsia="es-ES"/>
        </w:rPr>
      </w:pPr>
      <w:r w:rsidRPr="00E82E31">
        <w:rPr>
          <w:rFonts w:asciiTheme="majorHAnsi" w:eastAsia="Times New Roman" w:hAnsiTheme="majorHAnsi" w:cstheme="majorHAnsi"/>
          <w:bCs/>
          <w:color w:val="000000" w:themeColor="text1"/>
          <w:spacing w:val="-2"/>
          <w:lang w:val="es-CO" w:eastAsia="es-ES"/>
        </w:rPr>
        <w:t>Ninguna niña podrá ser sometida a mutilación genital y el Estado deberá adoptar políticas públicas con enfoque diferencial para garantizar la prevención de esta conducta, la transformación cultural hacia el respeto por la integridad física de las niñas y la atención en salud física y mental para las víctimas de esta práctica.</w:t>
      </w:r>
    </w:p>
    <w:p w14:paraId="3BAD9FC7" w14:textId="77777777" w:rsidR="00E82E31" w:rsidRPr="00E82E31" w:rsidRDefault="00E82E31" w:rsidP="00E82E31">
      <w:pPr>
        <w:spacing w:line="300" w:lineRule="auto"/>
        <w:jc w:val="both"/>
        <w:rPr>
          <w:rFonts w:asciiTheme="majorHAnsi" w:eastAsia="Times New Roman" w:hAnsiTheme="majorHAnsi" w:cstheme="majorHAnsi"/>
          <w:bCs/>
          <w:color w:val="000000" w:themeColor="text1"/>
          <w:spacing w:val="-2"/>
          <w:lang w:val="es-CO" w:eastAsia="es-ES"/>
        </w:rPr>
      </w:pPr>
      <w:r w:rsidRPr="00E82E31">
        <w:rPr>
          <w:rFonts w:asciiTheme="majorHAnsi" w:eastAsia="Times New Roman" w:hAnsiTheme="majorHAnsi" w:cstheme="majorHAnsi"/>
          <w:bCs/>
          <w:color w:val="000000" w:themeColor="text1"/>
          <w:spacing w:val="-2"/>
          <w:lang w:val="es-CO" w:eastAsia="es-ES"/>
        </w:rPr>
        <w:t>El Estado promoverá las condiciones para que la igualdad sea real y efectiva y adoptará medidas en favor de grupos discriminados o marginados.</w:t>
      </w:r>
    </w:p>
    <w:p w14:paraId="0ED7622D" w14:textId="04B26516" w:rsidR="00E82E31" w:rsidRDefault="00E82E31" w:rsidP="00E82E31">
      <w:pPr>
        <w:spacing w:line="300" w:lineRule="auto"/>
        <w:jc w:val="both"/>
        <w:rPr>
          <w:rFonts w:asciiTheme="majorHAnsi" w:eastAsia="Times New Roman" w:hAnsiTheme="majorHAnsi" w:cstheme="majorHAnsi"/>
          <w:bCs/>
          <w:color w:val="000000" w:themeColor="text1"/>
          <w:spacing w:val="-2"/>
          <w:lang w:val="es-CO" w:eastAsia="es-ES"/>
        </w:rPr>
      </w:pPr>
      <w:r w:rsidRPr="00E82E31">
        <w:rPr>
          <w:rFonts w:asciiTheme="majorHAnsi" w:eastAsia="Times New Roman" w:hAnsiTheme="majorHAnsi" w:cstheme="majorHAnsi"/>
          <w:bCs/>
          <w:color w:val="000000" w:themeColor="text1"/>
          <w:spacing w:val="-2"/>
          <w:lang w:val="es-CO" w:eastAsia="es-ES"/>
        </w:rPr>
        <w:t>El Estado protegerá especialmente a aquellas personas que, por su condición económica, física o mental, se encuentren en circunstancia de debilidad manifiesta y sancionará los abusos o maltratos que contra ellas se cometan.</w:t>
      </w:r>
    </w:p>
    <w:p w14:paraId="4ADCC154" w14:textId="11F1802C" w:rsidR="00E82E31" w:rsidRDefault="00E82E31" w:rsidP="00E82E31">
      <w:pPr>
        <w:spacing w:line="300" w:lineRule="auto"/>
        <w:jc w:val="both"/>
        <w:rPr>
          <w:rFonts w:asciiTheme="majorHAnsi" w:eastAsia="Times New Roman" w:hAnsiTheme="majorHAnsi" w:cstheme="majorHAnsi"/>
          <w:bCs/>
          <w:color w:val="000000" w:themeColor="text1"/>
          <w:spacing w:val="-2"/>
          <w:lang w:val="es-CO" w:eastAsia="es-ES"/>
        </w:rPr>
      </w:pPr>
    </w:p>
    <w:p w14:paraId="2A83D433" w14:textId="77777777" w:rsidR="00E82E31" w:rsidRPr="00E82E31" w:rsidRDefault="00E82E31" w:rsidP="00E82E31">
      <w:pPr>
        <w:spacing w:line="300" w:lineRule="auto"/>
        <w:jc w:val="both"/>
        <w:rPr>
          <w:rFonts w:asciiTheme="majorHAnsi" w:eastAsia="Times New Roman" w:hAnsiTheme="majorHAnsi" w:cstheme="majorHAnsi"/>
          <w:b/>
          <w:bCs/>
          <w:color w:val="000000" w:themeColor="text1"/>
          <w:spacing w:val="-2"/>
          <w:lang w:val="es-CO" w:eastAsia="es-ES"/>
        </w:rPr>
      </w:pPr>
      <w:r w:rsidRPr="00E82E31">
        <w:rPr>
          <w:rFonts w:asciiTheme="majorHAnsi" w:eastAsia="Times New Roman" w:hAnsiTheme="majorHAnsi" w:cstheme="majorHAnsi"/>
          <w:b/>
          <w:bCs/>
          <w:color w:val="000000" w:themeColor="text1"/>
          <w:spacing w:val="-2"/>
          <w:lang w:val="es-CO" w:eastAsia="es-ES"/>
        </w:rPr>
        <w:t>Artículo 3º. Modifíquese el artículo 43 de la Constitución Política de Colombia, el cual quedará así:</w:t>
      </w:r>
    </w:p>
    <w:p w14:paraId="1E706D17" w14:textId="77777777" w:rsidR="00E82E31" w:rsidRPr="00E82E31" w:rsidRDefault="00E82E31" w:rsidP="00E82E31">
      <w:pPr>
        <w:spacing w:line="300" w:lineRule="auto"/>
        <w:jc w:val="both"/>
        <w:rPr>
          <w:rFonts w:asciiTheme="majorHAnsi" w:eastAsia="Times New Roman" w:hAnsiTheme="majorHAnsi" w:cstheme="majorHAnsi"/>
          <w:bCs/>
          <w:color w:val="000000" w:themeColor="text1"/>
          <w:spacing w:val="-2"/>
          <w:lang w:val="es-CO" w:eastAsia="es-ES"/>
        </w:rPr>
      </w:pPr>
    </w:p>
    <w:p w14:paraId="5A15C68C" w14:textId="212D5786" w:rsidR="00E82E31" w:rsidRPr="00E82E31" w:rsidRDefault="00E82E31" w:rsidP="00E82E31">
      <w:pPr>
        <w:spacing w:line="300" w:lineRule="auto"/>
        <w:jc w:val="both"/>
        <w:rPr>
          <w:rFonts w:asciiTheme="majorHAnsi" w:eastAsia="Times New Roman" w:hAnsiTheme="majorHAnsi" w:cstheme="majorHAnsi"/>
          <w:bCs/>
          <w:color w:val="000000" w:themeColor="text1"/>
          <w:spacing w:val="-2"/>
          <w:lang w:val="es-CO" w:eastAsia="es-ES"/>
        </w:rPr>
      </w:pPr>
      <w:r w:rsidRPr="00E82E31">
        <w:rPr>
          <w:rFonts w:asciiTheme="majorHAnsi" w:eastAsia="Times New Roman" w:hAnsiTheme="majorHAnsi" w:cstheme="majorHAnsi"/>
          <w:b/>
          <w:bCs/>
          <w:color w:val="000000" w:themeColor="text1"/>
          <w:spacing w:val="-2"/>
          <w:lang w:val="es-CO" w:eastAsia="es-ES"/>
        </w:rPr>
        <w:t xml:space="preserve">ARTICULO 43. </w:t>
      </w:r>
      <w:r w:rsidRPr="00E82E31">
        <w:rPr>
          <w:rFonts w:asciiTheme="majorHAnsi" w:eastAsia="Times New Roman" w:hAnsiTheme="majorHAnsi" w:cstheme="majorHAnsi"/>
          <w:bCs/>
          <w:color w:val="000000" w:themeColor="text1"/>
          <w:spacing w:val="-2"/>
          <w:lang w:val="es-CO" w:eastAsia="es-ES"/>
        </w:rPr>
        <w:t xml:space="preserve">La mujer y el hombre tienen iguales derechos y oportunidades. La mujer no podrá ser </w:t>
      </w:r>
      <w:r w:rsidRPr="00E82E31">
        <w:rPr>
          <w:rFonts w:asciiTheme="majorHAnsi" w:eastAsia="Times New Roman" w:hAnsiTheme="majorHAnsi" w:cstheme="majorHAnsi"/>
          <w:bCs/>
          <w:color w:val="000000" w:themeColor="text1"/>
          <w:spacing w:val="-2"/>
          <w:lang w:val="es-CO" w:eastAsia="es-ES"/>
        </w:rPr>
        <w:lastRenderedPageBreak/>
        <w:t xml:space="preserve">sometida a ninguna clase de discriminación ni violencia; la mutilación genital femenina se prohíbe en todo el territorio nacional. Durante el embarazo y después del parto gozará de especial asistencia y protección del Estado, y recibirá de </w:t>
      </w:r>
      <w:r w:rsidR="006A480E">
        <w:rPr>
          <w:rFonts w:asciiTheme="majorHAnsi" w:eastAsia="Times New Roman" w:hAnsiTheme="majorHAnsi" w:cstheme="majorHAnsi"/>
          <w:bCs/>
          <w:color w:val="000000" w:themeColor="text1"/>
          <w:spacing w:val="-2"/>
          <w:lang w:val="es-CO" w:eastAsia="es-ES"/>
        </w:rPr>
        <w:t>e</w:t>
      </w:r>
      <w:r w:rsidRPr="00E82E31">
        <w:rPr>
          <w:rFonts w:asciiTheme="majorHAnsi" w:eastAsia="Times New Roman" w:hAnsiTheme="majorHAnsi" w:cstheme="majorHAnsi"/>
          <w:bCs/>
          <w:color w:val="000000" w:themeColor="text1"/>
          <w:spacing w:val="-2"/>
          <w:lang w:val="es-CO" w:eastAsia="es-ES"/>
        </w:rPr>
        <w:t>ste subsidio alimentario si entonces estuviere desempleada o desamparada.</w:t>
      </w:r>
    </w:p>
    <w:p w14:paraId="070A3DDB" w14:textId="77777777" w:rsidR="00E82E31" w:rsidRPr="00E82E31" w:rsidRDefault="00E82E31" w:rsidP="00E82E31">
      <w:pPr>
        <w:spacing w:line="300" w:lineRule="auto"/>
        <w:jc w:val="both"/>
        <w:rPr>
          <w:rFonts w:asciiTheme="majorHAnsi" w:eastAsia="Times New Roman" w:hAnsiTheme="majorHAnsi" w:cstheme="majorHAnsi"/>
          <w:bCs/>
          <w:color w:val="000000" w:themeColor="text1"/>
          <w:spacing w:val="-2"/>
          <w:lang w:val="es-CO" w:eastAsia="es-ES"/>
        </w:rPr>
      </w:pPr>
      <w:r w:rsidRPr="00E82E31">
        <w:rPr>
          <w:rFonts w:asciiTheme="majorHAnsi" w:eastAsia="Times New Roman" w:hAnsiTheme="majorHAnsi" w:cstheme="majorHAnsi"/>
          <w:bCs/>
          <w:color w:val="000000" w:themeColor="text1"/>
          <w:spacing w:val="-2"/>
          <w:lang w:val="es-CO" w:eastAsia="es-ES"/>
        </w:rPr>
        <w:t>El Estado apoyará de manera especial a la mujer cabeza de familia.</w:t>
      </w:r>
    </w:p>
    <w:p w14:paraId="1C92281A" w14:textId="0A6E5B55" w:rsidR="00E82E31" w:rsidRDefault="00E82E31" w:rsidP="009D6B31">
      <w:pPr>
        <w:spacing w:line="300" w:lineRule="auto"/>
        <w:jc w:val="both"/>
        <w:rPr>
          <w:rFonts w:asciiTheme="majorHAnsi" w:eastAsia="Times New Roman" w:hAnsiTheme="majorHAnsi" w:cstheme="majorHAnsi"/>
          <w:bCs/>
          <w:color w:val="000000" w:themeColor="text1"/>
          <w:spacing w:val="-2"/>
          <w:lang w:val="es-CO" w:eastAsia="es-ES"/>
        </w:rPr>
      </w:pPr>
    </w:p>
    <w:p w14:paraId="3CEAABAC" w14:textId="77777777" w:rsidR="006A480E" w:rsidRPr="006A480E" w:rsidRDefault="006A480E" w:rsidP="006A480E">
      <w:pPr>
        <w:spacing w:line="300" w:lineRule="auto"/>
        <w:jc w:val="both"/>
        <w:rPr>
          <w:rFonts w:asciiTheme="majorHAnsi" w:eastAsia="Times New Roman" w:hAnsiTheme="majorHAnsi" w:cstheme="majorHAnsi"/>
          <w:b/>
          <w:color w:val="000000" w:themeColor="text1"/>
          <w:spacing w:val="-2"/>
          <w:lang w:val="es-CO" w:eastAsia="es-ES"/>
        </w:rPr>
      </w:pPr>
      <w:r w:rsidRPr="006A480E">
        <w:rPr>
          <w:rFonts w:asciiTheme="majorHAnsi" w:eastAsia="Times New Roman" w:hAnsiTheme="majorHAnsi" w:cstheme="majorHAnsi"/>
          <w:b/>
          <w:color w:val="000000" w:themeColor="text1"/>
          <w:spacing w:val="-2"/>
          <w:lang w:val="es-CO" w:eastAsia="es-ES"/>
        </w:rPr>
        <w:t>Artículo 4º. Modifíquese el artículo 44 de la Constitución Política de Colombia, el cual quedará así:</w:t>
      </w:r>
    </w:p>
    <w:p w14:paraId="11C8B73C" w14:textId="77777777" w:rsidR="006A480E" w:rsidRPr="006A480E" w:rsidRDefault="006A480E" w:rsidP="006A480E">
      <w:pPr>
        <w:spacing w:line="300" w:lineRule="auto"/>
        <w:jc w:val="both"/>
        <w:rPr>
          <w:rFonts w:asciiTheme="majorHAnsi" w:eastAsia="Times New Roman" w:hAnsiTheme="majorHAnsi" w:cstheme="majorHAnsi"/>
          <w:bCs/>
          <w:color w:val="000000" w:themeColor="text1"/>
          <w:spacing w:val="-2"/>
          <w:lang w:val="es-CO" w:eastAsia="es-ES"/>
        </w:rPr>
      </w:pPr>
    </w:p>
    <w:p w14:paraId="5C2A32CA" w14:textId="77777777" w:rsidR="006A480E" w:rsidRPr="006A480E" w:rsidRDefault="006A480E" w:rsidP="006A480E">
      <w:pPr>
        <w:spacing w:line="300" w:lineRule="auto"/>
        <w:jc w:val="both"/>
        <w:rPr>
          <w:rFonts w:asciiTheme="majorHAnsi" w:eastAsia="Times New Roman" w:hAnsiTheme="majorHAnsi" w:cstheme="majorHAnsi"/>
          <w:bCs/>
          <w:color w:val="000000" w:themeColor="text1"/>
          <w:spacing w:val="-2"/>
          <w:lang w:val="es-CO" w:eastAsia="es-ES"/>
        </w:rPr>
      </w:pPr>
      <w:r w:rsidRPr="00E24798">
        <w:rPr>
          <w:rFonts w:asciiTheme="majorHAnsi" w:eastAsia="Times New Roman" w:hAnsiTheme="majorHAnsi" w:cstheme="majorHAnsi"/>
          <w:b/>
          <w:color w:val="000000" w:themeColor="text1"/>
          <w:spacing w:val="-2"/>
          <w:lang w:val="es-CO" w:eastAsia="es-ES"/>
        </w:rPr>
        <w:t>ARTICULO 44.</w:t>
      </w:r>
      <w:r w:rsidRPr="006A480E">
        <w:rPr>
          <w:rFonts w:asciiTheme="majorHAnsi" w:eastAsia="Times New Roman" w:hAnsiTheme="majorHAnsi" w:cstheme="majorHAnsi"/>
          <w:bCs/>
          <w:color w:val="000000" w:themeColor="text1"/>
          <w:spacing w:val="-2"/>
          <w:lang w:val="es-CO" w:eastAsia="es-ES"/>
        </w:rPr>
        <w:t xml:space="preserve"> 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mutilación genital, secuestro, venta, abuso sexual, explotación laboral o económica y trabajos riesgosos. Gozarán también de los demás derechos consagrados en la Constitución, en las leyes y en los tratados internacionales ratificados por Colombia.</w:t>
      </w:r>
    </w:p>
    <w:p w14:paraId="59EB5FD9" w14:textId="77777777" w:rsidR="006A480E" w:rsidRPr="006A480E" w:rsidRDefault="006A480E" w:rsidP="006A480E">
      <w:pPr>
        <w:spacing w:line="300" w:lineRule="auto"/>
        <w:jc w:val="both"/>
        <w:rPr>
          <w:rFonts w:asciiTheme="majorHAnsi" w:eastAsia="Times New Roman" w:hAnsiTheme="majorHAnsi" w:cstheme="majorHAnsi"/>
          <w:bCs/>
          <w:color w:val="000000" w:themeColor="text1"/>
          <w:spacing w:val="-2"/>
          <w:lang w:val="es-CO" w:eastAsia="es-ES"/>
        </w:rPr>
      </w:pPr>
    </w:p>
    <w:p w14:paraId="35C8FA53" w14:textId="77777777" w:rsidR="006A480E" w:rsidRPr="006A480E" w:rsidRDefault="006A480E" w:rsidP="006A480E">
      <w:pPr>
        <w:spacing w:line="300" w:lineRule="auto"/>
        <w:jc w:val="both"/>
        <w:rPr>
          <w:rFonts w:asciiTheme="majorHAnsi" w:eastAsia="Times New Roman" w:hAnsiTheme="majorHAnsi" w:cstheme="majorHAnsi"/>
          <w:bCs/>
          <w:color w:val="000000" w:themeColor="text1"/>
          <w:spacing w:val="-2"/>
          <w:lang w:val="es-CO" w:eastAsia="es-ES"/>
        </w:rPr>
      </w:pPr>
      <w:r w:rsidRPr="006A480E">
        <w:rPr>
          <w:rFonts w:asciiTheme="majorHAnsi" w:eastAsia="Times New Roman" w:hAnsiTheme="majorHAnsi" w:cstheme="majorHAnsi"/>
          <w:bCs/>
          <w:color w:val="000000" w:themeColor="text1"/>
          <w:spacing w:val="-2"/>
          <w:lang w:val="es-CO" w:eastAsia="es-ES"/>
        </w:rPr>
        <w:t>La familia, la sociedad y el Estado tienen la obligación de asistir y proteger al niño para garantizar su desarrollo armónico e integral y el ejercicio pleno de sus derechos. Cualquier persona puede exigir de la autoridad competente su cumplimiento y la sanción de los infractores.</w:t>
      </w:r>
    </w:p>
    <w:p w14:paraId="7A380A9B" w14:textId="77777777" w:rsidR="006A480E" w:rsidRPr="006A480E" w:rsidRDefault="006A480E" w:rsidP="006A480E">
      <w:pPr>
        <w:spacing w:line="300" w:lineRule="auto"/>
        <w:jc w:val="both"/>
        <w:rPr>
          <w:rFonts w:asciiTheme="majorHAnsi" w:eastAsia="Times New Roman" w:hAnsiTheme="majorHAnsi" w:cstheme="majorHAnsi"/>
          <w:bCs/>
          <w:color w:val="000000" w:themeColor="text1"/>
          <w:spacing w:val="-2"/>
          <w:lang w:val="es-CO" w:eastAsia="es-ES"/>
        </w:rPr>
      </w:pPr>
    </w:p>
    <w:p w14:paraId="52FBCEF3" w14:textId="77777777" w:rsidR="006A480E" w:rsidRPr="006A480E" w:rsidRDefault="006A480E" w:rsidP="006A480E">
      <w:pPr>
        <w:spacing w:line="300" w:lineRule="auto"/>
        <w:jc w:val="both"/>
        <w:rPr>
          <w:rFonts w:asciiTheme="majorHAnsi" w:eastAsia="Times New Roman" w:hAnsiTheme="majorHAnsi" w:cstheme="majorHAnsi"/>
          <w:bCs/>
          <w:color w:val="000000" w:themeColor="text1"/>
          <w:spacing w:val="-2"/>
          <w:lang w:val="es-CO" w:eastAsia="es-ES"/>
        </w:rPr>
      </w:pPr>
      <w:r w:rsidRPr="006A480E">
        <w:rPr>
          <w:rFonts w:asciiTheme="majorHAnsi" w:eastAsia="Times New Roman" w:hAnsiTheme="majorHAnsi" w:cstheme="majorHAnsi"/>
          <w:bCs/>
          <w:color w:val="000000" w:themeColor="text1"/>
          <w:spacing w:val="-2"/>
          <w:lang w:val="es-CO" w:eastAsia="es-ES"/>
        </w:rPr>
        <w:t>Los derechos de los niños prevalecen sobre los derechos de los demás.</w:t>
      </w:r>
    </w:p>
    <w:p w14:paraId="46B27D08" w14:textId="77777777" w:rsidR="00E82E31" w:rsidRPr="00E82E31" w:rsidRDefault="00E82E31" w:rsidP="009D6B31">
      <w:pPr>
        <w:spacing w:line="300" w:lineRule="auto"/>
        <w:jc w:val="both"/>
        <w:rPr>
          <w:rFonts w:asciiTheme="majorHAnsi" w:eastAsia="Times New Roman" w:hAnsiTheme="majorHAnsi" w:cstheme="majorHAnsi"/>
          <w:bCs/>
          <w:color w:val="000000" w:themeColor="text1"/>
          <w:spacing w:val="-2"/>
          <w:lang w:val="es-CO" w:eastAsia="es-ES"/>
        </w:rPr>
      </w:pPr>
    </w:p>
    <w:p w14:paraId="2FD4E528" w14:textId="5BB97D81" w:rsidR="00202824" w:rsidRDefault="00BC5FD9" w:rsidP="009D6B31">
      <w:pPr>
        <w:spacing w:line="300" w:lineRule="auto"/>
        <w:jc w:val="both"/>
        <w:rPr>
          <w:rFonts w:asciiTheme="majorHAnsi" w:eastAsia="Times New Roman" w:hAnsiTheme="majorHAnsi" w:cstheme="majorHAnsi"/>
          <w:b/>
          <w:color w:val="000000" w:themeColor="text1"/>
          <w:spacing w:val="-2"/>
          <w:lang w:val="es-CO" w:eastAsia="es-ES"/>
        </w:rPr>
      </w:pPr>
      <w:r w:rsidRPr="003B0D39">
        <w:rPr>
          <w:rFonts w:asciiTheme="majorHAnsi" w:eastAsia="Times New Roman" w:hAnsiTheme="majorHAnsi" w:cstheme="majorHAnsi"/>
          <w:b/>
          <w:color w:val="000000" w:themeColor="text1"/>
          <w:spacing w:val="-2"/>
          <w:lang w:val="es-CO" w:eastAsia="es-ES"/>
        </w:rPr>
        <w:t xml:space="preserve">Artículo </w:t>
      </w:r>
      <w:r w:rsidR="006A480E">
        <w:rPr>
          <w:rFonts w:asciiTheme="majorHAnsi" w:eastAsia="Times New Roman" w:hAnsiTheme="majorHAnsi" w:cstheme="majorHAnsi"/>
          <w:b/>
          <w:color w:val="000000" w:themeColor="text1"/>
          <w:spacing w:val="-2"/>
          <w:lang w:val="es-CO" w:eastAsia="es-ES"/>
        </w:rPr>
        <w:t>5</w:t>
      </w:r>
      <w:r w:rsidRPr="003B0D39">
        <w:rPr>
          <w:rFonts w:asciiTheme="majorHAnsi" w:eastAsia="Times New Roman" w:hAnsiTheme="majorHAnsi" w:cstheme="majorHAnsi"/>
          <w:b/>
          <w:color w:val="000000" w:themeColor="text1"/>
          <w:spacing w:val="-2"/>
          <w:lang w:val="es-CO" w:eastAsia="es-ES"/>
        </w:rPr>
        <w:t>. Vigencia.</w:t>
      </w:r>
      <w:r w:rsidRPr="003B0D39">
        <w:rPr>
          <w:rFonts w:asciiTheme="majorHAnsi" w:eastAsia="Times New Roman" w:hAnsiTheme="majorHAnsi" w:cstheme="majorHAnsi"/>
          <w:bCs/>
          <w:color w:val="000000" w:themeColor="text1"/>
          <w:spacing w:val="-2"/>
          <w:lang w:val="es-CO" w:eastAsia="es-ES"/>
        </w:rPr>
        <w:t xml:space="preserve"> </w:t>
      </w:r>
      <w:r w:rsidR="006A480E" w:rsidRPr="006A480E">
        <w:rPr>
          <w:rFonts w:asciiTheme="majorHAnsi" w:eastAsia="Times New Roman" w:hAnsiTheme="majorHAnsi" w:cstheme="majorHAnsi"/>
          <w:bCs/>
          <w:color w:val="000000" w:themeColor="text1"/>
          <w:spacing w:val="-2"/>
          <w:lang w:eastAsia="es-ES"/>
        </w:rPr>
        <w:t>El presente Acto Legislativo rige a partir de su promulgación.</w:t>
      </w:r>
    </w:p>
    <w:p w14:paraId="4F961D37" w14:textId="77777777" w:rsidR="00202824" w:rsidRDefault="00202824" w:rsidP="009D6B31">
      <w:pPr>
        <w:spacing w:line="300" w:lineRule="auto"/>
        <w:jc w:val="both"/>
        <w:rPr>
          <w:rFonts w:asciiTheme="majorHAnsi" w:eastAsia="Times New Roman" w:hAnsiTheme="majorHAnsi" w:cstheme="majorHAnsi"/>
          <w:b/>
          <w:color w:val="000000" w:themeColor="text1"/>
          <w:spacing w:val="-2"/>
          <w:lang w:val="es-CO" w:eastAsia="es-ES"/>
        </w:rPr>
      </w:pPr>
    </w:p>
    <w:p w14:paraId="7A5DCB4A" w14:textId="246A81EF" w:rsidR="00BC5FD9" w:rsidRPr="003B0D39" w:rsidRDefault="00BC5FD9" w:rsidP="009D6B31">
      <w:pPr>
        <w:spacing w:line="300" w:lineRule="auto"/>
        <w:jc w:val="both"/>
        <w:rPr>
          <w:rFonts w:asciiTheme="majorHAnsi" w:eastAsia="Times New Roman" w:hAnsiTheme="majorHAnsi" w:cstheme="majorHAnsi"/>
          <w:bCs/>
          <w:color w:val="000000" w:themeColor="text1"/>
          <w:spacing w:val="-2"/>
          <w:lang w:val="es-CO" w:eastAsia="es-ES"/>
        </w:rPr>
      </w:pPr>
      <w:r w:rsidRPr="003B0D39">
        <w:rPr>
          <w:rFonts w:asciiTheme="majorHAnsi" w:eastAsia="Times New Roman" w:hAnsiTheme="majorHAnsi" w:cstheme="majorHAnsi"/>
          <w:bCs/>
          <w:color w:val="000000" w:themeColor="text1"/>
          <w:spacing w:val="-2"/>
          <w:lang w:val="es-CO" w:eastAsia="es-ES"/>
        </w:rPr>
        <w:t xml:space="preserve">De los honorables Representantes, </w:t>
      </w:r>
    </w:p>
    <w:p w14:paraId="38D2BBE2" w14:textId="77777777" w:rsidR="00BC5FD9" w:rsidRDefault="00BC5FD9" w:rsidP="009D6B31">
      <w:pPr>
        <w:spacing w:line="300" w:lineRule="auto"/>
        <w:jc w:val="both"/>
        <w:rPr>
          <w:rFonts w:asciiTheme="majorHAnsi" w:eastAsia="Times New Roman" w:hAnsiTheme="majorHAnsi" w:cstheme="majorHAnsi"/>
          <w:b/>
          <w:color w:val="000000" w:themeColor="text1"/>
          <w:spacing w:val="-2"/>
          <w:lang w:val="es-CO" w:eastAsia="es-ES"/>
        </w:rPr>
      </w:pPr>
    </w:p>
    <w:tbl>
      <w:tblPr>
        <w:tblStyle w:val="Tablaconcuadrcula"/>
        <w:tblW w:w="0" w:type="auto"/>
        <w:tblLook w:val="04A0" w:firstRow="1" w:lastRow="0" w:firstColumn="1" w:lastColumn="0" w:noHBand="0" w:noVBand="1"/>
      </w:tblPr>
      <w:tblGrid>
        <w:gridCol w:w="4575"/>
        <w:gridCol w:w="4575"/>
      </w:tblGrid>
      <w:tr w:rsidR="006A480E" w14:paraId="0414C1B2" w14:textId="77777777" w:rsidTr="006A480E">
        <w:tc>
          <w:tcPr>
            <w:tcW w:w="4575" w:type="dxa"/>
          </w:tcPr>
          <w:p w14:paraId="401319A2" w14:textId="77777777"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06879F21" w14:textId="77777777"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6F0A243D" w14:textId="77777777"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41618C78" w14:textId="6DB6E6A5"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1CBB3CC2" w14:textId="77777777" w:rsidR="00C76FB9" w:rsidRDefault="00C76FB9" w:rsidP="009D6B31">
            <w:pPr>
              <w:spacing w:line="300" w:lineRule="auto"/>
              <w:jc w:val="both"/>
              <w:rPr>
                <w:rFonts w:asciiTheme="majorHAnsi" w:eastAsia="Times New Roman" w:hAnsiTheme="majorHAnsi" w:cstheme="majorHAnsi"/>
                <w:b/>
                <w:color w:val="000000" w:themeColor="text1"/>
                <w:spacing w:val="-2"/>
                <w:lang w:eastAsia="es-ES"/>
              </w:rPr>
            </w:pPr>
          </w:p>
          <w:p w14:paraId="122D8806" w14:textId="77777777" w:rsidR="00C76FB9" w:rsidRDefault="00C76FB9" w:rsidP="009D6B31">
            <w:pPr>
              <w:spacing w:line="300" w:lineRule="auto"/>
              <w:jc w:val="both"/>
              <w:rPr>
                <w:rFonts w:asciiTheme="majorHAnsi" w:eastAsia="Times New Roman" w:hAnsiTheme="majorHAnsi" w:cstheme="majorHAnsi"/>
                <w:b/>
                <w:color w:val="000000" w:themeColor="text1"/>
                <w:spacing w:val="-2"/>
                <w:lang w:eastAsia="es-ES"/>
              </w:rPr>
            </w:pPr>
          </w:p>
          <w:p w14:paraId="2535ECF8" w14:textId="61A85764"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ANDRÉS FELIPE JIMÉNEZ VARGAS</w:t>
            </w:r>
          </w:p>
          <w:p w14:paraId="0A74B028" w14:textId="77777777"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HONORABLE REPRESENTANTE</w:t>
            </w:r>
          </w:p>
          <w:p w14:paraId="27749A4F" w14:textId="1751AAEE"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PARTIDO CONSERVADOR</w:t>
            </w:r>
          </w:p>
          <w:p w14:paraId="79D1CAF1" w14:textId="266FBB63"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AUTOR Y COORDINADOR PONENTE</w:t>
            </w:r>
          </w:p>
        </w:tc>
        <w:tc>
          <w:tcPr>
            <w:tcW w:w="4575" w:type="dxa"/>
          </w:tcPr>
          <w:p w14:paraId="11A07740" w14:textId="77777777"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5772551F" w14:textId="77777777"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09A86AA2" w14:textId="77777777"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765531DB" w14:textId="77777777"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3BF2836A" w14:textId="77777777" w:rsidR="00C76FB9" w:rsidRDefault="00C76FB9" w:rsidP="009D6B31">
            <w:pPr>
              <w:spacing w:line="300" w:lineRule="auto"/>
              <w:jc w:val="both"/>
              <w:rPr>
                <w:rFonts w:asciiTheme="majorHAnsi" w:eastAsia="Times New Roman" w:hAnsiTheme="majorHAnsi" w:cstheme="majorHAnsi"/>
                <w:b/>
                <w:color w:val="000000" w:themeColor="text1"/>
                <w:spacing w:val="-2"/>
                <w:lang w:eastAsia="es-ES"/>
              </w:rPr>
            </w:pPr>
          </w:p>
          <w:p w14:paraId="50084F4A" w14:textId="77777777" w:rsidR="00C76FB9" w:rsidRDefault="00C76FB9" w:rsidP="009D6B31">
            <w:pPr>
              <w:spacing w:line="300" w:lineRule="auto"/>
              <w:jc w:val="both"/>
              <w:rPr>
                <w:rFonts w:asciiTheme="majorHAnsi" w:eastAsia="Times New Roman" w:hAnsiTheme="majorHAnsi" w:cstheme="majorHAnsi"/>
                <w:b/>
                <w:color w:val="000000" w:themeColor="text1"/>
                <w:spacing w:val="-2"/>
                <w:lang w:eastAsia="es-ES"/>
              </w:rPr>
            </w:pPr>
          </w:p>
          <w:p w14:paraId="24960309" w14:textId="77C808D8"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JOSÉ JAIME USCATEGUI PASTRANA</w:t>
            </w:r>
          </w:p>
          <w:p w14:paraId="3C6C7AD0" w14:textId="77777777" w:rsidR="006A480E" w:rsidRPr="006A480E" w:rsidRDefault="006A480E" w:rsidP="006A480E">
            <w:pPr>
              <w:spacing w:line="300" w:lineRule="auto"/>
              <w:jc w:val="both"/>
              <w:rPr>
                <w:rFonts w:asciiTheme="majorHAnsi" w:eastAsia="Times New Roman" w:hAnsiTheme="majorHAnsi" w:cstheme="majorHAnsi"/>
                <w:b/>
                <w:color w:val="000000" w:themeColor="text1"/>
                <w:spacing w:val="-2"/>
                <w:lang w:val="es-ES" w:eastAsia="es-ES"/>
              </w:rPr>
            </w:pPr>
            <w:r w:rsidRPr="006A480E">
              <w:rPr>
                <w:rFonts w:asciiTheme="majorHAnsi" w:eastAsia="Times New Roman" w:hAnsiTheme="majorHAnsi" w:cstheme="majorHAnsi"/>
                <w:b/>
                <w:color w:val="000000" w:themeColor="text1"/>
                <w:spacing w:val="-2"/>
                <w:lang w:val="es-ES" w:eastAsia="es-ES"/>
              </w:rPr>
              <w:t>HONORABLE REPRESENTANTE</w:t>
            </w:r>
          </w:p>
          <w:p w14:paraId="7A40E3CA" w14:textId="77777777" w:rsidR="006A480E" w:rsidRDefault="006A480E" w:rsidP="006A480E">
            <w:pPr>
              <w:spacing w:line="300" w:lineRule="auto"/>
              <w:jc w:val="both"/>
              <w:rPr>
                <w:rFonts w:asciiTheme="majorHAnsi" w:eastAsia="Times New Roman" w:hAnsiTheme="majorHAnsi" w:cstheme="majorHAnsi"/>
                <w:b/>
                <w:color w:val="000000" w:themeColor="text1"/>
                <w:spacing w:val="-2"/>
                <w:lang w:val="es-ES" w:eastAsia="es-ES"/>
              </w:rPr>
            </w:pPr>
            <w:r w:rsidRPr="006A480E">
              <w:rPr>
                <w:rFonts w:asciiTheme="majorHAnsi" w:eastAsia="Times New Roman" w:hAnsiTheme="majorHAnsi" w:cstheme="majorHAnsi"/>
                <w:b/>
                <w:color w:val="000000" w:themeColor="text1"/>
                <w:spacing w:val="-2"/>
                <w:lang w:val="es-ES" w:eastAsia="es-ES"/>
              </w:rPr>
              <w:t>PARTIDO C</w:t>
            </w:r>
            <w:r>
              <w:rPr>
                <w:rFonts w:asciiTheme="majorHAnsi" w:eastAsia="Times New Roman" w:hAnsiTheme="majorHAnsi" w:cstheme="majorHAnsi"/>
                <w:b/>
                <w:color w:val="000000" w:themeColor="text1"/>
                <w:spacing w:val="-2"/>
                <w:lang w:val="es-ES" w:eastAsia="es-ES"/>
              </w:rPr>
              <w:t>ENTRO DEMOCRÁTICO</w:t>
            </w:r>
          </w:p>
          <w:p w14:paraId="00637F3C" w14:textId="2B15B155" w:rsidR="006A480E" w:rsidRDefault="006A480E" w:rsidP="006A480E">
            <w:pPr>
              <w:spacing w:line="300" w:lineRule="auto"/>
              <w:jc w:val="both"/>
              <w:rPr>
                <w:rFonts w:asciiTheme="majorHAnsi" w:eastAsia="Times New Roman" w:hAnsiTheme="majorHAnsi" w:cstheme="majorHAnsi"/>
                <w:b/>
                <w:color w:val="000000" w:themeColor="text1"/>
                <w:spacing w:val="-2"/>
                <w:lang w:eastAsia="es-ES"/>
              </w:rPr>
            </w:pPr>
            <w:r w:rsidRPr="006A480E">
              <w:rPr>
                <w:rFonts w:asciiTheme="majorHAnsi" w:eastAsia="Times New Roman" w:hAnsiTheme="majorHAnsi" w:cstheme="majorHAnsi"/>
                <w:b/>
                <w:color w:val="000000" w:themeColor="text1"/>
                <w:spacing w:val="-2"/>
                <w:lang w:val="es-ES" w:eastAsia="es-ES"/>
              </w:rPr>
              <w:t>COORDINADOR PONENTE</w:t>
            </w:r>
          </w:p>
        </w:tc>
      </w:tr>
      <w:tr w:rsidR="006A480E" w14:paraId="3E57BBDF" w14:textId="77777777" w:rsidTr="006A480E">
        <w:tc>
          <w:tcPr>
            <w:tcW w:w="4575" w:type="dxa"/>
          </w:tcPr>
          <w:p w14:paraId="1BCBEDDC" w14:textId="77777777"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768D0A54" w14:textId="2F2A71EF"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0A619A25" w14:textId="5D633962"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429D4A6E" w14:textId="77777777"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6705688F" w14:textId="2B940B13"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ALVARO LEONEL RUEDA CABALLERO</w:t>
            </w:r>
          </w:p>
          <w:p w14:paraId="6979A3A7" w14:textId="7C84B69D"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HONORABLE REPRESENTANTE</w:t>
            </w:r>
          </w:p>
          <w:p w14:paraId="0A5EA0D2" w14:textId="0CD662B0"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PONENTE</w:t>
            </w:r>
          </w:p>
          <w:p w14:paraId="2B57732D" w14:textId="27F3B5EB" w:rsidR="006A480E" w:rsidRDefault="006A480E" w:rsidP="006A480E">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PARTIDO LIBERAL</w:t>
            </w:r>
          </w:p>
        </w:tc>
        <w:tc>
          <w:tcPr>
            <w:tcW w:w="4575" w:type="dxa"/>
          </w:tcPr>
          <w:p w14:paraId="3B8E55C3" w14:textId="273D3208"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71B52F1A" w14:textId="4EDCDC40"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09FA5AFF" w14:textId="648190A6"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7B04A739" w14:textId="77777777"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44233560" w14:textId="1BC8F2CE"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ASTRID SÁNCHEZ MONTES DE OCA</w:t>
            </w:r>
          </w:p>
          <w:p w14:paraId="071799B0" w14:textId="0928906D"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HONORABLE REPRESENTANTE</w:t>
            </w:r>
          </w:p>
          <w:p w14:paraId="74396D27" w14:textId="2548E3A7"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PONENTE</w:t>
            </w:r>
          </w:p>
          <w:p w14:paraId="785243F3" w14:textId="1C060CEC"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PARTIDO DE LA U</w:t>
            </w:r>
          </w:p>
          <w:p w14:paraId="54EA5F52" w14:textId="7C903A8D"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tc>
      </w:tr>
      <w:tr w:rsidR="006A480E" w14:paraId="08EA4B2E" w14:textId="77777777" w:rsidTr="006A480E">
        <w:tc>
          <w:tcPr>
            <w:tcW w:w="4575" w:type="dxa"/>
          </w:tcPr>
          <w:p w14:paraId="4795A96A" w14:textId="77777777"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045F867D" w14:textId="77777777"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0CC55A32" w14:textId="77777777"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1E15CA90" w14:textId="69D6976E"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05DFA9E5" w14:textId="6B6F1535"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DAVID RICARDO RACERO MAYORCA</w:t>
            </w:r>
          </w:p>
          <w:p w14:paraId="1F8D81E6" w14:textId="1E930DD9" w:rsidR="00FA7A6E" w:rsidRDefault="00FA7A6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HONORABLE REPRESENTANTE</w:t>
            </w:r>
          </w:p>
          <w:p w14:paraId="602635C3" w14:textId="6B66872B" w:rsidR="00FA7A6E" w:rsidRDefault="00FA7A6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PONENTE</w:t>
            </w:r>
          </w:p>
          <w:p w14:paraId="46CF2B89" w14:textId="17DE94F6" w:rsidR="006A480E" w:rsidRDefault="00F14875"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COALICIÓN PACTO HISTÓRICO</w:t>
            </w:r>
          </w:p>
        </w:tc>
        <w:tc>
          <w:tcPr>
            <w:tcW w:w="4575" w:type="dxa"/>
          </w:tcPr>
          <w:p w14:paraId="78FBF554" w14:textId="77777777"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08FCA72B" w14:textId="77777777"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776C5DE8" w14:textId="77777777"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1FBE21FC" w14:textId="687C5716"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50586D8A" w14:textId="385DD5A6" w:rsidR="006A480E" w:rsidRDefault="00FA7A6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ADRIANA CAROLINA ARBELÁEZ GIRALDO</w:t>
            </w:r>
          </w:p>
          <w:p w14:paraId="02DA0E09" w14:textId="135B7806" w:rsidR="00FA7A6E" w:rsidRDefault="00FA7A6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HONORABLE REPRESENTANTE</w:t>
            </w:r>
          </w:p>
          <w:p w14:paraId="1172A4E2" w14:textId="480C257B" w:rsidR="00FA7A6E" w:rsidRDefault="00FA7A6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PONENTE</w:t>
            </w:r>
          </w:p>
          <w:p w14:paraId="14C5F23A" w14:textId="5888869E" w:rsidR="00FA7A6E" w:rsidRDefault="00FA7A6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PARTIDO CAMBIO RADICAL</w:t>
            </w:r>
          </w:p>
        </w:tc>
      </w:tr>
      <w:tr w:rsidR="006A480E" w14:paraId="49180B36" w14:textId="77777777" w:rsidTr="006A480E">
        <w:tc>
          <w:tcPr>
            <w:tcW w:w="4575" w:type="dxa"/>
          </w:tcPr>
          <w:p w14:paraId="65861DD5" w14:textId="77777777"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7E74732E" w14:textId="77777777" w:rsidR="00FA7A6E" w:rsidRDefault="00FA7A6E" w:rsidP="009D6B31">
            <w:pPr>
              <w:spacing w:line="300" w:lineRule="auto"/>
              <w:jc w:val="both"/>
              <w:rPr>
                <w:rFonts w:asciiTheme="majorHAnsi" w:eastAsia="Times New Roman" w:hAnsiTheme="majorHAnsi" w:cstheme="majorHAnsi"/>
                <w:b/>
                <w:color w:val="000000" w:themeColor="text1"/>
                <w:spacing w:val="-2"/>
                <w:lang w:eastAsia="es-ES"/>
              </w:rPr>
            </w:pPr>
          </w:p>
          <w:p w14:paraId="76ADA9B2" w14:textId="77777777" w:rsidR="00FA7A6E" w:rsidRDefault="00FA7A6E" w:rsidP="009D6B31">
            <w:pPr>
              <w:spacing w:line="300" w:lineRule="auto"/>
              <w:jc w:val="both"/>
              <w:rPr>
                <w:rFonts w:asciiTheme="majorHAnsi" w:eastAsia="Times New Roman" w:hAnsiTheme="majorHAnsi" w:cstheme="majorHAnsi"/>
                <w:b/>
                <w:color w:val="000000" w:themeColor="text1"/>
                <w:spacing w:val="-2"/>
                <w:lang w:eastAsia="es-ES"/>
              </w:rPr>
            </w:pPr>
          </w:p>
          <w:p w14:paraId="585516C6" w14:textId="77777777" w:rsidR="00FA7A6E" w:rsidRDefault="00FA7A6E" w:rsidP="009D6B31">
            <w:pPr>
              <w:spacing w:line="300" w:lineRule="auto"/>
              <w:jc w:val="both"/>
              <w:rPr>
                <w:rFonts w:asciiTheme="majorHAnsi" w:eastAsia="Times New Roman" w:hAnsiTheme="majorHAnsi" w:cstheme="majorHAnsi"/>
                <w:b/>
                <w:color w:val="000000" w:themeColor="text1"/>
                <w:spacing w:val="-2"/>
                <w:lang w:eastAsia="es-ES"/>
              </w:rPr>
            </w:pPr>
          </w:p>
          <w:p w14:paraId="26D63142" w14:textId="77777777" w:rsidR="00FA7A6E" w:rsidRDefault="00FA7A6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JAMES HERMENEGILDO MOSQUERA TORRES</w:t>
            </w:r>
          </w:p>
          <w:p w14:paraId="62F2AE52" w14:textId="1506B34E" w:rsidR="00FA7A6E" w:rsidRDefault="00FA7A6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HONORABLE REPRESENTANTE</w:t>
            </w:r>
          </w:p>
          <w:p w14:paraId="3D198616" w14:textId="2746008E" w:rsidR="00FA7A6E" w:rsidRDefault="00FA7A6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PONENTE</w:t>
            </w:r>
          </w:p>
          <w:p w14:paraId="1F52C85A" w14:textId="4EDA504A" w:rsidR="00FA7A6E" w:rsidRDefault="00F14875"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CIRCUNSCRIPCIÓN PARA LAS VÍCTIMAS</w:t>
            </w:r>
          </w:p>
        </w:tc>
        <w:tc>
          <w:tcPr>
            <w:tcW w:w="4575" w:type="dxa"/>
          </w:tcPr>
          <w:p w14:paraId="1DA17D22" w14:textId="77777777"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584ED2DB" w14:textId="77777777" w:rsidR="00FA7A6E" w:rsidRDefault="00FA7A6E" w:rsidP="009D6B31">
            <w:pPr>
              <w:spacing w:line="300" w:lineRule="auto"/>
              <w:jc w:val="both"/>
              <w:rPr>
                <w:rFonts w:asciiTheme="majorHAnsi" w:eastAsia="Times New Roman" w:hAnsiTheme="majorHAnsi" w:cstheme="majorHAnsi"/>
                <w:b/>
                <w:color w:val="000000" w:themeColor="text1"/>
                <w:spacing w:val="-2"/>
                <w:lang w:eastAsia="es-ES"/>
              </w:rPr>
            </w:pPr>
          </w:p>
          <w:p w14:paraId="76726231" w14:textId="77777777" w:rsidR="00FA7A6E" w:rsidRDefault="00FA7A6E" w:rsidP="009D6B31">
            <w:pPr>
              <w:spacing w:line="300" w:lineRule="auto"/>
              <w:jc w:val="both"/>
              <w:rPr>
                <w:rFonts w:asciiTheme="majorHAnsi" w:eastAsia="Times New Roman" w:hAnsiTheme="majorHAnsi" w:cstheme="majorHAnsi"/>
                <w:b/>
                <w:color w:val="000000" w:themeColor="text1"/>
                <w:spacing w:val="-2"/>
                <w:lang w:eastAsia="es-ES"/>
              </w:rPr>
            </w:pPr>
          </w:p>
          <w:p w14:paraId="02FB0C88" w14:textId="77777777" w:rsidR="00FA7A6E" w:rsidRDefault="00FA7A6E" w:rsidP="009D6B31">
            <w:pPr>
              <w:spacing w:line="300" w:lineRule="auto"/>
              <w:jc w:val="both"/>
              <w:rPr>
                <w:rFonts w:asciiTheme="majorHAnsi" w:eastAsia="Times New Roman" w:hAnsiTheme="majorHAnsi" w:cstheme="majorHAnsi"/>
                <w:b/>
                <w:color w:val="000000" w:themeColor="text1"/>
                <w:spacing w:val="-2"/>
                <w:lang w:eastAsia="es-ES"/>
              </w:rPr>
            </w:pPr>
          </w:p>
          <w:p w14:paraId="27842D5F" w14:textId="43900F84" w:rsidR="00FA7A6E" w:rsidRDefault="00FA7A6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LUIS ALBERTO ALBÁN URBANO</w:t>
            </w:r>
          </w:p>
          <w:p w14:paraId="08B0232F" w14:textId="63E6D871" w:rsidR="00FA7A6E" w:rsidRDefault="00FA7A6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HONORABLE REPRESENTANTE</w:t>
            </w:r>
          </w:p>
          <w:p w14:paraId="2A0A5306" w14:textId="5551E6E1" w:rsidR="00FA7A6E" w:rsidRDefault="00FA7A6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PONENTE</w:t>
            </w:r>
          </w:p>
          <w:p w14:paraId="45DCF7B7" w14:textId="74C1F33C" w:rsidR="00FA7A6E" w:rsidRDefault="00FA7A6E"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PARTIDO COMUNES</w:t>
            </w:r>
          </w:p>
        </w:tc>
      </w:tr>
      <w:tr w:rsidR="006A480E" w14:paraId="269CACF8" w14:textId="77777777" w:rsidTr="006A480E">
        <w:tc>
          <w:tcPr>
            <w:tcW w:w="4575" w:type="dxa"/>
          </w:tcPr>
          <w:p w14:paraId="086310A8" w14:textId="77777777"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409D5E2F" w14:textId="77777777" w:rsidR="00E2250C" w:rsidRDefault="00E2250C" w:rsidP="009D6B31">
            <w:pPr>
              <w:spacing w:line="300" w:lineRule="auto"/>
              <w:jc w:val="both"/>
              <w:rPr>
                <w:rFonts w:asciiTheme="majorHAnsi" w:eastAsia="Times New Roman" w:hAnsiTheme="majorHAnsi" w:cstheme="majorHAnsi"/>
                <w:b/>
                <w:color w:val="000000" w:themeColor="text1"/>
                <w:spacing w:val="-2"/>
                <w:lang w:eastAsia="es-ES"/>
              </w:rPr>
            </w:pPr>
          </w:p>
          <w:p w14:paraId="708CEC4F" w14:textId="77777777" w:rsidR="00E2250C" w:rsidRDefault="00E2250C" w:rsidP="009D6B31">
            <w:pPr>
              <w:spacing w:line="300" w:lineRule="auto"/>
              <w:jc w:val="both"/>
              <w:rPr>
                <w:rFonts w:asciiTheme="majorHAnsi" w:eastAsia="Times New Roman" w:hAnsiTheme="majorHAnsi" w:cstheme="majorHAnsi"/>
                <w:b/>
                <w:color w:val="000000" w:themeColor="text1"/>
                <w:spacing w:val="-2"/>
                <w:lang w:eastAsia="es-ES"/>
              </w:rPr>
            </w:pPr>
          </w:p>
          <w:p w14:paraId="1BFDA628" w14:textId="77777777" w:rsidR="00E2250C" w:rsidRDefault="00E2250C" w:rsidP="009D6B31">
            <w:pPr>
              <w:spacing w:line="300" w:lineRule="auto"/>
              <w:jc w:val="both"/>
              <w:rPr>
                <w:rFonts w:asciiTheme="majorHAnsi" w:eastAsia="Times New Roman" w:hAnsiTheme="majorHAnsi" w:cstheme="majorHAnsi"/>
                <w:b/>
                <w:color w:val="000000" w:themeColor="text1"/>
                <w:spacing w:val="-2"/>
                <w:lang w:eastAsia="es-ES"/>
              </w:rPr>
            </w:pPr>
          </w:p>
          <w:p w14:paraId="769CDB9B" w14:textId="77777777" w:rsidR="00E2250C" w:rsidRDefault="00E2250C"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MARELEN CASTILLO</w:t>
            </w:r>
          </w:p>
          <w:p w14:paraId="1BB52A7E" w14:textId="77777777" w:rsidR="00E2250C" w:rsidRDefault="00E2250C"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HONORABLE REPRESENTANTE</w:t>
            </w:r>
          </w:p>
          <w:p w14:paraId="3A72E764" w14:textId="234C6E62" w:rsidR="00E2250C" w:rsidRDefault="00E2250C"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PONENTE</w:t>
            </w:r>
          </w:p>
        </w:tc>
        <w:tc>
          <w:tcPr>
            <w:tcW w:w="4575" w:type="dxa"/>
          </w:tcPr>
          <w:p w14:paraId="3C1258BF" w14:textId="77777777" w:rsidR="006A480E" w:rsidRDefault="006A480E" w:rsidP="009D6B31">
            <w:pPr>
              <w:spacing w:line="300" w:lineRule="auto"/>
              <w:jc w:val="both"/>
              <w:rPr>
                <w:rFonts w:asciiTheme="majorHAnsi" w:eastAsia="Times New Roman" w:hAnsiTheme="majorHAnsi" w:cstheme="majorHAnsi"/>
                <w:b/>
                <w:color w:val="000000" w:themeColor="text1"/>
                <w:spacing w:val="-2"/>
                <w:lang w:eastAsia="es-ES"/>
              </w:rPr>
            </w:pPr>
          </w:p>
          <w:p w14:paraId="7EA98DAB" w14:textId="77777777" w:rsidR="00E2250C" w:rsidRDefault="00E2250C" w:rsidP="009D6B31">
            <w:pPr>
              <w:spacing w:line="300" w:lineRule="auto"/>
              <w:jc w:val="both"/>
              <w:rPr>
                <w:rFonts w:asciiTheme="majorHAnsi" w:eastAsia="Times New Roman" w:hAnsiTheme="majorHAnsi" w:cstheme="majorHAnsi"/>
                <w:b/>
                <w:color w:val="000000" w:themeColor="text1"/>
                <w:spacing w:val="-2"/>
                <w:lang w:eastAsia="es-ES"/>
              </w:rPr>
            </w:pPr>
          </w:p>
          <w:p w14:paraId="08A6C50E" w14:textId="77777777" w:rsidR="00E2250C" w:rsidRDefault="00E2250C" w:rsidP="009D6B31">
            <w:pPr>
              <w:spacing w:line="300" w:lineRule="auto"/>
              <w:jc w:val="both"/>
              <w:rPr>
                <w:rFonts w:asciiTheme="majorHAnsi" w:eastAsia="Times New Roman" w:hAnsiTheme="majorHAnsi" w:cstheme="majorHAnsi"/>
                <w:b/>
                <w:color w:val="000000" w:themeColor="text1"/>
                <w:spacing w:val="-2"/>
                <w:lang w:eastAsia="es-ES"/>
              </w:rPr>
            </w:pPr>
          </w:p>
          <w:p w14:paraId="0928F819" w14:textId="77777777" w:rsidR="00E2250C" w:rsidRDefault="00E2250C" w:rsidP="009D6B31">
            <w:pPr>
              <w:spacing w:line="300" w:lineRule="auto"/>
              <w:jc w:val="both"/>
              <w:rPr>
                <w:rFonts w:asciiTheme="majorHAnsi" w:eastAsia="Times New Roman" w:hAnsiTheme="majorHAnsi" w:cstheme="majorHAnsi"/>
                <w:b/>
                <w:color w:val="000000" w:themeColor="text1"/>
                <w:spacing w:val="-2"/>
                <w:lang w:eastAsia="es-ES"/>
              </w:rPr>
            </w:pPr>
          </w:p>
          <w:p w14:paraId="33F07313" w14:textId="77777777" w:rsidR="00E2250C" w:rsidRDefault="00E2250C"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JENNIFER PEDRAZA</w:t>
            </w:r>
          </w:p>
          <w:p w14:paraId="71B99B1B" w14:textId="77777777" w:rsidR="00E2250C" w:rsidRDefault="00E2250C"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HONORABLE REPRESENTANTE</w:t>
            </w:r>
          </w:p>
          <w:p w14:paraId="6BAE17E4" w14:textId="19526413" w:rsidR="00E2250C" w:rsidRDefault="00E2250C"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PONENTE</w:t>
            </w:r>
          </w:p>
          <w:p w14:paraId="01F1749B" w14:textId="2A4ADE27" w:rsidR="00E2250C" w:rsidRDefault="00E2250C" w:rsidP="009D6B31">
            <w:pPr>
              <w:spacing w:line="300" w:lineRule="auto"/>
              <w:jc w:val="both"/>
              <w:rPr>
                <w:rFonts w:asciiTheme="majorHAnsi" w:eastAsia="Times New Roman" w:hAnsiTheme="majorHAnsi" w:cstheme="majorHAnsi"/>
                <w:b/>
                <w:color w:val="000000" w:themeColor="text1"/>
                <w:spacing w:val="-2"/>
                <w:lang w:eastAsia="es-ES"/>
              </w:rPr>
            </w:pPr>
            <w:r>
              <w:rPr>
                <w:rFonts w:asciiTheme="majorHAnsi" w:eastAsia="Times New Roman" w:hAnsiTheme="majorHAnsi" w:cstheme="majorHAnsi"/>
                <w:b/>
                <w:color w:val="000000" w:themeColor="text1"/>
                <w:spacing w:val="-2"/>
                <w:lang w:eastAsia="es-ES"/>
              </w:rPr>
              <w:t>PARTIDO DIGNIDAD Y COMPROMISO</w:t>
            </w:r>
          </w:p>
          <w:p w14:paraId="6523B9D2" w14:textId="78551AFE" w:rsidR="00E2250C" w:rsidRDefault="00E2250C" w:rsidP="009D6B31">
            <w:pPr>
              <w:spacing w:line="300" w:lineRule="auto"/>
              <w:jc w:val="both"/>
              <w:rPr>
                <w:rFonts w:asciiTheme="majorHAnsi" w:eastAsia="Times New Roman" w:hAnsiTheme="majorHAnsi" w:cstheme="majorHAnsi"/>
                <w:b/>
                <w:color w:val="000000" w:themeColor="text1"/>
                <w:spacing w:val="-2"/>
                <w:lang w:eastAsia="es-ES"/>
              </w:rPr>
            </w:pPr>
          </w:p>
        </w:tc>
      </w:tr>
    </w:tbl>
    <w:p w14:paraId="1ACD9549" w14:textId="2C86EB32" w:rsidR="0027666E" w:rsidRPr="00232363" w:rsidRDefault="0027666E" w:rsidP="009D6B31">
      <w:pPr>
        <w:spacing w:line="300" w:lineRule="auto"/>
        <w:jc w:val="both"/>
        <w:rPr>
          <w:rFonts w:asciiTheme="majorHAnsi" w:eastAsia="Times New Roman" w:hAnsiTheme="majorHAnsi" w:cstheme="majorHAnsi"/>
          <w:bCs/>
          <w:color w:val="000000" w:themeColor="text1"/>
          <w:spacing w:val="-2"/>
          <w:lang w:val="es-CO" w:eastAsia="es-ES"/>
        </w:rPr>
      </w:pPr>
      <w:bookmarkStart w:id="14" w:name="_GoBack"/>
      <w:bookmarkEnd w:id="14"/>
    </w:p>
    <w:sectPr w:rsidR="0027666E" w:rsidRPr="00232363" w:rsidSect="00FA2C54">
      <w:headerReference w:type="default" r:id="rId70"/>
      <w:footerReference w:type="default" r:id="rId71"/>
      <w:pgSz w:w="12240" w:h="15840"/>
      <w:pgMar w:top="1880" w:right="1580" w:bottom="1276" w:left="1500" w:header="708" w:footer="8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BE3E2C" w14:textId="77777777" w:rsidR="00365EBA" w:rsidRDefault="00365EBA">
      <w:r>
        <w:separator/>
      </w:r>
    </w:p>
  </w:endnote>
  <w:endnote w:type="continuationSeparator" w:id="0">
    <w:p w14:paraId="3D63DFA1" w14:textId="77777777" w:rsidR="00365EBA" w:rsidRDefault="00365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atoWeb">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0F9ED" w14:textId="4453707B" w:rsidR="00C76FB9" w:rsidRPr="00FA2C54" w:rsidRDefault="00C76FB9" w:rsidP="00FA2C54">
    <w:pPr>
      <w:pStyle w:val="Piedepgina"/>
      <w:jc w:val="center"/>
      <w:rPr>
        <w:sz w:val="18"/>
        <w:szCs w:val="18"/>
      </w:rPr>
    </w:pPr>
    <w:r w:rsidRPr="00FA2C54">
      <w:rPr>
        <w:rFonts w:ascii="LatoWeb" w:hAnsi="LatoWeb"/>
        <w:color w:val="FFFFFF"/>
        <w:sz w:val="18"/>
        <w:szCs w:val="18"/>
        <w:shd w:val="clear" w:color="auto" w:fill="BD9E55"/>
      </w:rPr>
      <w:t>Ediﬁcio Nuevo del Congreso: Carrera 7 No. 8 – 68 Oficina301 b, Email:</w:t>
    </w:r>
    <w:r>
      <w:rPr>
        <w:rFonts w:ascii="LatoWeb" w:hAnsi="LatoWeb"/>
        <w:color w:val="FFFFFF"/>
        <w:sz w:val="18"/>
        <w:szCs w:val="18"/>
        <w:shd w:val="clear" w:color="auto" w:fill="BD9E55"/>
      </w:rPr>
      <w:t xml:space="preserve"> </w:t>
    </w:r>
    <w:r w:rsidRPr="00FA2C54">
      <w:rPr>
        <w:rFonts w:ascii="LatoWeb" w:hAnsi="LatoWeb"/>
        <w:color w:val="FFFFFF"/>
        <w:sz w:val="18"/>
        <w:szCs w:val="18"/>
        <w:shd w:val="clear" w:color="auto" w:fill="BD9E55"/>
      </w:rPr>
      <w:t>andres.jimenez@camara.gov.co:</w:t>
    </w:r>
  </w:p>
  <w:p w14:paraId="3604A83E" w14:textId="77777777" w:rsidR="00C76FB9" w:rsidRDefault="00C76FB9">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54D9A" w14:textId="77777777" w:rsidR="00365EBA" w:rsidRDefault="00365EBA">
      <w:r>
        <w:separator/>
      </w:r>
    </w:p>
  </w:footnote>
  <w:footnote w:type="continuationSeparator" w:id="0">
    <w:p w14:paraId="3CD7C1FF" w14:textId="77777777" w:rsidR="00365EBA" w:rsidRDefault="00365EBA">
      <w:r>
        <w:continuationSeparator/>
      </w:r>
    </w:p>
  </w:footnote>
  <w:footnote w:id="1">
    <w:p w14:paraId="78461EC7" w14:textId="77777777" w:rsidR="00C76FB9" w:rsidRPr="00FC414A" w:rsidRDefault="00C76FB9" w:rsidP="00E426C4">
      <w:pPr>
        <w:pStyle w:val="Textonotapie"/>
        <w:rPr>
          <w:sz w:val="18"/>
          <w:szCs w:val="18"/>
        </w:rPr>
      </w:pPr>
      <w:r w:rsidRPr="00FC414A">
        <w:rPr>
          <w:rStyle w:val="Refdenotaalpie"/>
          <w:sz w:val="18"/>
          <w:szCs w:val="18"/>
        </w:rPr>
        <w:footnoteRef/>
      </w:r>
      <w:r w:rsidRPr="00FC414A">
        <w:rPr>
          <w:sz w:val="18"/>
          <w:szCs w:val="18"/>
        </w:rPr>
        <w:t xml:space="preserve"> “</w:t>
      </w:r>
      <w:r w:rsidRPr="00FC414A">
        <w:rPr>
          <w:i/>
          <w:iCs/>
          <w:sz w:val="18"/>
          <w:szCs w:val="18"/>
        </w:rPr>
        <w:t>La mutilación genital femenina es “una de las manifestaciones más atroces del patriarcado”</w:t>
      </w:r>
      <w:r w:rsidRPr="00FC414A">
        <w:rPr>
          <w:sz w:val="18"/>
          <w:szCs w:val="18"/>
        </w:rPr>
        <w:t xml:space="preserve"> 6 de febrero de 2023, NOTICIAS ONU</w:t>
      </w:r>
    </w:p>
    <w:p w14:paraId="3517AF35" w14:textId="77777777" w:rsidR="00C76FB9" w:rsidRPr="00FC414A" w:rsidRDefault="00C76FB9" w:rsidP="00E426C4">
      <w:pPr>
        <w:pStyle w:val="Textonotapie"/>
        <w:rPr>
          <w:sz w:val="18"/>
          <w:szCs w:val="18"/>
        </w:rPr>
      </w:pPr>
      <w:hyperlink r:id="rId1" w:history="1">
        <w:r w:rsidRPr="00FC414A">
          <w:rPr>
            <w:rStyle w:val="Hipervnculo"/>
            <w:sz w:val="18"/>
            <w:szCs w:val="18"/>
          </w:rPr>
          <w:t>https://news.un.org/es/story/2023/02/1518372</w:t>
        </w:r>
      </w:hyperlink>
    </w:p>
    <w:p w14:paraId="68A941EB" w14:textId="77777777" w:rsidR="00C76FB9" w:rsidRPr="00FC414A" w:rsidRDefault="00C76FB9" w:rsidP="00E426C4">
      <w:pPr>
        <w:pStyle w:val="Textonotapie"/>
        <w:rPr>
          <w:sz w:val="18"/>
          <w:szCs w:val="18"/>
        </w:rPr>
      </w:pPr>
    </w:p>
  </w:footnote>
  <w:footnote w:id="2">
    <w:p w14:paraId="4052C104" w14:textId="77777777" w:rsidR="00C76FB9" w:rsidRPr="00FC414A" w:rsidRDefault="00C76FB9" w:rsidP="00E426C4">
      <w:pPr>
        <w:pStyle w:val="Textonotapie"/>
        <w:rPr>
          <w:i/>
          <w:iCs/>
          <w:sz w:val="18"/>
          <w:szCs w:val="18"/>
        </w:rPr>
      </w:pPr>
      <w:r w:rsidRPr="00FC414A">
        <w:rPr>
          <w:rStyle w:val="Refdenotaalpie"/>
          <w:sz w:val="18"/>
          <w:szCs w:val="18"/>
        </w:rPr>
        <w:footnoteRef/>
      </w:r>
      <w:r w:rsidRPr="00FC414A">
        <w:rPr>
          <w:sz w:val="18"/>
          <w:szCs w:val="18"/>
        </w:rPr>
        <w:t xml:space="preserve"> UNFPA, “</w:t>
      </w:r>
      <w:r w:rsidRPr="00FC414A">
        <w:rPr>
          <w:i/>
          <w:iCs/>
          <w:sz w:val="18"/>
          <w:szCs w:val="18"/>
        </w:rPr>
        <w:t>Preguntas frecuentes sobre la mutilación genital femenina (MGF)”</w:t>
      </w:r>
    </w:p>
    <w:p w14:paraId="41C39ED4" w14:textId="77777777" w:rsidR="00C76FB9" w:rsidRPr="00744507" w:rsidRDefault="00C76FB9" w:rsidP="00E426C4">
      <w:pPr>
        <w:pStyle w:val="Textonotapie"/>
        <w:rPr>
          <w:sz w:val="18"/>
          <w:szCs w:val="18"/>
          <w:lang w:val="en-US"/>
        </w:rPr>
      </w:pPr>
      <w:r w:rsidRPr="00744507">
        <w:rPr>
          <w:sz w:val="18"/>
          <w:szCs w:val="18"/>
          <w:lang w:val="en-US"/>
        </w:rPr>
        <w:t>Resource date: Jul 2020</w:t>
      </w:r>
    </w:p>
    <w:p w14:paraId="08B105D5" w14:textId="77777777" w:rsidR="00C76FB9" w:rsidRPr="00744507" w:rsidRDefault="00C76FB9" w:rsidP="00E426C4">
      <w:pPr>
        <w:pStyle w:val="Textonotapie"/>
        <w:rPr>
          <w:sz w:val="18"/>
          <w:szCs w:val="18"/>
          <w:lang w:val="en-US"/>
        </w:rPr>
      </w:pPr>
      <w:hyperlink r:id="rId2" w:anchor=":~:text=Algunos%20grupos%20%C3%A9tnicos%20de%20pa%C3%ADses,en%20el%20Estado%20de%20Palestina" w:history="1">
        <w:r w:rsidRPr="00744507">
          <w:rPr>
            <w:rStyle w:val="Hipervnculo"/>
            <w:sz w:val="18"/>
            <w:szCs w:val="18"/>
            <w:lang w:val="en-US"/>
          </w:rPr>
          <w:t>https://www.unfpa.org/es/resources/preguntas-frecuentes-sobre-la-mutilacion-genital-femenina-mgf#:~:text=Algunos%20grupos%20%C3%A9tnicos%20de%20pa%C3%ADses,en%20el%20Estado%20de%20Palestina</w:t>
        </w:r>
      </w:hyperlink>
      <w:r w:rsidRPr="00744507">
        <w:rPr>
          <w:sz w:val="18"/>
          <w:szCs w:val="18"/>
          <w:lang w:val="en-US"/>
        </w:rPr>
        <w:t>.</w:t>
      </w:r>
    </w:p>
  </w:footnote>
  <w:footnote w:id="3">
    <w:p w14:paraId="0A39758E" w14:textId="77777777" w:rsidR="00C76FB9" w:rsidRPr="00744507" w:rsidRDefault="00C76FB9" w:rsidP="00E426C4">
      <w:pPr>
        <w:pStyle w:val="Textonotapie"/>
        <w:rPr>
          <w:lang w:val="en-US"/>
        </w:rPr>
      </w:pPr>
    </w:p>
  </w:footnote>
  <w:footnote w:id="4">
    <w:p w14:paraId="595F6C67" w14:textId="77777777" w:rsidR="00C76FB9" w:rsidRDefault="00C76FB9" w:rsidP="00E426C4">
      <w:pPr>
        <w:pStyle w:val="Textonotapie"/>
      </w:pPr>
      <w:r>
        <w:rPr>
          <w:rStyle w:val="Refdenotaalpie"/>
        </w:rPr>
        <w:footnoteRef/>
      </w:r>
      <w:r>
        <w:t xml:space="preserve"> </w:t>
      </w:r>
      <w:bookmarkStart w:id="0" w:name="_Hlk147527719"/>
      <w:r>
        <w:t xml:space="preserve">Suárez Segura, Camila Andrea. </w:t>
      </w:r>
      <w:proofErr w:type="spellStart"/>
      <w:r>
        <w:t>Velez</w:t>
      </w:r>
      <w:proofErr w:type="spellEnd"/>
      <w:r>
        <w:t xml:space="preserve"> Patiño, Mariana. 2020 </w:t>
      </w:r>
      <w:r w:rsidRPr="00793900">
        <w:rPr>
          <w:i/>
          <w:iCs/>
        </w:rPr>
        <w:t>“La ablación genital femenina: un análisis jurídico comparado entre Colombia, España y Egipto</w:t>
      </w:r>
      <w:bookmarkEnd w:id="0"/>
    </w:p>
  </w:footnote>
  <w:footnote w:id="5">
    <w:p w14:paraId="58CF0108" w14:textId="7F0092EF" w:rsidR="00C76FB9" w:rsidRPr="003824E2" w:rsidRDefault="00C76FB9" w:rsidP="003824E2">
      <w:pPr>
        <w:pStyle w:val="Textonotapie"/>
        <w:rPr>
          <w:b/>
          <w:bCs/>
        </w:rPr>
      </w:pPr>
      <w:r>
        <w:rPr>
          <w:rStyle w:val="Refdenotaalpie"/>
        </w:rPr>
        <w:footnoteRef/>
      </w:r>
      <w:r>
        <w:t xml:space="preserve"> </w:t>
      </w:r>
      <w:r w:rsidRPr="003824E2">
        <w:t>Preguntas frecuentes sobre la mutilación genital femenina (MGF)</w:t>
      </w:r>
      <w:r>
        <w:t>,</w:t>
      </w:r>
      <w:r w:rsidRPr="003824E2">
        <w:t xml:space="preserve"> marzo 2024</w:t>
      </w:r>
    </w:p>
    <w:p w14:paraId="013FA301" w14:textId="33A873D0" w:rsidR="00C76FB9" w:rsidRDefault="00C76FB9">
      <w:pPr>
        <w:pStyle w:val="Textonotapie"/>
      </w:pPr>
      <w:hyperlink r:id="rId3" w:anchor="se-puede-condenar" w:history="1">
        <w:r w:rsidRPr="000D59AD">
          <w:rPr>
            <w:rStyle w:val="Hipervnculo"/>
          </w:rPr>
          <w:t>https://www.unfpa.org/es/resources/preguntas-frecuentes-sobre-la-mutilacion-genital-femenina-mgf#se-puede-condenar</w:t>
        </w:r>
      </w:hyperlink>
    </w:p>
    <w:p w14:paraId="49604C12" w14:textId="77777777" w:rsidR="00C76FB9" w:rsidRPr="003824E2" w:rsidRDefault="00C76FB9">
      <w:pPr>
        <w:pStyle w:val="Textonotapie"/>
        <w:rPr>
          <w:lang w:val="es-MX"/>
        </w:rPr>
      </w:pPr>
    </w:p>
  </w:footnote>
  <w:footnote w:id="6">
    <w:p w14:paraId="3CCE7E84" w14:textId="77777777" w:rsidR="00C76FB9" w:rsidRDefault="00C76FB9" w:rsidP="00E426C4">
      <w:pPr>
        <w:pStyle w:val="Textonotapie"/>
        <w:jc w:val="both"/>
      </w:pPr>
      <w:r>
        <w:rPr>
          <w:rStyle w:val="Refdenotaalpie"/>
        </w:rPr>
        <w:footnoteRef/>
      </w:r>
      <w:r>
        <w:t xml:space="preserve"> Suárez Segura, Camila Andrea. Vélez Patiño, Mariana. 2020 </w:t>
      </w:r>
      <w:r w:rsidRPr="00793900">
        <w:rPr>
          <w:i/>
          <w:iCs/>
        </w:rPr>
        <w:t>“La ablación genital femenina: un análisis jurídico comparado entre Colombia, España y Egipto</w:t>
      </w:r>
    </w:p>
  </w:footnote>
  <w:footnote w:id="7">
    <w:p w14:paraId="6DFBF4CD" w14:textId="5169A4D4" w:rsidR="00C76FB9" w:rsidRDefault="00C76FB9">
      <w:pPr>
        <w:pStyle w:val="Textonotapie"/>
      </w:pPr>
      <w:r>
        <w:rPr>
          <w:rStyle w:val="Refdenotaalpie"/>
        </w:rPr>
        <w:footnoteRef/>
      </w:r>
      <w:r>
        <w:t xml:space="preserve"> Corte Constitucional. Sentencia SU091 de 2023. </w:t>
      </w:r>
      <w:hyperlink r:id="rId4" w:history="1">
        <w:r w:rsidRPr="00BD4A7D">
          <w:rPr>
            <w:rStyle w:val="Hipervnculo"/>
          </w:rPr>
          <w:t>https://www.corteconstitucional.gov.co/Relatoria/2023/SU091-23.htm</w:t>
        </w:r>
      </w:hyperlink>
    </w:p>
  </w:footnote>
  <w:footnote w:id="8">
    <w:p w14:paraId="205797CF" w14:textId="3048DA48" w:rsidR="00C76FB9" w:rsidRDefault="00C76FB9">
      <w:pPr>
        <w:pStyle w:val="Textonotapie"/>
      </w:pPr>
      <w:r>
        <w:rPr>
          <w:rStyle w:val="Refdenotaalpie"/>
        </w:rPr>
        <w:footnoteRef/>
      </w:r>
      <w:r>
        <w:t xml:space="preserve"> El País, 10 de junio 2024 </w:t>
      </w:r>
    </w:p>
    <w:p w14:paraId="2F1EE8C4" w14:textId="740C8BAE" w:rsidR="00C76FB9" w:rsidRDefault="00C76FB9">
      <w:pPr>
        <w:pStyle w:val="Textonotapie"/>
      </w:pPr>
      <w:r>
        <w:t xml:space="preserve"> </w:t>
      </w:r>
      <w:hyperlink r:id="rId5" w:history="1">
        <w:r w:rsidRPr="000D59AD">
          <w:rPr>
            <w:rStyle w:val="Hipervnculo"/>
          </w:rPr>
          <w:t>https://elpais.com/america-colombia/2024-06-11/una-nina-de-13-anos-y-otra-de-23-meses-victimas-de-mutilacion-genital-en-bogota.html</w:t>
        </w:r>
      </w:hyperlink>
    </w:p>
    <w:p w14:paraId="25850A89" w14:textId="77777777" w:rsidR="00C76FB9" w:rsidRPr="00D52C7D" w:rsidRDefault="00C76FB9">
      <w:pPr>
        <w:pStyle w:val="Textonotapie"/>
        <w:rPr>
          <w:lang w:val="es-MX"/>
        </w:rPr>
      </w:pPr>
    </w:p>
  </w:footnote>
  <w:footnote w:id="9">
    <w:p w14:paraId="2D22023C" w14:textId="5592DA57" w:rsidR="00C76FB9" w:rsidRDefault="00C76FB9">
      <w:pPr>
        <w:pStyle w:val="Textonotapie"/>
      </w:pPr>
      <w:r>
        <w:rPr>
          <w:rStyle w:val="Refdenotaalpie"/>
        </w:rPr>
        <w:footnoteRef/>
      </w:r>
      <w:r>
        <w:t xml:space="preserve"> Infobae, 14 de agosto 2022</w:t>
      </w:r>
    </w:p>
    <w:p w14:paraId="22B045A4" w14:textId="316FE7F2" w:rsidR="00C76FB9" w:rsidRPr="00293C7E" w:rsidRDefault="00C76FB9">
      <w:pPr>
        <w:pStyle w:val="Textonotapie"/>
        <w:rPr>
          <w:lang w:val="es-MX"/>
        </w:rPr>
      </w:pPr>
      <w:r w:rsidRPr="00293C7E">
        <w:t>https://www.infobae.com/america/colombia/2022/08/14/mutilacion-genital-femenina-en-colombia-infobae-investigo-que-pasa-con-esta-practica-en-el-pais/</w:t>
      </w:r>
    </w:p>
  </w:footnote>
  <w:footnote w:id="10">
    <w:p w14:paraId="7D9549F7" w14:textId="5F94D5EF" w:rsidR="00C76FB9" w:rsidRDefault="00C76FB9">
      <w:pPr>
        <w:pStyle w:val="Textonotapie"/>
      </w:pPr>
      <w:r>
        <w:rPr>
          <w:rStyle w:val="Refdenotaalpie"/>
        </w:rPr>
        <w:footnoteRef/>
      </w:r>
      <w:r>
        <w:t xml:space="preserve"> </w:t>
      </w:r>
      <w:r w:rsidRPr="00293C7E">
        <w:rPr>
          <w:lang w:val="es-ES"/>
        </w:rPr>
        <w:t> </w:t>
      </w:r>
      <w:proofErr w:type="spellStart"/>
      <w:r>
        <w:rPr>
          <w:lang w:val="es-ES"/>
        </w:rPr>
        <w:t>Gelvez</w:t>
      </w:r>
      <w:proofErr w:type="spellEnd"/>
      <w:r>
        <w:rPr>
          <w:lang w:val="es-ES"/>
        </w:rPr>
        <w:t xml:space="preserve"> Tatiana y Rozo Cindy, </w:t>
      </w:r>
      <w:r w:rsidRPr="00293C7E">
        <w:rPr>
          <w:lang w:val="es-ES"/>
        </w:rPr>
        <w:t>febrero 4, 2024</w:t>
      </w:r>
    </w:p>
    <w:p w14:paraId="60E5F83C" w14:textId="68FE4476" w:rsidR="00C76FB9" w:rsidRDefault="00C76FB9">
      <w:pPr>
        <w:pStyle w:val="Textonotapie"/>
      </w:pPr>
      <w:hyperlink r:id="rId6" w:history="1">
        <w:r w:rsidRPr="000D59AD">
          <w:rPr>
            <w:rStyle w:val="Hipervnculo"/>
          </w:rPr>
          <w:t>https://razonpublica.com/la-mutilacion-genital-femenina-debate-urgente-la-dignidad-humana/</w:t>
        </w:r>
      </w:hyperlink>
    </w:p>
    <w:p w14:paraId="1C0E8A38" w14:textId="77777777" w:rsidR="00C76FB9" w:rsidRPr="00293C7E" w:rsidRDefault="00C76FB9">
      <w:pPr>
        <w:pStyle w:val="Textonotapie"/>
        <w:rPr>
          <w:lang w:val="es-MX"/>
        </w:rPr>
      </w:pPr>
    </w:p>
  </w:footnote>
  <w:footnote w:id="11">
    <w:p w14:paraId="311FD11D" w14:textId="55F998C9" w:rsidR="00C76FB9" w:rsidRDefault="00C76FB9">
      <w:pPr>
        <w:pStyle w:val="Textonotapie"/>
      </w:pPr>
      <w:r>
        <w:rPr>
          <w:rStyle w:val="Refdenotaalpie"/>
        </w:rPr>
        <w:footnoteRef/>
      </w:r>
      <w:r>
        <w:t xml:space="preserve"> El Espectador, febrero 5 de 2015</w:t>
      </w:r>
    </w:p>
    <w:p w14:paraId="02F79F75" w14:textId="1E2FF6E7" w:rsidR="00C76FB9" w:rsidRDefault="00C76FB9">
      <w:pPr>
        <w:pStyle w:val="Textonotapie"/>
      </w:pPr>
      <w:r>
        <w:t xml:space="preserve"> </w:t>
      </w:r>
      <w:hyperlink r:id="rId7" w:history="1">
        <w:r w:rsidRPr="000D59AD">
          <w:rPr>
            <w:rStyle w:val="Hipervnculo"/>
          </w:rPr>
          <w:t>https://www.elespectador.com/colombia/mas-regiones/colombia-unico-pais-latinoamericano-donde-se-da-la-ablacion-genital-article-542422/</w:t>
        </w:r>
      </w:hyperlink>
    </w:p>
    <w:p w14:paraId="45B38F63" w14:textId="77777777" w:rsidR="00C76FB9" w:rsidRPr="00293C7E" w:rsidRDefault="00C76FB9">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CD67F" w14:textId="03427482" w:rsidR="00C76FB9" w:rsidRDefault="00C76FB9" w:rsidP="004D1A72">
    <w:pPr>
      <w:pStyle w:val="Encabezado"/>
      <w:jc w:val="center"/>
    </w:pPr>
    <w:r>
      <w:rPr>
        <w:noProof/>
        <w:lang w:val="es-CO" w:eastAsia="es-CO"/>
      </w:rPr>
      <w:drawing>
        <wp:inline distT="0" distB="0" distL="0" distR="0" wp14:anchorId="48C1A47A" wp14:editId="738AF4DF">
          <wp:extent cx="2707200" cy="799442"/>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1440" cy="800694"/>
                  </a:xfrm>
                  <a:prstGeom prst="rect">
                    <a:avLst/>
                  </a:prstGeom>
                  <a:noFill/>
                </pic:spPr>
              </pic:pic>
            </a:graphicData>
          </a:graphic>
        </wp:inline>
      </w:drawing>
    </w:r>
  </w:p>
  <w:p w14:paraId="277C4D9C" w14:textId="77777777" w:rsidR="00C76FB9" w:rsidRDefault="00C76FB9" w:rsidP="004D1A72">
    <w:pPr>
      <w:pStyle w:val="Encabezado"/>
      <w:jc w:val="center"/>
    </w:pPr>
  </w:p>
  <w:p w14:paraId="141942FD" w14:textId="13B3D3DF" w:rsidR="00C76FB9" w:rsidRPr="00FA2C54" w:rsidRDefault="00C76FB9" w:rsidP="004D1A72">
    <w:pPr>
      <w:pStyle w:val="Encabezado"/>
      <w:jc w:val="center"/>
      <w:rPr>
        <w:b/>
        <w:bCs/>
        <w:color w:val="996633"/>
      </w:rPr>
    </w:pPr>
    <w:r w:rsidRPr="00FA2C54">
      <w:rPr>
        <w:b/>
        <w:bCs/>
        <w:color w:val="996633"/>
      </w:rPr>
      <w:t>HONORABLE REPRESENTANTE ANDRÉS FELIPE JIM</w:t>
    </w:r>
    <w:r>
      <w:rPr>
        <w:b/>
        <w:bCs/>
        <w:color w:val="996633"/>
      </w:rPr>
      <w:t>É</w:t>
    </w:r>
    <w:r w:rsidRPr="00FA2C54">
      <w:rPr>
        <w:b/>
        <w:bCs/>
        <w:color w:val="996633"/>
      </w:rPr>
      <w:t>NEZ VARGAS</w:t>
    </w:r>
  </w:p>
  <w:p w14:paraId="2C8C24F1" w14:textId="76CB5037" w:rsidR="00C76FB9" w:rsidRDefault="00C76FB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33F12"/>
    <w:multiLevelType w:val="hybridMultilevel"/>
    <w:tmpl w:val="A9024C5E"/>
    <w:lvl w:ilvl="0" w:tplc="D7126DA4">
      <w:start w:val="1"/>
      <w:numFmt w:val="decimal"/>
      <w:lvlText w:val="%1."/>
      <w:lvlJc w:val="left"/>
      <w:pPr>
        <w:ind w:left="705" w:hanging="705"/>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3DF3B8A"/>
    <w:multiLevelType w:val="hybridMultilevel"/>
    <w:tmpl w:val="51F240DA"/>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182A5B"/>
    <w:multiLevelType w:val="hybridMultilevel"/>
    <w:tmpl w:val="CE3EE03C"/>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9F11028"/>
    <w:multiLevelType w:val="multilevel"/>
    <w:tmpl w:val="2C66C0B4"/>
    <w:lvl w:ilvl="0">
      <w:start w:val="1"/>
      <w:numFmt w:val="decimal"/>
      <w:lvlText w:val="%1."/>
      <w:lvlJc w:val="left"/>
      <w:pPr>
        <w:ind w:left="720" w:hanging="360"/>
      </w:pPr>
      <w:rPr>
        <w:rFonts w:hint="default"/>
        <w:b/>
        <w:bCs/>
        <w:color w:val="auto"/>
      </w:rPr>
    </w:lvl>
    <w:lvl w:ilvl="1">
      <w:start w:val="1"/>
      <w:numFmt w:val="decimal"/>
      <w:isLgl/>
      <w:lvlText w:val="%1.%2."/>
      <w:lvlJc w:val="left"/>
      <w:pPr>
        <w:ind w:left="72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A366EE1"/>
    <w:multiLevelType w:val="hybridMultilevel"/>
    <w:tmpl w:val="38626FCA"/>
    <w:lvl w:ilvl="0" w:tplc="D7126DA4">
      <w:start w:val="1"/>
      <w:numFmt w:val="decimal"/>
      <w:lvlText w:val="%1."/>
      <w:lvlJc w:val="left"/>
      <w:pPr>
        <w:ind w:left="1065" w:hanging="705"/>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ABA3A30"/>
    <w:multiLevelType w:val="hybridMultilevel"/>
    <w:tmpl w:val="489C151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093177"/>
    <w:multiLevelType w:val="hybridMultilevel"/>
    <w:tmpl w:val="0EC0341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9E22C6"/>
    <w:multiLevelType w:val="hybridMultilevel"/>
    <w:tmpl w:val="FD9AA8D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F578F3"/>
    <w:multiLevelType w:val="hybridMultilevel"/>
    <w:tmpl w:val="B532EC48"/>
    <w:lvl w:ilvl="0" w:tplc="D7126DA4">
      <w:start w:val="1"/>
      <w:numFmt w:val="decimal"/>
      <w:lvlText w:val="%1."/>
      <w:lvlJc w:val="left"/>
      <w:pPr>
        <w:ind w:left="1065" w:hanging="705"/>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0EA17CC"/>
    <w:multiLevelType w:val="hybridMultilevel"/>
    <w:tmpl w:val="132E4B9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3751DB2"/>
    <w:multiLevelType w:val="hybridMultilevel"/>
    <w:tmpl w:val="038A26DE"/>
    <w:lvl w:ilvl="0" w:tplc="FFFFFFFF">
      <w:start w:val="1"/>
      <w:numFmt w:val="decimal"/>
      <w:lvlText w:val="%1."/>
      <w:lvlJc w:val="left"/>
      <w:pPr>
        <w:ind w:left="1065" w:hanging="705"/>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8BF093C"/>
    <w:multiLevelType w:val="multilevel"/>
    <w:tmpl w:val="96E69BEA"/>
    <w:lvl w:ilvl="0">
      <w:start w:val="1"/>
      <w:numFmt w:val="decimal"/>
      <w:lvlText w:val="%1."/>
      <w:lvlJc w:val="left"/>
      <w:pPr>
        <w:ind w:left="562" w:hanging="360"/>
      </w:pPr>
    </w:lvl>
    <w:lvl w:ilvl="1">
      <w:start w:val="1"/>
      <w:numFmt w:val="lowerLetter"/>
      <w:lvlText w:val="%2."/>
      <w:lvlJc w:val="left"/>
      <w:pPr>
        <w:ind w:left="1282" w:hanging="360"/>
      </w:pPr>
    </w:lvl>
    <w:lvl w:ilvl="2">
      <w:start w:val="1"/>
      <w:numFmt w:val="lowerRoman"/>
      <w:lvlText w:val="%3."/>
      <w:lvlJc w:val="right"/>
      <w:pPr>
        <w:ind w:left="2002" w:hanging="180"/>
      </w:pPr>
    </w:lvl>
    <w:lvl w:ilvl="3">
      <w:start w:val="1"/>
      <w:numFmt w:val="decimal"/>
      <w:lvlText w:val="%4."/>
      <w:lvlJc w:val="left"/>
      <w:pPr>
        <w:ind w:left="2722" w:hanging="360"/>
      </w:pPr>
    </w:lvl>
    <w:lvl w:ilvl="4">
      <w:start w:val="1"/>
      <w:numFmt w:val="lowerLetter"/>
      <w:lvlText w:val="%5."/>
      <w:lvlJc w:val="left"/>
      <w:pPr>
        <w:ind w:left="3442" w:hanging="360"/>
      </w:pPr>
    </w:lvl>
    <w:lvl w:ilvl="5">
      <w:start w:val="1"/>
      <w:numFmt w:val="lowerRoman"/>
      <w:lvlText w:val="%6."/>
      <w:lvlJc w:val="right"/>
      <w:pPr>
        <w:ind w:left="4162" w:hanging="180"/>
      </w:pPr>
    </w:lvl>
    <w:lvl w:ilvl="6">
      <w:start w:val="1"/>
      <w:numFmt w:val="decimal"/>
      <w:lvlText w:val="%7."/>
      <w:lvlJc w:val="left"/>
      <w:pPr>
        <w:ind w:left="4882" w:hanging="360"/>
      </w:pPr>
    </w:lvl>
    <w:lvl w:ilvl="7">
      <w:start w:val="1"/>
      <w:numFmt w:val="lowerLetter"/>
      <w:lvlText w:val="%8."/>
      <w:lvlJc w:val="left"/>
      <w:pPr>
        <w:ind w:left="5602" w:hanging="360"/>
      </w:pPr>
    </w:lvl>
    <w:lvl w:ilvl="8">
      <w:start w:val="1"/>
      <w:numFmt w:val="lowerRoman"/>
      <w:lvlText w:val="%9."/>
      <w:lvlJc w:val="right"/>
      <w:pPr>
        <w:ind w:left="6322" w:hanging="180"/>
      </w:pPr>
    </w:lvl>
  </w:abstractNum>
  <w:abstractNum w:abstractNumId="12" w15:restartNumberingAfterBreak="0">
    <w:nsid w:val="1D1C74F2"/>
    <w:multiLevelType w:val="hybridMultilevel"/>
    <w:tmpl w:val="0EC0341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FEE2175"/>
    <w:multiLevelType w:val="hybridMultilevel"/>
    <w:tmpl w:val="651693DA"/>
    <w:lvl w:ilvl="0" w:tplc="40742AB2">
      <w:start w:val="2"/>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2275CBA"/>
    <w:multiLevelType w:val="hybridMultilevel"/>
    <w:tmpl w:val="9FB427A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2886740"/>
    <w:multiLevelType w:val="hybridMultilevel"/>
    <w:tmpl w:val="7400C110"/>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3A93894"/>
    <w:multiLevelType w:val="hybridMultilevel"/>
    <w:tmpl w:val="038A26DE"/>
    <w:lvl w:ilvl="0" w:tplc="74E882EE">
      <w:start w:val="1"/>
      <w:numFmt w:val="decimal"/>
      <w:lvlText w:val="%1."/>
      <w:lvlJc w:val="left"/>
      <w:pPr>
        <w:ind w:left="1065" w:hanging="705"/>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4464E85"/>
    <w:multiLevelType w:val="hybridMultilevel"/>
    <w:tmpl w:val="3A566F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6622592"/>
    <w:multiLevelType w:val="hybridMultilevel"/>
    <w:tmpl w:val="0EC03414"/>
    <w:lvl w:ilvl="0" w:tplc="F9DAEC7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81F5C28"/>
    <w:multiLevelType w:val="hybridMultilevel"/>
    <w:tmpl w:val="672EEE44"/>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285E622A"/>
    <w:multiLevelType w:val="multilevel"/>
    <w:tmpl w:val="834213BE"/>
    <w:lvl w:ilvl="0">
      <w:start w:val="1"/>
      <w:numFmt w:val="decimal"/>
      <w:lvlText w:val="%1."/>
      <w:lvlJc w:val="left"/>
      <w:pPr>
        <w:ind w:left="720" w:hanging="360"/>
      </w:pPr>
      <w:rPr>
        <w:b/>
      </w:rPr>
    </w:lvl>
    <w:lvl w:ilvl="1">
      <w:start w:val="1"/>
      <w:numFmt w:val="decimal"/>
      <w:lvlText w:val="%1.%2"/>
      <w:lvlJc w:val="left"/>
      <w:pPr>
        <w:ind w:left="720" w:hanging="360"/>
      </w:pPr>
      <w:rPr>
        <w:b/>
        <w:sz w:val="24"/>
        <w:szCs w:val="24"/>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1" w15:restartNumberingAfterBreak="0">
    <w:nsid w:val="299B573F"/>
    <w:multiLevelType w:val="hybridMultilevel"/>
    <w:tmpl w:val="DEC49F32"/>
    <w:lvl w:ilvl="0" w:tplc="D7126DA4">
      <w:start w:val="1"/>
      <w:numFmt w:val="decimal"/>
      <w:lvlText w:val="%1."/>
      <w:lvlJc w:val="left"/>
      <w:pPr>
        <w:ind w:left="1065" w:hanging="705"/>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E5D53FC"/>
    <w:multiLevelType w:val="hybridMultilevel"/>
    <w:tmpl w:val="8132CB20"/>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15:restartNumberingAfterBreak="0">
    <w:nsid w:val="2EF81EEA"/>
    <w:multiLevelType w:val="hybridMultilevel"/>
    <w:tmpl w:val="CBB0A2F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2A05971"/>
    <w:multiLevelType w:val="hybridMultilevel"/>
    <w:tmpl w:val="A6D00530"/>
    <w:lvl w:ilvl="0" w:tplc="FFFFFFFF">
      <w:start w:val="1"/>
      <w:numFmt w:val="decimal"/>
      <w:lvlText w:val="%1."/>
      <w:lvlJc w:val="left"/>
      <w:pPr>
        <w:ind w:left="1065" w:hanging="705"/>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E0B7177"/>
    <w:multiLevelType w:val="hybridMultilevel"/>
    <w:tmpl w:val="44721FC4"/>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D690646"/>
    <w:multiLevelType w:val="hybridMultilevel"/>
    <w:tmpl w:val="3EE8ACF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ECB7DA9"/>
    <w:multiLevelType w:val="hybridMultilevel"/>
    <w:tmpl w:val="DEC49F32"/>
    <w:lvl w:ilvl="0" w:tplc="FFFFFFFF">
      <w:start w:val="1"/>
      <w:numFmt w:val="decimal"/>
      <w:lvlText w:val="%1."/>
      <w:lvlJc w:val="left"/>
      <w:pPr>
        <w:ind w:left="1065" w:hanging="705"/>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0256C0D"/>
    <w:multiLevelType w:val="hybridMultilevel"/>
    <w:tmpl w:val="9FB427A2"/>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A0D7722"/>
    <w:multiLevelType w:val="hybridMultilevel"/>
    <w:tmpl w:val="6A46907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EFA7A9A"/>
    <w:multiLevelType w:val="hybridMultilevel"/>
    <w:tmpl w:val="7742875E"/>
    <w:lvl w:ilvl="0" w:tplc="D7126DA4">
      <w:start w:val="1"/>
      <w:numFmt w:val="decimal"/>
      <w:lvlText w:val="%1."/>
      <w:lvlJc w:val="left"/>
      <w:pPr>
        <w:ind w:left="1065" w:hanging="705"/>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0252AB8"/>
    <w:multiLevelType w:val="multilevel"/>
    <w:tmpl w:val="1C1A94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0F02E72"/>
    <w:multiLevelType w:val="hybridMultilevel"/>
    <w:tmpl w:val="ECC034F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40904B5"/>
    <w:multiLevelType w:val="hybridMultilevel"/>
    <w:tmpl w:val="A2F8B666"/>
    <w:lvl w:ilvl="0" w:tplc="FFFFFFFF">
      <w:start w:val="1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9854EFD"/>
    <w:multiLevelType w:val="hybridMultilevel"/>
    <w:tmpl w:val="17A474E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C7F0C96"/>
    <w:multiLevelType w:val="hybridMultilevel"/>
    <w:tmpl w:val="9C7E1616"/>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4F20BD"/>
    <w:multiLevelType w:val="hybridMultilevel"/>
    <w:tmpl w:val="5D9E01EC"/>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7" w15:restartNumberingAfterBreak="0">
    <w:nsid w:val="73A26182"/>
    <w:multiLevelType w:val="hybridMultilevel"/>
    <w:tmpl w:val="17A474E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A6662A4"/>
    <w:multiLevelType w:val="hybridMultilevel"/>
    <w:tmpl w:val="038A26DE"/>
    <w:lvl w:ilvl="0" w:tplc="FFFFFFFF">
      <w:start w:val="1"/>
      <w:numFmt w:val="decimal"/>
      <w:lvlText w:val="%1."/>
      <w:lvlJc w:val="left"/>
      <w:pPr>
        <w:ind w:left="1065" w:hanging="705"/>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B0412A9"/>
    <w:multiLevelType w:val="hybridMultilevel"/>
    <w:tmpl w:val="F2D6C444"/>
    <w:lvl w:ilvl="0" w:tplc="BCFEF0FE">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C540608"/>
    <w:multiLevelType w:val="hybridMultilevel"/>
    <w:tmpl w:val="17A474E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DB427EF"/>
    <w:multiLevelType w:val="hybridMultilevel"/>
    <w:tmpl w:val="0B9492A0"/>
    <w:lvl w:ilvl="0" w:tplc="FFFFFFFF">
      <w:start w:val="3"/>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18"/>
  </w:num>
  <w:num w:numId="3">
    <w:abstractNumId w:val="21"/>
  </w:num>
  <w:num w:numId="4">
    <w:abstractNumId w:val="30"/>
  </w:num>
  <w:num w:numId="5">
    <w:abstractNumId w:val="37"/>
  </w:num>
  <w:num w:numId="6">
    <w:abstractNumId w:val="16"/>
  </w:num>
  <w:num w:numId="7">
    <w:abstractNumId w:val="13"/>
  </w:num>
  <w:num w:numId="8">
    <w:abstractNumId w:val="24"/>
  </w:num>
  <w:num w:numId="9">
    <w:abstractNumId w:val="3"/>
  </w:num>
  <w:num w:numId="10">
    <w:abstractNumId w:val="39"/>
  </w:num>
  <w:num w:numId="11">
    <w:abstractNumId w:val="27"/>
  </w:num>
  <w:num w:numId="12">
    <w:abstractNumId w:val="40"/>
  </w:num>
  <w:num w:numId="13">
    <w:abstractNumId w:val="10"/>
  </w:num>
  <w:num w:numId="14">
    <w:abstractNumId w:val="34"/>
  </w:num>
  <w:num w:numId="15">
    <w:abstractNumId w:val="38"/>
  </w:num>
  <w:num w:numId="16">
    <w:abstractNumId w:val="35"/>
  </w:num>
  <w:num w:numId="17">
    <w:abstractNumId w:val="15"/>
  </w:num>
  <w:num w:numId="18">
    <w:abstractNumId w:val="23"/>
  </w:num>
  <w:num w:numId="19">
    <w:abstractNumId w:val="26"/>
  </w:num>
  <w:num w:numId="20">
    <w:abstractNumId w:val="1"/>
  </w:num>
  <w:num w:numId="21">
    <w:abstractNumId w:val="28"/>
  </w:num>
  <w:num w:numId="22">
    <w:abstractNumId w:val="14"/>
  </w:num>
  <w:num w:numId="23">
    <w:abstractNumId w:val="5"/>
  </w:num>
  <w:num w:numId="24">
    <w:abstractNumId w:val="9"/>
  </w:num>
  <w:num w:numId="25">
    <w:abstractNumId w:val="7"/>
  </w:num>
  <w:num w:numId="26">
    <w:abstractNumId w:val="2"/>
  </w:num>
  <w:num w:numId="27">
    <w:abstractNumId w:val="25"/>
  </w:num>
  <w:num w:numId="28">
    <w:abstractNumId w:val="6"/>
  </w:num>
  <w:num w:numId="29">
    <w:abstractNumId w:val="12"/>
  </w:num>
  <w:num w:numId="30">
    <w:abstractNumId w:val="33"/>
  </w:num>
  <w:num w:numId="31">
    <w:abstractNumId w:val="41"/>
  </w:num>
  <w:num w:numId="32">
    <w:abstractNumId w:val="32"/>
  </w:num>
  <w:num w:numId="33">
    <w:abstractNumId w:val="29"/>
  </w:num>
  <w:num w:numId="34">
    <w:abstractNumId w:val="36"/>
  </w:num>
  <w:num w:numId="35">
    <w:abstractNumId w:val="22"/>
  </w:num>
  <w:num w:numId="36">
    <w:abstractNumId w:val="19"/>
  </w:num>
  <w:num w:numId="37">
    <w:abstractNumId w:val="4"/>
  </w:num>
  <w:num w:numId="38">
    <w:abstractNumId w:val="8"/>
  </w:num>
  <w:num w:numId="39">
    <w:abstractNumId w:val="0"/>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num>
  <w:num w:numId="42">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7DF3"/>
    <w:rsid w:val="00000F6A"/>
    <w:rsid w:val="00012A03"/>
    <w:rsid w:val="00016DB8"/>
    <w:rsid w:val="00016DFD"/>
    <w:rsid w:val="00017A04"/>
    <w:rsid w:val="000244F6"/>
    <w:rsid w:val="00031CED"/>
    <w:rsid w:val="00032115"/>
    <w:rsid w:val="000451B0"/>
    <w:rsid w:val="00062551"/>
    <w:rsid w:val="00063F0C"/>
    <w:rsid w:val="00071425"/>
    <w:rsid w:val="00073C87"/>
    <w:rsid w:val="00075E1B"/>
    <w:rsid w:val="0009159E"/>
    <w:rsid w:val="000A09EE"/>
    <w:rsid w:val="000A50A8"/>
    <w:rsid w:val="000A6CBC"/>
    <w:rsid w:val="000B6924"/>
    <w:rsid w:val="000C31B3"/>
    <w:rsid w:val="000C5396"/>
    <w:rsid w:val="000C6312"/>
    <w:rsid w:val="000D26B3"/>
    <w:rsid w:val="000D4B5E"/>
    <w:rsid w:val="000E0EC6"/>
    <w:rsid w:val="00113DAA"/>
    <w:rsid w:val="00132348"/>
    <w:rsid w:val="0014617C"/>
    <w:rsid w:val="00151A4F"/>
    <w:rsid w:val="001672FC"/>
    <w:rsid w:val="0017021D"/>
    <w:rsid w:val="001725A2"/>
    <w:rsid w:val="0017355C"/>
    <w:rsid w:val="00174255"/>
    <w:rsid w:val="0017448A"/>
    <w:rsid w:val="00177D95"/>
    <w:rsid w:val="001946FB"/>
    <w:rsid w:val="001D39FE"/>
    <w:rsid w:val="001D53C1"/>
    <w:rsid w:val="00202824"/>
    <w:rsid w:val="00212D1E"/>
    <w:rsid w:val="00224A3B"/>
    <w:rsid w:val="002268E3"/>
    <w:rsid w:val="00232363"/>
    <w:rsid w:val="0024120D"/>
    <w:rsid w:val="00242DB9"/>
    <w:rsid w:val="00244A9F"/>
    <w:rsid w:val="0024693E"/>
    <w:rsid w:val="00255AB0"/>
    <w:rsid w:val="002607DB"/>
    <w:rsid w:val="00263D4C"/>
    <w:rsid w:val="00274F80"/>
    <w:rsid w:val="0027666E"/>
    <w:rsid w:val="00277E9F"/>
    <w:rsid w:val="00282952"/>
    <w:rsid w:val="00292B20"/>
    <w:rsid w:val="00293C7E"/>
    <w:rsid w:val="002A2A96"/>
    <w:rsid w:val="002A6E8E"/>
    <w:rsid w:val="002B13D2"/>
    <w:rsid w:val="002B3C56"/>
    <w:rsid w:val="002B4202"/>
    <w:rsid w:val="002D1E68"/>
    <w:rsid w:val="002E26EA"/>
    <w:rsid w:val="002E2F62"/>
    <w:rsid w:val="002F1DBC"/>
    <w:rsid w:val="00300182"/>
    <w:rsid w:val="00303FFC"/>
    <w:rsid w:val="00306542"/>
    <w:rsid w:val="00313834"/>
    <w:rsid w:val="0032140A"/>
    <w:rsid w:val="003223B0"/>
    <w:rsid w:val="0034051A"/>
    <w:rsid w:val="00341E92"/>
    <w:rsid w:val="00347C9D"/>
    <w:rsid w:val="00355E1E"/>
    <w:rsid w:val="00363817"/>
    <w:rsid w:val="00365B17"/>
    <w:rsid w:val="00365EBA"/>
    <w:rsid w:val="00380774"/>
    <w:rsid w:val="003824E2"/>
    <w:rsid w:val="00384E37"/>
    <w:rsid w:val="003867BC"/>
    <w:rsid w:val="003919AF"/>
    <w:rsid w:val="00397406"/>
    <w:rsid w:val="003A64C5"/>
    <w:rsid w:val="003A66EB"/>
    <w:rsid w:val="003B0D39"/>
    <w:rsid w:val="003C294A"/>
    <w:rsid w:val="003C3750"/>
    <w:rsid w:val="003D206D"/>
    <w:rsid w:val="003D52B5"/>
    <w:rsid w:val="003D5B5F"/>
    <w:rsid w:val="003E23B1"/>
    <w:rsid w:val="003E4564"/>
    <w:rsid w:val="003E4AD0"/>
    <w:rsid w:val="0040579D"/>
    <w:rsid w:val="00407BF7"/>
    <w:rsid w:val="00416D64"/>
    <w:rsid w:val="004302AE"/>
    <w:rsid w:val="00436939"/>
    <w:rsid w:val="00441C54"/>
    <w:rsid w:val="004513BC"/>
    <w:rsid w:val="00472FD1"/>
    <w:rsid w:val="004759DD"/>
    <w:rsid w:val="004977B4"/>
    <w:rsid w:val="004A38AA"/>
    <w:rsid w:val="004A49CB"/>
    <w:rsid w:val="004A563A"/>
    <w:rsid w:val="004C3F44"/>
    <w:rsid w:val="004D1A72"/>
    <w:rsid w:val="004E6034"/>
    <w:rsid w:val="00503395"/>
    <w:rsid w:val="005048D4"/>
    <w:rsid w:val="0051758D"/>
    <w:rsid w:val="0052002C"/>
    <w:rsid w:val="00520F7C"/>
    <w:rsid w:val="00523A15"/>
    <w:rsid w:val="00525829"/>
    <w:rsid w:val="00550796"/>
    <w:rsid w:val="005614B1"/>
    <w:rsid w:val="00562B0E"/>
    <w:rsid w:val="00575667"/>
    <w:rsid w:val="00575D5F"/>
    <w:rsid w:val="00580D3B"/>
    <w:rsid w:val="00592FDA"/>
    <w:rsid w:val="00596196"/>
    <w:rsid w:val="005A0662"/>
    <w:rsid w:val="005A3569"/>
    <w:rsid w:val="005B1B9D"/>
    <w:rsid w:val="005B30D4"/>
    <w:rsid w:val="005B48CD"/>
    <w:rsid w:val="005B5C3C"/>
    <w:rsid w:val="005B6713"/>
    <w:rsid w:val="005C4C50"/>
    <w:rsid w:val="005D22C0"/>
    <w:rsid w:val="005E172E"/>
    <w:rsid w:val="005E4A22"/>
    <w:rsid w:val="005F3A9B"/>
    <w:rsid w:val="00601D2C"/>
    <w:rsid w:val="00602BAF"/>
    <w:rsid w:val="00607B65"/>
    <w:rsid w:val="00616F13"/>
    <w:rsid w:val="00622582"/>
    <w:rsid w:val="00623D51"/>
    <w:rsid w:val="006309CF"/>
    <w:rsid w:val="00631988"/>
    <w:rsid w:val="00642350"/>
    <w:rsid w:val="00643A7F"/>
    <w:rsid w:val="00647C6A"/>
    <w:rsid w:val="00653ED1"/>
    <w:rsid w:val="006653A2"/>
    <w:rsid w:val="00676AEB"/>
    <w:rsid w:val="0069070E"/>
    <w:rsid w:val="00692A31"/>
    <w:rsid w:val="00694761"/>
    <w:rsid w:val="0069691C"/>
    <w:rsid w:val="006A480E"/>
    <w:rsid w:val="006A6103"/>
    <w:rsid w:val="006A7E52"/>
    <w:rsid w:val="006C131B"/>
    <w:rsid w:val="006C1CC4"/>
    <w:rsid w:val="006C63ED"/>
    <w:rsid w:val="006C7E28"/>
    <w:rsid w:val="006E7CA3"/>
    <w:rsid w:val="006F1097"/>
    <w:rsid w:val="006F30CF"/>
    <w:rsid w:val="0070117E"/>
    <w:rsid w:val="0070662D"/>
    <w:rsid w:val="007129BC"/>
    <w:rsid w:val="007215B4"/>
    <w:rsid w:val="0072235B"/>
    <w:rsid w:val="007326B6"/>
    <w:rsid w:val="00745E2A"/>
    <w:rsid w:val="00772011"/>
    <w:rsid w:val="007722A8"/>
    <w:rsid w:val="007722CF"/>
    <w:rsid w:val="007757D7"/>
    <w:rsid w:val="007848BA"/>
    <w:rsid w:val="007874A6"/>
    <w:rsid w:val="00791499"/>
    <w:rsid w:val="0079182C"/>
    <w:rsid w:val="007A39CE"/>
    <w:rsid w:val="007B46EC"/>
    <w:rsid w:val="007C15CD"/>
    <w:rsid w:val="007D480C"/>
    <w:rsid w:val="007E72CF"/>
    <w:rsid w:val="007F3E27"/>
    <w:rsid w:val="00801A8A"/>
    <w:rsid w:val="00804263"/>
    <w:rsid w:val="00817176"/>
    <w:rsid w:val="00817183"/>
    <w:rsid w:val="00822E39"/>
    <w:rsid w:val="008251C9"/>
    <w:rsid w:val="00826085"/>
    <w:rsid w:val="00837D78"/>
    <w:rsid w:val="008437D2"/>
    <w:rsid w:val="008458F8"/>
    <w:rsid w:val="0085611A"/>
    <w:rsid w:val="00862023"/>
    <w:rsid w:val="0086331E"/>
    <w:rsid w:val="008645B8"/>
    <w:rsid w:val="008739B1"/>
    <w:rsid w:val="00882BD1"/>
    <w:rsid w:val="00885CED"/>
    <w:rsid w:val="00887674"/>
    <w:rsid w:val="00893E6D"/>
    <w:rsid w:val="008A2788"/>
    <w:rsid w:val="008D66B1"/>
    <w:rsid w:val="008F3287"/>
    <w:rsid w:val="008F662A"/>
    <w:rsid w:val="009007AF"/>
    <w:rsid w:val="00902496"/>
    <w:rsid w:val="00906FEA"/>
    <w:rsid w:val="00913834"/>
    <w:rsid w:val="0093262B"/>
    <w:rsid w:val="00933375"/>
    <w:rsid w:val="0093533B"/>
    <w:rsid w:val="009538B7"/>
    <w:rsid w:val="009554AF"/>
    <w:rsid w:val="00973B18"/>
    <w:rsid w:val="00974699"/>
    <w:rsid w:val="00980405"/>
    <w:rsid w:val="009862A5"/>
    <w:rsid w:val="00992302"/>
    <w:rsid w:val="009A289A"/>
    <w:rsid w:val="009A63A9"/>
    <w:rsid w:val="009B3106"/>
    <w:rsid w:val="009D5009"/>
    <w:rsid w:val="009D6B31"/>
    <w:rsid w:val="009E1FB2"/>
    <w:rsid w:val="00A03039"/>
    <w:rsid w:val="00A0632E"/>
    <w:rsid w:val="00A175E2"/>
    <w:rsid w:val="00A31C48"/>
    <w:rsid w:val="00A340FD"/>
    <w:rsid w:val="00A405D9"/>
    <w:rsid w:val="00A4157B"/>
    <w:rsid w:val="00A61219"/>
    <w:rsid w:val="00A63278"/>
    <w:rsid w:val="00A67DF3"/>
    <w:rsid w:val="00A7379D"/>
    <w:rsid w:val="00A83B02"/>
    <w:rsid w:val="00A944DA"/>
    <w:rsid w:val="00AA04CA"/>
    <w:rsid w:val="00AA1777"/>
    <w:rsid w:val="00AB1E31"/>
    <w:rsid w:val="00AC4E3E"/>
    <w:rsid w:val="00AE13EC"/>
    <w:rsid w:val="00AF1CD7"/>
    <w:rsid w:val="00AF6722"/>
    <w:rsid w:val="00AF6B6B"/>
    <w:rsid w:val="00B01123"/>
    <w:rsid w:val="00B016AE"/>
    <w:rsid w:val="00B03848"/>
    <w:rsid w:val="00B04204"/>
    <w:rsid w:val="00B241C6"/>
    <w:rsid w:val="00B255BD"/>
    <w:rsid w:val="00B31165"/>
    <w:rsid w:val="00B32BE3"/>
    <w:rsid w:val="00B33F94"/>
    <w:rsid w:val="00B34F5A"/>
    <w:rsid w:val="00B3621F"/>
    <w:rsid w:val="00B37C6F"/>
    <w:rsid w:val="00B37FE9"/>
    <w:rsid w:val="00B41400"/>
    <w:rsid w:val="00B454E1"/>
    <w:rsid w:val="00B4646B"/>
    <w:rsid w:val="00B62295"/>
    <w:rsid w:val="00B648B8"/>
    <w:rsid w:val="00B66EE6"/>
    <w:rsid w:val="00B7020A"/>
    <w:rsid w:val="00B72473"/>
    <w:rsid w:val="00B8770A"/>
    <w:rsid w:val="00B94BC0"/>
    <w:rsid w:val="00B95C63"/>
    <w:rsid w:val="00B972F0"/>
    <w:rsid w:val="00B9752D"/>
    <w:rsid w:val="00BA64C7"/>
    <w:rsid w:val="00BB1C2C"/>
    <w:rsid w:val="00BC3C11"/>
    <w:rsid w:val="00BC51AF"/>
    <w:rsid w:val="00BC5C56"/>
    <w:rsid w:val="00BC5FD9"/>
    <w:rsid w:val="00BD70D1"/>
    <w:rsid w:val="00BE5ADA"/>
    <w:rsid w:val="00BF7BA8"/>
    <w:rsid w:val="00C008DA"/>
    <w:rsid w:val="00C016BF"/>
    <w:rsid w:val="00C03352"/>
    <w:rsid w:val="00C05ED6"/>
    <w:rsid w:val="00C11DFC"/>
    <w:rsid w:val="00C12FC4"/>
    <w:rsid w:val="00C15D7D"/>
    <w:rsid w:val="00C165B1"/>
    <w:rsid w:val="00C17063"/>
    <w:rsid w:val="00C2200B"/>
    <w:rsid w:val="00C373CC"/>
    <w:rsid w:val="00C5025A"/>
    <w:rsid w:val="00C54F43"/>
    <w:rsid w:val="00C562D5"/>
    <w:rsid w:val="00C572B7"/>
    <w:rsid w:val="00C76FB9"/>
    <w:rsid w:val="00C8468B"/>
    <w:rsid w:val="00C9073A"/>
    <w:rsid w:val="00C93234"/>
    <w:rsid w:val="00C975C6"/>
    <w:rsid w:val="00CA0C12"/>
    <w:rsid w:val="00CA0EBE"/>
    <w:rsid w:val="00CA18DC"/>
    <w:rsid w:val="00CA2E23"/>
    <w:rsid w:val="00CA611A"/>
    <w:rsid w:val="00CA792A"/>
    <w:rsid w:val="00CB32F8"/>
    <w:rsid w:val="00CC3E62"/>
    <w:rsid w:val="00CC7016"/>
    <w:rsid w:val="00CD34C7"/>
    <w:rsid w:val="00CE071E"/>
    <w:rsid w:val="00CE4D9F"/>
    <w:rsid w:val="00CF2CA2"/>
    <w:rsid w:val="00CF5A98"/>
    <w:rsid w:val="00CF677E"/>
    <w:rsid w:val="00D004E5"/>
    <w:rsid w:val="00D03DD9"/>
    <w:rsid w:val="00D217BD"/>
    <w:rsid w:val="00D24EA9"/>
    <w:rsid w:val="00D52C7D"/>
    <w:rsid w:val="00D52CC9"/>
    <w:rsid w:val="00D57399"/>
    <w:rsid w:val="00D63E2A"/>
    <w:rsid w:val="00D65130"/>
    <w:rsid w:val="00D65E78"/>
    <w:rsid w:val="00D70793"/>
    <w:rsid w:val="00D71599"/>
    <w:rsid w:val="00D813BD"/>
    <w:rsid w:val="00DA1CA1"/>
    <w:rsid w:val="00DA1F04"/>
    <w:rsid w:val="00DB283E"/>
    <w:rsid w:val="00DC00D0"/>
    <w:rsid w:val="00DC1EC8"/>
    <w:rsid w:val="00DF501A"/>
    <w:rsid w:val="00DF5C93"/>
    <w:rsid w:val="00E029D8"/>
    <w:rsid w:val="00E05395"/>
    <w:rsid w:val="00E054FA"/>
    <w:rsid w:val="00E136DC"/>
    <w:rsid w:val="00E17EA5"/>
    <w:rsid w:val="00E20FF6"/>
    <w:rsid w:val="00E2250C"/>
    <w:rsid w:val="00E24798"/>
    <w:rsid w:val="00E36380"/>
    <w:rsid w:val="00E36ADA"/>
    <w:rsid w:val="00E426C4"/>
    <w:rsid w:val="00E44922"/>
    <w:rsid w:val="00E52EDE"/>
    <w:rsid w:val="00E65313"/>
    <w:rsid w:val="00E738A8"/>
    <w:rsid w:val="00E76883"/>
    <w:rsid w:val="00E821DE"/>
    <w:rsid w:val="00E82E31"/>
    <w:rsid w:val="00E87BCC"/>
    <w:rsid w:val="00EA12C7"/>
    <w:rsid w:val="00EB22E6"/>
    <w:rsid w:val="00EB7077"/>
    <w:rsid w:val="00ED1F25"/>
    <w:rsid w:val="00ED2963"/>
    <w:rsid w:val="00EE4EB3"/>
    <w:rsid w:val="00EE5D17"/>
    <w:rsid w:val="00EF1684"/>
    <w:rsid w:val="00EF5A01"/>
    <w:rsid w:val="00EF649F"/>
    <w:rsid w:val="00EF78CE"/>
    <w:rsid w:val="00F14875"/>
    <w:rsid w:val="00F1559D"/>
    <w:rsid w:val="00F33DC7"/>
    <w:rsid w:val="00F452C4"/>
    <w:rsid w:val="00F46F65"/>
    <w:rsid w:val="00F47700"/>
    <w:rsid w:val="00F56AF8"/>
    <w:rsid w:val="00F677F2"/>
    <w:rsid w:val="00F7291A"/>
    <w:rsid w:val="00F74ED3"/>
    <w:rsid w:val="00F7714B"/>
    <w:rsid w:val="00F82144"/>
    <w:rsid w:val="00F82736"/>
    <w:rsid w:val="00F87B07"/>
    <w:rsid w:val="00F87E69"/>
    <w:rsid w:val="00F913A5"/>
    <w:rsid w:val="00FA0011"/>
    <w:rsid w:val="00FA2C54"/>
    <w:rsid w:val="00FA59B0"/>
    <w:rsid w:val="00FA7A6E"/>
    <w:rsid w:val="00FC21AD"/>
    <w:rsid w:val="00FC495D"/>
    <w:rsid w:val="00FC74A6"/>
    <w:rsid w:val="00FD3F77"/>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80518B"/>
  <w15:docId w15:val="{7F7A9C7F-41B3-EF43-8C17-4B5D4DDEE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MX"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5395"/>
  </w:style>
  <w:style w:type="paragraph" w:styleId="Ttulo1">
    <w:name w:val="heading 1"/>
    <w:basedOn w:val="Normal"/>
    <w:next w:val="Normal"/>
    <w:link w:val="Ttulo1Car"/>
    <w:uiPriority w:val="9"/>
    <w:qFormat/>
    <w:pPr>
      <w:ind w:left="202"/>
      <w:outlineLvl w:val="0"/>
    </w:pPr>
    <w:rPr>
      <w:b/>
    </w:rPr>
  </w:style>
  <w:style w:type="paragraph" w:styleId="Ttulo2">
    <w:name w:val="heading 2"/>
    <w:basedOn w:val="Normal"/>
    <w:next w:val="Normal"/>
    <w:link w:val="Ttulo2Car"/>
    <w:uiPriority w:val="9"/>
    <w:unhideWhenUsed/>
    <w:qFormat/>
    <w:pPr>
      <w:ind w:left="202" w:right="114"/>
      <w:jc w:val="both"/>
      <w:outlineLvl w:val="1"/>
    </w:pPr>
  </w:style>
  <w:style w:type="paragraph" w:styleId="Ttulo3">
    <w:name w:val="heading 3"/>
    <w:basedOn w:val="Normal"/>
    <w:next w:val="Normal"/>
    <w:link w:val="Ttulo3Car"/>
    <w:uiPriority w:val="9"/>
    <w:unhideWhenUsed/>
    <w:qFormat/>
    <w:pPr>
      <w:ind w:left="202" w:right="114"/>
      <w:jc w:val="both"/>
      <w:outlineLvl w:val="2"/>
    </w:pPr>
    <w:rPr>
      <w:i/>
    </w:rPr>
  </w:style>
  <w:style w:type="paragraph" w:styleId="Ttulo4">
    <w:name w:val="heading 4"/>
    <w:basedOn w:val="Normal"/>
    <w:next w:val="Normal"/>
    <w:link w:val="Ttulo4Car"/>
    <w:uiPriority w:val="9"/>
    <w:unhideWhenUsed/>
    <w:qFormat/>
    <w:pPr>
      <w:ind w:left="768"/>
      <w:jc w:val="both"/>
      <w:outlineLvl w:val="3"/>
    </w:pPr>
    <w:rPr>
      <w:b/>
      <w:i/>
      <w:sz w:val="20"/>
      <w:szCs w:val="20"/>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Prrafodelista">
    <w:name w:val="List Paragraph"/>
    <w:basedOn w:val="Normal"/>
    <w:uiPriority w:val="34"/>
    <w:qFormat/>
    <w:rsid w:val="00D004E5"/>
    <w:pPr>
      <w:ind w:left="720"/>
      <w:contextualSpacing/>
    </w:pPr>
  </w:style>
  <w:style w:type="table" w:styleId="Tablaconcuadrcula">
    <w:name w:val="Table Grid"/>
    <w:basedOn w:val="Tablanormal"/>
    <w:uiPriority w:val="39"/>
    <w:rsid w:val="009D6B31"/>
    <w:pPr>
      <w:widowControl/>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9D6B31"/>
    <w:pPr>
      <w:widowControl/>
    </w:pPr>
    <w:rPr>
      <w:rFonts w:asciiTheme="minorHAnsi" w:eastAsiaTheme="minorHAnsi" w:hAnsiTheme="minorHAnsi" w:cstheme="minorBidi"/>
      <w:sz w:val="20"/>
      <w:szCs w:val="20"/>
      <w:lang w:val="es-CO" w:eastAsia="en-US"/>
    </w:rPr>
  </w:style>
  <w:style w:type="character" w:customStyle="1" w:styleId="TextonotapieCar">
    <w:name w:val="Texto nota pie Car"/>
    <w:basedOn w:val="Fuentedeprrafopredeter"/>
    <w:link w:val="Textonotapie"/>
    <w:uiPriority w:val="99"/>
    <w:semiHidden/>
    <w:rsid w:val="009D6B31"/>
    <w:rPr>
      <w:rFonts w:asciiTheme="minorHAnsi" w:eastAsiaTheme="minorHAnsi" w:hAnsiTheme="minorHAnsi" w:cstheme="minorBidi"/>
      <w:sz w:val="20"/>
      <w:szCs w:val="20"/>
      <w:lang w:val="es-CO" w:eastAsia="en-US"/>
    </w:rPr>
  </w:style>
  <w:style w:type="character" w:styleId="Refdenotaalpie">
    <w:name w:val="footnote reference"/>
    <w:basedOn w:val="Fuentedeprrafopredeter"/>
    <w:uiPriority w:val="99"/>
    <w:semiHidden/>
    <w:unhideWhenUsed/>
    <w:rsid w:val="009D6B31"/>
    <w:rPr>
      <w:vertAlign w:val="superscript"/>
    </w:rPr>
  </w:style>
  <w:style w:type="character" w:styleId="Hipervnculo">
    <w:name w:val="Hyperlink"/>
    <w:basedOn w:val="Fuentedeprrafopredeter"/>
    <w:uiPriority w:val="99"/>
    <w:unhideWhenUsed/>
    <w:rsid w:val="009D6B31"/>
    <w:rPr>
      <w:color w:val="0000FF" w:themeColor="hyperlink"/>
      <w:u w:val="single"/>
    </w:rPr>
  </w:style>
  <w:style w:type="paragraph" w:styleId="Sinespaciado">
    <w:name w:val="No Spacing"/>
    <w:uiPriority w:val="1"/>
    <w:qFormat/>
    <w:rsid w:val="009D6B31"/>
    <w:pPr>
      <w:widowControl/>
    </w:pPr>
    <w:rPr>
      <w:rFonts w:asciiTheme="minorHAnsi" w:eastAsiaTheme="minorHAnsi" w:hAnsiTheme="minorHAnsi" w:cstheme="minorBidi"/>
      <w:lang w:val="es-CO" w:eastAsia="en-US"/>
    </w:rPr>
  </w:style>
  <w:style w:type="paragraph" w:styleId="Encabezado">
    <w:name w:val="header"/>
    <w:basedOn w:val="Normal"/>
    <w:link w:val="EncabezadoCar"/>
    <w:uiPriority w:val="99"/>
    <w:unhideWhenUsed/>
    <w:rsid w:val="004D1A72"/>
    <w:pPr>
      <w:tabs>
        <w:tab w:val="center" w:pos="4419"/>
        <w:tab w:val="right" w:pos="8838"/>
      </w:tabs>
    </w:pPr>
  </w:style>
  <w:style w:type="character" w:customStyle="1" w:styleId="EncabezadoCar">
    <w:name w:val="Encabezado Car"/>
    <w:basedOn w:val="Fuentedeprrafopredeter"/>
    <w:link w:val="Encabezado"/>
    <w:uiPriority w:val="99"/>
    <w:rsid w:val="004D1A72"/>
  </w:style>
  <w:style w:type="paragraph" w:styleId="Piedepgina">
    <w:name w:val="footer"/>
    <w:basedOn w:val="Normal"/>
    <w:link w:val="PiedepginaCar"/>
    <w:uiPriority w:val="99"/>
    <w:unhideWhenUsed/>
    <w:rsid w:val="004D1A72"/>
    <w:pPr>
      <w:tabs>
        <w:tab w:val="center" w:pos="4419"/>
        <w:tab w:val="right" w:pos="8838"/>
      </w:tabs>
    </w:pPr>
  </w:style>
  <w:style w:type="character" w:customStyle="1" w:styleId="PiedepginaCar">
    <w:name w:val="Pie de página Car"/>
    <w:basedOn w:val="Fuentedeprrafopredeter"/>
    <w:link w:val="Piedepgina"/>
    <w:uiPriority w:val="99"/>
    <w:rsid w:val="004D1A72"/>
  </w:style>
  <w:style w:type="character" w:customStyle="1" w:styleId="UnresolvedMention">
    <w:name w:val="Unresolved Mention"/>
    <w:basedOn w:val="Fuentedeprrafopredeter"/>
    <w:uiPriority w:val="99"/>
    <w:semiHidden/>
    <w:unhideWhenUsed/>
    <w:rsid w:val="00DC1EC8"/>
    <w:rPr>
      <w:color w:val="605E5C"/>
      <w:shd w:val="clear" w:color="auto" w:fill="E1DFDD"/>
    </w:rPr>
  </w:style>
  <w:style w:type="character" w:customStyle="1" w:styleId="Ttulo1Car">
    <w:name w:val="Título 1 Car"/>
    <w:basedOn w:val="Fuentedeprrafopredeter"/>
    <w:link w:val="Ttulo1"/>
    <w:uiPriority w:val="9"/>
    <w:rsid w:val="003D206D"/>
    <w:rPr>
      <w:b/>
    </w:rPr>
  </w:style>
  <w:style w:type="character" w:customStyle="1" w:styleId="Ttulo2Car">
    <w:name w:val="Título 2 Car"/>
    <w:basedOn w:val="Fuentedeprrafopredeter"/>
    <w:link w:val="Ttulo2"/>
    <w:uiPriority w:val="9"/>
    <w:rsid w:val="003D206D"/>
  </w:style>
  <w:style w:type="character" w:customStyle="1" w:styleId="Ttulo3Car">
    <w:name w:val="Título 3 Car"/>
    <w:basedOn w:val="Fuentedeprrafopredeter"/>
    <w:link w:val="Ttulo3"/>
    <w:uiPriority w:val="9"/>
    <w:rsid w:val="003D206D"/>
    <w:rPr>
      <w:i/>
    </w:rPr>
  </w:style>
  <w:style w:type="character" w:customStyle="1" w:styleId="Ttulo4Car">
    <w:name w:val="Título 4 Car"/>
    <w:basedOn w:val="Fuentedeprrafopredeter"/>
    <w:link w:val="Ttulo4"/>
    <w:uiPriority w:val="9"/>
    <w:rsid w:val="003D206D"/>
    <w:rPr>
      <w:b/>
      <w:i/>
      <w:sz w:val="20"/>
      <w:szCs w:val="20"/>
    </w:rPr>
  </w:style>
  <w:style w:type="character" w:customStyle="1" w:styleId="Ttulo5Car">
    <w:name w:val="Título 5 Car"/>
    <w:basedOn w:val="Fuentedeprrafopredeter"/>
    <w:link w:val="Ttulo5"/>
    <w:uiPriority w:val="9"/>
    <w:semiHidden/>
    <w:rsid w:val="003D206D"/>
    <w:rPr>
      <w:b/>
    </w:rPr>
  </w:style>
  <w:style w:type="character" w:customStyle="1" w:styleId="Ttulo6Car">
    <w:name w:val="Título 6 Car"/>
    <w:basedOn w:val="Fuentedeprrafopredeter"/>
    <w:link w:val="Ttulo6"/>
    <w:uiPriority w:val="9"/>
    <w:semiHidden/>
    <w:rsid w:val="003D206D"/>
    <w:rPr>
      <w:b/>
      <w:sz w:val="20"/>
      <w:szCs w:val="20"/>
    </w:rPr>
  </w:style>
  <w:style w:type="character" w:customStyle="1" w:styleId="TtuloCar">
    <w:name w:val="Título Car"/>
    <w:basedOn w:val="Fuentedeprrafopredeter"/>
    <w:link w:val="Ttulo"/>
    <w:uiPriority w:val="10"/>
    <w:rsid w:val="003D206D"/>
    <w:rPr>
      <w:b/>
      <w:sz w:val="72"/>
      <w:szCs w:val="72"/>
    </w:rPr>
  </w:style>
  <w:style w:type="character" w:customStyle="1" w:styleId="SubttuloCar">
    <w:name w:val="Subtítulo Car"/>
    <w:basedOn w:val="Fuentedeprrafopredeter"/>
    <w:link w:val="Subttulo"/>
    <w:uiPriority w:val="11"/>
    <w:rsid w:val="003D206D"/>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C76FB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6F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667339">
      <w:bodyDiv w:val="1"/>
      <w:marLeft w:val="0"/>
      <w:marRight w:val="0"/>
      <w:marTop w:val="0"/>
      <w:marBottom w:val="0"/>
      <w:divBdr>
        <w:top w:val="none" w:sz="0" w:space="0" w:color="auto"/>
        <w:left w:val="none" w:sz="0" w:space="0" w:color="auto"/>
        <w:bottom w:val="none" w:sz="0" w:space="0" w:color="auto"/>
        <w:right w:val="none" w:sz="0" w:space="0" w:color="auto"/>
      </w:divBdr>
    </w:div>
    <w:div w:id="550118815">
      <w:bodyDiv w:val="1"/>
      <w:marLeft w:val="0"/>
      <w:marRight w:val="0"/>
      <w:marTop w:val="0"/>
      <w:marBottom w:val="0"/>
      <w:divBdr>
        <w:top w:val="none" w:sz="0" w:space="0" w:color="auto"/>
        <w:left w:val="none" w:sz="0" w:space="0" w:color="auto"/>
        <w:bottom w:val="none" w:sz="0" w:space="0" w:color="auto"/>
        <w:right w:val="none" w:sz="0" w:space="0" w:color="auto"/>
      </w:divBdr>
    </w:div>
    <w:div w:id="825316757">
      <w:bodyDiv w:val="1"/>
      <w:marLeft w:val="0"/>
      <w:marRight w:val="0"/>
      <w:marTop w:val="0"/>
      <w:marBottom w:val="0"/>
      <w:divBdr>
        <w:top w:val="none" w:sz="0" w:space="0" w:color="auto"/>
        <w:left w:val="none" w:sz="0" w:space="0" w:color="auto"/>
        <w:bottom w:val="none" w:sz="0" w:space="0" w:color="auto"/>
        <w:right w:val="none" w:sz="0" w:space="0" w:color="auto"/>
      </w:divBdr>
    </w:div>
    <w:div w:id="951399794">
      <w:bodyDiv w:val="1"/>
      <w:marLeft w:val="0"/>
      <w:marRight w:val="0"/>
      <w:marTop w:val="0"/>
      <w:marBottom w:val="0"/>
      <w:divBdr>
        <w:top w:val="none" w:sz="0" w:space="0" w:color="auto"/>
        <w:left w:val="none" w:sz="0" w:space="0" w:color="auto"/>
        <w:bottom w:val="none" w:sz="0" w:space="0" w:color="auto"/>
        <w:right w:val="none" w:sz="0" w:space="0" w:color="auto"/>
      </w:divBdr>
    </w:div>
    <w:div w:id="1055855944">
      <w:bodyDiv w:val="1"/>
      <w:marLeft w:val="0"/>
      <w:marRight w:val="0"/>
      <w:marTop w:val="0"/>
      <w:marBottom w:val="0"/>
      <w:divBdr>
        <w:top w:val="none" w:sz="0" w:space="0" w:color="auto"/>
        <w:left w:val="none" w:sz="0" w:space="0" w:color="auto"/>
        <w:bottom w:val="none" w:sz="0" w:space="0" w:color="auto"/>
        <w:right w:val="none" w:sz="0" w:space="0" w:color="auto"/>
      </w:divBdr>
    </w:div>
    <w:div w:id="1150290594">
      <w:bodyDiv w:val="1"/>
      <w:marLeft w:val="0"/>
      <w:marRight w:val="0"/>
      <w:marTop w:val="0"/>
      <w:marBottom w:val="0"/>
      <w:divBdr>
        <w:top w:val="none" w:sz="0" w:space="0" w:color="auto"/>
        <w:left w:val="none" w:sz="0" w:space="0" w:color="auto"/>
        <w:bottom w:val="none" w:sz="0" w:space="0" w:color="auto"/>
        <w:right w:val="none" w:sz="0" w:space="0" w:color="auto"/>
      </w:divBdr>
    </w:div>
    <w:div w:id="1290353784">
      <w:bodyDiv w:val="1"/>
      <w:marLeft w:val="0"/>
      <w:marRight w:val="0"/>
      <w:marTop w:val="0"/>
      <w:marBottom w:val="0"/>
      <w:divBdr>
        <w:top w:val="none" w:sz="0" w:space="0" w:color="auto"/>
        <w:left w:val="none" w:sz="0" w:space="0" w:color="auto"/>
        <w:bottom w:val="none" w:sz="0" w:space="0" w:color="auto"/>
        <w:right w:val="none" w:sz="0" w:space="0" w:color="auto"/>
      </w:divBdr>
    </w:div>
    <w:div w:id="1777479243">
      <w:bodyDiv w:val="1"/>
      <w:marLeft w:val="0"/>
      <w:marRight w:val="0"/>
      <w:marTop w:val="0"/>
      <w:marBottom w:val="0"/>
      <w:divBdr>
        <w:top w:val="none" w:sz="0" w:space="0" w:color="auto"/>
        <w:left w:val="none" w:sz="0" w:space="0" w:color="auto"/>
        <w:bottom w:val="none" w:sz="0" w:space="0" w:color="auto"/>
        <w:right w:val="none" w:sz="0" w:space="0" w:color="auto"/>
      </w:divBdr>
      <w:divsChild>
        <w:div w:id="1927155409">
          <w:marLeft w:val="0"/>
          <w:marRight w:val="0"/>
          <w:marTop w:val="0"/>
          <w:marBottom w:val="0"/>
          <w:divBdr>
            <w:top w:val="none" w:sz="0" w:space="0" w:color="auto"/>
            <w:left w:val="none" w:sz="0" w:space="0" w:color="auto"/>
            <w:bottom w:val="none" w:sz="0" w:space="0" w:color="auto"/>
            <w:right w:val="none" w:sz="0" w:space="0" w:color="auto"/>
          </w:divBdr>
          <w:divsChild>
            <w:div w:id="1737168958">
              <w:marLeft w:val="0"/>
              <w:marRight w:val="0"/>
              <w:marTop w:val="0"/>
              <w:marBottom w:val="0"/>
              <w:divBdr>
                <w:top w:val="none" w:sz="0" w:space="0" w:color="auto"/>
                <w:left w:val="none" w:sz="0" w:space="0" w:color="auto"/>
                <w:bottom w:val="none" w:sz="0" w:space="0" w:color="auto"/>
                <w:right w:val="none" w:sz="0" w:space="0" w:color="auto"/>
              </w:divBdr>
            </w:div>
            <w:div w:id="179282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87122">
      <w:bodyDiv w:val="1"/>
      <w:marLeft w:val="0"/>
      <w:marRight w:val="0"/>
      <w:marTop w:val="0"/>
      <w:marBottom w:val="0"/>
      <w:divBdr>
        <w:top w:val="none" w:sz="0" w:space="0" w:color="auto"/>
        <w:left w:val="none" w:sz="0" w:space="0" w:color="auto"/>
        <w:bottom w:val="none" w:sz="0" w:space="0" w:color="auto"/>
        <w:right w:val="none" w:sz="0" w:space="0" w:color="auto"/>
      </w:divBdr>
      <w:divsChild>
        <w:div w:id="1953634270">
          <w:marLeft w:val="-225"/>
          <w:marRight w:val="-225"/>
          <w:marTop w:val="0"/>
          <w:marBottom w:val="0"/>
          <w:divBdr>
            <w:top w:val="none" w:sz="0" w:space="0" w:color="auto"/>
            <w:left w:val="none" w:sz="0" w:space="0" w:color="auto"/>
            <w:bottom w:val="none" w:sz="0" w:space="0" w:color="auto"/>
            <w:right w:val="none" w:sz="0" w:space="0" w:color="auto"/>
          </w:divBdr>
          <w:divsChild>
            <w:div w:id="1035352845">
              <w:marLeft w:val="0"/>
              <w:marRight w:val="0"/>
              <w:marTop w:val="0"/>
              <w:marBottom w:val="0"/>
              <w:divBdr>
                <w:top w:val="none" w:sz="0" w:space="0" w:color="auto"/>
                <w:left w:val="none" w:sz="0" w:space="0" w:color="auto"/>
                <w:bottom w:val="none" w:sz="0" w:space="0" w:color="auto"/>
                <w:right w:val="none" w:sz="0" w:space="0" w:color="auto"/>
              </w:divBdr>
              <w:divsChild>
                <w:div w:id="1933970147">
                  <w:marLeft w:val="0"/>
                  <w:marRight w:val="0"/>
                  <w:marTop w:val="0"/>
                  <w:marBottom w:val="0"/>
                  <w:divBdr>
                    <w:top w:val="none" w:sz="0" w:space="0" w:color="auto"/>
                    <w:left w:val="none" w:sz="0" w:space="0" w:color="auto"/>
                    <w:bottom w:val="none" w:sz="0" w:space="0" w:color="auto"/>
                    <w:right w:val="none" w:sz="0" w:space="0" w:color="auto"/>
                  </w:divBdr>
                  <w:divsChild>
                    <w:div w:id="1027410030">
                      <w:marLeft w:val="0"/>
                      <w:marRight w:val="0"/>
                      <w:marTop w:val="0"/>
                      <w:marBottom w:val="0"/>
                      <w:divBdr>
                        <w:top w:val="none" w:sz="0" w:space="0" w:color="auto"/>
                        <w:left w:val="none" w:sz="0" w:space="0" w:color="auto"/>
                        <w:bottom w:val="none" w:sz="0" w:space="0" w:color="auto"/>
                        <w:right w:val="none" w:sz="0" w:space="0" w:color="auto"/>
                      </w:divBdr>
                      <w:divsChild>
                        <w:div w:id="1076901256">
                          <w:marLeft w:val="0"/>
                          <w:marRight w:val="0"/>
                          <w:marTop w:val="0"/>
                          <w:marBottom w:val="525"/>
                          <w:divBdr>
                            <w:top w:val="none" w:sz="0" w:space="0" w:color="auto"/>
                            <w:left w:val="none" w:sz="0" w:space="0" w:color="auto"/>
                            <w:bottom w:val="none" w:sz="0" w:space="0" w:color="auto"/>
                            <w:right w:val="none" w:sz="0" w:space="0" w:color="auto"/>
                          </w:divBdr>
                          <w:divsChild>
                            <w:div w:id="163462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801002">
          <w:marLeft w:val="-225"/>
          <w:marRight w:val="-225"/>
          <w:marTop w:val="0"/>
          <w:marBottom w:val="0"/>
          <w:divBdr>
            <w:top w:val="none" w:sz="0" w:space="0" w:color="auto"/>
            <w:left w:val="none" w:sz="0" w:space="0" w:color="auto"/>
            <w:bottom w:val="none" w:sz="0" w:space="0" w:color="auto"/>
            <w:right w:val="none" w:sz="0" w:space="0" w:color="auto"/>
          </w:divBdr>
          <w:divsChild>
            <w:div w:id="115147332">
              <w:marLeft w:val="0"/>
              <w:marRight w:val="0"/>
              <w:marTop w:val="0"/>
              <w:marBottom w:val="0"/>
              <w:divBdr>
                <w:top w:val="none" w:sz="0" w:space="0" w:color="auto"/>
                <w:left w:val="none" w:sz="0" w:space="0" w:color="auto"/>
                <w:bottom w:val="none" w:sz="0" w:space="0" w:color="auto"/>
                <w:right w:val="none" w:sz="0" w:space="0" w:color="auto"/>
              </w:divBdr>
              <w:divsChild>
                <w:div w:id="1895849917">
                  <w:marLeft w:val="0"/>
                  <w:marRight w:val="0"/>
                  <w:marTop w:val="0"/>
                  <w:marBottom w:val="0"/>
                  <w:divBdr>
                    <w:top w:val="none" w:sz="0" w:space="0" w:color="auto"/>
                    <w:left w:val="none" w:sz="0" w:space="0" w:color="auto"/>
                    <w:bottom w:val="none" w:sz="0" w:space="0" w:color="auto"/>
                    <w:right w:val="none" w:sz="0" w:space="0" w:color="auto"/>
                  </w:divBdr>
                  <w:divsChild>
                    <w:div w:id="60019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946051">
      <w:bodyDiv w:val="1"/>
      <w:marLeft w:val="0"/>
      <w:marRight w:val="0"/>
      <w:marTop w:val="0"/>
      <w:marBottom w:val="0"/>
      <w:divBdr>
        <w:top w:val="none" w:sz="0" w:space="0" w:color="auto"/>
        <w:left w:val="none" w:sz="0" w:space="0" w:color="auto"/>
        <w:bottom w:val="none" w:sz="0" w:space="0" w:color="auto"/>
        <w:right w:val="none" w:sz="0" w:space="0" w:color="auto"/>
      </w:divBdr>
    </w:div>
    <w:div w:id="1832016982">
      <w:bodyDiv w:val="1"/>
      <w:marLeft w:val="0"/>
      <w:marRight w:val="0"/>
      <w:marTop w:val="0"/>
      <w:marBottom w:val="0"/>
      <w:divBdr>
        <w:top w:val="none" w:sz="0" w:space="0" w:color="auto"/>
        <w:left w:val="none" w:sz="0" w:space="0" w:color="auto"/>
        <w:bottom w:val="none" w:sz="0" w:space="0" w:color="auto"/>
        <w:right w:val="none" w:sz="0" w:space="0" w:color="auto"/>
      </w:divBdr>
    </w:div>
    <w:div w:id="1934581194">
      <w:bodyDiv w:val="1"/>
      <w:marLeft w:val="0"/>
      <w:marRight w:val="0"/>
      <w:marTop w:val="0"/>
      <w:marBottom w:val="0"/>
      <w:divBdr>
        <w:top w:val="none" w:sz="0" w:space="0" w:color="auto"/>
        <w:left w:val="none" w:sz="0" w:space="0" w:color="auto"/>
        <w:bottom w:val="none" w:sz="0" w:space="0" w:color="auto"/>
        <w:right w:val="none" w:sz="0" w:space="0" w:color="auto"/>
      </w:divBdr>
    </w:div>
    <w:div w:id="2120951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ho.int/reproductivehealth/topics/fgm/management-health-complications-fgm/en/" TargetMode="External"/><Relationship Id="rId21" Type="http://schemas.openxmlformats.org/officeDocument/2006/relationships/hyperlink" Target="https://diarioenfermero.es/matronas-crean-un-manual-de-educacion-sexual-para-desterrar-la-mutilacion-genital-femenina/" TargetMode="External"/><Relationship Id="rId42" Type="http://schemas.openxmlformats.org/officeDocument/2006/relationships/hyperlink" Target="http://www.endvawnow.org/es/articles/645-sources-of-international-human-rights-law-on-female-genital-mutilation.html" TargetMode="External"/><Relationship Id="rId47" Type="http://schemas.openxmlformats.org/officeDocument/2006/relationships/hyperlink" Target="http://www.europarl.europa.eu/sides/getDoc.do?pubRef=-//EP//TEXT+TA+P5-TA-2001-0476+0+DOC+XML+V0//ES" TargetMode="External"/><Relationship Id="rId63" Type="http://schemas.openxmlformats.org/officeDocument/2006/relationships/image" Target="media/image7.tmp"/><Relationship Id="rId68" Type="http://schemas.openxmlformats.org/officeDocument/2006/relationships/hyperlink" Target="https://elpais.com/planeta-futuro/2024-06-04/un-campo-de-batalla-llamado-clitoris-viaje-al-pais-que-amenaza-con-despenalizar-la-ablacion.html" TargetMode="External"/><Relationship Id="rId2" Type="http://schemas.openxmlformats.org/officeDocument/2006/relationships/numbering" Target="numbering.xml"/><Relationship Id="rId16" Type="http://schemas.openxmlformats.org/officeDocument/2006/relationships/hyperlink" Target="https://www.camara.gov.co/representantes/angela-maria-vergara-gonzalez" TargetMode="External"/><Relationship Id="rId29" Type="http://schemas.openxmlformats.org/officeDocument/2006/relationships/hyperlink" Target="https://www.unfpa.org/es/conferencia-internacional-sobre-la-poblaci%C3%B3n-y-el-desarrollo" TargetMode="External"/><Relationship Id="rId11" Type="http://schemas.openxmlformats.org/officeDocument/2006/relationships/hyperlink" Target="https://www.camara.gov.co/representantes/juan-carlos-wills-ospina" TargetMode="External"/><Relationship Id="rId24" Type="http://schemas.openxmlformats.org/officeDocument/2006/relationships/hyperlink" Target="https://www.unfpa.org/es" TargetMode="External"/><Relationship Id="rId32" Type="http://schemas.openxmlformats.org/officeDocument/2006/relationships/hyperlink" Target="http://www.refworld.org/cgi-bin/texis/vtx/rwmain/opendocpdf.pdf?reldoc=y&amp;docid=4bf4e1522" TargetMode="External"/><Relationship Id="rId37" Type="http://schemas.openxmlformats.org/officeDocument/2006/relationships/hyperlink" Target="http://www.refworld.org/cgi-bin/texis/vtx/rwmain/opendocpdf.pdf?reldoc=y&amp;docid=47bee7f62" TargetMode="External"/><Relationship Id="rId40" Type="http://schemas.openxmlformats.org/officeDocument/2006/relationships/hyperlink" Target="http://www.un.org/womenwatch/daw/beijing/pdf/BDPfA%20S.pdf" TargetMode="External"/><Relationship Id="rId45" Type="http://schemas.openxmlformats.org/officeDocument/2006/relationships/hyperlink" Target="http://www.unfpa.org.mx/publicaciones/Key_Actions_sp.pdf" TargetMode="External"/><Relationship Id="rId53" Type="http://schemas.openxmlformats.org/officeDocument/2006/relationships/hyperlink" Target="http://www.refworld.org/cgi-bin/texis/vtx/rwmain/opendocpdf.pdf?reldoc=y&amp;docid=478cab212" TargetMode="External"/><Relationship Id="rId58" Type="http://schemas.openxmlformats.org/officeDocument/2006/relationships/hyperlink" Target="http://ap.ohchr.org/documents/alldocs.aspx?doc_id=16140" TargetMode="External"/><Relationship Id="rId66" Type="http://schemas.openxmlformats.org/officeDocument/2006/relationships/image" Target="media/image10.tmp"/><Relationship Id="rId5" Type="http://schemas.openxmlformats.org/officeDocument/2006/relationships/webSettings" Target="webSettings.xml"/><Relationship Id="rId61" Type="http://schemas.openxmlformats.org/officeDocument/2006/relationships/hyperlink" Target="http://ap.ohchr.org/documents/dpage_e.aspx?si=A/HRC/RES/27/22" TargetMode="External"/><Relationship Id="rId19" Type="http://schemas.openxmlformats.org/officeDocument/2006/relationships/image" Target="media/image2.jpeg"/><Relationship Id="rId14" Type="http://schemas.openxmlformats.org/officeDocument/2006/relationships/hyperlink" Target="https://www.camara.gov.co/representantes/juliana-aray-franco" TargetMode="External"/><Relationship Id="rId22" Type="http://schemas.openxmlformats.org/officeDocument/2006/relationships/image" Target="media/image4.png"/><Relationship Id="rId27" Type="http://schemas.openxmlformats.org/officeDocument/2006/relationships/hyperlink" Target="https://www.unfpa.org/es/programa-conjunto-sobre-la-mutilaci%C3%B3nablaci%C3%B3n-genital-femenina" TargetMode="External"/><Relationship Id="rId30" Type="http://schemas.openxmlformats.org/officeDocument/2006/relationships/hyperlink" Target="http://www.un.org/es/universal-declaration-human-rights/index.html" TargetMode="External"/><Relationship Id="rId35" Type="http://schemas.openxmlformats.org/officeDocument/2006/relationships/hyperlink" Target="http://www.un.org/womenwatch/daw/cedaw/text/sconvention.htm" TargetMode="External"/><Relationship Id="rId43" Type="http://schemas.openxmlformats.org/officeDocument/2006/relationships/hyperlink" Target="http://research.un.org/es/docs/ga/quick/regular/54" TargetMode="External"/><Relationship Id="rId48" Type="http://schemas.openxmlformats.org/officeDocument/2006/relationships/hyperlink" Target="http://www.achpr.org/files/instruments/women-protocol/achpr_instr_proto_women_eng.pdf" TargetMode="External"/><Relationship Id="rId56" Type="http://schemas.openxmlformats.org/officeDocument/2006/relationships/hyperlink" Target="http://www.europarl.europa.eu/sides/getDoc.do?pubRef=-//EP//TEXT+TA+P7-TA-2012-0261+0+DOC+XML+V0//ES" TargetMode="External"/><Relationship Id="rId64" Type="http://schemas.openxmlformats.org/officeDocument/2006/relationships/image" Target="media/image8.tmp"/><Relationship Id="rId69" Type="http://schemas.openxmlformats.org/officeDocument/2006/relationships/hyperlink" Target="https://www.un.org/es/observances/female-genital-mutilation-day" TargetMode="External"/><Relationship Id="rId8" Type="http://schemas.openxmlformats.org/officeDocument/2006/relationships/hyperlink" Target="https://www.camara.gov.co/representantes/ana-paola-garcia-soto" TargetMode="External"/><Relationship Id="rId51" Type="http://schemas.openxmlformats.org/officeDocument/2006/relationships/hyperlink" Target="http://webmail.africa-union.org/All_Dec/Assembly%20AU%20Dec%20363-390%20(XVII)%20_E.pdf"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camara.gov.co/representantes/luis-miguel-lopez-aristizabal" TargetMode="External"/><Relationship Id="rId17" Type="http://schemas.openxmlformats.org/officeDocument/2006/relationships/image" Target="media/image1.png"/><Relationship Id="rId25" Type="http://schemas.openxmlformats.org/officeDocument/2006/relationships/hyperlink" Target="https://www.unfpa.org/sites/default/files/pub-pdf/who_rhr_10-9_en.pdf" TargetMode="External"/><Relationship Id="rId33" Type="http://schemas.openxmlformats.org/officeDocument/2006/relationships/hyperlink" Target="http://www.ohchr.org/SP/ProfessionalInterest/Pages/CCPR.aspx" TargetMode="External"/><Relationship Id="rId38" Type="http://schemas.openxmlformats.org/officeDocument/2006/relationships/hyperlink" Target="http://www.ohchr.org/SP/ProfessionalInterest/Pages/CRC.aspx" TargetMode="External"/><Relationship Id="rId46" Type="http://schemas.openxmlformats.org/officeDocument/2006/relationships/hyperlink" Target="http://daccess-dds-ny.un.org/doc/UNDOC/GEN/N00/652/08/PDF/N0065208.pdf?OpenElement" TargetMode="External"/><Relationship Id="rId59" Type="http://schemas.openxmlformats.org/officeDocument/2006/relationships/hyperlink" Target="http://www.un.org/es/ga/66/resolutions.shtml" TargetMode="External"/><Relationship Id="rId67" Type="http://schemas.openxmlformats.org/officeDocument/2006/relationships/hyperlink" Target="https://colombia.unfpa.org/sites/default/files/pub-pdf/css_burkina_faso_resumen_de_actividades_y_logros.pdf" TargetMode="External"/><Relationship Id="rId20" Type="http://schemas.openxmlformats.org/officeDocument/2006/relationships/image" Target="media/image3.png"/><Relationship Id="rId41" Type="http://schemas.openxmlformats.org/officeDocument/2006/relationships/hyperlink" Target="http://www.un.org/womenwatch/daw/csw/pdf/Addis_Ababa_Declaration.pdf" TargetMode="External"/><Relationship Id="rId54" Type="http://schemas.openxmlformats.org/officeDocument/2006/relationships/hyperlink" Target="http://apps.who.int/gb/ebwha/pdf_files/WHA61-REC1/A61_Rec1-part2-en.pdf" TargetMode="External"/><Relationship Id="rId62" Type="http://schemas.openxmlformats.org/officeDocument/2006/relationships/image" Target="media/image6.tmp"/><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amara.gov.co/representantes/delcy-esperanza-isaza-buenaventura" TargetMode="External"/><Relationship Id="rId23" Type="http://schemas.openxmlformats.org/officeDocument/2006/relationships/image" Target="media/image5.png"/><Relationship Id="rId28" Type="http://schemas.openxmlformats.org/officeDocument/2006/relationships/hyperlink" Target="https://www.unfpa.org/es/node/9038" TargetMode="External"/><Relationship Id="rId36" Type="http://schemas.openxmlformats.org/officeDocument/2006/relationships/hyperlink" Target="http://www.ohchr.org/SP/ProfessionalInterest/Pages/CAT.aspx" TargetMode="External"/><Relationship Id="rId49" Type="http://schemas.openxmlformats.org/officeDocument/2006/relationships/hyperlink" Target="http://www.un.org/womenwatch/daw/vaw/v-esc-csw.htm" TargetMode="External"/><Relationship Id="rId57" Type="http://schemas.openxmlformats.org/officeDocument/2006/relationships/hyperlink" Target="http://www.un.org/es/ga/62/resolutions.shtml" TargetMode="External"/><Relationship Id="rId10" Type="http://schemas.openxmlformats.org/officeDocument/2006/relationships/hyperlink" Target="https://www.camara.gov.co/representantes/juan-daniel-penuela-calvache" TargetMode="External"/><Relationship Id="rId31" Type="http://schemas.openxmlformats.org/officeDocument/2006/relationships/hyperlink" Target="http://www.acnur.org/t3/fileadmin/scripts/doc.php?file=t3/fileadmin/Documentos/BDL/2001/0005" TargetMode="External"/><Relationship Id="rId44" Type="http://schemas.openxmlformats.org/officeDocument/2006/relationships/hyperlink" Target="http://www.endvawnow.org/es/articles/645-sources-of-international-human-rights-law-on-female-genital-mutilation.html" TargetMode="External"/><Relationship Id="rId52" Type="http://schemas.openxmlformats.org/officeDocument/2006/relationships/hyperlink" Target="http://www.un.org/womenwatch/daw/csw/csw56/resolutions_advance_versions/FGM_CSW56_res_advance.pdf" TargetMode="External"/><Relationship Id="rId60" Type="http://schemas.openxmlformats.org/officeDocument/2006/relationships/hyperlink" Target="http://daccess-dds-ny.un.org/doc/UNDOC/LTD/N12/595/66/PDF/N1259566.pdf?OpenElement" TargetMode="External"/><Relationship Id="rId65" Type="http://schemas.openxmlformats.org/officeDocument/2006/relationships/image" Target="media/image9.tmp"/><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amara.gov.co/german-alcides-blanco-alvarez" TargetMode="External"/><Relationship Id="rId13" Type="http://schemas.openxmlformats.org/officeDocument/2006/relationships/hyperlink" Target="https://www.camara.gov.co/representantes/juan-manuel-cortes-duenas" TargetMode="External"/><Relationship Id="rId18" Type="http://schemas.openxmlformats.org/officeDocument/2006/relationships/hyperlink" Target="https://observatorioviolencia.org/la-brecha-de-los-derechos-humanos-la-mutilacion-genital-femenina/" TargetMode="External"/><Relationship Id="rId39" Type="http://schemas.openxmlformats.org/officeDocument/2006/relationships/hyperlink" Target="http://www.ohchr.org/Documents/Events/OHCHR20/VDPA_booklet_Spanish.pdf" TargetMode="External"/><Relationship Id="rId34" Type="http://schemas.openxmlformats.org/officeDocument/2006/relationships/hyperlink" Target="http://www.ohchr.org/SP/ProfessionalInterest/Pages/CESCR.aspx" TargetMode="External"/><Relationship Id="rId50" Type="http://schemas.openxmlformats.org/officeDocument/2006/relationships/hyperlink" Target="http://www.un.org/womenwatch/daw/vaw/v-esc-csw.htm" TargetMode="External"/><Relationship Id="rId55" Type="http://schemas.openxmlformats.org/officeDocument/2006/relationships/hyperlink" Target="http://apps.who.int/gb/ebwha/pdf_files/WHA64/A64_26-sp.pdf" TargetMode="External"/><Relationship Id="rId7" Type="http://schemas.openxmlformats.org/officeDocument/2006/relationships/endnotes" Target="endnotes.xml"/><Relationship Id="rId71"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unfpa.org/es/resources/preguntas-frecuentes-sobre-la-mutilacion-genital-femenina-mgf" TargetMode="External"/><Relationship Id="rId7" Type="http://schemas.openxmlformats.org/officeDocument/2006/relationships/hyperlink" Target="https://www.elespectador.com/colombia/mas-regiones/colombia-unico-pais-latinoamericano-donde-se-da-la-ablacion-genital-article-542422/" TargetMode="External"/><Relationship Id="rId2" Type="http://schemas.openxmlformats.org/officeDocument/2006/relationships/hyperlink" Target="https://www.unfpa.org/es/resources/preguntas-frecuentes-sobre-la-mutilacion-genital-femenina-mgf" TargetMode="External"/><Relationship Id="rId1" Type="http://schemas.openxmlformats.org/officeDocument/2006/relationships/hyperlink" Target="https://news.un.org/es/story/2023/02/1518372" TargetMode="External"/><Relationship Id="rId6" Type="http://schemas.openxmlformats.org/officeDocument/2006/relationships/hyperlink" Target="https://razonpublica.com/la-mutilacion-genital-femenina-debate-urgente-la-dignidad-humana/" TargetMode="External"/><Relationship Id="rId5" Type="http://schemas.openxmlformats.org/officeDocument/2006/relationships/hyperlink" Target="https://elpais.com/america-colombia/2024-06-11/una-nina-de-13-anos-y-otra-de-23-meses-victimas-de-mutilacion-genital-en-bogota.html" TargetMode="External"/><Relationship Id="rId4" Type="http://schemas.openxmlformats.org/officeDocument/2006/relationships/hyperlink" Target="https://www.corteconstitucional.gov.co/Relatoria/2023/SU091-2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679F0-5525-43AD-9E5F-03CCFEFBE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15821</Words>
  <Characters>87019</Characters>
  <Application>Microsoft Office Word</Application>
  <DocSecurity>0</DocSecurity>
  <Lines>725</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Beatriz</dc:creator>
  <cp:lastModifiedBy>Gloria Elizabeth Rodriguez Robayo</cp:lastModifiedBy>
  <cp:revision>2</cp:revision>
  <cp:lastPrinted>2024-08-28T14:54:00Z</cp:lastPrinted>
  <dcterms:created xsi:type="dcterms:W3CDTF">2024-08-28T14:58:00Z</dcterms:created>
  <dcterms:modified xsi:type="dcterms:W3CDTF">2024-08-28T14:58:00Z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c5aaad32ef486a93b95e42bf2ecf5c9dbf5c1786818f965720cfa1f8c75147ef</vt:lpwstr>
  </property>
</Properties>
</file>