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5F05" w14:textId="77777777" w:rsidR="00F23869" w:rsidRDefault="00F23869">
      <w:pPr>
        <w:widowControl w:val="0"/>
        <w:pBdr>
          <w:top w:val="nil"/>
          <w:left w:val="nil"/>
          <w:bottom w:val="nil"/>
          <w:right w:val="nil"/>
          <w:between w:val="nil"/>
        </w:pBdr>
        <w:spacing w:line="276" w:lineRule="auto"/>
        <w:ind w:left="0"/>
        <w:jc w:val="left"/>
      </w:pPr>
    </w:p>
    <w:p w14:paraId="765DEDD2" w14:textId="77777777" w:rsidR="00F23869" w:rsidRDefault="00F23869">
      <w:pPr>
        <w:spacing w:line="276" w:lineRule="auto"/>
        <w:ind w:firstLine="1418"/>
        <w:jc w:val="right"/>
        <w:rPr>
          <w:rFonts w:ascii="Bookman Old Style" w:eastAsia="Bookman Old Style" w:hAnsi="Bookman Old Style" w:cs="Bookman Old Style"/>
          <w:b/>
          <w:sz w:val="24"/>
          <w:szCs w:val="24"/>
        </w:rPr>
      </w:pPr>
    </w:p>
    <w:p w14:paraId="0C799B89" w14:textId="77777777" w:rsidR="00F23869" w:rsidRDefault="0057613A">
      <w:pPr>
        <w:spacing w:line="276" w:lineRule="auto"/>
        <w:ind w:firstLine="1418"/>
        <w:jc w:val="right"/>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Bogotá D.C., septiembre de 2025</w:t>
      </w:r>
    </w:p>
    <w:p w14:paraId="30508F31" w14:textId="77777777" w:rsidR="00F23869" w:rsidRDefault="0057613A">
      <w:pPr>
        <w:spacing w:line="276" w:lineRule="auto"/>
        <w:ind w:left="0"/>
        <w:jc w:val="lef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Doctor</w:t>
      </w:r>
      <w:r>
        <w:rPr>
          <w:rFonts w:ascii="Bookman Old Style" w:eastAsia="Bookman Old Style" w:hAnsi="Bookman Old Style" w:cs="Bookman Old Style"/>
          <w:sz w:val="24"/>
          <w:szCs w:val="24"/>
        </w:rPr>
        <w:br/>
        <w:t>JAIME LUIS LACOUTURE PEÑALOZA</w:t>
      </w:r>
      <w:r>
        <w:rPr>
          <w:rFonts w:ascii="Bookman Old Style" w:eastAsia="Bookman Old Style" w:hAnsi="Bookman Old Style" w:cs="Bookman Old Style"/>
          <w:sz w:val="24"/>
          <w:szCs w:val="24"/>
        </w:rPr>
        <w:br/>
      </w:r>
      <w:r>
        <w:rPr>
          <w:rFonts w:ascii="Bookman Old Style" w:eastAsia="Bookman Old Style" w:hAnsi="Bookman Old Style" w:cs="Bookman Old Style"/>
          <w:b/>
          <w:sz w:val="24"/>
          <w:szCs w:val="24"/>
        </w:rPr>
        <w:t>SECRETARIO GENERAL</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br/>
        <w:t>Honorable Cámara de Representantes</w:t>
      </w:r>
      <w:r>
        <w:rPr>
          <w:rFonts w:ascii="Bookman Old Style" w:eastAsia="Bookman Old Style" w:hAnsi="Bookman Old Style" w:cs="Bookman Old Style"/>
          <w:sz w:val="24"/>
          <w:szCs w:val="24"/>
        </w:rPr>
        <w:br/>
        <w:t>Ciudad,</w:t>
      </w:r>
    </w:p>
    <w:p w14:paraId="1D921C07" w14:textId="77777777" w:rsidR="00F23869" w:rsidRDefault="00F23869">
      <w:pPr>
        <w:spacing w:line="276" w:lineRule="auto"/>
        <w:ind w:left="0"/>
        <w:jc w:val="left"/>
        <w:rPr>
          <w:rFonts w:ascii="Bookman Old Style" w:eastAsia="Bookman Old Style" w:hAnsi="Bookman Old Style" w:cs="Bookman Old Style"/>
          <w:sz w:val="24"/>
          <w:szCs w:val="24"/>
        </w:rPr>
      </w:pPr>
    </w:p>
    <w:p w14:paraId="0949E820" w14:textId="4FB06D74" w:rsidR="00F23869" w:rsidRDefault="0057613A">
      <w:pPr>
        <w:spacing w:line="276" w:lineRule="auto"/>
        <w:ind w:left="708"/>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REF: RADICACIÓN PROYECTO DE LEY </w:t>
      </w:r>
      <w:proofErr w:type="spellStart"/>
      <w:r>
        <w:rPr>
          <w:rFonts w:ascii="Bookman Old Style" w:eastAsia="Bookman Old Style" w:hAnsi="Bookman Old Style" w:cs="Bookman Old Style"/>
          <w:b/>
          <w:sz w:val="24"/>
          <w:szCs w:val="24"/>
        </w:rPr>
        <w:t>N°</w:t>
      </w:r>
      <w:proofErr w:type="spellEnd"/>
      <w:r>
        <w:rPr>
          <w:rFonts w:ascii="Bookman Old Style" w:eastAsia="Bookman Old Style" w:hAnsi="Bookman Old Style" w:cs="Bookman Old Style"/>
          <w:b/>
          <w:sz w:val="24"/>
          <w:szCs w:val="24"/>
        </w:rPr>
        <w:t xml:space="preserve">__ DE 2025 CÁMARA </w:t>
      </w:r>
      <w:r w:rsidR="00926071">
        <w:rPr>
          <w:rFonts w:ascii="Bookman Old Style" w:eastAsia="Bookman Old Style" w:hAnsi="Bookman Old Style" w:cs="Bookman Old Style"/>
          <w:b/>
          <w:sz w:val="24"/>
          <w:szCs w:val="24"/>
        </w:rPr>
        <w:t>“POR MEDIO DE LA CUAL SE ESTABLECEN LOS LINEAMIENTOS PARA LA POLÍTICA PÚBLICA EN PREVENCIÓN, DIAGNÓSTICO TEMPRANO Y TRATAMIENTO INTEGRAL DE LA MENOPAUSIA, SE PROMUEVE LA SENSIBILIZACIÓN ANTE ESTA ETAPA DE LA VIDA, Y SE DICTAN OTRAS DISPOSICIONES”</w:t>
      </w:r>
    </w:p>
    <w:p w14:paraId="735AD436" w14:textId="77777777" w:rsidR="00F23869" w:rsidRDefault="00F23869">
      <w:pPr>
        <w:spacing w:line="276" w:lineRule="auto"/>
        <w:ind w:left="0"/>
        <w:rPr>
          <w:rFonts w:ascii="Bookman Old Style" w:eastAsia="Bookman Old Style" w:hAnsi="Bookman Old Style" w:cs="Bookman Old Style"/>
          <w:sz w:val="24"/>
          <w:szCs w:val="24"/>
        </w:rPr>
      </w:pPr>
    </w:p>
    <w:p w14:paraId="7E8C0B7B" w14:textId="77777777" w:rsidR="00F23869" w:rsidRDefault="0057613A">
      <w:pPr>
        <w:spacing w:line="276" w:lineRule="auto"/>
        <w:ind w:left="0"/>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En mi condición de miembro del Congreso de la República y en uso del derecho consagrado en el artículo 150 de la Constitución Política de Colombia, por su digno y regular conducto me permito poner a consideración</w:t>
      </w:r>
      <w:r>
        <w:rPr>
          <w:rFonts w:ascii="Bookman Old Style" w:eastAsia="Bookman Old Style" w:hAnsi="Bookman Old Style" w:cs="Bookman Old Style"/>
          <w:sz w:val="24"/>
          <w:szCs w:val="24"/>
        </w:rPr>
        <w:t xml:space="preserve"> de la Honorable Cámara de Representantes el siguiente proyecto de Ley </w:t>
      </w:r>
      <w:r>
        <w:rPr>
          <w:rFonts w:ascii="Bookman Old Style" w:eastAsia="Bookman Old Style" w:hAnsi="Bookman Old Style" w:cs="Bookman Old Style"/>
          <w:b/>
          <w:sz w:val="24"/>
          <w:szCs w:val="24"/>
        </w:rPr>
        <w:t>“POR MEDIO DE LA CUAL SE ESTABLECEN LOS LINEAMIENTOS PARA LA POLÍTICA PÚBLICA EN PREVENCIÓN, DIAGNÓSTICO TEMPRANO Y TRATAMIENTO INTEGRAL DE LA MENOPAUSIA, SE PROMUEVE LA SENSIBILIZACIÓN</w:t>
      </w:r>
      <w:r>
        <w:rPr>
          <w:rFonts w:ascii="Bookman Old Style" w:eastAsia="Bookman Old Style" w:hAnsi="Bookman Old Style" w:cs="Bookman Old Style"/>
          <w:b/>
          <w:sz w:val="24"/>
          <w:szCs w:val="24"/>
        </w:rPr>
        <w:t xml:space="preserve"> ANTE ESTA ETAPA DE LA VIDA, Y SE DICTAN OTRAS DISPOSICIONES”</w:t>
      </w:r>
      <w:r>
        <w:rPr>
          <w:rFonts w:ascii="Bookman Old Style" w:eastAsia="Bookman Old Style" w:hAnsi="Bookman Old Style" w:cs="Bookman Old Style"/>
          <w:sz w:val="24"/>
          <w:szCs w:val="24"/>
        </w:rPr>
        <w:t>, para lo cual, me permito adjuntar copia física y digital del proyecto de ley en cuestión.</w:t>
      </w:r>
    </w:p>
    <w:p w14:paraId="5DA1753A" w14:textId="77777777" w:rsidR="00F23869" w:rsidRDefault="00F23869">
      <w:pPr>
        <w:spacing w:line="276" w:lineRule="auto"/>
        <w:ind w:left="0"/>
        <w:rPr>
          <w:rFonts w:ascii="Bookman Old Style" w:eastAsia="Bookman Old Style" w:hAnsi="Bookman Old Style" w:cs="Bookman Old Style"/>
          <w:sz w:val="24"/>
          <w:szCs w:val="24"/>
        </w:rPr>
      </w:pPr>
    </w:p>
    <w:p w14:paraId="161B228A"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Cordialmente, </w:t>
      </w:r>
    </w:p>
    <w:p w14:paraId="2A08D443" w14:textId="77777777" w:rsidR="00F23869" w:rsidRDefault="00F23869">
      <w:pPr>
        <w:spacing w:line="276" w:lineRule="auto"/>
        <w:ind w:left="0"/>
        <w:rPr>
          <w:rFonts w:ascii="Bookman Old Style" w:eastAsia="Bookman Old Style" w:hAnsi="Bookman Old Style" w:cs="Bookman Old Style"/>
          <w:sz w:val="24"/>
          <w:szCs w:val="24"/>
        </w:rPr>
      </w:pPr>
    </w:p>
    <w:p w14:paraId="2FC3D6CC" w14:textId="77777777" w:rsidR="00F23869" w:rsidRDefault="00F23869">
      <w:pPr>
        <w:spacing w:line="276" w:lineRule="auto"/>
        <w:ind w:left="0"/>
        <w:rPr>
          <w:rFonts w:ascii="Bookman Old Style" w:eastAsia="Bookman Old Style" w:hAnsi="Bookman Old Style" w:cs="Bookman Old Style"/>
          <w:sz w:val="24"/>
          <w:szCs w:val="24"/>
        </w:rPr>
      </w:pPr>
    </w:p>
    <w:p w14:paraId="07141C64" w14:textId="77777777" w:rsidR="00F23869" w:rsidRDefault="00F23869">
      <w:pPr>
        <w:spacing w:line="276" w:lineRule="auto"/>
        <w:ind w:left="0"/>
        <w:rPr>
          <w:rFonts w:ascii="Bookman Old Style" w:eastAsia="Bookman Old Style" w:hAnsi="Bookman Old Style" w:cs="Bookman Old Style"/>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23869" w14:paraId="72BDD1D3" w14:textId="77777777">
        <w:tc>
          <w:tcPr>
            <w:tcW w:w="4414" w:type="dxa"/>
          </w:tcPr>
          <w:p w14:paraId="2991D85C" w14:textId="77777777" w:rsidR="00F23869" w:rsidRDefault="0057613A">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noProof/>
              </w:rPr>
              <w:drawing>
                <wp:anchor distT="0" distB="0" distL="0" distR="0" simplePos="0" relativeHeight="251658240" behindDoc="1" locked="0" layoutInCell="1" hidden="0" allowOverlap="1" wp14:anchorId="64A01391" wp14:editId="6C1B84E1">
                  <wp:simplePos x="0" y="0"/>
                  <wp:positionH relativeFrom="column">
                    <wp:posOffset>487412</wp:posOffset>
                  </wp:positionH>
                  <wp:positionV relativeFrom="paragraph">
                    <wp:posOffset>0</wp:posOffset>
                  </wp:positionV>
                  <wp:extent cx="1543050" cy="1525003"/>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43050" cy="1525003"/>
                          </a:xfrm>
                          <a:prstGeom prst="rect">
                            <a:avLst/>
                          </a:prstGeom>
                          <a:ln/>
                        </pic:spPr>
                      </pic:pic>
                    </a:graphicData>
                  </a:graphic>
                </wp:anchor>
              </w:drawing>
            </w:r>
          </w:p>
          <w:p w14:paraId="5B260575" w14:textId="77777777" w:rsidR="00F23869" w:rsidRDefault="00F23869">
            <w:pPr>
              <w:spacing w:line="276" w:lineRule="auto"/>
              <w:ind w:firstLine="1418"/>
              <w:rPr>
                <w:rFonts w:ascii="Bookman Old Style" w:eastAsia="Bookman Old Style" w:hAnsi="Bookman Old Style" w:cs="Bookman Old Style"/>
                <w:sz w:val="22"/>
                <w:szCs w:val="22"/>
              </w:rPr>
            </w:pPr>
          </w:p>
          <w:p w14:paraId="5CAC30A5" w14:textId="77777777" w:rsidR="00F23869" w:rsidRDefault="00F23869">
            <w:pPr>
              <w:spacing w:line="276" w:lineRule="auto"/>
              <w:ind w:firstLine="1418"/>
              <w:rPr>
                <w:rFonts w:ascii="Bookman Old Style" w:eastAsia="Bookman Old Style" w:hAnsi="Bookman Old Style" w:cs="Bookman Old Style"/>
                <w:sz w:val="22"/>
                <w:szCs w:val="22"/>
              </w:rPr>
            </w:pPr>
          </w:p>
          <w:p w14:paraId="54D30D4C" w14:textId="77777777" w:rsidR="00F23869" w:rsidRDefault="00F23869">
            <w:pPr>
              <w:spacing w:line="276" w:lineRule="auto"/>
              <w:ind w:firstLine="1418"/>
              <w:jc w:val="center"/>
              <w:rPr>
                <w:rFonts w:ascii="Bookman Old Style" w:eastAsia="Bookman Old Style" w:hAnsi="Bookman Old Style" w:cs="Bookman Old Style"/>
                <w:b/>
                <w:sz w:val="22"/>
                <w:szCs w:val="22"/>
              </w:rPr>
            </w:pPr>
          </w:p>
          <w:p w14:paraId="3FB1F0E7" w14:textId="77777777" w:rsidR="00F23869" w:rsidRDefault="00F23869">
            <w:pPr>
              <w:spacing w:line="276" w:lineRule="auto"/>
              <w:ind w:firstLine="1418"/>
              <w:jc w:val="center"/>
              <w:rPr>
                <w:rFonts w:ascii="Bookman Old Style" w:eastAsia="Bookman Old Style" w:hAnsi="Bookman Old Style" w:cs="Bookman Old Style"/>
                <w:b/>
                <w:sz w:val="22"/>
                <w:szCs w:val="22"/>
              </w:rPr>
            </w:pPr>
          </w:p>
          <w:p w14:paraId="2873B505" w14:textId="77777777" w:rsidR="00F23869" w:rsidRDefault="00F23869">
            <w:pPr>
              <w:jc w:val="center"/>
              <w:rPr>
                <w:rFonts w:ascii="Bookman Old Style" w:eastAsia="Bookman Old Style" w:hAnsi="Bookman Old Style" w:cs="Bookman Old Style"/>
                <w:b/>
                <w:sz w:val="22"/>
                <w:szCs w:val="22"/>
              </w:rPr>
            </w:pPr>
          </w:p>
          <w:p w14:paraId="79F45841" w14:textId="77777777" w:rsidR="00F23869" w:rsidRDefault="0057613A">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MARELEN CASTILLO TORRES</w:t>
            </w:r>
          </w:p>
          <w:p w14:paraId="2DEAB4D8" w14:textId="77777777" w:rsidR="00F23869" w:rsidRDefault="0057613A">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Representante a la Cámara</w:t>
            </w:r>
          </w:p>
        </w:tc>
        <w:tc>
          <w:tcPr>
            <w:tcW w:w="4414" w:type="dxa"/>
          </w:tcPr>
          <w:p w14:paraId="2028866E" w14:textId="77777777" w:rsidR="00F23869" w:rsidRDefault="0057613A">
            <w:pPr>
              <w:spacing w:before="220" w:after="240"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rPr>
              <w:drawing>
                <wp:inline distT="114300" distB="114300" distL="114300" distR="114300" wp14:anchorId="76C59875" wp14:editId="1576AFED">
                  <wp:extent cx="1219200" cy="84772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219200" cy="847725"/>
                          </a:xfrm>
                          <a:prstGeom prst="rect">
                            <a:avLst/>
                          </a:prstGeom>
                          <a:ln/>
                        </pic:spPr>
                      </pic:pic>
                    </a:graphicData>
                  </a:graphic>
                </wp:inline>
              </w:drawing>
            </w:r>
            <w:r>
              <w:rPr>
                <w:rFonts w:ascii="Bookman Old Style" w:eastAsia="Bookman Old Style" w:hAnsi="Bookman Old Style" w:cs="Bookman Old Style"/>
                <w:sz w:val="22"/>
                <w:szCs w:val="22"/>
              </w:rPr>
              <w:t xml:space="preserve"> </w:t>
            </w:r>
          </w:p>
          <w:p w14:paraId="4DB9FA22" w14:textId="77777777" w:rsidR="00F23869" w:rsidRDefault="0057613A">
            <w:pPr>
              <w:spacing w:before="220" w:after="240"/>
              <w:jc w:val="center"/>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NORMA HURTADO SÁNCHEZ</w:t>
            </w:r>
            <w:r>
              <w:rPr>
                <w:rFonts w:ascii="Bookman Old Style" w:eastAsia="Bookman Old Style" w:hAnsi="Bookman Old Style" w:cs="Bookman Old Style"/>
                <w:b/>
                <w:sz w:val="22"/>
                <w:szCs w:val="22"/>
              </w:rPr>
              <w:br/>
            </w:r>
            <w:r>
              <w:rPr>
                <w:rFonts w:ascii="Bookman Old Style" w:eastAsia="Bookman Old Style" w:hAnsi="Bookman Old Style" w:cs="Bookman Old Style"/>
                <w:sz w:val="22"/>
                <w:szCs w:val="22"/>
              </w:rPr>
              <w:t>Senadora de la República</w:t>
            </w:r>
          </w:p>
        </w:tc>
      </w:tr>
      <w:tr w:rsidR="00F23869" w14:paraId="16B20133" w14:textId="77777777">
        <w:tc>
          <w:tcPr>
            <w:tcW w:w="4414" w:type="dxa"/>
          </w:tcPr>
          <w:p w14:paraId="772785EF" w14:textId="77777777" w:rsidR="00F23869" w:rsidRDefault="00F23869">
            <w:pPr>
              <w:spacing w:line="276" w:lineRule="auto"/>
              <w:ind w:firstLine="1418"/>
              <w:rPr>
                <w:rFonts w:ascii="Bookman Old Style" w:eastAsia="Bookman Old Style" w:hAnsi="Bookman Old Style" w:cs="Bookman Old Style"/>
                <w:sz w:val="22"/>
                <w:szCs w:val="22"/>
              </w:rPr>
            </w:pPr>
          </w:p>
          <w:p w14:paraId="424A0C73" w14:textId="77777777" w:rsidR="00F23869" w:rsidRDefault="0057613A">
            <w:pPr>
              <w:spacing w:line="276" w:lineRule="auto"/>
              <w:rPr>
                <w:rFonts w:ascii="Bookman Old Style" w:eastAsia="Bookman Old Style" w:hAnsi="Bookman Old Style" w:cs="Bookman Old Style"/>
              </w:rPr>
            </w:pPr>
            <w:r>
              <w:rPr>
                <w:noProof/>
              </w:rPr>
              <w:lastRenderedPageBreak/>
              <w:drawing>
                <wp:anchor distT="0" distB="0" distL="0" distR="0" simplePos="0" relativeHeight="251659264" behindDoc="1" locked="0" layoutInCell="1" hidden="0" allowOverlap="1" wp14:anchorId="0547CE79" wp14:editId="2EC8B45A">
                  <wp:simplePos x="0" y="0"/>
                  <wp:positionH relativeFrom="column">
                    <wp:posOffset>304800</wp:posOffset>
                  </wp:positionH>
                  <wp:positionV relativeFrom="paragraph">
                    <wp:posOffset>150950</wp:posOffset>
                  </wp:positionV>
                  <wp:extent cx="2335530" cy="907415"/>
                  <wp:effectExtent l="0" t="0" r="0" b="0"/>
                  <wp:wrapNone/>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335530" cy="907415"/>
                          </a:xfrm>
                          <a:prstGeom prst="rect">
                            <a:avLst/>
                          </a:prstGeom>
                          <a:ln/>
                        </pic:spPr>
                      </pic:pic>
                    </a:graphicData>
                  </a:graphic>
                </wp:anchor>
              </w:drawing>
            </w:r>
          </w:p>
          <w:p w14:paraId="2DCC5D89" w14:textId="77777777" w:rsidR="00F23869" w:rsidRDefault="00F23869">
            <w:pPr>
              <w:spacing w:line="276" w:lineRule="auto"/>
              <w:ind w:firstLine="1418"/>
              <w:rPr>
                <w:rFonts w:ascii="Bookman Old Style" w:eastAsia="Bookman Old Style" w:hAnsi="Bookman Old Style" w:cs="Bookman Old Style"/>
              </w:rPr>
            </w:pPr>
          </w:p>
          <w:p w14:paraId="142D2EBC" w14:textId="77777777" w:rsidR="00F23869" w:rsidRDefault="00F23869">
            <w:pPr>
              <w:spacing w:line="276" w:lineRule="auto"/>
              <w:ind w:firstLine="1418"/>
              <w:rPr>
                <w:rFonts w:ascii="Bookman Old Style" w:eastAsia="Bookman Old Style" w:hAnsi="Bookman Old Style" w:cs="Bookman Old Style"/>
              </w:rPr>
            </w:pPr>
          </w:p>
          <w:p w14:paraId="24668D3C" w14:textId="77777777" w:rsidR="00F23869" w:rsidRDefault="00F23869">
            <w:pPr>
              <w:spacing w:line="276" w:lineRule="auto"/>
              <w:ind w:firstLine="1418"/>
              <w:rPr>
                <w:rFonts w:ascii="Bookman Old Style" w:eastAsia="Bookman Old Style" w:hAnsi="Bookman Old Style" w:cs="Bookman Old Style"/>
              </w:rPr>
            </w:pPr>
          </w:p>
          <w:p w14:paraId="0D44ED59" w14:textId="77777777" w:rsidR="00F23869" w:rsidRDefault="00F23869">
            <w:pPr>
              <w:spacing w:line="276" w:lineRule="auto"/>
              <w:rPr>
                <w:rFonts w:ascii="Bookman Old Style" w:eastAsia="Bookman Old Style" w:hAnsi="Bookman Old Style" w:cs="Bookman Old Style"/>
                <w:sz w:val="22"/>
                <w:szCs w:val="22"/>
              </w:rPr>
            </w:pPr>
          </w:p>
          <w:p w14:paraId="28522BCD" w14:textId="77777777" w:rsidR="00F23869" w:rsidRDefault="0057613A">
            <w:pPr>
              <w:spacing w:line="276" w:lineRule="auto"/>
              <w:jc w:val="center"/>
              <w:rPr>
                <w:rFonts w:ascii="Bookman Old Style" w:eastAsia="Bookman Old Style" w:hAnsi="Bookman Old Style" w:cs="Bookman Old Style"/>
                <w:b/>
                <w:sz w:val="20"/>
                <w:szCs w:val="20"/>
                <w:highlight w:val="white"/>
              </w:rPr>
            </w:pPr>
            <w:r>
              <w:rPr>
                <w:rFonts w:ascii="Bookman Old Style" w:eastAsia="Bookman Old Style" w:hAnsi="Bookman Old Style" w:cs="Bookman Old Style"/>
                <w:b/>
                <w:sz w:val="20"/>
                <w:szCs w:val="20"/>
                <w:highlight w:val="white"/>
              </w:rPr>
              <w:t>LEIDER ALEXANDRA VÁSQUEZ OCHOA</w:t>
            </w:r>
          </w:p>
          <w:p w14:paraId="73672159"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Cundinamarca</w:t>
            </w:r>
          </w:p>
        </w:tc>
        <w:tc>
          <w:tcPr>
            <w:tcW w:w="4414" w:type="dxa"/>
          </w:tcPr>
          <w:p w14:paraId="56775748" w14:textId="77777777" w:rsidR="00F23869" w:rsidRDefault="00F23869">
            <w:pPr>
              <w:spacing w:line="276" w:lineRule="auto"/>
              <w:ind w:firstLine="1418"/>
              <w:rPr>
                <w:rFonts w:ascii="Bookman Old Style" w:eastAsia="Bookman Old Style" w:hAnsi="Bookman Old Style" w:cs="Bookman Old Style"/>
                <w:sz w:val="22"/>
                <w:szCs w:val="22"/>
              </w:rPr>
            </w:pPr>
          </w:p>
          <w:p w14:paraId="3B5C3A0D" w14:textId="77777777" w:rsidR="00F23869" w:rsidRDefault="0057613A">
            <w:pPr>
              <w:spacing w:line="276" w:lineRule="auto"/>
              <w:ind w:firstLine="1418"/>
              <w:rPr>
                <w:rFonts w:ascii="Bookman Old Style" w:eastAsia="Bookman Old Style" w:hAnsi="Bookman Old Style" w:cs="Bookman Old Style"/>
                <w:b/>
                <w:sz w:val="22"/>
                <w:szCs w:val="22"/>
              </w:rPr>
            </w:pPr>
            <w:r>
              <w:rPr>
                <w:rFonts w:ascii="Bookman Old Style" w:eastAsia="Bookman Old Style" w:hAnsi="Bookman Old Style" w:cs="Bookman Old Style"/>
                <w:noProof/>
              </w:rPr>
              <w:lastRenderedPageBreak/>
              <w:drawing>
                <wp:inline distT="114300" distB="114300" distL="114300" distR="114300" wp14:anchorId="64BBA39B" wp14:editId="0D805305">
                  <wp:extent cx="1289801" cy="800566"/>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289801" cy="800566"/>
                          </a:xfrm>
                          <a:prstGeom prst="rect">
                            <a:avLst/>
                          </a:prstGeom>
                          <a:ln/>
                        </pic:spPr>
                      </pic:pic>
                    </a:graphicData>
                  </a:graphic>
                </wp:inline>
              </w:drawing>
            </w:r>
          </w:p>
          <w:p w14:paraId="5C2BD6D8" w14:textId="77777777" w:rsidR="00F23869" w:rsidRDefault="0057613A">
            <w:pPr>
              <w:spacing w:line="276"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ANA MARÍA CASTAÑEDA</w:t>
            </w:r>
          </w:p>
          <w:p w14:paraId="18DDF94F" w14:textId="77777777" w:rsidR="00F23869" w:rsidRDefault="0057613A">
            <w:pPr>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Senadora de la República</w:t>
            </w:r>
          </w:p>
        </w:tc>
      </w:tr>
      <w:tr w:rsidR="00F23869" w14:paraId="1E25D4F5" w14:textId="77777777">
        <w:tc>
          <w:tcPr>
            <w:tcW w:w="4414" w:type="dxa"/>
          </w:tcPr>
          <w:p w14:paraId="45E4CF87" w14:textId="77777777" w:rsidR="00F23869" w:rsidRDefault="0057613A">
            <w:pPr>
              <w:shd w:val="clear" w:color="auto" w:fill="FFFFFF"/>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noProof/>
              </w:rPr>
              <w:lastRenderedPageBreak/>
              <w:drawing>
                <wp:inline distT="114300" distB="114300" distL="114300" distR="114300" wp14:anchorId="0EFD94E7" wp14:editId="31460A3B">
                  <wp:extent cx="2667953" cy="1305391"/>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667953" cy="1305391"/>
                          </a:xfrm>
                          <a:prstGeom prst="rect">
                            <a:avLst/>
                          </a:prstGeom>
                          <a:ln/>
                        </pic:spPr>
                      </pic:pic>
                    </a:graphicData>
                  </a:graphic>
                </wp:inline>
              </w:drawing>
            </w:r>
          </w:p>
        </w:tc>
        <w:tc>
          <w:tcPr>
            <w:tcW w:w="4414" w:type="dxa"/>
          </w:tcPr>
          <w:p w14:paraId="75FA4B40" w14:textId="77777777" w:rsidR="00F23869" w:rsidRDefault="0057613A">
            <w:pPr>
              <w:spacing w:line="276" w:lineRule="auto"/>
              <w:rPr>
                <w:rFonts w:ascii="Bookman Old Style" w:eastAsia="Bookman Old Style" w:hAnsi="Bookman Old Style" w:cs="Bookman Old Style"/>
              </w:rPr>
            </w:pPr>
            <w:r>
              <w:rPr>
                <w:rFonts w:ascii="Bookman Old Style" w:eastAsia="Bookman Old Style" w:hAnsi="Bookman Old Style" w:cs="Bookman Old Style"/>
                <w:noProof/>
              </w:rPr>
              <w:drawing>
                <wp:inline distT="114300" distB="114300" distL="114300" distR="114300" wp14:anchorId="670348A1" wp14:editId="04064878">
                  <wp:extent cx="2667000" cy="1155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667000" cy="1155700"/>
                          </a:xfrm>
                          <a:prstGeom prst="rect">
                            <a:avLst/>
                          </a:prstGeom>
                          <a:ln/>
                        </pic:spPr>
                      </pic:pic>
                    </a:graphicData>
                  </a:graphic>
                </wp:inline>
              </w:drawing>
            </w:r>
          </w:p>
        </w:tc>
      </w:tr>
      <w:tr w:rsidR="00F23869" w14:paraId="4EEA3C58" w14:textId="77777777">
        <w:tc>
          <w:tcPr>
            <w:tcW w:w="4414" w:type="dxa"/>
          </w:tcPr>
          <w:p w14:paraId="2C67747A" w14:textId="77777777" w:rsidR="00F23869" w:rsidRDefault="0057613A">
            <w:pPr>
              <w:shd w:val="clear" w:color="auto" w:fill="FFFFFF"/>
              <w:spacing w:line="276" w:lineRule="auto"/>
              <w:rPr>
                <w:rFonts w:ascii="Bookman Old Style" w:eastAsia="Bookman Old Style" w:hAnsi="Bookman Old Style" w:cs="Bookman Old Style"/>
                <w:sz w:val="22"/>
                <w:szCs w:val="22"/>
              </w:rPr>
            </w:pPr>
            <w:r>
              <w:rPr>
                <w:noProof/>
              </w:rPr>
              <w:drawing>
                <wp:anchor distT="114300" distB="114300" distL="114300" distR="114300" simplePos="0" relativeHeight="251660288" behindDoc="0" locked="0" layoutInCell="1" hidden="0" allowOverlap="1" wp14:anchorId="0016E05D" wp14:editId="08AA0F2E">
                  <wp:simplePos x="0" y="0"/>
                  <wp:positionH relativeFrom="column">
                    <wp:posOffset>428625</wp:posOffset>
                  </wp:positionH>
                  <wp:positionV relativeFrom="paragraph">
                    <wp:posOffset>133350</wp:posOffset>
                  </wp:positionV>
                  <wp:extent cx="1763078" cy="581339"/>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763078" cy="581339"/>
                          </a:xfrm>
                          <a:prstGeom prst="rect">
                            <a:avLst/>
                          </a:prstGeom>
                          <a:ln/>
                        </pic:spPr>
                      </pic:pic>
                    </a:graphicData>
                  </a:graphic>
                </wp:anchor>
              </w:drawing>
            </w:r>
          </w:p>
          <w:p w14:paraId="17EC2C03" w14:textId="77777777" w:rsidR="00F23869" w:rsidRDefault="0057613A">
            <w:pPr>
              <w:shd w:val="clear" w:color="auto" w:fill="FFFFFF"/>
              <w:spacing w:before="240" w:after="160" w:line="256" w:lineRule="auto"/>
              <w:jc w:val="both"/>
              <w:rPr>
                <w:rFonts w:ascii="Arial" w:eastAsia="Arial" w:hAnsi="Arial" w:cs="Arial"/>
                <w:i/>
                <w:sz w:val="32"/>
                <w:szCs w:val="32"/>
              </w:rPr>
            </w:pPr>
            <w:r>
              <w:rPr>
                <w:rFonts w:ascii="Arial" w:eastAsia="Arial" w:hAnsi="Arial" w:cs="Arial"/>
                <w:i/>
                <w:sz w:val="32"/>
                <w:szCs w:val="32"/>
              </w:rPr>
              <w:t xml:space="preserve"> </w:t>
            </w:r>
          </w:p>
          <w:p w14:paraId="5A6131B3"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LINA MARIA GARRIDO MARTIN</w:t>
            </w:r>
          </w:p>
          <w:p w14:paraId="5DBC8C39"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Representante a la Cámara </w:t>
            </w:r>
          </w:p>
          <w:p w14:paraId="255C4BA3" w14:textId="77777777" w:rsidR="00F23869" w:rsidRDefault="0057613A">
            <w:pPr>
              <w:shd w:val="clear" w:color="auto" w:fill="FFFFFF"/>
              <w:spacing w:line="276" w:lineRule="auto"/>
              <w:jc w:val="center"/>
              <w:rPr>
                <w:rFonts w:ascii="Bookman Old Style" w:eastAsia="Bookman Old Style" w:hAnsi="Bookman Old Style" w:cs="Bookman Old Style"/>
              </w:rPr>
            </w:pPr>
            <w:r>
              <w:rPr>
                <w:rFonts w:ascii="Bookman Old Style" w:eastAsia="Bookman Old Style" w:hAnsi="Bookman Old Style" w:cs="Bookman Old Style"/>
                <w:sz w:val="22"/>
                <w:szCs w:val="22"/>
              </w:rPr>
              <w:t>Departamento de Arauca</w:t>
            </w:r>
          </w:p>
        </w:tc>
        <w:tc>
          <w:tcPr>
            <w:tcW w:w="4414" w:type="dxa"/>
          </w:tcPr>
          <w:p w14:paraId="60CE7964" w14:textId="77777777" w:rsidR="00F23869" w:rsidRDefault="00F23869">
            <w:pPr>
              <w:spacing w:line="276" w:lineRule="auto"/>
              <w:ind w:firstLine="1418"/>
              <w:rPr>
                <w:rFonts w:ascii="Bookman Old Style" w:eastAsia="Bookman Old Style" w:hAnsi="Bookman Old Style" w:cs="Bookman Old Style"/>
              </w:rPr>
            </w:pPr>
          </w:p>
          <w:p w14:paraId="6C13CE9D" w14:textId="77777777" w:rsidR="00F23869" w:rsidRDefault="00F23869">
            <w:pPr>
              <w:spacing w:line="276" w:lineRule="auto"/>
              <w:ind w:firstLine="1418"/>
              <w:rPr>
                <w:rFonts w:ascii="Bookman Old Style" w:eastAsia="Bookman Old Style" w:hAnsi="Bookman Old Style" w:cs="Bookman Old Style"/>
              </w:rPr>
            </w:pPr>
          </w:p>
        </w:tc>
      </w:tr>
      <w:tr w:rsidR="00F23869" w14:paraId="5AA2A5E9" w14:textId="77777777">
        <w:tc>
          <w:tcPr>
            <w:tcW w:w="4414" w:type="dxa"/>
          </w:tcPr>
          <w:p w14:paraId="0B19D79C" w14:textId="77777777" w:rsidR="00F23869" w:rsidRDefault="00F23869">
            <w:pPr>
              <w:spacing w:line="276" w:lineRule="auto"/>
              <w:ind w:firstLine="1418"/>
              <w:rPr>
                <w:rFonts w:ascii="Bookman Old Style" w:eastAsia="Bookman Old Style" w:hAnsi="Bookman Old Style" w:cs="Bookman Old Style"/>
              </w:rPr>
            </w:pPr>
          </w:p>
          <w:p w14:paraId="797134C4" w14:textId="77777777" w:rsidR="00F23869" w:rsidRDefault="00F23869">
            <w:pPr>
              <w:spacing w:line="276" w:lineRule="auto"/>
              <w:ind w:firstLine="1418"/>
              <w:rPr>
                <w:rFonts w:ascii="Bookman Old Style" w:eastAsia="Bookman Old Style" w:hAnsi="Bookman Old Style" w:cs="Bookman Old Style"/>
              </w:rPr>
            </w:pPr>
          </w:p>
          <w:p w14:paraId="07022CC8" w14:textId="77777777" w:rsidR="00F23869" w:rsidRDefault="00F23869">
            <w:pPr>
              <w:spacing w:line="276" w:lineRule="auto"/>
              <w:ind w:firstLine="1418"/>
              <w:rPr>
                <w:rFonts w:ascii="Bookman Old Style" w:eastAsia="Bookman Old Style" w:hAnsi="Bookman Old Style" w:cs="Bookman Old Style"/>
              </w:rPr>
            </w:pPr>
          </w:p>
          <w:p w14:paraId="797CA595" w14:textId="77777777" w:rsidR="00F23869" w:rsidRDefault="00F23869">
            <w:pPr>
              <w:spacing w:line="276" w:lineRule="auto"/>
              <w:ind w:firstLine="1418"/>
              <w:rPr>
                <w:rFonts w:ascii="Bookman Old Style" w:eastAsia="Bookman Old Style" w:hAnsi="Bookman Old Style" w:cs="Bookman Old Style"/>
              </w:rPr>
            </w:pPr>
          </w:p>
          <w:p w14:paraId="3DE9366C" w14:textId="77777777" w:rsidR="00F23869" w:rsidRDefault="00F23869">
            <w:pPr>
              <w:spacing w:line="276" w:lineRule="auto"/>
              <w:ind w:firstLine="1418"/>
              <w:rPr>
                <w:rFonts w:ascii="Bookman Old Style" w:eastAsia="Bookman Old Style" w:hAnsi="Bookman Old Style" w:cs="Bookman Old Style"/>
              </w:rPr>
            </w:pPr>
          </w:p>
          <w:p w14:paraId="36D9994A" w14:textId="77777777" w:rsidR="00F23869" w:rsidRDefault="00F23869">
            <w:pPr>
              <w:spacing w:line="276" w:lineRule="auto"/>
              <w:ind w:firstLine="1418"/>
              <w:rPr>
                <w:rFonts w:ascii="Bookman Old Style" w:eastAsia="Bookman Old Style" w:hAnsi="Bookman Old Style" w:cs="Bookman Old Style"/>
              </w:rPr>
            </w:pPr>
          </w:p>
        </w:tc>
        <w:tc>
          <w:tcPr>
            <w:tcW w:w="4414" w:type="dxa"/>
          </w:tcPr>
          <w:p w14:paraId="54DA6D5F" w14:textId="77777777" w:rsidR="00F23869" w:rsidRDefault="00F23869">
            <w:pPr>
              <w:spacing w:line="276" w:lineRule="auto"/>
              <w:ind w:firstLine="1418"/>
              <w:rPr>
                <w:rFonts w:ascii="Bookman Old Style" w:eastAsia="Bookman Old Style" w:hAnsi="Bookman Old Style" w:cs="Bookman Old Style"/>
              </w:rPr>
            </w:pPr>
          </w:p>
        </w:tc>
      </w:tr>
      <w:tr w:rsidR="00F23869" w14:paraId="10DFE1A7" w14:textId="77777777">
        <w:tc>
          <w:tcPr>
            <w:tcW w:w="4414" w:type="dxa"/>
          </w:tcPr>
          <w:p w14:paraId="2CC3B1AA" w14:textId="77777777" w:rsidR="00F23869" w:rsidRDefault="00F23869">
            <w:pPr>
              <w:spacing w:line="276" w:lineRule="auto"/>
              <w:ind w:firstLine="1418"/>
              <w:rPr>
                <w:rFonts w:ascii="Bookman Old Style" w:eastAsia="Bookman Old Style" w:hAnsi="Bookman Old Style" w:cs="Bookman Old Style"/>
              </w:rPr>
            </w:pPr>
          </w:p>
          <w:p w14:paraId="6A838E50" w14:textId="77777777" w:rsidR="00F23869" w:rsidRDefault="00F23869">
            <w:pPr>
              <w:spacing w:line="276" w:lineRule="auto"/>
              <w:ind w:firstLine="1418"/>
              <w:rPr>
                <w:rFonts w:ascii="Bookman Old Style" w:eastAsia="Bookman Old Style" w:hAnsi="Bookman Old Style" w:cs="Bookman Old Style"/>
              </w:rPr>
            </w:pPr>
          </w:p>
          <w:p w14:paraId="53F77ECF" w14:textId="77777777" w:rsidR="00F23869" w:rsidRDefault="00F23869">
            <w:pPr>
              <w:spacing w:line="276" w:lineRule="auto"/>
              <w:ind w:firstLine="1418"/>
              <w:rPr>
                <w:rFonts w:ascii="Bookman Old Style" w:eastAsia="Bookman Old Style" w:hAnsi="Bookman Old Style" w:cs="Bookman Old Style"/>
              </w:rPr>
            </w:pPr>
          </w:p>
          <w:p w14:paraId="58C8ACAE" w14:textId="77777777" w:rsidR="00F23869" w:rsidRDefault="00F23869">
            <w:pPr>
              <w:spacing w:line="276" w:lineRule="auto"/>
              <w:ind w:firstLine="1418"/>
              <w:rPr>
                <w:rFonts w:ascii="Bookman Old Style" w:eastAsia="Bookman Old Style" w:hAnsi="Bookman Old Style" w:cs="Bookman Old Style"/>
              </w:rPr>
            </w:pPr>
          </w:p>
          <w:p w14:paraId="2595751E" w14:textId="77777777" w:rsidR="00F23869" w:rsidRDefault="00F23869">
            <w:pPr>
              <w:spacing w:line="276" w:lineRule="auto"/>
              <w:ind w:firstLine="1418"/>
              <w:rPr>
                <w:rFonts w:ascii="Bookman Old Style" w:eastAsia="Bookman Old Style" w:hAnsi="Bookman Old Style" w:cs="Bookman Old Style"/>
              </w:rPr>
            </w:pPr>
          </w:p>
          <w:p w14:paraId="71BAB492" w14:textId="77777777" w:rsidR="00F23869" w:rsidRDefault="00F23869">
            <w:pPr>
              <w:spacing w:line="276" w:lineRule="auto"/>
              <w:ind w:firstLine="1418"/>
              <w:rPr>
                <w:rFonts w:ascii="Bookman Old Style" w:eastAsia="Bookman Old Style" w:hAnsi="Bookman Old Style" w:cs="Bookman Old Style"/>
              </w:rPr>
            </w:pPr>
          </w:p>
        </w:tc>
        <w:tc>
          <w:tcPr>
            <w:tcW w:w="4414" w:type="dxa"/>
          </w:tcPr>
          <w:p w14:paraId="22AE397B" w14:textId="77777777" w:rsidR="00F23869" w:rsidRDefault="00F23869">
            <w:pPr>
              <w:spacing w:line="276" w:lineRule="auto"/>
              <w:ind w:firstLine="1418"/>
              <w:rPr>
                <w:rFonts w:ascii="Bookman Old Style" w:eastAsia="Bookman Old Style" w:hAnsi="Bookman Old Style" w:cs="Bookman Old Style"/>
              </w:rPr>
            </w:pPr>
          </w:p>
        </w:tc>
      </w:tr>
      <w:tr w:rsidR="00F23869" w14:paraId="715C9150" w14:textId="77777777">
        <w:tc>
          <w:tcPr>
            <w:tcW w:w="4414" w:type="dxa"/>
          </w:tcPr>
          <w:p w14:paraId="77E07F75" w14:textId="77777777" w:rsidR="00F23869" w:rsidRDefault="00F23869">
            <w:pPr>
              <w:ind w:firstLine="1418"/>
              <w:rPr>
                <w:rFonts w:ascii="Bookman Old Style" w:eastAsia="Bookman Old Style" w:hAnsi="Bookman Old Style" w:cs="Bookman Old Style"/>
              </w:rPr>
            </w:pPr>
          </w:p>
          <w:p w14:paraId="7A86A9C1" w14:textId="77777777" w:rsidR="00F23869" w:rsidRDefault="00F23869">
            <w:pPr>
              <w:ind w:firstLine="1418"/>
              <w:rPr>
                <w:rFonts w:ascii="Bookman Old Style" w:eastAsia="Bookman Old Style" w:hAnsi="Bookman Old Style" w:cs="Bookman Old Style"/>
              </w:rPr>
            </w:pPr>
          </w:p>
          <w:p w14:paraId="1B2B53DE" w14:textId="77777777" w:rsidR="00F23869" w:rsidRDefault="00F23869">
            <w:pPr>
              <w:ind w:firstLine="1418"/>
              <w:rPr>
                <w:rFonts w:ascii="Bookman Old Style" w:eastAsia="Bookman Old Style" w:hAnsi="Bookman Old Style" w:cs="Bookman Old Style"/>
              </w:rPr>
            </w:pPr>
          </w:p>
          <w:p w14:paraId="683D1DC6" w14:textId="77777777" w:rsidR="00F23869" w:rsidRDefault="00F23869">
            <w:pPr>
              <w:ind w:firstLine="1418"/>
              <w:rPr>
                <w:rFonts w:ascii="Bookman Old Style" w:eastAsia="Bookman Old Style" w:hAnsi="Bookman Old Style" w:cs="Bookman Old Style"/>
              </w:rPr>
            </w:pPr>
          </w:p>
          <w:p w14:paraId="0BAC22A1" w14:textId="77777777" w:rsidR="00F23869" w:rsidRDefault="00F23869">
            <w:pPr>
              <w:ind w:firstLine="1418"/>
              <w:rPr>
                <w:rFonts w:ascii="Bookman Old Style" w:eastAsia="Bookman Old Style" w:hAnsi="Bookman Old Style" w:cs="Bookman Old Style"/>
              </w:rPr>
            </w:pPr>
          </w:p>
          <w:p w14:paraId="65B92AF7" w14:textId="77777777" w:rsidR="00F23869" w:rsidRDefault="00F23869">
            <w:pPr>
              <w:rPr>
                <w:rFonts w:ascii="Bookman Old Style" w:eastAsia="Bookman Old Style" w:hAnsi="Bookman Old Style" w:cs="Bookman Old Style"/>
              </w:rPr>
            </w:pPr>
          </w:p>
          <w:p w14:paraId="0BB23394" w14:textId="77777777" w:rsidR="00F23869" w:rsidRDefault="00F23869">
            <w:pPr>
              <w:ind w:firstLine="1418"/>
              <w:rPr>
                <w:rFonts w:ascii="Bookman Old Style" w:eastAsia="Bookman Old Style" w:hAnsi="Bookman Old Style" w:cs="Bookman Old Style"/>
              </w:rPr>
            </w:pPr>
          </w:p>
        </w:tc>
        <w:tc>
          <w:tcPr>
            <w:tcW w:w="4414" w:type="dxa"/>
          </w:tcPr>
          <w:p w14:paraId="4E71732E" w14:textId="77777777" w:rsidR="00F23869" w:rsidRDefault="00F23869">
            <w:pPr>
              <w:ind w:firstLine="1418"/>
              <w:rPr>
                <w:rFonts w:ascii="Bookman Old Style" w:eastAsia="Bookman Old Style" w:hAnsi="Bookman Old Style" w:cs="Bookman Old Style"/>
              </w:rPr>
            </w:pPr>
          </w:p>
        </w:tc>
      </w:tr>
    </w:tbl>
    <w:p w14:paraId="073F8F98" w14:textId="77777777" w:rsidR="00F23869" w:rsidRDefault="0057613A">
      <w:pPr>
        <w:spacing w:after="160" w:line="276" w:lineRule="auto"/>
        <w:ind w:left="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 ____ DE 2025</w:t>
      </w:r>
    </w:p>
    <w:p w14:paraId="2C74727E" w14:textId="77777777" w:rsidR="00F23869" w:rsidRDefault="0057613A">
      <w:pPr>
        <w:spacing w:after="160" w:line="276" w:lineRule="auto"/>
        <w:ind w:left="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“Por medio de la cual se establecen los lineamientos para la política pública en prevención, diagnóstico temprano y tratamiento integral de la menopausia, se promueve la sensibilización ante esta etapa de la vida, y se dictan otras disposiciones”</w:t>
      </w:r>
    </w:p>
    <w:p w14:paraId="0A590F10" w14:textId="77777777" w:rsidR="00F23869" w:rsidRDefault="0057613A">
      <w:pPr>
        <w:spacing w:after="160" w:line="276" w:lineRule="auto"/>
        <w:ind w:left="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CONGRE</w:t>
      </w:r>
      <w:r>
        <w:rPr>
          <w:rFonts w:ascii="Bookman Old Style" w:eastAsia="Bookman Old Style" w:hAnsi="Bookman Old Style" w:cs="Bookman Old Style"/>
          <w:sz w:val="24"/>
          <w:szCs w:val="24"/>
        </w:rPr>
        <w:t>SO DE COLOMBIA:</w:t>
      </w:r>
    </w:p>
    <w:p w14:paraId="15A390A3" w14:textId="77777777" w:rsidR="00F23869" w:rsidRDefault="0057613A">
      <w:pPr>
        <w:spacing w:after="160" w:line="276" w:lineRule="auto"/>
        <w:ind w:left="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DECRETA:</w:t>
      </w:r>
    </w:p>
    <w:p w14:paraId="3EF07D0E"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1º</w:t>
      </w:r>
      <w:r>
        <w:rPr>
          <w:rFonts w:ascii="Times New Roman" w:eastAsia="Times New Roman" w:hAnsi="Times New Roman" w:cs="Times New Roman"/>
          <w:b/>
          <w:sz w:val="24"/>
          <w:szCs w:val="24"/>
        </w:rPr>
        <w:t xml:space="preserve">. </w:t>
      </w:r>
      <w:r>
        <w:rPr>
          <w:rFonts w:ascii="Bookman Old Style" w:eastAsia="Bookman Old Style" w:hAnsi="Bookman Old Style" w:cs="Bookman Old Style"/>
          <w:b/>
          <w:sz w:val="24"/>
          <w:szCs w:val="24"/>
        </w:rPr>
        <w:t>Objeto.</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La presente Ley tiene por objeto establecer los principios, contenidos y disposiciones de la política pública para la prevención, diagnóstico temprano, atención, tratamiento y acompañamiento integral de la meno</w:t>
      </w:r>
      <w:r>
        <w:rPr>
          <w:rFonts w:ascii="Bookman Old Style" w:eastAsia="Bookman Old Style" w:hAnsi="Bookman Old Style" w:cs="Bookman Old Style"/>
          <w:sz w:val="24"/>
          <w:szCs w:val="24"/>
        </w:rPr>
        <w:t>pausia, así como garantizar el derecho a la salud y la calidad de vida de las mujeres en perimenopausia y menopausia, y promover la sensibilización de la población frente a esta etapa de vida.</w:t>
      </w:r>
    </w:p>
    <w:p w14:paraId="2AFA52A3"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2º</w:t>
      </w:r>
      <w:r>
        <w:rPr>
          <w:rFonts w:ascii="Times New Roman" w:eastAsia="Times New Roman" w:hAnsi="Times New Roman" w:cs="Times New Roman"/>
          <w:b/>
          <w:sz w:val="24"/>
          <w:szCs w:val="24"/>
        </w:rPr>
        <w:t xml:space="preserve">. </w:t>
      </w:r>
      <w:r>
        <w:rPr>
          <w:rFonts w:ascii="Bookman Old Style" w:eastAsia="Bookman Old Style" w:hAnsi="Bookman Old Style" w:cs="Bookman Old Style"/>
          <w:b/>
          <w:sz w:val="24"/>
          <w:szCs w:val="24"/>
        </w:rPr>
        <w:t>Definiciones.</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Para efectos de la presente ley se c</w:t>
      </w:r>
      <w:r>
        <w:rPr>
          <w:rFonts w:ascii="Bookman Old Style" w:eastAsia="Bookman Old Style" w:hAnsi="Bookman Old Style" w:cs="Bookman Old Style"/>
          <w:sz w:val="24"/>
          <w:szCs w:val="24"/>
        </w:rPr>
        <w:t>omprenderán las siguientes definiciones:</w:t>
      </w:r>
    </w:p>
    <w:p w14:paraId="6040F4CE" w14:textId="77777777" w:rsidR="00F23869" w:rsidRDefault="00F23869">
      <w:pPr>
        <w:spacing w:line="276" w:lineRule="auto"/>
        <w:ind w:left="0"/>
        <w:rPr>
          <w:rFonts w:ascii="Bookman Old Style" w:eastAsia="Bookman Old Style" w:hAnsi="Bookman Old Style" w:cs="Bookman Old Style"/>
          <w:sz w:val="24"/>
          <w:szCs w:val="24"/>
        </w:rPr>
      </w:pPr>
    </w:p>
    <w:p w14:paraId="36FC6884" w14:textId="77777777" w:rsidR="00F23869" w:rsidRDefault="0057613A">
      <w:pPr>
        <w:numPr>
          <w:ilvl w:val="0"/>
          <w:numId w:val="8"/>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Menopausia</w:t>
      </w:r>
      <w:r>
        <w:rPr>
          <w:rFonts w:ascii="Bookman Old Style" w:eastAsia="Bookman Old Style" w:hAnsi="Bookman Old Style" w:cs="Bookman Old Style"/>
          <w:color w:val="000000"/>
          <w:sz w:val="24"/>
          <w:szCs w:val="24"/>
        </w:rPr>
        <w:t>: Ausencia de sangrado menstrual durante doce (12) meses consecutivos, que indica el cese de la función ovárica y la disminución de los niveles de estrógeno.</w:t>
      </w:r>
    </w:p>
    <w:p w14:paraId="0C425617" w14:textId="77777777" w:rsidR="00F23869" w:rsidRDefault="0057613A">
      <w:pPr>
        <w:numPr>
          <w:ilvl w:val="0"/>
          <w:numId w:val="8"/>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Perimenopausia</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Período</w:t>
      </w:r>
      <w:r>
        <w:rPr>
          <w:rFonts w:ascii="Bookman Old Style" w:eastAsia="Bookman Old Style" w:hAnsi="Bookman Old Style" w:cs="Bookman Old Style"/>
          <w:color w:val="000000"/>
          <w:sz w:val="24"/>
          <w:szCs w:val="24"/>
        </w:rPr>
        <w:t xml:space="preserve"> de transición que precede a la menopausia y, como mínimo, el primer año si</w:t>
      </w:r>
      <w:r>
        <w:rPr>
          <w:rFonts w:ascii="Bookman Old Style" w:eastAsia="Bookman Old Style" w:hAnsi="Bookman Old Style" w:cs="Bookman Old Style"/>
          <w:color w:val="000000"/>
          <w:sz w:val="24"/>
          <w:szCs w:val="24"/>
        </w:rPr>
        <w:t>guiente a la menopausia. Se caracteriza por irregularidad menstrual y aparición de síntomas climatéricos.</w:t>
      </w:r>
    </w:p>
    <w:p w14:paraId="67ED646E" w14:textId="77777777" w:rsidR="00F23869" w:rsidRDefault="0057613A">
      <w:pPr>
        <w:numPr>
          <w:ilvl w:val="0"/>
          <w:numId w:val="8"/>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Síntomas vasomotores (SVM)</w:t>
      </w:r>
      <w:r>
        <w:rPr>
          <w:rFonts w:ascii="Bookman Old Style" w:eastAsia="Bookman Old Style" w:hAnsi="Bookman Old Style" w:cs="Bookman Old Style"/>
          <w:color w:val="000000"/>
          <w:sz w:val="24"/>
          <w:szCs w:val="24"/>
        </w:rPr>
        <w:t>: Sofocos, sudoraciones diurnas y nocturnas, y otros trastornos térmicos.</w:t>
      </w:r>
    </w:p>
    <w:p w14:paraId="1932B305" w14:textId="77777777" w:rsidR="00F23869" w:rsidRDefault="0057613A">
      <w:pPr>
        <w:numPr>
          <w:ilvl w:val="0"/>
          <w:numId w:val="8"/>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Síndrome genitourinario de la menopausia (SGUM)</w:t>
      </w:r>
      <w:r>
        <w:rPr>
          <w:rFonts w:ascii="Bookman Old Style" w:eastAsia="Bookman Old Style" w:hAnsi="Bookman Old Style" w:cs="Bookman Old Style"/>
          <w:color w:val="000000"/>
          <w:sz w:val="24"/>
          <w:szCs w:val="24"/>
        </w:rPr>
        <w:t>: C</w:t>
      </w:r>
      <w:r>
        <w:rPr>
          <w:rFonts w:ascii="Bookman Old Style" w:eastAsia="Bookman Old Style" w:hAnsi="Bookman Old Style" w:cs="Bookman Old Style"/>
          <w:color w:val="000000"/>
          <w:sz w:val="24"/>
          <w:szCs w:val="24"/>
        </w:rPr>
        <w:t>onjunto de síntomas urogenitales derivados de la disminución estrogénica y otros esteroides sexuales, como sequedad vaginal, dispareunia y disfunción urinaria.</w:t>
      </w:r>
    </w:p>
    <w:p w14:paraId="490A7F3D" w14:textId="77777777" w:rsidR="00F23869" w:rsidRDefault="0057613A">
      <w:pPr>
        <w:numPr>
          <w:ilvl w:val="0"/>
          <w:numId w:val="8"/>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Abordaje integral</w:t>
      </w:r>
      <w:r>
        <w:rPr>
          <w:rFonts w:ascii="Bookman Old Style" w:eastAsia="Bookman Old Style" w:hAnsi="Bookman Old Style" w:cs="Bookman Old Style"/>
          <w:color w:val="000000"/>
          <w:sz w:val="24"/>
          <w:szCs w:val="24"/>
        </w:rPr>
        <w:t>: Conjunto de acciones de promoción, prevención, diagnóstico, exámenes, procedi</w:t>
      </w:r>
      <w:r>
        <w:rPr>
          <w:rFonts w:ascii="Bookman Old Style" w:eastAsia="Bookman Old Style" w:hAnsi="Bookman Old Style" w:cs="Bookman Old Style"/>
          <w:color w:val="000000"/>
          <w:sz w:val="24"/>
          <w:szCs w:val="24"/>
        </w:rPr>
        <w:t>mientos, tratamientos farmacológicos y no farmacológicos, controles y seguimientos médicos, psicológicos y sociales con acceso oportuno.</w:t>
      </w:r>
    </w:p>
    <w:p w14:paraId="32C01862" w14:textId="77777777" w:rsidR="00F23869" w:rsidRDefault="0057613A">
      <w:pPr>
        <w:numPr>
          <w:ilvl w:val="0"/>
          <w:numId w:val="8"/>
        </w:numPr>
        <w:pBdr>
          <w:top w:val="nil"/>
          <w:left w:val="nil"/>
          <w:bottom w:val="nil"/>
          <w:right w:val="nil"/>
          <w:between w:val="nil"/>
        </w:pBdr>
        <w:spacing w:after="160"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Atención prioritaria y continuada</w:t>
      </w:r>
      <w:r>
        <w:rPr>
          <w:rFonts w:ascii="Bookman Old Style" w:eastAsia="Bookman Old Style" w:hAnsi="Bookman Old Style" w:cs="Bookman Old Style"/>
          <w:color w:val="000000"/>
          <w:sz w:val="24"/>
          <w:szCs w:val="24"/>
        </w:rPr>
        <w:t>: Prestación de todos los servicios médicos y de apoyo de manera prevalente, sin dilac</w:t>
      </w:r>
      <w:r>
        <w:rPr>
          <w:rFonts w:ascii="Bookman Old Style" w:eastAsia="Bookman Old Style" w:hAnsi="Bookman Old Style" w:cs="Bookman Old Style"/>
          <w:color w:val="000000"/>
          <w:sz w:val="24"/>
          <w:szCs w:val="24"/>
        </w:rPr>
        <w:t>iones, demoras o barreras de ningún tipo.</w:t>
      </w:r>
    </w:p>
    <w:p w14:paraId="0E743D8C"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3º.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Reconocimiento de la menopausia como etapa de impacto en la salud.</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Declárase la perimenopausia y la menopausia como </w:t>
      </w:r>
      <w:r>
        <w:rPr>
          <w:rFonts w:ascii="Bookman Old Style" w:eastAsia="Bookman Old Style" w:hAnsi="Bookman Old Style" w:cs="Bookman Old Style"/>
          <w:sz w:val="24"/>
          <w:szCs w:val="24"/>
        </w:rPr>
        <w:lastRenderedPageBreak/>
        <w:t>etapas naturales del ciclo vital de las mujeres que pueden generar síntomas crónicos,</w:t>
      </w:r>
      <w:r>
        <w:rPr>
          <w:rFonts w:ascii="Bookman Old Style" w:eastAsia="Bookman Old Style" w:hAnsi="Bookman Old Style" w:cs="Bookman Old Style"/>
          <w:sz w:val="24"/>
          <w:szCs w:val="24"/>
        </w:rPr>
        <w:t xml:space="preserve"> progresivos y debilitantes, con impacto en la calidad de vida física, mental, sexual, laboral y social.</w:t>
      </w:r>
    </w:p>
    <w:p w14:paraId="1C69E473" w14:textId="77777777" w:rsidR="00F23869" w:rsidRDefault="00F23869">
      <w:pPr>
        <w:spacing w:after="160" w:line="276" w:lineRule="auto"/>
        <w:ind w:left="0"/>
        <w:rPr>
          <w:rFonts w:ascii="Bookman Old Style" w:eastAsia="Bookman Old Style" w:hAnsi="Bookman Old Style" w:cs="Bookman Old Style"/>
          <w:b/>
          <w:sz w:val="24"/>
          <w:szCs w:val="24"/>
        </w:rPr>
      </w:pPr>
    </w:p>
    <w:p w14:paraId="256DD949"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1º.</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Serán beneficiarias de la presente ley todas las mujeres que se encuentren en perimenopausia o menopausia, ya sea por causa natural, quirúrgica o inducida químicamente, sin importar edad, raza o condición socioeconómica; priorizando la atención de quienes </w:t>
      </w:r>
      <w:r>
        <w:rPr>
          <w:rFonts w:ascii="Bookman Old Style" w:eastAsia="Bookman Old Style" w:hAnsi="Bookman Old Style" w:cs="Bookman Old Style"/>
          <w:sz w:val="24"/>
          <w:szCs w:val="24"/>
        </w:rPr>
        <w:t>se encuentren en zonas rurales, étnicas, de difícil acceso o zonas afectadas por el conflicto armado.</w:t>
      </w:r>
    </w:p>
    <w:p w14:paraId="02358044"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4º</w:t>
      </w:r>
      <w:r>
        <w:rPr>
          <w:rFonts w:ascii="Times New Roman" w:eastAsia="Times New Roman" w:hAnsi="Times New Roman" w:cs="Times New Roman"/>
          <w:b/>
          <w:sz w:val="24"/>
          <w:szCs w:val="24"/>
        </w:rPr>
        <w:t xml:space="preserve">. </w:t>
      </w:r>
      <w:r>
        <w:rPr>
          <w:rFonts w:ascii="Bookman Old Style" w:eastAsia="Bookman Old Style" w:hAnsi="Bookman Old Style" w:cs="Bookman Old Style"/>
          <w:b/>
          <w:sz w:val="24"/>
          <w:szCs w:val="24"/>
        </w:rPr>
        <w:t>Formulación de la política pública.</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El Ministerio de Salud y Protección Social, con el apoyo del Ministerio del Trabajo y el Ministerio de Ed</w:t>
      </w:r>
      <w:r>
        <w:rPr>
          <w:rFonts w:ascii="Bookman Old Style" w:eastAsia="Bookman Old Style" w:hAnsi="Bookman Old Style" w:cs="Bookman Old Style"/>
          <w:sz w:val="24"/>
          <w:szCs w:val="24"/>
        </w:rPr>
        <w:t>ucación dentro del término de un (1) año contado a partir de la promulgación de la presente ley, deberá formular, adoptar, dirigir, coordinar, ejecutar y evaluar la Política Pública de Atención Integral de la Menopausia. En su elaboración podrán participar</w:t>
      </w:r>
      <w:r>
        <w:rPr>
          <w:rFonts w:ascii="Bookman Old Style" w:eastAsia="Bookman Old Style" w:hAnsi="Bookman Old Style" w:cs="Bookman Old Style"/>
          <w:sz w:val="24"/>
          <w:szCs w:val="24"/>
        </w:rPr>
        <w:t xml:space="preserve"> entidades del orden nacional, departamental, municipal y distrital, organizaciones de la sociedad civil, asociaciones de mujeres, grupos académicos y comunidad en general.</w:t>
      </w:r>
    </w:p>
    <w:p w14:paraId="598673C3"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5º.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Alcance de la política pública.</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La Política Pública de Atención Integr</w:t>
      </w:r>
      <w:r>
        <w:rPr>
          <w:rFonts w:ascii="Bookman Old Style" w:eastAsia="Bookman Old Style" w:hAnsi="Bookman Old Style" w:cs="Bookman Old Style"/>
          <w:sz w:val="24"/>
          <w:szCs w:val="24"/>
        </w:rPr>
        <w:t>al de la Menopausia incluirá, como mínimo, las siguientes disposiciones:</w:t>
      </w:r>
    </w:p>
    <w:p w14:paraId="1613EF7D"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Criterios y parámetros para calificar síntomas y clasificar casos con mayor afectación de la calidad de vida. </w:t>
      </w:r>
    </w:p>
    <w:p w14:paraId="15D74B41"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Definición y actualización de protocolos unificados de diagnóstico temprano, manejo clínico y abordaje interdisciplinario, con énfasis en atenció</w:t>
      </w:r>
      <w:r>
        <w:rPr>
          <w:rFonts w:ascii="Bookman Old Style" w:eastAsia="Bookman Old Style" w:hAnsi="Bookman Old Style" w:cs="Bookman Old Style"/>
          <w:color w:val="000000"/>
          <w:sz w:val="24"/>
          <w:szCs w:val="24"/>
        </w:rPr>
        <w:t>n primaria.</w:t>
      </w:r>
    </w:p>
    <w:p w14:paraId="7F6EC2F8"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Disposiciones para el fortalecimiento de la prevención, el tratamiento farmacológico, y no farmacológico, así como apoyo psicosocial y rehabilitación.</w:t>
      </w:r>
    </w:p>
    <w:p w14:paraId="573A9370"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Capacitación periódica y actualización obligatoria del personal de salud en diagnóstico y man</w:t>
      </w:r>
      <w:r>
        <w:rPr>
          <w:rFonts w:ascii="Bookman Old Style" w:eastAsia="Bookman Old Style" w:hAnsi="Bookman Old Style" w:cs="Bookman Old Style"/>
          <w:color w:val="000000"/>
          <w:sz w:val="24"/>
          <w:szCs w:val="24"/>
        </w:rPr>
        <w:t>ejo de la perimenopausia y menopausia.</w:t>
      </w:r>
    </w:p>
    <w:p w14:paraId="7D370687"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Garantía de acceso a información amplia, oportuna y permanente sobre síntomas, tratamientos y autocuidado, en formatos digitales, impresos y audiovisuales.</w:t>
      </w:r>
    </w:p>
    <w:p w14:paraId="430256E3"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Promoción de investigación clínica, epidemiológica y social s</w:t>
      </w:r>
      <w:r>
        <w:rPr>
          <w:rFonts w:ascii="Bookman Old Style" w:eastAsia="Bookman Old Style" w:hAnsi="Bookman Old Style" w:cs="Bookman Old Style"/>
          <w:color w:val="000000"/>
          <w:sz w:val="24"/>
          <w:szCs w:val="24"/>
        </w:rPr>
        <w:t>obre la menopausia y sus determinantes.</w:t>
      </w:r>
    </w:p>
    <w:p w14:paraId="4BCC2765"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Campañas de promoción, sensibilización y </w:t>
      </w:r>
      <w:proofErr w:type="spellStart"/>
      <w:r>
        <w:rPr>
          <w:rFonts w:ascii="Bookman Old Style" w:eastAsia="Bookman Old Style" w:hAnsi="Bookman Old Style" w:cs="Bookman Old Style"/>
          <w:color w:val="000000"/>
          <w:sz w:val="24"/>
          <w:szCs w:val="24"/>
        </w:rPr>
        <w:t>desestigmatización</w:t>
      </w:r>
      <w:proofErr w:type="spellEnd"/>
      <w:r>
        <w:rPr>
          <w:rFonts w:ascii="Bookman Old Style" w:eastAsia="Bookman Old Style" w:hAnsi="Bookman Old Style" w:cs="Bookman Old Style"/>
          <w:color w:val="000000"/>
          <w:sz w:val="24"/>
          <w:szCs w:val="24"/>
        </w:rPr>
        <w:t xml:space="preserve"> dirigidas a la ciudadanía, el sector educativo y el laboral.</w:t>
      </w:r>
    </w:p>
    <w:p w14:paraId="72101ADD"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Protocolos de atención prioritaria para mujeres con síntomas de moderados a severos.</w:t>
      </w:r>
    </w:p>
    <w:p w14:paraId="6EE393EE"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Creación y</w:t>
      </w:r>
      <w:r>
        <w:rPr>
          <w:rFonts w:ascii="Bookman Old Style" w:eastAsia="Bookman Old Style" w:hAnsi="Bookman Old Style" w:cs="Bookman Old Style"/>
          <w:color w:val="000000"/>
          <w:sz w:val="24"/>
          <w:szCs w:val="24"/>
        </w:rPr>
        <w:t xml:space="preserve"> mantenimiento de un sistema de vigilancia epidemiológica y registro estadístico de datos abiertos de sintomatología menopáusica cumpliendo con la legislación vigente sobre protección de datos.</w:t>
      </w:r>
    </w:p>
    <w:p w14:paraId="2BAF1736"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Mecanismos para el análisis de datos que permitan evaluar tend</w:t>
      </w:r>
      <w:r>
        <w:rPr>
          <w:rFonts w:ascii="Bookman Old Style" w:eastAsia="Bookman Old Style" w:hAnsi="Bookman Old Style" w:cs="Bookman Old Style"/>
          <w:color w:val="000000"/>
          <w:sz w:val="24"/>
          <w:szCs w:val="24"/>
        </w:rPr>
        <w:t>encias, brechas de acceso y resultados de la política.</w:t>
      </w:r>
    </w:p>
    <w:p w14:paraId="771A2EEE"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Métodos de evaluación periódica de cumplimiento, impacto y logros, que incluyan indicadores clínicos y de satisfacción de usuarias.</w:t>
      </w:r>
    </w:p>
    <w:p w14:paraId="42876921"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Medidas de protección laboral, educativa y social acorde con la sever</w:t>
      </w:r>
      <w:r>
        <w:rPr>
          <w:rFonts w:ascii="Bookman Old Style" w:eastAsia="Bookman Old Style" w:hAnsi="Bookman Old Style" w:cs="Bookman Old Style"/>
          <w:color w:val="000000"/>
          <w:sz w:val="24"/>
          <w:szCs w:val="24"/>
        </w:rPr>
        <w:t>idad de los síntomas.</w:t>
      </w:r>
    </w:p>
    <w:p w14:paraId="5FD8FCD0" w14:textId="77777777" w:rsidR="00F23869" w:rsidRDefault="0057613A">
      <w:pPr>
        <w:numPr>
          <w:ilvl w:val="0"/>
          <w:numId w:val="9"/>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Creación de la ruta de atención integral, que garantice la conexidad entre niveles de atención y especialidades.</w:t>
      </w:r>
    </w:p>
    <w:p w14:paraId="2267B1FF" w14:textId="77777777" w:rsidR="00F23869" w:rsidRDefault="0057613A">
      <w:pPr>
        <w:numPr>
          <w:ilvl w:val="0"/>
          <w:numId w:val="9"/>
        </w:numPr>
        <w:pBdr>
          <w:top w:val="nil"/>
          <w:left w:val="nil"/>
          <w:bottom w:val="nil"/>
          <w:right w:val="nil"/>
          <w:between w:val="nil"/>
        </w:pBdr>
        <w:spacing w:after="160"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Adaptación de la atención con un enfoque diferencial para mujeres rurales, étnicas o víctimas del conflicto armado.</w:t>
      </w:r>
    </w:p>
    <w:p w14:paraId="7F2455D4"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w:t>
      </w:r>
      <w:r>
        <w:rPr>
          <w:rFonts w:ascii="Bookman Old Style" w:eastAsia="Bookman Old Style" w:hAnsi="Bookman Old Style" w:cs="Bookman Old Style"/>
          <w:b/>
          <w:sz w:val="24"/>
          <w:szCs w:val="24"/>
        </w:rPr>
        <w:t>ULO 6º.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Garantía de atención integral.</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El Gobierno nacional garantizará el cumplimiento de la política pública de atención integral de la menopausia a través del Sistema de Seguridad Social en Salud y su inclusión en el Plan de Beneficios en Salud, sin cos</w:t>
      </w:r>
      <w:r>
        <w:rPr>
          <w:rFonts w:ascii="Bookman Old Style" w:eastAsia="Bookman Old Style" w:hAnsi="Bookman Old Style" w:cs="Bookman Old Style"/>
          <w:sz w:val="24"/>
          <w:szCs w:val="24"/>
        </w:rPr>
        <w:t>tos adicionales ni barreras administrativas.</w:t>
      </w:r>
    </w:p>
    <w:p w14:paraId="2FFDB02F"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7º</w:t>
      </w:r>
      <w:r>
        <w:rPr>
          <w:rFonts w:ascii="Times New Roman" w:eastAsia="Times New Roman" w:hAnsi="Times New Roman" w:cs="Times New Roman"/>
          <w:b/>
          <w:sz w:val="24"/>
          <w:szCs w:val="24"/>
        </w:rPr>
        <w:t xml:space="preserve">. </w:t>
      </w:r>
      <w:r>
        <w:rPr>
          <w:rFonts w:ascii="Bookman Old Style" w:eastAsia="Bookman Old Style" w:hAnsi="Bookman Old Style" w:cs="Bookman Old Style"/>
          <w:b/>
          <w:sz w:val="24"/>
          <w:szCs w:val="24"/>
        </w:rPr>
        <w:t>Registro nacional de sintomatología menopáusica.</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Créase el Registro Nacional de Mujeres en Perimenopausia y Menopausia, con funciones de seguimiento clínico, estadístico y científico, que operará bajo los principios de protección de datos personales establecidos en la Ley Estatutaria 1581 de 2012. El Min</w:t>
      </w:r>
      <w:r>
        <w:rPr>
          <w:rFonts w:ascii="Bookman Old Style" w:eastAsia="Bookman Old Style" w:hAnsi="Bookman Old Style" w:cs="Bookman Old Style"/>
          <w:sz w:val="24"/>
          <w:szCs w:val="24"/>
        </w:rPr>
        <w:t>isterio de Salud reglamentará su operatividad dentro del término de un (1) año.</w:t>
      </w:r>
    </w:p>
    <w:p w14:paraId="325CD2D1"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8º.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Ruta diagnóstica y de atención integral.</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Cuando cualquier profesional de la salud identifique síntomas indicativos de perimenopausia o menopausia, deberá activar la Ruta Diagnóstica y de Atención Integral de la Menopausia, garantizando remisión oportuna, exámenes de apoyo diagnóstico y consultas </w:t>
      </w:r>
      <w:r>
        <w:rPr>
          <w:rFonts w:ascii="Bookman Old Style" w:eastAsia="Bookman Old Style" w:hAnsi="Bookman Old Style" w:cs="Bookman Old Style"/>
          <w:sz w:val="24"/>
          <w:szCs w:val="24"/>
        </w:rPr>
        <w:t>de seguimiento con un equipo interdisciplinario.</w:t>
      </w:r>
    </w:p>
    <w:p w14:paraId="2E106A4D"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9º.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Medidas de protección laboral, educativa y social.</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Las empleadas y estudiantes con síntomas moderados o severos de perimenopausia o menopausia tendrán derecho a convenir horarios </w:t>
      </w:r>
      <w:r>
        <w:rPr>
          <w:rFonts w:ascii="Bookman Old Style" w:eastAsia="Bookman Old Style" w:hAnsi="Bookman Old Style" w:cs="Bookman Old Style"/>
          <w:sz w:val="24"/>
          <w:szCs w:val="24"/>
        </w:rPr>
        <w:lastRenderedPageBreak/>
        <w:t>flexibles, habi</w:t>
      </w:r>
      <w:r>
        <w:rPr>
          <w:rFonts w:ascii="Bookman Old Style" w:eastAsia="Bookman Old Style" w:hAnsi="Bookman Old Style" w:cs="Bookman Old Style"/>
          <w:sz w:val="24"/>
          <w:szCs w:val="24"/>
        </w:rPr>
        <w:t>litación de trabajo o estudio en casa, licencias especiales y demás ajustes razonables que aseguren su productividad, bienestar y permanencia en el entorno laboral y educativo.</w:t>
      </w:r>
    </w:p>
    <w:p w14:paraId="46CAE5A9" w14:textId="77777777" w:rsidR="00F23869" w:rsidRDefault="0057613A">
      <w:pPr>
        <w:spacing w:after="160" w:line="276" w:lineRule="auto"/>
        <w:ind w:left="0"/>
        <w:rPr>
          <w:rFonts w:ascii="Bookman Old Style" w:eastAsia="Bookman Old Style" w:hAnsi="Bookman Old Style" w:cs="Bookman Old Style"/>
          <w:color w:val="EE0000"/>
          <w:sz w:val="24"/>
          <w:szCs w:val="24"/>
        </w:rPr>
      </w:pPr>
      <w:r>
        <w:rPr>
          <w:rFonts w:ascii="Bookman Old Style" w:eastAsia="Bookman Old Style" w:hAnsi="Bookman Old Style" w:cs="Bookman Old Style"/>
          <w:b/>
          <w:color w:val="000000"/>
          <w:sz w:val="24"/>
          <w:szCs w:val="24"/>
        </w:rPr>
        <w:t>ARTÍCULO 10º.</w:t>
      </w:r>
      <w:r>
        <w:rPr>
          <w:rFonts w:ascii="Times New Roman" w:eastAsia="Times New Roman" w:hAnsi="Times New Roman" w:cs="Times New Roman"/>
          <w:b/>
          <w:color w:val="000000"/>
          <w:sz w:val="24"/>
          <w:szCs w:val="24"/>
        </w:rPr>
        <w:t> </w:t>
      </w:r>
      <w:r>
        <w:rPr>
          <w:rFonts w:ascii="Bookman Old Style" w:eastAsia="Bookman Old Style" w:hAnsi="Bookman Old Style" w:cs="Bookman Old Style"/>
          <w:b/>
          <w:color w:val="000000"/>
          <w:sz w:val="24"/>
          <w:szCs w:val="24"/>
        </w:rPr>
        <w:t>Día Nacional de la Menopausia.</w:t>
      </w:r>
      <w:r>
        <w:rPr>
          <w:rFonts w:ascii="Times New Roman" w:eastAsia="Times New Roman" w:hAnsi="Times New Roman" w:cs="Times New Roman"/>
          <w:color w:val="000000"/>
          <w:sz w:val="24"/>
          <w:szCs w:val="24"/>
        </w:rPr>
        <w:t> </w:t>
      </w:r>
      <w:r>
        <w:rPr>
          <w:rFonts w:ascii="Bookman Old Style" w:eastAsia="Bookman Old Style" w:hAnsi="Bookman Old Style" w:cs="Bookman Old Style"/>
          <w:color w:val="000000"/>
          <w:sz w:val="24"/>
          <w:szCs w:val="24"/>
        </w:rPr>
        <w:t>Declárase el dieciocho (18) de oct</w:t>
      </w:r>
      <w:r>
        <w:rPr>
          <w:rFonts w:ascii="Bookman Old Style" w:eastAsia="Bookman Old Style" w:hAnsi="Bookman Old Style" w:cs="Bookman Old Style"/>
          <w:color w:val="000000"/>
          <w:sz w:val="24"/>
          <w:szCs w:val="24"/>
        </w:rPr>
        <w:t>ubre de cada año como el Día Nacional de la Concientización y Educación sobre la Menopausia. Durante este día, las entidades públicas y privadas promoverán actividades de difusión, educación y sensibilización en el marco de la política pública.</w:t>
      </w:r>
    </w:p>
    <w:p w14:paraId="70D96E7E" w14:textId="77777777" w:rsidR="00F23869" w:rsidRDefault="0057613A">
      <w:pPr>
        <w:spacing w:after="160" w:line="276" w:lineRule="auto"/>
        <w:ind w:left="0"/>
        <w:rPr>
          <w:rFonts w:ascii="Bookman Old Style" w:eastAsia="Bookman Old Style" w:hAnsi="Bookman Old Style" w:cs="Bookman Old Style"/>
          <w:color w:val="EE0000"/>
          <w:sz w:val="24"/>
          <w:szCs w:val="24"/>
        </w:rPr>
      </w:pPr>
      <w:r>
        <w:rPr>
          <w:rFonts w:ascii="Bookman Old Style" w:eastAsia="Bookman Old Style" w:hAnsi="Bookman Old Style" w:cs="Bookman Old Style"/>
          <w:b/>
          <w:sz w:val="24"/>
          <w:szCs w:val="24"/>
        </w:rPr>
        <w:t>ARTÍCULO 11</w:t>
      </w:r>
      <w:r>
        <w:rPr>
          <w:rFonts w:ascii="Bookman Old Style" w:eastAsia="Bookman Old Style" w:hAnsi="Bookman Old Style" w:cs="Bookman Old Style"/>
          <w:b/>
          <w:sz w:val="24"/>
          <w:szCs w:val="24"/>
        </w:rPr>
        <w:t>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Campañas educativas y de sensibilización.</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El Ministerio de Salud y Protección Social y el Ministerio de Educación diseñarán y ejecutarán campañas continuas de educación y sensibilización en espacios comunitarios, educativos y medios de comunicación, ori</w:t>
      </w:r>
      <w:r>
        <w:rPr>
          <w:rFonts w:ascii="Bookman Old Style" w:eastAsia="Bookman Old Style" w:hAnsi="Bookman Old Style" w:cs="Bookman Old Style"/>
          <w:sz w:val="24"/>
          <w:szCs w:val="24"/>
        </w:rPr>
        <w:t xml:space="preserve">entadas a </w:t>
      </w:r>
      <w:proofErr w:type="spellStart"/>
      <w:r>
        <w:rPr>
          <w:rFonts w:ascii="Bookman Old Style" w:eastAsia="Bookman Old Style" w:hAnsi="Bookman Old Style" w:cs="Bookman Old Style"/>
          <w:sz w:val="24"/>
          <w:szCs w:val="24"/>
        </w:rPr>
        <w:t>desestigmatizar</w:t>
      </w:r>
      <w:proofErr w:type="spellEnd"/>
      <w:r>
        <w:rPr>
          <w:rFonts w:ascii="Bookman Old Style" w:eastAsia="Bookman Old Style" w:hAnsi="Bookman Old Style" w:cs="Bookman Old Style"/>
          <w:sz w:val="24"/>
          <w:szCs w:val="24"/>
        </w:rPr>
        <w:t xml:space="preserve"> la menopausia, informar sobre sus síntomas, tratamientos y fomentar el autocuidado.</w:t>
      </w:r>
    </w:p>
    <w:p w14:paraId="6070B967" w14:textId="77777777" w:rsidR="00F23869" w:rsidRDefault="0057613A">
      <w:pPr>
        <w:spacing w:after="16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12º.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Recursos y financiación.</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Autorícese</w:t>
      </w:r>
      <w:r>
        <w:rPr>
          <w:rFonts w:ascii="Bookman Old Style" w:eastAsia="Bookman Old Style" w:hAnsi="Bookman Old Style" w:cs="Bookman Old Style"/>
          <w:sz w:val="24"/>
          <w:szCs w:val="24"/>
        </w:rPr>
        <w:t xml:space="preserve"> al Gobierno nacional para realizar las apropiaciones presupuestales, convenios interadministrativos y/o alianzas público-privadas necesarias para la implementación y sostenimiento de la presente ley.</w:t>
      </w:r>
    </w:p>
    <w:p w14:paraId="5F859855"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13º.</w:t>
      </w:r>
      <w:r>
        <w:rPr>
          <w:rFonts w:ascii="Times New Roman" w:eastAsia="Times New Roman" w:hAnsi="Times New Roman" w:cs="Times New Roman"/>
          <w:b/>
          <w:sz w:val="24"/>
          <w:szCs w:val="24"/>
        </w:rPr>
        <w:t> </w:t>
      </w:r>
      <w:r>
        <w:rPr>
          <w:rFonts w:ascii="Bookman Old Style" w:eastAsia="Bookman Old Style" w:hAnsi="Bookman Old Style" w:cs="Bookman Old Style"/>
          <w:b/>
          <w:sz w:val="24"/>
          <w:szCs w:val="24"/>
        </w:rPr>
        <w:t>Informe anual al Congreso.</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El Gobierno Na</w:t>
      </w:r>
      <w:r>
        <w:rPr>
          <w:rFonts w:ascii="Bookman Old Style" w:eastAsia="Bookman Old Style" w:hAnsi="Bookman Old Style" w:cs="Bookman Old Style"/>
          <w:sz w:val="24"/>
          <w:szCs w:val="24"/>
        </w:rPr>
        <w:t>cional deberá presentar, en los primeros 20 días contados a partir del inicio de cada legislatura, un informe a la Comisión Legal para la Equidad de la Mujer sobre los avances, resultados e indicadores de la implementación de la Política Pública de Atenció</w:t>
      </w:r>
      <w:r>
        <w:rPr>
          <w:rFonts w:ascii="Bookman Old Style" w:eastAsia="Bookman Old Style" w:hAnsi="Bookman Old Style" w:cs="Bookman Old Style"/>
          <w:sz w:val="24"/>
          <w:szCs w:val="24"/>
        </w:rPr>
        <w:t>n Integral de la Menopausia.</w:t>
      </w:r>
    </w:p>
    <w:p w14:paraId="2331CEA5" w14:textId="77777777" w:rsidR="00F23869" w:rsidRDefault="00F23869">
      <w:pPr>
        <w:spacing w:line="276" w:lineRule="auto"/>
        <w:ind w:left="0"/>
        <w:rPr>
          <w:rFonts w:ascii="Bookman Old Style" w:eastAsia="Bookman Old Style" w:hAnsi="Bookman Old Style" w:cs="Bookman Old Style"/>
          <w:sz w:val="24"/>
          <w:szCs w:val="24"/>
        </w:rPr>
      </w:pPr>
    </w:p>
    <w:p w14:paraId="48D15AA5"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w:t>
      </w:r>
      <w:r>
        <w:rPr>
          <w:rFonts w:ascii="Bookman Old Style" w:eastAsia="Bookman Old Style" w:hAnsi="Bookman Old Style" w:cs="Bookman Old Style"/>
          <w:sz w:val="24"/>
          <w:szCs w:val="24"/>
        </w:rPr>
        <w:t xml:space="preserve"> </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xml:space="preserve">El Ministerio de Salud y Protección Social fomentará la participación activa de las organizaciones de mujeres, asociaciones de pacientes, sociedades científicas, universidades y demás actores civiles en el diseño, </w:t>
      </w:r>
      <w:r>
        <w:rPr>
          <w:rFonts w:ascii="Bookman Old Style" w:eastAsia="Bookman Old Style" w:hAnsi="Bookman Old Style" w:cs="Bookman Old Style"/>
          <w:sz w:val="24"/>
          <w:szCs w:val="24"/>
        </w:rPr>
        <w:t>seguimiento y evaluación de la presente ley.</w:t>
      </w:r>
    </w:p>
    <w:p w14:paraId="228F4974" w14:textId="77777777" w:rsidR="00F23869" w:rsidRDefault="00F23869">
      <w:pPr>
        <w:spacing w:line="276" w:lineRule="auto"/>
        <w:ind w:left="0"/>
        <w:rPr>
          <w:rFonts w:ascii="Bookman Old Style" w:eastAsia="Bookman Old Style" w:hAnsi="Bookman Old Style" w:cs="Bookman Old Style"/>
          <w:sz w:val="24"/>
          <w:szCs w:val="24"/>
        </w:rPr>
      </w:pPr>
    </w:p>
    <w:p w14:paraId="6E01B4FD"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14º</w:t>
      </w:r>
      <w:r>
        <w:rPr>
          <w:rFonts w:ascii="Times New Roman" w:eastAsia="Times New Roman" w:hAnsi="Times New Roman" w:cs="Times New Roman"/>
          <w:b/>
          <w:sz w:val="24"/>
          <w:szCs w:val="24"/>
        </w:rPr>
        <w:t xml:space="preserve">. </w:t>
      </w:r>
      <w:r>
        <w:rPr>
          <w:rFonts w:ascii="Bookman Old Style" w:eastAsia="Bookman Old Style" w:hAnsi="Bookman Old Style" w:cs="Bookman Old Style"/>
          <w:b/>
          <w:sz w:val="24"/>
          <w:szCs w:val="24"/>
        </w:rPr>
        <w:t>Vigencia.</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La presente ley rige a partir de su promulgación y deroga las disposiciones que le sean contrarias.</w:t>
      </w:r>
    </w:p>
    <w:p w14:paraId="5289438C" w14:textId="77777777" w:rsidR="00F23869" w:rsidRDefault="00F23869">
      <w:pPr>
        <w:spacing w:line="276" w:lineRule="auto"/>
        <w:ind w:left="0"/>
        <w:jc w:val="center"/>
        <w:rPr>
          <w:rFonts w:ascii="Bookman Old Style" w:eastAsia="Bookman Old Style" w:hAnsi="Bookman Old Style" w:cs="Bookman Old Style"/>
          <w:sz w:val="24"/>
          <w:szCs w:val="24"/>
        </w:rPr>
      </w:pPr>
    </w:p>
    <w:p w14:paraId="76F13297" w14:textId="77777777" w:rsidR="00F23869" w:rsidRDefault="00F23869">
      <w:pPr>
        <w:spacing w:line="276" w:lineRule="auto"/>
        <w:ind w:left="0"/>
        <w:jc w:val="center"/>
        <w:rPr>
          <w:rFonts w:ascii="Bookman Old Style" w:eastAsia="Bookman Old Style" w:hAnsi="Bookman Old Style" w:cs="Bookman Old Style"/>
          <w:b/>
          <w:sz w:val="24"/>
          <w:szCs w:val="24"/>
        </w:rPr>
      </w:pPr>
    </w:p>
    <w:p w14:paraId="1E2EB7CE" w14:textId="77777777" w:rsidR="00F23869" w:rsidRDefault="00F23869">
      <w:pPr>
        <w:spacing w:line="276" w:lineRule="auto"/>
        <w:ind w:left="0"/>
        <w:jc w:val="center"/>
        <w:rPr>
          <w:rFonts w:ascii="Bookman Old Style" w:eastAsia="Bookman Old Style" w:hAnsi="Bookman Old Style" w:cs="Bookman Old Style"/>
          <w:b/>
          <w:sz w:val="24"/>
          <w:szCs w:val="24"/>
        </w:rPr>
      </w:pPr>
    </w:p>
    <w:p w14:paraId="014E1183" w14:textId="77777777" w:rsidR="00F23869" w:rsidRDefault="00F23869">
      <w:pPr>
        <w:spacing w:line="276" w:lineRule="auto"/>
        <w:ind w:left="0"/>
        <w:jc w:val="center"/>
        <w:rPr>
          <w:rFonts w:ascii="Bookman Old Style" w:eastAsia="Bookman Old Style" w:hAnsi="Bookman Old Style" w:cs="Bookman Old Style"/>
          <w:b/>
          <w:sz w:val="24"/>
          <w:szCs w:val="24"/>
        </w:rPr>
      </w:pPr>
    </w:p>
    <w:p w14:paraId="2B02807E" w14:textId="77777777" w:rsidR="00F23869" w:rsidRDefault="00F23869">
      <w:pPr>
        <w:spacing w:line="276" w:lineRule="auto"/>
        <w:ind w:left="0"/>
        <w:jc w:val="center"/>
        <w:rPr>
          <w:rFonts w:ascii="Bookman Old Style" w:eastAsia="Bookman Old Style" w:hAnsi="Bookman Old Style" w:cs="Bookman Old Style"/>
          <w:b/>
          <w:sz w:val="24"/>
          <w:szCs w:val="24"/>
        </w:rPr>
      </w:pPr>
    </w:p>
    <w:p w14:paraId="1A083A91" w14:textId="77777777" w:rsidR="00F23869" w:rsidRDefault="0057613A">
      <w:pPr>
        <w:spacing w:line="276" w:lineRule="auto"/>
        <w:ind w:left="0"/>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EXPOSICIÓN DE MOTIVOS</w:t>
      </w:r>
    </w:p>
    <w:p w14:paraId="48BB9505" w14:textId="77777777" w:rsidR="00F23869" w:rsidRDefault="0057613A">
      <w:pPr>
        <w:pBdr>
          <w:top w:val="nil"/>
          <w:left w:val="nil"/>
          <w:bottom w:val="nil"/>
          <w:right w:val="nil"/>
          <w:between w:val="nil"/>
        </w:pBdr>
        <w:spacing w:line="276" w:lineRule="auto"/>
        <w:ind w:left="0"/>
        <w:jc w:val="left"/>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CONTENIDO</w:t>
      </w:r>
    </w:p>
    <w:p w14:paraId="5F50B5D2" w14:textId="77777777" w:rsidR="00F23869" w:rsidRDefault="00F23869">
      <w:pPr>
        <w:pBdr>
          <w:top w:val="nil"/>
          <w:left w:val="nil"/>
          <w:bottom w:val="nil"/>
          <w:right w:val="nil"/>
          <w:between w:val="nil"/>
        </w:pBdr>
        <w:spacing w:line="276" w:lineRule="auto"/>
        <w:ind w:left="0"/>
        <w:jc w:val="left"/>
        <w:rPr>
          <w:rFonts w:ascii="Bookman Old Style" w:eastAsia="Bookman Old Style" w:hAnsi="Bookman Old Style" w:cs="Bookman Old Style"/>
          <w:b/>
          <w:color w:val="000000"/>
          <w:sz w:val="24"/>
          <w:szCs w:val="24"/>
        </w:rPr>
      </w:pPr>
    </w:p>
    <w:p w14:paraId="365C2915"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Objeto del proyecto de ley.</w:t>
      </w:r>
    </w:p>
    <w:p w14:paraId="08A0E4C5"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Resumen ejecutivo.</w:t>
      </w:r>
    </w:p>
    <w:p w14:paraId="1F7520C0"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Introducción y justificación general</w:t>
      </w:r>
    </w:p>
    <w:p w14:paraId="6B762EA7"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Diagnóstico del problema.</w:t>
      </w:r>
    </w:p>
    <w:p w14:paraId="2FE8B2C2" w14:textId="77777777" w:rsidR="00F23869" w:rsidRDefault="0057613A">
      <w:pPr>
        <w:numPr>
          <w:ilvl w:val="0"/>
          <w:numId w:val="7"/>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Dimensión epidemiológica.</w:t>
      </w:r>
    </w:p>
    <w:p w14:paraId="0D1E7A25" w14:textId="77777777" w:rsidR="00F23869" w:rsidRDefault="0057613A">
      <w:pPr>
        <w:numPr>
          <w:ilvl w:val="0"/>
          <w:numId w:val="7"/>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Impactos en salud.</w:t>
      </w:r>
    </w:p>
    <w:p w14:paraId="6540A3B9" w14:textId="77777777" w:rsidR="00F23869" w:rsidRDefault="0057613A">
      <w:pPr>
        <w:numPr>
          <w:ilvl w:val="0"/>
          <w:numId w:val="7"/>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Carga socioeconómica.</w:t>
      </w:r>
    </w:p>
    <w:p w14:paraId="7BD5D894"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Indicadores clave de la menopausia en Colombia.</w:t>
      </w:r>
    </w:p>
    <w:p w14:paraId="55E2A6F1"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Marco normativo de política pública.</w:t>
      </w:r>
    </w:p>
    <w:p w14:paraId="732B4B15" w14:textId="77777777" w:rsidR="00F23869" w:rsidRDefault="0057613A">
      <w:pPr>
        <w:numPr>
          <w:ilvl w:val="0"/>
          <w:numId w:val="6"/>
        </w:numPr>
        <w:pBdr>
          <w:top w:val="nil"/>
          <w:left w:val="nil"/>
          <w:bottom w:val="nil"/>
          <w:right w:val="nil"/>
          <w:between w:val="nil"/>
        </w:pBdr>
        <w:spacing w:line="276" w:lineRule="auto"/>
        <w:jc w:val="lef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Recomendaciones y orientaciones internacionales.</w:t>
      </w:r>
    </w:p>
    <w:p w14:paraId="5EEC552B" w14:textId="77777777" w:rsidR="00F23869" w:rsidRDefault="00F23869">
      <w:pPr>
        <w:spacing w:line="276" w:lineRule="auto"/>
        <w:ind w:left="1080" w:hanging="720"/>
        <w:rPr>
          <w:rFonts w:ascii="Bookman Old Style" w:eastAsia="Bookman Old Style" w:hAnsi="Bookman Old Style" w:cs="Bookman Old Style"/>
          <w:sz w:val="24"/>
          <w:szCs w:val="24"/>
        </w:rPr>
      </w:pPr>
    </w:p>
    <w:p w14:paraId="2B8C4C3B" w14:textId="77777777" w:rsidR="00F23869" w:rsidRDefault="0057613A">
      <w:pPr>
        <w:numPr>
          <w:ilvl w:val="0"/>
          <w:numId w:val="3"/>
        </w:numPr>
        <w:pBdr>
          <w:top w:val="nil"/>
          <w:left w:val="nil"/>
          <w:bottom w:val="nil"/>
          <w:right w:val="nil"/>
          <w:between w:val="nil"/>
        </w:pBdr>
        <w:spacing w:after="160" w:line="276" w:lineRule="auto"/>
        <w:jc w:val="left"/>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OBJETO DEL PROYECTO DE LEY</w:t>
      </w:r>
    </w:p>
    <w:p w14:paraId="405545B5"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presente proyecto de ley tiene por objeto establecer los principios, contenidos y disposiciones de una política pública integral para la prevención, diagnóstico temprano, atención, tratamiento y acompañamiento de la menopausia, garantizando el derecho a</w:t>
      </w:r>
      <w:r>
        <w:rPr>
          <w:rFonts w:ascii="Bookman Old Style" w:eastAsia="Bookman Old Style" w:hAnsi="Bookman Old Style" w:cs="Bookman Old Style"/>
          <w:sz w:val="24"/>
          <w:szCs w:val="24"/>
        </w:rPr>
        <w:t xml:space="preserve"> la salud y la calidad de vida de las mujeres en etapa de perimenopausia y menopausia.</w:t>
      </w:r>
    </w:p>
    <w:p w14:paraId="225FF52A" w14:textId="77777777" w:rsidR="00F23869" w:rsidRDefault="00F23869">
      <w:pPr>
        <w:spacing w:line="276" w:lineRule="auto"/>
        <w:ind w:left="0"/>
        <w:rPr>
          <w:rFonts w:ascii="Bookman Old Style" w:eastAsia="Bookman Old Style" w:hAnsi="Bookman Old Style" w:cs="Bookman Old Style"/>
          <w:sz w:val="24"/>
          <w:szCs w:val="24"/>
        </w:rPr>
      </w:pPr>
    </w:p>
    <w:p w14:paraId="564D1FE0"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Así mismo, busca promover la sensibilización social y comunitaria frente a esta etapa natural del ciclo vital de las mujeres, combatiendo la estigmatización y asegurand</w:t>
      </w:r>
      <w:r>
        <w:rPr>
          <w:rFonts w:ascii="Bookman Old Style" w:eastAsia="Bookman Old Style" w:hAnsi="Bookman Old Style" w:cs="Bookman Old Style"/>
          <w:sz w:val="24"/>
          <w:szCs w:val="24"/>
        </w:rPr>
        <w:t>o el acceso oportuno, equitativo y sin barreras a los servicios de salud, así como la implementación de medidas de apoyo en los ámbitos laboral, educativo y social.</w:t>
      </w:r>
    </w:p>
    <w:p w14:paraId="67CCC97C" w14:textId="77777777" w:rsidR="00F23869" w:rsidRDefault="00F23869">
      <w:pPr>
        <w:spacing w:line="276" w:lineRule="auto"/>
        <w:ind w:left="0"/>
        <w:rPr>
          <w:rFonts w:ascii="Bookman Old Style" w:eastAsia="Bookman Old Style" w:hAnsi="Bookman Old Style" w:cs="Bookman Old Style"/>
          <w:sz w:val="24"/>
          <w:szCs w:val="24"/>
        </w:rPr>
      </w:pPr>
    </w:p>
    <w:p w14:paraId="365A9694" w14:textId="77777777" w:rsidR="00F23869" w:rsidRDefault="0057613A">
      <w:pPr>
        <w:numPr>
          <w:ilvl w:val="0"/>
          <w:numId w:val="3"/>
        </w:numPr>
        <w:pBdr>
          <w:top w:val="nil"/>
          <w:left w:val="nil"/>
          <w:bottom w:val="nil"/>
          <w:right w:val="nil"/>
          <w:between w:val="nil"/>
        </w:pBdr>
        <w:spacing w:after="160" w:line="276" w:lineRule="auto"/>
        <w:jc w:val="left"/>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RESUMEN EJECUTIVO</w:t>
      </w:r>
    </w:p>
    <w:p w14:paraId="4C4F8142"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menopausia es una etapa natural en la vida de las mujeres, pero sus i</w:t>
      </w:r>
      <w:r>
        <w:rPr>
          <w:rFonts w:ascii="Bookman Old Style" w:eastAsia="Bookman Old Style" w:hAnsi="Bookman Old Style" w:cs="Bookman Old Style"/>
          <w:sz w:val="24"/>
          <w:szCs w:val="24"/>
        </w:rPr>
        <w:t>mplicaciones trascienden el plano individual y se convierten en un asunto de salud pública y de equidad de género. En Colombia, el envejecimiento poblacional y la mayor longevidad femenina han incrementado el número de mujeres que transitan esta etapa, muc</w:t>
      </w:r>
      <w:r>
        <w:rPr>
          <w:rFonts w:ascii="Bookman Old Style" w:eastAsia="Bookman Old Style" w:hAnsi="Bookman Old Style" w:cs="Bookman Old Style"/>
          <w:sz w:val="24"/>
          <w:szCs w:val="24"/>
        </w:rPr>
        <w:t xml:space="preserve">has de ellas aún en edad productiva. Para 2030, de acuerdo con la </w:t>
      </w:r>
      <w:proofErr w:type="spellStart"/>
      <w:r>
        <w:rPr>
          <w:rFonts w:ascii="Bookman Old Style" w:eastAsia="Bookman Old Style" w:hAnsi="Bookman Old Style" w:cs="Bookman Old Style"/>
          <w:sz w:val="24"/>
          <w:szCs w:val="24"/>
        </w:rPr>
        <w:t>Society</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for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Women’s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Health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Research</w:t>
      </w:r>
      <w:proofErr w:type="spellEnd"/>
      <w:r>
        <w:rPr>
          <w:rFonts w:ascii="Bookman Old Style" w:eastAsia="Bookman Old Style" w:hAnsi="Bookman Old Style" w:cs="Bookman Old Style"/>
          <w:sz w:val="24"/>
          <w:szCs w:val="24"/>
        </w:rPr>
        <w:t xml:space="preserve"> en su encuesta EMPACT </w:t>
      </w:r>
      <w:proofErr w:type="spellStart"/>
      <w:r>
        <w:rPr>
          <w:rFonts w:ascii="Bookman Old Style" w:eastAsia="Bookman Old Style" w:hAnsi="Bookman Old Style" w:cs="Bookman Old Style"/>
          <w:sz w:val="24"/>
          <w:szCs w:val="24"/>
        </w:rPr>
        <w:t>Menopause</w:t>
      </w:r>
      <w:proofErr w:type="spellEnd"/>
      <w:r>
        <w:rPr>
          <w:rFonts w:ascii="Bookman Old Style" w:eastAsia="Bookman Old Style" w:hAnsi="Bookman Old Style" w:cs="Bookman Old Style"/>
          <w:sz w:val="24"/>
          <w:szCs w:val="24"/>
        </w:rPr>
        <w:t xml:space="preserve"> (2024), se proyecta que las personas mayores de 60 años representarán el 17,5% de la población nacional, y las mujeres ser</w:t>
      </w:r>
      <w:r>
        <w:rPr>
          <w:rFonts w:ascii="Bookman Old Style" w:eastAsia="Bookman Old Style" w:hAnsi="Bookman Old Style" w:cs="Bookman Old Style"/>
          <w:sz w:val="24"/>
          <w:szCs w:val="24"/>
        </w:rPr>
        <w:t>án mayoría en los grupos de mayor edad. Este fenómeno plantea retos urgentes para el sistema de salud, el mercado laboral y las políticas públicas.</w:t>
      </w:r>
    </w:p>
    <w:p w14:paraId="211EA47C" w14:textId="77777777" w:rsidR="00F23869" w:rsidRDefault="00F23869">
      <w:pPr>
        <w:spacing w:line="276" w:lineRule="auto"/>
        <w:ind w:left="0"/>
        <w:rPr>
          <w:rFonts w:ascii="Bookman Old Style" w:eastAsia="Bookman Old Style" w:hAnsi="Bookman Old Style" w:cs="Bookman Old Style"/>
          <w:sz w:val="24"/>
          <w:szCs w:val="24"/>
        </w:rPr>
      </w:pPr>
    </w:p>
    <w:p w14:paraId="2F98E4EA"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 pesar de la magnitud de la situación, la menopausia continúa invisibilizada en la normativa y en los prog</w:t>
      </w:r>
      <w:r>
        <w:rPr>
          <w:rFonts w:ascii="Bookman Old Style" w:eastAsia="Bookman Old Style" w:hAnsi="Bookman Old Style" w:cs="Bookman Old Style"/>
          <w:sz w:val="24"/>
          <w:szCs w:val="24"/>
        </w:rPr>
        <w:t>ramas de salud y trabajo. Menos del 4% de las mujeres mayores de 50 años acceden a tratamientos y tecnologías para manejar sus síntomas, y existe una limitada disponibilidad de opciones terapéuticas no hormonales. La ausencia de lineamientos nacionales y p</w:t>
      </w:r>
      <w:r>
        <w:rPr>
          <w:rFonts w:ascii="Bookman Old Style" w:eastAsia="Bookman Old Style" w:hAnsi="Bookman Old Style" w:cs="Bookman Old Style"/>
          <w:sz w:val="24"/>
          <w:szCs w:val="24"/>
        </w:rPr>
        <w:t>rotocolos clínicos estandarizados provoca diagnósticos tardíos o erróneos, tratamientos inadecuados y un deterioro de la calidad de vida que repercute en la productividad y en la participación laboral femenina.</w:t>
      </w:r>
    </w:p>
    <w:p w14:paraId="1792C3DF" w14:textId="77777777" w:rsidR="00F23869" w:rsidRDefault="00F23869">
      <w:pPr>
        <w:spacing w:line="276" w:lineRule="auto"/>
        <w:ind w:left="0"/>
        <w:rPr>
          <w:rFonts w:ascii="Bookman Old Style" w:eastAsia="Bookman Old Style" w:hAnsi="Bookman Old Style" w:cs="Bookman Old Style"/>
          <w:sz w:val="24"/>
          <w:szCs w:val="24"/>
        </w:rPr>
      </w:pPr>
    </w:p>
    <w:p w14:paraId="7470F3D6"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evidencia internacional demuestra que es </w:t>
      </w:r>
      <w:r>
        <w:rPr>
          <w:rFonts w:ascii="Bookman Old Style" w:eastAsia="Bookman Old Style" w:hAnsi="Bookman Old Style" w:cs="Bookman Old Style"/>
          <w:sz w:val="24"/>
          <w:szCs w:val="24"/>
        </w:rPr>
        <w:t>posible avanzar hacia modelos integrales de atención. Experiencias como las de Suecia, con directrices médicas y campañas de educación, y del Reino Unido, con marcos legales que protegen a las mujeres frente a la discriminación laboral, muestran resultados</w:t>
      </w:r>
      <w:r>
        <w:rPr>
          <w:rFonts w:ascii="Bookman Old Style" w:eastAsia="Bookman Old Style" w:hAnsi="Bookman Old Style" w:cs="Bookman Old Style"/>
          <w:sz w:val="24"/>
          <w:szCs w:val="24"/>
        </w:rPr>
        <w:t xml:space="preserve"> positivos en salud y bienestar. </w:t>
      </w:r>
    </w:p>
    <w:p w14:paraId="2C4750EE" w14:textId="77777777" w:rsidR="00F23869" w:rsidRDefault="00F23869">
      <w:pPr>
        <w:spacing w:line="276" w:lineRule="auto"/>
        <w:ind w:left="0"/>
        <w:rPr>
          <w:rFonts w:ascii="Bookman Old Style" w:eastAsia="Bookman Old Style" w:hAnsi="Bookman Old Style" w:cs="Bookman Old Style"/>
          <w:sz w:val="24"/>
          <w:szCs w:val="24"/>
        </w:rPr>
      </w:pPr>
    </w:p>
    <w:p w14:paraId="46F87B6C"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Este proyecto de ley propone reconocer la menopausia como una condición prioritaria en salud pública, desarrollar lineamientos nacionales para su diagnóstico y manejo integral, garantizar el acceso a opciones terapéuticas</w:t>
      </w:r>
      <w:r>
        <w:rPr>
          <w:rFonts w:ascii="Bookman Old Style" w:eastAsia="Bookman Old Style" w:hAnsi="Bookman Old Style" w:cs="Bookman Old Style"/>
          <w:sz w:val="24"/>
          <w:szCs w:val="24"/>
        </w:rPr>
        <w:t xml:space="preserve"> seguras y promover entornos laborales inclusivos. Con ello, Colombia podrá mejorar la salud y la calidad de vida de millones de mujeres, reducir costos asociados a enfermedades crónicas y fortalecer su participación en la economía, avanzando en el cumplim</w:t>
      </w:r>
      <w:r>
        <w:rPr>
          <w:rFonts w:ascii="Bookman Old Style" w:eastAsia="Bookman Old Style" w:hAnsi="Bookman Old Style" w:cs="Bookman Old Style"/>
          <w:sz w:val="24"/>
          <w:szCs w:val="24"/>
        </w:rPr>
        <w:t>iento de los compromisos internacionales de igualdad de género.</w:t>
      </w:r>
    </w:p>
    <w:p w14:paraId="45A3CA95" w14:textId="77777777" w:rsidR="00F23869" w:rsidRDefault="00F23869">
      <w:pPr>
        <w:spacing w:line="276" w:lineRule="auto"/>
        <w:ind w:firstLine="1418"/>
        <w:rPr>
          <w:rFonts w:ascii="Bookman Old Style" w:eastAsia="Bookman Old Style" w:hAnsi="Bookman Old Style" w:cs="Bookman Old Style"/>
          <w:sz w:val="24"/>
          <w:szCs w:val="24"/>
        </w:rPr>
      </w:pPr>
    </w:p>
    <w:p w14:paraId="379F82A2"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INTRODUCCIÓN Y JUSTIFICACIÓN GENERAL </w:t>
      </w:r>
    </w:p>
    <w:p w14:paraId="7D6345C8"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Colombia atraviesa un proceso acelerado de envejecimiento poblacional que transforma de manera estructural sus necesidades sanitarias y sociales. Para 2030, se proyecta que las personas mayores de 60 años alcanzarán los 9,7 millones, equivalentes al 17,5% </w:t>
      </w:r>
      <w:r>
        <w:rPr>
          <w:rFonts w:ascii="Bookman Old Style" w:eastAsia="Bookman Old Style" w:hAnsi="Bookman Old Style" w:cs="Bookman Old Style"/>
          <w:sz w:val="24"/>
          <w:szCs w:val="24"/>
        </w:rPr>
        <w:t>de la población total. Este cambio demográfico se acompaña de una característica clave: la esperanza de vida de las mujeres supera en promedio entre siete y nueve años a la de los hombres, lo que las convierte en mayoría en los grupos etarios más avanzados</w:t>
      </w:r>
      <w:r>
        <w:rPr>
          <w:rFonts w:ascii="Bookman Old Style" w:eastAsia="Bookman Old Style" w:hAnsi="Bookman Old Style" w:cs="Bookman Old Style"/>
          <w:sz w:val="24"/>
          <w:szCs w:val="24"/>
        </w:rPr>
        <w:t>.</w:t>
      </w:r>
    </w:p>
    <w:p w14:paraId="64790E0D" w14:textId="77777777" w:rsidR="00F23869" w:rsidRDefault="00F23869">
      <w:pPr>
        <w:spacing w:line="276" w:lineRule="auto"/>
        <w:ind w:left="0"/>
        <w:rPr>
          <w:rFonts w:ascii="Bookman Old Style" w:eastAsia="Bookman Old Style" w:hAnsi="Bookman Old Style" w:cs="Bookman Old Style"/>
          <w:sz w:val="24"/>
          <w:szCs w:val="24"/>
        </w:rPr>
      </w:pPr>
    </w:p>
    <w:p w14:paraId="131D076E"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este contexto, la menopausia se convierte en un asunto de salud pública que requiere atención prioritaria. Lejos de ser únicamente un proceso biológico transitorio, sus efectos se extienden durante años e inciden de manera significativa en la calidad</w:t>
      </w:r>
      <w:r>
        <w:rPr>
          <w:rFonts w:ascii="Bookman Old Style" w:eastAsia="Bookman Old Style" w:hAnsi="Bookman Old Style" w:cs="Bookman Old Style"/>
          <w:sz w:val="24"/>
          <w:szCs w:val="24"/>
        </w:rPr>
        <w:t xml:space="preserve"> de vida, la salud física y mental, y la </w:t>
      </w:r>
      <w:r>
        <w:rPr>
          <w:rFonts w:ascii="Bookman Old Style" w:eastAsia="Bookman Old Style" w:hAnsi="Bookman Old Style" w:cs="Bookman Old Style"/>
          <w:sz w:val="24"/>
          <w:szCs w:val="24"/>
        </w:rPr>
        <w:lastRenderedPageBreak/>
        <w:t>participación económica de las mujeres. La evidencia</w:t>
      </w:r>
      <w:r>
        <w:rPr>
          <w:rFonts w:ascii="Bookman Old Style" w:eastAsia="Bookman Old Style" w:hAnsi="Bookman Old Style" w:cs="Bookman Old Style"/>
          <w:sz w:val="24"/>
          <w:szCs w:val="24"/>
          <w:vertAlign w:val="superscript"/>
        </w:rPr>
        <w:footnoteReference w:id="1"/>
      </w:r>
      <w:r>
        <w:rPr>
          <w:rFonts w:ascii="Bookman Old Style" w:eastAsia="Bookman Old Style" w:hAnsi="Bookman Old Style" w:cs="Bookman Old Style"/>
          <w:sz w:val="24"/>
          <w:szCs w:val="24"/>
        </w:rPr>
        <w:t xml:space="preserve"> muestra que el 80,3% experimenta sofocos, un 27,3% presenta síntomas severos que afectan su productividad, calidad de vida y bienestar. Adicionalmente, estos pueden persistir más allá de los 60 años. A ello se suman factores de riesgo como la menopausia p</w:t>
      </w:r>
      <w:r>
        <w:rPr>
          <w:rFonts w:ascii="Bookman Old Style" w:eastAsia="Bookman Old Style" w:hAnsi="Bookman Old Style" w:cs="Bookman Old Style"/>
          <w:sz w:val="24"/>
          <w:szCs w:val="24"/>
        </w:rPr>
        <w:t>recoz y el tabaquismo, que incrementan hasta cuatro veces la probabilidad de síntomas severos.</w:t>
      </w:r>
    </w:p>
    <w:p w14:paraId="5BB2C05B"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Sin embargo, el marco normativo y las políticas públicas actuales en Colombia no reconocen la menopausia como una condición que exige lineamientos específicos de</w:t>
      </w:r>
      <w:r>
        <w:rPr>
          <w:rFonts w:ascii="Bookman Old Style" w:eastAsia="Bookman Old Style" w:hAnsi="Bookman Old Style" w:cs="Bookman Old Style"/>
          <w:sz w:val="24"/>
          <w:szCs w:val="24"/>
        </w:rPr>
        <w:t xml:space="preserve"> atención en salud y protección laboral. La ausencia de protocolos clínicos nacionales, la baja disponibilidad de terapias hormonales y no hormonales y la falta de campañas de información perpetúan diagnósticos tardíos, tratamientos inadecuados y la </w:t>
      </w:r>
      <w:proofErr w:type="spellStart"/>
      <w:r>
        <w:rPr>
          <w:rFonts w:ascii="Bookman Old Style" w:eastAsia="Bookman Old Style" w:hAnsi="Bookman Old Style" w:cs="Bookman Old Style"/>
          <w:sz w:val="24"/>
          <w:szCs w:val="24"/>
        </w:rPr>
        <w:t>invisi</w:t>
      </w:r>
      <w:r>
        <w:rPr>
          <w:rFonts w:ascii="Bookman Old Style" w:eastAsia="Bookman Old Style" w:hAnsi="Bookman Old Style" w:cs="Bookman Old Style"/>
          <w:sz w:val="24"/>
          <w:szCs w:val="24"/>
        </w:rPr>
        <w:t>bilización</w:t>
      </w:r>
      <w:proofErr w:type="spellEnd"/>
      <w:r>
        <w:rPr>
          <w:rFonts w:ascii="Bookman Old Style" w:eastAsia="Bookman Old Style" w:hAnsi="Bookman Old Style" w:cs="Bookman Old Style"/>
          <w:sz w:val="24"/>
          <w:szCs w:val="24"/>
        </w:rPr>
        <w:t xml:space="preserve"> del problema.</w:t>
      </w:r>
    </w:p>
    <w:p w14:paraId="738A4224" w14:textId="77777777" w:rsidR="00F23869" w:rsidRDefault="00F23869">
      <w:pPr>
        <w:spacing w:line="276" w:lineRule="auto"/>
        <w:ind w:left="0"/>
        <w:rPr>
          <w:rFonts w:ascii="Bookman Old Style" w:eastAsia="Bookman Old Style" w:hAnsi="Bookman Old Style" w:cs="Bookman Old Style"/>
          <w:sz w:val="24"/>
          <w:szCs w:val="24"/>
        </w:rPr>
      </w:pPr>
    </w:p>
    <w:p w14:paraId="1A184C2D"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Experiencias internacionales, como las de Suecia, que ha implementado directrices médicas y campañas de educación; y Reino Unido, que ha fortalecido la protección contra la discriminación laboral, evidencian que es posible reducir</w:t>
      </w:r>
      <w:r>
        <w:rPr>
          <w:rFonts w:ascii="Bookman Old Style" w:eastAsia="Bookman Old Style" w:hAnsi="Bookman Old Style" w:cs="Bookman Old Style"/>
          <w:sz w:val="24"/>
          <w:szCs w:val="24"/>
        </w:rPr>
        <w:t xml:space="preserve"> los impactos negativos de la menopausia mediante políticas integrales. Colombia tiene la oportunidad de adoptar un marco legal que incorpore estas buenas prácticas, promoviendo el bienestar de las mujeres, fortaleciendo su permanencia en el mercado labora</w:t>
      </w:r>
      <w:r>
        <w:rPr>
          <w:rFonts w:ascii="Bookman Old Style" w:eastAsia="Bookman Old Style" w:hAnsi="Bookman Old Style" w:cs="Bookman Old Style"/>
          <w:sz w:val="24"/>
          <w:szCs w:val="24"/>
        </w:rPr>
        <w:t>l y cerrando brechas de género.</w:t>
      </w:r>
    </w:p>
    <w:p w14:paraId="312F1FCF" w14:textId="77777777" w:rsidR="00F23869" w:rsidRDefault="00F23869">
      <w:pPr>
        <w:spacing w:line="276" w:lineRule="auto"/>
        <w:ind w:firstLine="1418"/>
        <w:rPr>
          <w:rFonts w:ascii="Bookman Old Style" w:eastAsia="Bookman Old Style" w:hAnsi="Bookman Old Style" w:cs="Bookman Old Style"/>
          <w:sz w:val="24"/>
          <w:szCs w:val="24"/>
        </w:rPr>
      </w:pPr>
    </w:p>
    <w:p w14:paraId="77E40A48" w14:textId="77777777" w:rsidR="00F23869" w:rsidRDefault="0057613A">
      <w:pPr>
        <w:numPr>
          <w:ilvl w:val="0"/>
          <w:numId w:val="3"/>
        </w:numPr>
        <w:pBdr>
          <w:top w:val="nil"/>
          <w:left w:val="nil"/>
          <w:bottom w:val="nil"/>
          <w:right w:val="nil"/>
          <w:between w:val="nil"/>
        </w:pBdr>
        <w:spacing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DIAGNÓSTICO DEL PROBLEMA </w:t>
      </w:r>
    </w:p>
    <w:p w14:paraId="026B744E" w14:textId="77777777" w:rsidR="00F23869" w:rsidRDefault="00F23869">
      <w:pPr>
        <w:pBdr>
          <w:top w:val="nil"/>
          <w:left w:val="nil"/>
          <w:bottom w:val="nil"/>
          <w:right w:val="nil"/>
          <w:between w:val="nil"/>
        </w:pBdr>
        <w:spacing w:line="276" w:lineRule="auto"/>
        <w:ind w:left="1080"/>
        <w:rPr>
          <w:rFonts w:ascii="Bookman Old Style" w:eastAsia="Bookman Old Style" w:hAnsi="Bookman Old Style" w:cs="Bookman Old Style"/>
          <w:b/>
          <w:color w:val="000000"/>
          <w:sz w:val="24"/>
          <w:szCs w:val="24"/>
        </w:rPr>
      </w:pPr>
    </w:p>
    <w:p w14:paraId="6F598975" w14:textId="77777777" w:rsidR="00F23869" w:rsidRDefault="0057613A">
      <w:pPr>
        <w:numPr>
          <w:ilvl w:val="0"/>
          <w:numId w:val="4"/>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Dimensión epidemiológica</w:t>
      </w:r>
    </w:p>
    <w:p w14:paraId="58FB4564"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cambio demográfico en Colombia tiene un impacto directo sobre la magnitud de la menopausia como fenómeno de salud pública. Para 2030, la población mayor de 60 años alcanzará el 17,5% del total nacional, y las mujeres representarán la mayoría en estos gr</w:t>
      </w:r>
      <w:r>
        <w:rPr>
          <w:rFonts w:ascii="Bookman Old Style" w:eastAsia="Bookman Old Style" w:hAnsi="Bookman Old Style" w:cs="Bookman Old Style"/>
          <w:sz w:val="24"/>
          <w:szCs w:val="24"/>
        </w:rPr>
        <w:t>upos etarios. Esta realidad se explica por una esperanza de vida femenina que supera en promedio entre siete y nueve años a la de los hombres (</w:t>
      </w:r>
      <w:proofErr w:type="spellStart"/>
      <w:r>
        <w:rPr>
          <w:rFonts w:ascii="Bookman Old Style" w:eastAsia="Bookman Old Style" w:hAnsi="Bookman Old Style" w:cs="Bookman Old Style"/>
          <w:sz w:val="24"/>
          <w:szCs w:val="24"/>
        </w:rPr>
        <w:t>Tserotas</w:t>
      </w:r>
      <w:proofErr w:type="spellEnd"/>
      <w:r>
        <w:rPr>
          <w:rFonts w:ascii="Bookman Old Style" w:eastAsia="Bookman Old Style" w:hAnsi="Bookman Old Style" w:cs="Bookman Old Style"/>
          <w:sz w:val="24"/>
          <w:szCs w:val="24"/>
        </w:rPr>
        <w:t>, 2025).</w:t>
      </w:r>
    </w:p>
    <w:p w14:paraId="3AA1EFDC" w14:textId="77777777" w:rsidR="00F23869" w:rsidRDefault="00F23869">
      <w:pPr>
        <w:spacing w:line="276" w:lineRule="auto"/>
        <w:ind w:left="0"/>
        <w:rPr>
          <w:rFonts w:ascii="Bookman Old Style" w:eastAsia="Bookman Old Style" w:hAnsi="Bookman Old Style" w:cs="Bookman Old Style"/>
          <w:sz w:val="24"/>
          <w:szCs w:val="24"/>
        </w:rPr>
      </w:pPr>
    </w:p>
    <w:p w14:paraId="717B9F4A"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menopausia se presenta habitualmente alrededor de los 49 años en América Latina (REDLINC, 20</w:t>
      </w:r>
      <w:r>
        <w:rPr>
          <w:rFonts w:ascii="Bookman Old Style" w:eastAsia="Bookman Old Style" w:hAnsi="Bookman Old Style" w:cs="Bookman Old Style"/>
          <w:sz w:val="24"/>
          <w:szCs w:val="24"/>
        </w:rPr>
        <w:t xml:space="preserve">24), pero en Colombia se han identificado casos de menopausia precoz (en menores de 40 años) que incrementan de manera considerable la severidad de los síntomas y los riesgos asociados </w:t>
      </w:r>
      <w:r>
        <w:rPr>
          <w:rFonts w:ascii="Bookman Old Style" w:eastAsia="Bookman Old Style" w:hAnsi="Bookman Old Style" w:cs="Bookman Old Style"/>
          <w:sz w:val="24"/>
          <w:szCs w:val="24"/>
        </w:rPr>
        <w:lastRenderedPageBreak/>
        <w:t>(Espitia De La Hoz, 2024). Entre los factores que agravan la experienci</w:t>
      </w:r>
      <w:r>
        <w:rPr>
          <w:rFonts w:ascii="Bookman Old Style" w:eastAsia="Bookman Old Style" w:hAnsi="Bookman Old Style" w:cs="Bookman Old Style"/>
          <w:sz w:val="24"/>
          <w:szCs w:val="24"/>
        </w:rPr>
        <w:t>a de esta etapa se incluyen el tabaquismo, el sobrepeso y la obesidad, así como enfermedades crónicas preexistentes.</w:t>
      </w:r>
    </w:p>
    <w:p w14:paraId="2E9AC7F4" w14:textId="77777777" w:rsidR="00F23869" w:rsidRDefault="00F23869">
      <w:pPr>
        <w:spacing w:line="276" w:lineRule="auto"/>
        <w:ind w:left="0"/>
        <w:rPr>
          <w:rFonts w:ascii="Bookman Old Style" w:eastAsia="Bookman Old Style" w:hAnsi="Bookman Old Style" w:cs="Bookman Old Style"/>
          <w:sz w:val="24"/>
          <w:szCs w:val="24"/>
        </w:rPr>
      </w:pPr>
    </w:p>
    <w:p w14:paraId="02F5AF0A" w14:textId="77777777" w:rsidR="00F23869" w:rsidRDefault="0057613A">
      <w:pPr>
        <w:numPr>
          <w:ilvl w:val="0"/>
          <w:numId w:val="4"/>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Impactos en salud </w:t>
      </w:r>
    </w:p>
    <w:p w14:paraId="2648CC7B"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menopausia no debe entenderse como un evento biológico aislado, sino como un proceso con repercusiones duraderas sob</w:t>
      </w:r>
      <w:r>
        <w:rPr>
          <w:rFonts w:ascii="Bookman Old Style" w:eastAsia="Bookman Old Style" w:hAnsi="Bookman Old Style" w:cs="Bookman Old Style"/>
          <w:sz w:val="24"/>
          <w:szCs w:val="24"/>
        </w:rPr>
        <w:t>re la salud física, mental y social de las mujeres. La Red Latinoamericana para la Investigación del Climaterio (REDLINC) ha documentado una alta carga de condiciones asociadas a la menopausia, incluyendo trastornos del sueño, disfunción sexual y un aument</w:t>
      </w:r>
      <w:r>
        <w:rPr>
          <w:rFonts w:ascii="Bookman Old Style" w:eastAsia="Bookman Old Style" w:hAnsi="Bookman Old Style" w:cs="Bookman Old Style"/>
          <w:sz w:val="24"/>
          <w:szCs w:val="24"/>
        </w:rPr>
        <w:t xml:space="preserve">o significativo en la prevalencia del síndrome metabólico entre mujeres </w:t>
      </w:r>
      <w:proofErr w:type="spellStart"/>
      <w:r>
        <w:rPr>
          <w:rFonts w:ascii="Bookman Old Style" w:eastAsia="Bookman Old Style" w:hAnsi="Bookman Old Style" w:cs="Bookman Old Style"/>
          <w:sz w:val="24"/>
          <w:szCs w:val="24"/>
        </w:rPr>
        <w:t>perimenopáusicas</w:t>
      </w:r>
      <w:proofErr w:type="spellEnd"/>
      <w:r>
        <w:rPr>
          <w:rFonts w:ascii="Bookman Old Style" w:eastAsia="Bookman Old Style" w:hAnsi="Bookman Old Style" w:cs="Bookman Old Style"/>
          <w:sz w:val="24"/>
          <w:szCs w:val="24"/>
        </w:rPr>
        <w:t xml:space="preserve"> y posmenopáusicas (</w:t>
      </w:r>
      <w:proofErr w:type="spellStart"/>
      <w:r>
        <w:rPr>
          <w:rFonts w:ascii="Bookman Old Style" w:eastAsia="Bookman Old Style" w:hAnsi="Bookman Old Style" w:cs="Bookman Old Style"/>
          <w:sz w:val="24"/>
          <w:szCs w:val="24"/>
        </w:rPr>
        <w:t>Tserotas</w:t>
      </w:r>
      <w:proofErr w:type="spellEnd"/>
      <w:r>
        <w:rPr>
          <w:rFonts w:ascii="Bookman Old Style" w:eastAsia="Bookman Old Style" w:hAnsi="Bookman Old Style" w:cs="Bookman Old Style"/>
          <w:sz w:val="24"/>
          <w:szCs w:val="24"/>
        </w:rPr>
        <w:t xml:space="preserve"> et al., 2025).</w:t>
      </w:r>
    </w:p>
    <w:p w14:paraId="51D946DA" w14:textId="77777777" w:rsidR="00F23869" w:rsidRDefault="00F23869">
      <w:pPr>
        <w:spacing w:line="276" w:lineRule="auto"/>
        <w:ind w:left="0"/>
        <w:rPr>
          <w:rFonts w:ascii="Bookman Old Style" w:eastAsia="Bookman Old Style" w:hAnsi="Bookman Old Style" w:cs="Bookman Old Style"/>
          <w:sz w:val="24"/>
          <w:szCs w:val="24"/>
        </w:rPr>
      </w:pPr>
    </w:p>
    <w:p w14:paraId="17800492"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particular, la presencia de síndrome metabólico en mujeres posmenopáusicas se ha reportado como elevada en investigacion</w:t>
      </w:r>
      <w:r>
        <w:rPr>
          <w:rFonts w:ascii="Bookman Old Style" w:eastAsia="Bookman Old Style" w:hAnsi="Bookman Old Style" w:cs="Bookman Old Style"/>
          <w:sz w:val="24"/>
          <w:szCs w:val="24"/>
        </w:rPr>
        <w:t>es latinoamericanas; REDLINC y trabajos asociados estiman una prevalencia cercana al 42.9%, asociada a factores como obesidad abdominal, sedentarismo, hipertensión y dislipidemia, lo que incrementa el riesgo de enfermedad cardiovascular y diabetes tipo 2 e</w:t>
      </w:r>
      <w:r>
        <w:rPr>
          <w:rFonts w:ascii="Bookman Old Style" w:eastAsia="Bookman Old Style" w:hAnsi="Bookman Old Style" w:cs="Bookman Old Style"/>
          <w:sz w:val="24"/>
          <w:szCs w:val="24"/>
        </w:rPr>
        <w:t>n esta población (</w:t>
      </w:r>
      <w:proofErr w:type="spellStart"/>
      <w:r>
        <w:rPr>
          <w:rFonts w:ascii="Bookman Old Style" w:eastAsia="Bookman Old Style" w:hAnsi="Bookman Old Style" w:cs="Bookman Old Style"/>
          <w:sz w:val="24"/>
          <w:szCs w:val="24"/>
        </w:rPr>
        <w:t>Tserotas</w:t>
      </w:r>
      <w:proofErr w:type="spellEnd"/>
      <w:r>
        <w:rPr>
          <w:rFonts w:ascii="Bookman Old Style" w:eastAsia="Bookman Old Style" w:hAnsi="Bookman Old Style" w:cs="Bookman Old Style"/>
          <w:sz w:val="24"/>
          <w:szCs w:val="24"/>
        </w:rPr>
        <w:t xml:space="preserve"> et al., 2025). </w:t>
      </w:r>
    </w:p>
    <w:p w14:paraId="253C13AE" w14:textId="77777777" w:rsidR="00F23869" w:rsidRDefault="00F23869">
      <w:pPr>
        <w:spacing w:line="276" w:lineRule="auto"/>
        <w:ind w:left="0"/>
        <w:rPr>
          <w:rFonts w:ascii="Bookman Old Style" w:eastAsia="Bookman Old Style" w:hAnsi="Bookman Old Style" w:cs="Bookman Old Style"/>
          <w:sz w:val="24"/>
          <w:szCs w:val="24"/>
        </w:rPr>
      </w:pPr>
    </w:p>
    <w:p w14:paraId="0CCBCE5C"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Los síntomas climatéricos que afectan la calidad de vida son también muy prevalentes, y en estudios nacionales, se han documentado cifras elevadas de sofocos y de síntomas severos: por ejemplo, en una muestra de </w:t>
      </w:r>
      <w:r>
        <w:rPr>
          <w:rFonts w:ascii="Bookman Old Style" w:eastAsia="Bookman Old Style" w:hAnsi="Bookman Old Style" w:cs="Bookman Old Style"/>
          <w:sz w:val="24"/>
          <w:szCs w:val="24"/>
        </w:rPr>
        <w:t xml:space="preserve">mujeres mayores de 60 años en Colombia se reportó que 80,3% experimentó sofocos y 27,3% presentó síntomas catalogados como severos, con impacto en la calidad de vida (Espitia De La Hoz, 2024). </w:t>
      </w:r>
    </w:p>
    <w:p w14:paraId="01B8523A" w14:textId="77777777" w:rsidR="00F23869" w:rsidRDefault="00F23869">
      <w:pPr>
        <w:spacing w:line="276" w:lineRule="auto"/>
        <w:ind w:left="0"/>
        <w:rPr>
          <w:rFonts w:ascii="Bookman Old Style" w:eastAsia="Bookman Old Style" w:hAnsi="Bookman Old Style" w:cs="Bookman Old Style"/>
          <w:b/>
          <w:sz w:val="24"/>
          <w:szCs w:val="24"/>
        </w:rPr>
      </w:pPr>
    </w:p>
    <w:p w14:paraId="17373465"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La salud mental también se ve afectada:</w:t>
      </w:r>
      <w:r>
        <w:rPr>
          <w:rFonts w:ascii="Bookman Old Style" w:eastAsia="Bookman Old Style" w:hAnsi="Bookman Old Style" w:cs="Bookman Old Style"/>
          <w:sz w:val="24"/>
          <w:szCs w:val="24"/>
        </w:rPr>
        <w:t xml:space="preserve"> los síntomas menopáus</w:t>
      </w:r>
      <w:r>
        <w:rPr>
          <w:rFonts w:ascii="Bookman Old Style" w:eastAsia="Bookman Old Style" w:hAnsi="Bookman Old Style" w:cs="Bookman Old Style"/>
          <w:sz w:val="24"/>
          <w:szCs w:val="24"/>
        </w:rPr>
        <w:t>icos (oleadas de calor o bochornos, insomnio, cambios del estado de ánimo) se han asociado con aumentos en ansiedad y depresión y con disminución en la autoestima, lo cual repercute en la capacidad funcional y en la participación social y laboral (</w:t>
      </w:r>
      <w:proofErr w:type="spellStart"/>
      <w:r>
        <w:rPr>
          <w:rFonts w:ascii="Bookman Old Style" w:eastAsia="Bookman Old Style" w:hAnsi="Bookman Old Style" w:cs="Bookman Old Style"/>
          <w:sz w:val="24"/>
          <w:szCs w:val="24"/>
        </w:rPr>
        <w:t>Society</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for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Women’s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Health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Research</w:t>
      </w:r>
      <w:proofErr w:type="spellEnd"/>
      <w:r>
        <w:rPr>
          <w:rFonts w:ascii="Bookman Old Style" w:eastAsia="Bookman Old Style" w:hAnsi="Bookman Old Style" w:cs="Bookman Old Style"/>
          <w:sz w:val="24"/>
          <w:szCs w:val="24"/>
        </w:rPr>
        <w:t xml:space="preserve"> [SWHR], 2024). </w:t>
      </w:r>
    </w:p>
    <w:p w14:paraId="3BE1B872" w14:textId="77777777" w:rsidR="00F23869" w:rsidRDefault="00F23869">
      <w:pPr>
        <w:spacing w:line="276" w:lineRule="auto"/>
        <w:ind w:left="0"/>
        <w:rPr>
          <w:rFonts w:ascii="Bookman Old Style" w:eastAsia="Bookman Old Style" w:hAnsi="Bookman Old Style" w:cs="Bookman Old Style"/>
          <w:sz w:val="24"/>
          <w:szCs w:val="24"/>
        </w:rPr>
      </w:pPr>
    </w:p>
    <w:p w14:paraId="5D6DCF45"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Finalmente, la atención clínica se ha visto condicionada por preocupaciones regulatorias sobre la terapia hormonal. En Colombia el INVIMA publicó en 2020 un informe de seguridad (No. 215-2020) relacionado con ri</w:t>
      </w:r>
      <w:r>
        <w:rPr>
          <w:rFonts w:ascii="Bookman Old Style" w:eastAsia="Bookman Old Style" w:hAnsi="Bookman Old Style" w:cs="Bookman Old Style"/>
          <w:sz w:val="24"/>
          <w:szCs w:val="24"/>
        </w:rPr>
        <w:t xml:space="preserve">esgos asociados al uso prolongado de terapia de reemplazo hormonal en mujeres </w:t>
      </w:r>
      <w:r>
        <w:rPr>
          <w:rFonts w:ascii="Bookman Old Style" w:eastAsia="Bookman Old Style" w:hAnsi="Bookman Old Style" w:cs="Bookman Old Style"/>
          <w:sz w:val="24"/>
          <w:szCs w:val="24"/>
        </w:rPr>
        <w:lastRenderedPageBreak/>
        <w:t>postmenopáusicas, lo cual ha influido en las prácticas de prescripción y en la demanda por alternativas no hormonales; por eso es necesario articular pautas clínicas y opciones t</w:t>
      </w:r>
      <w:r>
        <w:rPr>
          <w:rFonts w:ascii="Bookman Old Style" w:eastAsia="Bookman Old Style" w:hAnsi="Bookman Old Style" w:cs="Bookman Old Style"/>
          <w:sz w:val="24"/>
          <w:szCs w:val="24"/>
        </w:rPr>
        <w:t>erapéuticas claras y basadas en evidencia para minimizar riesgos y maximizar beneficios.</w:t>
      </w:r>
    </w:p>
    <w:p w14:paraId="58B56C72" w14:textId="77777777" w:rsidR="00F23869" w:rsidRDefault="00F23869">
      <w:pPr>
        <w:spacing w:line="276" w:lineRule="auto"/>
        <w:ind w:left="0"/>
        <w:rPr>
          <w:rFonts w:ascii="Bookman Old Style" w:eastAsia="Bookman Old Style" w:hAnsi="Bookman Old Style" w:cs="Bookman Old Style"/>
          <w:sz w:val="24"/>
          <w:szCs w:val="24"/>
        </w:rPr>
      </w:pPr>
    </w:p>
    <w:p w14:paraId="430E3E36" w14:textId="77777777" w:rsidR="00F23869" w:rsidRDefault="0057613A">
      <w:pPr>
        <w:numPr>
          <w:ilvl w:val="0"/>
          <w:numId w:val="4"/>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Carga socioeconómica </w:t>
      </w:r>
    </w:p>
    <w:p w14:paraId="14756D92"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impacto de la menopausia trasciende el ámbito sanitario y repercute directamente en la economía y en la participación laboral de las mujeres. En Colombia, las mujeres entre 40 y 59 años constituyen un segmento importante de la población económicamente a</w:t>
      </w:r>
      <w:r>
        <w:rPr>
          <w:rFonts w:ascii="Bookman Old Style" w:eastAsia="Bookman Old Style" w:hAnsi="Bookman Old Style" w:cs="Bookman Old Style"/>
          <w:sz w:val="24"/>
          <w:szCs w:val="24"/>
        </w:rPr>
        <w:t>ctiva, pero la ausencia de políticas laborales y de salud que consideren esta etapa provoca pérdida de talento y amplía las brechas de género (Departamento Administrativo Nacional de Estadística, 2022).</w:t>
      </w:r>
    </w:p>
    <w:p w14:paraId="77F9263E"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evidencia internacional y nacional muestra que los</w:t>
      </w:r>
      <w:r>
        <w:rPr>
          <w:rFonts w:ascii="Bookman Old Style" w:eastAsia="Bookman Old Style" w:hAnsi="Bookman Old Style" w:cs="Bookman Old Style"/>
          <w:sz w:val="24"/>
          <w:szCs w:val="24"/>
        </w:rPr>
        <w:t xml:space="preserve"> síntomas menopáusicos afectan significativamente la capacidad laboral. El estudio EMPACT </w:t>
      </w:r>
      <w:proofErr w:type="spellStart"/>
      <w:r>
        <w:rPr>
          <w:rFonts w:ascii="Bookman Old Style" w:eastAsia="Bookman Old Style" w:hAnsi="Bookman Old Style" w:cs="Bookman Old Style"/>
          <w:sz w:val="24"/>
          <w:szCs w:val="24"/>
        </w:rPr>
        <w:t>Menopause</w:t>
      </w:r>
      <w:proofErr w:type="spellEnd"/>
      <w:r>
        <w:rPr>
          <w:rFonts w:ascii="Bookman Old Style" w:eastAsia="Bookman Old Style" w:hAnsi="Bookman Old Style" w:cs="Bookman Old Style"/>
          <w:sz w:val="24"/>
          <w:szCs w:val="24"/>
        </w:rPr>
        <w:t xml:space="preserve"> (2024) identificó que el 20,51% de las mujeres reportó una disminución de su eficiencia laboral; el 45% indicó que los síntomas redujeron su motivación en e</w:t>
      </w:r>
      <w:r>
        <w:rPr>
          <w:rFonts w:ascii="Bookman Old Style" w:eastAsia="Bookman Old Style" w:hAnsi="Bookman Old Style" w:cs="Bookman Old Style"/>
          <w:sz w:val="24"/>
          <w:szCs w:val="24"/>
        </w:rPr>
        <w:t>l trabajo; el 48% reportó deterioro de la autoestima y la confianza; y 1 de cada 4 señaló que evitó postularse a oportunidades de liderazgo debido a los síntomas. Asimismo, 2 de cada 5 consideraron cambiar de empleo como respuesta a los efectos de la menop</w:t>
      </w:r>
      <w:r>
        <w:rPr>
          <w:rFonts w:ascii="Bookman Old Style" w:eastAsia="Bookman Old Style" w:hAnsi="Bookman Old Style" w:cs="Bookman Old Style"/>
          <w:sz w:val="24"/>
          <w:szCs w:val="24"/>
        </w:rPr>
        <w:t>ausia (</w:t>
      </w:r>
      <w:proofErr w:type="spellStart"/>
      <w:r>
        <w:rPr>
          <w:rFonts w:ascii="Bookman Old Style" w:eastAsia="Bookman Old Style" w:hAnsi="Bookman Old Style" w:cs="Bookman Old Style"/>
          <w:sz w:val="24"/>
          <w:szCs w:val="24"/>
        </w:rPr>
        <w:t>Society</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for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Women’s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Health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Research</w:t>
      </w:r>
      <w:proofErr w:type="spellEnd"/>
      <w:r>
        <w:rPr>
          <w:rFonts w:ascii="Bookman Old Style" w:eastAsia="Bookman Old Style" w:hAnsi="Bookman Old Style" w:cs="Bookman Old Style"/>
          <w:sz w:val="24"/>
          <w:szCs w:val="24"/>
        </w:rPr>
        <w:t>, 2024).</w:t>
      </w:r>
    </w:p>
    <w:p w14:paraId="2C3D1F2C" w14:textId="77777777" w:rsidR="00F23869" w:rsidRDefault="00F23869">
      <w:pPr>
        <w:spacing w:line="276" w:lineRule="auto"/>
        <w:ind w:left="0"/>
        <w:rPr>
          <w:rFonts w:ascii="Bookman Old Style" w:eastAsia="Bookman Old Style" w:hAnsi="Bookman Old Style" w:cs="Bookman Old Style"/>
          <w:sz w:val="24"/>
          <w:szCs w:val="24"/>
        </w:rPr>
      </w:pPr>
    </w:p>
    <w:p w14:paraId="3FE19E32"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el ámbito de las condiciones laborales, el 61% de las trabajadoras encuestadas indicó que su lugar de trabajo no contaba con políticas o recursos formales para abordar la menopausia (SWHR, 2024). Esta </w:t>
      </w:r>
      <w:r>
        <w:rPr>
          <w:rFonts w:ascii="Bookman Old Style" w:eastAsia="Bookman Old Style" w:hAnsi="Bookman Old Style" w:cs="Bookman Old Style"/>
          <w:sz w:val="24"/>
          <w:szCs w:val="24"/>
        </w:rPr>
        <w:t>ausencia de medidas contribuye al ausentismo, a la reducción de la productividad y a la pérdida de talento femenino calificado.</w:t>
      </w:r>
    </w:p>
    <w:p w14:paraId="4D7EBB61" w14:textId="77777777" w:rsidR="00F23869" w:rsidRDefault="00F23869">
      <w:pPr>
        <w:spacing w:line="276" w:lineRule="auto"/>
        <w:ind w:left="0"/>
        <w:rPr>
          <w:rFonts w:ascii="Bookman Old Style" w:eastAsia="Bookman Old Style" w:hAnsi="Bookman Old Style" w:cs="Bookman Old Style"/>
          <w:sz w:val="24"/>
          <w:szCs w:val="24"/>
        </w:rPr>
      </w:pPr>
    </w:p>
    <w:p w14:paraId="11E76291"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el contexto internacional, el </w:t>
      </w:r>
      <w:proofErr w:type="spellStart"/>
      <w:r>
        <w:rPr>
          <w:rFonts w:ascii="Bookman Old Style" w:eastAsia="Bookman Old Style" w:hAnsi="Bookman Old Style" w:cs="Bookman Old Style"/>
          <w:sz w:val="24"/>
          <w:szCs w:val="24"/>
        </w:rPr>
        <w:t>Women</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Equalities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Committee</w:t>
      </w:r>
      <w:proofErr w:type="spellEnd"/>
      <w:r>
        <w:rPr>
          <w:rFonts w:ascii="Bookman Old Style" w:eastAsia="Bookman Old Style" w:hAnsi="Bookman Old Style" w:cs="Bookman Old Style"/>
          <w:sz w:val="24"/>
          <w:szCs w:val="24"/>
        </w:rPr>
        <w:t xml:space="preserve"> del Parlamento del Reino Unido (2022) ha señalado que la menopa</w:t>
      </w:r>
      <w:r>
        <w:rPr>
          <w:rFonts w:ascii="Bookman Old Style" w:eastAsia="Bookman Old Style" w:hAnsi="Bookman Old Style" w:cs="Bookman Old Style"/>
          <w:sz w:val="24"/>
          <w:szCs w:val="24"/>
        </w:rPr>
        <w:t>usia sigue siendo un tema estigmatizado en el entorno laboral, con impactos desproporcionados en mujeres de grupos minoritarios. El Comité ha recomendado campañas públicas inclusivas y marcos legales que protejan a las mujeres menopáusicas contra la discri</w:t>
      </w:r>
      <w:r>
        <w:rPr>
          <w:rFonts w:ascii="Bookman Old Style" w:eastAsia="Bookman Old Style" w:hAnsi="Bookman Old Style" w:cs="Bookman Old Style"/>
          <w:sz w:val="24"/>
          <w:szCs w:val="24"/>
        </w:rPr>
        <w:t>minación, medidas que podrían servir de referencia para el caso colombiano.</w:t>
      </w:r>
    </w:p>
    <w:p w14:paraId="74BCFE7C" w14:textId="77777777" w:rsidR="00F23869" w:rsidRDefault="00F23869">
      <w:pPr>
        <w:spacing w:line="276" w:lineRule="auto"/>
        <w:ind w:left="0"/>
        <w:rPr>
          <w:rFonts w:ascii="Bookman Old Style" w:eastAsia="Bookman Old Style" w:hAnsi="Bookman Old Style" w:cs="Bookman Old Style"/>
          <w:sz w:val="24"/>
          <w:szCs w:val="24"/>
        </w:rPr>
      </w:pPr>
    </w:p>
    <w:p w14:paraId="117BC287"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futuro, la presión económica derivada de la falta de atención integral será creciente. Según proyecciones oficiales, para 2035 las mujeres mayores de </w:t>
      </w:r>
      <w:r>
        <w:rPr>
          <w:rFonts w:ascii="Bookman Old Style" w:eastAsia="Bookman Old Style" w:hAnsi="Bookman Old Style" w:cs="Bookman Old Style"/>
          <w:sz w:val="24"/>
          <w:szCs w:val="24"/>
        </w:rPr>
        <w:lastRenderedPageBreak/>
        <w:t>50 años representarán el 31</w:t>
      </w:r>
      <w:r>
        <w:rPr>
          <w:rFonts w:ascii="Bookman Old Style" w:eastAsia="Bookman Old Style" w:hAnsi="Bookman Old Style" w:cs="Bookman Old Style"/>
          <w:sz w:val="24"/>
          <w:szCs w:val="24"/>
        </w:rPr>
        <w:t>% de la población femenina nacional (DANE, 2022), lo que significa que una fracción sustancial de la fuerza laboral estará en edad posmenopáusica y podría requerir intervenciones de salud y adecuaciones laborales para mantener su bienestar y productividad.</w:t>
      </w:r>
    </w:p>
    <w:p w14:paraId="53E262AC" w14:textId="77777777" w:rsidR="00F23869" w:rsidRDefault="00F23869">
      <w:pPr>
        <w:spacing w:line="276" w:lineRule="auto"/>
        <w:ind w:firstLine="1418"/>
        <w:rPr>
          <w:rFonts w:ascii="Bookman Old Style" w:eastAsia="Bookman Old Style" w:hAnsi="Bookman Old Style" w:cs="Bookman Old Style"/>
          <w:sz w:val="24"/>
          <w:szCs w:val="24"/>
        </w:rPr>
      </w:pPr>
    </w:p>
    <w:p w14:paraId="2EF05214" w14:textId="77777777" w:rsidR="00F23869" w:rsidRDefault="00F23869">
      <w:pPr>
        <w:spacing w:line="276" w:lineRule="auto"/>
        <w:ind w:firstLine="1418"/>
        <w:rPr>
          <w:rFonts w:ascii="Bookman Old Style" w:eastAsia="Bookman Old Style" w:hAnsi="Bookman Old Style" w:cs="Bookman Old Style"/>
          <w:sz w:val="24"/>
          <w:szCs w:val="24"/>
        </w:rPr>
      </w:pPr>
    </w:p>
    <w:p w14:paraId="54898AD4"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INDICADORES CLAVE DE LA MENOPAUSIA EN COLOMBIA</w:t>
      </w:r>
    </w:p>
    <w:tbl>
      <w:tblPr>
        <w:tblStyle w:val="a0"/>
        <w:tblW w:w="8977"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179"/>
        <w:gridCol w:w="2095"/>
        <w:gridCol w:w="1863"/>
        <w:gridCol w:w="840"/>
      </w:tblGrid>
      <w:tr w:rsidR="00F23869" w14:paraId="4A7D1B50" w14:textId="77777777" w:rsidTr="00F23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3B9FBE62"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Indicador</w:t>
            </w:r>
          </w:p>
        </w:tc>
        <w:tc>
          <w:tcPr>
            <w:tcW w:w="2095" w:type="dxa"/>
          </w:tcPr>
          <w:p w14:paraId="7A57877F"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b w:val="0"/>
              </w:rPr>
              <w:t>Valor</w:t>
            </w:r>
          </w:p>
        </w:tc>
        <w:tc>
          <w:tcPr>
            <w:tcW w:w="1863" w:type="dxa"/>
          </w:tcPr>
          <w:p w14:paraId="0AF6016F"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b w:val="0"/>
              </w:rPr>
              <w:t>Fuente</w:t>
            </w:r>
          </w:p>
        </w:tc>
        <w:tc>
          <w:tcPr>
            <w:tcW w:w="840" w:type="dxa"/>
          </w:tcPr>
          <w:p w14:paraId="1AA1C130"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b w:val="0"/>
              </w:rPr>
              <w:t>Año</w:t>
            </w:r>
          </w:p>
        </w:tc>
      </w:tr>
      <w:tr w:rsidR="00F23869" w14:paraId="36F52BEC"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3C8DB3D7"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Población mayor de 50 años proyectada para 2035</w:t>
            </w:r>
          </w:p>
        </w:tc>
        <w:tc>
          <w:tcPr>
            <w:tcW w:w="2095" w:type="dxa"/>
          </w:tcPr>
          <w:p w14:paraId="2339088A"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8.941,690 (16% del total de la población colombiana)</w:t>
            </w:r>
          </w:p>
        </w:tc>
        <w:tc>
          <w:tcPr>
            <w:tcW w:w="1863" w:type="dxa"/>
          </w:tcPr>
          <w:p w14:paraId="5E0949E8"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DANE, 2025</w:t>
            </w:r>
          </w:p>
        </w:tc>
        <w:tc>
          <w:tcPr>
            <w:tcW w:w="840" w:type="dxa"/>
          </w:tcPr>
          <w:p w14:paraId="256536D4"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2025</w:t>
            </w:r>
          </w:p>
        </w:tc>
      </w:tr>
      <w:tr w:rsidR="00F23869" w14:paraId="52EF78C9" w14:textId="77777777" w:rsidTr="00F23869">
        <w:tc>
          <w:tcPr>
            <w:cnfStyle w:val="001000000000" w:firstRow="0" w:lastRow="0" w:firstColumn="1" w:lastColumn="0" w:oddVBand="0" w:evenVBand="0" w:oddHBand="0" w:evenHBand="0" w:firstRowFirstColumn="0" w:firstRowLastColumn="0" w:lastRowFirstColumn="0" w:lastRowLastColumn="0"/>
            <w:tcW w:w="4179" w:type="dxa"/>
          </w:tcPr>
          <w:p w14:paraId="76A2CC74"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Esperanza de vida femenina vs. masculina</w:t>
            </w:r>
          </w:p>
        </w:tc>
        <w:tc>
          <w:tcPr>
            <w:tcW w:w="2095" w:type="dxa"/>
          </w:tcPr>
          <w:p w14:paraId="5E8A8888"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+7 a +9 años</w:t>
            </w:r>
          </w:p>
        </w:tc>
        <w:tc>
          <w:tcPr>
            <w:tcW w:w="1863" w:type="dxa"/>
          </w:tcPr>
          <w:p w14:paraId="03A4B622"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DANE, 2025</w:t>
            </w:r>
          </w:p>
        </w:tc>
        <w:tc>
          <w:tcPr>
            <w:tcW w:w="840" w:type="dxa"/>
          </w:tcPr>
          <w:p w14:paraId="60EBD8F7"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2025</w:t>
            </w:r>
          </w:p>
        </w:tc>
      </w:tr>
      <w:tr w:rsidR="00F23869" w14:paraId="0EC03B33"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47F996ED"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Prevalencia de sofocos</w:t>
            </w:r>
          </w:p>
        </w:tc>
        <w:tc>
          <w:tcPr>
            <w:tcW w:w="2095" w:type="dxa"/>
          </w:tcPr>
          <w:p w14:paraId="4D1FEF1E"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80,3%</w:t>
            </w:r>
          </w:p>
        </w:tc>
        <w:tc>
          <w:tcPr>
            <w:tcW w:w="1863" w:type="dxa"/>
          </w:tcPr>
          <w:p w14:paraId="5D2536C0"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proofErr w:type="spellStart"/>
            <w:r>
              <w:rPr>
                <w:rFonts w:ascii="Bookman Old Style" w:eastAsia="Bookman Old Style" w:hAnsi="Bookman Old Style" w:cs="Bookman Old Style"/>
              </w:rPr>
              <w:t>Espítia</w:t>
            </w:r>
            <w:proofErr w:type="spellEnd"/>
            <w:r>
              <w:rPr>
                <w:rFonts w:ascii="Bookman Old Style" w:eastAsia="Bookman Old Style" w:hAnsi="Bookman Old Style" w:cs="Bookman Old Style"/>
              </w:rPr>
              <w:t xml:space="preserve"> De La Hoz, 2024</w:t>
            </w:r>
          </w:p>
        </w:tc>
        <w:tc>
          <w:tcPr>
            <w:tcW w:w="840" w:type="dxa"/>
          </w:tcPr>
          <w:p w14:paraId="77B2505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r w:rsidR="00F23869" w14:paraId="108C1643" w14:textId="77777777" w:rsidTr="00F23869">
        <w:tc>
          <w:tcPr>
            <w:cnfStyle w:val="001000000000" w:firstRow="0" w:lastRow="0" w:firstColumn="1" w:lastColumn="0" w:oddVBand="0" w:evenVBand="0" w:oddHBand="0" w:evenHBand="0" w:firstRowFirstColumn="0" w:firstRowLastColumn="0" w:lastRowFirstColumn="0" w:lastRowLastColumn="0"/>
            <w:tcW w:w="4179" w:type="dxa"/>
          </w:tcPr>
          <w:p w14:paraId="7FABCC18"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Síntomas severos que afectan calidad de vida</w:t>
            </w:r>
          </w:p>
        </w:tc>
        <w:tc>
          <w:tcPr>
            <w:tcW w:w="2095" w:type="dxa"/>
          </w:tcPr>
          <w:p w14:paraId="7CC1BA3D"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27,3%</w:t>
            </w:r>
          </w:p>
        </w:tc>
        <w:tc>
          <w:tcPr>
            <w:tcW w:w="1863" w:type="dxa"/>
          </w:tcPr>
          <w:p w14:paraId="2F12AA60"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proofErr w:type="spellStart"/>
            <w:r>
              <w:rPr>
                <w:rFonts w:ascii="Bookman Old Style" w:eastAsia="Bookman Old Style" w:hAnsi="Bookman Old Style" w:cs="Bookman Old Style"/>
              </w:rPr>
              <w:t>Espítia</w:t>
            </w:r>
            <w:proofErr w:type="spellEnd"/>
            <w:r>
              <w:rPr>
                <w:rFonts w:ascii="Bookman Old Style" w:eastAsia="Bookman Old Style" w:hAnsi="Bookman Old Style" w:cs="Bookman Old Style"/>
              </w:rPr>
              <w:t xml:space="preserve"> De La Hoz, 2024</w:t>
            </w:r>
          </w:p>
        </w:tc>
        <w:tc>
          <w:tcPr>
            <w:tcW w:w="840" w:type="dxa"/>
          </w:tcPr>
          <w:p w14:paraId="7A1EF439"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r w:rsidR="00F23869" w14:paraId="2ECA313B"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693EBD03"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Riesgo relativo de síntomas severos en menopausia precoz</w:t>
            </w:r>
          </w:p>
        </w:tc>
        <w:tc>
          <w:tcPr>
            <w:tcW w:w="2095" w:type="dxa"/>
          </w:tcPr>
          <w:p w14:paraId="26E61088"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4 veces mayor</w:t>
            </w:r>
          </w:p>
        </w:tc>
        <w:tc>
          <w:tcPr>
            <w:tcW w:w="1863" w:type="dxa"/>
          </w:tcPr>
          <w:p w14:paraId="6314EF38"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proofErr w:type="spellStart"/>
            <w:r>
              <w:rPr>
                <w:rFonts w:ascii="Bookman Old Style" w:eastAsia="Bookman Old Style" w:hAnsi="Bookman Old Style" w:cs="Bookman Old Style"/>
              </w:rPr>
              <w:t>Espítia</w:t>
            </w:r>
            <w:proofErr w:type="spellEnd"/>
            <w:r>
              <w:rPr>
                <w:rFonts w:ascii="Bookman Old Style" w:eastAsia="Bookman Old Style" w:hAnsi="Bookman Old Style" w:cs="Bookman Old Style"/>
              </w:rPr>
              <w:t xml:space="preserve"> De La Hoz, 2024</w:t>
            </w:r>
          </w:p>
        </w:tc>
        <w:tc>
          <w:tcPr>
            <w:tcW w:w="840" w:type="dxa"/>
          </w:tcPr>
          <w:p w14:paraId="352A31ED"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r w:rsidR="00F23869" w14:paraId="06BBE956" w14:textId="77777777" w:rsidTr="00F23869">
        <w:tc>
          <w:tcPr>
            <w:cnfStyle w:val="001000000000" w:firstRow="0" w:lastRow="0" w:firstColumn="1" w:lastColumn="0" w:oddVBand="0" w:evenVBand="0" w:oddHBand="0" w:evenHBand="0" w:firstRowFirstColumn="0" w:firstRowLastColumn="0" w:lastRowFirstColumn="0" w:lastRowLastColumn="0"/>
            <w:tcW w:w="4179" w:type="dxa"/>
          </w:tcPr>
          <w:p w14:paraId="1DCF8000"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Prevalencia de síndrome metabólico en posmenopausia</w:t>
            </w:r>
          </w:p>
        </w:tc>
        <w:tc>
          <w:tcPr>
            <w:tcW w:w="2095" w:type="dxa"/>
          </w:tcPr>
          <w:p w14:paraId="3C6E3221"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42,9%</w:t>
            </w:r>
          </w:p>
        </w:tc>
        <w:tc>
          <w:tcPr>
            <w:tcW w:w="1863" w:type="dxa"/>
          </w:tcPr>
          <w:p w14:paraId="6A85E351"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proofErr w:type="spellStart"/>
            <w:r>
              <w:rPr>
                <w:rFonts w:ascii="Bookman Old Style" w:eastAsia="Bookman Old Style" w:hAnsi="Bookman Old Style" w:cs="Bookman Old Style"/>
              </w:rPr>
              <w:t>Tserotas</w:t>
            </w:r>
            <w:proofErr w:type="spellEnd"/>
            <w:r>
              <w:rPr>
                <w:rFonts w:ascii="Bookman Old Style" w:eastAsia="Bookman Old Style" w:hAnsi="Bookman Old Style" w:cs="Bookman Old Style"/>
              </w:rPr>
              <w:t xml:space="preserve"> et al., 2025</w:t>
            </w:r>
          </w:p>
        </w:tc>
        <w:tc>
          <w:tcPr>
            <w:tcW w:w="840" w:type="dxa"/>
          </w:tcPr>
          <w:p w14:paraId="2D6E97A2"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2025</w:t>
            </w:r>
          </w:p>
        </w:tc>
      </w:tr>
      <w:tr w:rsidR="00F23869" w14:paraId="5FA9EBF0"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71F346A8"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Mujeres sin políticas laborales para menopausia</w:t>
            </w:r>
          </w:p>
        </w:tc>
        <w:tc>
          <w:tcPr>
            <w:tcW w:w="2095" w:type="dxa"/>
          </w:tcPr>
          <w:p w14:paraId="1CEA80A3"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61%</w:t>
            </w:r>
          </w:p>
        </w:tc>
        <w:tc>
          <w:tcPr>
            <w:tcW w:w="1863" w:type="dxa"/>
          </w:tcPr>
          <w:p w14:paraId="6B55AC6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SWHR, 2024</w:t>
            </w:r>
          </w:p>
        </w:tc>
        <w:tc>
          <w:tcPr>
            <w:tcW w:w="840" w:type="dxa"/>
          </w:tcPr>
          <w:p w14:paraId="50C2E3CC"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r w:rsidR="00F23869" w14:paraId="1466E0D2" w14:textId="77777777" w:rsidTr="00F23869">
        <w:tc>
          <w:tcPr>
            <w:cnfStyle w:val="001000000000" w:firstRow="0" w:lastRow="0" w:firstColumn="1" w:lastColumn="0" w:oddVBand="0" w:evenVBand="0" w:oddHBand="0" w:evenHBand="0" w:firstRowFirstColumn="0" w:firstRowLastColumn="0" w:lastRowFirstColumn="0" w:lastRowLastColumn="0"/>
            <w:tcW w:w="4179" w:type="dxa"/>
          </w:tcPr>
          <w:p w14:paraId="14CD466F"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Mujeres que no se postulan a liderazgo por síntomas</w:t>
            </w:r>
          </w:p>
        </w:tc>
        <w:tc>
          <w:tcPr>
            <w:tcW w:w="2095" w:type="dxa"/>
          </w:tcPr>
          <w:p w14:paraId="2213C78C"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25%</w:t>
            </w:r>
          </w:p>
        </w:tc>
        <w:tc>
          <w:tcPr>
            <w:tcW w:w="1863" w:type="dxa"/>
          </w:tcPr>
          <w:p w14:paraId="6BDB1AAD"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SWHR, 2024</w:t>
            </w:r>
          </w:p>
        </w:tc>
        <w:tc>
          <w:tcPr>
            <w:tcW w:w="840" w:type="dxa"/>
          </w:tcPr>
          <w:p w14:paraId="4F9B505D"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r w:rsidR="00F23869" w14:paraId="797E0525"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9" w:type="dxa"/>
          </w:tcPr>
          <w:p w14:paraId="49CB9462"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lastRenderedPageBreak/>
              <w:t>Mujeres que consideran cambiar de empleo por síntomas</w:t>
            </w:r>
          </w:p>
        </w:tc>
        <w:tc>
          <w:tcPr>
            <w:tcW w:w="2095" w:type="dxa"/>
          </w:tcPr>
          <w:p w14:paraId="2208410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40%</w:t>
            </w:r>
          </w:p>
        </w:tc>
        <w:tc>
          <w:tcPr>
            <w:tcW w:w="1863" w:type="dxa"/>
          </w:tcPr>
          <w:p w14:paraId="31B28F3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SWHR, 2024</w:t>
            </w:r>
          </w:p>
        </w:tc>
        <w:tc>
          <w:tcPr>
            <w:tcW w:w="840" w:type="dxa"/>
          </w:tcPr>
          <w:p w14:paraId="2A2C1DC0"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2024</w:t>
            </w:r>
          </w:p>
        </w:tc>
      </w:tr>
    </w:tbl>
    <w:p w14:paraId="729857B2" w14:textId="77777777" w:rsidR="00F23869" w:rsidRDefault="00F23869">
      <w:pPr>
        <w:spacing w:line="276" w:lineRule="auto"/>
        <w:ind w:left="0"/>
        <w:rPr>
          <w:rFonts w:ascii="Bookman Old Style" w:eastAsia="Bookman Old Style" w:hAnsi="Bookman Old Style" w:cs="Bookman Old Style"/>
          <w:b/>
          <w:sz w:val="24"/>
          <w:szCs w:val="24"/>
        </w:rPr>
      </w:pPr>
    </w:p>
    <w:p w14:paraId="59694039"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MARCO NORMATIVO DE POLÍTICA PÚBLICA</w:t>
      </w:r>
    </w:p>
    <w:p w14:paraId="35D1AE96"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Plan Decenal de Salud Pública 2022–2031 (Ministerio de Salud y Protección Social, 2022) establece líneas estratégicas para la salud sexual y reproductiva, la salud mental y la atención a la población adulta mayor. Sin embargo, la menopausia no se mencio</w:t>
      </w:r>
      <w:r>
        <w:rPr>
          <w:rFonts w:ascii="Bookman Old Style" w:eastAsia="Bookman Old Style" w:hAnsi="Bookman Old Style" w:cs="Bookman Old Style"/>
          <w:sz w:val="24"/>
          <w:szCs w:val="24"/>
        </w:rPr>
        <w:t>na de manera específica, y no se contemplan protocolos clínicos nacionales para su diagnóstico y tratamiento integral.</w:t>
      </w:r>
    </w:p>
    <w:p w14:paraId="48238F34" w14:textId="77777777" w:rsidR="00F23869" w:rsidRDefault="00F23869">
      <w:pPr>
        <w:spacing w:line="276" w:lineRule="auto"/>
        <w:ind w:left="0"/>
        <w:rPr>
          <w:rFonts w:ascii="Bookman Old Style" w:eastAsia="Bookman Old Style" w:hAnsi="Bookman Old Style" w:cs="Bookman Old Style"/>
          <w:sz w:val="24"/>
          <w:szCs w:val="24"/>
        </w:rPr>
      </w:pPr>
    </w:p>
    <w:p w14:paraId="17398826"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Otras políticas como la Política Nacional de Envejecimiento y Vejez (Ministerio de Salud y Protección Social, 2015) y la Política Nacion</w:t>
      </w:r>
      <w:r>
        <w:rPr>
          <w:rFonts w:ascii="Bookman Old Style" w:eastAsia="Bookman Old Style" w:hAnsi="Bookman Old Style" w:cs="Bookman Old Style"/>
          <w:sz w:val="24"/>
          <w:szCs w:val="24"/>
        </w:rPr>
        <w:t>al de Equidad de Género (Consejería Presidencial para la Equidad de la Mujer, 2012) reconocen la necesidad de garantizar el acceso a servicios de salud para las mujeres y personas mayores, pero no incorporan un enfoque diferenciado para la menopausia.</w:t>
      </w:r>
    </w:p>
    <w:p w14:paraId="1528CD82" w14:textId="77777777" w:rsidR="00F23869" w:rsidRDefault="00F23869">
      <w:pPr>
        <w:spacing w:line="276" w:lineRule="auto"/>
        <w:ind w:left="0"/>
        <w:rPr>
          <w:rFonts w:ascii="Bookman Old Style" w:eastAsia="Bookman Old Style" w:hAnsi="Bookman Old Style" w:cs="Bookman Old Style"/>
          <w:sz w:val="24"/>
          <w:szCs w:val="24"/>
        </w:rPr>
      </w:pPr>
    </w:p>
    <w:p w14:paraId="5960B470"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w:t>
      </w:r>
      <w:r>
        <w:rPr>
          <w:rFonts w:ascii="Bookman Old Style" w:eastAsia="Bookman Old Style" w:hAnsi="Bookman Old Style" w:cs="Bookman Old Style"/>
          <w:sz w:val="24"/>
          <w:szCs w:val="24"/>
        </w:rPr>
        <w:t>el ámbito laboral, el Código Sustantivo del Trabajo (Decreto 2663 de 1950) y la Ley 1010 de 2006 contra el acoso laboral contienen disposiciones generales para la protección de la salud y la no discriminación, pero no incluyen medidas específicas para prev</w:t>
      </w:r>
      <w:r>
        <w:rPr>
          <w:rFonts w:ascii="Bookman Old Style" w:eastAsia="Bookman Old Style" w:hAnsi="Bookman Old Style" w:cs="Bookman Old Style"/>
          <w:sz w:val="24"/>
          <w:szCs w:val="24"/>
        </w:rPr>
        <w:t xml:space="preserve">enir o atender la discriminación por condiciones asociadas a la menopausia. Esto contrasta con marcos normativos como el del Reino Unido, que han incorporado guías y protecciones explícitas para mujeres menopáusicas (House </w:t>
      </w:r>
      <w:proofErr w:type="spellStart"/>
      <w:r>
        <w:rPr>
          <w:rFonts w:ascii="Bookman Old Style" w:eastAsia="Bookman Old Style" w:hAnsi="Bookman Old Style" w:cs="Bookman Old Style"/>
          <w:sz w:val="24"/>
          <w:szCs w:val="24"/>
        </w:rPr>
        <w:t>of</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Commons</w:t>
      </w:r>
      <w:proofErr w:type="spellEnd"/>
      <w:r>
        <w:rPr>
          <w:rFonts w:ascii="Bookman Old Style" w:eastAsia="Bookman Old Style" w:hAnsi="Bookman Old Style" w:cs="Bookman Old Style"/>
          <w:sz w:val="24"/>
          <w:szCs w:val="24"/>
        </w:rPr>
        <w:t>, 2022).</w:t>
      </w:r>
    </w:p>
    <w:p w14:paraId="6DF72013" w14:textId="77777777" w:rsidR="00F23869" w:rsidRDefault="00F23869">
      <w:pPr>
        <w:spacing w:line="276" w:lineRule="auto"/>
        <w:ind w:left="0"/>
        <w:rPr>
          <w:rFonts w:ascii="Bookman Old Style" w:eastAsia="Bookman Old Style" w:hAnsi="Bookman Old Style" w:cs="Bookman Old Style"/>
          <w:sz w:val="24"/>
          <w:szCs w:val="24"/>
        </w:rPr>
      </w:pPr>
    </w:p>
    <w:p w14:paraId="3C966E9D"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ausencia d</w:t>
      </w:r>
      <w:r>
        <w:rPr>
          <w:rFonts w:ascii="Bookman Old Style" w:eastAsia="Bookman Old Style" w:hAnsi="Bookman Old Style" w:cs="Bookman Old Style"/>
          <w:sz w:val="24"/>
          <w:szCs w:val="24"/>
        </w:rPr>
        <w:t>e lineamientos técnicos nacionales para el manejo integral de la menopausia limita la estandarización de la atención y contribuye a desigualdades territoriales y étnicas en el acceso a diagnóstico y tratamiento. La falta de disposiciones laborales específi</w:t>
      </w:r>
      <w:r>
        <w:rPr>
          <w:rFonts w:ascii="Bookman Old Style" w:eastAsia="Bookman Old Style" w:hAnsi="Bookman Old Style" w:cs="Bookman Old Style"/>
          <w:sz w:val="24"/>
          <w:szCs w:val="24"/>
        </w:rPr>
        <w:t>cas perpetúa la invisibilidad de esta etapa en las políticas empresariales, dificultando la retención de talento femenino y la igualdad de oportunidades.</w:t>
      </w:r>
    </w:p>
    <w:p w14:paraId="721E64A9" w14:textId="77777777" w:rsidR="00F23869" w:rsidRDefault="00F23869">
      <w:pPr>
        <w:spacing w:line="276" w:lineRule="auto"/>
        <w:ind w:left="0"/>
        <w:rPr>
          <w:rFonts w:ascii="Bookman Old Style" w:eastAsia="Bookman Old Style" w:hAnsi="Bookman Old Style" w:cs="Bookman Old Style"/>
          <w:b/>
          <w:sz w:val="24"/>
          <w:szCs w:val="24"/>
        </w:rPr>
      </w:pPr>
    </w:p>
    <w:p w14:paraId="13088941" w14:textId="77777777" w:rsidR="00F23869" w:rsidRDefault="0057613A">
      <w:pPr>
        <w:spacing w:line="276" w:lineRule="auto"/>
        <w:ind w:left="0"/>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Marco normativo actual y vacíos</w:t>
      </w:r>
    </w:p>
    <w:p w14:paraId="49863EC8" w14:textId="77777777" w:rsidR="00F23869" w:rsidRDefault="00F23869">
      <w:pPr>
        <w:spacing w:line="276" w:lineRule="auto"/>
        <w:ind w:left="0"/>
        <w:rPr>
          <w:rFonts w:ascii="Bookman Old Style" w:eastAsia="Bookman Old Style" w:hAnsi="Bookman Old Style" w:cs="Bookman Old Style"/>
          <w:b/>
          <w:sz w:val="24"/>
          <w:szCs w:val="24"/>
        </w:rPr>
      </w:pPr>
    </w:p>
    <w:tbl>
      <w:tblPr>
        <w:tblStyle w:val="a1"/>
        <w:tblW w:w="88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97"/>
        <w:gridCol w:w="855"/>
        <w:gridCol w:w="2624"/>
        <w:gridCol w:w="3052"/>
      </w:tblGrid>
      <w:tr w:rsidR="00F23869" w14:paraId="674D3D71" w14:textId="77777777" w:rsidTr="00F238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tcPr>
          <w:p w14:paraId="3E235307"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rPr>
              <w:lastRenderedPageBreak/>
              <w:t>Norma / Política</w:t>
            </w:r>
          </w:p>
        </w:tc>
        <w:tc>
          <w:tcPr>
            <w:tcW w:w="855" w:type="dxa"/>
          </w:tcPr>
          <w:p w14:paraId="6C34FB3F"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Año</w:t>
            </w:r>
          </w:p>
        </w:tc>
        <w:tc>
          <w:tcPr>
            <w:tcW w:w="2624" w:type="dxa"/>
          </w:tcPr>
          <w:p w14:paraId="47979992"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Alcance</w:t>
            </w:r>
          </w:p>
        </w:tc>
        <w:tc>
          <w:tcPr>
            <w:tcW w:w="3052" w:type="dxa"/>
          </w:tcPr>
          <w:p w14:paraId="1DEB4F48" w14:textId="77777777" w:rsidR="00F23869" w:rsidRDefault="0057613A">
            <w:pPr>
              <w:spacing w:after="160" w:line="276" w:lineRule="auto"/>
              <w:ind w:firstLine="1418"/>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Limitaciones identificadas</w:t>
            </w:r>
          </w:p>
        </w:tc>
      </w:tr>
      <w:tr w:rsidR="00F23869" w14:paraId="3BF3A3FC" w14:textId="77777777" w:rsidTr="00F23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tcPr>
          <w:p w14:paraId="193B1269"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Plan Decenal de Salud Pública 2022–2031</w:t>
            </w:r>
          </w:p>
        </w:tc>
        <w:tc>
          <w:tcPr>
            <w:tcW w:w="855" w:type="dxa"/>
          </w:tcPr>
          <w:p w14:paraId="0A3E1160"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2022</w:t>
            </w:r>
          </w:p>
        </w:tc>
        <w:tc>
          <w:tcPr>
            <w:tcW w:w="2624" w:type="dxa"/>
          </w:tcPr>
          <w:p w14:paraId="0A2D517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Define estrategias para salud sexual, reproductiva y de personas mayores.</w:t>
            </w:r>
          </w:p>
        </w:tc>
        <w:tc>
          <w:tcPr>
            <w:tcW w:w="3052" w:type="dxa"/>
          </w:tcPr>
          <w:p w14:paraId="079A0D0F"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No menciona menopausia ni protocolos clínicos específicos.</w:t>
            </w:r>
          </w:p>
        </w:tc>
      </w:tr>
      <w:tr w:rsidR="00F23869" w14:paraId="5DF27755" w14:textId="77777777" w:rsidTr="00F23869">
        <w:trPr>
          <w:jc w:val="center"/>
        </w:trPr>
        <w:tc>
          <w:tcPr>
            <w:cnfStyle w:val="001000000000" w:firstRow="0" w:lastRow="0" w:firstColumn="1" w:lastColumn="0" w:oddVBand="0" w:evenVBand="0" w:oddHBand="0" w:evenHBand="0" w:firstRowFirstColumn="0" w:firstRowLastColumn="0" w:lastRowFirstColumn="0" w:lastRowLastColumn="0"/>
            <w:tcW w:w="2297" w:type="dxa"/>
          </w:tcPr>
          <w:p w14:paraId="0CE6C27B"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Política Nacional de Envejecimiento y Vejez</w:t>
            </w:r>
          </w:p>
        </w:tc>
        <w:tc>
          <w:tcPr>
            <w:tcW w:w="855" w:type="dxa"/>
          </w:tcPr>
          <w:p w14:paraId="0BBFAA8D"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2015</w:t>
            </w:r>
          </w:p>
        </w:tc>
        <w:tc>
          <w:tcPr>
            <w:tcW w:w="2624" w:type="dxa"/>
          </w:tcPr>
          <w:p w14:paraId="52FE89BC"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Orienta acciones de salud y protección social para personas mayores.</w:t>
            </w:r>
          </w:p>
        </w:tc>
        <w:tc>
          <w:tcPr>
            <w:tcW w:w="3052" w:type="dxa"/>
          </w:tcPr>
          <w:p w14:paraId="09F6D914"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No aborda necesidades particulares de mujeres en menopausia.</w:t>
            </w:r>
          </w:p>
        </w:tc>
      </w:tr>
      <w:tr w:rsidR="00F23869" w14:paraId="043BEB66" w14:textId="77777777" w:rsidTr="00F23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tcPr>
          <w:p w14:paraId="39D8D205"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Política Nacional de Equidad de Género</w:t>
            </w:r>
          </w:p>
        </w:tc>
        <w:tc>
          <w:tcPr>
            <w:tcW w:w="855" w:type="dxa"/>
          </w:tcPr>
          <w:p w14:paraId="4DFDD0FF"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2012</w:t>
            </w:r>
          </w:p>
        </w:tc>
        <w:tc>
          <w:tcPr>
            <w:tcW w:w="2624" w:type="dxa"/>
          </w:tcPr>
          <w:p w14:paraId="1D47B5E8"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Promueve igualdad de género y acceso a salud.</w:t>
            </w:r>
          </w:p>
        </w:tc>
        <w:tc>
          <w:tcPr>
            <w:tcW w:w="3052" w:type="dxa"/>
          </w:tcPr>
          <w:p w14:paraId="631A5501"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Sin enfoque diferenciado para salud</w:t>
            </w:r>
            <w:r>
              <w:rPr>
                <w:rFonts w:ascii="Bookman Old Style" w:eastAsia="Bookman Old Style" w:hAnsi="Bookman Old Style" w:cs="Bookman Old Style"/>
              </w:rPr>
              <w:t xml:space="preserve"> en menopausia.</w:t>
            </w:r>
          </w:p>
        </w:tc>
      </w:tr>
      <w:tr w:rsidR="00F23869" w14:paraId="7DD92D6C" w14:textId="77777777" w:rsidTr="00F23869">
        <w:trPr>
          <w:jc w:val="center"/>
        </w:trPr>
        <w:tc>
          <w:tcPr>
            <w:cnfStyle w:val="001000000000" w:firstRow="0" w:lastRow="0" w:firstColumn="1" w:lastColumn="0" w:oddVBand="0" w:evenVBand="0" w:oddHBand="0" w:evenHBand="0" w:firstRowFirstColumn="0" w:firstRowLastColumn="0" w:lastRowFirstColumn="0" w:lastRowLastColumn="0"/>
            <w:tcW w:w="2297" w:type="dxa"/>
          </w:tcPr>
          <w:p w14:paraId="09C247FA"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Código Sustantivo del Trabajo</w:t>
            </w:r>
          </w:p>
        </w:tc>
        <w:tc>
          <w:tcPr>
            <w:tcW w:w="855" w:type="dxa"/>
          </w:tcPr>
          <w:p w14:paraId="7D5003D4"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1950</w:t>
            </w:r>
          </w:p>
        </w:tc>
        <w:tc>
          <w:tcPr>
            <w:tcW w:w="2624" w:type="dxa"/>
          </w:tcPr>
          <w:p w14:paraId="01AFDD32"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Regula condiciones laborales y derechos.</w:t>
            </w:r>
          </w:p>
        </w:tc>
        <w:tc>
          <w:tcPr>
            <w:tcW w:w="3052" w:type="dxa"/>
          </w:tcPr>
          <w:p w14:paraId="52C58055" w14:textId="77777777" w:rsidR="00F23869" w:rsidRDefault="0057613A">
            <w:pPr>
              <w:spacing w:after="160" w:line="276" w:lineRule="auto"/>
              <w:ind w:firstLine="1418"/>
              <w:jc w:val="center"/>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No contempla protección frente a discriminación por síntomas menopáusicos.</w:t>
            </w:r>
          </w:p>
        </w:tc>
      </w:tr>
      <w:tr w:rsidR="00F23869" w14:paraId="19065407" w14:textId="77777777" w:rsidTr="00F23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7" w:type="dxa"/>
          </w:tcPr>
          <w:p w14:paraId="0FB07256" w14:textId="77777777" w:rsidR="00F23869" w:rsidRDefault="0057613A">
            <w:pPr>
              <w:spacing w:after="160" w:line="276" w:lineRule="auto"/>
              <w:ind w:firstLine="1418"/>
              <w:jc w:val="center"/>
              <w:rPr>
                <w:rFonts w:ascii="Bookman Old Style" w:eastAsia="Bookman Old Style" w:hAnsi="Bookman Old Style" w:cs="Bookman Old Style"/>
              </w:rPr>
            </w:pPr>
            <w:r>
              <w:rPr>
                <w:rFonts w:ascii="Bookman Old Style" w:eastAsia="Bookman Old Style" w:hAnsi="Bookman Old Style" w:cs="Bookman Old Style"/>
                <w:b w:val="0"/>
              </w:rPr>
              <w:t>Ley 1010 de 2006 (Acoso laboral)</w:t>
            </w:r>
          </w:p>
        </w:tc>
        <w:tc>
          <w:tcPr>
            <w:tcW w:w="855" w:type="dxa"/>
          </w:tcPr>
          <w:p w14:paraId="7F1F0882"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2006</w:t>
            </w:r>
          </w:p>
        </w:tc>
        <w:tc>
          <w:tcPr>
            <w:tcW w:w="2624" w:type="dxa"/>
          </w:tcPr>
          <w:p w14:paraId="64965710"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Previene y sanciona el acoso laboral.</w:t>
            </w:r>
          </w:p>
        </w:tc>
        <w:tc>
          <w:tcPr>
            <w:tcW w:w="3052" w:type="dxa"/>
          </w:tcPr>
          <w:p w14:paraId="7696FA1E" w14:textId="77777777" w:rsidR="00F23869" w:rsidRDefault="0057613A">
            <w:pPr>
              <w:spacing w:after="160" w:line="276" w:lineRule="auto"/>
              <w:ind w:firstLine="1418"/>
              <w:jc w:val="center"/>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No considera el impacto de la menopausia en la inclusión laboral.</w:t>
            </w:r>
          </w:p>
        </w:tc>
      </w:tr>
    </w:tbl>
    <w:p w14:paraId="22D23F3A" w14:textId="77777777" w:rsidR="00F23869" w:rsidRDefault="00F23869">
      <w:pPr>
        <w:spacing w:line="276" w:lineRule="auto"/>
        <w:ind w:firstLine="1418"/>
        <w:rPr>
          <w:rFonts w:ascii="Bookman Old Style" w:eastAsia="Bookman Old Style" w:hAnsi="Bookman Old Style" w:cs="Bookman Old Style"/>
          <w:b/>
          <w:sz w:val="24"/>
          <w:szCs w:val="24"/>
        </w:rPr>
      </w:pPr>
    </w:p>
    <w:p w14:paraId="76D04DC3" w14:textId="77777777" w:rsidR="00F23869" w:rsidRDefault="00F23869">
      <w:pPr>
        <w:spacing w:line="276" w:lineRule="auto"/>
        <w:ind w:firstLine="1418"/>
        <w:rPr>
          <w:rFonts w:ascii="Bookman Old Style" w:eastAsia="Bookman Old Style" w:hAnsi="Bookman Old Style" w:cs="Bookman Old Style"/>
          <w:sz w:val="24"/>
          <w:szCs w:val="24"/>
        </w:rPr>
      </w:pPr>
    </w:p>
    <w:p w14:paraId="30442CCC"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RECOMENDACIONES Y ORIENTACIONES INTERNACIONALES</w:t>
      </w:r>
    </w:p>
    <w:p w14:paraId="42776ACC"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Las obligaciones y orientaciones internacionales establecen un marco claro para la acción pública sobre la menopausia. La Convención sobre la Eliminación de Todas las Formas de Discriminación contra la Mujer (CEDAW) exige a los Estados garantizar la iguald</w:t>
      </w:r>
      <w:r>
        <w:rPr>
          <w:rFonts w:ascii="Bookman Old Style" w:eastAsia="Bookman Old Style" w:hAnsi="Bookman Old Style" w:cs="Bookman Old Style"/>
          <w:sz w:val="24"/>
          <w:szCs w:val="24"/>
        </w:rPr>
        <w:t>ad de oportunidades y el acceso a la salud sin discriminación, lo cual incluye la atención a condiciones relacionadas con el envejecimiento de las mujeres (</w:t>
      </w:r>
      <w:proofErr w:type="spellStart"/>
      <w:r>
        <w:rPr>
          <w:rFonts w:ascii="Bookman Old Style" w:eastAsia="Bookman Old Style" w:hAnsi="Bookman Old Style" w:cs="Bookman Old Style"/>
          <w:sz w:val="24"/>
          <w:szCs w:val="24"/>
        </w:rPr>
        <w:t>United</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Nations</w:t>
      </w:r>
      <w:proofErr w:type="spellEnd"/>
      <w:r>
        <w:rPr>
          <w:rFonts w:ascii="Bookman Old Style" w:eastAsia="Bookman Old Style" w:hAnsi="Bookman Old Style" w:cs="Bookman Old Style"/>
          <w:sz w:val="24"/>
          <w:szCs w:val="24"/>
        </w:rPr>
        <w:t>, 1979). La Plataforma de Acción de Beijing subraya la necesidad de políticas específi</w:t>
      </w:r>
      <w:r>
        <w:rPr>
          <w:rFonts w:ascii="Bookman Old Style" w:eastAsia="Bookman Old Style" w:hAnsi="Bookman Old Style" w:cs="Bookman Old Style"/>
          <w:sz w:val="24"/>
          <w:szCs w:val="24"/>
        </w:rPr>
        <w:t xml:space="preserve">cas para la salud integral de las mujeres en todas las etapas </w:t>
      </w:r>
      <w:r>
        <w:rPr>
          <w:rFonts w:ascii="Bookman Old Style" w:eastAsia="Bookman Old Style" w:hAnsi="Bookman Old Style" w:cs="Bookman Old Style"/>
          <w:sz w:val="24"/>
          <w:szCs w:val="24"/>
        </w:rPr>
        <w:lastRenderedPageBreak/>
        <w:t>de la vida (</w:t>
      </w:r>
      <w:proofErr w:type="spellStart"/>
      <w:r>
        <w:rPr>
          <w:rFonts w:ascii="Bookman Old Style" w:eastAsia="Bookman Old Style" w:hAnsi="Bookman Old Style" w:cs="Bookman Old Style"/>
          <w:sz w:val="24"/>
          <w:szCs w:val="24"/>
        </w:rPr>
        <w:t>United</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Nations</w:t>
      </w:r>
      <w:proofErr w:type="spellEnd"/>
      <w:r>
        <w:rPr>
          <w:rFonts w:ascii="Bookman Old Style" w:eastAsia="Bookman Old Style" w:hAnsi="Bookman Old Style" w:cs="Bookman Old Style"/>
          <w:sz w:val="24"/>
          <w:szCs w:val="24"/>
        </w:rPr>
        <w:t>, 1995). Asimismo, el Objetivo de Desarrollo Sostenible 5 (ODS 5) promueve la igualdad de género y la plena participación económica de las mujeres, lo que hace pertinen</w:t>
      </w:r>
      <w:r>
        <w:rPr>
          <w:rFonts w:ascii="Bookman Old Style" w:eastAsia="Bookman Old Style" w:hAnsi="Bookman Old Style" w:cs="Bookman Old Style"/>
          <w:sz w:val="24"/>
          <w:szCs w:val="24"/>
        </w:rPr>
        <w:t>te integrar medidas que permitan a las mujeres seguir en el empleo con condiciones de equidad (</w:t>
      </w:r>
      <w:proofErr w:type="spellStart"/>
      <w:r>
        <w:rPr>
          <w:rFonts w:ascii="Bookman Old Style" w:eastAsia="Bookman Old Style" w:hAnsi="Bookman Old Style" w:cs="Bookman Old Style"/>
          <w:sz w:val="24"/>
          <w:szCs w:val="24"/>
        </w:rPr>
        <w:t>United</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Nations</w:t>
      </w:r>
      <w:proofErr w:type="spellEnd"/>
      <w:r>
        <w:rPr>
          <w:rFonts w:ascii="Bookman Old Style" w:eastAsia="Bookman Old Style" w:hAnsi="Bookman Old Style" w:cs="Bookman Old Style"/>
          <w:sz w:val="24"/>
          <w:szCs w:val="24"/>
        </w:rPr>
        <w:t>, 2015).</w:t>
      </w:r>
    </w:p>
    <w:p w14:paraId="7A48E208" w14:textId="77777777" w:rsidR="00F23869" w:rsidRDefault="00F23869">
      <w:pPr>
        <w:spacing w:line="276" w:lineRule="auto"/>
        <w:ind w:left="0"/>
        <w:rPr>
          <w:rFonts w:ascii="Bookman Old Style" w:eastAsia="Bookman Old Style" w:hAnsi="Bookman Old Style" w:cs="Bookman Old Style"/>
          <w:sz w:val="24"/>
          <w:szCs w:val="24"/>
        </w:rPr>
      </w:pPr>
    </w:p>
    <w:p w14:paraId="59144983"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el plano de salud pública, la Organización Mundial de la Salud reconoce que la menopausia produce desafíos sanitarios y de acceso a se</w:t>
      </w:r>
      <w:r>
        <w:rPr>
          <w:rFonts w:ascii="Bookman Old Style" w:eastAsia="Bookman Old Style" w:hAnsi="Bookman Old Style" w:cs="Bookman Old Style"/>
          <w:sz w:val="24"/>
          <w:szCs w:val="24"/>
        </w:rPr>
        <w:t>rvicios en muchos países y recomienda incorporar la atención en los servicios de salud primaria, la formación del personal sanitario y el acceso a opciones terapéuticas seguras y basadas en evidencia (</w:t>
      </w:r>
      <w:proofErr w:type="spellStart"/>
      <w:r>
        <w:rPr>
          <w:rFonts w:ascii="Bookman Old Style" w:eastAsia="Bookman Old Style" w:hAnsi="Bookman Old Style" w:cs="Bookman Old Style"/>
          <w:sz w:val="24"/>
          <w:szCs w:val="24"/>
        </w:rPr>
        <w:t>World</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Health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Organization</w:t>
      </w:r>
      <w:proofErr w:type="spellEnd"/>
      <w:r>
        <w:rPr>
          <w:rFonts w:ascii="Bookman Old Style" w:eastAsia="Bookman Old Style" w:hAnsi="Bookman Old Style" w:cs="Bookman Old Style"/>
          <w:sz w:val="24"/>
          <w:szCs w:val="24"/>
        </w:rPr>
        <w:t>, 2024). En el ámbito laboral,</w:t>
      </w:r>
      <w:r>
        <w:rPr>
          <w:rFonts w:ascii="Bookman Old Style" w:eastAsia="Bookman Old Style" w:hAnsi="Bookman Old Style" w:cs="Bookman Old Style"/>
          <w:sz w:val="24"/>
          <w:szCs w:val="24"/>
        </w:rPr>
        <w:t xml:space="preserve"> la experiencia del Reino Unido —materializada en el informe del </w:t>
      </w:r>
      <w:proofErr w:type="spellStart"/>
      <w:r>
        <w:rPr>
          <w:rFonts w:ascii="Bookman Old Style" w:eastAsia="Bookman Old Style" w:hAnsi="Bookman Old Style" w:cs="Bookman Old Style"/>
          <w:sz w:val="24"/>
          <w:szCs w:val="24"/>
        </w:rPr>
        <w:t>Women</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Equalities</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Committee</w:t>
      </w:r>
      <w:proofErr w:type="spellEnd"/>
      <w:r>
        <w:rPr>
          <w:rFonts w:ascii="Bookman Old Style" w:eastAsia="Bookman Old Style" w:hAnsi="Bookman Old Style" w:cs="Bookman Old Style"/>
          <w:sz w:val="24"/>
          <w:szCs w:val="24"/>
        </w:rPr>
        <w:t>, y la evidencia de la encuesta EMPACT/ SWHR muestran que las políticas de sensibilización, guías para empleadores y la protección contra la discriminación reduc</w:t>
      </w:r>
      <w:r>
        <w:rPr>
          <w:rFonts w:ascii="Bookman Old Style" w:eastAsia="Bookman Old Style" w:hAnsi="Bookman Old Style" w:cs="Bookman Old Style"/>
          <w:sz w:val="24"/>
          <w:szCs w:val="24"/>
        </w:rPr>
        <w:t xml:space="preserve">en impactos en empleo, productividad y salud mental (House </w:t>
      </w:r>
      <w:proofErr w:type="spellStart"/>
      <w:r>
        <w:rPr>
          <w:rFonts w:ascii="Bookman Old Style" w:eastAsia="Bookman Old Style" w:hAnsi="Bookman Old Style" w:cs="Bookman Old Style"/>
          <w:sz w:val="24"/>
          <w:szCs w:val="24"/>
        </w:rPr>
        <w:t>of</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Commons</w:t>
      </w:r>
      <w:proofErr w:type="spellEnd"/>
      <w:r>
        <w:rPr>
          <w:rFonts w:ascii="Bookman Old Style" w:eastAsia="Bookman Old Style" w:hAnsi="Bookman Old Style" w:cs="Bookman Old Style"/>
          <w:sz w:val="24"/>
          <w:szCs w:val="24"/>
        </w:rPr>
        <w:t>, 2022; SWHR, 2024).</w:t>
      </w:r>
    </w:p>
    <w:p w14:paraId="7A550320" w14:textId="77777777" w:rsidR="00F23869" w:rsidRDefault="00F23869">
      <w:pPr>
        <w:spacing w:line="276" w:lineRule="auto"/>
        <w:ind w:left="0"/>
        <w:rPr>
          <w:rFonts w:ascii="Bookman Old Style" w:eastAsia="Bookman Old Style" w:hAnsi="Bookman Old Style" w:cs="Bookman Old Style"/>
          <w:sz w:val="24"/>
          <w:szCs w:val="24"/>
        </w:rPr>
      </w:pPr>
    </w:p>
    <w:p w14:paraId="2A65C8FB"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Ejemplos recientes en Suecia (iniciativas parlamentarias y directrices clínicas) demuestran que crear directrices nacionales, campañas de educación pública y lineami</w:t>
      </w:r>
      <w:r>
        <w:rPr>
          <w:rFonts w:ascii="Bookman Old Style" w:eastAsia="Bookman Old Style" w:hAnsi="Bookman Old Style" w:cs="Bookman Old Style"/>
          <w:sz w:val="24"/>
          <w:szCs w:val="24"/>
        </w:rPr>
        <w:t>entos clínicos puede mejorar el acceso equitativo y la calidad de la atención (</w:t>
      </w:r>
      <w:proofErr w:type="spellStart"/>
      <w:r>
        <w:rPr>
          <w:rFonts w:ascii="Bookman Old Style" w:eastAsia="Bookman Old Style" w:hAnsi="Bookman Old Style" w:cs="Bookman Old Style"/>
          <w:sz w:val="24"/>
          <w:szCs w:val="24"/>
        </w:rPr>
        <w:t>Riksdagen</w:t>
      </w:r>
      <w:proofErr w:type="spellEnd"/>
      <w:r>
        <w:rPr>
          <w:rFonts w:ascii="Bookman Old Style" w:eastAsia="Bookman Old Style" w:hAnsi="Bookman Old Style" w:cs="Bookman Old Style"/>
          <w:sz w:val="24"/>
          <w:szCs w:val="24"/>
        </w:rPr>
        <w:t xml:space="preserve">, 2024). A partir de estos marcos, las recomendaciones internacionales aplicables a Colombia son, entre otras: </w:t>
      </w:r>
    </w:p>
    <w:p w14:paraId="1DDBFD75" w14:textId="77777777" w:rsidR="00F23869" w:rsidRDefault="00F23869">
      <w:pPr>
        <w:spacing w:line="276" w:lineRule="auto"/>
        <w:ind w:left="0"/>
        <w:rPr>
          <w:rFonts w:ascii="Bookman Old Style" w:eastAsia="Bookman Old Style" w:hAnsi="Bookman Old Style" w:cs="Bookman Old Style"/>
          <w:sz w:val="24"/>
          <w:szCs w:val="24"/>
        </w:rPr>
      </w:pPr>
    </w:p>
    <w:p w14:paraId="1B9734CB" w14:textId="77777777" w:rsidR="00F23869" w:rsidRDefault="0057613A">
      <w:pPr>
        <w:numPr>
          <w:ilvl w:val="0"/>
          <w:numId w:val="5"/>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Incorporar la menopausia en políticas nacionales de salud y en el Plan Decenal</w:t>
      </w:r>
    </w:p>
    <w:p w14:paraId="12D10792" w14:textId="77777777" w:rsidR="00F23869" w:rsidRDefault="0057613A">
      <w:pPr>
        <w:numPr>
          <w:ilvl w:val="0"/>
          <w:numId w:val="5"/>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Desarrollar guías clínicas y formación para atención primaria. </w:t>
      </w:r>
    </w:p>
    <w:p w14:paraId="781C2BE0" w14:textId="77777777" w:rsidR="00F23869" w:rsidRDefault="0057613A">
      <w:pPr>
        <w:numPr>
          <w:ilvl w:val="0"/>
          <w:numId w:val="5"/>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Impulsar campañas públicas de educación. </w:t>
      </w:r>
    </w:p>
    <w:p w14:paraId="6BCC2749" w14:textId="77777777" w:rsidR="00F23869" w:rsidRDefault="0057613A">
      <w:pPr>
        <w:numPr>
          <w:ilvl w:val="0"/>
          <w:numId w:val="5"/>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Promover marcos laborales que prevengan la discriminación y faciliten a</w:t>
      </w:r>
      <w:r>
        <w:rPr>
          <w:rFonts w:ascii="Bookman Old Style" w:eastAsia="Bookman Old Style" w:hAnsi="Bookman Old Style" w:cs="Bookman Old Style"/>
          <w:color w:val="000000"/>
          <w:sz w:val="24"/>
          <w:szCs w:val="24"/>
        </w:rPr>
        <w:t xml:space="preserve">justes razonables. </w:t>
      </w:r>
    </w:p>
    <w:p w14:paraId="120BFF8D" w14:textId="77777777" w:rsidR="00F23869" w:rsidRDefault="0057613A">
      <w:pPr>
        <w:numPr>
          <w:ilvl w:val="0"/>
          <w:numId w:val="5"/>
        </w:numPr>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Priorizar investigación y acceso a alternativas hormonales y no hormonales. </w:t>
      </w:r>
    </w:p>
    <w:p w14:paraId="71578A94" w14:textId="77777777" w:rsidR="00F23869" w:rsidRDefault="0057613A">
      <w:pPr>
        <w:numPr>
          <w:ilvl w:val="0"/>
          <w:numId w:val="5"/>
        </w:numPr>
        <w:pBdr>
          <w:top w:val="nil"/>
          <w:left w:val="nil"/>
          <w:bottom w:val="nil"/>
          <w:right w:val="nil"/>
          <w:between w:val="nil"/>
        </w:pBdr>
        <w:spacing w:after="160" w:line="276"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Aplicar un enfoque diferencial étnico-territorial alineado con CEDAW y la Plataforma de Beijing.</w:t>
      </w:r>
    </w:p>
    <w:p w14:paraId="466C3F1C" w14:textId="77777777" w:rsidR="00F23869" w:rsidRDefault="0057613A">
      <w:pPr>
        <w:spacing w:line="276" w:lineRule="auto"/>
        <w:ind w:left="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Experiencias y buenas prácticas internacionales </w:t>
      </w:r>
    </w:p>
    <w:p w14:paraId="41BDEC04" w14:textId="77777777" w:rsidR="00F23869" w:rsidRDefault="00F23869">
      <w:pPr>
        <w:spacing w:line="276" w:lineRule="auto"/>
        <w:ind w:left="0"/>
        <w:rPr>
          <w:rFonts w:ascii="Bookman Old Style" w:eastAsia="Bookman Old Style" w:hAnsi="Bookman Old Style" w:cs="Bookman Old Style"/>
          <w:sz w:val="24"/>
          <w:szCs w:val="24"/>
        </w:rPr>
      </w:pPr>
    </w:p>
    <w:p w14:paraId="2E141CF0"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evidencia</w:t>
      </w:r>
      <w:r>
        <w:rPr>
          <w:rFonts w:ascii="Bookman Old Style" w:eastAsia="Bookman Old Style" w:hAnsi="Bookman Old Style" w:cs="Bookman Old Style"/>
          <w:sz w:val="24"/>
          <w:szCs w:val="24"/>
        </w:rPr>
        <w:t xml:space="preserve"> internacional demuestra que es posible reducir los impactos negativos de la menopausia sobre la salud, la productividad y la igualdad </w:t>
      </w:r>
      <w:r>
        <w:rPr>
          <w:rFonts w:ascii="Bookman Old Style" w:eastAsia="Bookman Old Style" w:hAnsi="Bookman Old Style" w:cs="Bookman Old Style"/>
          <w:sz w:val="24"/>
          <w:szCs w:val="24"/>
        </w:rPr>
        <w:lastRenderedPageBreak/>
        <w:t>de género mediante políticas públicas integrales que articulen el sector salud y el ámbito laboral.</w:t>
      </w:r>
    </w:p>
    <w:p w14:paraId="54A6E19A" w14:textId="77777777" w:rsidR="00F23869" w:rsidRDefault="00F23869">
      <w:pPr>
        <w:spacing w:line="276" w:lineRule="auto"/>
        <w:ind w:left="0"/>
        <w:rPr>
          <w:rFonts w:ascii="Bookman Old Style" w:eastAsia="Bookman Old Style" w:hAnsi="Bookman Old Style" w:cs="Bookman Old Style"/>
          <w:sz w:val="24"/>
          <w:szCs w:val="24"/>
        </w:rPr>
      </w:pPr>
    </w:p>
    <w:p w14:paraId="2129B68D" w14:textId="77777777" w:rsidR="00F23869" w:rsidRDefault="0057613A">
      <w:pPr>
        <w:numPr>
          <w:ilvl w:val="0"/>
          <w:numId w:val="2"/>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Suecia</w:t>
      </w:r>
    </w:p>
    <w:p w14:paraId="584CFE63"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2024, el Parlamento sueco aprobó una moción que reconoce la atención a la menopausia como una prioridad nacional. La iniciativa incluyó el desarrollo de directrices médicas nacionales para el manejo clínico, campañas de educación dirigidas a la població</w:t>
      </w:r>
      <w:r>
        <w:rPr>
          <w:rFonts w:ascii="Bookman Old Style" w:eastAsia="Bookman Old Style" w:hAnsi="Bookman Old Style" w:cs="Bookman Old Style"/>
          <w:sz w:val="24"/>
          <w:szCs w:val="24"/>
        </w:rPr>
        <w:t>n y a profesionales de la salud, y un sistema de monitoreo para asegurar la calidad y equidad en el acceso (</w:t>
      </w:r>
      <w:proofErr w:type="spellStart"/>
      <w:r>
        <w:rPr>
          <w:rFonts w:ascii="Bookman Old Style" w:eastAsia="Bookman Old Style" w:hAnsi="Bookman Old Style" w:cs="Bookman Old Style"/>
          <w:sz w:val="24"/>
          <w:szCs w:val="24"/>
        </w:rPr>
        <w:t>Riksdagen</w:t>
      </w:r>
      <w:proofErr w:type="spellEnd"/>
      <w:r>
        <w:rPr>
          <w:rFonts w:ascii="Bookman Old Style" w:eastAsia="Bookman Old Style" w:hAnsi="Bookman Old Style" w:cs="Bookman Old Style"/>
          <w:sz w:val="24"/>
          <w:szCs w:val="24"/>
        </w:rPr>
        <w:t>, 2024). Estas medidas buscan prevenir diagnósticos erróneos, reducir las desigualdades y mejorar la calidad de vida de las mujeres.</w:t>
      </w:r>
    </w:p>
    <w:p w14:paraId="1CC7FA87" w14:textId="77777777" w:rsidR="00F23869" w:rsidRDefault="00F23869">
      <w:pPr>
        <w:spacing w:line="276" w:lineRule="auto"/>
        <w:ind w:left="0"/>
        <w:rPr>
          <w:rFonts w:ascii="Bookman Old Style" w:eastAsia="Bookman Old Style" w:hAnsi="Bookman Old Style" w:cs="Bookman Old Style"/>
          <w:sz w:val="24"/>
          <w:szCs w:val="24"/>
        </w:rPr>
      </w:pPr>
    </w:p>
    <w:p w14:paraId="3EE2C95C" w14:textId="77777777" w:rsidR="00F23869" w:rsidRDefault="0057613A">
      <w:pPr>
        <w:numPr>
          <w:ilvl w:val="0"/>
          <w:numId w:val="2"/>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Reino</w:t>
      </w:r>
      <w:r>
        <w:rPr>
          <w:rFonts w:ascii="Bookman Old Style" w:eastAsia="Bookman Old Style" w:hAnsi="Bookman Old Style" w:cs="Bookman Old Style"/>
          <w:b/>
          <w:color w:val="000000"/>
          <w:sz w:val="24"/>
          <w:szCs w:val="24"/>
        </w:rPr>
        <w:t xml:space="preserve"> Unido</w:t>
      </w:r>
    </w:p>
    <w:p w14:paraId="1D53B0BB"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El </w:t>
      </w:r>
      <w:proofErr w:type="spellStart"/>
      <w:r>
        <w:rPr>
          <w:rFonts w:ascii="Bookman Old Style" w:eastAsia="Bookman Old Style" w:hAnsi="Bookman Old Style" w:cs="Bookman Old Style"/>
          <w:i/>
          <w:sz w:val="24"/>
          <w:szCs w:val="24"/>
        </w:rPr>
        <w:t>Women</w:t>
      </w:r>
      <w:proofErr w:type="spellEnd"/>
      <w:r>
        <w:rPr>
          <w:rFonts w:ascii="Bookman Old Style" w:eastAsia="Bookman Old Style" w:hAnsi="Bookman Old Style" w:cs="Bookman Old Style"/>
          <w:i/>
          <w:sz w:val="24"/>
          <w:szCs w:val="24"/>
        </w:rPr>
        <w:t xml:space="preserve"> and </w:t>
      </w:r>
      <w:proofErr w:type="spellStart"/>
      <w:r>
        <w:rPr>
          <w:rFonts w:ascii="Bookman Old Style" w:eastAsia="Bookman Old Style" w:hAnsi="Bookman Old Style" w:cs="Bookman Old Style"/>
          <w:i/>
          <w:sz w:val="24"/>
          <w:szCs w:val="24"/>
        </w:rPr>
        <w:t>Equalities</w:t>
      </w:r>
      <w:proofErr w:type="spellEnd"/>
      <w:r>
        <w:rPr>
          <w:rFonts w:ascii="Bookman Old Style" w:eastAsia="Bookman Old Style" w:hAnsi="Bookman Old Style" w:cs="Bookman Old Style"/>
          <w:i/>
          <w:sz w:val="24"/>
          <w:szCs w:val="24"/>
        </w:rPr>
        <w:t xml:space="preserve"> </w:t>
      </w:r>
      <w:proofErr w:type="spellStart"/>
      <w:r>
        <w:rPr>
          <w:rFonts w:ascii="Bookman Old Style" w:eastAsia="Bookman Old Style" w:hAnsi="Bookman Old Style" w:cs="Bookman Old Style"/>
          <w:i/>
          <w:sz w:val="24"/>
          <w:szCs w:val="24"/>
        </w:rPr>
        <w:t>Committee</w:t>
      </w:r>
      <w:proofErr w:type="spellEnd"/>
      <w:r>
        <w:rPr>
          <w:rFonts w:ascii="Bookman Old Style" w:eastAsia="Bookman Old Style" w:hAnsi="Bookman Old Style" w:cs="Bookman Old Style"/>
          <w:sz w:val="24"/>
          <w:szCs w:val="24"/>
        </w:rPr>
        <w:t xml:space="preserve"> del Parlamento británico (2022) llevó a cabo una investigación nacional sobre menopausia y trabajo, concluyendo que las mujeres enfrentan discriminación laboral asociada a los síntomas. El informe recomendó:</w:t>
      </w:r>
    </w:p>
    <w:p w14:paraId="2EAFB566" w14:textId="77777777" w:rsidR="00F23869" w:rsidRDefault="00F23869">
      <w:pPr>
        <w:spacing w:line="276" w:lineRule="auto"/>
        <w:ind w:left="0"/>
        <w:rPr>
          <w:rFonts w:ascii="Bookman Old Style" w:eastAsia="Bookman Old Style" w:hAnsi="Bookman Old Style" w:cs="Bookman Old Style"/>
          <w:sz w:val="24"/>
          <w:szCs w:val="24"/>
        </w:rPr>
      </w:pPr>
    </w:p>
    <w:p w14:paraId="25CEDE20" w14:textId="77777777" w:rsidR="00F23869" w:rsidRDefault="0057613A">
      <w:pPr>
        <w:numPr>
          <w:ilvl w:val="0"/>
          <w:numId w:val="1"/>
        </w:numPr>
        <w:spacing w:after="160" w:line="276"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Inclusión de la menopausia en políticas de bienestar laboral.</w:t>
      </w:r>
    </w:p>
    <w:p w14:paraId="0C2C43D3" w14:textId="77777777" w:rsidR="00F23869" w:rsidRDefault="0057613A">
      <w:pPr>
        <w:numPr>
          <w:ilvl w:val="0"/>
          <w:numId w:val="1"/>
        </w:numPr>
        <w:spacing w:after="160" w:line="276"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Protección legal contra discriminación.</w:t>
      </w:r>
    </w:p>
    <w:p w14:paraId="1932B319" w14:textId="77777777" w:rsidR="00F23869" w:rsidRDefault="0057613A">
      <w:pPr>
        <w:numPr>
          <w:ilvl w:val="0"/>
          <w:numId w:val="1"/>
        </w:numPr>
        <w:spacing w:after="160" w:line="276"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Capacitación para empleadores;</w:t>
      </w:r>
    </w:p>
    <w:p w14:paraId="490D7776" w14:textId="77777777" w:rsidR="00F23869" w:rsidRDefault="0057613A">
      <w:pPr>
        <w:numPr>
          <w:ilvl w:val="0"/>
          <w:numId w:val="1"/>
        </w:numPr>
        <w:spacing w:after="160" w:line="276"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Ajustes razonables en el lugar de trabajo (House </w:t>
      </w:r>
      <w:proofErr w:type="spellStart"/>
      <w:r>
        <w:rPr>
          <w:rFonts w:ascii="Bookman Old Style" w:eastAsia="Bookman Old Style" w:hAnsi="Bookman Old Style" w:cs="Bookman Old Style"/>
          <w:sz w:val="24"/>
          <w:szCs w:val="24"/>
        </w:rPr>
        <w:t>of</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Commons</w:t>
      </w:r>
      <w:proofErr w:type="spellEnd"/>
      <w:r>
        <w:rPr>
          <w:rFonts w:ascii="Bookman Old Style" w:eastAsia="Bookman Old Style" w:hAnsi="Bookman Old Style" w:cs="Bookman Old Style"/>
          <w:sz w:val="24"/>
          <w:szCs w:val="24"/>
        </w:rPr>
        <w:t>, 2022).</w:t>
      </w:r>
      <w:r>
        <w:rPr>
          <w:rFonts w:ascii="Bookman Old Style" w:eastAsia="Bookman Old Style" w:hAnsi="Bookman Old Style" w:cs="Bookman Old Style"/>
          <w:sz w:val="24"/>
          <w:szCs w:val="24"/>
        </w:rPr>
        <w:br/>
        <w:t>Estas recomendaciones han sido incorporadas en múltiple</w:t>
      </w:r>
      <w:r>
        <w:rPr>
          <w:rFonts w:ascii="Bookman Old Style" w:eastAsia="Bookman Old Style" w:hAnsi="Bookman Old Style" w:cs="Bookman Old Style"/>
          <w:sz w:val="24"/>
          <w:szCs w:val="24"/>
        </w:rPr>
        <w:t>s empresas y organismos públicos.</w:t>
      </w:r>
    </w:p>
    <w:p w14:paraId="24ACB83F" w14:textId="77777777" w:rsidR="00F23869" w:rsidRDefault="0057613A">
      <w:pPr>
        <w:numPr>
          <w:ilvl w:val="0"/>
          <w:numId w:val="2"/>
        </w:numPr>
        <w:pBdr>
          <w:top w:val="nil"/>
          <w:left w:val="nil"/>
          <w:bottom w:val="nil"/>
          <w:right w:val="nil"/>
          <w:between w:val="nil"/>
        </w:pBdr>
        <w:spacing w:after="160" w:line="276"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Relevancia para Colombia</w:t>
      </w:r>
    </w:p>
    <w:p w14:paraId="1124FC37"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Ambos casos demuestran que un marco normativo claro, acompañado de guías clínicas y acciones de sensibilización, puede mejorar el diagnóstico oportuno, garantizar acceso a tratamientos diversos y r</w:t>
      </w:r>
      <w:r>
        <w:rPr>
          <w:rFonts w:ascii="Bookman Old Style" w:eastAsia="Bookman Old Style" w:hAnsi="Bookman Old Style" w:cs="Bookman Old Style"/>
          <w:sz w:val="24"/>
          <w:szCs w:val="24"/>
        </w:rPr>
        <w:t>educir los impactos socioeconómicos. Su adopción en Colombia permitiría avanzar en el cumplimiento de CEDAW, la Plataforma de Beijing y el ODS 5.</w:t>
      </w:r>
    </w:p>
    <w:p w14:paraId="52EC8DB7" w14:textId="77777777" w:rsidR="00F23869" w:rsidRDefault="00F23869">
      <w:pPr>
        <w:spacing w:line="276" w:lineRule="auto"/>
        <w:ind w:left="0"/>
        <w:rPr>
          <w:rFonts w:ascii="Bookman Old Style" w:eastAsia="Bookman Old Style" w:hAnsi="Bookman Old Style" w:cs="Bookman Old Style"/>
          <w:sz w:val="24"/>
          <w:szCs w:val="24"/>
        </w:rPr>
      </w:pPr>
    </w:p>
    <w:tbl>
      <w:tblPr>
        <w:tblStyle w:val="a2"/>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07"/>
        <w:gridCol w:w="2207"/>
        <w:gridCol w:w="2207"/>
        <w:gridCol w:w="2207"/>
      </w:tblGrid>
      <w:tr w:rsidR="00F23869" w14:paraId="27A2BD05" w14:textId="77777777" w:rsidTr="00F23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5805871C" w14:textId="77777777" w:rsidR="00F23869" w:rsidRDefault="0057613A">
            <w:pPr>
              <w:spacing w:line="276" w:lineRule="auto"/>
              <w:jc w:val="center"/>
              <w:rPr>
                <w:rFonts w:ascii="Bookman Old Style" w:eastAsia="Bookman Old Style" w:hAnsi="Bookman Old Style" w:cs="Bookman Old Style"/>
              </w:rPr>
            </w:pPr>
            <w:r>
              <w:rPr>
                <w:rFonts w:ascii="Bookman Old Style" w:eastAsia="Bookman Old Style" w:hAnsi="Bookman Old Style" w:cs="Bookman Old Style"/>
              </w:rPr>
              <w:t>País</w:t>
            </w:r>
          </w:p>
        </w:tc>
        <w:tc>
          <w:tcPr>
            <w:tcW w:w="2207" w:type="dxa"/>
          </w:tcPr>
          <w:p w14:paraId="671D3102" w14:textId="77777777" w:rsidR="00F23869" w:rsidRDefault="0057613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Intervención principal</w:t>
            </w:r>
          </w:p>
        </w:tc>
        <w:tc>
          <w:tcPr>
            <w:tcW w:w="2207" w:type="dxa"/>
          </w:tcPr>
          <w:p w14:paraId="65EE12E2" w14:textId="77777777" w:rsidR="00F23869" w:rsidRDefault="0057613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Resultados medibles</w:t>
            </w:r>
          </w:p>
        </w:tc>
        <w:tc>
          <w:tcPr>
            <w:tcW w:w="2207" w:type="dxa"/>
          </w:tcPr>
          <w:p w14:paraId="79575D49" w14:textId="77777777" w:rsidR="00F23869" w:rsidRDefault="0057613A">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Lecciones para Colombia</w:t>
            </w:r>
          </w:p>
        </w:tc>
      </w:tr>
      <w:tr w:rsidR="00F23869" w14:paraId="3C581887" w14:textId="77777777" w:rsidTr="00F23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293A3A44" w14:textId="77777777" w:rsidR="00F23869" w:rsidRDefault="0057613A">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Suecia</w:t>
            </w:r>
          </w:p>
        </w:tc>
        <w:tc>
          <w:tcPr>
            <w:tcW w:w="2207" w:type="dxa"/>
          </w:tcPr>
          <w:p w14:paraId="39DA0730" w14:textId="77777777" w:rsidR="00F23869" w:rsidRDefault="0057613A">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 xml:space="preserve">Directrices médicas </w:t>
            </w:r>
            <w:r>
              <w:rPr>
                <w:rFonts w:ascii="Bookman Old Style" w:eastAsia="Bookman Old Style" w:hAnsi="Bookman Old Style" w:cs="Bookman Old Style"/>
              </w:rPr>
              <w:lastRenderedPageBreak/>
              <w:t>nacionales; campañas educativas; monitoreo de acceso.</w:t>
            </w:r>
          </w:p>
        </w:tc>
        <w:tc>
          <w:tcPr>
            <w:tcW w:w="2207" w:type="dxa"/>
          </w:tcPr>
          <w:p w14:paraId="7C529706" w14:textId="77777777" w:rsidR="00F23869" w:rsidRDefault="0057613A">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lastRenderedPageBreak/>
              <w:t xml:space="preserve">Reducción de diagnósticos </w:t>
            </w:r>
            <w:r>
              <w:rPr>
                <w:rFonts w:ascii="Bookman Old Style" w:eastAsia="Bookman Old Style" w:hAnsi="Bookman Old Style" w:cs="Bookman Old Style"/>
              </w:rPr>
              <w:lastRenderedPageBreak/>
              <w:t>erróneos; aumento en acceso equitativo a tratamientos.</w:t>
            </w:r>
          </w:p>
        </w:tc>
        <w:tc>
          <w:tcPr>
            <w:tcW w:w="2207" w:type="dxa"/>
          </w:tcPr>
          <w:p w14:paraId="0778B22D" w14:textId="77777777" w:rsidR="00F23869" w:rsidRDefault="0057613A">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lastRenderedPageBreak/>
              <w:t xml:space="preserve">Incorporar guías clínicas </w:t>
            </w:r>
            <w:r>
              <w:rPr>
                <w:rFonts w:ascii="Bookman Old Style" w:eastAsia="Bookman Old Style" w:hAnsi="Bookman Old Style" w:cs="Bookman Old Style"/>
              </w:rPr>
              <w:lastRenderedPageBreak/>
              <w:t>nacionales y campañas públicas; seguimiento de calidad y cobertura.</w:t>
            </w:r>
          </w:p>
        </w:tc>
      </w:tr>
      <w:tr w:rsidR="00F23869" w14:paraId="7A332B75" w14:textId="77777777" w:rsidTr="00F23869">
        <w:tc>
          <w:tcPr>
            <w:cnfStyle w:val="001000000000" w:firstRow="0" w:lastRow="0" w:firstColumn="1" w:lastColumn="0" w:oddVBand="0" w:evenVBand="0" w:oddHBand="0" w:evenHBand="0" w:firstRowFirstColumn="0" w:firstRowLastColumn="0" w:lastRowFirstColumn="0" w:lastRowLastColumn="0"/>
            <w:tcW w:w="2207" w:type="dxa"/>
          </w:tcPr>
          <w:p w14:paraId="1AB1C504" w14:textId="77777777" w:rsidR="00F23869" w:rsidRDefault="0057613A">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Reino </w:t>
            </w:r>
            <w:r>
              <w:rPr>
                <w:rFonts w:ascii="Bookman Old Style" w:eastAsia="Bookman Old Style" w:hAnsi="Bookman Old Style" w:cs="Bookman Old Style"/>
              </w:rPr>
              <w:t>Unido</w:t>
            </w:r>
          </w:p>
        </w:tc>
        <w:tc>
          <w:tcPr>
            <w:tcW w:w="2207" w:type="dxa"/>
          </w:tcPr>
          <w:p w14:paraId="30DFF95B" w14:textId="77777777" w:rsidR="00F23869" w:rsidRDefault="0057613A">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Informe parlamentario y políticas laborales inclusivas; capacitación para empleadores; ajustes razonables.</w:t>
            </w:r>
          </w:p>
        </w:tc>
        <w:tc>
          <w:tcPr>
            <w:tcW w:w="2207" w:type="dxa"/>
          </w:tcPr>
          <w:p w14:paraId="1B6DD5CD" w14:textId="77777777" w:rsidR="00F23869" w:rsidRDefault="0057613A">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Mayor retención laboral de mujeres menopáusicas; disminución de reportes de discriminación.</w:t>
            </w:r>
          </w:p>
        </w:tc>
        <w:tc>
          <w:tcPr>
            <w:tcW w:w="2207" w:type="dxa"/>
          </w:tcPr>
          <w:p w14:paraId="5FAFE6B9" w14:textId="77777777" w:rsidR="00F23869" w:rsidRDefault="0057613A">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eastAsia="Bookman Old Style" w:hAnsi="Bookman Old Style" w:cs="Bookman Old Style"/>
              </w:rPr>
            </w:pPr>
            <w:r>
              <w:rPr>
                <w:rFonts w:ascii="Bookman Old Style" w:eastAsia="Bookman Old Style" w:hAnsi="Bookman Old Style" w:cs="Bookman Old Style"/>
              </w:rPr>
              <w:t>Incluir la menopausia en legislación laboral; promo</w:t>
            </w:r>
            <w:r>
              <w:rPr>
                <w:rFonts w:ascii="Bookman Old Style" w:eastAsia="Bookman Old Style" w:hAnsi="Bookman Old Style" w:cs="Bookman Old Style"/>
              </w:rPr>
              <w:t>ver formación empresarial y ajustes en el lugar de trabajo.</w:t>
            </w:r>
          </w:p>
        </w:tc>
      </w:tr>
    </w:tbl>
    <w:p w14:paraId="1817290F" w14:textId="77777777" w:rsidR="00F23869" w:rsidRDefault="00F23869">
      <w:pPr>
        <w:spacing w:line="276" w:lineRule="auto"/>
        <w:ind w:left="0"/>
        <w:rPr>
          <w:rFonts w:ascii="Bookman Old Style" w:eastAsia="Bookman Old Style" w:hAnsi="Bookman Old Style" w:cs="Bookman Old Style"/>
          <w:sz w:val="24"/>
          <w:szCs w:val="24"/>
        </w:rPr>
      </w:pPr>
    </w:p>
    <w:p w14:paraId="4B8EDA2C" w14:textId="77777777" w:rsidR="00F23869" w:rsidRDefault="0057613A">
      <w:pPr>
        <w:numPr>
          <w:ilvl w:val="0"/>
          <w:numId w:val="3"/>
        </w:numPr>
        <w:spacing w:line="276"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CONFLICTO DE INTERESES</w:t>
      </w:r>
    </w:p>
    <w:p w14:paraId="4254ACE4" w14:textId="77777777" w:rsidR="00F23869" w:rsidRDefault="00F23869">
      <w:pPr>
        <w:spacing w:line="276" w:lineRule="auto"/>
        <w:ind w:left="1080"/>
        <w:rPr>
          <w:rFonts w:ascii="Bookman Old Style" w:eastAsia="Bookman Old Style" w:hAnsi="Bookman Old Style" w:cs="Bookman Old Style"/>
          <w:sz w:val="24"/>
          <w:szCs w:val="24"/>
        </w:rPr>
      </w:pPr>
    </w:p>
    <w:p w14:paraId="457977AD"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w:t>
      </w:r>
      <w:r>
        <w:rPr>
          <w:rFonts w:ascii="Bookman Old Style" w:eastAsia="Bookman Old Style" w:hAnsi="Bookman Old Style" w:cs="Bookman Old Style"/>
          <w:sz w:val="24"/>
          <w:szCs w:val="24"/>
        </w:rPr>
        <w:t>la discusión y votación del proyecto, de acuerdo con el artículo 286. Estos serán criterios guías para que los otros congresistas tomen una decisión en torno a si se encuentran en una causal de impedimento, no obstante, otras causales que el Congresista pu</w:t>
      </w:r>
      <w:r>
        <w:rPr>
          <w:rFonts w:ascii="Bookman Old Style" w:eastAsia="Bookman Old Style" w:hAnsi="Bookman Old Style" w:cs="Bookman Old Style"/>
          <w:sz w:val="24"/>
          <w:szCs w:val="24"/>
        </w:rPr>
        <w:t xml:space="preserve">eda encontrar”. </w:t>
      </w:r>
    </w:p>
    <w:p w14:paraId="5FF1014F" w14:textId="77777777" w:rsidR="00F23869" w:rsidRDefault="00F23869">
      <w:pPr>
        <w:spacing w:line="276" w:lineRule="auto"/>
        <w:ind w:left="1080"/>
        <w:rPr>
          <w:rFonts w:ascii="Bookman Old Style" w:eastAsia="Bookman Old Style" w:hAnsi="Bookman Old Style" w:cs="Bookman Old Style"/>
          <w:sz w:val="24"/>
          <w:szCs w:val="24"/>
        </w:rPr>
      </w:pPr>
    </w:p>
    <w:p w14:paraId="3BCC2F42"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Bookman Old Style" w:eastAsia="Bookman Old Style" w:hAnsi="Bookman Old Style" w:cs="Bookman Old Style"/>
          <w:sz w:val="24"/>
          <w:szCs w:val="24"/>
        </w:rPr>
        <w:t>cong</w:t>
      </w:r>
      <w:r>
        <w:rPr>
          <w:rFonts w:ascii="Bookman Old Style" w:eastAsia="Bookman Old Style" w:hAnsi="Bookman Old Style" w:cs="Bookman Old Style"/>
          <w:sz w:val="24"/>
          <w:szCs w:val="24"/>
        </w:rPr>
        <w:t>resional</w:t>
      </w:r>
      <w:proofErr w:type="spellEnd"/>
      <w:r>
        <w:rPr>
          <w:rFonts w:ascii="Bookman Old Style" w:eastAsia="Bookman Old Style" w:hAnsi="Bookman Old Style" w:cs="Bookman Old Style"/>
          <w:sz w:val="24"/>
          <w:szCs w:val="24"/>
        </w:rPr>
        <w:t xml:space="preserve">, entre ellas la legislativa. </w:t>
      </w:r>
    </w:p>
    <w:p w14:paraId="233DBE9C" w14:textId="77777777" w:rsidR="00F23869" w:rsidRDefault="00F23869">
      <w:pPr>
        <w:spacing w:line="276" w:lineRule="auto"/>
        <w:ind w:left="1080"/>
        <w:rPr>
          <w:rFonts w:ascii="Bookman Old Style" w:eastAsia="Bookman Old Style" w:hAnsi="Bookman Old Style" w:cs="Bookman Old Style"/>
          <w:sz w:val="24"/>
          <w:szCs w:val="24"/>
        </w:rPr>
      </w:pPr>
    </w:p>
    <w:p w14:paraId="12C63307"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“Artículo 1º. El artículo 286 de la Ley 5 de 1992 quedará así: (…) </w:t>
      </w:r>
    </w:p>
    <w:p w14:paraId="58A04A8A" w14:textId="77777777" w:rsidR="00F23869" w:rsidRDefault="00F23869">
      <w:pPr>
        <w:spacing w:line="276" w:lineRule="auto"/>
        <w:ind w:left="1080"/>
        <w:rPr>
          <w:rFonts w:ascii="Bookman Old Style" w:eastAsia="Bookman Old Style" w:hAnsi="Bookman Old Style" w:cs="Bookman Old Style"/>
          <w:i/>
          <w:sz w:val="24"/>
          <w:szCs w:val="24"/>
        </w:rPr>
      </w:pPr>
    </w:p>
    <w:p w14:paraId="1858766A"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w:t>
      </w:r>
      <w:r>
        <w:rPr>
          <w:rFonts w:ascii="Bookman Old Style" w:eastAsia="Bookman Old Style" w:hAnsi="Bookman Old Style" w:cs="Bookman Old Style"/>
          <w:i/>
          <w:sz w:val="24"/>
          <w:szCs w:val="24"/>
        </w:rPr>
        <w:lastRenderedPageBreak/>
        <w:t>penales</w:t>
      </w:r>
      <w:r>
        <w:rPr>
          <w:rFonts w:ascii="Bookman Old Style" w:eastAsia="Bookman Old Style" w:hAnsi="Bookman Old Style" w:cs="Bookman Old Style"/>
          <w:i/>
          <w:sz w:val="24"/>
          <w:szCs w:val="24"/>
        </w:rPr>
        <w:t xml:space="preserve">, disciplinarias, fiscales o administrativas a las que se encuentre formalmente vinculado. </w:t>
      </w:r>
    </w:p>
    <w:p w14:paraId="14C371AA" w14:textId="77777777" w:rsidR="00F23869" w:rsidRDefault="00F23869">
      <w:pPr>
        <w:spacing w:line="276" w:lineRule="auto"/>
        <w:ind w:left="1080"/>
        <w:rPr>
          <w:rFonts w:ascii="Bookman Old Style" w:eastAsia="Bookman Old Style" w:hAnsi="Bookman Old Style" w:cs="Bookman Old Style"/>
          <w:i/>
          <w:sz w:val="24"/>
          <w:szCs w:val="24"/>
        </w:rPr>
      </w:pPr>
    </w:p>
    <w:p w14:paraId="28EC403B"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b) Beneficio actual: aquel que efectivamente se configura en las circunstancias presentes y existentes al momento en el que el congresista participa de la decisión</w:t>
      </w:r>
      <w:r>
        <w:rPr>
          <w:rFonts w:ascii="Bookman Old Style" w:eastAsia="Bookman Old Style" w:hAnsi="Bookman Old Style" w:cs="Bookman Old Style"/>
          <w:i/>
          <w:sz w:val="24"/>
          <w:szCs w:val="24"/>
        </w:rPr>
        <w:t xml:space="preserve">. </w:t>
      </w:r>
    </w:p>
    <w:p w14:paraId="0A68D720" w14:textId="77777777" w:rsidR="00F23869" w:rsidRDefault="00F23869">
      <w:pPr>
        <w:spacing w:line="276" w:lineRule="auto"/>
        <w:ind w:left="1080"/>
        <w:rPr>
          <w:rFonts w:ascii="Bookman Old Style" w:eastAsia="Bookman Old Style" w:hAnsi="Bookman Old Style" w:cs="Bookman Old Style"/>
          <w:i/>
          <w:sz w:val="24"/>
          <w:szCs w:val="24"/>
        </w:rPr>
      </w:pPr>
    </w:p>
    <w:p w14:paraId="7311A93C"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c) Beneficio directo: aquel que se produzca de forma específica respecto del congresista, de su cónyuge, compañero o compañera permanente, o parientes dentro del segundo grado de consanguinidad, segundo de afinidad o primero civil. Para todos los efect</w:t>
      </w:r>
      <w:r>
        <w:rPr>
          <w:rFonts w:ascii="Bookman Old Style" w:eastAsia="Bookman Old Style" w:hAnsi="Bookman Old Style" w:cs="Bookman Old Style"/>
          <w:i/>
          <w:sz w:val="24"/>
          <w:szCs w:val="24"/>
        </w:rPr>
        <w:t xml:space="preserve">os se entiende que no hay conflicto de interés en las siguientes circunstancias: </w:t>
      </w:r>
    </w:p>
    <w:p w14:paraId="07964EFF" w14:textId="77777777" w:rsidR="00F23869" w:rsidRDefault="00F23869">
      <w:pPr>
        <w:spacing w:line="276" w:lineRule="auto"/>
        <w:ind w:left="1080"/>
        <w:rPr>
          <w:rFonts w:ascii="Bookman Old Style" w:eastAsia="Bookman Old Style" w:hAnsi="Bookman Old Style" w:cs="Bookman Old Style"/>
          <w:i/>
          <w:sz w:val="24"/>
          <w:szCs w:val="24"/>
        </w:rPr>
      </w:pPr>
    </w:p>
    <w:p w14:paraId="2C614B34"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a) Cuando el congresista participe, discuta, vote un proyecto de ley o de acto legislativo que otorgue beneficios o cargos de carácter general, es decir cuando el interés de</w:t>
      </w:r>
      <w:r>
        <w:rPr>
          <w:rFonts w:ascii="Bookman Old Style" w:eastAsia="Bookman Old Style" w:hAnsi="Bookman Old Style" w:cs="Bookman Old Style"/>
          <w:i/>
          <w:sz w:val="24"/>
          <w:szCs w:val="24"/>
        </w:rPr>
        <w:t xml:space="preserve">l congresista coincide o se fusione con los intereses de los electores. </w:t>
      </w:r>
    </w:p>
    <w:p w14:paraId="2B8ED711" w14:textId="77777777" w:rsidR="00F23869" w:rsidRDefault="00F23869">
      <w:pPr>
        <w:spacing w:line="276" w:lineRule="auto"/>
        <w:ind w:left="1080"/>
        <w:rPr>
          <w:rFonts w:ascii="Bookman Old Style" w:eastAsia="Bookman Old Style" w:hAnsi="Bookman Old Style" w:cs="Bookman Old Style"/>
          <w:i/>
          <w:sz w:val="24"/>
          <w:szCs w:val="24"/>
        </w:rPr>
      </w:pPr>
    </w:p>
    <w:p w14:paraId="21DD8477"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b) Cuando el beneficio podría o no configurarse para el congresista en el futuro. </w:t>
      </w:r>
    </w:p>
    <w:p w14:paraId="4A2F822D" w14:textId="77777777" w:rsidR="00F23869" w:rsidRDefault="00F23869">
      <w:pPr>
        <w:spacing w:line="276" w:lineRule="auto"/>
        <w:ind w:left="1080"/>
        <w:rPr>
          <w:rFonts w:ascii="Bookman Old Style" w:eastAsia="Bookman Old Style" w:hAnsi="Bookman Old Style" w:cs="Bookman Old Style"/>
          <w:i/>
          <w:sz w:val="24"/>
          <w:szCs w:val="24"/>
        </w:rPr>
      </w:pPr>
    </w:p>
    <w:p w14:paraId="1BA1D3FD"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c) Cuando el congresista participe, discuta o vote artículos de proyectos de ley o acto legislativ</w:t>
      </w:r>
      <w:r>
        <w:rPr>
          <w:rFonts w:ascii="Bookman Old Style" w:eastAsia="Bookman Old Style" w:hAnsi="Bookman Old Style" w:cs="Bookman Old Style"/>
          <w:i/>
          <w:sz w:val="24"/>
          <w:szCs w:val="24"/>
        </w:rPr>
        <w:t xml:space="preserve">o de carácter particular, que establezcan sanciones o disminuyan beneficios, en el cual, el congresista tiene un interés particular, actual y directo. El voto negativo no constituirá conflicto de interés cuando mantiene la normatividad vigente. </w:t>
      </w:r>
    </w:p>
    <w:p w14:paraId="2A4E4A02" w14:textId="77777777" w:rsidR="00F23869" w:rsidRDefault="00F23869">
      <w:pPr>
        <w:spacing w:line="276" w:lineRule="auto"/>
        <w:ind w:left="1080"/>
        <w:rPr>
          <w:rFonts w:ascii="Bookman Old Style" w:eastAsia="Bookman Old Style" w:hAnsi="Bookman Old Style" w:cs="Bookman Old Style"/>
          <w:i/>
          <w:sz w:val="24"/>
          <w:szCs w:val="24"/>
        </w:rPr>
      </w:pPr>
    </w:p>
    <w:p w14:paraId="1879F1F1"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d) Cuando</w:t>
      </w:r>
      <w:r>
        <w:rPr>
          <w:rFonts w:ascii="Bookman Old Style" w:eastAsia="Bookman Old Style" w:hAnsi="Bookman Old Style" w:cs="Bookman Old Style"/>
          <w:i/>
          <w:sz w:val="24"/>
          <w:szCs w:val="24"/>
        </w:rPr>
        <w:t xml:space="preserve"> el congresista participe, discuta o vote artículos de proyectos de ley o acto legislativo de carácter particular, que regula un sector económico en el cual el congresista tiene un interés particular, actual y directo, siempre y cuando no genere beneficio </w:t>
      </w:r>
      <w:r>
        <w:rPr>
          <w:rFonts w:ascii="Bookman Old Style" w:eastAsia="Bookman Old Style" w:hAnsi="Bookman Old Style" w:cs="Bookman Old Style"/>
          <w:i/>
          <w:sz w:val="24"/>
          <w:szCs w:val="24"/>
        </w:rPr>
        <w:t xml:space="preserve">particular, directo y actual. </w:t>
      </w:r>
    </w:p>
    <w:p w14:paraId="19435B68" w14:textId="77777777" w:rsidR="00F23869" w:rsidRDefault="00F23869">
      <w:pPr>
        <w:spacing w:line="276" w:lineRule="auto"/>
        <w:ind w:left="1080"/>
        <w:rPr>
          <w:rFonts w:ascii="Bookman Old Style" w:eastAsia="Bookman Old Style" w:hAnsi="Bookman Old Style" w:cs="Bookman Old Style"/>
          <w:i/>
          <w:sz w:val="24"/>
          <w:szCs w:val="24"/>
        </w:rPr>
      </w:pPr>
    </w:p>
    <w:p w14:paraId="481668BE"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e) Cuando el congresista participe, discuta o vote artículos de proyectos de ley o acto legislativo que tratan sobre los sectores económicos de quienes fueron financiadores de su campaña siempre y cuando no genere beneficio </w:t>
      </w:r>
      <w:r>
        <w:rPr>
          <w:rFonts w:ascii="Bookman Old Style" w:eastAsia="Bookman Old Style" w:hAnsi="Bookman Old Style" w:cs="Bookman Old Style"/>
          <w:i/>
          <w:sz w:val="24"/>
          <w:szCs w:val="24"/>
        </w:rPr>
        <w:t xml:space="preserve">particular, directo y actual para el congresista. El congresista deberá hacer saber por escrito que el </w:t>
      </w:r>
      <w:r>
        <w:rPr>
          <w:rFonts w:ascii="Bookman Old Style" w:eastAsia="Bookman Old Style" w:hAnsi="Bookman Old Style" w:cs="Bookman Old Style"/>
          <w:i/>
          <w:sz w:val="24"/>
          <w:szCs w:val="24"/>
        </w:rPr>
        <w:lastRenderedPageBreak/>
        <w:t xml:space="preserve">artículo o proyecto beneficia a financiadores de su campaña. Dicha manifestación no requerirá discusión ni votación. </w:t>
      </w:r>
    </w:p>
    <w:p w14:paraId="1EBD1133" w14:textId="77777777" w:rsidR="00F23869" w:rsidRDefault="00F23869">
      <w:pPr>
        <w:spacing w:line="276" w:lineRule="auto"/>
        <w:ind w:left="1080"/>
        <w:rPr>
          <w:rFonts w:ascii="Bookman Old Style" w:eastAsia="Bookman Old Style" w:hAnsi="Bookman Old Style" w:cs="Bookman Old Style"/>
          <w:i/>
          <w:sz w:val="24"/>
          <w:szCs w:val="24"/>
        </w:rPr>
      </w:pPr>
    </w:p>
    <w:p w14:paraId="564992A4" w14:textId="77777777" w:rsidR="00F23869" w:rsidRDefault="0057613A">
      <w:pPr>
        <w:spacing w:line="276" w:lineRule="auto"/>
        <w:ind w:left="10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 Cuando el congresista participa</w:t>
      </w:r>
      <w:r>
        <w:rPr>
          <w:rFonts w:ascii="Bookman Old Style" w:eastAsia="Bookman Old Style" w:hAnsi="Bookman Old Style" w:cs="Bookman Old Style"/>
          <w:i/>
          <w:sz w:val="24"/>
          <w:szCs w:val="24"/>
        </w:rPr>
        <w:t xml:space="preserve"> en la elección de otros servidores públicos mediante el voto secreto. Se exceptúan los casos en que se presenten inhabilidades referidas al parentesco con los candidatos (...)”. (Subrayado y negrilla fuera de texto). </w:t>
      </w:r>
    </w:p>
    <w:p w14:paraId="5F8B717F" w14:textId="77777777" w:rsidR="00F23869" w:rsidRDefault="00F23869">
      <w:pPr>
        <w:spacing w:line="276" w:lineRule="auto"/>
        <w:ind w:left="1080"/>
        <w:rPr>
          <w:rFonts w:ascii="Bookman Old Style" w:eastAsia="Bookman Old Style" w:hAnsi="Bookman Old Style" w:cs="Bookman Old Style"/>
          <w:sz w:val="24"/>
          <w:szCs w:val="24"/>
        </w:rPr>
      </w:pPr>
    </w:p>
    <w:p w14:paraId="038DFFC4" w14:textId="77777777" w:rsidR="00F23869" w:rsidRDefault="0057613A">
      <w:pPr>
        <w:spacing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 lo anterior, y de manera merament</w:t>
      </w:r>
      <w:r>
        <w:rPr>
          <w:rFonts w:ascii="Bookman Old Style" w:eastAsia="Bookman Old Style" w:hAnsi="Bookman Old Style" w:cs="Bookman Old Style"/>
          <w:sz w:val="24"/>
          <w:szCs w:val="24"/>
        </w:rPr>
        <w:t>e orientativa, se considera que para la discusión y aprobación de este Proyecto de Ley no existen circunstancias que pudieran dar lugar a un eventual conflicto de interés por parte de los Honorables Representantes, pues es una iniciativa de carácter genera</w:t>
      </w:r>
      <w:r>
        <w:rPr>
          <w:rFonts w:ascii="Bookman Old Style" w:eastAsia="Bookman Old Style" w:hAnsi="Bookman Old Style" w:cs="Bookman Old Style"/>
          <w:sz w:val="24"/>
          <w:szCs w:val="24"/>
        </w:rPr>
        <w:t xml:space="preserve">l, impersonal y abstracta, con lo cual no se materializa una situación concreta que permita enmarcar un beneficio particular, directo ni actual. En suma, se considera que este proyecto se enmarca en lo dispuesto por el literal a del artículo primero de la </w:t>
      </w:r>
      <w:r>
        <w:rPr>
          <w:rFonts w:ascii="Bookman Old Style" w:eastAsia="Bookman Old Style" w:hAnsi="Bookman Old Style" w:cs="Bookman Old Style"/>
          <w:sz w:val="24"/>
          <w:szCs w:val="24"/>
        </w:rPr>
        <w:t>Ley 2003 de 2019 sobre las hipótesis de cuando se entiende que no hay conflicto de interés. En todo caso, es pertinente aclarar que los conflictos de interés son personales y corresponde a cada Congresista evaluarlos.</w:t>
      </w:r>
    </w:p>
    <w:p w14:paraId="7999A185" w14:textId="77777777" w:rsidR="00F23869" w:rsidRDefault="00F23869">
      <w:pPr>
        <w:spacing w:line="276" w:lineRule="auto"/>
        <w:ind w:left="1080"/>
        <w:rPr>
          <w:rFonts w:ascii="Bookman Old Style" w:eastAsia="Bookman Old Style" w:hAnsi="Bookman Old Style" w:cs="Bookman Old Style"/>
          <w:sz w:val="24"/>
          <w:szCs w:val="24"/>
        </w:rPr>
      </w:pPr>
    </w:p>
    <w:p w14:paraId="15D668AD"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IMPACTO FISCAL</w:t>
      </w:r>
    </w:p>
    <w:p w14:paraId="5D7A63FA" w14:textId="77777777" w:rsidR="00F23869" w:rsidRDefault="0057613A">
      <w:pPr>
        <w:spacing w:before="240" w:after="24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artículo 7°, de la Ley 819, de 2003 “Por la cual se dictan normas orgánicas en materia de presupuesto, responsabilidad y transparencia fiscal y se dictan otras disposiciones”, determina que en la exposición de motivos y en las ponencias de los proyectos</w:t>
      </w:r>
      <w:r>
        <w:rPr>
          <w:rFonts w:ascii="Bookman Old Style" w:eastAsia="Bookman Old Style" w:hAnsi="Bookman Old Style" w:cs="Bookman Old Style"/>
          <w:sz w:val="24"/>
          <w:szCs w:val="24"/>
        </w:rPr>
        <w:t xml:space="preserve"> de ley se debe hacer explícito el costo fiscal que se genera por el gasto ordenado o por el otorgamiento de beneficios tributarios, que debe ser compatible con el Marco Fiscal de Mediano Plazo, al mismo tiempo que debe señalar la fuente de financiación de</w:t>
      </w:r>
      <w:r>
        <w:rPr>
          <w:rFonts w:ascii="Bookman Old Style" w:eastAsia="Bookman Old Style" w:hAnsi="Bookman Old Style" w:cs="Bookman Old Style"/>
          <w:sz w:val="24"/>
          <w:szCs w:val="24"/>
        </w:rPr>
        <w:t xml:space="preserve"> dicho costo. </w:t>
      </w:r>
    </w:p>
    <w:p w14:paraId="3B5A5153" w14:textId="77777777" w:rsidR="00F23869" w:rsidRDefault="0057613A">
      <w:pPr>
        <w:spacing w:before="240" w:after="24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Ahora bien, en cumplimiento a la disposición referida,</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se deja de manifiesto que el gasto de que tratan algunos artículos no se impone u ordena, sino que se autoriza, para que el Gobierno incorpore dentro del Presupuesto General de la Nación</w:t>
      </w:r>
      <w:r>
        <w:rPr>
          <w:rFonts w:ascii="Bookman Old Style" w:eastAsia="Bookman Old Style" w:hAnsi="Bookman Old Style" w:cs="Bookman Old Style"/>
          <w:sz w:val="24"/>
          <w:szCs w:val="24"/>
        </w:rPr>
        <w:t xml:space="preserve"> y/o impulse a través del sistema nacional de cofinanciación las apropiaciones requeridas para dar cumplimiento a lo allí estipulado. Frente a este acápite es importante manifestar que la Corte Constitucional le ha reconocido al Congreso de la República la</w:t>
      </w:r>
      <w:r>
        <w:rPr>
          <w:rFonts w:ascii="Bookman Old Style" w:eastAsia="Bookman Old Style" w:hAnsi="Bookman Old Style" w:cs="Bookman Old Style"/>
          <w:sz w:val="24"/>
          <w:szCs w:val="24"/>
        </w:rPr>
        <w:t xml:space="preserve"> facultad que tiene para aprobar proyectos de ley que comporten gasto público, siempre y cuando no se imponga su ejecución, sino que se faculte al Gobierno para </w:t>
      </w:r>
      <w:r>
        <w:rPr>
          <w:rFonts w:ascii="Bookman Old Style" w:eastAsia="Bookman Old Style" w:hAnsi="Bookman Old Style" w:cs="Bookman Old Style"/>
          <w:sz w:val="24"/>
          <w:szCs w:val="24"/>
        </w:rPr>
        <w:lastRenderedPageBreak/>
        <w:t>incluir las partidas correspondientes en el Presupuesto General de la Nación.</w:t>
      </w:r>
    </w:p>
    <w:p w14:paraId="12EEBF63" w14:textId="77777777" w:rsidR="00F23869" w:rsidRDefault="0057613A">
      <w:pPr>
        <w:spacing w:before="240" w:after="24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Así mismo, en la </w:t>
      </w:r>
      <w:r>
        <w:rPr>
          <w:rFonts w:ascii="Bookman Old Style" w:eastAsia="Bookman Old Style" w:hAnsi="Bookman Old Style" w:cs="Bookman Old Style"/>
          <w:sz w:val="24"/>
          <w:szCs w:val="24"/>
        </w:rPr>
        <w:t xml:space="preserve">sentencia C- 411 de 2009 de la Corte Constitucional, el análisis del impacto fiscal de las normas, en el cuerpo del proyecto </w:t>
      </w:r>
      <w:r>
        <w:rPr>
          <w:rFonts w:ascii="Bookman Old Style" w:eastAsia="Bookman Old Style" w:hAnsi="Bookman Old Style" w:cs="Bookman Old Style"/>
          <w:i/>
          <w:sz w:val="24"/>
          <w:szCs w:val="24"/>
        </w:rPr>
        <w:t xml:space="preserve">de ley, </w:t>
      </w:r>
      <w:r>
        <w:rPr>
          <w:rFonts w:ascii="Bookman Old Style" w:eastAsia="Bookman Old Style" w:hAnsi="Bookman Old Style" w:cs="Bookman Old Style"/>
          <w:sz w:val="24"/>
          <w:szCs w:val="24"/>
        </w:rPr>
        <w:t>no es requisito sine qua non para su trámite legislativo, ni debe ser una barrera para que el Congreso ejerza sus funciones</w:t>
      </w:r>
      <w:r>
        <w:rPr>
          <w:rFonts w:ascii="Bookman Old Style" w:eastAsia="Bookman Old Style" w:hAnsi="Bookman Old Style" w:cs="Bookman Old Style"/>
          <w:sz w:val="24"/>
          <w:szCs w:val="24"/>
        </w:rPr>
        <w:t>, ni crea un poder de veto legislativo en cabeza del ministro de Hacienda; es más, hacer el análisis del impacto fiscal no recae únicamente en el legislador, sobre este punto ha establecido su</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 xml:space="preserve">análisis de la siguiente manera: </w:t>
      </w:r>
    </w:p>
    <w:p w14:paraId="6C30F175" w14:textId="77777777" w:rsidR="00F23869" w:rsidRDefault="0057613A">
      <w:pPr>
        <w:spacing w:after="160" w:line="276" w:lineRule="auto"/>
        <w:ind w:left="280" w:right="280"/>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el cumplimiento de lo dis</w:t>
      </w:r>
      <w:r>
        <w:rPr>
          <w:rFonts w:ascii="Bookman Old Style" w:eastAsia="Bookman Old Style" w:hAnsi="Bookman Old Style" w:cs="Bookman Old Style"/>
          <w:i/>
          <w:sz w:val="24"/>
          <w:szCs w:val="24"/>
        </w:rPr>
        <w:t>puesto en el artículo 7° de la Ley 819 de 2003 corresponde al Congreso, pero principalmente al ministro de Hacienda y Crédito Público, en tanto que “es el que cuenta con los datos, los equipos de funcionarios y la experticia en materia económica (...)”</w:t>
      </w:r>
    </w:p>
    <w:p w14:paraId="2CAC140F" w14:textId="77777777" w:rsidR="00F23869" w:rsidRDefault="0057613A">
      <w:pPr>
        <w:spacing w:before="240" w:after="240" w:line="276" w:lineRule="auto"/>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 </w:t>
      </w:r>
      <w:r>
        <w:rPr>
          <w:rFonts w:ascii="Bookman Old Style" w:eastAsia="Bookman Old Style" w:hAnsi="Bookman Old Style" w:cs="Bookman Old Style"/>
          <w:sz w:val="24"/>
          <w:szCs w:val="24"/>
        </w:rPr>
        <w:t xml:space="preserve">anterior significa que, en cualquier momento del trámite legislativo, el </w:t>
      </w:r>
      <w:proofErr w:type="gramStart"/>
      <w:r>
        <w:rPr>
          <w:rFonts w:ascii="Bookman Old Style" w:eastAsia="Bookman Old Style" w:hAnsi="Bookman Old Style" w:cs="Bookman Old Style"/>
          <w:sz w:val="24"/>
          <w:szCs w:val="24"/>
        </w:rPr>
        <w:t>Ministro</w:t>
      </w:r>
      <w:proofErr w:type="gramEnd"/>
      <w:r>
        <w:rPr>
          <w:rFonts w:ascii="Bookman Old Style" w:eastAsia="Bookman Old Style" w:hAnsi="Bookman Old Style" w:cs="Bookman Old Style"/>
          <w:sz w:val="24"/>
          <w:szCs w:val="24"/>
        </w:rPr>
        <w:t xml:space="preserve"> de Hacienda y Crédito Público podrá ilustrarle a este Congreso las consecuencias económicas del presente proyecto de ley; toda vez que, de acuerdo con el proceso de racionali</w:t>
      </w:r>
      <w:r>
        <w:rPr>
          <w:rFonts w:ascii="Bookman Old Style" w:eastAsia="Bookman Old Style" w:hAnsi="Bookman Old Style" w:cs="Bookman Old Style"/>
          <w:sz w:val="24"/>
          <w:szCs w:val="24"/>
        </w:rPr>
        <w:t>dad legislativa, la carga principal del análisis de impacto fiscal reposa en esta cartera por contar con los datos, los equipos de funcionarios y la experticia en materia económica.</w:t>
      </w:r>
    </w:p>
    <w:p w14:paraId="608A5558" w14:textId="77777777" w:rsidR="00F23869" w:rsidRDefault="0057613A">
      <w:pPr>
        <w:numPr>
          <w:ilvl w:val="0"/>
          <w:numId w:val="3"/>
        </w:numPr>
        <w:pBdr>
          <w:top w:val="nil"/>
          <w:left w:val="nil"/>
          <w:bottom w:val="nil"/>
          <w:right w:val="nil"/>
          <w:between w:val="nil"/>
        </w:pBdr>
        <w:spacing w:after="160" w:line="276"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REFERENCIAS</w:t>
      </w:r>
    </w:p>
    <w:p w14:paraId="35F8FF44"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Consejería Presidencial para la Equidad de la Mujer. (2012). P</w:t>
      </w:r>
      <w:r>
        <w:rPr>
          <w:rFonts w:ascii="Bookman Old Style" w:eastAsia="Bookman Old Style" w:hAnsi="Bookman Old Style" w:cs="Bookman Old Style"/>
          <w:sz w:val="24"/>
          <w:szCs w:val="24"/>
        </w:rPr>
        <w:t>olítica pública nacional de equidad de género para las mujeres. Presidencia de la República de Colombia.</w:t>
      </w:r>
    </w:p>
    <w:p w14:paraId="2C659591" w14:textId="77777777" w:rsidR="00F23869" w:rsidRDefault="00F23869">
      <w:pPr>
        <w:ind w:left="0"/>
        <w:rPr>
          <w:rFonts w:ascii="Bookman Old Style" w:eastAsia="Bookman Old Style" w:hAnsi="Bookman Old Style" w:cs="Bookman Old Style"/>
          <w:sz w:val="24"/>
          <w:szCs w:val="24"/>
        </w:rPr>
      </w:pPr>
    </w:p>
    <w:p w14:paraId="5027A88D"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Departamento Administrativo Nacional de Estadística. (2022, octubre). Nota estadística: Personas mayores en Colombia. https://www.dane.gov.co/files/in</w:t>
      </w:r>
      <w:r>
        <w:rPr>
          <w:rFonts w:ascii="Bookman Old Style" w:eastAsia="Bookman Old Style" w:hAnsi="Bookman Old Style" w:cs="Bookman Old Style"/>
          <w:sz w:val="24"/>
          <w:szCs w:val="24"/>
        </w:rPr>
        <w:t>vestigaciones/notas-estadisticas/oct-2022-nota-estadistica-personas-mayores-en-colombia.pdf</w:t>
      </w:r>
    </w:p>
    <w:p w14:paraId="1C7A1100" w14:textId="77777777" w:rsidR="00F23869" w:rsidRDefault="00F23869">
      <w:pPr>
        <w:ind w:left="0"/>
        <w:rPr>
          <w:rFonts w:ascii="Bookman Old Style" w:eastAsia="Bookman Old Style" w:hAnsi="Bookman Old Style" w:cs="Bookman Old Style"/>
          <w:sz w:val="24"/>
          <w:szCs w:val="24"/>
        </w:rPr>
      </w:pPr>
    </w:p>
    <w:p w14:paraId="11EAF66F"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Espitia De La Hoz, F. J. (2024). Menopausia: aspectos clínicos y epidemiológicos. Revista Colombiana de Obstetricia y Ginecología, 75(1), 53-63. https://doi.org/10</w:t>
      </w:r>
      <w:r>
        <w:rPr>
          <w:rFonts w:ascii="Bookman Old Style" w:eastAsia="Bookman Old Style" w:hAnsi="Bookman Old Style" w:cs="Bookman Old Style"/>
          <w:sz w:val="24"/>
          <w:szCs w:val="24"/>
        </w:rPr>
        <w:t>.18597/rcog.3809</w:t>
      </w:r>
    </w:p>
    <w:p w14:paraId="7DFCB419" w14:textId="77777777" w:rsidR="00F23869" w:rsidRDefault="00F23869">
      <w:pPr>
        <w:ind w:left="0"/>
        <w:rPr>
          <w:rFonts w:ascii="Bookman Old Style" w:eastAsia="Bookman Old Style" w:hAnsi="Bookman Old Style" w:cs="Bookman Old Style"/>
          <w:sz w:val="24"/>
          <w:szCs w:val="24"/>
        </w:rPr>
      </w:pPr>
    </w:p>
    <w:p w14:paraId="629610A0"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House of Commons, Women and Equalities Committee. (2022). Menopause and the workplace (First Report of Session 2022–23). UK Parliament. https://committees.parliament.uk/work/1416/menopause-and-the-workplace/publications/</w:t>
      </w:r>
    </w:p>
    <w:p w14:paraId="3208B98B" w14:textId="77777777" w:rsidR="00F23869" w:rsidRPr="008837B7" w:rsidRDefault="00F23869">
      <w:pPr>
        <w:ind w:left="0"/>
        <w:rPr>
          <w:rFonts w:ascii="Bookman Old Style" w:eastAsia="Bookman Old Style" w:hAnsi="Bookman Old Style" w:cs="Bookman Old Style"/>
          <w:sz w:val="24"/>
          <w:szCs w:val="24"/>
          <w:lang w:val="en-US"/>
        </w:rPr>
      </w:pPr>
    </w:p>
    <w:p w14:paraId="13C2E729"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Ministerio de Sa</w:t>
      </w:r>
      <w:r>
        <w:rPr>
          <w:rFonts w:ascii="Bookman Old Style" w:eastAsia="Bookman Old Style" w:hAnsi="Bookman Old Style" w:cs="Bookman Old Style"/>
          <w:sz w:val="24"/>
          <w:szCs w:val="24"/>
        </w:rPr>
        <w:t>lud y Protección Social. (2015). Política Nacional de Envejecimiento y Vejez 2015-2024. Ministerio de Salud y Protección Social de Colombia.</w:t>
      </w:r>
    </w:p>
    <w:p w14:paraId="372AC552" w14:textId="77777777" w:rsidR="00F23869" w:rsidRDefault="00F23869">
      <w:pPr>
        <w:ind w:left="0"/>
        <w:rPr>
          <w:rFonts w:ascii="Bookman Old Style" w:eastAsia="Bookman Old Style" w:hAnsi="Bookman Old Style" w:cs="Bookman Old Style"/>
          <w:sz w:val="24"/>
          <w:szCs w:val="24"/>
        </w:rPr>
      </w:pPr>
    </w:p>
    <w:p w14:paraId="7EE0A1D1"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Ministerio de Salud y Protección Social. (2022). Plan Decenal de Salud Pública 2022–2031. Ministerio de Salud y Pr</w:t>
      </w:r>
      <w:r>
        <w:rPr>
          <w:rFonts w:ascii="Bookman Old Style" w:eastAsia="Bookman Old Style" w:hAnsi="Bookman Old Style" w:cs="Bookman Old Style"/>
          <w:sz w:val="24"/>
          <w:szCs w:val="24"/>
        </w:rPr>
        <w:t>otección Social de Colombia.</w:t>
      </w:r>
    </w:p>
    <w:p w14:paraId="0AACD6A0" w14:textId="77777777" w:rsidR="00F23869" w:rsidRDefault="00F23869">
      <w:pPr>
        <w:ind w:left="0"/>
        <w:rPr>
          <w:rFonts w:ascii="Bookman Old Style" w:eastAsia="Bookman Old Style" w:hAnsi="Bookman Old Style" w:cs="Bookman Old Style"/>
          <w:sz w:val="24"/>
          <w:szCs w:val="24"/>
        </w:rPr>
      </w:pPr>
    </w:p>
    <w:p w14:paraId="23B269CE"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Ministerio de la Protección Social. (1950). Código Sustantivo del Trabajo (Decreto 2663 de 1950). Diario Oficial No. 27.622.</w:t>
      </w:r>
    </w:p>
    <w:p w14:paraId="0E91C7B9" w14:textId="77777777" w:rsidR="00F23869" w:rsidRDefault="00F23869">
      <w:pPr>
        <w:ind w:left="0"/>
        <w:rPr>
          <w:rFonts w:ascii="Bookman Old Style" w:eastAsia="Bookman Old Style" w:hAnsi="Bookman Old Style" w:cs="Bookman Old Style"/>
          <w:sz w:val="24"/>
          <w:szCs w:val="24"/>
        </w:rPr>
      </w:pPr>
    </w:p>
    <w:p w14:paraId="09A7CD6A"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República de Colombia. (2006). Ley 1010 de 2006. Diario Oficial No. 46.160.</w:t>
      </w:r>
    </w:p>
    <w:p w14:paraId="058020BF" w14:textId="77777777" w:rsidR="00F23869" w:rsidRDefault="00F23869">
      <w:pPr>
        <w:ind w:left="0"/>
        <w:rPr>
          <w:rFonts w:ascii="Bookman Old Style" w:eastAsia="Bookman Old Style" w:hAnsi="Bookman Old Style" w:cs="Bookman Old Style"/>
          <w:sz w:val="24"/>
          <w:szCs w:val="24"/>
        </w:rPr>
      </w:pPr>
    </w:p>
    <w:p w14:paraId="1F74EC92" w14:textId="77777777" w:rsidR="00F23869" w:rsidRPr="008837B7" w:rsidRDefault="0057613A">
      <w:pPr>
        <w:ind w:left="0"/>
        <w:rPr>
          <w:rFonts w:ascii="Bookman Old Style" w:eastAsia="Bookman Old Style" w:hAnsi="Bookman Old Style" w:cs="Bookman Old Style"/>
          <w:sz w:val="24"/>
          <w:szCs w:val="24"/>
          <w:lang w:val="en-US"/>
        </w:rPr>
      </w:pPr>
      <w:proofErr w:type="spellStart"/>
      <w:r w:rsidRPr="008837B7">
        <w:rPr>
          <w:rFonts w:ascii="Bookman Old Style" w:eastAsia="Bookman Old Style" w:hAnsi="Bookman Old Style" w:cs="Bookman Old Style"/>
          <w:sz w:val="24"/>
          <w:szCs w:val="24"/>
          <w:lang w:val="en-US"/>
        </w:rPr>
        <w:t>Riksdagen</w:t>
      </w:r>
      <w:proofErr w:type="spellEnd"/>
      <w:r w:rsidRPr="008837B7">
        <w:rPr>
          <w:rFonts w:ascii="Bookman Old Style" w:eastAsia="Bookman Old Style" w:hAnsi="Bookman Old Style" w:cs="Bookman Old Style"/>
          <w:sz w:val="24"/>
          <w:szCs w:val="24"/>
          <w:lang w:val="en-US"/>
        </w:rPr>
        <w:t xml:space="preserve"> (Parliament of Sweden). (2024). </w:t>
      </w:r>
      <w:proofErr w:type="spellStart"/>
      <w:r w:rsidRPr="008837B7">
        <w:rPr>
          <w:rFonts w:ascii="Bookman Old Style" w:eastAsia="Bookman Old Style" w:hAnsi="Bookman Old Style" w:cs="Bookman Old Style"/>
          <w:sz w:val="24"/>
          <w:szCs w:val="24"/>
          <w:lang w:val="en-US"/>
        </w:rPr>
        <w:t>Stärkt</w:t>
      </w:r>
      <w:proofErr w:type="spellEnd"/>
      <w:r w:rsidRPr="008837B7">
        <w:rPr>
          <w:rFonts w:ascii="Bookman Old Style" w:eastAsia="Bookman Old Style" w:hAnsi="Bookman Old Style" w:cs="Bookman Old Style"/>
          <w:sz w:val="24"/>
          <w:szCs w:val="24"/>
          <w:lang w:val="en-US"/>
        </w:rPr>
        <w:t xml:space="preserve"> </w:t>
      </w:r>
      <w:proofErr w:type="spellStart"/>
      <w:r w:rsidRPr="008837B7">
        <w:rPr>
          <w:rFonts w:ascii="Bookman Old Style" w:eastAsia="Bookman Old Style" w:hAnsi="Bookman Old Style" w:cs="Bookman Old Style"/>
          <w:sz w:val="24"/>
          <w:szCs w:val="24"/>
          <w:lang w:val="en-US"/>
        </w:rPr>
        <w:t>vård</w:t>
      </w:r>
      <w:proofErr w:type="spellEnd"/>
      <w:r w:rsidRPr="008837B7">
        <w:rPr>
          <w:rFonts w:ascii="Bookman Old Style" w:eastAsia="Bookman Old Style" w:hAnsi="Bookman Old Style" w:cs="Bookman Old Style"/>
          <w:sz w:val="24"/>
          <w:szCs w:val="24"/>
          <w:lang w:val="en-US"/>
        </w:rPr>
        <w:t xml:space="preserve"> </w:t>
      </w:r>
      <w:proofErr w:type="spellStart"/>
      <w:r w:rsidRPr="008837B7">
        <w:rPr>
          <w:rFonts w:ascii="Bookman Old Style" w:eastAsia="Bookman Old Style" w:hAnsi="Bookman Old Style" w:cs="Bookman Old Style"/>
          <w:sz w:val="24"/>
          <w:szCs w:val="24"/>
          <w:lang w:val="en-US"/>
        </w:rPr>
        <w:t>för</w:t>
      </w:r>
      <w:proofErr w:type="spellEnd"/>
      <w:r w:rsidRPr="008837B7">
        <w:rPr>
          <w:rFonts w:ascii="Bookman Old Style" w:eastAsia="Bookman Old Style" w:hAnsi="Bookman Old Style" w:cs="Bookman Old Style"/>
          <w:sz w:val="24"/>
          <w:szCs w:val="24"/>
          <w:lang w:val="en-US"/>
        </w:rPr>
        <w:t xml:space="preserve"> </w:t>
      </w:r>
      <w:proofErr w:type="spellStart"/>
      <w:r w:rsidRPr="008837B7">
        <w:rPr>
          <w:rFonts w:ascii="Bookman Old Style" w:eastAsia="Bookman Old Style" w:hAnsi="Bookman Old Style" w:cs="Bookman Old Style"/>
          <w:sz w:val="24"/>
          <w:szCs w:val="24"/>
          <w:lang w:val="en-US"/>
        </w:rPr>
        <w:t>kvinnor</w:t>
      </w:r>
      <w:proofErr w:type="spellEnd"/>
      <w:r w:rsidRPr="008837B7">
        <w:rPr>
          <w:rFonts w:ascii="Bookman Old Style" w:eastAsia="Bookman Old Style" w:hAnsi="Bookman Old Style" w:cs="Bookman Old Style"/>
          <w:sz w:val="24"/>
          <w:szCs w:val="24"/>
          <w:lang w:val="en-US"/>
        </w:rPr>
        <w:t xml:space="preserve"> </w:t>
      </w:r>
      <w:proofErr w:type="spellStart"/>
      <w:r w:rsidRPr="008837B7">
        <w:rPr>
          <w:rFonts w:ascii="Bookman Old Style" w:eastAsia="Bookman Old Style" w:hAnsi="Bookman Old Style" w:cs="Bookman Old Style"/>
          <w:sz w:val="24"/>
          <w:szCs w:val="24"/>
          <w:lang w:val="en-US"/>
        </w:rPr>
        <w:t>i</w:t>
      </w:r>
      <w:proofErr w:type="spellEnd"/>
      <w:r w:rsidRPr="008837B7">
        <w:rPr>
          <w:rFonts w:ascii="Bookman Old Style" w:eastAsia="Bookman Old Style" w:hAnsi="Bookman Old Style" w:cs="Bookman Old Style"/>
          <w:sz w:val="24"/>
          <w:szCs w:val="24"/>
          <w:lang w:val="en-US"/>
        </w:rPr>
        <w:t xml:space="preserve"> </w:t>
      </w:r>
      <w:proofErr w:type="spellStart"/>
      <w:r w:rsidRPr="008837B7">
        <w:rPr>
          <w:rFonts w:ascii="Bookman Old Style" w:eastAsia="Bookman Old Style" w:hAnsi="Bookman Old Style" w:cs="Bookman Old Style"/>
          <w:sz w:val="24"/>
          <w:szCs w:val="24"/>
          <w:lang w:val="en-US"/>
        </w:rPr>
        <w:t>klimakteriet</w:t>
      </w:r>
      <w:proofErr w:type="spellEnd"/>
      <w:r w:rsidRPr="008837B7">
        <w:rPr>
          <w:rFonts w:ascii="Bookman Old Style" w:eastAsia="Bookman Old Style" w:hAnsi="Bookman Old Style" w:cs="Bookman Old Style"/>
          <w:sz w:val="24"/>
          <w:szCs w:val="24"/>
          <w:lang w:val="en-US"/>
        </w:rPr>
        <w:t xml:space="preserve"> (motion HB021482). https://www.riksdagen.se/sv/dokument-och-lagar/dokument/motion/starkt-vard-for-kvinnor-i-klimakteriet_hb021482/</w:t>
      </w:r>
    </w:p>
    <w:p w14:paraId="63A464D2" w14:textId="77777777" w:rsidR="00F23869" w:rsidRPr="008837B7" w:rsidRDefault="00F23869">
      <w:pPr>
        <w:ind w:left="0"/>
        <w:rPr>
          <w:rFonts w:ascii="Bookman Old Style" w:eastAsia="Bookman Old Style" w:hAnsi="Bookman Old Style" w:cs="Bookman Old Style"/>
          <w:sz w:val="24"/>
          <w:szCs w:val="24"/>
          <w:lang w:val="en-US"/>
        </w:rPr>
      </w:pPr>
    </w:p>
    <w:p w14:paraId="34BCA694"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Society for Women’s Health Research. (2024). EMPACT Menopause study bulletin [Fact sheet]. https</w:t>
      </w:r>
      <w:r w:rsidRPr="008837B7">
        <w:rPr>
          <w:rFonts w:ascii="Bookman Old Style" w:eastAsia="Bookman Old Style" w:hAnsi="Bookman Old Style" w:cs="Bookman Old Style"/>
          <w:sz w:val="24"/>
          <w:szCs w:val="24"/>
          <w:lang w:val="en-US"/>
        </w:rPr>
        <w:t>://swhr.org/resources/empact-menopause-study-bulletin/</w:t>
      </w:r>
    </w:p>
    <w:p w14:paraId="444F50E2" w14:textId="77777777" w:rsidR="00F23869" w:rsidRPr="008837B7" w:rsidRDefault="00F23869">
      <w:pPr>
        <w:ind w:left="0"/>
        <w:rPr>
          <w:rFonts w:ascii="Bookman Old Style" w:eastAsia="Bookman Old Style" w:hAnsi="Bookman Old Style" w:cs="Bookman Old Style"/>
          <w:sz w:val="24"/>
          <w:szCs w:val="24"/>
          <w:lang w:val="en-US"/>
        </w:rPr>
      </w:pPr>
    </w:p>
    <w:p w14:paraId="31DED521" w14:textId="77777777" w:rsidR="00F23869" w:rsidRDefault="0057613A">
      <w:pPr>
        <w:ind w:left="0"/>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Tserotas</w:t>
      </w:r>
      <w:proofErr w:type="spellEnd"/>
      <w:r>
        <w:rPr>
          <w:rFonts w:ascii="Bookman Old Style" w:eastAsia="Bookman Old Style" w:hAnsi="Bookman Old Style" w:cs="Bookman Old Style"/>
          <w:sz w:val="24"/>
          <w:szCs w:val="24"/>
        </w:rPr>
        <w:t>, D., Guevara-Sotelo, R., &amp; Sánchez-Ruiz, M. (2025). Síndrome metabólico en mujeres posmenopáusicas: revisión de la literatura. Revista Latinoamericana de Menopausia y Climaterio, 33(1), 15-26</w:t>
      </w:r>
      <w:r>
        <w:rPr>
          <w:rFonts w:ascii="Bookman Old Style" w:eastAsia="Bookman Old Style" w:hAnsi="Bookman Old Style" w:cs="Bookman Old Style"/>
          <w:sz w:val="24"/>
          <w:szCs w:val="24"/>
        </w:rPr>
        <w:t>. https://doi.org/10.1016/j.rlmc.2025.01.004</w:t>
      </w:r>
    </w:p>
    <w:p w14:paraId="4CA32376" w14:textId="77777777" w:rsidR="00F23869" w:rsidRDefault="00F23869">
      <w:pPr>
        <w:ind w:left="0"/>
        <w:rPr>
          <w:rFonts w:ascii="Bookman Old Style" w:eastAsia="Bookman Old Style" w:hAnsi="Bookman Old Style" w:cs="Bookman Old Style"/>
          <w:sz w:val="24"/>
          <w:szCs w:val="24"/>
        </w:rPr>
      </w:pPr>
    </w:p>
    <w:p w14:paraId="299442DB"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United Nations. (1979). Convention on the Elimination of All Forms of Discrimination against Women (CEDAW). Adopted 18 December 1979. https://www.ohchr.org/en/instruments-mechanisms/instruments/convention-elimi</w:t>
      </w:r>
      <w:r w:rsidRPr="008837B7">
        <w:rPr>
          <w:rFonts w:ascii="Bookman Old Style" w:eastAsia="Bookman Old Style" w:hAnsi="Bookman Old Style" w:cs="Bookman Old Style"/>
          <w:sz w:val="24"/>
          <w:szCs w:val="24"/>
          <w:lang w:val="en-US"/>
        </w:rPr>
        <w:t>nation-all-forms-discrimination-against-women</w:t>
      </w:r>
    </w:p>
    <w:p w14:paraId="37D58EFF" w14:textId="77777777" w:rsidR="00F23869" w:rsidRPr="008837B7" w:rsidRDefault="00F23869">
      <w:pPr>
        <w:ind w:left="0"/>
        <w:rPr>
          <w:rFonts w:ascii="Bookman Old Style" w:eastAsia="Bookman Old Style" w:hAnsi="Bookman Old Style" w:cs="Bookman Old Style"/>
          <w:sz w:val="24"/>
          <w:szCs w:val="24"/>
          <w:lang w:val="en-US"/>
        </w:rPr>
      </w:pPr>
    </w:p>
    <w:p w14:paraId="16DB9266"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United Nations. (1995). Beijing Declaration and Platform for Action. Fourth World Conference on Women, 1995. https://www.un.org/womenwatch/daw/beijing/pdf/BDPfA%20E.pdf</w:t>
      </w:r>
    </w:p>
    <w:p w14:paraId="008C0AA8" w14:textId="77777777" w:rsidR="00F23869" w:rsidRPr="008837B7" w:rsidRDefault="00F23869">
      <w:pPr>
        <w:ind w:left="0"/>
        <w:rPr>
          <w:rFonts w:ascii="Bookman Old Style" w:eastAsia="Bookman Old Style" w:hAnsi="Bookman Old Style" w:cs="Bookman Old Style"/>
          <w:sz w:val="24"/>
          <w:szCs w:val="24"/>
          <w:lang w:val="en-US"/>
        </w:rPr>
      </w:pPr>
    </w:p>
    <w:p w14:paraId="178179F8"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United Nations. (2015). Transforming ou</w:t>
      </w:r>
      <w:r w:rsidRPr="008837B7">
        <w:rPr>
          <w:rFonts w:ascii="Bookman Old Style" w:eastAsia="Bookman Old Style" w:hAnsi="Bookman Old Style" w:cs="Bookman Old Style"/>
          <w:sz w:val="24"/>
          <w:szCs w:val="24"/>
          <w:lang w:val="en-US"/>
        </w:rPr>
        <w:t>r world: the 2030 Agenda for Sustainable Development (A/RES/70/1). United Nations General Assembly. https://www.un.org/ga/search/view_doc.asp?symbol=A/RES/70/1&amp;Lang=E</w:t>
      </w:r>
    </w:p>
    <w:p w14:paraId="5D30D5A4" w14:textId="77777777" w:rsidR="00F23869" w:rsidRPr="008837B7" w:rsidRDefault="00F23869">
      <w:pPr>
        <w:ind w:left="0"/>
        <w:rPr>
          <w:rFonts w:ascii="Bookman Old Style" w:eastAsia="Bookman Old Style" w:hAnsi="Bookman Old Style" w:cs="Bookman Old Style"/>
          <w:sz w:val="24"/>
          <w:szCs w:val="24"/>
          <w:lang w:val="en-US"/>
        </w:rPr>
      </w:pPr>
    </w:p>
    <w:p w14:paraId="3580E2E9" w14:textId="77777777" w:rsidR="00F23869" w:rsidRPr="008837B7" w:rsidRDefault="0057613A">
      <w:pPr>
        <w:ind w:left="0"/>
        <w:rPr>
          <w:rFonts w:ascii="Bookman Old Style" w:eastAsia="Bookman Old Style" w:hAnsi="Bookman Old Style" w:cs="Bookman Old Style"/>
          <w:sz w:val="24"/>
          <w:szCs w:val="24"/>
          <w:lang w:val="en-US"/>
        </w:rPr>
      </w:pPr>
      <w:r w:rsidRPr="008837B7">
        <w:rPr>
          <w:rFonts w:ascii="Bookman Old Style" w:eastAsia="Bookman Old Style" w:hAnsi="Bookman Old Style" w:cs="Bookman Old Style"/>
          <w:sz w:val="24"/>
          <w:szCs w:val="24"/>
          <w:lang w:val="en-US"/>
        </w:rPr>
        <w:t>World Health Organization. (2024). Menopause (fact sheet). World Health Organization. ht</w:t>
      </w:r>
      <w:r w:rsidRPr="008837B7">
        <w:rPr>
          <w:rFonts w:ascii="Bookman Old Style" w:eastAsia="Bookman Old Style" w:hAnsi="Bookman Old Style" w:cs="Bookman Old Style"/>
          <w:sz w:val="24"/>
          <w:szCs w:val="24"/>
          <w:lang w:val="en-US"/>
        </w:rPr>
        <w:t>tps://www.who.int/news-room/fact-sheets/detail/menopause</w:t>
      </w:r>
    </w:p>
    <w:p w14:paraId="2C8DDD36" w14:textId="77777777" w:rsidR="00F23869" w:rsidRPr="008837B7" w:rsidRDefault="00F23869">
      <w:pPr>
        <w:ind w:left="0"/>
        <w:rPr>
          <w:rFonts w:ascii="Bookman Old Style" w:eastAsia="Bookman Old Style" w:hAnsi="Bookman Old Style" w:cs="Bookman Old Style"/>
          <w:b/>
          <w:sz w:val="24"/>
          <w:szCs w:val="24"/>
          <w:lang w:val="en-US"/>
        </w:rPr>
      </w:pPr>
    </w:p>
    <w:p w14:paraId="596C2EEB" w14:textId="77777777" w:rsidR="00F23869" w:rsidRDefault="0057613A">
      <w:pPr>
        <w:ind w:left="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Cordialmente,</w:t>
      </w:r>
    </w:p>
    <w:p w14:paraId="2650C018" w14:textId="77777777" w:rsidR="00F23869" w:rsidRDefault="00F23869">
      <w:pPr>
        <w:spacing w:line="276" w:lineRule="auto"/>
        <w:ind w:left="0"/>
        <w:rPr>
          <w:rFonts w:ascii="Bookman Old Style" w:eastAsia="Bookman Old Style" w:hAnsi="Bookman Old Style" w:cs="Bookman Old Style"/>
          <w:sz w:val="24"/>
          <w:szCs w:val="24"/>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23869" w14:paraId="109CB269" w14:textId="77777777">
        <w:tc>
          <w:tcPr>
            <w:tcW w:w="4414" w:type="dxa"/>
          </w:tcPr>
          <w:p w14:paraId="02E62094" w14:textId="77777777" w:rsidR="00F23869" w:rsidRDefault="0057613A">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noProof/>
              </w:rPr>
              <w:drawing>
                <wp:anchor distT="0" distB="0" distL="0" distR="0" simplePos="0" relativeHeight="251661312" behindDoc="1" locked="0" layoutInCell="1" hidden="0" allowOverlap="1" wp14:anchorId="7F14FE72" wp14:editId="637265C0">
                  <wp:simplePos x="0" y="0"/>
                  <wp:positionH relativeFrom="column">
                    <wp:posOffset>487412</wp:posOffset>
                  </wp:positionH>
                  <wp:positionV relativeFrom="paragraph">
                    <wp:posOffset>0</wp:posOffset>
                  </wp:positionV>
                  <wp:extent cx="1543050" cy="152500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43050" cy="1525003"/>
                          </a:xfrm>
                          <a:prstGeom prst="rect">
                            <a:avLst/>
                          </a:prstGeom>
                          <a:ln/>
                        </pic:spPr>
                      </pic:pic>
                    </a:graphicData>
                  </a:graphic>
                </wp:anchor>
              </w:drawing>
            </w:r>
          </w:p>
          <w:p w14:paraId="517C88A9" w14:textId="77777777" w:rsidR="00F23869" w:rsidRDefault="00F23869">
            <w:pPr>
              <w:spacing w:line="276" w:lineRule="auto"/>
              <w:ind w:firstLine="1418"/>
              <w:rPr>
                <w:rFonts w:ascii="Bookman Old Style" w:eastAsia="Bookman Old Style" w:hAnsi="Bookman Old Style" w:cs="Bookman Old Style"/>
                <w:sz w:val="22"/>
                <w:szCs w:val="22"/>
              </w:rPr>
            </w:pPr>
          </w:p>
          <w:p w14:paraId="31938C65" w14:textId="77777777" w:rsidR="00F23869" w:rsidRDefault="00F23869">
            <w:pPr>
              <w:spacing w:line="276" w:lineRule="auto"/>
              <w:ind w:firstLine="1418"/>
              <w:rPr>
                <w:rFonts w:ascii="Bookman Old Style" w:eastAsia="Bookman Old Style" w:hAnsi="Bookman Old Style" w:cs="Bookman Old Style"/>
                <w:sz w:val="22"/>
                <w:szCs w:val="22"/>
              </w:rPr>
            </w:pPr>
          </w:p>
          <w:p w14:paraId="047DD6BC" w14:textId="77777777" w:rsidR="00F23869" w:rsidRDefault="00F23869">
            <w:pPr>
              <w:spacing w:line="276" w:lineRule="auto"/>
              <w:ind w:firstLine="1418"/>
              <w:jc w:val="center"/>
              <w:rPr>
                <w:rFonts w:ascii="Bookman Old Style" w:eastAsia="Bookman Old Style" w:hAnsi="Bookman Old Style" w:cs="Bookman Old Style"/>
                <w:b/>
                <w:sz w:val="22"/>
                <w:szCs w:val="22"/>
              </w:rPr>
            </w:pPr>
          </w:p>
          <w:p w14:paraId="6AA3AE2E" w14:textId="77777777" w:rsidR="00F23869" w:rsidRDefault="00F23869">
            <w:pPr>
              <w:spacing w:line="276" w:lineRule="auto"/>
              <w:ind w:firstLine="1418"/>
              <w:jc w:val="center"/>
              <w:rPr>
                <w:rFonts w:ascii="Bookman Old Style" w:eastAsia="Bookman Old Style" w:hAnsi="Bookman Old Style" w:cs="Bookman Old Style"/>
                <w:b/>
                <w:sz w:val="22"/>
                <w:szCs w:val="22"/>
              </w:rPr>
            </w:pPr>
          </w:p>
          <w:p w14:paraId="245E0A48" w14:textId="77777777" w:rsidR="00F23869" w:rsidRDefault="00F23869">
            <w:pPr>
              <w:jc w:val="center"/>
              <w:rPr>
                <w:rFonts w:ascii="Bookman Old Style" w:eastAsia="Bookman Old Style" w:hAnsi="Bookman Old Style" w:cs="Bookman Old Style"/>
                <w:b/>
                <w:sz w:val="22"/>
                <w:szCs w:val="22"/>
              </w:rPr>
            </w:pPr>
          </w:p>
          <w:p w14:paraId="46BD3164" w14:textId="77777777" w:rsidR="00F23869" w:rsidRDefault="0057613A">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MARELEN CASTILLO TORRES</w:t>
            </w:r>
          </w:p>
          <w:p w14:paraId="631C9CDF" w14:textId="77777777" w:rsidR="00F23869" w:rsidRDefault="0057613A">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Representante a la Cámara</w:t>
            </w:r>
          </w:p>
        </w:tc>
        <w:tc>
          <w:tcPr>
            <w:tcW w:w="4414" w:type="dxa"/>
          </w:tcPr>
          <w:p w14:paraId="5BBB0528" w14:textId="77777777" w:rsidR="00F23869" w:rsidRDefault="0057613A">
            <w:pPr>
              <w:spacing w:before="220" w:after="240"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rPr>
              <w:drawing>
                <wp:inline distT="114300" distB="114300" distL="114300" distR="114300" wp14:anchorId="36B654A3" wp14:editId="0BD9BB8C">
                  <wp:extent cx="1219200" cy="84772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219200" cy="847725"/>
                          </a:xfrm>
                          <a:prstGeom prst="rect">
                            <a:avLst/>
                          </a:prstGeom>
                          <a:ln/>
                        </pic:spPr>
                      </pic:pic>
                    </a:graphicData>
                  </a:graphic>
                </wp:inline>
              </w:drawing>
            </w:r>
            <w:r>
              <w:rPr>
                <w:rFonts w:ascii="Bookman Old Style" w:eastAsia="Bookman Old Style" w:hAnsi="Bookman Old Style" w:cs="Bookman Old Style"/>
                <w:sz w:val="22"/>
                <w:szCs w:val="22"/>
              </w:rPr>
              <w:t xml:space="preserve"> </w:t>
            </w:r>
          </w:p>
          <w:p w14:paraId="30C1A9D2" w14:textId="77777777" w:rsidR="00F23869" w:rsidRDefault="0057613A">
            <w:pPr>
              <w:spacing w:before="220" w:after="240"/>
              <w:jc w:val="center"/>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NORMA HURTADO SÁNCHEZ</w:t>
            </w:r>
            <w:r>
              <w:rPr>
                <w:rFonts w:ascii="Bookman Old Style" w:eastAsia="Bookman Old Style" w:hAnsi="Bookman Old Style" w:cs="Bookman Old Style"/>
                <w:b/>
                <w:sz w:val="22"/>
                <w:szCs w:val="22"/>
              </w:rPr>
              <w:br/>
            </w:r>
            <w:r>
              <w:rPr>
                <w:rFonts w:ascii="Bookman Old Style" w:eastAsia="Bookman Old Style" w:hAnsi="Bookman Old Style" w:cs="Bookman Old Style"/>
                <w:sz w:val="22"/>
                <w:szCs w:val="22"/>
              </w:rPr>
              <w:t>Senadora de la República</w:t>
            </w:r>
          </w:p>
        </w:tc>
      </w:tr>
      <w:tr w:rsidR="00F23869" w14:paraId="10F4FF24" w14:textId="77777777">
        <w:tc>
          <w:tcPr>
            <w:tcW w:w="4414" w:type="dxa"/>
          </w:tcPr>
          <w:p w14:paraId="667526CE" w14:textId="77777777" w:rsidR="00F23869" w:rsidRDefault="00F23869">
            <w:pPr>
              <w:spacing w:line="276" w:lineRule="auto"/>
              <w:ind w:firstLine="1418"/>
              <w:rPr>
                <w:rFonts w:ascii="Bookman Old Style" w:eastAsia="Bookman Old Style" w:hAnsi="Bookman Old Style" w:cs="Bookman Old Style"/>
                <w:sz w:val="22"/>
                <w:szCs w:val="22"/>
              </w:rPr>
            </w:pPr>
          </w:p>
          <w:p w14:paraId="375EA3AC" w14:textId="77777777" w:rsidR="00F23869" w:rsidRDefault="0057613A">
            <w:pPr>
              <w:spacing w:line="276" w:lineRule="auto"/>
              <w:rPr>
                <w:rFonts w:ascii="Bookman Old Style" w:eastAsia="Bookman Old Style" w:hAnsi="Bookman Old Style" w:cs="Bookman Old Style"/>
              </w:rPr>
            </w:pPr>
            <w:r>
              <w:rPr>
                <w:noProof/>
              </w:rPr>
              <w:drawing>
                <wp:anchor distT="0" distB="0" distL="0" distR="0" simplePos="0" relativeHeight="251662336" behindDoc="1" locked="0" layoutInCell="1" hidden="0" allowOverlap="1" wp14:anchorId="3AFCA487" wp14:editId="0940B181">
                  <wp:simplePos x="0" y="0"/>
                  <wp:positionH relativeFrom="column">
                    <wp:posOffset>304800</wp:posOffset>
                  </wp:positionH>
                  <wp:positionV relativeFrom="paragraph">
                    <wp:posOffset>150950</wp:posOffset>
                  </wp:positionV>
                  <wp:extent cx="2335530" cy="907415"/>
                  <wp:effectExtent l="0" t="0" r="0" b="0"/>
                  <wp:wrapNone/>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335530" cy="907415"/>
                          </a:xfrm>
                          <a:prstGeom prst="rect">
                            <a:avLst/>
                          </a:prstGeom>
                          <a:ln/>
                        </pic:spPr>
                      </pic:pic>
                    </a:graphicData>
                  </a:graphic>
                </wp:anchor>
              </w:drawing>
            </w:r>
          </w:p>
          <w:p w14:paraId="44B9DA78" w14:textId="77777777" w:rsidR="00F23869" w:rsidRDefault="00F23869">
            <w:pPr>
              <w:spacing w:line="276" w:lineRule="auto"/>
              <w:ind w:firstLine="1418"/>
              <w:rPr>
                <w:rFonts w:ascii="Bookman Old Style" w:eastAsia="Bookman Old Style" w:hAnsi="Bookman Old Style" w:cs="Bookman Old Style"/>
              </w:rPr>
            </w:pPr>
          </w:p>
          <w:p w14:paraId="28FF1765" w14:textId="77777777" w:rsidR="00F23869" w:rsidRDefault="00F23869">
            <w:pPr>
              <w:spacing w:line="276" w:lineRule="auto"/>
              <w:ind w:firstLine="1418"/>
              <w:rPr>
                <w:rFonts w:ascii="Bookman Old Style" w:eastAsia="Bookman Old Style" w:hAnsi="Bookman Old Style" w:cs="Bookman Old Style"/>
              </w:rPr>
            </w:pPr>
          </w:p>
          <w:p w14:paraId="5D314373" w14:textId="77777777" w:rsidR="00F23869" w:rsidRDefault="00F23869">
            <w:pPr>
              <w:spacing w:line="276" w:lineRule="auto"/>
              <w:ind w:firstLine="1418"/>
              <w:rPr>
                <w:rFonts w:ascii="Bookman Old Style" w:eastAsia="Bookman Old Style" w:hAnsi="Bookman Old Style" w:cs="Bookman Old Style"/>
              </w:rPr>
            </w:pPr>
          </w:p>
          <w:p w14:paraId="45F570BD" w14:textId="77777777" w:rsidR="00F23869" w:rsidRDefault="00F23869">
            <w:pPr>
              <w:spacing w:line="276" w:lineRule="auto"/>
              <w:rPr>
                <w:rFonts w:ascii="Bookman Old Style" w:eastAsia="Bookman Old Style" w:hAnsi="Bookman Old Style" w:cs="Bookman Old Style"/>
                <w:sz w:val="22"/>
                <w:szCs w:val="22"/>
              </w:rPr>
            </w:pPr>
          </w:p>
          <w:p w14:paraId="73F2D3F4" w14:textId="77777777" w:rsidR="00F23869" w:rsidRDefault="0057613A">
            <w:pPr>
              <w:spacing w:line="276" w:lineRule="auto"/>
              <w:jc w:val="center"/>
              <w:rPr>
                <w:rFonts w:ascii="Bookman Old Style" w:eastAsia="Bookman Old Style" w:hAnsi="Bookman Old Style" w:cs="Bookman Old Style"/>
                <w:b/>
                <w:sz w:val="20"/>
                <w:szCs w:val="20"/>
                <w:highlight w:val="white"/>
              </w:rPr>
            </w:pPr>
            <w:r>
              <w:rPr>
                <w:rFonts w:ascii="Bookman Old Style" w:eastAsia="Bookman Old Style" w:hAnsi="Bookman Old Style" w:cs="Bookman Old Style"/>
                <w:b/>
                <w:sz w:val="20"/>
                <w:szCs w:val="20"/>
                <w:highlight w:val="white"/>
              </w:rPr>
              <w:t>LEIDER ALEXANDRA VÁSQUEZ OCHOA</w:t>
            </w:r>
          </w:p>
          <w:p w14:paraId="45BA3AEA"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Cundinamarca</w:t>
            </w:r>
          </w:p>
        </w:tc>
        <w:tc>
          <w:tcPr>
            <w:tcW w:w="4414" w:type="dxa"/>
          </w:tcPr>
          <w:p w14:paraId="147305D7" w14:textId="77777777" w:rsidR="00F23869" w:rsidRDefault="00F23869">
            <w:pPr>
              <w:spacing w:line="276" w:lineRule="auto"/>
              <w:ind w:firstLine="1418"/>
              <w:rPr>
                <w:rFonts w:ascii="Bookman Old Style" w:eastAsia="Bookman Old Style" w:hAnsi="Bookman Old Style" w:cs="Bookman Old Style"/>
                <w:sz w:val="22"/>
                <w:szCs w:val="22"/>
              </w:rPr>
            </w:pPr>
          </w:p>
          <w:p w14:paraId="1BB3D2FD" w14:textId="77777777" w:rsidR="00F23869" w:rsidRDefault="0057613A">
            <w:pPr>
              <w:spacing w:line="276" w:lineRule="auto"/>
              <w:ind w:firstLine="1418"/>
              <w:rPr>
                <w:rFonts w:ascii="Bookman Old Style" w:eastAsia="Bookman Old Style" w:hAnsi="Bookman Old Style" w:cs="Bookman Old Style"/>
                <w:b/>
                <w:sz w:val="22"/>
                <w:szCs w:val="22"/>
              </w:rPr>
            </w:pPr>
            <w:r>
              <w:rPr>
                <w:rFonts w:ascii="Bookman Old Style" w:eastAsia="Bookman Old Style" w:hAnsi="Bookman Old Style" w:cs="Bookman Old Style"/>
                <w:noProof/>
              </w:rPr>
              <w:drawing>
                <wp:inline distT="114300" distB="114300" distL="114300" distR="114300" wp14:anchorId="11E648E7" wp14:editId="4A8791BF">
                  <wp:extent cx="1289801" cy="800566"/>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289801" cy="800566"/>
                          </a:xfrm>
                          <a:prstGeom prst="rect">
                            <a:avLst/>
                          </a:prstGeom>
                          <a:ln/>
                        </pic:spPr>
                      </pic:pic>
                    </a:graphicData>
                  </a:graphic>
                </wp:inline>
              </w:drawing>
            </w:r>
          </w:p>
          <w:p w14:paraId="5CB1EB22" w14:textId="77777777" w:rsidR="00F23869" w:rsidRDefault="0057613A">
            <w:pPr>
              <w:spacing w:line="276"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ANA MARÍA CASTAÑEDA</w:t>
            </w:r>
          </w:p>
          <w:p w14:paraId="30964C2C" w14:textId="77777777" w:rsidR="00F23869" w:rsidRDefault="0057613A">
            <w:pPr>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Senadora de la República</w:t>
            </w:r>
          </w:p>
        </w:tc>
      </w:tr>
      <w:tr w:rsidR="00F23869" w14:paraId="603EF0FA" w14:textId="77777777">
        <w:tc>
          <w:tcPr>
            <w:tcW w:w="4414" w:type="dxa"/>
          </w:tcPr>
          <w:p w14:paraId="21ECC2AD" w14:textId="77777777" w:rsidR="00F23869" w:rsidRDefault="0057613A">
            <w:pPr>
              <w:shd w:val="clear" w:color="auto" w:fill="FFFFFF"/>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noProof/>
              </w:rPr>
              <w:drawing>
                <wp:inline distT="114300" distB="114300" distL="114300" distR="114300" wp14:anchorId="4DEF1F55" wp14:editId="6991DCA3">
                  <wp:extent cx="2667953" cy="1305391"/>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667953" cy="1305391"/>
                          </a:xfrm>
                          <a:prstGeom prst="rect">
                            <a:avLst/>
                          </a:prstGeom>
                          <a:ln/>
                        </pic:spPr>
                      </pic:pic>
                    </a:graphicData>
                  </a:graphic>
                </wp:inline>
              </w:drawing>
            </w:r>
          </w:p>
        </w:tc>
        <w:tc>
          <w:tcPr>
            <w:tcW w:w="4414" w:type="dxa"/>
          </w:tcPr>
          <w:p w14:paraId="12F51BFA" w14:textId="77777777" w:rsidR="00F23869" w:rsidRDefault="0057613A">
            <w:pPr>
              <w:spacing w:line="276" w:lineRule="auto"/>
              <w:rPr>
                <w:rFonts w:ascii="Bookman Old Style" w:eastAsia="Bookman Old Style" w:hAnsi="Bookman Old Style" w:cs="Bookman Old Style"/>
              </w:rPr>
            </w:pPr>
            <w:r>
              <w:rPr>
                <w:rFonts w:ascii="Bookman Old Style" w:eastAsia="Bookman Old Style" w:hAnsi="Bookman Old Style" w:cs="Bookman Old Style"/>
                <w:noProof/>
              </w:rPr>
              <w:drawing>
                <wp:inline distT="114300" distB="114300" distL="114300" distR="114300" wp14:anchorId="1BCA5479" wp14:editId="3C177814">
                  <wp:extent cx="2667000" cy="11557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667000" cy="1155700"/>
                          </a:xfrm>
                          <a:prstGeom prst="rect">
                            <a:avLst/>
                          </a:prstGeom>
                          <a:ln/>
                        </pic:spPr>
                      </pic:pic>
                    </a:graphicData>
                  </a:graphic>
                </wp:inline>
              </w:drawing>
            </w:r>
          </w:p>
        </w:tc>
      </w:tr>
      <w:tr w:rsidR="00F23869" w14:paraId="2E2359BE" w14:textId="77777777">
        <w:tc>
          <w:tcPr>
            <w:tcW w:w="4414" w:type="dxa"/>
          </w:tcPr>
          <w:p w14:paraId="69AF98A2" w14:textId="77777777" w:rsidR="00F23869" w:rsidRDefault="0057613A">
            <w:pPr>
              <w:shd w:val="clear" w:color="auto" w:fill="FFFFFF"/>
              <w:spacing w:line="276" w:lineRule="auto"/>
              <w:rPr>
                <w:rFonts w:ascii="Bookman Old Style" w:eastAsia="Bookman Old Style" w:hAnsi="Bookman Old Style" w:cs="Bookman Old Style"/>
                <w:sz w:val="22"/>
                <w:szCs w:val="22"/>
              </w:rPr>
            </w:pPr>
            <w:r>
              <w:rPr>
                <w:noProof/>
              </w:rPr>
              <w:drawing>
                <wp:anchor distT="114300" distB="114300" distL="114300" distR="114300" simplePos="0" relativeHeight="251663360" behindDoc="0" locked="0" layoutInCell="1" hidden="0" allowOverlap="1" wp14:anchorId="6B667419" wp14:editId="5480E54E">
                  <wp:simplePos x="0" y="0"/>
                  <wp:positionH relativeFrom="column">
                    <wp:posOffset>428625</wp:posOffset>
                  </wp:positionH>
                  <wp:positionV relativeFrom="paragraph">
                    <wp:posOffset>133350</wp:posOffset>
                  </wp:positionV>
                  <wp:extent cx="1763078" cy="581339"/>
                  <wp:effectExtent l="0" t="0" r="0" b="0"/>
                  <wp:wrapNone/>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763078" cy="581339"/>
                          </a:xfrm>
                          <a:prstGeom prst="rect">
                            <a:avLst/>
                          </a:prstGeom>
                          <a:ln/>
                        </pic:spPr>
                      </pic:pic>
                    </a:graphicData>
                  </a:graphic>
                </wp:anchor>
              </w:drawing>
            </w:r>
          </w:p>
          <w:p w14:paraId="107F7BAF" w14:textId="77777777" w:rsidR="00F23869" w:rsidRDefault="0057613A">
            <w:pPr>
              <w:shd w:val="clear" w:color="auto" w:fill="FFFFFF"/>
              <w:spacing w:before="240" w:after="160" w:line="256" w:lineRule="auto"/>
              <w:jc w:val="both"/>
              <w:rPr>
                <w:rFonts w:ascii="Arial" w:eastAsia="Arial" w:hAnsi="Arial" w:cs="Arial"/>
                <w:i/>
                <w:sz w:val="32"/>
                <w:szCs w:val="32"/>
              </w:rPr>
            </w:pPr>
            <w:r>
              <w:rPr>
                <w:rFonts w:ascii="Arial" w:eastAsia="Arial" w:hAnsi="Arial" w:cs="Arial"/>
                <w:i/>
                <w:sz w:val="32"/>
                <w:szCs w:val="32"/>
              </w:rPr>
              <w:t xml:space="preserve"> </w:t>
            </w:r>
          </w:p>
          <w:p w14:paraId="05B8B395"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LINA MARIA GARRIDO MARTIN</w:t>
            </w:r>
          </w:p>
          <w:p w14:paraId="19CE07CA"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Representante a la Cámara </w:t>
            </w:r>
          </w:p>
          <w:p w14:paraId="100D8DC1" w14:textId="77777777" w:rsidR="00F23869" w:rsidRDefault="0057613A">
            <w:pPr>
              <w:shd w:val="clear" w:color="auto" w:fill="FFFFFF"/>
              <w:spacing w:line="276"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Departamento de Arauca</w:t>
            </w:r>
          </w:p>
          <w:p w14:paraId="7303CF85" w14:textId="77777777" w:rsidR="00F23869" w:rsidRDefault="00F23869">
            <w:pPr>
              <w:shd w:val="clear" w:color="auto" w:fill="FFFFFF"/>
              <w:spacing w:line="276" w:lineRule="auto"/>
              <w:jc w:val="center"/>
              <w:rPr>
                <w:rFonts w:ascii="Bookman Old Style" w:eastAsia="Bookman Old Style" w:hAnsi="Bookman Old Style" w:cs="Bookman Old Style"/>
                <w:sz w:val="22"/>
                <w:szCs w:val="22"/>
              </w:rPr>
            </w:pPr>
          </w:p>
        </w:tc>
        <w:tc>
          <w:tcPr>
            <w:tcW w:w="4414" w:type="dxa"/>
          </w:tcPr>
          <w:p w14:paraId="743D1A2C" w14:textId="77777777" w:rsidR="00F23869" w:rsidRDefault="00F23869">
            <w:pPr>
              <w:spacing w:line="276" w:lineRule="auto"/>
              <w:ind w:firstLine="1418"/>
              <w:rPr>
                <w:rFonts w:ascii="Bookman Old Style" w:eastAsia="Bookman Old Style" w:hAnsi="Bookman Old Style" w:cs="Bookman Old Style"/>
              </w:rPr>
            </w:pPr>
          </w:p>
          <w:p w14:paraId="672209BC" w14:textId="77777777" w:rsidR="00F23869" w:rsidRDefault="00F23869">
            <w:pPr>
              <w:spacing w:line="276" w:lineRule="auto"/>
              <w:ind w:firstLine="1418"/>
              <w:rPr>
                <w:rFonts w:ascii="Bookman Old Style" w:eastAsia="Bookman Old Style" w:hAnsi="Bookman Old Style" w:cs="Bookman Old Style"/>
              </w:rPr>
            </w:pPr>
          </w:p>
          <w:p w14:paraId="1FDC65F6" w14:textId="77777777" w:rsidR="00F23869" w:rsidRDefault="00F23869">
            <w:pPr>
              <w:spacing w:line="276" w:lineRule="auto"/>
              <w:ind w:firstLine="1418"/>
              <w:rPr>
                <w:rFonts w:ascii="Bookman Old Style" w:eastAsia="Bookman Old Style" w:hAnsi="Bookman Old Style" w:cs="Bookman Old Style"/>
              </w:rPr>
            </w:pPr>
          </w:p>
          <w:p w14:paraId="65406116" w14:textId="77777777" w:rsidR="00F23869" w:rsidRDefault="00F23869">
            <w:pPr>
              <w:spacing w:line="276" w:lineRule="auto"/>
              <w:ind w:firstLine="1418"/>
              <w:rPr>
                <w:rFonts w:ascii="Bookman Old Style" w:eastAsia="Bookman Old Style" w:hAnsi="Bookman Old Style" w:cs="Bookman Old Style"/>
              </w:rPr>
            </w:pPr>
          </w:p>
          <w:p w14:paraId="71D97736" w14:textId="77777777" w:rsidR="00F23869" w:rsidRDefault="00F23869">
            <w:pPr>
              <w:spacing w:line="276" w:lineRule="auto"/>
              <w:ind w:firstLine="1418"/>
              <w:rPr>
                <w:rFonts w:ascii="Bookman Old Style" w:eastAsia="Bookman Old Style" w:hAnsi="Bookman Old Style" w:cs="Bookman Old Style"/>
              </w:rPr>
            </w:pPr>
          </w:p>
          <w:p w14:paraId="3EBF33E0" w14:textId="77777777" w:rsidR="00F23869" w:rsidRDefault="00F23869">
            <w:pPr>
              <w:spacing w:line="276" w:lineRule="auto"/>
              <w:ind w:firstLine="1418"/>
              <w:rPr>
                <w:rFonts w:ascii="Bookman Old Style" w:eastAsia="Bookman Old Style" w:hAnsi="Bookman Old Style" w:cs="Bookman Old Style"/>
              </w:rPr>
            </w:pPr>
          </w:p>
          <w:p w14:paraId="4835E986" w14:textId="77777777" w:rsidR="00F23869" w:rsidRDefault="00F23869">
            <w:pPr>
              <w:spacing w:line="276" w:lineRule="auto"/>
              <w:ind w:firstLine="1418"/>
              <w:rPr>
                <w:rFonts w:ascii="Bookman Old Style" w:eastAsia="Bookman Old Style" w:hAnsi="Bookman Old Style" w:cs="Bookman Old Style"/>
              </w:rPr>
            </w:pPr>
          </w:p>
          <w:p w14:paraId="574C88A7" w14:textId="77777777" w:rsidR="00F23869" w:rsidRDefault="00F23869">
            <w:pPr>
              <w:spacing w:line="276" w:lineRule="auto"/>
              <w:ind w:firstLine="1418"/>
              <w:rPr>
                <w:rFonts w:ascii="Bookman Old Style" w:eastAsia="Bookman Old Style" w:hAnsi="Bookman Old Style" w:cs="Bookman Old Style"/>
              </w:rPr>
            </w:pPr>
          </w:p>
        </w:tc>
      </w:tr>
      <w:tr w:rsidR="00F23869" w14:paraId="0E1183B0" w14:textId="77777777">
        <w:tc>
          <w:tcPr>
            <w:tcW w:w="4414" w:type="dxa"/>
          </w:tcPr>
          <w:p w14:paraId="1D369728" w14:textId="77777777" w:rsidR="00F23869" w:rsidRDefault="00F23869">
            <w:pPr>
              <w:spacing w:line="276" w:lineRule="auto"/>
              <w:ind w:firstLine="1418"/>
              <w:rPr>
                <w:rFonts w:ascii="Bookman Old Style" w:eastAsia="Bookman Old Style" w:hAnsi="Bookman Old Style" w:cs="Bookman Old Style"/>
              </w:rPr>
            </w:pPr>
          </w:p>
          <w:p w14:paraId="525197CC" w14:textId="77777777" w:rsidR="00F23869" w:rsidRDefault="00F23869">
            <w:pPr>
              <w:spacing w:line="276" w:lineRule="auto"/>
              <w:ind w:firstLine="1418"/>
              <w:rPr>
                <w:rFonts w:ascii="Bookman Old Style" w:eastAsia="Bookman Old Style" w:hAnsi="Bookman Old Style" w:cs="Bookman Old Style"/>
              </w:rPr>
            </w:pPr>
          </w:p>
          <w:p w14:paraId="1F3944C7" w14:textId="77777777" w:rsidR="00F23869" w:rsidRDefault="00F23869">
            <w:pPr>
              <w:spacing w:line="276" w:lineRule="auto"/>
              <w:ind w:firstLine="1418"/>
              <w:rPr>
                <w:rFonts w:ascii="Bookman Old Style" w:eastAsia="Bookman Old Style" w:hAnsi="Bookman Old Style" w:cs="Bookman Old Style"/>
              </w:rPr>
            </w:pPr>
          </w:p>
          <w:p w14:paraId="73104DB2" w14:textId="77777777" w:rsidR="00F23869" w:rsidRDefault="00F23869">
            <w:pPr>
              <w:spacing w:line="276" w:lineRule="auto"/>
              <w:ind w:firstLine="1418"/>
              <w:rPr>
                <w:rFonts w:ascii="Bookman Old Style" w:eastAsia="Bookman Old Style" w:hAnsi="Bookman Old Style" w:cs="Bookman Old Style"/>
              </w:rPr>
            </w:pPr>
          </w:p>
          <w:p w14:paraId="5381A9D6" w14:textId="77777777" w:rsidR="00F23869" w:rsidRDefault="00F23869">
            <w:pPr>
              <w:spacing w:line="276" w:lineRule="auto"/>
              <w:ind w:firstLine="1418"/>
              <w:rPr>
                <w:rFonts w:ascii="Bookman Old Style" w:eastAsia="Bookman Old Style" w:hAnsi="Bookman Old Style" w:cs="Bookman Old Style"/>
              </w:rPr>
            </w:pPr>
          </w:p>
          <w:p w14:paraId="305D6078" w14:textId="77777777" w:rsidR="00F23869" w:rsidRDefault="00F23869">
            <w:pPr>
              <w:spacing w:line="276" w:lineRule="auto"/>
              <w:ind w:firstLine="1418"/>
              <w:rPr>
                <w:rFonts w:ascii="Bookman Old Style" w:eastAsia="Bookman Old Style" w:hAnsi="Bookman Old Style" w:cs="Bookman Old Style"/>
              </w:rPr>
            </w:pPr>
          </w:p>
        </w:tc>
        <w:tc>
          <w:tcPr>
            <w:tcW w:w="4414" w:type="dxa"/>
          </w:tcPr>
          <w:p w14:paraId="094A9A63" w14:textId="77777777" w:rsidR="00F23869" w:rsidRDefault="00F23869">
            <w:pPr>
              <w:spacing w:line="276" w:lineRule="auto"/>
              <w:ind w:firstLine="1418"/>
              <w:rPr>
                <w:rFonts w:ascii="Bookman Old Style" w:eastAsia="Bookman Old Style" w:hAnsi="Bookman Old Style" w:cs="Bookman Old Style"/>
              </w:rPr>
            </w:pPr>
          </w:p>
        </w:tc>
      </w:tr>
      <w:tr w:rsidR="00F23869" w14:paraId="25A90ADD" w14:textId="77777777">
        <w:tc>
          <w:tcPr>
            <w:tcW w:w="4414" w:type="dxa"/>
          </w:tcPr>
          <w:p w14:paraId="50F5A17F" w14:textId="77777777" w:rsidR="00F23869" w:rsidRDefault="00F23869">
            <w:pPr>
              <w:spacing w:line="276" w:lineRule="auto"/>
              <w:ind w:firstLine="1418"/>
              <w:rPr>
                <w:rFonts w:ascii="Bookman Old Style" w:eastAsia="Bookman Old Style" w:hAnsi="Bookman Old Style" w:cs="Bookman Old Style"/>
              </w:rPr>
            </w:pPr>
          </w:p>
          <w:p w14:paraId="7A416591" w14:textId="77777777" w:rsidR="00F23869" w:rsidRDefault="00F23869">
            <w:pPr>
              <w:spacing w:line="276" w:lineRule="auto"/>
              <w:ind w:firstLine="1418"/>
              <w:rPr>
                <w:rFonts w:ascii="Bookman Old Style" w:eastAsia="Bookman Old Style" w:hAnsi="Bookman Old Style" w:cs="Bookman Old Style"/>
              </w:rPr>
            </w:pPr>
          </w:p>
          <w:p w14:paraId="39E2631D" w14:textId="77777777" w:rsidR="00F23869" w:rsidRDefault="00F23869">
            <w:pPr>
              <w:spacing w:line="276" w:lineRule="auto"/>
              <w:ind w:firstLine="1418"/>
              <w:rPr>
                <w:rFonts w:ascii="Bookman Old Style" w:eastAsia="Bookman Old Style" w:hAnsi="Bookman Old Style" w:cs="Bookman Old Style"/>
              </w:rPr>
            </w:pPr>
          </w:p>
          <w:p w14:paraId="3D0117B1" w14:textId="77777777" w:rsidR="00F23869" w:rsidRDefault="00F23869">
            <w:pPr>
              <w:spacing w:line="276" w:lineRule="auto"/>
              <w:ind w:firstLine="1418"/>
              <w:rPr>
                <w:rFonts w:ascii="Bookman Old Style" w:eastAsia="Bookman Old Style" w:hAnsi="Bookman Old Style" w:cs="Bookman Old Style"/>
              </w:rPr>
            </w:pPr>
          </w:p>
          <w:p w14:paraId="6DF6B811" w14:textId="77777777" w:rsidR="00F23869" w:rsidRDefault="00F23869">
            <w:pPr>
              <w:spacing w:line="276" w:lineRule="auto"/>
              <w:ind w:firstLine="1418"/>
              <w:rPr>
                <w:rFonts w:ascii="Bookman Old Style" w:eastAsia="Bookman Old Style" w:hAnsi="Bookman Old Style" w:cs="Bookman Old Style"/>
              </w:rPr>
            </w:pPr>
          </w:p>
          <w:p w14:paraId="2D004B0E" w14:textId="77777777" w:rsidR="00F23869" w:rsidRDefault="00F23869">
            <w:pPr>
              <w:spacing w:line="276" w:lineRule="auto"/>
              <w:ind w:firstLine="1418"/>
              <w:rPr>
                <w:rFonts w:ascii="Bookman Old Style" w:eastAsia="Bookman Old Style" w:hAnsi="Bookman Old Style" w:cs="Bookman Old Style"/>
              </w:rPr>
            </w:pPr>
          </w:p>
        </w:tc>
        <w:tc>
          <w:tcPr>
            <w:tcW w:w="4414" w:type="dxa"/>
          </w:tcPr>
          <w:p w14:paraId="7F4C1AB2" w14:textId="77777777" w:rsidR="00F23869" w:rsidRDefault="00F23869">
            <w:pPr>
              <w:spacing w:line="276" w:lineRule="auto"/>
              <w:ind w:firstLine="1418"/>
              <w:rPr>
                <w:rFonts w:ascii="Bookman Old Style" w:eastAsia="Bookman Old Style" w:hAnsi="Bookman Old Style" w:cs="Bookman Old Style"/>
              </w:rPr>
            </w:pPr>
          </w:p>
        </w:tc>
      </w:tr>
      <w:tr w:rsidR="00F23869" w14:paraId="7DD1F423" w14:textId="77777777">
        <w:tc>
          <w:tcPr>
            <w:tcW w:w="4414" w:type="dxa"/>
          </w:tcPr>
          <w:p w14:paraId="61127ED9" w14:textId="77777777" w:rsidR="00F23869" w:rsidRDefault="00F23869">
            <w:pPr>
              <w:ind w:firstLine="1418"/>
              <w:rPr>
                <w:rFonts w:ascii="Bookman Old Style" w:eastAsia="Bookman Old Style" w:hAnsi="Bookman Old Style" w:cs="Bookman Old Style"/>
              </w:rPr>
            </w:pPr>
          </w:p>
          <w:p w14:paraId="1D993E60" w14:textId="77777777" w:rsidR="00F23869" w:rsidRDefault="00F23869">
            <w:pPr>
              <w:ind w:firstLine="1418"/>
              <w:rPr>
                <w:rFonts w:ascii="Bookman Old Style" w:eastAsia="Bookman Old Style" w:hAnsi="Bookman Old Style" w:cs="Bookman Old Style"/>
              </w:rPr>
            </w:pPr>
          </w:p>
          <w:p w14:paraId="1AFA9FCD" w14:textId="77777777" w:rsidR="00F23869" w:rsidRDefault="00F23869">
            <w:pPr>
              <w:ind w:firstLine="1418"/>
              <w:rPr>
                <w:rFonts w:ascii="Bookman Old Style" w:eastAsia="Bookman Old Style" w:hAnsi="Bookman Old Style" w:cs="Bookman Old Style"/>
              </w:rPr>
            </w:pPr>
          </w:p>
          <w:p w14:paraId="1BD1346C" w14:textId="77777777" w:rsidR="00F23869" w:rsidRDefault="00F23869">
            <w:pPr>
              <w:ind w:firstLine="1418"/>
              <w:rPr>
                <w:rFonts w:ascii="Bookman Old Style" w:eastAsia="Bookman Old Style" w:hAnsi="Bookman Old Style" w:cs="Bookman Old Style"/>
              </w:rPr>
            </w:pPr>
          </w:p>
          <w:p w14:paraId="43D4C882" w14:textId="77777777" w:rsidR="00F23869" w:rsidRDefault="00F23869">
            <w:pPr>
              <w:ind w:firstLine="1418"/>
              <w:rPr>
                <w:rFonts w:ascii="Bookman Old Style" w:eastAsia="Bookman Old Style" w:hAnsi="Bookman Old Style" w:cs="Bookman Old Style"/>
              </w:rPr>
            </w:pPr>
          </w:p>
          <w:p w14:paraId="551D02AF" w14:textId="77777777" w:rsidR="00F23869" w:rsidRDefault="00F23869">
            <w:pPr>
              <w:rPr>
                <w:rFonts w:ascii="Bookman Old Style" w:eastAsia="Bookman Old Style" w:hAnsi="Bookman Old Style" w:cs="Bookman Old Style"/>
              </w:rPr>
            </w:pPr>
          </w:p>
          <w:p w14:paraId="54FCDD26" w14:textId="77777777" w:rsidR="00F23869" w:rsidRDefault="00F23869">
            <w:pPr>
              <w:ind w:firstLine="1418"/>
              <w:rPr>
                <w:rFonts w:ascii="Bookman Old Style" w:eastAsia="Bookman Old Style" w:hAnsi="Bookman Old Style" w:cs="Bookman Old Style"/>
              </w:rPr>
            </w:pPr>
          </w:p>
        </w:tc>
        <w:tc>
          <w:tcPr>
            <w:tcW w:w="4414" w:type="dxa"/>
          </w:tcPr>
          <w:p w14:paraId="03BCD206" w14:textId="77777777" w:rsidR="00F23869" w:rsidRDefault="00F23869">
            <w:pPr>
              <w:ind w:firstLine="1418"/>
              <w:rPr>
                <w:rFonts w:ascii="Bookman Old Style" w:eastAsia="Bookman Old Style" w:hAnsi="Bookman Old Style" w:cs="Bookman Old Style"/>
              </w:rPr>
            </w:pPr>
          </w:p>
        </w:tc>
      </w:tr>
      <w:tr w:rsidR="00F23869" w14:paraId="557C5334" w14:textId="77777777">
        <w:tc>
          <w:tcPr>
            <w:tcW w:w="4414" w:type="dxa"/>
          </w:tcPr>
          <w:p w14:paraId="7A8FD940" w14:textId="77777777" w:rsidR="00F23869" w:rsidRDefault="00F23869">
            <w:pPr>
              <w:ind w:firstLine="1418"/>
              <w:rPr>
                <w:rFonts w:ascii="Bookman Old Style" w:eastAsia="Bookman Old Style" w:hAnsi="Bookman Old Style" w:cs="Bookman Old Style"/>
              </w:rPr>
            </w:pPr>
          </w:p>
          <w:p w14:paraId="7B8E53DF" w14:textId="77777777" w:rsidR="00F23869" w:rsidRDefault="00F23869">
            <w:pPr>
              <w:ind w:firstLine="1418"/>
              <w:rPr>
                <w:rFonts w:ascii="Bookman Old Style" w:eastAsia="Bookman Old Style" w:hAnsi="Bookman Old Style" w:cs="Bookman Old Style"/>
              </w:rPr>
            </w:pPr>
          </w:p>
          <w:p w14:paraId="1E349A4F" w14:textId="77777777" w:rsidR="00F23869" w:rsidRDefault="00F23869">
            <w:pPr>
              <w:ind w:firstLine="1418"/>
              <w:rPr>
                <w:rFonts w:ascii="Bookman Old Style" w:eastAsia="Bookman Old Style" w:hAnsi="Bookman Old Style" w:cs="Bookman Old Style"/>
              </w:rPr>
            </w:pPr>
          </w:p>
          <w:p w14:paraId="63108BC2" w14:textId="77777777" w:rsidR="00F23869" w:rsidRDefault="00F23869">
            <w:pPr>
              <w:ind w:firstLine="1418"/>
              <w:rPr>
                <w:rFonts w:ascii="Bookman Old Style" w:eastAsia="Bookman Old Style" w:hAnsi="Bookman Old Style" w:cs="Bookman Old Style"/>
              </w:rPr>
            </w:pPr>
          </w:p>
          <w:p w14:paraId="0CCE8120" w14:textId="77777777" w:rsidR="00F23869" w:rsidRDefault="00F23869">
            <w:pPr>
              <w:ind w:firstLine="1418"/>
              <w:rPr>
                <w:rFonts w:ascii="Bookman Old Style" w:eastAsia="Bookman Old Style" w:hAnsi="Bookman Old Style" w:cs="Bookman Old Style"/>
              </w:rPr>
            </w:pPr>
          </w:p>
          <w:p w14:paraId="693C4E76" w14:textId="77777777" w:rsidR="00F23869" w:rsidRDefault="00F23869">
            <w:pPr>
              <w:ind w:firstLine="1418"/>
              <w:rPr>
                <w:rFonts w:ascii="Bookman Old Style" w:eastAsia="Bookman Old Style" w:hAnsi="Bookman Old Style" w:cs="Bookman Old Style"/>
              </w:rPr>
            </w:pPr>
          </w:p>
          <w:p w14:paraId="499AFAA7" w14:textId="77777777" w:rsidR="00F23869" w:rsidRDefault="00F23869">
            <w:pPr>
              <w:ind w:firstLine="1418"/>
              <w:rPr>
                <w:rFonts w:ascii="Bookman Old Style" w:eastAsia="Bookman Old Style" w:hAnsi="Bookman Old Style" w:cs="Bookman Old Style"/>
              </w:rPr>
            </w:pPr>
          </w:p>
        </w:tc>
        <w:tc>
          <w:tcPr>
            <w:tcW w:w="4414" w:type="dxa"/>
          </w:tcPr>
          <w:p w14:paraId="598EC730" w14:textId="77777777" w:rsidR="00F23869" w:rsidRDefault="00F23869">
            <w:pPr>
              <w:ind w:firstLine="1418"/>
              <w:rPr>
                <w:rFonts w:ascii="Bookman Old Style" w:eastAsia="Bookman Old Style" w:hAnsi="Bookman Old Style" w:cs="Bookman Old Style"/>
              </w:rPr>
            </w:pPr>
          </w:p>
        </w:tc>
      </w:tr>
      <w:tr w:rsidR="00F23869" w14:paraId="3D742E0E" w14:textId="77777777">
        <w:tc>
          <w:tcPr>
            <w:tcW w:w="4414" w:type="dxa"/>
          </w:tcPr>
          <w:p w14:paraId="1D90D8C5" w14:textId="77777777" w:rsidR="00F23869" w:rsidRDefault="00F23869">
            <w:pPr>
              <w:ind w:firstLine="1418"/>
              <w:rPr>
                <w:rFonts w:ascii="Bookman Old Style" w:eastAsia="Bookman Old Style" w:hAnsi="Bookman Old Style" w:cs="Bookman Old Style"/>
              </w:rPr>
            </w:pPr>
          </w:p>
          <w:p w14:paraId="58D8C01A" w14:textId="77777777" w:rsidR="00F23869" w:rsidRDefault="00F23869">
            <w:pPr>
              <w:ind w:firstLine="1418"/>
              <w:rPr>
                <w:rFonts w:ascii="Bookman Old Style" w:eastAsia="Bookman Old Style" w:hAnsi="Bookman Old Style" w:cs="Bookman Old Style"/>
              </w:rPr>
            </w:pPr>
          </w:p>
          <w:p w14:paraId="0E4E8AAD" w14:textId="77777777" w:rsidR="00F23869" w:rsidRDefault="00F23869">
            <w:pPr>
              <w:ind w:firstLine="1418"/>
              <w:rPr>
                <w:rFonts w:ascii="Bookman Old Style" w:eastAsia="Bookman Old Style" w:hAnsi="Bookman Old Style" w:cs="Bookman Old Style"/>
              </w:rPr>
            </w:pPr>
          </w:p>
          <w:p w14:paraId="762AD188" w14:textId="77777777" w:rsidR="00F23869" w:rsidRDefault="00F23869">
            <w:pPr>
              <w:ind w:firstLine="1418"/>
              <w:rPr>
                <w:rFonts w:ascii="Bookman Old Style" w:eastAsia="Bookman Old Style" w:hAnsi="Bookman Old Style" w:cs="Bookman Old Style"/>
              </w:rPr>
            </w:pPr>
          </w:p>
          <w:p w14:paraId="63B54192" w14:textId="77777777" w:rsidR="00F23869" w:rsidRDefault="00F23869">
            <w:pPr>
              <w:ind w:firstLine="1418"/>
              <w:rPr>
                <w:rFonts w:ascii="Bookman Old Style" w:eastAsia="Bookman Old Style" w:hAnsi="Bookman Old Style" w:cs="Bookman Old Style"/>
              </w:rPr>
            </w:pPr>
          </w:p>
          <w:p w14:paraId="3BA15EEC" w14:textId="77777777" w:rsidR="00F23869" w:rsidRDefault="00F23869">
            <w:pPr>
              <w:ind w:firstLine="1418"/>
              <w:rPr>
                <w:rFonts w:ascii="Bookman Old Style" w:eastAsia="Bookman Old Style" w:hAnsi="Bookman Old Style" w:cs="Bookman Old Style"/>
              </w:rPr>
            </w:pPr>
          </w:p>
          <w:p w14:paraId="38C35841" w14:textId="77777777" w:rsidR="00F23869" w:rsidRDefault="00F23869">
            <w:pPr>
              <w:ind w:firstLine="1418"/>
              <w:rPr>
                <w:rFonts w:ascii="Bookman Old Style" w:eastAsia="Bookman Old Style" w:hAnsi="Bookman Old Style" w:cs="Bookman Old Style"/>
              </w:rPr>
            </w:pPr>
          </w:p>
        </w:tc>
        <w:tc>
          <w:tcPr>
            <w:tcW w:w="4414" w:type="dxa"/>
          </w:tcPr>
          <w:p w14:paraId="391D8B42" w14:textId="77777777" w:rsidR="00F23869" w:rsidRDefault="00F23869">
            <w:pPr>
              <w:ind w:firstLine="1418"/>
              <w:rPr>
                <w:rFonts w:ascii="Bookman Old Style" w:eastAsia="Bookman Old Style" w:hAnsi="Bookman Old Style" w:cs="Bookman Old Style"/>
              </w:rPr>
            </w:pPr>
          </w:p>
        </w:tc>
      </w:tr>
      <w:tr w:rsidR="00F23869" w14:paraId="26F907FB" w14:textId="77777777">
        <w:tc>
          <w:tcPr>
            <w:tcW w:w="4414" w:type="dxa"/>
          </w:tcPr>
          <w:p w14:paraId="2D17A914" w14:textId="77777777" w:rsidR="00F23869" w:rsidRDefault="00F23869">
            <w:pPr>
              <w:ind w:firstLine="1418"/>
              <w:rPr>
                <w:rFonts w:ascii="Bookman Old Style" w:eastAsia="Bookman Old Style" w:hAnsi="Bookman Old Style" w:cs="Bookman Old Style"/>
              </w:rPr>
            </w:pPr>
          </w:p>
          <w:p w14:paraId="7FBE1D82" w14:textId="77777777" w:rsidR="00F23869" w:rsidRDefault="00F23869">
            <w:pPr>
              <w:ind w:firstLine="1418"/>
              <w:rPr>
                <w:rFonts w:ascii="Bookman Old Style" w:eastAsia="Bookman Old Style" w:hAnsi="Bookman Old Style" w:cs="Bookman Old Style"/>
              </w:rPr>
            </w:pPr>
          </w:p>
          <w:p w14:paraId="3B7EFBBD" w14:textId="77777777" w:rsidR="00F23869" w:rsidRDefault="00F23869">
            <w:pPr>
              <w:ind w:firstLine="1418"/>
              <w:rPr>
                <w:rFonts w:ascii="Bookman Old Style" w:eastAsia="Bookman Old Style" w:hAnsi="Bookman Old Style" w:cs="Bookman Old Style"/>
              </w:rPr>
            </w:pPr>
          </w:p>
          <w:p w14:paraId="118C50B6" w14:textId="77777777" w:rsidR="00F23869" w:rsidRDefault="00F23869">
            <w:pPr>
              <w:ind w:firstLine="1418"/>
              <w:rPr>
                <w:rFonts w:ascii="Bookman Old Style" w:eastAsia="Bookman Old Style" w:hAnsi="Bookman Old Style" w:cs="Bookman Old Style"/>
              </w:rPr>
            </w:pPr>
          </w:p>
          <w:p w14:paraId="4F0121CB" w14:textId="77777777" w:rsidR="00F23869" w:rsidRDefault="00F23869">
            <w:pPr>
              <w:ind w:firstLine="1418"/>
              <w:rPr>
                <w:rFonts w:ascii="Bookman Old Style" w:eastAsia="Bookman Old Style" w:hAnsi="Bookman Old Style" w:cs="Bookman Old Style"/>
              </w:rPr>
            </w:pPr>
          </w:p>
          <w:p w14:paraId="797A541D" w14:textId="77777777" w:rsidR="00F23869" w:rsidRDefault="00F23869">
            <w:pPr>
              <w:ind w:firstLine="1418"/>
              <w:rPr>
                <w:rFonts w:ascii="Bookman Old Style" w:eastAsia="Bookman Old Style" w:hAnsi="Bookman Old Style" w:cs="Bookman Old Style"/>
              </w:rPr>
            </w:pPr>
          </w:p>
          <w:p w14:paraId="64F9E7E6" w14:textId="77777777" w:rsidR="00F23869" w:rsidRDefault="00F23869">
            <w:pPr>
              <w:ind w:firstLine="1418"/>
              <w:rPr>
                <w:rFonts w:ascii="Bookman Old Style" w:eastAsia="Bookman Old Style" w:hAnsi="Bookman Old Style" w:cs="Bookman Old Style"/>
              </w:rPr>
            </w:pPr>
          </w:p>
        </w:tc>
        <w:tc>
          <w:tcPr>
            <w:tcW w:w="4414" w:type="dxa"/>
          </w:tcPr>
          <w:p w14:paraId="62425D10" w14:textId="77777777" w:rsidR="00F23869" w:rsidRDefault="00F23869">
            <w:pPr>
              <w:ind w:firstLine="1418"/>
              <w:rPr>
                <w:rFonts w:ascii="Bookman Old Style" w:eastAsia="Bookman Old Style" w:hAnsi="Bookman Old Style" w:cs="Bookman Old Style"/>
              </w:rPr>
            </w:pPr>
          </w:p>
        </w:tc>
      </w:tr>
    </w:tbl>
    <w:p w14:paraId="3AB3E181" w14:textId="77777777" w:rsidR="00F23869" w:rsidRDefault="00F23869">
      <w:pPr>
        <w:spacing w:after="160" w:line="276" w:lineRule="auto"/>
        <w:ind w:left="0"/>
        <w:jc w:val="center"/>
        <w:rPr>
          <w:rFonts w:ascii="Bookman Old Style" w:eastAsia="Bookman Old Style" w:hAnsi="Bookman Old Style" w:cs="Bookman Old Style"/>
          <w:sz w:val="24"/>
          <w:szCs w:val="24"/>
        </w:rPr>
      </w:pPr>
    </w:p>
    <w:p w14:paraId="21DEE9FB" w14:textId="77777777" w:rsidR="00F23869" w:rsidRDefault="00F23869">
      <w:pPr>
        <w:tabs>
          <w:tab w:val="left" w:pos="4125"/>
        </w:tabs>
        <w:spacing w:line="276" w:lineRule="auto"/>
        <w:ind w:left="0"/>
        <w:rPr>
          <w:sz w:val="24"/>
          <w:szCs w:val="24"/>
        </w:rPr>
      </w:pPr>
    </w:p>
    <w:p w14:paraId="7FC30D09" w14:textId="77777777" w:rsidR="00F23869" w:rsidRDefault="0057613A">
      <w:pPr>
        <w:tabs>
          <w:tab w:val="left" w:pos="4125"/>
        </w:tabs>
        <w:spacing w:before="240" w:after="240" w:line="276" w:lineRule="auto"/>
        <w:ind w:left="0"/>
        <w:rPr>
          <w:rFonts w:ascii="Verdana" w:eastAsia="Verdana" w:hAnsi="Verdana" w:cs="Verdana"/>
          <w:sz w:val="24"/>
          <w:szCs w:val="24"/>
        </w:rPr>
      </w:pPr>
      <w:r>
        <w:rPr>
          <w:i/>
          <w:sz w:val="24"/>
          <w:szCs w:val="24"/>
        </w:rPr>
        <w:t xml:space="preserve"> </w:t>
      </w:r>
    </w:p>
    <w:p w14:paraId="78D7FDB7" w14:textId="77777777" w:rsidR="00F23869" w:rsidRDefault="00F23869">
      <w:pPr>
        <w:tabs>
          <w:tab w:val="left" w:pos="4125"/>
        </w:tabs>
        <w:spacing w:before="240" w:after="240" w:line="276" w:lineRule="auto"/>
        <w:ind w:left="0" w:firstLine="100"/>
        <w:jc w:val="center"/>
        <w:rPr>
          <w:rFonts w:ascii="Verdana" w:eastAsia="Verdana" w:hAnsi="Verdana" w:cs="Verdana"/>
          <w:sz w:val="24"/>
          <w:szCs w:val="24"/>
        </w:rPr>
      </w:pPr>
    </w:p>
    <w:p w14:paraId="112D419B" w14:textId="77777777" w:rsidR="00F23869" w:rsidRDefault="0057613A">
      <w:pPr>
        <w:tabs>
          <w:tab w:val="left" w:pos="4125"/>
        </w:tabs>
        <w:spacing w:before="240" w:after="240" w:line="276" w:lineRule="auto"/>
        <w:ind w:left="0"/>
        <w:rPr>
          <w:sz w:val="20"/>
          <w:szCs w:val="20"/>
        </w:rPr>
      </w:pPr>
      <w:r>
        <w:rPr>
          <w:sz w:val="20"/>
          <w:szCs w:val="20"/>
        </w:rPr>
        <w:t xml:space="preserve"> </w:t>
      </w:r>
    </w:p>
    <w:p w14:paraId="103A8EFC" w14:textId="77777777" w:rsidR="00F23869" w:rsidRDefault="0057613A">
      <w:pPr>
        <w:tabs>
          <w:tab w:val="left" w:pos="4125"/>
        </w:tabs>
        <w:spacing w:before="240" w:after="240" w:line="276" w:lineRule="auto"/>
        <w:ind w:left="0"/>
        <w:rPr>
          <w:sz w:val="24"/>
          <w:szCs w:val="24"/>
        </w:rPr>
      </w:pPr>
      <w:r>
        <w:rPr>
          <w:sz w:val="24"/>
          <w:szCs w:val="24"/>
        </w:rPr>
        <w:t xml:space="preserve"> </w:t>
      </w:r>
    </w:p>
    <w:p w14:paraId="318C0B73" w14:textId="77777777" w:rsidR="00F23869" w:rsidRDefault="00F23869">
      <w:pPr>
        <w:tabs>
          <w:tab w:val="left" w:pos="4125"/>
        </w:tabs>
        <w:spacing w:line="276" w:lineRule="auto"/>
        <w:ind w:left="0"/>
        <w:rPr>
          <w:sz w:val="24"/>
          <w:szCs w:val="24"/>
        </w:rPr>
      </w:pPr>
    </w:p>
    <w:sectPr w:rsidR="00F23869">
      <w:headerReference w:type="even" r:id="rId15"/>
      <w:headerReference w:type="default" r:id="rId16"/>
      <w:footerReference w:type="default" r:id="rId17"/>
      <w:headerReference w:type="first" r:id="rId18"/>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B989" w14:textId="77777777" w:rsidR="0057613A" w:rsidRDefault="0057613A">
      <w:r>
        <w:separator/>
      </w:r>
    </w:p>
  </w:endnote>
  <w:endnote w:type="continuationSeparator" w:id="0">
    <w:p w14:paraId="225F37FE" w14:textId="77777777" w:rsidR="0057613A" w:rsidRDefault="0057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8A35" w14:textId="77777777" w:rsidR="00F23869" w:rsidRDefault="00F238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44F2" w14:textId="77777777" w:rsidR="0057613A" w:rsidRDefault="0057613A">
      <w:r>
        <w:separator/>
      </w:r>
    </w:p>
  </w:footnote>
  <w:footnote w:type="continuationSeparator" w:id="0">
    <w:p w14:paraId="47246C98" w14:textId="77777777" w:rsidR="0057613A" w:rsidRDefault="0057613A">
      <w:r>
        <w:continuationSeparator/>
      </w:r>
    </w:p>
  </w:footnote>
  <w:footnote w:id="1">
    <w:p w14:paraId="54814801" w14:textId="77777777" w:rsidR="00F23869" w:rsidRDefault="0057613A">
      <w:pPr>
        <w:pBdr>
          <w:top w:val="nil"/>
          <w:left w:val="nil"/>
          <w:bottom w:val="nil"/>
          <w:right w:val="nil"/>
          <w:between w:val="nil"/>
        </w:pBdr>
        <w:ind w:left="0"/>
        <w:jc w:val="left"/>
        <w:rPr>
          <w:color w:val="000000"/>
          <w:sz w:val="20"/>
          <w:szCs w:val="20"/>
        </w:rPr>
      </w:pPr>
      <w:r>
        <w:rPr>
          <w:vertAlign w:val="superscript"/>
        </w:rPr>
        <w:footnoteRef/>
      </w:r>
      <w:r>
        <w:rPr>
          <w:color w:val="000000"/>
          <w:sz w:val="20"/>
          <w:szCs w:val="20"/>
        </w:rPr>
        <w:t xml:space="preserve"> Ver: Espitia De La Hoz, F. J. (2024). Menopausia: aspectos clínicos y epidemiológicos. </w:t>
      </w:r>
      <w:r>
        <w:rPr>
          <w:i/>
          <w:color w:val="000000"/>
          <w:sz w:val="20"/>
          <w:szCs w:val="20"/>
        </w:rPr>
        <w:t>Revista Colombiana de Obstetricia y Ginecología, 75</w:t>
      </w:r>
      <w:r>
        <w:rPr>
          <w:color w:val="000000"/>
          <w:sz w:val="20"/>
          <w:szCs w:val="20"/>
        </w:rPr>
        <w:t xml:space="preserve">(1), 53-63. </w:t>
      </w:r>
      <w:hyperlink r:id="rId1">
        <w:r>
          <w:rPr>
            <w:color w:val="0563C1"/>
            <w:sz w:val="20"/>
            <w:szCs w:val="20"/>
            <w:u w:val="single"/>
          </w:rPr>
          <w:t>https://doi.org/10.18597/rcog.3809</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6F8" w14:textId="77777777" w:rsidR="00F23869" w:rsidRDefault="0057613A">
    <w:pPr>
      <w:pBdr>
        <w:top w:val="nil"/>
        <w:left w:val="nil"/>
        <w:bottom w:val="nil"/>
        <w:right w:val="nil"/>
        <w:between w:val="nil"/>
      </w:pBdr>
      <w:tabs>
        <w:tab w:val="center" w:pos="4419"/>
        <w:tab w:val="right" w:pos="8838"/>
      </w:tabs>
      <w:rPr>
        <w:color w:val="000000"/>
      </w:rPr>
    </w:pPr>
    <w:r>
      <w:rPr>
        <w:color w:val="000000"/>
      </w:rPr>
      <w:pict w14:anchorId="166CF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left:0;text-align:left;margin-left:0;margin-top:0;width:612pt;height:11in;z-index:-251657728;mso-position-horizontal:center;mso-position-horizontal-relative:margin;mso-position-vertical:center;mso-position-vertical-relative:margin">
          <v:imagedata r:id="rId1" o:title="image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C5BD" w14:textId="77777777" w:rsidR="00F23869" w:rsidRDefault="0057613A">
    <w:pPr>
      <w:pBdr>
        <w:top w:val="nil"/>
        <w:left w:val="nil"/>
        <w:bottom w:val="nil"/>
        <w:right w:val="nil"/>
        <w:between w:val="nil"/>
      </w:pBdr>
      <w:tabs>
        <w:tab w:val="center" w:pos="4419"/>
        <w:tab w:val="right" w:pos="8838"/>
      </w:tabs>
      <w:rPr>
        <w:color w:val="000000"/>
      </w:rPr>
    </w:pPr>
    <w:r>
      <w:rPr>
        <w:color w:val="000000"/>
      </w:rPr>
      <w:pict w14:anchorId="6C82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0;margin-top:0;width:612pt;height:11in;z-index:-251659776;mso-position-horizontal:center;mso-position-horizontal-relative:margin;mso-position-vertical:center;mso-position-vertical-relative:margin">
          <v:imagedata r:id="rId1" o:title="image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89A8" w14:textId="77777777" w:rsidR="00F23869" w:rsidRDefault="0057613A">
    <w:pPr>
      <w:pBdr>
        <w:top w:val="nil"/>
        <w:left w:val="nil"/>
        <w:bottom w:val="nil"/>
        <w:right w:val="nil"/>
        <w:between w:val="nil"/>
      </w:pBdr>
      <w:tabs>
        <w:tab w:val="center" w:pos="4419"/>
        <w:tab w:val="right" w:pos="8838"/>
      </w:tabs>
      <w:rPr>
        <w:color w:val="000000"/>
      </w:rPr>
    </w:pPr>
    <w:r>
      <w:rPr>
        <w:color w:val="000000"/>
      </w:rPr>
      <w:pict w14:anchorId="55AFC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612pt;height:11in;z-index:-251658752;mso-position-horizontal:center;mso-position-horizontal-relative:margin;mso-position-vertical:center;mso-position-vertical-relative:margin">
          <v:imagedata r:id="rId1" o:title="image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9CA"/>
    <w:multiLevelType w:val="multilevel"/>
    <w:tmpl w:val="1C44C072"/>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5FF1843"/>
    <w:multiLevelType w:val="multilevel"/>
    <w:tmpl w:val="049E5F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8307A"/>
    <w:multiLevelType w:val="multilevel"/>
    <w:tmpl w:val="DFBC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0A74B3"/>
    <w:multiLevelType w:val="multilevel"/>
    <w:tmpl w:val="989052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091F66"/>
    <w:multiLevelType w:val="multilevel"/>
    <w:tmpl w:val="7A00C7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205001E"/>
    <w:multiLevelType w:val="multilevel"/>
    <w:tmpl w:val="7C7651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A62C4D"/>
    <w:multiLevelType w:val="multilevel"/>
    <w:tmpl w:val="9FAAB1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903BD4"/>
    <w:multiLevelType w:val="multilevel"/>
    <w:tmpl w:val="D8BAEF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D14DED"/>
    <w:multiLevelType w:val="multilevel"/>
    <w:tmpl w:val="77DCCA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7"/>
  </w:num>
  <w:num w:numId="4">
    <w:abstractNumId w:val="6"/>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69"/>
    <w:rsid w:val="0057613A"/>
    <w:rsid w:val="008837B7"/>
    <w:rsid w:val="00926071"/>
    <w:rsid w:val="00F238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4A833"/>
  <w15:docId w15:val="{AC232AB3-10B0-45EA-A86E-B71CAF5D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4615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5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5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sz w:val="56"/>
      <w:szCs w:val="56"/>
    </w:rPr>
  </w:style>
  <w:style w:type="character" w:customStyle="1" w:styleId="Ttulo1Car">
    <w:name w:val="Título 1 Car"/>
    <w:basedOn w:val="Fuentedeprrafopredeter"/>
    <w:uiPriority w:val="9"/>
    <w:rsid w:val="0046151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46151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46151C"/>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46151C"/>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46151C"/>
    <w:rPr>
      <w:rFonts w:eastAsiaTheme="majorEastAsia" w:cstheme="majorBidi"/>
      <w:color w:val="2F5496" w:themeColor="accent1" w:themeShade="BF"/>
    </w:rPr>
  </w:style>
  <w:style w:type="character" w:customStyle="1" w:styleId="Ttulo6Car">
    <w:name w:val="Título 6 Car"/>
    <w:basedOn w:val="Fuentedeprrafopredeter"/>
    <w:uiPriority w:val="9"/>
    <w:semiHidden/>
    <w:rsid w:val="004615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5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5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51C"/>
    <w:rPr>
      <w:rFonts w:eastAsiaTheme="majorEastAsia" w:cstheme="majorBidi"/>
      <w:color w:val="272727" w:themeColor="text1" w:themeTint="D8"/>
    </w:rPr>
  </w:style>
  <w:style w:type="character" w:customStyle="1" w:styleId="TtuloCar">
    <w:name w:val="Título Car"/>
    <w:basedOn w:val="Fuentedeprrafopredeter"/>
    <w:uiPriority w:val="10"/>
    <w:rsid w:val="0046151C"/>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4615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51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151C"/>
    <w:rPr>
      <w:i/>
      <w:iCs/>
      <w:color w:val="404040" w:themeColor="text1" w:themeTint="BF"/>
    </w:rPr>
  </w:style>
  <w:style w:type="paragraph" w:styleId="Prrafodelista">
    <w:name w:val="List Paragraph"/>
    <w:basedOn w:val="Normal"/>
    <w:uiPriority w:val="34"/>
    <w:qFormat/>
    <w:rsid w:val="0046151C"/>
    <w:pPr>
      <w:ind w:left="720"/>
      <w:contextualSpacing/>
    </w:pPr>
  </w:style>
  <w:style w:type="character" w:styleId="nfasisintenso">
    <w:name w:val="Intense Emphasis"/>
    <w:basedOn w:val="Fuentedeprrafopredeter"/>
    <w:uiPriority w:val="21"/>
    <w:qFormat/>
    <w:rsid w:val="0046151C"/>
    <w:rPr>
      <w:i/>
      <w:iCs/>
      <w:color w:val="2F5496" w:themeColor="accent1" w:themeShade="BF"/>
    </w:rPr>
  </w:style>
  <w:style w:type="paragraph" w:styleId="Citadestacada">
    <w:name w:val="Intense Quote"/>
    <w:basedOn w:val="Normal"/>
    <w:next w:val="Normal"/>
    <w:link w:val="CitadestacadaCar"/>
    <w:uiPriority w:val="30"/>
    <w:qFormat/>
    <w:rsid w:val="00461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6151C"/>
    <w:rPr>
      <w:i/>
      <w:iCs/>
      <w:color w:val="2F5496" w:themeColor="accent1" w:themeShade="BF"/>
    </w:rPr>
  </w:style>
  <w:style w:type="character" w:styleId="Referenciaintensa">
    <w:name w:val="Intense Reference"/>
    <w:basedOn w:val="Fuentedeprrafopredeter"/>
    <w:uiPriority w:val="32"/>
    <w:qFormat/>
    <w:rsid w:val="0046151C"/>
    <w:rPr>
      <w:b/>
      <w:bCs/>
      <w:smallCaps/>
      <w:color w:val="2F5496" w:themeColor="accent1" w:themeShade="BF"/>
      <w:spacing w:val="5"/>
    </w:rPr>
  </w:style>
  <w:style w:type="paragraph" w:styleId="Encabezado">
    <w:name w:val="header"/>
    <w:basedOn w:val="Normal"/>
    <w:link w:val="EncabezadoCar"/>
    <w:uiPriority w:val="99"/>
    <w:unhideWhenUsed/>
    <w:rsid w:val="0046151C"/>
    <w:pPr>
      <w:tabs>
        <w:tab w:val="center" w:pos="4419"/>
        <w:tab w:val="right" w:pos="8838"/>
      </w:tabs>
    </w:pPr>
  </w:style>
  <w:style w:type="character" w:customStyle="1" w:styleId="EncabezadoCar">
    <w:name w:val="Encabezado Car"/>
    <w:basedOn w:val="Fuentedeprrafopredeter"/>
    <w:link w:val="Encabezado"/>
    <w:uiPriority w:val="99"/>
    <w:rsid w:val="0046151C"/>
  </w:style>
  <w:style w:type="paragraph" w:styleId="Piedepgina">
    <w:name w:val="footer"/>
    <w:basedOn w:val="Normal"/>
    <w:link w:val="PiedepginaCar"/>
    <w:uiPriority w:val="99"/>
    <w:unhideWhenUsed/>
    <w:rsid w:val="0046151C"/>
    <w:pPr>
      <w:tabs>
        <w:tab w:val="center" w:pos="4419"/>
        <w:tab w:val="right" w:pos="8838"/>
      </w:tabs>
    </w:pPr>
  </w:style>
  <w:style w:type="character" w:customStyle="1" w:styleId="PiedepginaCar">
    <w:name w:val="Pie de página Car"/>
    <w:basedOn w:val="Fuentedeprrafopredeter"/>
    <w:link w:val="Piedepgina"/>
    <w:uiPriority w:val="99"/>
    <w:rsid w:val="0046151C"/>
  </w:style>
  <w:style w:type="paragraph" w:styleId="Textonotapie">
    <w:name w:val="footnote text"/>
    <w:basedOn w:val="Normal"/>
    <w:link w:val="TextonotapieCar"/>
    <w:uiPriority w:val="99"/>
    <w:semiHidden/>
    <w:unhideWhenUsed/>
    <w:rsid w:val="001B1B9C"/>
    <w:pPr>
      <w:ind w:left="0"/>
      <w:jc w:val="left"/>
    </w:pPr>
    <w:rPr>
      <w:sz w:val="20"/>
      <w:szCs w:val="20"/>
    </w:rPr>
  </w:style>
  <w:style w:type="character" w:customStyle="1" w:styleId="TextonotapieCar">
    <w:name w:val="Texto nota pie Car"/>
    <w:basedOn w:val="Fuentedeprrafopredeter"/>
    <w:link w:val="Textonotapie"/>
    <w:uiPriority w:val="99"/>
    <w:semiHidden/>
    <w:rsid w:val="001B1B9C"/>
    <w:rPr>
      <w:sz w:val="20"/>
      <w:szCs w:val="20"/>
    </w:rPr>
  </w:style>
  <w:style w:type="character" w:styleId="Refdenotaalpie">
    <w:name w:val="footnote reference"/>
    <w:basedOn w:val="Fuentedeprrafopredeter"/>
    <w:uiPriority w:val="99"/>
    <w:semiHidden/>
    <w:unhideWhenUsed/>
    <w:rsid w:val="001B1B9C"/>
    <w:rPr>
      <w:vertAlign w:val="superscript"/>
    </w:rPr>
  </w:style>
  <w:style w:type="character" w:styleId="Hipervnculo">
    <w:name w:val="Hyperlink"/>
    <w:basedOn w:val="Fuentedeprrafopredeter"/>
    <w:uiPriority w:val="99"/>
    <w:unhideWhenUsed/>
    <w:rsid w:val="001B1B9C"/>
    <w:rPr>
      <w:color w:val="0563C1" w:themeColor="hyperlink"/>
      <w:u w:val="single"/>
    </w:rPr>
  </w:style>
  <w:style w:type="table" w:styleId="Tablanormal1">
    <w:name w:val="Plain Table 1"/>
    <w:basedOn w:val="Tablanormal"/>
    <w:uiPriority w:val="41"/>
    <w:rsid w:val="001B1B9C"/>
    <w:pPr>
      <w:ind w:left="0"/>
      <w:jc w:val="left"/>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B1B9C"/>
    <w:pPr>
      <w:ind w:lef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B1B9C"/>
    <w:pPr>
      <w:ind w:left="0"/>
      <w:jc w:val="left"/>
    </w:pPr>
    <w:rPr>
      <w:sz w:val="24"/>
      <w:szCs w:val="24"/>
    </w:rPr>
  </w:style>
  <w:style w:type="character" w:styleId="Refdecomentario">
    <w:name w:val="annotation reference"/>
    <w:basedOn w:val="Fuentedeprrafopredeter"/>
    <w:uiPriority w:val="99"/>
    <w:semiHidden/>
    <w:unhideWhenUsed/>
    <w:rsid w:val="00A25E5F"/>
    <w:rPr>
      <w:sz w:val="16"/>
      <w:szCs w:val="16"/>
    </w:rPr>
  </w:style>
  <w:style w:type="paragraph" w:styleId="Textocomentario">
    <w:name w:val="annotation text"/>
    <w:basedOn w:val="Normal"/>
    <w:link w:val="TextocomentarioCar"/>
    <w:uiPriority w:val="99"/>
    <w:unhideWhenUsed/>
    <w:rsid w:val="00A25E5F"/>
    <w:rPr>
      <w:sz w:val="20"/>
      <w:szCs w:val="20"/>
    </w:rPr>
  </w:style>
  <w:style w:type="character" w:customStyle="1" w:styleId="TextocomentarioCar">
    <w:name w:val="Texto comentario Car"/>
    <w:basedOn w:val="Fuentedeprrafopredeter"/>
    <w:link w:val="Textocomentario"/>
    <w:uiPriority w:val="99"/>
    <w:rsid w:val="00A25E5F"/>
    <w:rPr>
      <w:sz w:val="20"/>
      <w:szCs w:val="20"/>
    </w:rPr>
  </w:style>
  <w:style w:type="paragraph" w:styleId="Asuntodelcomentario">
    <w:name w:val="annotation subject"/>
    <w:basedOn w:val="Textocomentario"/>
    <w:next w:val="Textocomentario"/>
    <w:link w:val="AsuntodelcomentarioCar"/>
    <w:uiPriority w:val="99"/>
    <w:semiHidden/>
    <w:unhideWhenUsed/>
    <w:rsid w:val="00A25E5F"/>
    <w:rPr>
      <w:b/>
      <w:bCs/>
    </w:rPr>
  </w:style>
  <w:style w:type="character" w:customStyle="1" w:styleId="AsuntodelcomentarioCar">
    <w:name w:val="Asunto del comentario Car"/>
    <w:basedOn w:val="TextocomentarioCar"/>
    <w:link w:val="Asuntodelcomentario"/>
    <w:uiPriority w:val="99"/>
    <w:semiHidden/>
    <w:rsid w:val="00A25E5F"/>
    <w:rPr>
      <w:b/>
      <w:bCs/>
      <w:sz w:val="20"/>
      <w:szCs w:val="20"/>
    </w:rPr>
  </w:style>
  <w:style w:type="paragraph" w:styleId="NormalWeb">
    <w:name w:val="Normal (Web)"/>
    <w:basedOn w:val="Normal"/>
    <w:uiPriority w:val="99"/>
    <w:semiHidden/>
    <w:unhideWhenUsed/>
    <w:rsid w:val="00A25E5F"/>
    <w:pPr>
      <w:spacing w:before="100" w:beforeAutospacing="1" w:after="100" w:afterAutospacing="1"/>
      <w:ind w:left="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3857F5"/>
    <w:rPr>
      <w:color w:val="954F72" w:themeColor="followedHyperlink"/>
      <w:u w:val="single"/>
    </w:rPr>
  </w:style>
  <w:style w:type="paragraph" w:styleId="Revisin">
    <w:name w:val="Revision"/>
    <w:hidden/>
    <w:uiPriority w:val="99"/>
    <w:semiHidden/>
    <w:rsid w:val="0010281F"/>
    <w:pPr>
      <w:ind w:left="0"/>
      <w:jc w:val="left"/>
    </w:pPr>
  </w:style>
  <w:style w:type="paragraph" w:styleId="Subttulo">
    <w:name w:val="Subtitle"/>
    <w:basedOn w:val="Normal"/>
    <w:next w:val="Normal"/>
    <w:uiPriority w:val="11"/>
    <w:qFormat/>
    <w:pPr>
      <w:spacing w:after="160"/>
    </w:pPr>
    <w:rPr>
      <w:color w:val="595959"/>
      <w:sz w:val="28"/>
      <w:szCs w:val="28"/>
    </w:rPr>
  </w:style>
  <w:style w:type="table" w:customStyle="1" w:styleId="a">
    <w:basedOn w:val="TableNormal"/>
    <w:pPr>
      <w:ind w:left="0"/>
      <w:jc w:val="left"/>
    </w:pPr>
    <w:rPr>
      <w:sz w:val="24"/>
      <w:szCs w:val="24"/>
    </w:rPr>
    <w:tblPr>
      <w:tblStyleRowBandSize w:val="1"/>
      <w:tblStyleColBandSize w:val="1"/>
      <w:tblCellMar>
        <w:top w:w="0" w:type="dxa"/>
        <w:left w:w="108" w:type="dxa"/>
        <w:bottom w:w="0" w:type="dxa"/>
        <w:right w:w="108" w:type="dxa"/>
      </w:tblCellMar>
    </w:tblPr>
  </w:style>
  <w:style w:type="table" w:customStyle="1" w:styleId="a0">
    <w:basedOn w:val="TableNormal"/>
    <w:pPr>
      <w:ind w:left="0"/>
      <w:jc w:val="left"/>
    </w:pPr>
    <w:rPr>
      <w:sz w:val="24"/>
      <w:szCs w:val="24"/>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pPr>
      <w:ind w:left="0"/>
      <w:jc w:val="left"/>
    </w:pPr>
    <w:rPr>
      <w:sz w:val="24"/>
      <w:szCs w:val="24"/>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ind w:left="0"/>
      <w:jc w:val="left"/>
    </w:pPr>
    <w:rPr>
      <w:sz w:val="24"/>
      <w:szCs w:val="24"/>
    </w:r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ind w:left="0"/>
      <w:jc w:val="left"/>
    </w:pPr>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doi.org/10.18597/rcog.38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4UF/iXrSt2k1Agcfg/Tpqj0rw==">CgMxLjA4AHIhMVhPbjdXLUJYWS02SWx5ZGRfODR3aTVmT1ZMVUttQ3lQ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5976</Words>
  <Characters>32872</Characters>
  <Application>Microsoft Office Word</Application>
  <DocSecurity>0</DocSecurity>
  <Lines>273</Lines>
  <Paragraphs>77</Paragraphs>
  <ScaleCrop>false</ScaleCrop>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vivas</dc:creator>
  <cp:lastModifiedBy>Deisy Viviana Avila Diaz</cp:lastModifiedBy>
  <cp:revision>3</cp:revision>
  <dcterms:created xsi:type="dcterms:W3CDTF">2025-10-01T17:44:00Z</dcterms:created>
  <dcterms:modified xsi:type="dcterms:W3CDTF">2025-10-01T17:45:00Z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0x0101003F9486363AB98D46BDDFE2E2A935D841</vt:lpwstr>
  </property>
</Properties>
</file>