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15DC" w14:textId="77777777" w:rsidR="00C30E0C" w:rsidRDefault="00C30E0C">
      <w:pPr>
        <w:spacing w:after="240" w:line="276" w:lineRule="auto"/>
        <w:jc w:val="both"/>
        <w:rPr>
          <w:rFonts w:ascii="Times New Roman" w:eastAsia="Times New Roman" w:hAnsi="Times New Roman" w:cs="Times New Roman"/>
          <w:b/>
        </w:rPr>
      </w:pPr>
    </w:p>
    <w:p w14:paraId="383A7AB4" w14:textId="77777777" w:rsidR="00C30E0C" w:rsidRDefault="00715366">
      <w:pPr>
        <w:spacing w:before="240"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Bogotá D.C.</w:t>
      </w:r>
      <w:r>
        <w:rPr>
          <w:rFonts w:ascii="Times New Roman" w:eastAsia="Times New Roman" w:hAnsi="Times New Roman" w:cs="Times New Roman"/>
          <w:b/>
          <w:color w:val="000000"/>
        </w:rPr>
        <w:t xml:space="preserve">, </w:t>
      </w:r>
      <w:r>
        <w:rPr>
          <w:rFonts w:ascii="Times New Roman" w:eastAsia="Times New Roman" w:hAnsi="Times New Roman" w:cs="Times New Roman"/>
        </w:rPr>
        <w:t>01 de octubre</w:t>
      </w:r>
      <w:r>
        <w:rPr>
          <w:rFonts w:ascii="Times New Roman" w:eastAsia="Times New Roman" w:hAnsi="Times New Roman" w:cs="Times New Roman"/>
          <w:color w:val="000000"/>
        </w:rPr>
        <w:t xml:space="preserve"> de 2025</w:t>
      </w:r>
    </w:p>
    <w:p w14:paraId="368226CE" w14:textId="77777777" w:rsidR="00C30E0C" w:rsidRDefault="00715366">
      <w:pPr>
        <w:spacing w:before="240"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rPr>
        <w:t> </w:t>
      </w:r>
    </w:p>
    <w:p w14:paraId="3A177764" w14:textId="77777777" w:rsidR="00C30E0C" w:rsidRDefault="0071536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Doctor</w:t>
      </w:r>
    </w:p>
    <w:p w14:paraId="314C06E7" w14:textId="77777777" w:rsidR="00C30E0C" w:rsidRDefault="0071536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rPr>
        <w:t>Jaime Luis Lacouture Peñaloza</w:t>
      </w:r>
    </w:p>
    <w:p w14:paraId="4CB1A203" w14:textId="77777777" w:rsidR="00C30E0C" w:rsidRDefault="0071536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rPr>
        <w:t>Secretario General Cámara de Representantes</w:t>
      </w:r>
    </w:p>
    <w:p w14:paraId="55A11B9D" w14:textId="77777777" w:rsidR="00C30E0C" w:rsidRDefault="0071536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Ciudad</w:t>
      </w:r>
    </w:p>
    <w:p w14:paraId="20AD3DAA" w14:textId="77777777" w:rsidR="00C30E0C" w:rsidRDefault="00715366">
      <w:pPr>
        <w:spacing w:before="240" w:after="240" w:line="276"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rPr>
        <w:t> </w:t>
      </w:r>
    </w:p>
    <w:p w14:paraId="31235E41" w14:textId="77777777" w:rsidR="00C30E0C" w:rsidRDefault="00715366">
      <w:pPr>
        <w:spacing w:before="240" w:after="240" w:line="276" w:lineRule="auto"/>
        <w:ind w:left="3118"/>
        <w:jc w:val="both"/>
        <w:rPr>
          <w:rFonts w:ascii="Times New Roman" w:eastAsia="Times New Roman" w:hAnsi="Times New Roman" w:cs="Times New Roman"/>
          <w:sz w:val="28"/>
          <w:szCs w:val="28"/>
        </w:rPr>
      </w:pPr>
      <w:r>
        <w:rPr>
          <w:rFonts w:ascii="Times New Roman" w:eastAsia="Times New Roman" w:hAnsi="Times New Roman" w:cs="Times New Roman"/>
          <w:b/>
          <w:color w:val="000000"/>
        </w:rPr>
        <w:t xml:space="preserve">Asunto. </w:t>
      </w:r>
      <w:r>
        <w:rPr>
          <w:rFonts w:ascii="Times New Roman" w:eastAsia="Times New Roman" w:hAnsi="Times New Roman" w:cs="Times New Roman"/>
          <w:color w:val="000000"/>
        </w:rPr>
        <w:t>Radicación Proyecto de Ley</w:t>
      </w:r>
      <w:r>
        <w:rPr>
          <w:rFonts w:ascii="Times New Roman" w:eastAsia="Times New Roman" w:hAnsi="Times New Roman" w:cs="Times New Roman"/>
        </w:rPr>
        <w:t xml:space="preserve"> “Por la cual se crea la estampilla para el fortalecimiento de la Justicia Familiar “en pro de la niñez y la adolescencia” en Colombia”</w:t>
      </w:r>
    </w:p>
    <w:p w14:paraId="34E39FA2" w14:textId="77777777" w:rsidR="00C30E0C" w:rsidRDefault="00715366">
      <w:pPr>
        <w:spacing w:before="280" w:after="28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 </w:t>
      </w:r>
    </w:p>
    <w:p w14:paraId="1B6FD049" w14:textId="77777777" w:rsidR="00C30E0C" w:rsidRDefault="00715366">
      <w:pPr>
        <w:spacing w:before="280" w:after="28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 xml:space="preserve">En </w:t>
      </w:r>
      <w:r>
        <w:rPr>
          <w:rFonts w:ascii="Times New Roman" w:eastAsia="Times New Roman" w:hAnsi="Times New Roman" w:cs="Times New Roman"/>
        </w:rPr>
        <w:t>mi</w:t>
      </w:r>
      <w:r>
        <w:rPr>
          <w:rFonts w:ascii="Times New Roman" w:eastAsia="Times New Roman" w:hAnsi="Times New Roman" w:cs="Times New Roman"/>
          <w:color w:val="000000"/>
        </w:rPr>
        <w:t xml:space="preserve"> condición de </w:t>
      </w:r>
      <w:r>
        <w:rPr>
          <w:rFonts w:ascii="Times New Roman" w:eastAsia="Times New Roman" w:hAnsi="Times New Roman" w:cs="Times New Roman"/>
        </w:rPr>
        <w:t>Representante a la Cámara</w:t>
      </w:r>
      <w:r>
        <w:rPr>
          <w:rFonts w:ascii="Times New Roman" w:eastAsia="Times New Roman" w:hAnsi="Times New Roman" w:cs="Times New Roman"/>
          <w:color w:val="000000"/>
        </w:rPr>
        <w:t xml:space="preserve"> y en uso del derecho consagrado en los artículos 150, 151 y 154 de la Con</w:t>
      </w:r>
      <w:r>
        <w:rPr>
          <w:rFonts w:ascii="Times New Roman" w:eastAsia="Times New Roman" w:hAnsi="Times New Roman" w:cs="Times New Roman"/>
          <w:color w:val="000000"/>
        </w:rPr>
        <w:t xml:space="preserve">stitución Política de Colombia, por su digno conducto </w:t>
      </w:r>
      <w:r>
        <w:rPr>
          <w:rFonts w:ascii="Times New Roman" w:eastAsia="Times New Roman" w:hAnsi="Times New Roman" w:cs="Times New Roman"/>
        </w:rPr>
        <w:t xml:space="preserve">me permito </w:t>
      </w:r>
      <w:r>
        <w:rPr>
          <w:rFonts w:ascii="Times New Roman" w:eastAsia="Times New Roman" w:hAnsi="Times New Roman" w:cs="Times New Roman"/>
          <w:color w:val="000000"/>
        </w:rPr>
        <w:t xml:space="preserve">a consideración el Proyecto de Ley de la referencia, </w:t>
      </w:r>
      <w:r>
        <w:rPr>
          <w:rFonts w:ascii="Georgia" w:eastAsia="Georgia" w:hAnsi="Georgia" w:cs="Georgia"/>
          <w:color w:val="000000"/>
          <w:sz w:val="22"/>
          <w:szCs w:val="22"/>
        </w:rPr>
        <w:t>para iniciar el trámite correspondiente y cumplir con las exigencias dictadas por la Ley 5ta de 1992.</w:t>
      </w:r>
    </w:p>
    <w:p w14:paraId="2B965078" w14:textId="77777777" w:rsidR="00C30E0C" w:rsidRDefault="00715366">
      <w:pPr>
        <w:spacing w:before="240"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 </w:t>
      </w:r>
    </w:p>
    <w:p w14:paraId="4099DE2A" w14:textId="77777777" w:rsidR="00C30E0C" w:rsidRDefault="00715366">
      <w:pPr>
        <w:spacing w:before="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Atentamente,</w:t>
      </w:r>
    </w:p>
    <w:p w14:paraId="69ECD18A" w14:textId="77777777" w:rsidR="00C30E0C" w:rsidRDefault="00C30E0C">
      <w:pPr>
        <w:spacing w:after="240" w:line="276" w:lineRule="auto"/>
        <w:rPr>
          <w:rFonts w:ascii="Times New Roman" w:eastAsia="Times New Roman" w:hAnsi="Times New Roman" w:cs="Times New Roman"/>
          <w:sz w:val="28"/>
          <w:szCs w:val="28"/>
        </w:rPr>
      </w:pPr>
    </w:p>
    <w:p w14:paraId="3D2F84A2" w14:textId="77777777" w:rsidR="00C30E0C" w:rsidRDefault="00C30E0C">
      <w:pPr>
        <w:spacing w:after="240" w:line="276" w:lineRule="auto"/>
        <w:rPr>
          <w:rFonts w:ascii="Times New Roman" w:eastAsia="Times New Roman" w:hAnsi="Times New Roman" w:cs="Times New Roman"/>
          <w:sz w:val="28"/>
          <w:szCs w:val="28"/>
        </w:rPr>
      </w:pPr>
    </w:p>
    <w:p w14:paraId="63000B19" w14:textId="77777777" w:rsidR="00C30E0C" w:rsidRDefault="00C30E0C">
      <w:pPr>
        <w:spacing w:after="240" w:line="276" w:lineRule="auto"/>
        <w:rPr>
          <w:rFonts w:ascii="Times New Roman" w:eastAsia="Times New Roman" w:hAnsi="Times New Roman" w:cs="Times New Roman"/>
          <w:sz w:val="28"/>
          <w:szCs w:val="28"/>
        </w:rPr>
      </w:pPr>
    </w:p>
    <w:p w14:paraId="13B6AC88" w14:textId="77777777" w:rsidR="00C30E0C" w:rsidRDefault="00715366">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rPr>
        <w:t>ALIRIO URIBE MUÑOZ</w:t>
      </w:r>
    </w:p>
    <w:p w14:paraId="620586D7" w14:textId="77777777" w:rsidR="00C30E0C" w:rsidRDefault="00715366">
      <w:pPr>
        <w:spacing w:line="276" w:lineRule="auto"/>
        <w:jc w:val="center"/>
        <w:rPr>
          <w:rFonts w:ascii="Times New Roman" w:eastAsia="Times New Roman" w:hAnsi="Times New Roman" w:cs="Times New Roman"/>
          <w:b/>
        </w:rPr>
      </w:pPr>
      <w:r>
        <w:rPr>
          <w:rFonts w:ascii="Times New Roman" w:eastAsia="Times New Roman" w:hAnsi="Times New Roman" w:cs="Times New Roman"/>
          <w:b/>
          <w:color w:val="000000"/>
        </w:rPr>
        <w:t>Representante a la Cámara</w:t>
      </w:r>
    </w:p>
    <w:p w14:paraId="0912D11B" w14:textId="77777777" w:rsidR="00C30E0C" w:rsidRDefault="00C30E0C">
      <w:pPr>
        <w:spacing w:line="276" w:lineRule="auto"/>
        <w:rPr>
          <w:rFonts w:ascii="Times New Roman" w:eastAsia="Times New Roman" w:hAnsi="Times New Roman" w:cs="Times New Roman"/>
          <w:b/>
        </w:rPr>
      </w:pPr>
    </w:p>
    <w:p w14:paraId="31ECBAF9" w14:textId="77777777" w:rsidR="00C30E0C" w:rsidRDefault="00C30E0C">
      <w:pPr>
        <w:spacing w:line="276" w:lineRule="auto"/>
        <w:rPr>
          <w:rFonts w:ascii="Times New Roman" w:eastAsia="Times New Roman" w:hAnsi="Times New Roman" w:cs="Times New Roman"/>
          <w:b/>
        </w:rPr>
      </w:pPr>
    </w:p>
    <w:p w14:paraId="61CDA4D7" w14:textId="77777777" w:rsidR="00C30E0C" w:rsidRDefault="00C30E0C">
      <w:pPr>
        <w:spacing w:line="276" w:lineRule="auto"/>
        <w:rPr>
          <w:rFonts w:ascii="Times New Roman" w:eastAsia="Times New Roman" w:hAnsi="Times New Roman" w:cs="Times New Roman"/>
          <w:b/>
        </w:rPr>
      </w:pPr>
    </w:p>
    <w:p w14:paraId="2939C9C3" w14:textId="77777777" w:rsidR="00C30E0C" w:rsidRDefault="00C30E0C">
      <w:pPr>
        <w:spacing w:line="276" w:lineRule="auto"/>
        <w:rPr>
          <w:rFonts w:ascii="Times New Roman" w:eastAsia="Times New Roman" w:hAnsi="Times New Roman" w:cs="Times New Roman"/>
          <w:b/>
        </w:rPr>
      </w:pPr>
    </w:p>
    <w:p w14:paraId="28FE08C5" w14:textId="77777777" w:rsidR="00C30E0C" w:rsidRDefault="00C30E0C">
      <w:pPr>
        <w:spacing w:line="276" w:lineRule="auto"/>
        <w:rPr>
          <w:rFonts w:ascii="Times New Roman" w:eastAsia="Times New Roman" w:hAnsi="Times New Roman" w:cs="Times New Roman"/>
          <w:b/>
        </w:rPr>
      </w:pPr>
    </w:p>
    <w:p w14:paraId="34A3399F" w14:textId="77777777" w:rsidR="00C30E0C" w:rsidRDefault="00715366">
      <w:pPr>
        <w:spacing w:line="276" w:lineRule="auto"/>
        <w:jc w:val="center"/>
        <w:rPr>
          <w:rFonts w:ascii="Times New Roman" w:eastAsia="Times New Roman" w:hAnsi="Times New Roman" w:cs="Times New Roman"/>
        </w:rPr>
      </w:pPr>
      <w:r>
        <w:rPr>
          <w:rFonts w:ascii="Times New Roman" w:eastAsia="Times New Roman" w:hAnsi="Times New Roman" w:cs="Times New Roman"/>
          <w:b/>
        </w:rPr>
        <w:t>PROYECTO DE LEY No __DE 2025 CÁMARA</w:t>
      </w:r>
    </w:p>
    <w:p w14:paraId="74E64A3F" w14:textId="77777777" w:rsidR="00C30E0C" w:rsidRDefault="00715366">
      <w:pPr>
        <w:spacing w:before="240" w:after="240" w:line="276" w:lineRule="auto"/>
        <w:ind w:left="-141"/>
        <w:jc w:val="center"/>
        <w:rPr>
          <w:rFonts w:ascii="Times New Roman" w:eastAsia="Times New Roman" w:hAnsi="Times New Roman" w:cs="Times New Roman"/>
          <w:b/>
        </w:rPr>
      </w:pPr>
      <w:r>
        <w:rPr>
          <w:rFonts w:ascii="Times New Roman" w:eastAsia="Times New Roman" w:hAnsi="Times New Roman" w:cs="Times New Roman"/>
          <w:b/>
        </w:rPr>
        <w:t xml:space="preserve"> “Por la cual se crea la estampilla para el fortalecimiento de la Justicia Familiar “en pro de la niñez y la adolescencia” en Colombia”</w:t>
      </w:r>
    </w:p>
    <w:p w14:paraId="41BB49A6" w14:textId="77777777" w:rsidR="00C30E0C" w:rsidRDefault="00715366">
      <w:pPr>
        <w:spacing w:before="280" w:after="280" w:line="276" w:lineRule="auto"/>
        <w:jc w:val="center"/>
        <w:rPr>
          <w:rFonts w:ascii="Times New Roman" w:eastAsia="Times New Roman" w:hAnsi="Times New Roman" w:cs="Times New Roman"/>
        </w:rPr>
      </w:pPr>
      <w:r>
        <w:rPr>
          <w:rFonts w:ascii="Times New Roman" w:eastAsia="Times New Roman" w:hAnsi="Times New Roman" w:cs="Times New Roman"/>
          <w:b/>
          <w:color w:val="000000"/>
        </w:rPr>
        <w:t>EL CONGRESO DE COLOMBIA</w:t>
      </w:r>
    </w:p>
    <w:p w14:paraId="49053B66" w14:textId="77777777" w:rsidR="00C30E0C" w:rsidRDefault="00715366">
      <w:pPr>
        <w:spacing w:line="276" w:lineRule="auto"/>
        <w:jc w:val="center"/>
        <w:rPr>
          <w:rFonts w:ascii="Times New Roman" w:eastAsia="Times New Roman" w:hAnsi="Times New Roman" w:cs="Times New Roman"/>
        </w:rPr>
      </w:pPr>
      <w:r>
        <w:rPr>
          <w:rFonts w:ascii="Times New Roman" w:eastAsia="Times New Roman" w:hAnsi="Times New Roman" w:cs="Times New Roman"/>
          <w:b/>
          <w:color w:val="000000"/>
        </w:rPr>
        <w:t>DECRETA</w:t>
      </w:r>
    </w:p>
    <w:p w14:paraId="68C48694"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566BC364"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7F33B52E"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 Objeto. </w:t>
      </w:r>
      <w:r>
        <w:rPr>
          <w:rFonts w:ascii="Times New Roman" w:eastAsia="Times New Roman" w:hAnsi="Times New Roman" w:cs="Times New Roman"/>
        </w:rPr>
        <w:t>Créase y emítase la Estampilla para el fortalecimiento de la Just</w:t>
      </w:r>
      <w:r>
        <w:rPr>
          <w:rFonts w:ascii="Times New Roman" w:eastAsia="Times New Roman" w:hAnsi="Times New Roman" w:cs="Times New Roman"/>
        </w:rPr>
        <w:t>icia Familiar “en pro de la niñez y la adolescencia” en Colombia.</w:t>
      </w:r>
    </w:p>
    <w:p w14:paraId="7DBAAE74"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7DC38502"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2°. Naturaleza jurídica.</w:t>
      </w:r>
      <w:r>
        <w:rPr>
          <w:rFonts w:ascii="Times New Roman" w:eastAsia="Times New Roman" w:hAnsi="Times New Roman" w:cs="Times New Roman"/>
        </w:rPr>
        <w:t xml:space="preserve"> La Estampilla para el fortalecimiento de la Justicia Familiar “en pro de la niñez y la adolescencia” en Colombia, es una contribución parafiscal con destin</w:t>
      </w:r>
      <w:r>
        <w:rPr>
          <w:rFonts w:ascii="Times New Roman" w:eastAsia="Times New Roman" w:hAnsi="Times New Roman" w:cs="Times New Roman"/>
        </w:rPr>
        <w:t>ación específica al fortalecimiento de la capacidad institucional del Instituto Colombiano de Bienestar Familiar en la garantía del cumplimiento eficiente, eficaz y efectivo de sus funciones orientadas a prevenir, proteger, garantizar y restablecer los der</w:t>
      </w:r>
      <w:r>
        <w:rPr>
          <w:rFonts w:ascii="Times New Roman" w:eastAsia="Times New Roman" w:hAnsi="Times New Roman" w:cs="Times New Roman"/>
        </w:rPr>
        <w:t>echos de los niños, niñas y adolescentes y sus familias en todo el territorio nacional</w:t>
      </w:r>
    </w:p>
    <w:p w14:paraId="50D29B15"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3A944A1F"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3°. Destinación de los recursos.</w:t>
      </w:r>
      <w:r>
        <w:rPr>
          <w:rFonts w:ascii="Times New Roman" w:eastAsia="Times New Roman" w:hAnsi="Times New Roman" w:cs="Times New Roman"/>
        </w:rPr>
        <w:t xml:space="preserve"> </w:t>
      </w:r>
      <w:r>
        <w:rPr>
          <w:rFonts w:ascii="Times New Roman" w:eastAsia="Times New Roman" w:hAnsi="Times New Roman" w:cs="Times New Roman"/>
        </w:rPr>
        <w:t>Los recursos que se recauden mediante la estampilla se destinarán para mejorar la infraestructura, dotación tecnológica, creación de nuevas defensorías de familia, a ampliar la cobertura en el territorio nacional y al fortalecimiento de las condiciones lab</w:t>
      </w:r>
      <w:r>
        <w:rPr>
          <w:rFonts w:ascii="Times New Roman" w:eastAsia="Times New Roman" w:hAnsi="Times New Roman" w:cs="Times New Roman"/>
        </w:rPr>
        <w:t>orales de los servidores públicos del Instituto Colombiano de Bienestar Familiar y al fortalecimiento del Sistema Nacional de Bienestar Familiar, para cuyo efecto se deberá:</w:t>
      </w:r>
    </w:p>
    <w:p w14:paraId="65EC6AC4" w14:textId="77777777" w:rsidR="00C30E0C" w:rsidRDefault="00715366">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a) Desarrollar las operaciones administrativas, financieras y contables, de acuerd</w:t>
      </w:r>
      <w:r>
        <w:rPr>
          <w:rFonts w:ascii="Times New Roman" w:eastAsia="Times New Roman" w:hAnsi="Times New Roman" w:cs="Times New Roman"/>
        </w:rPr>
        <w:t>o con las normas reguladoras de estas materias.</w:t>
      </w:r>
    </w:p>
    <w:p w14:paraId="39C8C36F" w14:textId="77777777" w:rsidR="00C30E0C" w:rsidRDefault="00715366">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b)  Velar porque ingresen efectivamente al ICBF provenientes de la presente Estampilla. </w:t>
      </w:r>
    </w:p>
    <w:p w14:paraId="65FE582E" w14:textId="77777777" w:rsidR="00C30E0C" w:rsidRDefault="00715366">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c) Elaborar la proyección anual de ingresos y gastos y los indicadores de gestión.</w:t>
      </w:r>
    </w:p>
    <w:p w14:paraId="6989DB43"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d) Rendir informes que requieran organismos de control u otras autoridades del Estado.</w:t>
      </w:r>
    </w:p>
    <w:p w14:paraId="68AD9186"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65B4A901"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5EC477B5"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Parágrafo.</w:t>
      </w:r>
      <w:r>
        <w:rPr>
          <w:rFonts w:ascii="Times New Roman" w:eastAsia="Times New Roman" w:hAnsi="Times New Roman" w:cs="Times New Roman"/>
        </w:rPr>
        <w:t xml:space="preserve"> Los recursos recaudados a través de la presente Ley, no harán parte de la</w:t>
      </w:r>
      <w:r>
        <w:rPr>
          <w:rFonts w:ascii="Times New Roman" w:eastAsia="Times New Roman" w:hAnsi="Times New Roman" w:cs="Times New Roman"/>
        </w:rPr>
        <w:t xml:space="preserve"> base presupuestal que destina el Gobierno Nacional para el Instituto Colombiano de Bienestar Familiar.</w:t>
      </w:r>
    </w:p>
    <w:p w14:paraId="32314D9F"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287B91B3"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4°. Hecho generador.</w:t>
      </w:r>
      <w:r>
        <w:rPr>
          <w:rFonts w:ascii="Times New Roman" w:eastAsia="Times New Roman" w:hAnsi="Times New Roman" w:cs="Times New Roman"/>
        </w:rPr>
        <w:t xml:space="preserve"> Está constituido por todo contrato de obra que suscriban las entidades del orden nacional, definidas por el artículo 2° d</w:t>
      </w:r>
      <w:r>
        <w:rPr>
          <w:rFonts w:ascii="Times New Roman" w:eastAsia="Times New Roman" w:hAnsi="Times New Roman" w:cs="Times New Roman"/>
        </w:rPr>
        <w:t xml:space="preserve">e la Ley </w:t>
      </w:r>
      <w:hyperlink r:id="rId8" w:anchor="0">
        <w:r>
          <w:rPr>
            <w:rFonts w:ascii="Times New Roman" w:eastAsia="Times New Roman" w:hAnsi="Times New Roman" w:cs="Times New Roman"/>
          </w:rPr>
          <w:t>80</w:t>
        </w:r>
      </w:hyperlink>
      <w:r>
        <w:rPr>
          <w:rFonts w:ascii="Times New Roman" w:eastAsia="Times New Roman" w:hAnsi="Times New Roman" w:cs="Times New Roman"/>
        </w:rPr>
        <w:t xml:space="preserve"> de 1993, en cualquier lugar del territorio en donde se ejecute la obra, sus adiciones en dinero y en cualquiera que sea la modalidad de pago del pre</w:t>
      </w:r>
      <w:r>
        <w:rPr>
          <w:rFonts w:ascii="Times New Roman" w:eastAsia="Times New Roman" w:hAnsi="Times New Roman" w:cs="Times New Roman"/>
        </w:rPr>
        <w:t>cio del contrato. En tal caso, el hecho generador se extiende a los contratos conexos al de obra, esto es: diseño, operación, mantenimiento o interventoría y demás definidos en la Ley 80 de 1993, artículo 32 numeral 2.</w:t>
      </w:r>
    </w:p>
    <w:p w14:paraId="279137B3"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0912A64C"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Quedan incluidos los cont</w:t>
      </w:r>
      <w:r>
        <w:rPr>
          <w:rFonts w:ascii="Times New Roman" w:eastAsia="Times New Roman" w:hAnsi="Times New Roman" w:cs="Times New Roman"/>
        </w:rPr>
        <w:t>ratos de obra suscritos por las empresas industriales y comerciales del Estado y de empresas de economía mixta cuya ejecución sea con recursos del Presupuesto General de la Nación</w:t>
      </w:r>
    </w:p>
    <w:p w14:paraId="2B82640A"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4444907A"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5°. Sujeto pasivo.</w:t>
      </w:r>
      <w:r>
        <w:rPr>
          <w:rFonts w:ascii="Times New Roman" w:eastAsia="Times New Roman" w:hAnsi="Times New Roman" w:cs="Times New Roman"/>
        </w:rPr>
        <w:t xml:space="preserve"> El tributo estará a cargo de la persona natural</w:t>
      </w:r>
      <w:r>
        <w:rPr>
          <w:rFonts w:ascii="Times New Roman" w:eastAsia="Times New Roman" w:hAnsi="Times New Roman" w:cs="Times New Roman"/>
        </w:rPr>
        <w:t>, jurídica, consorcio o unión temporal que funja como contratista en los negocios jurídicos a que se refiere el artículo anterior.</w:t>
      </w:r>
    </w:p>
    <w:p w14:paraId="15675EAE"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39A80231"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6°. Sujeto activo.</w:t>
      </w:r>
      <w:r>
        <w:rPr>
          <w:rFonts w:ascii="Times New Roman" w:eastAsia="Times New Roman" w:hAnsi="Times New Roman" w:cs="Times New Roman"/>
        </w:rPr>
        <w:t xml:space="preserve"> La Dirección de Impuestos y Aduanas Nacionales (DIAN) será el sujeto activo en la relación juríd</w:t>
      </w:r>
      <w:r>
        <w:rPr>
          <w:rFonts w:ascii="Times New Roman" w:eastAsia="Times New Roman" w:hAnsi="Times New Roman" w:cs="Times New Roman"/>
        </w:rPr>
        <w:t>ico-tributaria creada por esta ley.</w:t>
      </w:r>
    </w:p>
    <w:p w14:paraId="7D68E87D"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3CAC09AF"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7°. Base gravable y tarifa.</w:t>
      </w:r>
      <w:r>
        <w:rPr>
          <w:rFonts w:ascii="Times New Roman" w:eastAsia="Times New Roman" w:hAnsi="Times New Roman" w:cs="Times New Roman"/>
        </w:rPr>
        <w:t xml:space="preserve"> El sujeto pasivo definido en la presente ley pagará por las suscripciones de los contratos de obra pública y sus conexos en función de las siguientes bases y tarifas: por los contrat</w:t>
      </w:r>
      <w:r>
        <w:rPr>
          <w:rFonts w:ascii="Times New Roman" w:eastAsia="Times New Roman" w:hAnsi="Times New Roman" w:cs="Times New Roman"/>
        </w:rPr>
        <w:t xml:space="preserve">os cuyo valor esté entre 1 y 2.000 </w:t>
      </w:r>
      <w:proofErr w:type="spellStart"/>
      <w:r>
        <w:rPr>
          <w:rFonts w:ascii="Times New Roman" w:eastAsia="Times New Roman" w:hAnsi="Times New Roman" w:cs="Times New Roman"/>
        </w:rPr>
        <w:t>smmlv</w:t>
      </w:r>
      <w:proofErr w:type="spellEnd"/>
      <w:r>
        <w:rPr>
          <w:rFonts w:ascii="Times New Roman" w:eastAsia="Times New Roman" w:hAnsi="Times New Roman" w:cs="Times New Roman"/>
        </w:rPr>
        <w:t xml:space="preserve"> pagarán el 0.5%. Los contratos entre 2.001 y 6.000 </w:t>
      </w:r>
      <w:proofErr w:type="spellStart"/>
      <w:r>
        <w:rPr>
          <w:rFonts w:ascii="Times New Roman" w:eastAsia="Times New Roman" w:hAnsi="Times New Roman" w:cs="Times New Roman"/>
        </w:rPr>
        <w:t>smmlv</w:t>
      </w:r>
      <w:proofErr w:type="spellEnd"/>
      <w:r>
        <w:rPr>
          <w:rFonts w:ascii="Times New Roman" w:eastAsia="Times New Roman" w:hAnsi="Times New Roman" w:cs="Times New Roman"/>
        </w:rPr>
        <w:t xml:space="preserve"> pagarán el 1% y los contratos mayores a 6.001 </w:t>
      </w:r>
      <w:proofErr w:type="spellStart"/>
      <w:r>
        <w:rPr>
          <w:rFonts w:ascii="Times New Roman" w:eastAsia="Times New Roman" w:hAnsi="Times New Roman" w:cs="Times New Roman"/>
        </w:rPr>
        <w:t>smmlv</w:t>
      </w:r>
      <w:proofErr w:type="spellEnd"/>
      <w:r>
        <w:rPr>
          <w:rFonts w:ascii="Times New Roman" w:eastAsia="Times New Roman" w:hAnsi="Times New Roman" w:cs="Times New Roman"/>
        </w:rPr>
        <w:t xml:space="preserve"> pagarán el 2%.</w:t>
      </w:r>
    </w:p>
    <w:p w14:paraId="2EFC453C"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1EF8CD4A"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En cuanto no sea posible determinar el valor del hecho generador, definido en e</w:t>
      </w:r>
      <w:r>
        <w:rPr>
          <w:rFonts w:ascii="Times New Roman" w:eastAsia="Times New Roman" w:hAnsi="Times New Roman" w:cs="Times New Roman"/>
        </w:rPr>
        <w:t>l artículo 4° de la presente ley, al momento de su respectiva suscripción, la base gravable se determinará como el valor correspondiente al momento del pago, por el término de duración del contrato respectivo.</w:t>
      </w:r>
    </w:p>
    <w:p w14:paraId="49E85617"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713B91C2"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8°. Causación.</w:t>
      </w:r>
      <w:r>
        <w:rPr>
          <w:rFonts w:ascii="Times New Roman" w:eastAsia="Times New Roman" w:hAnsi="Times New Roman" w:cs="Times New Roman"/>
        </w:rPr>
        <w:t xml:space="preserve"> Es obligación de las </w:t>
      </w:r>
      <w:r>
        <w:rPr>
          <w:rFonts w:ascii="Times New Roman" w:eastAsia="Times New Roman" w:hAnsi="Times New Roman" w:cs="Times New Roman"/>
        </w:rPr>
        <w:t>entidades contratantes retener de manera proporcional al pago o pagos realizados al contratista, el porcentaje correspondiente a la contribución de estampilla definido por la presente de la presente ley y girar dichos recaudos a la Dirección Financiera áre</w:t>
      </w:r>
      <w:r>
        <w:rPr>
          <w:rFonts w:ascii="Times New Roman" w:eastAsia="Times New Roman" w:hAnsi="Times New Roman" w:cs="Times New Roman"/>
        </w:rPr>
        <w:t>a de Tesorería del Instituto Colombiano de Bienestar Familiar.</w:t>
      </w:r>
    </w:p>
    <w:p w14:paraId="1553C4C7"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49B0BF2A"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9°. Recaudo.</w:t>
      </w:r>
      <w:r>
        <w:rPr>
          <w:rFonts w:ascii="Times New Roman" w:eastAsia="Times New Roman" w:hAnsi="Times New Roman" w:cs="Times New Roman"/>
        </w:rPr>
        <w:t xml:space="preserve"> Créese una cuenta especial manejada por el Instituto Colombiano de Bienestar Familiar, como fondo de la entidad, bajo su personería jurídica, de carácter nacional, con estructura administrativa necesaria para su operatividad bajo el sistema financiero de </w:t>
      </w:r>
      <w:r>
        <w:rPr>
          <w:rFonts w:ascii="Times New Roman" w:eastAsia="Times New Roman" w:hAnsi="Times New Roman" w:cs="Times New Roman"/>
        </w:rPr>
        <w:t>la institución. con independencia patrimonial, administrativa, contable y estadística con fines de interés público y asistencia social para recaudar y administrar los recursos provenientes de la Estampilla para el fortalecimiento de la Justicia Familiar “e</w:t>
      </w:r>
      <w:r>
        <w:rPr>
          <w:rFonts w:ascii="Times New Roman" w:eastAsia="Times New Roman" w:hAnsi="Times New Roman" w:cs="Times New Roman"/>
        </w:rPr>
        <w:t>n pro de la niñez y la adolescencia” en Colombia.</w:t>
      </w:r>
    </w:p>
    <w:p w14:paraId="1CA282EE"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2185A1AE" w14:textId="774A747B" w:rsidR="00C30E0C" w:rsidRDefault="005E0DCF">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w:t>
      </w:r>
      <w:r w:rsidR="00715366">
        <w:rPr>
          <w:rFonts w:ascii="Times New Roman" w:eastAsia="Times New Roman" w:hAnsi="Times New Roman" w:cs="Times New Roman"/>
          <w:b/>
        </w:rPr>
        <w:t xml:space="preserve">°. Control. </w:t>
      </w:r>
      <w:r w:rsidR="00715366">
        <w:rPr>
          <w:rFonts w:ascii="Times New Roman" w:eastAsia="Times New Roman" w:hAnsi="Times New Roman" w:cs="Times New Roman"/>
        </w:rPr>
        <w:t>La Contraloría General de la República ejercerá el control fiscal correspondiente. El incumplimiento de esta obligación generará las responsabilidades disciplinarias, fiscales y pen</w:t>
      </w:r>
      <w:r w:rsidR="00715366">
        <w:rPr>
          <w:rFonts w:ascii="Times New Roman" w:eastAsia="Times New Roman" w:hAnsi="Times New Roman" w:cs="Times New Roman"/>
        </w:rPr>
        <w:t>ales correspondientes.</w:t>
      </w:r>
    </w:p>
    <w:p w14:paraId="1E98530D"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54B6CE19"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11°. Control político.</w:t>
      </w:r>
      <w:r>
        <w:rPr>
          <w:rFonts w:ascii="Times New Roman" w:eastAsia="Times New Roman" w:hAnsi="Times New Roman" w:cs="Times New Roman"/>
        </w:rPr>
        <w:t xml:space="preserve"> El Congreso de la República podrá en cualquier momento, ejercer debate de control político al Instituto Colombiano de Bienestar Familiar sobre los recursos captados por concepto de la Estampilla forma</w:t>
      </w:r>
      <w:r>
        <w:rPr>
          <w:rFonts w:ascii="Times New Roman" w:eastAsia="Times New Roman" w:hAnsi="Times New Roman" w:cs="Times New Roman"/>
        </w:rPr>
        <w:t>lizada en la presente ley.</w:t>
      </w:r>
    </w:p>
    <w:p w14:paraId="040D6DA7"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1234479C"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 xml:space="preserve">El Instituto Colombiano de Bienestar Familiar presentará informes anuales al Congreso de la República y al Ministerio de Hacienda y Crédito Público con la especificación de los recursos recibidos a través del Fondo y </w:t>
      </w:r>
      <w:r>
        <w:rPr>
          <w:rFonts w:ascii="Times New Roman" w:eastAsia="Times New Roman" w:hAnsi="Times New Roman" w:cs="Times New Roman"/>
        </w:rPr>
        <w:t>el detalle de la ejecución de los mismos.</w:t>
      </w:r>
    </w:p>
    <w:p w14:paraId="7AABD807" w14:textId="77777777" w:rsidR="00C30E0C" w:rsidRDefault="00715366">
      <w:pPr>
        <w:pBdr>
          <w:top w:val="nil"/>
          <w:left w:val="nil"/>
          <w:bottom w:val="nil"/>
          <w:right w:val="nil"/>
          <w:between w:val="nil"/>
        </w:pBd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12. Vigencia.</w:t>
      </w:r>
      <w:r>
        <w:rPr>
          <w:rFonts w:ascii="Times New Roman" w:eastAsia="Times New Roman" w:hAnsi="Times New Roman" w:cs="Times New Roman"/>
        </w:rPr>
        <w:t xml:space="preserve"> La presente ley rige a partir de la fecha de su promulgación.</w:t>
      </w:r>
    </w:p>
    <w:p w14:paraId="2D8B72C4" w14:textId="77777777" w:rsidR="00C30E0C" w:rsidRDefault="00C30E0C">
      <w:pPr>
        <w:spacing w:before="240" w:after="240" w:line="276" w:lineRule="auto"/>
        <w:jc w:val="both"/>
        <w:rPr>
          <w:rFonts w:ascii="Times New Roman" w:eastAsia="Times New Roman" w:hAnsi="Times New Roman" w:cs="Times New Roman"/>
          <w:highlight w:val="white"/>
        </w:rPr>
      </w:pPr>
    </w:p>
    <w:p w14:paraId="59BE842C" w14:textId="77777777" w:rsidR="00C30E0C" w:rsidRDefault="00715366">
      <w:pPr>
        <w:spacing w:before="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Atentamente,</w:t>
      </w:r>
    </w:p>
    <w:p w14:paraId="7CE163F2" w14:textId="77777777" w:rsidR="00C30E0C" w:rsidRDefault="00C30E0C">
      <w:pPr>
        <w:spacing w:line="276" w:lineRule="auto"/>
        <w:jc w:val="center"/>
        <w:rPr>
          <w:rFonts w:ascii="Times New Roman" w:eastAsia="Times New Roman" w:hAnsi="Times New Roman" w:cs="Times New Roman"/>
          <w:b/>
        </w:rPr>
      </w:pPr>
    </w:p>
    <w:p w14:paraId="6DC4448E" w14:textId="77777777" w:rsidR="00C30E0C" w:rsidRDefault="00C30E0C">
      <w:pPr>
        <w:spacing w:line="276" w:lineRule="auto"/>
        <w:jc w:val="center"/>
        <w:rPr>
          <w:rFonts w:ascii="Times New Roman" w:eastAsia="Times New Roman" w:hAnsi="Times New Roman" w:cs="Times New Roman"/>
          <w:b/>
        </w:rPr>
      </w:pPr>
    </w:p>
    <w:p w14:paraId="1D86EF5A" w14:textId="77777777" w:rsidR="00C30E0C" w:rsidRDefault="00C30E0C">
      <w:pPr>
        <w:spacing w:line="276" w:lineRule="auto"/>
        <w:jc w:val="center"/>
        <w:rPr>
          <w:rFonts w:ascii="Times New Roman" w:eastAsia="Times New Roman" w:hAnsi="Times New Roman" w:cs="Times New Roman"/>
          <w:b/>
        </w:rPr>
      </w:pPr>
    </w:p>
    <w:p w14:paraId="5C991B99" w14:textId="77777777" w:rsidR="00C30E0C" w:rsidRDefault="00C30E0C">
      <w:pPr>
        <w:spacing w:line="276" w:lineRule="auto"/>
        <w:jc w:val="center"/>
        <w:rPr>
          <w:rFonts w:ascii="Times New Roman" w:eastAsia="Times New Roman" w:hAnsi="Times New Roman" w:cs="Times New Roman"/>
          <w:b/>
        </w:rPr>
      </w:pPr>
    </w:p>
    <w:p w14:paraId="78C4967E" w14:textId="77777777" w:rsidR="00C30E0C" w:rsidRDefault="00C30E0C">
      <w:pPr>
        <w:spacing w:line="276" w:lineRule="auto"/>
        <w:jc w:val="center"/>
        <w:rPr>
          <w:rFonts w:ascii="Times New Roman" w:eastAsia="Times New Roman" w:hAnsi="Times New Roman" w:cs="Times New Roman"/>
          <w:b/>
        </w:rPr>
      </w:pPr>
    </w:p>
    <w:p w14:paraId="28CE5EC7" w14:textId="77777777" w:rsidR="00C30E0C" w:rsidRDefault="00C30E0C">
      <w:pPr>
        <w:spacing w:line="276" w:lineRule="auto"/>
        <w:jc w:val="center"/>
        <w:rPr>
          <w:rFonts w:ascii="Times New Roman" w:eastAsia="Times New Roman" w:hAnsi="Times New Roman" w:cs="Times New Roman"/>
          <w:b/>
        </w:rPr>
      </w:pPr>
    </w:p>
    <w:p w14:paraId="1016CDA4" w14:textId="77777777" w:rsidR="00C30E0C" w:rsidRDefault="00715366">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rPr>
        <w:t>ALIRIO URIBE MUÑOZ</w:t>
      </w:r>
    </w:p>
    <w:p w14:paraId="55DBBBC8" w14:textId="77777777" w:rsidR="00C30E0C" w:rsidRDefault="00715366">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Representante a la Cámara</w:t>
      </w:r>
    </w:p>
    <w:p w14:paraId="69BFD221" w14:textId="77777777" w:rsidR="00C30E0C" w:rsidRDefault="00C30E0C">
      <w:pPr>
        <w:spacing w:line="276" w:lineRule="auto"/>
        <w:jc w:val="center"/>
        <w:rPr>
          <w:rFonts w:ascii="Times New Roman" w:eastAsia="Times New Roman" w:hAnsi="Times New Roman" w:cs="Times New Roman"/>
          <w:b/>
        </w:rPr>
      </w:pPr>
    </w:p>
    <w:p w14:paraId="64878420" w14:textId="77777777" w:rsidR="005E0DCF" w:rsidRDefault="005E0DCF">
      <w:pPr>
        <w:spacing w:line="276" w:lineRule="auto"/>
        <w:jc w:val="center"/>
        <w:rPr>
          <w:rFonts w:ascii="Times New Roman" w:eastAsia="Times New Roman" w:hAnsi="Times New Roman" w:cs="Times New Roman"/>
          <w:b/>
          <w:color w:val="000000"/>
        </w:rPr>
      </w:pPr>
    </w:p>
    <w:p w14:paraId="07A3879A" w14:textId="77777777" w:rsidR="005E0DCF" w:rsidRDefault="005E0DCF">
      <w:pPr>
        <w:spacing w:line="276" w:lineRule="auto"/>
        <w:jc w:val="center"/>
        <w:rPr>
          <w:rFonts w:ascii="Times New Roman" w:eastAsia="Times New Roman" w:hAnsi="Times New Roman" w:cs="Times New Roman"/>
          <w:b/>
          <w:color w:val="000000"/>
        </w:rPr>
      </w:pPr>
    </w:p>
    <w:p w14:paraId="3A6B62C2" w14:textId="77777777" w:rsidR="005E0DCF" w:rsidRDefault="005E0DCF">
      <w:pPr>
        <w:spacing w:line="276" w:lineRule="auto"/>
        <w:jc w:val="center"/>
        <w:rPr>
          <w:rFonts w:ascii="Times New Roman" w:eastAsia="Times New Roman" w:hAnsi="Times New Roman" w:cs="Times New Roman"/>
          <w:b/>
          <w:color w:val="000000"/>
        </w:rPr>
      </w:pPr>
    </w:p>
    <w:p w14:paraId="7EED1A18" w14:textId="2795D725" w:rsidR="00C30E0C" w:rsidRDefault="00715366">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EXPOSICIÓN DE MOTIVOS</w:t>
      </w:r>
    </w:p>
    <w:p w14:paraId="690F1050" w14:textId="77777777" w:rsidR="00C30E0C" w:rsidRDefault="00C30E0C">
      <w:pPr>
        <w:spacing w:line="276" w:lineRule="auto"/>
        <w:jc w:val="center"/>
        <w:rPr>
          <w:rFonts w:ascii="Times New Roman" w:eastAsia="Times New Roman" w:hAnsi="Times New Roman" w:cs="Times New Roman"/>
        </w:rPr>
      </w:pPr>
    </w:p>
    <w:p w14:paraId="01F1C82C"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OBJETO PROYECTO DE LEY</w:t>
      </w:r>
    </w:p>
    <w:p w14:paraId="3399042C"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1041CAB4"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El proyecto de ley busca crear y emitir la Estampilla para el Fortalecimiento de la Justicia Familiar “en pro de la niñez y la adolescencia” en Colombia, como un mecanismo para fortalecer la Justicia Familiar y garantizar en una mej</w:t>
      </w:r>
      <w:r>
        <w:rPr>
          <w:rFonts w:ascii="Times New Roman" w:eastAsia="Times New Roman" w:hAnsi="Times New Roman" w:cs="Times New Roman"/>
        </w:rPr>
        <w:t xml:space="preserve">or forma la protección de los derechos de las niñas, niños y adolescentes. </w:t>
      </w:r>
    </w:p>
    <w:p w14:paraId="470A2725"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6B8C826B"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CONTENIDO DEL PROYECTO DE LEY</w:t>
      </w:r>
    </w:p>
    <w:p w14:paraId="087423C2"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6A8C77B4"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El proyecto de Ley tiene 12 artículos distribuidos de la siguiente manera:</w:t>
      </w:r>
    </w:p>
    <w:p w14:paraId="29D9375E" w14:textId="77777777" w:rsidR="00C30E0C" w:rsidRDefault="00C30E0C">
      <w:pPr>
        <w:spacing w:line="276" w:lineRule="auto"/>
        <w:jc w:val="both"/>
        <w:rPr>
          <w:rFonts w:ascii="Times New Roman" w:eastAsia="Times New Roman" w:hAnsi="Times New Roman" w:cs="Times New Roman"/>
        </w:rPr>
      </w:pPr>
    </w:p>
    <w:p w14:paraId="0D2DD81C"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1 Objeto.</w:t>
      </w:r>
    </w:p>
    <w:p w14:paraId="32C85E2C"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2 Naturaleza jurídica de la estampilla.</w:t>
      </w:r>
    </w:p>
    <w:p w14:paraId="4BD19A12"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Artículo 3 Destinación de los recursos. </w:t>
      </w:r>
    </w:p>
    <w:p w14:paraId="43108772"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Artículo 4 Hecho generador. </w:t>
      </w:r>
    </w:p>
    <w:p w14:paraId="6C28F142"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5 Sujeto Pasivo.</w:t>
      </w:r>
    </w:p>
    <w:p w14:paraId="79BC70CD"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6 Sujeto activo.</w:t>
      </w:r>
    </w:p>
    <w:p w14:paraId="4D40642E"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7 Base gravable y tarifa.</w:t>
      </w:r>
    </w:p>
    <w:p w14:paraId="3A500E5B"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8 Causación.</w:t>
      </w:r>
    </w:p>
    <w:p w14:paraId="2C438423"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9 Recaudo.</w:t>
      </w:r>
    </w:p>
    <w:p w14:paraId="35310CB4"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10 Control Fiscal.</w:t>
      </w:r>
    </w:p>
    <w:p w14:paraId="35C13500"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11 Control Político.</w:t>
      </w:r>
    </w:p>
    <w:p w14:paraId="501B1226" w14:textId="77777777" w:rsidR="00C30E0C" w:rsidRDefault="00715366">
      <w:pPr>
        <w:numPr>
          <w:ilvl w:val="0"/>
          <w:numId w:val="10"/>
        </w:numPr>
        <w:spacing w:line="276" w:lineRule="auto"/>
        <w:jc w:val="both"/>
        <w:rPr>
          <w:rFonts w:ascii="Times New Roman" w:eastAsia="Times New Roman" w:hAnsi="Times New Roman" w:cs="Times New Roman"/>
        </w:rPr>
      </w:pPr>
      <w:r>
        <w:rPr>
          <w:rFonts w:ascii="Times New Roman" w:eastAsia="Times New Roman" w:hAnsi="Times New Roman" w:cs="Times New Roman"/>
        </w:rPr>
        <w:t>Artículo 12 Vigencia.</w:t>
      </w:r>
    </w:p>
    <w:p w14:paraId="39940AC8"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b/>
        </w:rPr>
      </w:pPr>
    </w:p>
    <w:p w14:paraId="7F6E5F5D"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DEL PROYECTO DE LEY</w:t>
      </w:r>
    </w:p>
    <w:p w14:paraId="484D6247"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5BC0226C"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Esta iniciativa resulta completamente necesaria para el funcionamiento de la justicia familiar en el país. En ese sentid</w:t>
      </w:r>
      <w:r>
        <w:rPr>
          <w:rFonts w:ascii="Times New Roman" w:eastAsia="Times New Roman" w:hAnsi="Times New Roman" w:cs="Times New Roman"/>
        </w:rPr>
        <w:t>o, se tiene que partir de una premisa: Una justicia familiar más fuerte ayuda a garantizar de una mejor manera los derechos de las niñas, niños y adolescentes. Sin embargo, se tiene que explicar también una triste realidad: La sobrecarga de trabajo, el poc</w:t>
      </w:r>
      <w:r>
        <w:rPr>
          <w:rFonts w:ascii="Times New Roman" w:eastAsia="Times New Roman" w:hAnsi="Times New Roman" w:cs="Times New Roman"/>
        </w:rPr>
        <w:t xml:space="preserve">o presupuesto y la falta de personal son factores que influencian negativamente en la protección a estos sujetos de especial protección constitucional. </w:t>
      </w:r>
    </w:p>
    <w:p w14:paraId="74F560E6"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04934554"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En ese sentido, en aras de justificar la iniciativa, en primer lugar se explicará el contexto por medio del cual se permite ver hasta donde las institucionalidad creada para garantizar la </w:t>
      </w:r>
      <w:r>
        <w:rPr>
          <w:rFonts w:ascii="Times New Roman" w:eastAsia="Times New Roman" w:hAnsi="Times New Roman" w:cs="Times New Roman"/>
        </w:rPr>
        <w:lastRenderedPageBreak/>
        <w:t>justicia familiar sufren unas condiciones extremas de trabajo que re</w:t>
      </w:r>
      <w:r>
        <w:rPr>
          <w:rFonts w:ascii="Times New Roman" w:eastAsia="Times New Roman" w:hAnsi="Times New Roman" w:cs="Times New Roman"/>
        </w:rPr>
        <w:t xml:space="preserve">percute en la calidad de sus actuaciones; en segundo lugar se abordará la jurisprudencia nacional así como la normativa nacional creada para proteger a los niños, niñas y adolescentes; y finalmente, en tercer lugar se hablará acerca de la propuesta y cómo </w:t>
      </w:r>
      <w:r>
        <w:rPr>
          <w:rFonts w:ascii="Times New Roman" w:eastAsia="Times New Roman" w:hAnsi="Times New Roman" w:cs="Times New Roman"/>
        </w:rPr>
        <w:t xml:space="preserve">puede ayudar a la niñez del país. </w:t>
      </w:r>
    </w:p>
    <w:p w14:paraId="20D75F0A"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0165CCF7" w14:textId="77777777" w:rsidR="00C30E0C" w:rsidRDefault="00715366">
      <w:pPr>
        <w:numPr>
          <w:ilvl w:val="0"/>
          <w:numId w:val="3"/>
        </w:numPr>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CONDICIONES DE TRABAJO DE LA JUSTICIA FAMILIAR</w:t>
      </w:r>
    </w:p>
    <w:p w14:paraId="3974DA66"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52EB5D83"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El Sistema Nacional de Justicia Familiar es un mecanismo para garantizar los derechos de las familias con una especial atención a niñas, niños, adolescentes, personas con d</w:t>
      </w:r>
      <w:r>
        <w:rPr>
          <w:rFonts w:ascii="Times New Roman" w:eastAsia="Times New Roman" w:hAnsi="Times New Roman" w:cs="Times New Roman"/>
        </w:rPr>
        <w:t xml:space="preserve">iscapacidad y adultos mayores. Entre sus objetivos está la protección integral de derechos en el ámbito familiar mediante políticas públicas, programas y medidas articuladas, priorizando la atención a los grupos más vulnerables. </w:t>
      </w:r>
    </w:p>
    <w:p w14:paraId="2A6F4375"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097BA351"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 creación de este sistema nacional por medio del artículo 203 del Plan Nacional de Desarrollo y su reglamentación por medio del Decreto 1574 de 2024, tiene como eje importante el fortalecimiento de las defensorías de familia, las comisarías de familia y </w:t>
      </w:r>
      <w:r>
        <w:rPr>
          <w:rFonts w:ascii="Times New Roman" w:eastAsia="Times New Roman" w:hAnsi="Times New Roman" w:cs="Times New Roman"/>
        </w:rPr>
        <w:t>las demás autoridades administrativas. En ese sentido, hay que distinguir que, mientras las comisarías de familia dependen de las distintas entidades territoriales, las defensorías de familia son autoridades que pertenecen al ICBF. Son otras autoridades de</w:t>
      </w:r>
      <w:r>
        <w:rPr>
          <w:rFonts w:ascii="Times New Roman" w:eastAsia="Times New Roman" w:hAnsi="Times New Roman" w:cs="Times New Roman"/>
        </w:rPr>
        <w:t>l Sistema Nacional de Justicia Familiar los inspectores de policía, las autoridades tradicionales indígenas y los jueces de la república en el marco de sus competencias.</w:t>
      </w:r>
    </w:p>
    <w:p w14:paraId="67351CA9"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7B996F1C"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Sobre este último punto hay que tener en cuenta que la Ley 2126 de 2021 le dio herram</w:t>
      </w:r>
      <w:r>
        <w:rPr>
          <w:rFonts w:ascii="Times New Roman" w:eastAsia="Times New Roman" w:hAnsi="Times New Roman" w:cs="Times New Roman"/>
        </w:rPr>
        <w:t>ientas a las Comisarías de Familia para gestionar su diseño institucional y para facilitar y ampliar el acceso a la justicia de quienes acuden a ella. Las defensorías de familia, por su parte, no se vieron fortalecidas de manera alguna. De hecho, por la ex</w:t>
      </w:r>
      <w:r>
        <w:rPr>
          <w:rFonts w:ascii="Times New Roman" w:eastAsia="Times New Roman" w:hAnsi="Times New Roman" w:cs="Times New Roman"/>
        </w:rPr>
        <w:t xml:space="preserve">pedición de la ley anteriormente mencionada, los y las defensores de familia quedaron expuestos a una mayor demanda de servicios y a una mayor carga de trabajo que afecta sus condiciones laborales. </w:t>
      </w:r>
    </w:p>
    <w:p w14:paraId="48487EB5"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2031B135"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Para el año 2023 existían 1417 defensores de familia que</w:t>
      </w:r>
      <w:r>
        <w:rPr>
          <w:rFonts w:ascii="Times New Roman" w:eastAsia="Times New Roman" w:hAnsi="Times New Roman" w:cs="Times New Roman"/>
        </w:rPr>
        <w:t xml:space="preserve"> conformaban 1281 defensorías de familia. En este año se dio un aumento de planta de sólo 113 nuevas defensorías. Entre 2019 y 2023 se han atendido 219750 niños y adolescentes, y también se han dado alrededor de 181446 trámites de atención extraprocesal pa</w:t>
      </w:r>
      <w:r>
        <w:rPr>
          <w:rFonts w:ascii="Times New Roman" w:eastAsia="Times New Roman" w:hAnsi="Times New Roman" w:cs="Times New Roman"/>
        </w:rPr>
        <w:t xml:space="preserve">ra la garantía y restablecimiento de las niñas, niños y adolescentes. Finalmente han actuado como garantes de las y los adolescentes involucrados en procesos penales en 25646 ocasiones.   </w:t>
      </w:r>
    </w:p>
    <w:p w14:paraId="2D6814B9"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0CEFC837"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Al respecto hay que tener en cuenta que la Procuraduría General de la Nación hizo el informe “Vigilancia superior a las defensorías de familia y a la garantía y restablecimiento efectivo de los derechos de los niños, niñas y adolescentes que se encuentran </w:t>
      </w:r>
      <w:r>
        <w:rPr>
          <w:rFonts w:ascii="Times New Roman" w:eastAsia="Times New Roman" w:hAnsi="Times New Roman" w:cs="Times New Roman"/>
        </w:rPr>
        <w:t>bajo el sistema de protección del Estado”, en donde hizo unos hallazgos preocupantes respecto del trabajo de las y los defensores de familia. Entre los hallazgos de la Procuraduría se encuentran:</w:t>
      </w:r>
    </w:p>
    <w:p w14:paraId="65E092A3"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73665AF1" w14:textId="77777777" w:rsidR="00C30E0C" w:rsidRDefault="00715366">
      <w:pPr>
        <w:numPr>
          <w:ilvl w:val="0"/>
          <w:numId w:val="2"/>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Sobrecarga laboral. </w:t>
      </w:r>
    </w:p>
    <w:p w14:paraId="38BBC6B0" w14:textId="77777777" w:rsidR="00C30E0C" w:rsidRDefault="00715366">
      <w:pPr>
        <w:numPr>
          <w:ilvl w:val="0"/>
          <w:numId w:val="2"/>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Alto índice diario de denuncias y soli</w:t>
      </w:r>
      <w:r>
        <w:rPr>
          <w:rFonts w:ascii="Times New Roman" w:eastAsia="Times New Roman" w:hAnsi="Times New Roman" w:cs="Times New Roman"/>
        </w:rPr>
        <w:t xml:space="preserve">citudes de restablecimiento para verificar. </w:t>
      </w:r>
    </w:p>
    <w:p w14:paraId="16C22096" w14:textId="77777777" w:rsidR="00C30E0C" w:rsidRDefault="00715366">
      <w:pPr>
        <w:numPr>
          <w:ilvl w:val="0"/>
          <w:numId w:val="2"/>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Gran volumen de Procedimientos Administrativos de Restablecimiento de Derechos. </w:t>
      </w:r>
    </w:p>
    <w:p w14:paraId="3068DB62" w14:textId="77777777" w:rsidR="00C30E0C" w:rsidRDefault="00715366">
      <w:pPr>
        <w:numPr>
          <w:ilvl w:val="0"/>
          <w:numId w:val="2"/>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Equipos interdisciplinarios incompletos. </w:t>
      </w:r>
    </w:p>
    <w:p w14:paraId="41B4FD9E" w14:textId="77777777" w:rsidR="00C30E0C" w:rsidRDefault="00715366">
      <w:pPr>
        <w:numPr>
          <w:ilvl w:val="0"/>
          <w:numId w:val="2"/>
        </w:num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Altos niveles de riesgo por condiciones intralaborales y extralaborales. </w:t>
      </w:r>
    </w:p>
    <w:p w14:paraId="57726705"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5AE715BD"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Dice la Procu</w:t>
      </w:r>
      <w:r>
        <w:rPr>
          <w:rFonts w:ascii="Times New Roman" w:eastAsia="Times New Roman" w:hAnsi="Times New Roman" w:cs="Times New Roman"/>
        </w:rPr>
        <w:t>raduría que, en ese sentido, se dificulta que todas las Defensorías presten un adecuado servicio. Dice la Procuraduría:</w:t>
      </w:r>
    </w:p>
    <w:p w14:paraId="6E39D537"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3BB58BDA" w14:textId="77777777" w:rsidR="00C30E0C" w:rsidRDefault="0071536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El 20% de los defensores de familia señala que la infraestructura y dotación no son componentes habilitadores para potenciar la labor q</w:t>
      </w:r>
      <w:r>
        <w:rPr>
          <w:rFonts w:ascii="Times New Roman" w:eastAsia="Times New Roman" w:hAnsi="Times New Roman" w:cs="Times New Roman"/>
        </w:rPr>
        <w:t xml:space="preserve">ue realizan, lo cual es un gran obstáculo para que las De </w:t>
      </w:r>
      <w:proofErr w:type="spellStart"/>
      <w:r>
        <w:rPr>
          <w:rFonts w:ascii="Times New Roman" w:eastAsia="Times New Roman" w:hAnsi="Times New Roman" w:cs="Times New Roman"/>
        </w:rPr>
        <w:t>fensorías</w:t>
      </w:r>
      <w:proofErr w:type="spellEnd"/>
      <w:r>
        <w:rPr>
          <w:rFonts w:ascii="Times New Roman" w:eastAsia="Times New Roman" w:hAnsi="Times New Roman" w:cs="Times New Roman"/>
        </w:rPr>
        <w:t xml:space="preserve"> de Familia cumplan a cabalidad su misionalidad y brinden un eficiente servicio y el rápido restablecimiento de los derechos de los NNA en Colombia.</w:t>
      </w:r>
    </w:p>
    <w:p w14:paraId="3EC30130" w14:textId="77777777" w:rsidR="00C30E0C" w:rsidRDefault="00C30E0C">
      <w:pPr>
        <w:spacing w:line="276" w:lineRule="auto"/>
        <w:ind w:left="720"/>
        <w:jc w:val="both"/>
        <w:rPr>
          <w:rFonts w:ascii="Times New Roman" w:eastAsia="Times New Roman" w:hAnsi="Times New Roman" w:cs="Times New Roman"/>
        </w:rPr>
      </w:pPr>
    </w:p>
    <w:p w14:paraId="5A1163DB" w14:textId="77777777" w:rsidR="00C30E0C" w:rsidRDefault="0071536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Esta Vigilancia resalta los procesos de</w:t>
      </w:r>
      <w:r>
        <w:rPr>
          <w:rFonts w:ascii="Times New Roman" w:eastAsia="Times New Roman" w:hAnsi="Times New Roman" w:cs="Times New Roman"/>
        </w:rPr>
        <w:t xml:space="preserve"> capacitación del Instituto; sin embargo, evidencia que existen algunas falencias relacionadas con los siguientes temas: (i) desconocimiento de algunos funcionarios sobre el lineamiento técnico, y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variedad de la forma de realizar los registros de los </w:t>
      </w:r>
      <w:r>
        <w:rPr>
          <w:rFonts w:ascii="Times New Roman" w:eastAsia="Times New Roman" w:hAnsi="Times New Roman" w:cs="Times New Roman"/>
        </w:rPr>
        <w:t>casos que atiende cada defensor de familia, lo cual puede generar duplicidad y reprocesos en la información</w:t>
      </w:r>
      <w:r>
        <w:rPr>
          <w:rFonts w:ascii="Times New Roman" w:eastAsia="Times New Roman" w:hAnsi="Times New Roman" w:cs="Times New Roman"/>
          <w:vertAlign w:val="superscript"/>
        </w:rPr>
        <w:footnoteReference w:id="1"/>
      </w:r>
    </w:p>
    <w:p w14:paraId="6830A518"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figura del defensor de familia en Colombia ha experimentado un desarrollo normativo constante a lo largo de más de siete décadas, desde 1946 hasta 2025. Su origen se encuentra en la Ley 84 de 1946, conocida como </w:t>
      </w:r>
      <w:r>
        <w:rPr>
          <w:rFonts w:ascii="Times New Roman" w:eastAsia="Times New Roman" w:hAnsi="Times New Roman" w:cs="Times New Roman"/>
          <w:i/>
        </w:rPr>
        <w:t>Ley Orgánica de la Defensa del Niño</w:t>
      </w:r>
      <w:r>
        <w:rPr>
          <w:rFonts w:ascii="Times New Roman" w:eastAsia="Times New Roman" w:hAnsi="Times New Roman" w:cs="Times New Roman"/>
        </w:rPr>
        <w:t>, dond</w:t>
      </w:r>
      <w:r>
        <w:rPr>
          <w:rFonts w:ascii="Times New Roman" w:eastAsia="Times New Roman" w:hAnsi="Times New Roman" w:cs="Times New Roman"/>
        </w:rPr>
        <w:t xml:space="preserve">e por primera vez se introdujo esta función bajo la denominación de </w:t>
      </w:r>
      <w:r>
        <w:rPr>
          <w:rFonts w:ascii="Times New Roman" w:eastAsia="Times New Roman" w:hAnsi="Times New Roman" w:cs="Times New Roman"/>
          <w:i/>
        </w:rPr>
        <w:t>Promotor Curador de Menores</w:t>
      </w:r>
      <w:r>
        <w:rPr>
          <w:rFonts w:ascii="Times New Roman" w:eastAsia="Times New Roman" w:hAnsi="Times New Roman" w:cs="Times New Roman"/>
        </w:rPr>
        <w:t>. Este tenía la tarea de actuar ante los Juzgados de Menores para salvaguardar los intereses de los niños y proponer las medidas necesarias para su protección. D</w:t>
      </w:r>
      <w:r>
        <w:rPr>
          <w:rFonts w:ascii="Times New Roman" w:eastAsia="Times New Roman" w:hAnsi="Times New Roman" w:cs="Times New Roman"/>
        </w:rPr>
        <w:t xml:space="preserve">esde entonces, el Estado asumió de manera formal la responsabilidad de garantizar la defensa y el bienestar </w:t>
      </w:r>
      <w:r>
        <w:rPr>
          <w:rFonts w:ascii="Times New Roman" w:eastAsia="Times New Roman" w:hAnsi="Times New Roman" w:cs="Times New Roman"/>
        </w:rPr>
        <w:lastRenderedPageBreak/>
        <w:t>de niños, niñas y adolescentes (NNA), tarea que con el tiempo se ha transformado conforme a los avances internacionales, especialmente a partir de l</w:t>
      </w:r>
      <w:r>
        <w:rPr>
          <w:rFonts w:ascii="Times New Roman" w:eastAsia="Times New Roman" w:hAnsi="Times New Roman" w:cs="Times New Roman"/>
        </w:rPr>
        <w:t xml:space="preserve">a adopción de la Convención sobre los Derechos del Niño. Años después, el Decreto 1818 de 1964 introdujo al </w:t>
      </w:r>
      <w:r>
        <w:rPr>
          <w:rFonts w:ascii="Times New Roman" w:eastAsia="Times New Roman" w:hAnsi="Times New Roman" w:cs="Times New Roman"/>
          <w:i/>
        </w:rPr>
        <w:t>Asistente legal</w:t>
      </w:r>
      <w:r>
        <w:rPr>
          <w:rFonts w:ascii="Times New Roman" w:eastAsia="Times New Roman" w:hAnsi="Times New Roman" w:cs="Times New Roman"/>
        </w:rPr>
        <w:t>, nuevo nombre para esta figura, aunque en la práctica las competencias que contenía la Ley 84 del 46 no variaron de manera significa</w:t>
      </w:r>
      <w:r>
        <w:rPr>
          <w:rFonts w:ascii="Times New Roman" w:eastAsia="Times New Roman" w:hAnsi="Times New Roman" w:cs="Times New Roman"/>
        </w:rPr>
        <w:t>tiva</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w:t>
      </w:r>
    </w:p>
    <w:p w14:paraId="2D3A7013"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vulnerabilidad de la niñez llevó al Estado a reforzar los mecanismos de protección, incorporando también a la familia como eje central. Con la Ley 75 de 1968, llamada </w:t>
      </w:r>
      <w:r>
        <w:rPr>
          <w:rFonts w:ascii="Times New Roman" w:eastAsia="Times New Roman" w:hAnsi="Times New Roman" w:cs="Times New Roman"/>
          <w:i/>
        </w:rPr>
        <w:t>Ley Cecilia</w:t>
      </w:r>
      <w:r>
        <w:rPr>
          <w:rFonts w:ascii="Times New Roman" w:eastAsia="Times New Roman" w:hAnsi="Times New Roman" w:cs="Times New Roman"/>
        </w:rPr>
        <w:t xml:space="preserve">, la institución se robusteció y adoptó la denominación de </w:t>
      </w:r>
      <w:r>
        <w:rPr>
          <w:rFonts w:ascii="Times New Roman" w:eastAsia="Times New Roman" w:hAnsi="Times New Roman" w:cs="Times New Roman"/>
          <w:i/>
        </w:rPr>
        <w:t>defensor</w:t>
      </w:r>
      <w:r>
        <w:rPr>
          <w:rFonts w:ascii="Times New Roman" w:eastAsia="Times New Roman" w:hAnsi="Times New Roman" w:cs="Times New Roman"/>
          <w:i/>
        </w:rPr>
        <w:t xml:space="preserve"> de menores</w:t>
      </w:r>
      <w:r>
        <w:rPr>
          <w:rFonts w:ascii="Times New Roman" w:eastAsia="Times New Roman" w:hAnsi="Times New Roman" w:cs="Times New Roman"/>
        </w:rPr>
        <w:t>, con mayor independencia y con facultades judiciales y administrativas ampliadas. Además, esta reforma estuvo acompañada de la creación del Instituto Colombiano de Bienestar Familiar (ICBF), entidad adscrita inicialmente al Ministerio de Salud.</w:t>
      </w:r>
      <w:r>
        <w:rPr>
          <w:rFonts w:ascii="Times New Roman" w:eastAsia="Times New Roman" w:hAnsi="Times New Roman" w:cs="Times New Roman"/>
        </w:rPr>
        <w:t xml:space="preserve"> Posteriormente, la Ley 7 de 1979 marcó un nuevo hito al declarar el bienestar familiar como un servicio público liderado por el Estado, aunque abierto a la participación privada. Esta norma estableció el Sistema Nacional de Bienestar Familiar y vinculó di</w:t>
      </w:r>
      <w:r>
        <w:rPr>
          <w:rFonts w:ascii="Times New Roman" w:eastAsia="Times New Roman" w:hAnsi="Times New Roman" w:cs="Times New Roman"/>
        </w:rPr>
        <w:t>rectamente al defensor de menores como funcionario del ICBF</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w:t>
      </w:r>
    </w:p>
    <w:p w14:paraId="35EA4106"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El Decreto 2272 de 1989 dispuso que el defensor de familia reemplaza las labores del defensor de menores, ampliando su intervención a los procesos familiares tanto judiciales como extrajudicia</w:t>
      </w:r>
      <w:r>
        <w:rPr>
          <w:rFonts w:ascii="Times New Roman" w:eastAsia="Times New Roman" w:hAnsi="Times New Roman" w:cs="Times New Roman"/>
        </w:rPr>
        <w:t>les. Ese mismo año, el Código del Menor (Decreto 2737) consolidó los procedimientos y autoridades responsables de la protección de los NNA. Con la Constitución de 1991, la protección de la infancia adquirió rango superior: se estableció el principio de pre</w:t>
      </w:r>
      <w:r>
        <w:rPr>
          <w:rFonts w:ascii="Times New Roman" w:eastAsia="Times New Roman" w:hAnsi="Times New Roman" w:cs="Times New Roman"/>
        </w:rPr>
        <w:t>valencia de los derechos de los NNA y, con la ratificación de la Convención sobre los Derechos del Niño (Ley 12 de 1991), se dio un cambio de paradigma al reconocerlos como sujetos de derechos y no únicamente como receptores de medidas de protección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p w14:paraId="76CD5EE4"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rPr>
        <w:t xml:space="preserve">fortalecimiento de competencias continuó con la expedición de la Ley 23 de 1991 que buscó descongestionar la justicia otorgando nuevas atribuciones a los defensores de familia, y normas posteriores como las Leyes 294 de 1996, 446 de 1998, 575 de 2000, 640 </w:t>
      </w:r>
      <w:r>
        <w:rPr>
          <w:rFonts w:ascii="Times New Roman" w:eastAsia="Times New Roman" w:hAnsi="Times New Roman" w:cs="Times New Roman"/>
        </w:rPr>
        <w:t>de 2001, 962 de 2005 y el Decreto 1818 de 1998 continuaron ampliando sus funciones. Sin embargo, este crecimiento normativo también trajo consigo una carga excesiva de responsabilidades</w:t>
      </w:r>
      <w:r>
        <w:rPr>
          <w:rFonts w:ascii="Times New Roman" w:eastAsia="Times New Roman" w:hAnsi="Times New Roman" w:cs="Times New Roman"/>
          <w:vertAlign w:val="superscript"/>
        </w:rPr>
        <w:footnoteReference w:id="5"/>
      </w:r>
    </w:p>
    <w:p w14:paraId="3FBE3741"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Finalmente, el 13 de agosto de 2025, el Ministerio de Igualdad y Equ</w:t>
      </w:r>
      <w:r>
        <w:rPr>
          <w:rFonts w:ascii="Times New Roman" w:eastAsia="Times New Roman" w:hAnsi="Times New Roman" w:cs="Times New Roman"/>
        </w:rPr>
        <w:t>idad expidió el Decreto 0915 de 2025, mediante el cual se modificó la planta de personal del Instituto Colombiano de Bienestar Familiar con el fin de ampliarla y responder a las necesidades de la entidad. Sin embargo, aunque esta medida representa un esfue</w:t>
      </w:r>
      <w:r>
        <w:rPr>
          <w:rFonts w:ascii="Times New Roman" w:eastAsia="Times New Roman" w:hAnsi="Times New Roman" w:cs="Times New Roman"/>
        </w:rPr>
        <w:t>rzo del Gobierno Nacional, resulta insuficiente, pues solo se crearon 113 nuevos cargos de defensores de familia, número que no alcanza a cubrir la alta carga laboral de la institución.</w:t>
      </w:r>
    </w:p>
    <w:p w14:paraId="7F5A9E23"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Bajo este entendido es clave entender la importancia de la figura del </w:t>
      </w:r>
      <w:r>
        <w:rPr>
          <w:rFonts w:ascii="Times New Roman" w:eastAsia="Times New Roman" w:hAnsi="Times New Roman" w:cs="Times New Roman"/>
        </w:rPr>
        <w:t xml:space="preserve">defensor de familia, su rol dentro del Sistema de Justicia Familiar, y por qué sus condiciones deben ser mejoradas, por lo que la estampilla constituye un mecanismo idóneo para tal consecución. </w:t>
      </w:r>
    </w:p>
    <w:p w14:paraId="5271A9A3"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6D85B50B" w14:textId="77777777" w:rsidR="00C30E0C" w:rsidRDefault="00715366">
      <w:pPr>
        <w:numPr>
          <w:ilvl w:val="0"/>
          <w:numId w:val="3"/>
        </w:numPr>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MARCO CONSTITUCIONAL Y NORMATIVO</w:t>
      </w:r>
    </w:p>
    <w:p w14:paraId="3D7F573D"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Marco Constitucional</w:t>
      </w:r>
    </w:p>
    <w:p w14:paraId="59429CE5" w14:textId="77777777" w:rsidR="00C30E0C" w:rsidRDefault="00715366">
      <w:pPr>
        <w:numPr>
          <w:ilvl w:val="0"/>
          <w:numId w:val="6"/>
        </w:numPr>
        <w:spacing w:before="240" w:line="276" w:lineRule="auto"/>
        <w:jc w:val="both"/>
        <w:rPr>
          <w:rFonts w:ascii="Times New Roman" w:eastAsia="Times New Roman" w:hAnsi="Times New Roman" w:cs="Times New Roman"/>
        </w:rPr>
      </w:pPr>
      <w:r>
        <w:rPr>
          <w:rFonts w:ascii="Times New Roman" w:eastAsia="Times New Roman" w:hAnsi="Times New Roman" w:cs="Times New Roman"/>
          <w:b/>
        </w:rPr>
        <w:t>Artícu</w:t>
      </w:r>
      <w:r>
        <w:rPr>
          <w:rFonts w:ascii="Times New Roman" w:eastAsia="Times New Roman" w:hAnsi="Times New Roman" w:cs="Times New Roman"/>
          <w:b/>
        </w:rPr>
        <w:t xml:space="preserve">lo 1. </w:t>
      </w:r>
      <w:r>
        <w:rPr>
          <w:rFonts w:ascii="Times New Roman" w:eastAsia="Times New Roman" w:hAnsi="Times New Roman" w:cs="Times New Roman"/>
        </w:rPr>
        <w:t>Colombia es un Estado social de derecho, organizado en forma de República unitaria, descentralizada, con autonomía de sus entidades territoriales, democrática, participativa y pluralista, fundada en el respeto de la dignidad humana, en el trabajo y l</w:t>
      </w:r>
      <w:r>
        <w:rPr>
          <w:rFonts w:ascii="Times New Roman" w:eastAsia="Times New Roman" w:hAnsi="Times New Roman" w:cs="Times New Roman"/>
        </w:rPr>
        <w:t xml:space="preserve">a solidaridad de las personas que la integran y en la prevalencia del interés general. </w:t>
      </w:r>
      <w:r>
        <w:rPr>
          <w:rFonts w:ascii="Times New Roman" w:eastAsia="Times New Roman" w:hAnsi="Times New Roman" w:cs="Times New Roman"/>
        </w:rPr>
        <w:br/>
      </w:r>
    </w:p>
    <w:p w14:paraId="6B89DFF2" w14:textId="77777777" w:rsidR="00C30E0C" w:rsidRDefault="00715366">
      <w:pPr>
        <w:numPr>
          <w:ilvl w:val="0"/>
          <w:numId w:val="6"/>
        </w:num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 xml:space="preserve">Son fines esenciales del Estado: servir a la comunidad, promover la prosperidad general y garantizar la efectividad de los principios, derechos y deberes consagrados en la Constitución; facilitar la participación de todos en las decisiones que los afectan </w:t>
      </w:r>
      <w:r>
        <w:rPr>
          <w:rFonts w:ascii="Times New Roman" w:eastAsia="Times New Roman" w:hAnsi="Times New Roman" w:cs="Times New Roman"/>
        </w:rPr>
        <w:t xml:space="preserve">y en la vida económica, política, administrativa y cultural de la Nación; defender la independencia nacional, mantener la integridad territorial y asegurar la convivencia pacífica y la vigencia de un orden justo. </w:t>
      </w:r>
    </w:p>
    <w:p w14:paraId="23613031"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Las autoridades de la República están inst</w:t>
      </w:r>
      <w:r>
        <w:rPr>
          <w:rFonts w:ascii="Times New Roman" w:eastAsia="Times New Roman" w:hAnsi="Times New Roman" w:cs="Times New Roman"/>
        </w:rPr>
        <w:t>ituidas para proteger a todas las personas residentes en Colombia, en su vida, honra, bienes, creencias, y demás derechos y libertades, y para asegurar el cumplimiento de los deberes sociales del Estado y de los particulares.</w:t>
      </w:r>
    </w:p>
    <w:p w14:paraId="62828338" w14:textId="77777777" w:rsidR="00C30E0C" w:rsidRDefault="00715366">
      <w:pPr>
        <w:numPr>
          <w:ilvl w:val="0"/>
          <w:numId w:val="12"/>
        </w:num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44.</w:t>
      </w:r>
      <w:r>
        <w:rPr>
          <w:rFonts w:ascii="Times New Roman" w:eastAsia="Times New Roman" w:hAnsi="Times New Roman" w:cs="Times New Roman"/>
        </w:rPr>
        <w:t xml:space="preserve"> Son derechos fundamentales de los niños: la vida, la integridad física, la salud y la seguridad social, la alimentación equilibrada, su nombre y nacionalidad, tener una familia y no ser separados de ella, el cuidado y amor, la educación y la cultura, la r</w:t>
      </w:r>
      <w:r>
        <w:rPr>
          <w:rFonts w:ascii="Times New Roman" w:eastAsia="Times New Roman" w:hAnsi="Times New Roman" w:cs="Times New Roman"/>
        </w:rPr>
        <w:t xml:space="preserve">ecreación y la libre expresión de su opinión. Serán protegidos contra toda forma de abandono, violencia física o moral, secuestro, venta, abuso sexual, </w:t>
      </w:r>
      <w:r>
        <w:rPr>
          <w:rFonts w:ascii="Times New Roman" w:eastAsia="Times New Roman" w:hAnsi="Times New Roman" w:cs="Times New Roman"/>
        </w:rPr>
        <w:lastRenderedPageBreak/>
        <w:t xml:space="preserve">explotación laboral o económica y trabajos riesgosos. Gozarán también de los demás derechos consagrados </w:t>
      </w:r>
      <w:r>
        <w:rPr>
          <w:rFonts w:ascii="Times New Roman" w:eastAsia="Times New Roman" w:hAnsi="Times New Roman" w:cs="Times New Roman"/>
        </w:rPr>
        <w:t xml:space="preserve">en la Constitución, en las leyes y en los tratados internacionales ratificados por Colombia. </w:t>
      </w:r>
    </w:p>
    <w:p w14:paraId="43F0D6C2"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La familia, la sociedad y el Estado tienen la obligación de asistir y proteger al niño para garantizar su desarrollo armónico e integral y el ejercicio pleno de s</w:t>
      </w:r>
      <w:r>
        <w:rPr>
          <w:rFonts w:ascii="Times New Roman" w:eastAsia="Times New Roman" w:hAnsi="Times New Roman" w:cs="Times New Roman"/>
        </w:rPr>
        <w:t xml:space="preserve">us derechos. Cualquier persona puede exigir de la autoridad competente su cumplimiento y la sanción de los infractores. </w:t>
      </w:r>
    </w:p>
    <w:p w14:paraId="096B9B09"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Los derechos de los niños prevalecen sobre los derechos de los demás.</w:t>
      </w:r>
    </w:p>
    <w:p w14:paraId="0027517C" w14:textId="77777777" w:rsidR="00C30E0C" w:rsidRDefault="00715366">
      <w:pPr>
        <w:numPr>
          <w:ilvl w:val="0"/>
          <w:numId w:val="13"/>
        </w:num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45. </w:t>
      </w:r>
      <w:r>
        <w:rPr>
          <w:rFonts w:ascii="Times New Roman" w:eastAsia="Times New Roman" w:hAnsi="Times New Roman" w:cs="Times New Roman"/>
        </w:rPr>
        <w:t xml:space="preserve">El adolescente tiene derecho a la protección y a la </w:t>
      </w:r>
      <w:r>
        <w:rPr>
          <w:rFonts w:ascii="Times New Roman" w:eastAsia="Times New Roman" w:hAnsi="Times New Roman" w:cs="Times New Roman"/>
        </w:rPr>
        <w:t xml:space="preserve">formación integral. </w:t>
      </w:r>
    </w:p>
    <w:p w14:paraId="7F6DB1C6"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El Estado y la sociedad garantizan la participación activa de los jóvenes en los organismos públicos y privados que tengan a cargo la protección, educación y progreso de la juventud</w:t>
      </w:r>
    </w:p>
    <w:p w14:paraId="2E49EDD2" w14:textId="77777777" w:rsidR="00C30E0C" w:rsidRDefault="00715366">
      <w:pPr>
        <w:numPr>
          <w:ilvl w:val="0"/>
          <w:numId w:val="4"/>
        </w:num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93.</w:t>
      </w:r>
      <w:r>
        <w:rPr>
          <w:rFonts w:ascii="Times New Roman" w:eastAsia="Times New Roman" w:hAnsi="Times New Roman" w:cs="Times New Roman"/>
        </w:rPr>
        <w:t xml:space="preserve"> Los tratados y convenios internacionales</w:t>
      </w:r>
      <w:r>
        <w:rPr>
          <w:rFonts w:ascii="Times New Roman" w:eastAsia="Times New Roman" w:hAnsi="Times New Roman" w:cs="Times New Roman"/>
        </w:rPr>
        <w:t xml:space="preserve"> ratificados por el Congreso, que reconocen los derechos humanos y que prohíben su limitación en los estados de excepción, prevalecen en el orden interno. </w:t>
      </w:r>
    </w:p>
    <w:p w14:paraId="653560F0"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Los derechos y deberes consagrados en esta Carta, se interpretarán de conformidad con los tratados i</w:t>
      </w:r>
      <w:r>
        <w:rPr>
          <w:rFonts w:ascii="Times New Roman" w:eastAsia="Times New Roman" w:hAnsi="Times New Roman" w:cs="Times New Roman"/>
        </w:rPr>
        <w:t xml:space="preserve">nternacionales sobre derechos humanos ratificados por Colombia. </w:t>
      </w:r>
    </w:p>
    <w:p w14:paraId="4BD4B43F"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El Estado Colombiano puede reconocer la jurisdicción de la Corte Penal Internacional en los términos previstos en el Estatuto de Roma adoptado el 17 de julio de 1998 por la Conferencia de Ple</w:t>
      </w:r>
      <w:r>
        <w:rPr>
          <w:rFonts w:ascii="Times New Roman" w:eastAsia="Times New Roman" w:hAnsi="Times New Roman" w:cs="Times New Roman"/>
        </w:rPr>
        <w:t xml:space="preserve">nipotenciarios de las Naciones Unidas y, consecuentemente, ratificar este tratado de conformidad con el procedimiento establecido en esta Constitución. </w:t>
      </w:r>
    </w:p>
    <w:p w14:paraId="3A13C5A8"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La admisión de un tratamiento diferente en materias sustanciales por parte del Estatuto de Roma con res</w:t>
      </w:r>
      <w:r>
        <w:rPr>
          <w:rFonts w:ascii="Times New Roman" w:eastAsia="Times New Roman" w:hAnsi="Times New Roman" w:cs="Times New Roman"/>
        </w:rPr>
        <w:t>pecto a las garantías contenidas en la Constitución tendrá efectos exclusivamente dentro del ámbito de la materia regulada en él.</w:t>
      </w:r>
    </w:p>
    <w:p w14:paraId="23927FAC" w14:textId="77777777" w:rsidR="00C30E0C" w:rsidRDefault="00715366">
      <w:pPr>
        <w:numPr>
          <w:ilvl w:val="0"/>
          <w:numId w:val="9"/>
        </w:num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94.</w:t>
      </w:r>
      <w:r>
        <w:rPr>
          <w:rFonts w:ascii="Times New Roman" w:eastAsia="Times New Roman" w:hAnsi="Times New Roman" w:cs="Times New Roman"/>
        </w:rPr>
        <w:t xml:space="preserve"> La enunciación de los derechos y garantías contenidos en la Constitución y en los convenios internacionales vigen</w:t>
      </w:r>
      <w:r>
        <w:rPr>
          <w:rFonts w:ascii="Times New Roman" w:eastAsia="Times New Roman" w:hAnsi="Times New Roman" w:cs="Times New Roman"/>
        </w:rPr>
        <w:t>tes, no debe entenderse como negación de otros que, siendo inherentes a la persona humana, no figuren expresamente en ellos.</w:t>
      </w:r>
    </w:p>
    <w:p w14:paraId="4638A175" w14:textId="77777777" w:rsidR="00C30E0C" w:rsidRDefault="00C30E0C">
      <w:pPr>
        <w:spacing w:before="240" w:after="240" w:line="276" w:lineRule="auto"/>
        <w:jc w:val="both"/>
        <w:rPr>
          <w:rFonts w:ascii="Times New Roman" w:eastAsia="Times New Roman" w:hAnsi="Times New Roman" w:cs="Times New Roman"/>
          <w:b/>
        </w:rPr>
      </w:pPr>
    </w:p>
    <w:p w14:paraId="0596D349"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Tratados Internacionales</w:t>
      </w:r>
    </w:p>
    <w:p w14:paraId="06343977" w14:textId="77777777" w:rsidR="00C30E0C" w:rsidRDefault="00715366">
      <w:pPr>
        <w:numPr>
          <w:ilvl w:val="0"/>
          <w:numId w:val="9"/>
        </w:num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Convención Americana de Derechos Humanos:</w:t>
      </w:r>
    </w:p>
    <w:p w14:paraId="1C8D4893" w14:textId="77777777" w:rsidR="00C30E0C" w:rsidRDefault="00715366">
      <w:pPr>
        <w:spacing w:before="240" w:after="240" w:line="276" w:lineRule="auto"/>
        <w:ind w:left="720"/>
        <w:jc w:val="both"/>
        <w:rPr>
          <w:rFonts w:ascii="Times New Roman" w:eastAsia="Times New Roman" w:hAnsi="Times New Roman" w:cs="Times New Roman"/>
          <w:b/>
        </w:rPr>
      </w:pPr>
      <w:r>
        <w:rPr>
          <w:rFonts w:ascii="Times New Roman" w:eastAsia="Times New Roman" w:hAnsi="Times New Roman" w:cs="Times New Roman"/>
          <w:b/>
        </w:rPr>
        <w:t>Artículo 19. Derechos del Niño</w:t>
      </w:r>
    </w:p>
    <w:p w14:paraId="7325E7AC"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Todo niño tiene derecho a las me</w:t>
      </w:r>
      <w:r>
        <w:rPr>
          <w:rFonts w:ascii="Times New Roman" w:eastAsia="Times New Roman" w:hAnsi="Times New Roman" w:cs="Times New Roman"/>
        </w:rPr>
        <w:t xml:space="preserve">didas de protección que </w:t>
      </w:r>
      <w:proofErr w:type="gramStart"/>
      <w:r>
        <w:rPr>
          <w:rFonts w:ascii="Times New Roman" w:eastAsia="Times New Roman" w:hAnsi="Times New Roman" w:cs="Times New Roman"/>
        </w:rPr>
        <w:t>su condición de menor requieren</w:t>
      </w:r>
      <w:proofErr w:type="gramEnd"/>
      <w:r>
        <w:rPr>
          <w:rFonts w:ascii="Times New Roman" w:eastAsia="Times New Roman" w:hAnsi="Times New Roman" w:cs="Times New Roman"/>
        </w:rPr>
        <w:t xml:space="preserve"> por parte de su familia, de la sociedad y del Estado.</w:t>
      </w:r>
    </w:p>
    <w:p w14:paraId="10359B23" w14:textId="77777777" w:rsidR="00C30E0C" w:rsidRDefault="00715366">
      <w:pPr>
        <w:numPr>
          <w:ilvl w:val="0"/>
          <w:numId w:val="11"/>
        </w:num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Protocolo Adicional a la Convención Americana Sobre Derechos Humanos en materia de Derechos Económicos, Sociales y </w:t>
      </w:r>
      <w:proofErr w:type="gramStart"/>
      <w:r>
        <w:rPr>
          <w:rFonts w:ascii="Times New Roman" w:eastAsia="Times New Roman" w:hAnsi="Times New Roman" w:cs="Times New Roman"/>
          <w:b/>
        </w:rPr>
        <w:t>Culturales.-</w:t>
      </w:r>
      <w:proofErr w:type="gramEnd"/>
      <w:r>
        <w:rPr>
          <w:rFonts w:ascii="Times New Roman" w:eastAsia="Times New Roman" w:hAnsi="Times New Roman" w:cs="Times New Roman"/>
          <w:b/>
        </w:rPr>
        <w:t xml:space="preserve"> Protocolo de San Salvador:</w:t>
      </w:r>
    </w:p>
    <w:p w14:paraId="738D45AF" w14:textId="77777777" w:rsidR="00C30E0C" w:rsidRDefault="00715366" w:rsidP="005E0DCF">
      <w:pPr>
        <w:spacing w:line="276" w:lineRule="auto"/>
        <w:ind w:left="720"/>
        <w:jc w:val="both"/>
        <w:rPr>
          <w:rFonts w:ascii="Times New Roman" w:eastAsia="Times New Roman" w:hAnsi="Times New Roman" w:cs="Times New Roman"/>
          <w:b/>
        </w:rPr>
      </w:pPr>
      <w:r>
        <w:rPr>
          <w:rFonts w:ascii="Times New Roman" w:eastAsia="Times New Roman" w:hAnsi="Times New Roman" w:cs="Times New Roman"/>
          <w:b/>
        </w:rPr>
        <w:t>Artículo 16 Derecho de la niñez</w:t>
      </w:r>
    </w:p>
    <w:p w14:paraId="0DB73EB7" w14:textId="300B2685" w:rsidR="00C30E0C" w:rsidRDefault="00715366" w:rsidP="005E0DCF">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Todo niño sea cual fuere su filiación tiene derecho a las medidas de </w:t>
      </w:r>
      <w:r>
        <w:rPr>
          <w:rFonts w:ascii="Times New Roman" w:eastAsia="Times New Roman" w:hAnsi="Times New Roman" w:cs="Times New Roman"/>
        </w:rPr>
        <w:t xml:space="preserve">protección que </w:t>
      </w:r>
      <w:r w:rsidR="005E0DCF">
        <w:rPr>
          <w:rFonts w:ascii="Times New Roman" w:eastAsia="Times New Roman" w:hAnsi="Times New Roman" w:cs="Times New Roman"/>
        </w:rPr>
        <w:t>su condición de menor requiere</w:t>
      </w:r>
      <w:r>
        <w:rPr>
          <w:rFonts w:ascii="Times New Roman" w:eastAsia="Times New Roman" w:hAnsi="Times New Roman" w:cs="Times New Roman"/>
        </w:rPr>
        <w:t xml:space="preserve"> por parte de su familia, de la sociedad y del Estado. Todo niño tiene el derecho a crecer al amparo y bajo la responsabilidad de sus padres; salvo circunstancias excepcionales, reconocidas judicialmente, el ni</w:t>
      </w:r>
      <w:r>
        <w:rPr>
          <w:rFonts w:ascii="Times New Roman" w:eastAsia="Times New Roman" w:hAnsi="Times New Roman" w:cs="Times New Roman"/>
        </w:rPr>
        <w:t>ño de corta edad no debe ser separado de su madre. Todo niño tiene derecho a la educación gratuita y obligatoria, al menos en su fase elemental, y a continuar su formación en niveles más elevados del sistema educativo.</w:t>
      </w:r>
    </w:p>
    <w:p w14:paraId="36D1952F" w14:textId="77777777" w:rsidR="005E0DCF" w:rsidRDefault="005E0DCF" w:rsidP="005E0DCF">
      <w:pPr>
        <w:spacing w:line="276" w:lineRule="auto"/>
        <w:ind w:left="720"/>
        <w:jc w:val="both"/>
        <w:rPr>
          <w:rFonts w:ascii="Times New Roman" w:eastAsia="Times New Roman" w:hAnsi="Times New Roman" w:cs="Times New Roman"/>
        </w:rPr>
      </w:pPr>
    </w:p>
    <w:p w14:paraId="49EDBAF0" w14:textId="77777777" w:rsidR="00C30E0C" w:rsidRDefault="00715366" w:rsidP="005E0DCF">
      <w:pPr>
        <w:numPr>
          <w:ilvl w:val="0"/>
          <w:numId w:val="11"/>
        </w:numPr>
        <w:spacing w:line="276" w:lineRule="auto"/>
        <w:jc w:val="both"/>
        <w:rPr>
          <w:rFonts w:ascii="Times New Roman" w:eastAsia="Times New Roman" w:hAnsi="Times New Roman" w:cs="Times New Roman"/>
          <w:b/>
        </w:rPr>
      </w:pPr>
      <w:r>
        <w:rPr>
          <w:rFonts w:ascii="Times New Roman" w:eastAsia="Times New Roman" w:hAnsi="Times New Roman" w:cs="Times New Roman"/>
          <w:b/>
        </w:rPr>
        <w:t>Pacto Internacional de Derecho Civile</w:t>
      </w:r>
      <w:r>
        <w:rPr>
          <w:rFonts w:ascii="Times New Roman" w:eastAsia="Times New Roman" w:hAnsi="Times New Roman" w:cs="Times New Roman"/>
          <w:b/>
        </w:rPr>
        <w:t>s y Políticos:</w:t>
      </w:r>
    </w:p>
    <w:p w14:paraId="41DC58B1" w14:textId="77777777" w:rsidR="005E0DCF" w:rsidRDefault="005E0DCF" w:rsidP="005E0DCF">
      <w:pPr>
        <w:spacing w:line="276" w:lineRule="auto"/>
        <w:ind w:left="720"/>
        <w:jc w:val="both"/>
        <w:rPr>
          <w:rFonts w:ascii="Times New Roman" w:eastAsia="Times New Roman" w:hAnsi="Times New Roman" w:cs="Times New Roman"/>
          <w:b/>
        </w:rPr>
      </w:pPr>
    </w:p>
    <w:p w14:paraId="40295577" w14:textId="06ECB4AF" w:rsidR="00C30E0C" w:rsidRDefault="00715366" w:rsidP="005E0DCF">
      <w:pPr>
        <w:spacing w:line="276" w:lineRule="auto"/>
        <w:ind w:left="720"/>
        <w:jc w:val="both"/>
        <w:rPr>
          <w:rFonts w:ascii="Times New Roman" w:eastAsia="Times New Roman" w:hAnsi="Times New Roman" w:cs="Times New Roman"/>
          <w:b/>
        </w:rPr>
      </w:pPr>
      <w:r>
        <w:rPr>
          <w:rFonts w:ascii="Times New Roman" w:eastAsia="Times New Roman" w:hAnsi="Times New Roman" w:cs="Times New Roman"/>
          <w:b/>
        </w:rPr>
        <w:t>Artículo 24</w:t>
      </w:r>
    </w:p>
    <w:p w14:paraId="0CC08CA0"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1. Todo niño tiene derecho, sin discriminación alguna por motivos de raza, color, sexo, idioma, religión, origen nacional o social, posición económica o nacimiento, a las medidas de protección que su condición de menor requiere, </w:t>
      </w:r>
      <w:r>
        <w:rPr>
          <w:rFonts w:ascii="Times New Roman" w:eastAsia="Times New Roman" w:hAnsi="Times New Roman" w:cs="Times New Roman"/>
        </w:rPr>
        <w:t>tanto por parte de su familia como de la sociedad y del Estado.</w:t>
      </w:r>
    </w:p>
    <w:p w14:paraId="51DF9A29"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2. Todo niño será inscrito inmediatamente después de su nacimiento y deberá tener un nombre.</w:t>
      </w:r>
    </w:p>
    <w:p w14:paraId="0A29EE0A"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3. Todo niño tiene derecho a adquirir una nacionalidad.</w:t>
      </w:r>
    </w:p>
    <w:p w14:paraId="059DB2A1" w14:textId="77777777" w:rsidR="00C30E0C" w:rsidRDefault="00715366">
      <w:pPr>
        <w:numPr>
          <w:ilvl w:val="0"/>
          <w:numId w:val="5"/>
        </w:num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Pacto Internacional de Derechos Económicos,</w:t>
      </w:r>
      <w:r>
        <w:rPr>
          <w:rFonts w:ascii="Times New Roman" w:eastAsia="Times New Roman" w:hAnsi="Times New Roman" w:cs="Times New Roman"/>
          <w:b/>
        </w:rPr>
        <w:t xml:space="preserve"> Sociales y Culturales:</w:t>
      </w:r>
    </w:p>
    <w:p w14:paraId="60D9DC03" w14:textId="77777777" w:rsidR="005E0DCF" w:rsidRDefault="00715366" w:rsidP="005E0DCF">
      <w:pPr>
        <w:spacing w:line="276" w:lineRule="auto"/>
        <w:ind w:left="720"/>
        <w:jc w:val="both"/>
        <w:rPr>
          <w:rFonts w:ascii="Times New Roman" w:eastAsia="Times New Roman" w:hAnsi="Times New Roman" w:cs="Times New Roman"/>
          <w:b/>
        </w:rPr>
      </w:pPr>
      <w:r>
        <w:rPr>
          <w:rFonts w:ascii="Times New Roman" w:eastAsia="Times New Roman" w:hAnsi="Times New Roman" w:cs="Times New Roman"/>
          <w:b/>
        </w:rPr>
        <w:t>Artículo 10</w:t>
      </w:r>
    </w:p>
    <w:p w14:paraId="114A87FA" w14:textId="59B71CD4" w:rsidR="00C30E0C" w:rsidRDefault="00715366" w:rsidP="005E0DCF">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Los Estados Partes en el presente Pacto reconocen que:</w:t>
      </w:r>
    </w:p>
    <w:p w14:paraId="734F32E5"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1. Se debe conceder a la familia, que es el elemento natural y fundamental de la sociedad, la más amplia protección y asistencia posibles, especialmente para su cons</w:t>
      </w:r>
      <w:r>
        <w:rPr>
          <w:rFonts w:ascii="Times New Roman" w:eastAsia="Times New Roman" w:hAnsi="Times New Roman" w:cs="Times New Roman"/>
        </w:rPr>
        <w:t>titución y mientras sea responsable del cuidado y la educación de los hijos a su cargo. El matrimonio debe contraerse con el libre consentimiento de los futuros cónyuges.</w:t>
      </w:r>
    </w:p>
    <w:p w14:paraId="40607A6C"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2. Se debe conceder especial protección a las madres durante un período de tiempo raz</w:t>
      </w:r>
      <w:r>
        <w:rPr>
          <w:rFonts w:ascii="Times New Roman" w:eastAsia="Times New Roman" w:hAnsi="Times New Roman" w:cs="Times New Roman"/>
        </w:rPr>
        <w:t>onable antes y después del parto. Durante dicho período, a las madres que trabajen se les debe conceder licencia con remuneración o con prestaciones adecuadas de seguridad social.</w:t>
      </w:r>
    </w:p>
    <w:p w14:paraId="50454532"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3. Se deben adoptar medidas especiales de protección y asistencia en favor d</w:t>
      </w:r>
      <w:r>
        <w:rPr>
          <w:rFonts w:ascii="Times New Roman" w:eastAsia="Times New Roman" w:hAnsi="Times New Roman" w:cs="Times New Roman"/>
        </w:rPr>
        <w:t>e todos los niños y adolescentes, sin discriminación alguna por razón de filiación o cualquier otra condición. Debe protegerse a los niños y adolescentes contra la explotación económica y social. Su empleo en trabajos nocivos para su moral y salud, o en lo</w:t>
      </w:r>
      <w:r>
        <w:rPr>
          <w:rFonts w:ascii="Times New Roman" w:eastAsia="Times New Roman" w:hAnsi="Times New Roman" w:cs="Times New Roman"/>
        </w:rPr>
        <w:t>s cuales peligre su vida o se corra el riesgo de perjudicar su desarrollo normal, será sancionado por la ley. Los Estados deben establecer también límites de edad por debajo de los cuales quede prohibido y sancionado por la ley el empleo a sueldo de mano d</w:t>
      </w:r>
      <w:r>
        <w:rPr>
          <w:rFonts w:ascii="Times New Roman" w:eastAsia="Times New Roman" w:hAnsi="Times New Roman" w:cs="Times New Roman"/>
        </w:rPr>
        <w:t>e obra infantil.</w:t>
      </w:r>
    </w:p>
    <w:p w14:paraId="0C7C5F57" w14:textId="77777777" w:rsidR="00C30E0C" w:rsidRDefault="00715366">
      <w:pPr>
        <w:numPr>
          <w:ilvl w:val="0"/>
          <w:numId w:val="1"/>
        </w:num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Convención sobre los Derechos del Niño</w:t>
      </w:r>
    </w:p>
    <w:p w14:paraId="1A624DB9" w14:textId="77777777" w:rsidR="00C30E0C" w:rsidRDefault="00715366">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Marco Legal</w:t>
      </w:r>
    </w:p>
    <w:p w14:paraId="484C5FC3" w14:textId="77777777" w:rsidR="00C30E0C" w:rsidRDefault="00715366">
      <w:pPr>
        <w:numPr>
          <w:ilvl w:val="0"/>
          <w:numId w:val="14"/>
        </w:num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 xml:space="preserve">Ley 670 de 2001 “por medio de la cual se desarrolla parcialmente el artículo 44 de la Constitución Política para garantizar la vida, la integridad física y la recreación del niño expuesto </w:t>
      </w:r>
      <w:r>
        <w:rPr>
          <w:rFonts w:ascii="Times New Roman" w:eastAsia="Times New Roman" w:hAnsi="Times New Roman" w:cs="Times New Roman"/>
        </w:rPr>
        <w:t>al riesgo por el manejo de artículos pirotécnicos o explosivos.”</w:t>
      </w:r>
      <w:r>
        <w:rPr>
          <w:rFonts w:ascii="Times New Roman" w:eastAsia="Times New Roman" w:hAnsi="Times New Roman" w:cs="Times New Roman"/>
        </w:rPr>
        <w:br/>
      </w:r>
    </w:p>
    <w:p w14:paraId="3502A677" w14:textId="77777777" w:rsidR="00C30E0C" w:rsidRDefault="00715366">
      <w:pPr>
        <w:numPr>
          <w:ilvl w:val="0"/>
          <w:numId w:val="14"/>
        </w:num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Ley 1098 de 2006 “Por la cual se expide el Código de la Infancia y la Adolescencia.”</w:t>
      </w:r>
    </w:p>
    <w:p w14:paraId="41B8E8EA"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b/>
        </w:rPr>
        <w:t>Artículo 79. Defensorías de Familia.</w:t>
      </w:r>
      <w:r>
        <w:rPr>
          <w:rFonts w:ascii="Times New Roman" w:eastAsia="Times New Roman" w:hAnsi="Times New Roman" w:cs="Times New Roman"/>
        </w:rPr>
        <w:t xml:space="preserve"> Son dependencias del Instituto Colombiano de Bienestar Familiar de naturaleza multidisciplinaria, encargadas de prevenir, garantizar y restablecer los derechos de los niños, niñas y adolescentes. </w:t>
      </w:r>
    </w:p>
    <w:p w14:paraId="6DCC2FFF"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Las Defensorías de Familia contarán con equipos técnicos i</w:t>
      </w:r>
      <w:r>
        <w:rPr>
          <w:rFonts w:ascii="Times New Roman" w:eastAsia="Times New Roman" w:hAnsi="Times New Roman" w:cs="Times New Roman"/>
        </w:rPr>
        <w:t xml:space="preserve">nterdisciplinarios integrados, por lo menos, por un psicólogo, un trabajador social y un nutricionista. </w:t>
      </w:r>
    </w:p>
    <w:p w14:paraId="4D5A456B"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Los conceptos emitidos por cualquiera de los integrantes del equipo técnico tendrán el carácter de dictamen pericial.</w:t>
      </w:r>
    </w:p>
    <w:p w14:paraId="692BFFBB" w14:textId="77777777" w:rsidR="005E0DCF" w:rsidRDefault="00715366" w:rsidP="005E0DCF">
      <w:pPr>
        <w:numPr>
          <w:ilvl w:val="0"/>
          <w:numId w:val="14"/>
        </w:num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Ley 1878 de 2018 “Por medio de la</w:t>
      </w:r>
      <w:r>
        <w:rPr>
          <w:rFonts w:ascii="Times New Roman" w:eastAsia="Times New Roman" w:hAnsi="Times New Roman" w:cs="Times New Roman"/>
        </w:rPr>
        <w:t xml:space="preserve"> cual se modifican algunos artículos de la Ley 1098 de 2006, por la cual se expide el Código de la Infancia y la Adolescencia, y se dictan otras disposiciones.”</w:t>
      </w:r>
    </w:p>
    <w:p w14:paraId="28A279DA" w14:textId="77777777" w:rsidR="005E0DCF" w:rsidRDefault="005E0DCF" w:rsidP="005E0DCF">
      <w:pPr>
        <w:spacing w:line="276" w:lineRule="auto"/>
        <w:ind w:left="720"/>
        <w:jc w:val="both"/>
        <w:rPr>
          <w:rFonts w:ascii="Times New Roman" w:eastAsia="Times New Roman" w:hAnsi="Times New Roman" w:cs="Times New Roman"/>
        </w:rPr>
      </w:pPr>
    </w:p>
    <w:p w14:paraId="5E18F2CF" w14:textId="3D025C4C" w:rsidR="005E0DCF" w:rsidRPr="005E0DCF" w:rsidRDefault="00715366" w:rsidP="005E0DCF">
      <w:pPr>
        <w:numPr>
          <w:ilvl w:val="0"/>
          <w:numId w:val="14"/>
        </w:numPr>
        <w:spacing w:line="276" w:lineRule="auto"/>
        <w:jc w:val="both"/>
        <w:rPr>
          <w:rFonts w:ascii="Times New Roman" w:eastAsia="Times New Roman" w:hAnsi="Times New Roman" w:cs="Times New Roman"/>
        </w:rPr>
      </w:pPr>
      <w:r w:rsidRPr="005E0DCF">
        <w:rPr>
          <w:rFonts w:ascii="Times New Roman" w:eastAsia="Times New Roman" w:hAnsi="Times New Roman" w:cs="Times New Roman"/>
        </w:rPr>
        <w:t>Ley 2126 de 2021 “por la cual se regula la creación, conformación y funcionamiento de las Comi</w:t>
      </w:r>
      <w:r w:rsidRPr="005E0DCF">
        <w:rPr>
          <w:rFonts w:ascii="Times New Roman" w:eastAsia="Times New Roman" w:hAnsi="Times New Roman" w:cs="Times New Roman"/>
        </w:rPr>
        <w:t>sarías de Familia, se establece el órgano rector y se dictan otras disposiciones.”</w:t>
      </w:r>
    </w:p>
    <w:p w14:paraId="103F28D7"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b/>
        </w:rPr>
        <w:t>Artículo 44.</w:t>
      </w:r>
      <w:r>
        <w:rPr>
          <w:rFonts w:ascii="Times New Roman" w:eastAsia="Times New Roman" w:hAnsi="Times New Roman" w:cs="Times New Roman"/>
        </w:rPr>
        <w:t xml:space="preserve"> El Gobierno nacional en cabeza del Instituto Colombiano de Bienestar Familiar en coordinación con las entidades competentes, en un plazo no mayor a dieciocho (1</w:t>
      </w:r>
      <w:r>
        <w:rPr>
          <w:rFonts w:ascii="Times New Roman" w:eastAsia="Times New Roman" w:hAnsi="Times New Roman" w:cs="Times New Roman"/>
        </w:rPr>
        <w:t>8) meses, a partir de la vigencia de la presente ley, tomará las medidas administrativas y presupuestales necesarias de acuerdo con el Marco Fiscal de Mediano Plazo, para fortalecer la capacidad institucional de las Defensorías de Familia y mejorar las con</w:t>
      </w:r>
      <w:r>
        <w:rPr>
          <w:rFonts w:ascii="Times New Roman" w:eastAsia="Times New Roman" w:hAnsi="Times New Roman" w:cs="Times New Roman"/>
        </w:rPr>
        <w:t>diciones laborales de los defensores de familia a nivel nacional, con el fin de garantizar el cumplimiento eficiente, eficaz y efectivo de sus funciones las cuales están orientadas a prevenir, proteger, garantizar y restablecer los derechos de los niños, n</w:t>
      </w:r>
      <w:r>
        <w:rPr>
          <w:rFonts w:ascii="Times New Roman" w:eastAsia="Times New Roman" w:hAnsi="Times New Roman" w:cs="Times New Roman"/>
        </w:rPr>
        <w:t xml:space="preserve">iñas y adolescentes. </w:t>
      </w:r>
    </w:p>
    <w:p w14:paraId="620E7574" w14:textId="77777777" w:rsidR="00C30E0C" w:rsidRDefault="00715366">
      <w:pPr>
        <w:numPr>
          <w:ilvl w:val="0"/>
          <w:numId w:val="14"/>
        </w:num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Ley 2294 de 2023 “por el cual se expide el Plan Nacional de Desarrollo 2022-2026 “Colombia Potencia Mundial de la Vida</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Entre otras cosas, el artículo 203 de la Ley 2294 crea el Sistema Nacional de Justicia Familiar bajo los siguientes términos:</w:t>
      </w:r>
    </w:p>
    <w:p w14:paraId="5FBCC991"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b/>
        </w:rPr>
        <w:t>Artículo</w:t>
      </w:r>
      <w:r>
        <w:rPr>
          <w:rFonts w:ascii="Times New Roman" w:eastAsia="Times New Roman" w:hAnsi="Times New Roman" w:cs="Times New Roman"/>
          <w:b/>
        </w:rPr>
        <w:t xml:space="preserve"> 203. Sistema Nacional de Justicia Familiar.</w:t>
      </w:r>
      <w:r>
        <w:rPr>
          <w:rFonts w:ascii="Times New Roman" w:eastAsia="Times New Roman" w:hAnsi="Times New Roman" w:cs="Times New Roman"/>
        </w:rPr>
        <w:t xml:space="preserve"> Créese el Sistema Nacional de Justicia Familiar como un conjunto de actores, políticas, programas, estrategias, principios, normas y rutas de articulación para la atención, prevención, promoción y restablecimien</w:t>
      </w:r>
      <w:r>
        <w:rPr>
          <w:rFonts w:ascii="Times New Roman" w:eastAsia="Times New Roman" w:hAnsi="Times New Roman" w:cs="Times New Roman"/>
        </w:rPr>
        <w:t>to de derechos de las personas, de manera prevalente de las niñas, niños y adolescentes, que sean víctimas o estén en riesgo de cualquier forma de vulneración dentro del contexto de la familia. La estructuración del sistema tendrá como eje el fortalecimien</w:t>
      </w:r>
      <w:r>
        <w:rPr>
          <w:rFonts w:ascii="Times New Roman" w:eastAsia="Times New Roman" w:hAnsi="Times New Roman" w:cs="Times New Roman"/>
        </w:rPr>
        <w:t>to de las Defensorías de Familia, las Comisarías de Familia y demás autoridades administrativas encargadas de la protección integral y restablecimiento de los derechos de la infancia, la adolescencia y las familias, garantizando la capacidad administrativa</w:t>
      </w:r>
      <w:r>
        <w:rPr>
          <w:rFonts w:ascii="Times New Roman" w:eastAsia="Times New Roman" w:hAnsi="Times New Roman" w:cs="Times New Roman"/>
        </w:rPr>
        <w:t>, financiera, cobertura territorial y las condiciones necesarias para la prestación óptima de sus servicios. El funcionamiento del Sistema Nacional de Protección Integral a la Familia se articulará con el Sistema Nacional de Cuidado a partir de los princip</w:t>
      </w:r>
      <w:r>
        <w:rPr>
          <w:rFonts w:ascii="Times New Roman" w:eastAsia="Times New Roman" w:hAnsi="Times New Roman" w:cs="Times New Roman"/>
        </w:rPr>
        <w:t xml:space="preserve">ios de universalidad, corresponsabilidad social y de género, promoción de la autonomía, participación y solidaridad en el financiamiento. </w:t>
      </w:r>
    </w:p>
    <w:p w14:paraId="688DA520"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b/>
        </w:rPr>
        <w:lastRenderedPageBreak/>
        <w:t>Parágrafo 1°.</w:t>
      </w:r>
      <w:r>
        <w:rPr>
          <w:rFonts w:ascii="Times New Roman" w:eastAsia="Times New Roman" w:hAnsi="Times New Roman" w:cs="Times New Roman"/>
        </w:rPr>
        <w:t xml:space="preserve"> Con el fin de asegurar el tránsito institucional hacia la estructuración del Sistema Nacional de Justic</w:t>
      </w:r>
      <w:r>
        <w:rPr>
          <w:rFonts w:ascii="Times New Roman" w:eastAsia="Times New Roman" w:hAnsi="Times New Roman" w:cs="Times New Roman"/>
        </w:rPr>
        <w:t xml:space="preserve">ia Familiar, el parágrafo 1° del artículo 5° y el artículo 44 de la Ley 2126 de 2021, entrarán a regir a partir del 1° de julio de 2024. </w:t>
      </w:r>
    </w:p>
    <w:p w14:paraId="1D04BA95"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Con el fin de asegurar la articulación de justicia propia y justicia familiar, se determinarán protocolo</w:t>
      </w:r>
      <w:r>
        <w:rPr>
          <w:rFonts w:ascii="Times New Roman" w:eastAsia="Times New Roman" w:hAnsi="Times New Roman" w:cs="Times New Roman"/>
        </w:rPr>
        <w:t>s y estrategias concertadas por los dos sistemas logrando una armonización en beneficio especial de los derechos de las niñas, niños y adolescentes.</w:t>
      </w:r>
    </w:p>
    <w:p w14:paraId="5976A691" w14:textId="77777777" w:rsidR="00C30E0C" w:rsidRDefault="00715366">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Jurisprudencia constitucional</w:t>
      </w:r>
    </w:p>
    <w:p w14:paraId="37E0EA9C"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La normatividad anterior resulta clave para entender el concepto de interés s</w:t>
      </w:r>
      <w:r>
        <w:rPr>
          <w:rFonts w:ascii="Times New Roman" w:eastAsia="Times New Roman" w:hAnsi="Times New Roman" w:cs="Times New Roman"/>
        </w:rPr>
        <w:t>uperior del menor y ver cuál ha sido la forma en que la legislación ha intentado adoptar el texto constitucional. En ese sentido, es importante entender el interés superior del menor como “aquel imperativo que obliga a todas las personas a garantizar la sa</w:t>
      </w:r>
      <w:r>
        <w:rPr>
          <w:rFonts w:ascii="Times New Roman" w:eastAsia="Times New Roman" w:hAnsi="Times New Roman" w:cs="Times New Roman"/>
        </w:rPr>
        <w:t>tisfacción integral y simultánea de todos sus derechos humanos, que son universales, prevalentes e interdependientes”, tal y como lo menciona el artículo 8 del Código de Infancia y Adolescencia. Al respecto, la Corte Constitucional ha interpretado el inter</w:t>
      </w:r>
      <w:r>
        <w:rPr>
          <w:rFonts w:ascii="Times New Roman" w:eastAsia="Times New Roman" w:hAnsi="Times New Roman" w:cs="Times New Roman"/>
        </w:rPr>
        <w:t>és superior manifestando lo siguiente:</w:t>
      </w:r>
    </w:p>
    <w:p w14:paraId="4A9525A8"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[E]l interés superior del menor no constituye un ente abstracto, desprovisto de vínculos con la realidad concreta, sobre el cual se puedan formular reglas generales de aplicación mecánica. Al contrario: el contenido d</w:t>
      </w:r>
      <w:r>
        <w:rPr>
          <w:rFonts w:ascii="Times New Roman" w:eastAsia="Times New Roman" w:hAnsi="Times New Roman" w:cs="Times New Roman"/>
        </w:rPr>
        <w:t xml:space="preserve">e dicho interés, que es de naturaleza real y relacional, sólo se puede establecer prestando la debida consideración a las circunstancias individuales, únicas e irrepetibles de cada menor de edad,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en tanto sujeto digno, debe ser atendido por la familia,</w:t>
      </w:r>
      <w:r>
        <w:rPr>
          <w:rFonts w:ascii="Times New Roman" w:eastAsia="Times New Roman" w:hAnsi="Times New Roman" w:cs="Times New Roman"/>
        </w:rPr>
        <w:t xml:space="preserve"> la sociedad y el Estado con todo el cuidado que requiere su situación personal.</w:t>
      </w:r>
      <w:r>
        <w:rPr>
          <w:rFonts w:ascii="Times New Roman" w:eastAsia="Times New Roman" w:hAnsi="Times New Roman" w:cs="Times New Roman"/>
          <w:vertAlign w:val="superscript"/>
        </w:rPr>
        <w:footnoteReference w:id="6"/>
      </w:r>
    </w:p>
    <w:p w14:paraId="56D286B4"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Dice la Corte que el Interés Superior del Menor debe permear las actuaciones de las autoridades públicas. En efecto, la misma sentencia reseñada menciona lo siguiente:</w:t>
      </w:r>
    </w:p>
    <w:p w14:paraId="65869E13"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Con f</w:t>
      </w:r>
      <w:r>
        <w:rPr>
          <w:rFonts w:ascii="Times New Roman" w:eastAsia="Times New Roman" w:hAnsi="Times New Roman" w:cs="Times New Roman"/>
        </w:rPr>
        <w:t>undamento en las sentencias T-503 de 2003 y T-397 de 2004, afirma que, si bien las autoridades administrativas y judiciales encargadas de determinar el contenido del interés superior de los niños en casos particulares cuentan con un margen de discrecionali</w:t>
      </w:r>
      <w:r>
        <w:rPr>
          <w:rFonts w:ascii="Times New Roman" w:eastAsia="Times New Roman" w:hAnsi="Times New Roman" w:cs="Times New Roman"/>
        </w:rPr>
        <w:t xml:space="preserve">dad importante para evaluar, en aplicación de las disposiciones jurídicas relevantes y en atención a las circunstancias fácticas de los niños implicados, cuál es la solución que mejor satisface dicho interés, también tienen </w:t>
      </w:r>
      <w:r>
        <w:rPr>
          <w:rFonts w:ascii="Times New Roman" w:eastAsia="Times New Roman" w:hAnsi="Times New Roman" w:cs="Times New Roman"/>
        </w:rPr>
        <w:lastRenderedPageBreak/>
        <w:t>límites y deberes constitucional</w:t>
      </w:r>
      <w:r>
        <w:rPr>
          <w:rFonts w:ascii="Times New Roman" w:eastAsia="Times New Roman" w:hAnsi="Times New Roman" w:cs="Times New Roman"/>
        </w:rPr>
        <w:t>es y legales respecto de la preservación del bienestar integral de los niños que requieren su protección. Afirma, entonces, que estos deberes obligan a los jueces y funcionarios administrativos a aplicar un grado especial de diligencia, celo y cuidado al m</w:t>
      </w:r>
      <w:r>
        <w:rPr>
          <w:rFonts w:ascii="Times New Roman" w:eastAsia="Times New Roman" w:hAnsi="Times New Roman" w:cs="Times New Roman"/>
        </w:rPr>
        <w:t>omento de adoptar sus decisiones, especialmente tratándose de niños de temprana edad, cuyo proceso de desarrollo puede verse afectado en forma definitiva e irremediable por cualquier decisión que no atienda a sus intereses y derechos.</w:t>
      </w:r>
    </w:p>
    <w:p w14:paraId="786B3450"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En consecuencia, sost</w:t>
      </w:r>
      <w:r>
        <w:rPr>
          <w:rFonts w:ascii="Times New Roman" w:eastAsia="Times New Roman" w:hAnsi="Times New Roman" w:cs="Times New Roman"/>
        </w:rPr>
        <w:t>iene que las decisiones adoptadas por las autoridades administrativas competentes del Instituto de Bienestar Familiar y las autoridades judiciales, incluyendo los jueces de tutela, con el propósito de establecer las condiciones que mejor satisfacen el inte</w:t>
      </w:r>
      <w:r>
        <w:rPr>
          <w:rFonts w:ascii="Times New Roman" w:eastAsia="Times New Roman" w:hAnsi="Times New Roman" w:cs="Times New Roman"/>
        </w:rPr>
        <w:t>rés superior de los niños en situaciones concretas, deben atender tanto a “(i) criterios jurídicos relevantes, es decir, los parámetros y condiciones establecidos por el ordenamiento jurídico para promover el bienestar infantil, como a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una cuidadosa p</w:t>
      </w:r>
      <w:r>
        <w:rPr>
          <w:rFonts w:ascii="Times New Roman" w:eastAsia="Times New Roman" w:hAnsi="Times New Roman" w:cs="Times New Roman"/>
        </w:rPr>
        <w:t>onderación de las circunstancias fácticas que rodean al menor involucrado, entendidas como las circunstancias específicas del caso, visto en su totalidad y no atendiendo a aspectos aislados.”</w:t>
      </w:r>
      <w:r>
        <w:rPr>
          <w:rFonts w:ascii="Times New Roman" w:eastAsia="Times New Roman" w:hAnsi="Times New Roman" w:cs="Times New Roman"/>
          <w:vertAlign w:val="superscript"/>
        </w:rPr>
        <w:footnoteReference w:id="7"/>
      </w:r>
    </w:p>
    <w:p w14:paraId="43C2D31A"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Al respecto, la Corte Constitucional ha sostenido que en los c</w:t>
      </w:r>
      <w:r>
        <w:rPr>
          <w:rFonts w:ascii="Times New Roman" w:eastAsia="Times New Roman" w:hAnsi="Times New Roman" w:cs="Times New Roman"/>
        </w:rPr>
        <w:t>asos donde hayan involucrados niños, niñas y adolescentes, se deben fijar criterios para determinar el interés superior de cada niño, dependiendo de sus circunstancias particulares. Estos criterios son:</w:t>
      </w:r>
    </w:p>
    <w:p w14:paraId="242977F8" w14:textId="77777777" w:rsidR="00C30E0C" w:rsidRDefault="00715366">
      <w:pPr>
        <w:numPr>
          <w:ilvl w:val="0"/>
          <w:numId w:val="7"/>
        </w:num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La Garantía del desarrollo integral del niño.</w:t>
      </w:r>
    </w:p>
    <w:p w14:paraId="65EC31AB" w14:textId="77777777" w:rsidR="00C30E0C" w:rsidRDefault="00715366">
      <w:pPr>
        <w:numPr>
          <w:ilvl w:val="0"/>
          <w:numId w:val="7"/>
        </w:numPr>
        <w:spacing w:line="276" w:lineRule="auto"/>
        <w:jc w:val="both"/>
        <w:rPr>
          <w:rFonts w:ascii="Times New Roman" w:eastAsia="Times New Roman" w:hAnsi="Times New Roman" w:cs="Times New Roman"/>
        </w:rPr>
      </w:pPr>
      <w:r>
        <w:rPr>
          <w:rFonts w:ascii="Times New Roman" w:eastAsia="Times New Roman" w:hAnsi="Times New Roman" w:cs="Times New Roman"/>
        </w:rPr>
        <w:t>La Garantía de las condiciones para el pleno ejercicio de los derechos fundamentales del niño.</w:t>
      </w:r>
    </w:p>
    <w:p w14:paraId="313A5F63" w14:textId="77777777" w:rsidR="00C30E0C" w:rsidRDefault="00715366">
      <w:pPr>
        <w:numPr>
          <w:ilvl w:val="0"/>
          <w:numId w:val="7"/>
        </w:numPr>
        <w:spacing w:line="276" w:lineRule="auto"/>
        <w:jc w:val="both"/>
        <w:rPr>
          <w:rFonts w:ascii="Times New Roman" w:eastAsia="Times New Roman" w:hAnsi="Times New Roman" w:cs="Times New Roman"/>
        </w:rPr>
      </w:pPr>
      <w:r>
        <w:rPr>
          <w:rFonts w:ascii="Times New Roman" w:eastAsia="Times New Roman" w:hAnsi="Times New Roman" w:cs="Times New Roman"/>
        </w:rPr>
        <w:t>La protección del niño frente a riesgos prohibidos.</w:t>
      </w:r>
    </w:p>
    <w:p w14:paraId="276A32E1" w14:textId="77777777" w:rsidR="00C30E0C" w:rsidRDefault="00715366">
      <w:pPr>
        <w:numPr>
          <w:ilvl w:val="0"/>
          <w:numId w:val="7"/>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El equilibrio entre los derechos de </w:t>
      </w:r>
      <w:proofErr w:type="gramStart"/>
      <w:r>
        <w:rPr>
          <w:rFonts w:ascii="Times New Roman" w:eastAsia="Times New Roman" w:hAnsi="Times New Roman" w:cs="Times New Roman"/>
        </w:rPr>
        <w:t>los  niños</w:t>
      </w:r>
      <w:proofErr w:type="gramEnd"/>
      <w:r>
        <w:rPr>
          <w:rFonts w:ascii="Times New Roman" w:eastAsia="Times New Roman" w:hAnsi="Times New Roman" w:cs="Times New Roman"/>
        </w:rPr>
        <w:t xml:space="preserve"> y los derechos d</w:t>
      </w:r>
      <w:r>
        <w:rPr>
          <w:rFonts w:ascii="Times New Roman" w:eastAsia="Times New Roman" w:hAnsi="Times New Roman" w:cs="Times New Roman"/>
        </w:rPr>
        <w:t>e sus padres, sobre la base de que prevalecen los derechos del niño.</w:t>
      </w:r>
    </w:p>
    <w:p w14:paraId="302EBA61" w14:textId="77777777" w:rsidR="00C30E0C" w:rsidRDefault="00715366">
      <w:pPr>
        <w:numPr>
          <w:ilvl w:val="0"/>
          <w:numId w:val="7"/>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Provisión de un ambiente familiar apto para el desarrollo del niño. </w:t>
      </w:r>
    </w:p>
    <w:p w14:paraId="0BB0F083" w14:textId="77777777" w:rsidR="00C30E0C" w:rsidRDefault="00715366">
      <w:pPr>
        <w:numPr>
          <w:ilvl w:val="0"/>
          <w:numId w:val="7"/>
        </w:num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Necesidad de razones poderosas que justifiquen la intervención del Estado en las relaciones paterno/materno- filiales.</w:t>
      </w:r>
      <w:r>
        <w:rPr>
          <w:rFonts w:ascii="Times New Roman" w:eastAsia="Times New Roman" w:hAnsi="Times New Roman" w:cs="Times New Roman"/>
        </w:rPr>
        <w:t xml:space="preserve"> </w:t>
      </w:r>
    </w:p>
    <w:p w14:paraId="1E0779D4"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En ese sentido, la Corte Constitucional ha encontrado que lo anterior tiene incidencia directa en los procesos administrativos de restablecimiento de derechos en diferentes momentos. Dice la Corte:</w:t>
      </w:r>
    </w:p>
    <w:p w14:paraId="1FD98240"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Las autoridades administrativas competentes para el rest</w:t>
      </w:r>
      <w:r>
        <w:rPr>
          <w:rFonts w:ascii="Times New Roman" w:eastAsia="Times New Roman" w:hAnsi="Times New Roman" w:cs="Times New Roman"/>
        </w:rPr>
        <w:t xml:space="preserve">ablecimiento de los derechos de los niños, las niñas y los adolescentes, según el artículo 96 del Código de la Infancia y la Adolescencia, son los defensores de familia y comisarios de familia, quienes se encargan de prevenir, garantizar y restablecer los </w:t>
      </w:r>
      <w:r>
        <w:rPr>
          <w:rFonts w:ascii="Times New Roman" w:eastAsia="Times New Roman" w:hAnsi="Times New Roman" w:cs="Times New Roman"/>
        </w:rPr>
        <w:t>derechos reconocidos en los tratados internacionales, en la Constitución Política y en el Código de la Infancia y la Adolescencia; éstos cuentan con un equipo técnico e interdisciplinario, cuyos conceptos tienen el carácter de dictamen pericial. Ahora bien</w:t>
      </w:r>
      <w:r>
        <w:rPr>
          <w:rFonts w:ascii="Times New Roman" w:eastAsia="Times New Roman" w:hAnsi="Times New Roman" w:cs="Times New Roman"/>
        </w:rPr>
        <w:t>, sólo los Defensores de Familia son competentes para dictar las resoluciones de adoptabilidad</w:t>
      </w:r>
      <w:r>
        <w:rPr>
          <w:rFonts w:ascii="Times New Roman" w:eastAsia="Times New Roman" w:hAnsi="Times New Roman" w:cs="Times New Roman"/>
          <w:vertAlign w:val="superscript"/>
        </w:rPr>
        <w:footnoteReference w:id="8"/>
      </w:r>
    </w:p>
    <w:p w14:paraId="7666889E"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Al reconocer esta labor, la Corte sostiene que, las autoridades administrativas deben tener en cuenta en el decreto y la práctica de medidas de restablecimient</w:t>
      </w:r>
      <w:r>
        <w:rPr>
          <w:rFonts w:ascii="Times New Roman" w:eastAsia="Times New Roman" w:hAnsi="Times New Roman" w:cs="Times New Roman"/>
        </w:rPr>
        <w:t>o del derecho lo siguiente:</w:t>
      </w:r>
    </w:p>
    <w:p w14:paraId="56941E84"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1) la existencia de una lógica de gradación entre cada una de ellas;</w:t>
      </w:r>
    </w:p>
    <w:p w14:paraId="0B639761"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2) la proporcionalidad entre el riesgo o vulneración del derecho y la medida de protección adoptada;</w:t>
      </w:r>
    </w:p>
    <w:p w14:paraId="06B32D86"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3) la solidez del material probatorio;</w:t>
      </w:r>
    </w:p>
    <w:p w14:paraId="22E61385"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4) la duración de l</w:t>
      </w:r>
      <w:r>
        <w:rPr>
          <w:rFonts w:ascii="Times New Roman" w:eastAsia="Times New Roman" w:hAnsi="Times New Roman" w:cs="Times New Roman"/>
        </w:rPr>
        <w:t>a medida; y</w:t>
      </w:r>
    </w:p>
    <w:p w14:paraId="6F87A4BD" w14:textId="77777777" w:rsidR="00C30E0C" w:rsidRDefault="00715366">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5) las consecuencias negativas que pueden comportar algunas de ellas en términos de estabilidad emocional y psicológica del niño, niña o adolescente.</w:t>
      </w:r>
    </w:p>
    <w:p w14:paraId="41C7D52E" w14:textId="77777777" w:rsidR="00C30E0C" w:rsidRDefault="00715366">
      <w:pPr>
        <w:spacing w:before="240" w:after="240" w:line="276" w:lineRule="auto"/>
        <w:ind w:left="720"/>
        <w:jc w:val="both"/>
        <w:rPr>
          <w:rFonts w:ascii="Times New Roman" w:eastAsia="Times New Roman" w:hAnsi="Times New Roman" w:cs="Times New Roman"/>
        </w:rPr>
      </w:pPr>
      <w:r>
        <w:rPr>
          <w:rFonts w:ascii="Times New Roman" w:eastAsia="Times New Roman" w:hAnsi="Times New Roman" w:cs="Times New Roman"/>
        </w:rPr>
        <w:t>En pocas palabras, las autoridades administrativas, al momento de decretar y practicar medidas</w:t>
      </w:r>
      <w:r>
        <w:rPr>
          <w:rFonts w:ascii="Times New Roman" w:eastAsia="Times New Roman" w:hAnsi="Times New Roman" w:cs="Times New Roman"/>
        </w:rPr>
        <w:t xml:space="preserve"> de restablecimiento de derechos, deben “ejercer tales competencias legales de conformidad con la Constitución, lo cual implica proteger los derechos fundamentales de los niños, niñas y adolescentes con base en criterios de racionalidad y proporcionalidad;</w:t>
      </w:r>
      <w:r>
        <w:rPr>
          <w:rFonts w:ascii="Times New Roman" w:eastAsia="Times New Roman" w:hAnsi="Times New Roman" w:cs="Times New Roman"/>
        </w:rPr>
        <w:t xml:space="preserve"> lo contrario, paradójicamente, puede acarrear un desconocimiento de aquéllos”</w:t>
      </w:r>
      <w:r>
        <w:rPr>
          <w:rFonts w:ascii="Times New Roman" w:eastAsia="Times New Roman" w:hAnsi="Times New Roman" w:cs="Times New Roman"/>
          <w:vertAlign w:val="superscript"/>
        </w:rPr>
        <w:footnoteReference w:id="9"/>
      </w:r>
    </w:p>
    <w:p w14:paraId="2A4A1C8E" w14:textId="77777777" w:rsidR="00C30E0C" w:rsidRDefault="00715366">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rPr>
        <w:t>Lo anterior es altamente relevante en un ejercicio de diferentes personas que todos los días deben tener en cuenta estos criterios jurisprudenciales para (i) salvaguardar el i</w:t>
      </w:r>
      <w:r>
        <w:rPr>
          <w:rFonts w:ascii="Times New Roman" w:eastAsia="Times New Roman" w:hAnsi="Times New Roman" w:cs="Times New Roman"/>
        </w:rPr>
        <w:t>nterés superior de los distintos menores de edad que atienden y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no vulnerar derechos de los niños, niñas y adolescentes en todas las partes donde tienen atención. Esto se debe hacer a pesar de las </w:t>
      </w:r>
      <w:r>
        <w:rPr>
          <w:rFonts w:ascii="Times New Roman" w:eastAsia="Times New Roman" w:hAnsi="Times New Roman" w:cs="Times New Roman"/>
        </w:rPr>
        <w:lastRenderedPageBreak/>
        <w:t>distintas barreras que tienen los defensores de famili</w:t>
      </w:r>
      <w:r>
        <w:rPr>
          <w:rFonts w:ascii="Times New Roman" w:eastAsia="Times New Roman" w:hAnsi="Times New Roman" w:cs="Times New Roman"/>
        </w:rPr>
        <w:t xml:space="preserve">a para hacer su labor, como ya se vio en el acápite anterior. </w:t>
      </w:r>
    </w:p>
    <w:p w14:paraId="78363B10" w14:textId="77777777" w:rsidR="00C30E0C" w:rsidRDefault="00715366">
      <w:pPr>
        <w:numPr>
          <w:ilvl w:val="0"/>
          <w:numId w:val="3"/>
        </w:numPr>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PROPUESTA</w:t>
      </w:r>
    </w:p>
    <w:p w14:paraId="5384DFF4" w14:textId="77777777" w:rsidR="00C30E0C" w:rsidRDefault="00C30E0C">
      <w:pPr>
        <w:pBdr>
          <w:top w:val="nil"/>
          <w:left w:val="nil"/>
          <w:bottom w:val="nil"/>
          <w:right w:val="nil"/>
          <w:between w:val="nil"/>
        </w:pBdr>
        <w:spacing w:line="276" w:lineRule="auto"/>
        <w:rPr>
          <w:rFonts w:ascii="Times New Roman" w:eastAsia="Times New Roman" w:hAnsi="Times New Roman" w:cs="Times New Roman"/>
          <w:b/>
        </w:rPr>
      </w:pPr>
    </w:p>
    <w:p w14:paraId="2B907952"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Existen múltiples argumentos válidos para justificar la creación de la estampilla para el Fortalecimiento de la Justicia Familiar: “en pro de la niñez y la adolescencia en Colombia”, todas por los Honorables Parlamentarios. De acuerdo a cifras del DANE, la</w:t>
      </w:r>
      <w:r>
        <w:rPr>
          <w:rFonts w:ascii="Times New Roman" w:eastAsia="Times New Roman" w:hAnsi="Times New Roman" w:cs="Times New Roman"/>
        </w:rPr>
        <w:t xml:space="preserve"> población actual de colombianas y colombianos asciende a 53.4 millones, distribuida en 1103 municipios de 32 departamentos. De esa cifra, alrededor de 17 millones son niños, niñas y adolescentes</w:t>
      </w:r>
    </w:p>
    <w:p w14:paraId="608B04EC" w14:textId="77777777" w:rsidR="00C30E0C" w:rsidRDefault="00C30E0C">
      <w:pPr>
        <w:spacing w:line="276" w:lineRule="auto"/>
        <w:rPr>
          <w:rFonts w:ascii="Times New Roman" w:eastAsia="Times New Roman" w:hAnsi="Times New Roman" w:cs="Times New Roman"/>
        </w:rPr>
      </w:pPr>
    </w:p>
    <w:p w14:paraId="5048AC2C"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En el acápite anterior se intentó clasificar las dificultad</w:t>
      </w:r>
      <w:r>
        <w:rPr>
          <w:rFonts w:ascii="Times New Roman" w:eastAsia="Times New Roman" w:hAnsi="Times New Roman" w:cs="Times New Roman"/>
        </w:rPr>
        <w:t xml:space="preserve">es de la justicia familiar cuando las realizan las defensorías de familia adscritas al ICBF y que repercuten en la atención específicamente sobre Niñas, niños y adolescentes. También se hizo un breve vistazo acerca de la jurisprudencia constitucional para </w:t>
      </w:r>
      <w:r>
        <w:rPr>
          <w:rFonts w:ascii="Times New Roman" w:eastAsia="Times New Roman" w:hAnsi="Times New Roman" w:cs="Times New Roman"/>
        </w:rPr>
        <w:t xml:space="preserve">identificar cómo debe ser una correcta atención que tenga en cuenta el interés superior del menor y no vulnere sus derechos. </w:t>
      </w:r>
    </w:p>
    <w:p w14:paraId="0F01F70B" w14:textId="77777777" w:rsidR="00C30E0C" w:rsidRDefault="00C30E0C">
      <w:pPr>
        <w:spacing w:line="276" w:lineRule="auto"/>
        <w:rPr>
          <w:rFonts w:ascii="Times New Roman" w:eastAsia="Times New Roman" w:hAnsi="Times New Roman" w:cs="Times New Roman"/>
        </w:rPr>
      </w:pPr>
    </w:p>
    <w:p w14:paraId="596F196A" w14:textId="77777777"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Por este motivo, se encuentran razones de peso para exponer la necesidad de fortalecer al Instituto Colombiano de bienestar Famil</w:t>
      </w:r>
      <w:r>
        <w:rPr>
          <w:rFonts w:ascii="Times New Roman" w:eastAsia="Times New Roman" w:hAnsi="Times New Roman" w:cs="Times New Roman"/>
        </w:rPr>
        <w:t>iar, que es la institución que le pone el corazón a Colombia, y sobre la que recae la obligación de garantizar los derechos de esta población aún en los lugares más apartados del territorio nacional donde incluso se carezca de servicios esenciales para bri</w:t>
      </w:r>
      <w:r>
        <w:rPr>
          <w:rFonts w:ascii="Times New Roman" w:eastAsia="Times New Roman" w:hAnsi="Times New Roman" w:cs="Times New Roman"/>
        </w:rPr>
        <w:t>ndar la garantía de derechos. Los niños, las niñas y los adolescentes son el presente de nuestra sociedad, son quienes soportan el mayor peso de las inequidades por las desigualdades económicas y sociales del país y son quienes heredarán el estado en que l</w:t>
      </w:r>
      <w:r>
        <w:rPr>
          <w:rFonts w:ascii="Times New Roman" w:eastAsia="Times New Roman" w:hAnsi="Times New Roman" w:cs="Times New Roman"/>
        </w:rPr>
        <w:t xml:space="preserve">es dejemos el país. </w:t>
      </w:r>
    </w:p>
    <w:p w14:paraId="162EEF19" w14:textId="77777777" w:rsidR="00C30E0C" w:rsidRDefault="00C30E0C">
      <w:pPr>
        <w:spacing w:line="276" w:lineRule="auto"/>
        <w:jc w:val="both"/>
        <w:rPr>
          <w:rFonts w:ascii="Times New Roman" w:eastAsia="Times New Roman" w:hAnsi="Times New Roman" w:cs="Times New Roman"/>
        </w:rPr>
      </w:pPr>
    </w:p>
    <w:p w14:paraId="219741AA" w14:textId="6216D2A6"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Lo anterior obliga a propender por brindar un equilibrio para ajustar las cargas y brindar posibilidades de desarrollo en la atención de sus necesidades básicas, cómo que reciban atención en salud, educación, alimentación adecuada y b</w:t>
      </w:r>
      <w:r>
        <w:rPr>
          <w:rFonts w:ascii="Times New Roman" w:eastAsia="Times New Roman" w:hAnsi="Times New Roman" w:cs="Times New Roman"/>
        </w:rPr>
        <w:t xml:space="preserve">ienestar general. El fortalecimiento de la justicia familiar es una responsabilidad </w:t>
      </w:r>
      <w:r w:rsidR="005E0DCF">
        <w:rPr>
          <w:rFonts w:ascii="Times New Roman" w:eastAsia="Times New Roman" w:hAnsi="Times New Roman" w:cs="Times New Roman"/>
        </w:rPr>
        <w:t>colectiva,</w:t>
      </w:r>
      <w:r>
        <w:rPr>
          <w:rFonts w:ascii="Times New Roman" w:eastAsia="Times New Roman" w:hAnsi="Times New Roman" w:cs="Times New Roman"/>
        </w:rPr>
        <w:t xml:space="preserve"> pero impone obligaciones superiores en procura de garantizar la convivencia armónica y pacífica pero feliz, que se haga expresión en la tranquilidad, el crecimien</w:t>
      </w:r>
      <w:r>
        <w:rPr>
          <w:rFonts w:ascii="Times New Roman" w:eastAsia="Times New Roman" w:hAnsi="Times New Roman" w:cs="Times New Roman"/>
        </w:rPr>
        <w:t xml:space="preserve">to. </w:t>
      </w:r>
    </w:p>
    <w:p w14:paraId="560823B4" w14:textId="77777777" w:rsidR="005E0DCF" w:rsidRDefault="005E0DCF">
      <w:pPr>
        <w:spacing w:line="276" w:lineRule="auto"/>
        <w:jc w:val="both"/>
        <w:rPr>
          <w:rFonts w:ascii="Times New Roman" w:eastAsia="Times New Roman" w:hAnsi="Times New Roman" w:cs="Times New Roman"/>
        </w:rPr>
      </w:pPr>
    </w:p>
    <w:p w14:paraId="42BED759" w14:textId="209C13CE" w:rsidR="00C30E0C" w:rsidRDefault="0071536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Lo dicho se logrará si fortalecemos la capacidad institucional del ICBF como ente rector de las políticas públicas para la niñez y la adolescencia, lo que permitirá garantizar que se atienda de manera eficiente, eficaz y efectiva a la población joven </w:t>
      </w:r>
      <w:r>
        <w:rPr>
          <w:rFonts w:ascii="Times New Roman" w:eastAsia="Times New Roman" w:hAnsi="Times New Roman" w:cs="Times New Roman"/>
        </w:rPr>
        <w:t xml:space="preserve">de </w:t>
      </w:r>
      <w:proofErr w:type="spellStart"/>
      <w:r>
        <w:rPr>
          <w:rFonts w:ascii="Times New Roman" w:eastAsia="Times New Roman" w:hAnsi="Times New Roman" w:cs="Times New Roman"/>
        </w:rPr>
        <w:t>colombia</w:t>
      </w:r>
      <w:proofErr w:type="spellEnd"/>
      <w:r>
        <w:rPr>
          <w:rFonts w:ascii="Times New Roman" w:eastAsia="Times New Roman" w:hAnsi="Times New Roman" w:cs="Times New Roman"/>
        </w:rPr>
        <w:t xml:space="preserve"> en todos los estratos sociales. Dotar de mayor presupuesto al ICBF a través de la estampilla permitirá la </w:t>
      </w:r>
      <w:r>
        <w:rPr>
          <w:rFonts w:ascii="Times New Roman" w:eastAsia="Times New Roman" w:hAnsi="Times New Roman" w:cs="Times New Roman"/>
        </w:rPr>
        <w:lastRenderedPageBreak/>
        <w:t xml:space="preserve">prevención, la protección y el restablecimiento de los </w:t>
      </w:r>
      <w:proofErr w:type="spellStart"/>
      <w:r>
        <w:rPr>
          <w:rFonts w:ascii="Times New Roman" w:eastAsia="Times New Roman" w:hAnsi="Times New Roman" w:cs="Times New Roman"/>
        </w:rPr>
        <w:t>NNA.También</w:t>
      </w:r>
      <w:proofErr w:type="spellEnd"/>
      <w:r>
        <w:rPr>
          <w:rFonts w:ascii="Times New Roman" w:eastAsia="Times New Roman" w:hAnsi="Times New Roman" w:cs="Times New Roman"/>
        </w:rPr>
        <w:t xml:space="preserve"> permitirá llegar a todos los territorios obliga mejorar  la infraestruc</w:t>
      </w:r>
      <w:r>
        <w:rPr>
          <w:rFonts w:ascii="Times New Roman" w:eastAsia="Times New Roman" w:hAnsi="Times New Roman" w:cs="Times New Roman"/>
        </w:rPr>
        <w:t>tura existente y crear nueva donde no existan estos servicios, se deberá dotar de</w:t>
      </w:r>
      <w:r>
        <w:rPr>
          <w:rFonts w:ascii="Times New Roman" w:eastAsia="Times New Roman" w:hAnsi="Times New Roman" w:cs="Times New Roman"/>
        </w:rPr>
        <w:t xml:space="preserve"> las tecnologías existentes, de ampliar la planta de personal para que existan Defensorías de familias con sus equipos de profesionales en todos los municipios de Colombia </w:t>
      </w:r>
      <w:r>
        <w:rPr>
          <w:rFonts w:ascii="Times New Roman" w:eastAsia="Times New Roman" w:hAnsi="Times New Roman" w:cs="Times New Roman"/>
        </w:rPr>
        <w:t>y no solo en las ciudades capitales y en municipios privilegiados, se deberá pensar en cómo fortalecer las condiciones laborales de los servidores públicos incrementando y  nivelando sus salarios así como absorber los contratistas en la planta de personal.</w:t>
      </w:r>
    </w:p>
    <w:p w14:paraId="2E583AD7" w14:textId="77777777" w:rsidR="00C30E0C" w:rsidRDefault="00C30E0C">
      <w:pPr>
        <w:spacing w:line="276" w:lineRule="auto"/>
        <w:rPr>
          <w:rFonts w:ascii="Times New Roman" w:eastAsia="Times New Roman" w:hAnsi="Times New Roman" w:cs="Times New Roman"/>
        </w:rPr>
      </w:pPr>
    </w:p>
    <w:p w14:paraId="09D604DA" w14:textId="77777777" w:rsidR="00C30E0C" w:rsidRDefault="00715366">
      <w:pPr>
        <w:pBdr>
          <w:top w:val="nil"/>
          <w:left w:val="nil"/>
          <w:bottom w:val="nil"/>
          <w:right w:val="nil"/>
          <w:between w:val="nil"/>
        </w:pBdr>
        <w:spacing w:line="276" w:lineRule="auto"/>
        <w:jc w:val="both"/>
        <w:rPr>
          <w:rFonts w:ascii="Times New Roman" w:eastAsia="Times New Roman" w:hAnsi="Times New Roman" w:cs="Times New Roman"/>
        </w:rPr>
      </w:pPr>
      <w:r>
        <w:rPr>
          <w:rFonts w:ascii="Times New Roman" w:eastAsia="Times New Roman" w:hAnsi="Times New Roman" w:cs="Times New Roman"/>
        </w:rPr>
        <w:t>Para construir el país que se requiere para los niños, las niñas y los adolescentes debemos empezar por brindar los recursos, las oportunidades y los instrumentos necesarios y suficientes para mantener viva la esperanza de un presente y un futuro mejor. Po</w:t>
      </w:r>
      <w:r>
        <w:rPr>
          <w:rFonts w:ascii="Times New Roman" w:eastAsia="Times New Roman" w:hAnsi="Times New Roman" w:cs="Times New Roman"/>
        </w:rPr>
        <w:t xml:space="preserve">r lo que, se finaliza, por la premisa por la cual se inició el presente texto:  Una justicia familiar más fuerte ayuda a garantizar de una mejor manera los derechos de las niñas, niños y adolescentes. Y eso solo se logrará si se dan medidas efectivas para </w:t>
      </w:r>
      <w:r>
        <w:rPr>
          <w:rFonts w:ascii="Times New Roman" w:eastAsia="Times New Roman" w:hAnsi="Times New Roman" w:cs="Times New Roman"/>
        </w:rPr>
        <w:t xml:space="preserve">superar las dificultades que a día de hoy tienen las y los defensores de familia, medidas como la aprobación de la presente estampilla. </w:t>
      </w:r>
    </w:p>
    <w:p w14:paraId="7284E241" w14:textId="77777777" w:rsidR="00C30E0C" w:rsidRDefault="00C30E0C">
      <w:pPr>
        <w:pBdr>
          <w:top w:val="nil"/>
          <w:left w:val="nil"/>
          <w:bottom w:val="nil"/>
          <w:right w:val="nil"/>
          <w:between w:val="nil"/>
        </w:pBdr>
        <w:spacing w:line="276" w:lineRule="auto"/>
        <w:jc w:val="both"/>
        <w:rPr>
          <w:rFonts w:ascii="Times New Roman" w:eastAsia="Times New Roman" w:hAnsi="Times New Roman" w:cs="Times New Roman"/>
        </w:rPr>
      </w:pPr>
    </w:p>
    <w:p w14:paraId="6EE8C741"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rPr>
        <w:t>COMPETENCIA DEL CONGRESO</w:t>
      </w:r>
    </w:p>
    <w:p w14:paraId="7330FB53" w14:textId="77777777" w:rsidR="00C30E0C" w:rsidRDefault="00715366">
      <w:pPr>
        <w:spacing w:before="240" w:after="240" w:line="276" w:lineRule="auto"/>
        <w:jc w:val="both"/>
        <w:rPr>
          <w:rFonts w:ascii="Georgia" w:eastAsia="Georgia" w:hAnsi="Georgia" w:cs="Georgia"/>
          <w:b/>
          <w:sz w:val="22"/>
          <w:szCs w:val="22"/>
        </w:rPr>
      </w:pPr>
      <w:r>
        <w:rPr>
          <w:rFonts w:ascii="Georgia" w:eastAsia="Georgia" w:hAnsi="Georgia" w:cs="Georgia"/>
          <w:b/>
          <w:sz w:val="22"/>
          <w:szCs w:val="22"/>
        </w:rPr>
        <w:t>CONSTITUCIONAL</w:t>
      </w:r>
    </w:p>
    <w:p w14:paraId="3926A2F4"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b/>
          <w:sz w:val="22"/>
          <w:szCs w:val="22"/>
        </w:rPr>
        <w:t>ARTÍCULO 114.</w:t>
      </w:r>
      <w:r>
        <w:rPr>
          <w:rFonts w:ascii="Georgia" w:eastAsia="Georgia" w:hAnsi="Georgia" w:cs="Georgia"/>
          <w:sz w:val="22"/>
          <w:szCs w:val="22"/>
        </w:rPr>
        <w:t xml:space="preserve"> Corresponde al Congreso de la República reformar la Constitución</w:t>
      </w:r>
      <w:r>
        <w:rPr>
          <w:rFonts w:ascii="Georgia" w:eastAsia="Georgia" w:hAnsi="Georgia" w:cs="Georgia"/>
          <w:sz w:val="22"/>
          <w:szCs w:val="22"/>
        </w:rPr>
        <w:t>, hacer las leyes y ejercer control político sobre el gobierno y la administración.</w:t>
      </w:r>
    </w:p>
    <w:p w14:paraId="1A46319A"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sz w:val="22"/>
          <w:szCs w:val="22"/>
        </w:rPr>
        <w:t>El Congreso de la República, estará integrado por el Senado y la Cámara de Representantes.</w:t>
      </w:r>
    </w:p>
    <w:p w14:paraId="11E994F3"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b/>
          <w:sz w:val="22"/>
          <w:szCs w:val="22"/>
        </w:rPr>
        <w:t xml:space="preserve">ARTÍCULO  150. </w:t>
      </w:r>
      <w:r>
        <w:rPr>
          <w:rFonts w:ascii="Georgia" w:eastAsia="Georgia" w:hAnsi="Georgia" w:cs="Georgia"/>
          <w:sz w:val="22"/>
          <w:szCs w:val="22"/>
        </w:rPr>
        <w:t>Corresponde al Congreso hacer las leyes. Por medio de ellas ejerce</w:t>
      </w:r>
      <w:r>
        <w:rPr>
          <w:rFonts w:ascii="Georgia" w:eastAsia="Georgia" w:hAnsi="Georgia" w:cs="Georgia"/>
          <w:sz w:val="22"/>
          <w:szCs w:val="22"/>
        </w:rPr>
        <w:t xml:space="preserve"> las siguientes funciones:</w:t>
      </w:r>
    </w:p>
    <w:p w14:paraId="4903E400"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sz w:val="22"/>
          <w:szCs w:val="22"/>
        </w:rPr>
        <w:t>1.   Interpretar, reformar y derogar las leyes.</w:t>
      </w:r>
    </w:p>
    <w:p w14:paraId="354EB6E8"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sz w:val="22"/>
          <w:szCs w:val="22"/>
        </w:rPr>
        <w:t>2.   Expedir códigos en todos los ramos de la legislación y reformar sus disposiciones.</w:t>
      </w:r>
    </w:p>
    <w:p w14:paraId="27CBB321" w14:textId="77777777" w:rsidR="00C30E0C" w:rsidRDefault="00715366">
      <w:pPr>
        <w:spacing w:before="240" w:after="240" w:line="276" w:lineRule="auto"/>
        <w:jc w:val="both"/>
        <w:rPr>
          <w:rFonts w:ascii="Georgia" w:eastAsia="Georgia" w:hAnsi="Georgia" w:cs="Georgia"/>
          <w:sz w:val="22"/>
          <w:szCs w:val="22"/>
        </w:rPr>
      </w:pPr>
      <w:r>
        <w:rPr>
          <w:rFonts w:ascii="Georgia" w:eastAsia="Georgia" w:hAnsi="Georgia" w:cs="Georgia"/>
          <w:sz w:val="22"/>
          <w:szCs w:val="22"/>
        </w:rPr>
        <w:t xml:space="preserve">3. Aprobar el plan nacional de desarrollo y de inversiones públicas que hayan de emprenderse </w:t>
      </w:r>
      <w:r>
        <w:rPr>
          <w:rFonts w:ascii="Georgia" w:eastAsia="Georgia" w:hAnsi="Georgia" w:cs="Georgia"/>
          <w:sz w:val="22"/>
          <w:szCs w:val="22"/>
        </w:rPr>
        <w:t>o continuarse, con la determinación de los recursos y apropiaciones que se autoricen para su ejecución, y las medidas necesarias para impulsar el cumplimiento de los mismos.</w:t>
      </w:r>
    </w:p>
    <w:p w14:paraId="4CA3D274" w14:textId="77777777" w:rsidR="00C30E0C" w:rsidRDefault="00715366">
      <w:pPr>
        <w:spacing w:before="240" w:after="240" w:line="276" w:lineRule="auto"/>
        <w:jc w:val="both"/>
        <w:rPr>
          <w:rFonts w:ascii="Georgia" w:eastAsia="Georgia" w:hAnsi="Georgia" w:cs="Georgia"/>
          <w:b/>
          <w:sz w:val="22"/>
          <w:szCs w:val="22"/>
        </w:rPr>
      </w:pPr>
      <w:r>
        <w:rPr>
          <w:rFonts w:ascii="Georgia" w:eastAsia="Georgia" w:hAnsi="Georgia" w:cs="Georgia"/>
          <w:sz w:val="22"/>
          <w:szCs w:val="22"/>
        </w:rPr>
        <w:t xml:space="preserve">4.   Definir la división general del territorio con arreglo a lo previsto en esta </w:t>
      </w:r>
      <w:r>
        <w:rPr>
          <w:rFonts w:ascii="Georgia" w:eastAsia="Georgia" w:hAnsi="Georgia" w:cs="Georgia"/>
          <w:sz w:val="22"/>
          <w:szCs w:val="22"/>
        </w:rPr>
        <w:t>Constitución, fijar las bases y condiciones para crear, eliminar, modificar o fusionar entidades territoriales y establecer sus competencias.</w:t>
      </w:r>
    </w:p>
    <w:p w14:paraId="43CD8156" w14:textId="77777777" w:rsidR="00C30E0C" w:rsidRDefault="00715366">
      <w:pPr>
        <w:spacing w:before="240" w:after="240" w:line="276" w:lineRule="auto"/>
        <w:jc w:val="both"/>
        <w:rPr>
          <w:rFonts w:ascii="Georgia" w:eastAsia="Georgia" w:hAnsi="Georgia" w:cs="Georgia"/>
          <w:b/>
          <w:sz w:val="22"/>
          <w:szCs w:val="22"/>
        </w:rPr>
      </w:pPr>
      <w:r>
        <w:rPr>
          <w:rFonts w:ascii="Georgia" w:eastAsia="Georgia" w:hAnsi="Georgia" w:cs="Georgia"/>
          <w:b/>
          <w:sz w:val="22"/>
          <w:szCs w:val="22"/>
        </w:rPr>
        <w:lastRenderedPageBreak/>
        <w:t>LEGAL</w:t>
      </w:r>
    </w:p>
    <w:p w14:paraId="3DE787E0" w14:textId="77777777" w:rsidR="00C30E0C" w:rsidRDefault="00715366">
      <w:pPr>
        <w:spacing w:before="240" w:after="240" w:line="276" w:lineRule="auto"/>
        <w:jc w:val="both"/>
        <w:rPr>
          <w:rFonts w:ascii="Georgia" w:eastAsia="Georgia" w:hAnsi="Georgia" w:cs="Georgia"/>
          <w:b/>
          <w:sz w:val="22"/>
          <w:szCs w:val="22"/>
        </w:rPr>
      </w:pPr>
      <w:r>
        <w:rPr>
          <w:rFonts w:ascii="Georgia" w:eastAsia="Georgia" w:hAnsi="Georgia" w:cs="Georgia"/>
          <w:b/>
          <w:sz w:val="22"/>
          <w:szCs w:val="22"/>
        </w:rPr>
        <w:t>LEY 5 DE 1992. POR LA CUAL SE EXPIDE EL REGLAMENTO DEL CONGRESO; EL SENADO Y LA CÁMARA DE REPRESENTANTES</w:t>
      </w:r>
    </w:p>
    <w:p w14:paraId="765468B9" w14:textId="77777777" w:rsidR="00C30E0C" w:rsidRDefault="00715366">
      <w:pPr>
        <w:spacing w:before="240" w:after="240" w:line="276" w:lineRule="auto"/>
        <w:jc w:val="both"/>
        <w:rPr>
          <w:rFonts w:ascii="Georgia" w:eastAsia="Georgia" w:hAnsi="Georgia" w:cs="Georgia"/>
          <w:i/>
          <w:sz w:val="22"/>
          <w:szCs w:val="22"/>
        </w:rPr>
      </w:pPr>
      <w:r>
        <w:rPr>
          <w:rFonts w:ascii="Georgia" w:eastAsia="Georgia" w:hAnsi="Georgia" w:cs="Georgia"/>
          <w:b/>
          <w:i/>
          <w:sz w:val="22"/>
          <w:szCs w:val="22"/>
        </w:rPr>
        <w:t>ART</w:t>
      </w:r>
      <w:r>
        <w:rPr>
          <w:rFonts w:ascii="Georgia" w:eastAsia="Georgia" w:hAnsi="Georgia" w:cs="Georgia"/>
          <w:b/>
          <w:i/>
          <w:sz w:val="22"/>
          <w:szCs w:val="22"/>
        </w:rPr>
        <w:t xml:space="preserve">ÍCULO  6°. Clases de funciones del Congreso. </w:t>
      </w:r>
      <w:r>
        <w:rPr>
          <w:rFonts w:ascii="Georgia" w:eastAsia="Georgia" w:hAnsi="Georgia" w:cs="Georgia"/>
          <w:i/>
          <w:sz w:val="22"/>
          <w:szCs w:val="22"/>
        </w:rPr>
        <w:t>El Congreso de la República cumple:</w:t>
      </w:r>
    </w:p>
    <w:p w14:paraId="1F4284EF" w14:textId="77777777" w:rsidR="00C30E0C" w:rsidRDefault="00715366">
      <w:pPr>
        <w:spacing w:before="240" w:after="240" w:line="276" w:lineRule="auto"/>
        <w:jc w:val="both"/>
        <w:rPr>
          <w:rFonts w:ascii="Georgia" w:eastAsia="Georgia" w:hAnsi="Georgia" w:cs="Georgia"/>
          <w:i/>
          <w:sz w:val="22"/>
          <w:szCs w:val="22"/>
        </w:rPr>
      </w:pPr>
      <w:r>
        <w:rPr>
          <w:rFonts w:ascii="Georgia" w:eastAsia="Georgia" w:hAnsi="Georgia" w:cs="Georgia"/>
          <w:i/>
          <w:sz w:val="22"/>
          <w:szCs w:val="22"/>
        </w:rPr>
        <w:t>(…)</w:t>
      </w:r>
    </w:p>
    <w:p w14:paraId="55F284E3" w14:textId="77777777" w:rsidR="00C30E0C" w:rsidRDefault="00715366">
      <w:pPr>
        <w:spacing w:before="240" w:after="240" w:line="276" w:lineRule="auto"/>
        <w:ind w:right="900"/>
        <w:jc w:val="both"/>
        <w:rPr>
          <w:rFonts w:ascii="Georgia" w:eastAsia="Georgia" w:hAnsi="Georgia" w:cs="Georgia"/>
          <w:i/>
          <w:sz w:val="22"/>
          <w:szCs w:val="22"/>
        </w:rPr>
      </w:pPr>
      <w:r>
        <w:rPr>
          <w:rFonts w:ascii="Georgia" w:eastAsia="Georgia" w:hAnsi="Georgia" w:cs="Georgia"/>
          <w:i/>
          <w:sz w:val="22"/>
          <w:szCs w:val="22"/>
        </w:rPr>
        <w:t>2. Función legislativa, para elaborar, interpretar, reformar y derogar las leyes y códigos en todos los ramos de la legislación.</w:t>
      </w:r>
    </w:p>
    <w:p w14:paraId="53E0DDEB" w14:textId="77777777" w:rsidR="00C30E0C" w:rsidRDefault="00715366">
      <w:pPr>
        <w:spacing w:before="240" w:after="240" w:line="276" w:lineRule="auto"/>
        <w:jc w:val="both"/>
        <w:rPr>
          <w:rFonts w:ascii="Georgia" w:eastAsia="Georgia" w:hAnsi="Georgia" w:cs="Georgia"/>
          <w:i/>
          <w:sz w:val="22"/>
          <w:szCs w:val="22"/>
        </w:rPr>
      </w:pPr>
      <w:r>
        <w:rPr>
          <w:rFonts w:ascii="Georgia" w:eastAsia="Georgia" w:hAnsi="Georgia" w:cs="Georgia"/>
          <w:b/>
          <w:i/>
          <w:sz w:val="22"/>
          <w:szCs w:val="22"/>
        </w:rPr>
        <w:t xml:space="preserve">ARTÍCULO 139. Presentación de proyectos. </w:t>
      </w:r>
      <w:r>
        <w:rPr>
          <w:rFonts w:ascii="Georgia" w:eastAsia="Georgia" w:hAnsi="Georgia" w:cs="Georgia"/>
          <w:i/>
          <w:sz w:val="22"/>
          <w:szCs w:val="22"/>
        </w:rPr>
        <w:t>Los proyectos de ley podrán presentarse en la Secretaría General de las Cámaras o en sus plenarias.</w:t>
      </w:r>
    </w:p>
    <w:p w14:paraId="74AE57F6" w14:textId="77777777" w:rsidR="00C30E0C" w:rsidRDefault="00715366">
      <w:pPr>
        <w:spacing w:before="240" w:after="240" w:line="276" w:lineRule="auto"/>
        <w:jc w:val="both"/>
        <w:rPr>
          <w:rFonts w:ascii="Georgia" w:eastAsia="Georgia" w:hAnsi="Georgia" w:cs="Georgia"/>
          <w:i/>
          <w:sz w:val="22"/>
          <w:szCs w:val="22"/>
        </w:rPr>
      </w:pPr>
      <w:r>
        <w:rPr>
          <w:rFonts w:ascii="Georgia" w:eastAsia="Georgia" w:hAnsi="Georgia" w:cs="Georgia"/>
          <w:b/>
          <w:i/>
          <w:sz w:val="22"/>
          <w:szCs w:val="22"/>
        </w:rPr>
        <w:t xml:space="preserve">ARTÍCULO 140. Iniciativa legislativa. </w:t>
      </w:r>
      <w:r>
        <w:rPr>
          <w:rFonts w:ascii="Georgia" w:eastAsia="Georgia" w:hAnsi="Georgia" w:cs="Georgia"/>
          <w:i/>
          <w:sz w:val="22"/>
          <w:szCs w:val="22"/>
        </w:rPr>
        <w:t>Pueden presentar proyectos de ley:</w:t>
      </w:r>
    </w:p>
    <w:p w14:paraId="5F715F2B" w14:textId="77777777" w:rsidR="00C30E0C" w:rsidRDefault="00715366">
      <w:pPr>
        <w:spacing w:before="240" w:after="240" w:line="276" w:lineRule="auto"/>
        <w:jc w:val="both"/>
        <w:rPr>
          <w:rFonts w:ascii="Times New Roman" w:eastAsia="Times New Roman" w:hAnsi="Times New Roman" w:cs="Times New Roman"/>
          <w:b/>
        </w:rPr>
      </w:pPr>
      <w:r>
        <w:rPr>
          <w:rFonts w:ascii="Georgia" w:eastAsia="Georgia" w:hAnsi="Georgia" w:cs="Georgia"/>
          <w:i/>
          <w:sz w:val="22"/>
          <w:szCs w:val="22"/>
        </w:rPr>
        <w:t>1. Los Senadores y Representantes a la Cámara individualmente y a través de las ban</w:t>
      </w:r>
      <w:r>
        <w:rPr>
          <w:rFonts w:ascii="Georgia" w:eastAsia="Georgia" w:hAnsi="Georgia" w:cs="Georgia"/>
          <w:i/>
          <w:sz w:val="22"/>
          <w:szCs w:val="22"/>
        </w:rPr>
        <w:t>cadas.</w:t>
      </w:r>
    </w:p>
    <w:p w14:paraId="1B5CD68E"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rPr>
        <w:t>IMPACTO FISCAL</w:t>
      </w:r>
    </w:p>
    <w:p w14:paraId="539FC892" w14:textId="77777777" w:rsidR="00C30E0C" w:rsidRDefault="00C30E0C">
      <w:pPr>
        <w:pBdr>
          <w:top w:val="nil"/>
          <w:left w:val="nil"/>
          <w:bottom w:val="nil"/>
          <w:right w:val="nil"/>
          <w:between w:val="nil"/>
        </w:pBdr>
        <w:spacing w:line="276" w:lineRule="auto"/>
        <w:ind w:left="720"/>
        <w:rPr>
          <w:rFonts w:ascii="Times New Roman" w:eastAsia="Times New Roman" w:hAnsi="Times New Roman" w:cs="Times New Roman"/>
          <w:b/>
        </w:rPr>
      </w:pPr>
    </w:p>
    <w:p w14:paraId="33DE71B7" w14:textId="77777777" w:rsidR="00C30E0C" w:rsidRDefault="00715366">
      <w:pPr>
        <w:spacing w:after="240" w:line="276" w:lineRule="auto"/>
        <w:jc w:val="both"/>
        <w:rPr>
          <w:rFonts w:ascii="Georgia" w:eastAsia="Georgia" w:hAnsi="Georgia" w:cs="Georgia"/>
          <w:sz w:val="22"/>
          <w:szCs w:val="22"/>
        </w:rPr>
      </w:pPr>
      <w:r>
        <w:rPr>
          <w:rFonts w:ascii="Georgia" w:eastAsia="Georgia" w:hAnsi="Georgia" w:cs="Georgia"/>
          <w:sz w:val="22"/>
          <w:szCs w:val="22"/>
        </w:rPr>
        <w:t xml:space="preserve">Sobre el impacto fiscal de los proyectos de ley, indica la Ley 819 de 2003 </w:t>
      </w:r>
      <w:r>
        <w:rPr>
          <w:rFonts w:ascii="Georgia" w:eastAsia="Georgia" w:hAnsi="Georgia" w:cs="Georgia"/>
          <w:i/>
          <w:sz w:val="22"/>
          <w:szCs w:val="22"/>
        </w:rPr>
        <w:t>“Por la cual se dictan normas orgánicas en materia de presupuesto, responsabilidad y transparencia fiscal y se dictan otras disposiciones”</w:t>
      </w:r>
      <w:r>
        <w:rPr>
          <w:rFonts w:ascii="Georgia" w:eastAsia="Georgia" w:hAnsi="Georgia" w:cs="Georgia"/>
          <w:sz w:val="22"/>
          <w:szCs w:val="22"/>
        </w:rPr>
        <w:t>, en su artículo sép</w:t>
      </w:r>
      <w:r>
        <w:rPr>
          <w:rFonts w:ascii="Georgia" w:eastAsia="Georgia" w:hAnsi="Georgia" w:cs="Georgia"/>
          <w:sz w:val="22"/>
          <w:szCs w:val="22"/>
        </w:rPr>
        <w:t xml:space="preserve">timo, que </w:t>
      </w:r>
      <w:r>
        <w:rPr>
          <w:rFonts w:ascii="Georgia" w:eastAsia="Georgia" w:hAnsi="Georgia" w:cs="Georgia"/>
          <w:i/>
          <w:sz w:val="22"/>
          <w:szCs w:val="22"/>
        </w:rPr>
        <w:t>“el impacto fiscal de cualquier proyecto de ley, ordenanza o acuerdo, que ordene gasto o que otorgue beneficios tributarios, deberá hacerse explícito y deberá ser compatible con el Marco Fiscal de Mediano Plazo. Para estos propósitos, deberá incl</w:t>
      </w:r>
      <w:r>
        <w:rPr>
          <w:rFonts w:ascii="Georgia" w:eastAsia="Georgia" w:hAnsi="Georgia" w:cs="Georgia"/>
          <w:i/>
          <w:sz w:val="22"/>
          <w:szCs w:val="22"/>
        </w:rPr>
        <w:t>uirse expresamente en la exposición de motivos y en las ponencias de trámite respectivas los costos fiscales de la iniciativa y la fuente de ingreso adicional generada para el financiamiento de dicho costo”</w:t>
      </w:r>
      <w:r>
        <w:rPr>
          <w:rFonts w:ascii="Georgia" w:eastAsia="Georgia" w:hAnsi="Georgia" w:cs="Georgia"/>
          <w:sz w:val="22"/>
          <w:szCs w:val="22"/>
        </w:rPr>
        <w:t xml:space="preserve">, por lo que, en cumplimiento de dicho requisito, </w:t>
      </w:r>
      <w:r>
        <w:rPr>
          <w:rFonts w:ascii="Georgia" w:eastAsia="Georgia" w:hAnsi="Georgia" w:cs="Georgia"/>
          <w:sz w:val="22"/>
          <w:szCs w:val="22"/>
        </w:rPr>
        <w:t xml:space="preserve">se considera que el presente proyecto no genera ningún tipo de impacto fiscal. </w:t>
      </w:r>
    </w:p>
    <w:p w14:paraId="77BD49CD" w14:textId="77777777" w:rsidR="00C30E0C" w:rsidRDefault="00715366">
      <w:pPr>
        <w:spacing w:after="240" w:line="276" w:lineRule="auto"/>
        <w:jc w:val="both"/>
        <w:rPr>
          <w:rFonts w:ascii="Georgia" w:eastAsia="Georgia" w:hAnsi="Georgia" w:cs="Georgia"/>
          <w:sz w:val="22"/>
          <w:szCs w:val="22"/>
        </w:rPr>
      </w:pPr>
      <w:r>
        <w:rPr>
          <w:rFonts w:ascii="Georgia" w:eastAsia="Georgia" w:hAnsi="Georgia" w:cs="Georgia"/>
          <w:sz w:val="22"/>
          <w:szCs w:val="22"/>
        </w:rPr>
        <w:t>Con la creación de la estampilla se buscan ingresar más fondos al ICBF, por lo que, lejos de aumentar los costos, se quieren dar unas medidas para financiar unas medidas concre</w:t>
      </w:r>
      <w:r>
        <w:rPr>
          <w:rFonts w:ascii="Georgia" w:eastAsia="Georgia" w:hAnsi="Georgia" w:cs="Georgia"/>
          <w:sz w:val="22"/>
          <w:szCs w:val="22"/>
        </w:rPr>
        <w:t xml:space="preserve">tas. </w:t>
      </w:r>
    </w:p>
    <w:p w14:paraId="33C532E3" w14:textId="77777777" w:rsidR="00C30E0C" w:rsidRDefault="00715366">
      <w:pPr>
        <w:spacing w:before="240" w:after="240" w:line="276" w:lineRule="auto"/>
        <w:jc w:val="both"/>
        <w:rPr>
          <w:rFonts w:ascii="Times New Roman" w:eastAsia="Times New Roman" w:hAnsi="Times New Roman" w:cs="Times New Roman"/>
          <w:b/>
        </w:rPr>
      </w:pPr>
      <w:r>
        <w:rPr>
          <w:rFonts w:ascii="Georgia" w:eastAsia="Georgia" w:hAnsi="Georgia" w:cs="Georgia"/>
          <w:sz w:val="22"/>
          <w:szCs w:val="22"/>
        </w:rPr>
        <w:t>Adicionalmente, debe resaltarse que la Corte Constitucional en las sentencias C-502 de 2007 y C-490 de 2011 ha señalado que el impacto fiscal no puede ser, en ningún caso, un obstáculo insuperable para el desarrollo de las propuestas legislativas, ni</w:t>
      </w:r>
      <w:r>
        <w:rPr>
          <w:rFonts w:ascii="Georgia" w:eastAsia="Georgia" w:hAnsi="Georgia" w:cs="Georgia"/>
          <w:sz w:val="22"/>
          <w:szCs w:val="22"/>
        </w:rPr>
        <w:t xml:space="preserve"> es necesariamente un requisito de trámite para la aprobación de los proyectos, así como tampoco puede constituirse en una barrera para ejercer las funciones legislativas de los congresistas. En </w:t>
      </w:r>
      <w:r>
        <w:rPr>
          <w:rFonts w:ascii="Georgia" w:eastAsia="Georgia" w:hAnsi="Georgia" w:cs="Georgia"/>
          <w:sz w:val="22"/>
          <w:szCs w:val="22"/>
        </w:rPr>
        <w:lastRenderedPageBreak/>
        <w:t>conclusión, la presente iniciativa no modifica de ninguna man</w:t>
      </w:r>
      <w:r>
        <w:rPr>
          <w:rFonts w:ascii="Georgia" w:eastAsia="Georgia" w:hAnsi="Georgia" w:cs="Georgia"/>
          <w:sz w:val="22"/>
          <w:szCs w:val="22"/>
        </w:rPr>
        <w:t xml:space="preserve">era las finanzas públicas ni contraviene el marco fiscal de mediano plazo, sin embargo, en tanto su trámite se dará en las comisiones económicas, se solicitará concepto al Ministerio de Hacienda y Crédito Público. </w:t>
      </w:r>
    </w:p>
    <w:p w14:paraId="2F3DFA38" w14:textId="77777777" w:rsidR="00C30E0C" w:rsidRDefault="00715366">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rPr>
        <w:t>CONFLICTO DE INTERESES</w:t>
      </w:r>
    </w:p>
    <w:p w14:paraId="77B50251" w14:textId="77777777" w:rsidR="00C30E0C" w:rsidRDefault="00C30E0C">
      <w:pPr>
        <w:spacing w:line="276" w:lineRule="auto"/>
        <w:ind w:left="1080"/>
        <w:rPr>
          <w:rFonts w:ascii="Times New Roman" w:eastAsia="Times New Roman" w:hAnsi="Times New Roman" w:cs="Times New Roman"/>
        </w:rPr>
      </w:pPr>
    </w:p>
    <w:p w14:paraId="7626E4AB" w14:textId="77777777" w:rsidR="00C30E0C" w:rsidRDefault="00715366">
      <w:pPr>
        <w:spacing w:line="276" w:lineRule="auto"/>
        <w:jc w:val="both"/>
        <w:rPr>
          <w:rFonts w:ascii="Times New Roman" w:eastAsia="Times New Roman" w:hAnsi="Times New Roman" w:cs="Times New Roman"/>
          <w:i/>
        </w:rPr>
      </w:pPr>
      <w:r>
        <w:rPr>
          <w:rFonts w:ascii="Times New Roman" w:eastAsia="Times New Roman" w:hAnsi="Times New Roman" w:cs="Times New Roman"/>
        </w:rPr>
        <w:t xml:space="preserve">De acuerdo con el artículo 291 de la Ley 5ª de 1992 -Reglamento Interno del Congreso- modificado por el artículo 3° de la Ley 2003 de 2019, establece que: </w:t>
      </w:r>
      <w:r>
        <w:rPr>
          <w:rFonts w:ascii="Times New Roman" w:eastAsia="Times New Roman" w:hAnsi="Times New Roman" w:cs="Times New Roman"/>
          <w:i/>
        </w:rPr>
        <w:t>“el autor del proyecto y el ponente presentarán en el cuerpo de la exposición de motivos un acápite q</w:t>
      </w:r>
      <w:r>
        <w:rPr>
          <w:rFonts w:ascii="Times New Roman" w:eastAsia="Times New Roman" w:hAnsi="Times New Roman" w:cs="Times New Roman"/>
          <w:i/>
        </w:rPr>
        <w:t xml:space="preserve">ue describa las circunstancias o eventos que podrían generar un conflicto de interés para la discusión y votación del proyecto, de acuerdo con el artículo 286. Estos serán criterios guías para que los otros congresistas tomen una decisión en torno a si se </w:t>
      </w:r>
      <w:r>
        <w:rPr>
          <w:rFonts w:ascii="Times New Roman" w:eastAsia="Times New Roman" w:hAnsi="Times New Roman" w:cs="Times New Roman"/>
          <w:i/>
        </w:rPr>
        <w:t>encuentran en una causal de impedimento, no obstante, otras causales que el Congresista pueda encontrar”.</w:t>
      </w:r>
    </w:p>
    <w:p w14:paraId="4D1F6F14" w14:textId="77777777" w:rsidR="00C30E0C" w:rsidRDefault="00C30E0C">
      <w:pPr>
        <w:spacing w:line="276" w:lineRule="auto"/>
        <w:jc w:val="both"/>
        <w:rPr>
          <w:rFonts w:ascii="Times New Roman" w:eastAsia="Times New Roman" w:hAnsi="Times New Roman" w:cs="Times New Roman"/>
          <w:i/>
        </w:rPr>
      </w:pPr>
    </w:p>
    <w:p w14:paraId="49F52EF4" w14:textId="77777777" w:rsidR="00C30E0C" w:rsidRDefault="00715366">
      <w:pPr>
        <w:spacing w:line="276" w:lineRule="auto"/>
        <w:jc w:val="both"/>
        <w:rPr>
          <w:rFonts w:ascii="Times New Roman" w:eastAsia="Times New Roman" w:hAnsi="Times New Roman" w:cs="Times New Roman"/>
          <w:i/>
        </w:rPr>
      </w:pPr>
      <w:r>
        <w:rPr>
          <w:rFonts w:ascii="Times New Roman" w:eastAsia="Times New Roman" w:hAnsi="Times New Roman" w:cs="Times New Roman"/>
        </w:rPr>
        <w:t>De igual manera, el artículo 286 de la norma en comento, modificado por el artículo 1° de la Ley 2003 de 2019, define el conflicto de interés como la</w:t>
      </w:r>
      <w:r>
        <w:rPr>
          <w:rFonts w:ascii="Times New Roman" w:eastAsia="Times New Roman" w:hAnsi="Times New Roman" w:cs="Times New Roman"/>
        </w:rPr>
        <w:t xml:space="preserve"> </w:t>
      </w:r>
      <w:r>
        <w:rPr>
          <w:rFonts w:ascii="Times New Roman" w:eastAsia="Times New Roman" w:hAnsi="Times New Roman" w:cs="Times New Roman"/>
          <w:i/>
        </w:rPr>
        <w:t>“situación donde la discusión o votación de un proyecto de ley o acto legislativo o artículo, pueda resultar en un beneficio particular, actual y directo a favor del congresista”.</w:t>
      </w:r>
    </w:p>
    <w:p w14:paraId="5E171491" w14:textId="77777777" w:rsidR="00C30E0C" w:rsidRDefault="00C30E0C">
      <w:pPr>
        <w:spacing w:line="276" w:lineRule="auto"/>
        <w:jc w:val="both"/>
        <w:rPr>
          <w:rFonts w:ascii="Times New Roman" w:eastAsia="Times New Roman" w:hAnsi="Times New Roman" w:cs="Times New Roman"/>
        </w:rPr>
      </w:pPr>
    </w:p>
    <w:p w14:paraId="6E0117D5" w14:textId="7E638D1D" w:rsidR="00C30E0C" w:rsidRDefault="00715366" w:rsidP="005E0DCF">
      <w:pPr>
        <w:spacing w:line="276" w:lineRule="auto"/>
        <w:jc w:val="both"/>
        <w:rPr>
          <w:rFonts w:ascii="Times New Roman" w:eastAsia="Times New Roman" w:hAnsi="Times New Roman" w:cs="Times New Roman"/>
        </w:rPr>
      </w:pPr>
      <w:r>
        <w:rPr>
          <w:rFonts w:ascii="Times New Roman" w:eastAsia="Times New Roman" w:hAnsi="Times New Roman" w:cs="Times New Roman"/>
        </w:rPr>
        <w:t>Con base en lo anterior y, de acuerdo al carácter abstracto e impersonal d</w:t>
      </w:r>
      <w:r>
        <w:rPr>
          <w:rFonts w:ascii="Times New Roman" w:eastAsia="Times New Roman" w:hAnsi="Times New Roman" w:cs="Times New Roman"/>
        </w:rPr>
        <w:t>e la norma, en esta iniciativa legislativa no se evidencia que los congresistas puedan incurrir en posibles conflictos de interés, toda vez que tampoco puede predicarse un beneficio particular, actual y directo que les impida participar de la discusión y v</w:t>
      </w:r>
      <w:r>
        <w:rPr>
          <w:rFonts w:ascii="Times New Roman" w:eastAsia="Times New Roman" w:hAnsi="Times New Roman" w:cs="Times New Roman"/>
        </w:rPr>
        <w:t>otación de este proyecto. Lo anterior, sin perjuicio del deber de los congresistas de examinar, en cada caso en concreto, la existencia de posibles hechos generadores de conflictos de interés, en cuyo evento deberán declararlos de conformidad con lo dispue</w:t>
      </w:r>
      <w:r>
        <w:rPr>
          <w:rFonts w:ascii="Times New Roman" w:eastAsia="Times New Roman" w:hAnsi="Times New Roman" w:cs="Times New Roman"/>
        </w:rPr>
        <w:t xml:space="preserve">sto en el inciso 1° del artículo 286 </w:t>
      </w:r>
      <w:proofErr w:type="spellStart"/>
      <w:r>
        <w:rPr>
          <w:rFonts w:ascii="Times New Roman" w:eastAsia="Times New Roman" w:hAnsi="Times New Roman" w:cs="Times New Roman"/>
        </w:rPr>
        <w:t>ibídem</w:t>
      </w:r>
      <w:proofErr w:type="spellEnd"/>
      <w:r>
        <w:rPr>
          <w:rFonts w:ascii="Times New Roman" w:eastAsia="Times New Roman" w:hAnsi="Times New Roman" w:cs="Times New Roman"/>
        </w:rPr>
        <w:t>:</w:t>
      </w:r>
      <w:r>
        <w:rPr>
          <w:rFonts w:ascii="Times New Roman" w:eastAsia="Times New Roman" w:hAnsi="Times New Roman" w:cs="Times New Roman"/>
          <w:i/>
        </w:rPr>
        <w:t xml:space="preserve"> “Todos los congresistas deberán declarar los conflictos de intereses que pudieran surgir en ejercicio de sus funciones”.</w:t>
      </w:r>
    </w:p>
    <w:p w14:paraId="3AFC25C3" w14:textId="77777777" w:rsidR="00C30E0C" w:rsidRDefault="00715366">
      <w:pPr>
        <w:spacing w:before="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rPr>
        <w:t>Atentamente,</w:t>
      </w:r>
    </w:p>
    <w:p w14:paraId="76418C84" w14:textId="77777777" w:rsidR="00C30E0C" w:rsidRDefault="00C30E0C">
      <w:pPr>
        <w:spacing w:line="276" w:lineRule="auto"/>
        <w:jc w:val="center"/>
        <w:rPr>
          <w:rFonts w:ascii="Times New Roman" w:eastAsia="Times New Roman" w:hAnsi="Times New Roman" w:cs="Times New Roman"/>
          <w:b/>
        </w:rPr>
      </w:pPr>
    </w:p>
    <w:p w14:paraId="777A9212" w14:textId="77777777" w:rsidR="005E0DCF" w:rsidRDefault="005E0DCF">
      <w:pPr>
        <w:spacing w:line="276" w:lineRule="auto"/>
        <w:jc w:val="center"/>
        <w:rPr>
          <w:rFonts w:ascii="Times New Roman" w:eastAsia="Times New Roman" w:hAnsi="Times New Roman" w:cs="Times New Roman"/>
          <w:b/>
          <w:color w:val="000000"/>
        </w:rPr>
      </w:pPr>
    </w:p>
    <w:p w14:paraId="7DCE6819" w14:textId="77777777" w:rsidR="005E0DCF" w:rsidRDefault="005E0DCF">
      <w:pPr>
        <w:spacing w:line="276" w:lineRule="auto"/>
        <w:jc w:val="center"/>
        <w:rPr>
          <w:rFonts w:ascii="Times New Roman" w:eastAsia="Times New Roman" w:hAnsi="Times New Roman" w:cs="Times New Roman"/>
          <w:b/>
          <w:color w:val="000000"/>
        </w:rPr>
      </w:pPr>
    </w:p>
    <w:p w14:paraId="2C950613" w14:textId="727C7693" w:rsidR="005E0DCF" w:rsidRDefault="00715366">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ALIRIO URIBE MUÑOZ</w:t>
      </w:r>
    </w:p>
    <w:p w14:paraId="0505BBB2" w14:textId="77B88813" w:rsidR="00C30E0C" w:rsidRDefault="00715366" w:rsidP="005E0DCF">
      <w:pPr>
        <w:spacing w:line="276" w:lineRule="auto"/>
        <w:jc w:val="center"/>
        <w:rPr>
          <w:rFonts w:ascii="Times New Roman" w:eastAsia="Times New Roman" w:hAnsi="Times New Roman" w:cs="Times New Roman"/>
          <w:b/>
        </w:rPr>
      </w:pPr>
      <w:r>
        <w:rPr>
          <w:rFonts w:ascii="Times New Roman" w:eastAsia="Times New Roman" w:hAnsi="Times New Roman" w:cs="Times New Roman"/>
          <w:b/>
          <w:color w:val="000000"/>
        </w:rPr>
        <w:t>Representante a la Cámara</w:t>
      </w:r>
    </w:p>
    <w:sectPr w:rsidR="00C30E0C">
      <w:headerReference w:type="default" r:id="rId9"/>
      <w:footerReference w:type="default" r:id="rId10"/>
      <w:pgSz w:w="12240" w:h="15840"/>
      <w:pgMar w:top="2268" w:right="1701" w:bottom="1669" w:left="1701"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E17A" w14:textId="77777777" w:rsidR="00000000" w:rsidRDefault="00715366">
      <w:r>
        <w:separator/>
      </w:r>
    </w:p>
  </w:endnote>
  <w:endnote w:type="continuationSeparator" w:id="0">
    <w:p w14:paraId="44A81580" w14:textId="77777777" w:rsidR="00000000" w:rsidRDefault="007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9651" w14:textId="77777777" w:rsidR="00C30E0C" w:rsidRDefault="0071536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511227A3" wp14:editId="40876EC2">
          <wp:simplePos x="0" y="0"/>
          <wp:positionH relativeFrom="column">
            <wp:posOffset>-1470659</wp:posOffset>
          </wp:positionH>
          <wp:positionV relativeFrom="paragraph">
            <wp:posOffset>504825</wp:posOffset>
          </wp:positionV>
          <wp:extent cx="8551545" cy="139700"/>
          <wp:effectExtent l="0" t="0" r="0" b="0"/>
          <wp:wrapNone/>
          <wp:docPr id="1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6B0DA73" wp14:editId="69B93CAD">
          <wp:simplePos x="0" y="0"/>
          <wp:positionH relativeFrom="column">
            <wp:posOffset>-53334</wp:posOffset>
          </wp:positionH>
          <wp:positionV relativeFrom="paragraph">
            <wp:posOffset>-185235</wp:posOffset>
          </wp:positionV>
          <wp:extent cx="1548130" cy="640080"/>
          <wp:effectExtent l="0" t="0" r="0" b="0"/>
          <wp:wrapNone/>
          <wp:docPr id="16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2599CF5" wp14:editId="42E709E4">
          <wp:simplePos x="0" y="0"/>
          <wp:positionH relativeFrom="column">
            <wp:posOffset>2107680</wp:posOffset>
          </wp:positionH>
          <wp:positionV relativeFrom="paragraph">
            <wp:posOffset>-114296</wp:posOffset>
          </wp:positionV>
          <wp:extent cx="3388995" cy="461645"/>
          <wp:effectExtent l="0" t="0" r="0" b="0"/>
          <wp:wrapSquare wrapText="bothSides" distT="0" distB="0" distL="114300" distR="114300"/>
          <wp:docPr id="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388995" cy="4616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585B" w14:textId="77777777" w:rsidR="00000000" w:rsidRDefault="00715366">
      <w:r>
        <w:separator/>
      </w:r>
    </w:p>
  </w:footnote>
  <w:footnote w:type="continuationSeparator" w:id="0">
    <w:p w14:paraId="589F24B1" w14:textId="77777777" w:rsidR="00000000" w:rsidRDefault="00715366">
      <w:r>
        <w:continuationSeparator/>
      </w:r>
    </w:p>
  </w:footnote>
  <w:footnote w:id="1">
    <w:p w14:paraId="34735416" w14:textId="77777777" w:rsidR="00C30E0C" w:rsidRDefault="00715366">
      <w:pPr>
        <w:rPr>
          <w:sz w:val="20"/>
          <w:szCs w:val="20"/>
        </w:rPr>
      </w:pPr>
      <w:r>
        <w:rPr>
          <w:vertAlign w:val="superscript"/>
        </w:rPr>
        <w:footnoteRef/>
      </w:r>
      <w:r>
        <w:rPr>
          <w:sz w:val="20"/>
          <w:szCs w:val="20"/>
        </w:rPr>
        <w:t xml:space="preserve">  Procuraduría General de la Nación (2020) Vigilancia Superior a las defensorías de familia y a la garantía y restablecimiento efectivo de los derechos de los niños, niñas y adolescentes que se encuentran bajo el sistema de protección del estado.</w:t>
      </w:r>
    </w:p>
  </w:footnote>
  <w:footnote w:id="2">
    <w:p w14:paraId="476D9BD2" w14:textId="77777777" w:rsidR="00C30E0C" w:rsidRDefault="00715366">
      <w:pPr>
        <w:jc w:val="both"/>
        <w:rPr>
          <w:sz w:val="20"/>
          <w:szCs w:val="20"/>
        </w:rPr>
      </w:pPr>
      <w:r>
        <w:rPr>
          <w:vertAlign w:val="superscript"/>
        </w:rPr>
        <w:footnoteRef/>
      </w:r>
      <w:r>
        <w:rPr>
          <w:sz w:val="20"/>
          <w:szCs w:val="20"/>
        </w:rPr>
        <w:t xml:space="preserve"> </w:t>
      </w:r>
      <w:proofErr w:type="spellStart"/>
      <w:r>
        <w:rPr>
          <w:sz w:val="20"/>
          <w:szCs w:val="20"/>
        </w:rPr>
        <w:t>Ibídem</w:t>
      </w:r>
      <w:proofErr w:type="spellEnd"/>
      <w:r>
        <w:rPr>
          <w:sz w:val="20"/>
          <w:szCs w:val="20"/>
        </w:rPr>
        <w:t xml:space="preserve">. Pág. 96. </w:t>
      </w:r>
    </w:p>
  </w:footnote>
  <w:footnote w:id="3">
    <w:p w14:paraId="52FF9A3C" w14:textId="77777777" w:rsidR="00C30E0C" w:rsidRDefault="00715366">
      <w:pPr>
        <w:jc w:val="both"/>
        <w:rPr>
          <w:sz w:val="20"/>
          <w:szCs w:val="20"/>
        </w:rPr>
      </w:pPr>
      <w:r>
        <w:rPr>
          <w:vertAlign w:val="superscript"/>
        </w:rPr>
        <w:footnoteRef/>
      </w:r>
      <w:r>
        <w:rPr>
          <w:sz w:val="20"/>
          <w:szCs w:val="20"/>
        </w:rPr>
        <w:t xml:space="preserve"> </w:t>
      </w:r>
      <w:proofErr w:type="spellStart"/>
      <w:r>
        <w:rPr>
          <w:sz w:val="20"/>
          <w:szCs w:val="20"/>
        </w:rPr>
        <w:t>Ibídem</w:t>
      </w:r>
      <w:proofErr w:type="spellEnd"/>
      <w:r>
        <w:rPr>
          <w:sz w:val="20"/>
          <w:szCs w:val="20"/>
        </w:rPr>
        <w:t xml:space="preserve">. Pág. 96. </w:t>
      </w:r>
    </w:p>
  </w:footnote>
  <w:footnote w:id="4">
    <w:p w14:paraId="32CCCC8F" w14:textId="77777777" w:rsidR="00C30E0C" w:rsidRDefault="00715366">
      <w:pPr>
        <w:jc w:val="both"/>
        <w:rPr>
          <w:sz w:val="20"/>
          <w:szCs w:val="20"/>
        </w:rPr>
      </w:pPr>
      <w:r>
        <w:rPr>
          <w:vertAlign w:val="superscript"/>
        </w:rPr>
        <w:footnoteRef/>
      </w:r>
      <w:r>
        <w:rPr>
          <w:sz w:val="20"/>
          <w:szCs w:val="20"/>
        </w:rPr>
        <w:t xml:space="preserve"> </w:t>
      </w:r>
      <w:proofErr w:type="spellStart"/>
      <w:r>
        <w:rPr>
          <w:sz w:val="20"/>
          <w:szCs w:val="20"/>
        </w:rPr>
        <w:t>Ibídem</w:t>
      </w:r>
      <w:proofErr w:type="spellEnd"/>
      <w:r>
        <w:rPr>
          <w:sz w:val="20"/>
          <w:szCs w:val="20"/>
        </w:rPr>
        <w:t>. Pág. 97.</w:t>
      </w:r>
    </w:p>
  </w:footnote>
  <w:footnote w:id="5">
    <w:p w14:paraId="75D05ED7" w14:textId="77777777" w:rsidR="00C30E0C" w:rsidRDefault="00715366">
      <w:pPr>
        <w:jc w:val="both"/>
        <w:rPr>
          <w:sz w:val="20"/>
          <w:szCs w:val="20"/>
        </w:rPr>
      </w:pPr>
      <w:r>
        <w:rPr>
          <w:vertAlign w:val="superscript"/>
        </w:rPr>
        <w:footnoteRef/>
      </w:r>
      <w:r>
        <w:rPr>
          <w:sz w:val="20"/>
          <w:szCs w:val="20"/>
        </w:rPr>
        <w:t xml:space="preserve"> </w:t>
      </w:r>
      <w:proofErr w:type="spellStart"/>
      <w:r>
        <w:rPr>
          <w:sz w:val="20"/>
          <w:szCs w:val="20"/>
        </w:rPr>
        <w:t>Ibídem</w:t>
      </w:r>
      <w:proofErr w:type="spellEnd"/>
      <w:r>
        <w:rPr>
          <w:sz w:val="20"/>
          <w:szCs w:val="20"/>
        </w:rPr>
        <w:t xml:space="preserve">. Pág. 97. </w:t>
      </w:r>
    </w:p>
  </w:footnote>
  <w:footnote w:id="6">
    <w:p w14:paraId="55D35697" w14:textId="77777777" w:rsidR="00C30E0C" w:rsidRDefault="00715366">
      <w:pPr>
        <w:rPr>
          <w:sz w:val="20"/>
          <w:szCs w:val="20"/>
        </w:rPr>
      </w:pPr>
      <w:r>
        <w:rPr>
          <w:vertAlign w:val="superscript"/>
        </w:rPr>
        <w:footnoteRef/>
      </w:r>
      <w:r>
        <w:rPr>
          <w:sz w:val="20"/>
          <w:szCs w:val="20"/>
        </w:rPr>
        <w:t xml:space="preserve"> Corte C</w:t>
      </w:r>
      <w:r>
        <w:rPr>
          <w:sz w:val="20"/>
          <w:szCs w:val="20"/>
        </w:rPr>
        <w:t xml:space="preserve">onstitucional. Sentencia T-502 de 2011. </w:t>
      </w:r>
    </w:p>
  </w:footnote>
  <w:footnote w:id="7">
    <w:p w14:paraId="27ADBBB2" w14:textId="77777777" w:rsidR="00C30E0C" w:rsidRDefault="00715366">
      <w:pPr>
        <w:rPr>
          <w:sz w:val="20"/>
          <w:szCs w:val="20"/>
        </w:rPr>
      </w:pPr>
      <w:r>
        <w:rPr>
          <w:vertAlign w:val="superscript"/>
        </w:rPr>
        <w:footnoteRef/>
      </w:r>
      <w:r>
        <w:rPr>
          <w:sz w:val="20"/>
          <w:szCs w:val="20"/>
        </w:rPr>
        <w:t xml:space="preserve"> Ibidem. </w:t>
      </w:r>
    </w:p>
  </w:footnote>
  <w:footnote w:id="8">
    <w:p w14:paraId="4F06512A" w14:textId="77777777" w:rsidR="00C30E0C" w:rsidRDefault="00715366">
      <w:pPr>
        <w:rPr>
          <w:sz w:val="20"/>
          <w:szCs w:val="20"/>
        </w:rPr>
      </w:pPr>
      <w:r>
        <w:rPr>
          <w:vertAlign w:val="superscript"/>
        </w:rPr>
        <w:footnoteRef/>
      </w:r>
      <w:r>
        <w:rPr>
          <w:sz w:val="20"/>
          <w:szCs w:val="20"/>
        </w:rPr>
        <w:t xml:space="preserve"> Ibidem.</w:t>
      </w:r>
    </w:p>
  </w:footnote>
  <w:footnote w:id="9">
    <w:p w14:paraId="40648642" w14:textId="77777777" w:rsidR="00C30E0C" w:rsidRDefault="00715366">
      <w:pPr>
        <w:rPr>
          <w:sz w:val="20"/>
          <w:szCs w:val="20"/>
        </w:rPr>
      </w:pPr>
      <w:r>
        <w:rPr>
          <w:vertAlign w:val="superscript"/>
        </w:rPr>
        <w:footnoteRef/>
      </w:r>
      <w:r>
        <w:rPr>
          <w:sz w:val="20"/>
          <w:szCs w:val="20"/>
        </w:rPr>
        <w:t xml:space="preserve"> Corte Constitucional. Sentencia T-572 de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358" w14:textId="77777777" w:rsidR="00C30E0C" w:rsidRDefault="0071536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2391DFCC" wp14:editId="2E43668F">
          <wp:simplePos x="0" y="0"/>
          <wp:positionH relativeFrom="column">
            <wp:posOffset>2924175</wp:posOffset>
          </wp:positionH>
          <wp:positionV relativeFrom="paragraph">
            <wp:posOffset>-295270</wp:posOffset>
          </wp:positionV>
          <wp:extent cx="2543175" cy="1078519"/>
          <wp:effectExtent l="0" t="0" r="0" b="0"/>
          <wp:wrapNone/>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9018"/>
                  <a:stretch>
                    <a:fillRect/>
                  </a:stretch>
                </pic:blipFill>
                <pic:spPr>
                  <a:xfrm>
                    <a:off x="0" y="0"/>
                    <a:ext cx="2543175" cy="1078519"/>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AC2406E" wp14:editId="392EBCEA">
          <wp:simplePos x="0" y="0"/>
          <wp:positionH relativeFrom="column">
            <wp:posOffset>-4438</wp:posOffset>
          </wp:positionH>
          <wp:positionV relativeFrom="paragraph">
            <wp:posOffset>-182075</wp:posOffset>
          </wp:positionV>
          <wp:extent cx="2753678" cy="638175"/>
          <wp:effectExtent l="0" t="0" r="0" b="0"/>
          <wp:wrapSquare wrapText="bothSides" distT="0" distB="0" distL="114300" distR="114300"/>
          <wp:docPr id="16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753678" cy="638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EE1"/>
    <w:multiLevelType w:val="multilevel"/>
    <w:tmpl w:val="AA8C58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B547A"/>
    <w:multiLevelType w:val="multilevel"/>
    <w:tmpl w:val="1450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912C9A"/>
    <w:multiLevelType w:val="multilevel"/>
    <w:tmpl w:val="7A161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05373"/>
    <w:multiLevelType w:val="multilevel"/>
    <w:tmpl w:val="3174A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56127"/>
    <w:multiLevelType w:val="multilevel"/>
    <w:tmpl w:val="D7183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C32D19"/>
    <w:multiLevelType w:val="multilevel"/>
    <w:tmpl w:val="9B62A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5F6C93"/>
    <w:multiLevelType w:val="multilevel"/>
    <w:tmpl w:val="0B9CA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721581"/>
    <w:multiLevelType w:val="multilevel"/>
    <w:tmpl w:val="56CAD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F35059"/>
    <w:multiLevelType w:val="multilevel"/>
    <w:tmpl w:val="3A24E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186DA3"/>
    <w:multiLevelType w:val="multilevel"/>
    <w:tmpl w:val="ADA8A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E72D42"/>
    <w:multiLevelType w:val="multilevel"/>
    <w:tmpl w:val="ED3CC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633334"/>
    <w:multiLevelType w:val="multilevel"/>
    <w:tmpl w:val="1D4EB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646B10"/>
    <w:multiLevelType w:val="multilevel"/>
    <w:tmpl w:val="334A1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13"/>
  </w:num>
  <w:num w:numId="4">
    <w:abstractNumId w:val="4"/>
  </w:num>
  <w:num w:numId="5">
    <w:abstractNumId w:val="8"/>
  </w:num>
  <w:num w:numId="6">
    <w:abstractNumId w:val="9"/>
  </w:num>
  <w:num w:numId="7">
    <w:abstractNumId w:val="2"/>
  </w:num>
  <w:num w:numId="8">
    <w:abstractNumId w:val="0"/>
  </w:num>
  <w:num w:numId="9">
    <w:abstractNumId w:val="6"/>
  </w:num>
  <w:num w:numId="10">
    <w:abstractNumId w:val="7"/>
  </w:num>
  <w:num w:numId="11">
    <w:abstractNumId w:val="12"/>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E0C"/>
    <w:rsid w:val="005E0DCF"/>
    <w:rsid w:val="00715366"/>
    <w:rsid w:val="00C30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1E21"/>
  <w15:docId w15:val="{E94FED0B-FFD4-4077-B4B1-9A5C7714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unhideWhenUsed/>
    <w:rsid w:val="003B39B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Fuentedeprrafopredeter"/>
    <w:rsid w:val="000E0D93"/>
  </w:style>
  <w:style w:type="paragraph" w:styleId="Textodeglobo">
    <w:name w:val="Balloon Text"/>
    <w:basedOn w:val="Normal"/>
    <w:link w:val="TextodegloboCar"/>
    <w:uiPriority w:val="99"/>
    <w:semiHidden/>
    <w:unhideWhenUsed/>
    <w:rsid w:val="00B95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59E"/>
    <w:rPr>
      <w:rFonts w:ascii="Segoe UI" w:hAnsi="Segoe UI" w:cs="Segoe UI"/>
      <w:sz w:val="18"/>
      <w:szCs w:val="18"/>
    </w:rPr>
  </w:style>
  <w:style w:type="paragraph" w:styleId="Prrafodelista">
    <w:name w:val="List Paragraph"/>
    <w:basedOn w:val="Normal"/>
    <w:uiPriority w:val="34"/>
    <w:qFormat/>
    <w:rsid w:val="00724724"/>
    <w:pPr>
      <w:ind w:left="720"/>
      <w:contextualSpacing/>
    </w:pPr>
  </w:style>
  <w:style w:type="character" w:styleId="Hipervnculo">
    <w:name w:val="Hyperlink"/>
    <w:basedOn w:val="Fuentedeprrafopredeter"/>
    <w:uiPriority w:val="99"/>
    <w:unhideWhenUsed/>
    <w:rsid w:val="00024B19"/>
    <w:rPr>
      <w:color w:val="0563C1" w:themeColor="hyperlink"/>
      <w:u w:val="single"/>
    </w:rPr>
  </w:style>
  <w:style w:type="table" w:styleId="Tablaconcuadrcula">
    <w:name w:val="Table Grid"/>
    <w:basedOn w:val="Tablanormal"/>
    <w:uiPriority w:val="39"/>
    <w:rsid w:val="0076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F12"/>
    <w:pPr>
      <w:autoSpaceDE w:val="0"/>
      <w:autoSpaceDN w:val="0"/>
      <w:adjustRightInd w:val="0"/>
    </w:pPr>
    <w:rPr>
      <w:rFonts w:ascii="Arial" w:hAnsi="Arial" w:cs="Arial"/>
      <w:color w:val="000000"/>
    </w:rPr>
  </w:style>
  <w:style w:type="character" w:styleId="nfasis">
    <w:name w:val="Emphasis"/>
    <w:basedOn w:val="Fuentedeprrafopredeter"/>
    <w:uiPriority w:val="20"/>
    <w:qFormat/>
    <w:rsid w:val="009975D0"/>
    <w:rPr>
      <w:i/>
      <w:iCs/>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Opx7pFR28es0aO3vAhLJEs6WA==">CgMxLjA4AHIhMXRRYXZwYmw4aUNKc1JVVTl4RmFXZlRGQ2NtX3hCWTRi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6377</Words>
  <Characters>35076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2</cp:revision>
  <cp:lastPrinted>2025-10-01T17:20:00Z</cp:lastPrinted>
  <dcterms:created xsi:type="dcterms:W3CDTF">2025-07-29T16:28:00Z</dcterms:created>
  <dcterms:modified xsi:type="dcterms:W3CDTF">2025-10-01T17:44:00Z</dcterms:modified>
</cp:coreProperties>
</file>