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434" w:rsidRPr="00305B88" w:rsidRDefault="00E17434" w:rsidP="00C757E5">
      <w:pPr>
        <w:spacing w:after="0" w:line="360" w:lineRule="auto"/>
        <w:jc w:val="center"/>
        <w:rPr>
          <w:rFonts w:ascii="Arial" w:hAnsi="Arial" w:cs="Arial"/>
          <w:b/>
        </w:rPr>
      </w:pPr>
      <w:r w:rsidRPr="00305B88">
        <w:rPr>
          <w:rFonts w:ascii="Arial" w:hAnsi="Arial" w:cs="Arial"/>
          <w:b/>
        </w:rPr>
        <w:t>PROYECTO DE LEY N° ____   DE 2016 CÁMARA</w:t>
      </w:r>
    </w:p>
    <w:p w:rsidR="00E17434" w:rsidRPr="00305B88" w:rsidRDefault="00E17434" w:rsidP="00C757E5">
      <w:pPr>
        <w:spacing w:after="0" w:line="360" w:lineRule="auto"/>
        <w:jc w:val="center"/>
        <w:rPr>
          <w:rFonts w:ascii="Arial" w:hAnsi="Arial" w:cs="Arial"/>
          <w:b/>
        </w:rPr>
      </w:pPr>
      <w:r w:rsidRPr="00305B88">
        <w:rPr>
          <w:rFonts w:ascii="Arial" w:hAnsi="Arial" w:cs="Arial"/>
          <w:b/>
        </w:rPr>
        <w:t xml:space="preserve">“Por medio </w:t>
      </w:r>
      <w:r w:rsidR="00C757E5" w:rsidRPr="00305B88">
        <w:rPr>
          <w:rFonts w:ascii="Arial" w:hAnsi="Arial" w:cs="Arial"/>
          <w:b/>
        </w:rPr>
        <w:t xml:space="preserve">de la cual se le otorgan facultades a la Superintendencia Financiera </w:t>
      </w:r>
      <w:r w:rsidR="00205CC7" w:rsidRPr="00305B88">
        <w:rPr>
          <w:rFonts w:ascii="Arial" w:hAnsi="Arial" w:cs="Arial"/>
          <w:b/>
        </w:rPr>
        <w:t xml:space="preserve">de Colombia </w:t>
      </w:r>
      <w:r w:rsidR="00C757E5" w:rsidRPr="00305B88">
        <w:rPr>
          <w:rFonts w:ascii="Arial" w:hAnsi="Arial" w:cs="Arial"/>
          <w:b/>
        </w:rPr>
        <w:t>para establecer la tasa de usura”</w:t>
      </w:r>
    </w:p>
    <w:p w:rsidR="00C757E5" w:rsidRPr="00305B88" w:rsidRDefault="00C757E5" w:rsidP="00C757E5">
      <w:pPr>
        <w:spacing w:after="0" w:line="360" w:lineRule="auto"/>
        <w:jc w:val="center"/>
        <w:rPr>
          <w:rFonts w:ascii="Arial" w:hAnsi="Arial" w:cs="Arial"/>
        </w:rPr>
      </w:pPr>
    </w:p>
    <w:p w:rsidR="00E17434" w:rsidRPr="00305B88" w:rsidRDefault="00E17434" w:rsidP="00C757E5">
      <w:pPr>
        <w:spacing w:after="0" w:line="360" w:lineRule="auto"/>
        <w:jc w:val="center"/>
        <w:rPr>
          <w:rFonts w:ascii="Arial" w:hAnsi="Arial" w:cs="Arial"/>
        </w:rPr>
      </w:pPr>
      <w:r w:rsidRPr="00305B88">
        <w:rPr>
          <w:rFonts w:ascii="Arial" w:hAnsi="Arial" w:cs="Arial"/>
        </w:rPr>
        <w:t>EL CONGRESO DE LA REPUBLICA DE COLOMBIA</w:t>
      </w:r>
    </w:p>
    <w:p w:rsidR="00E17434" w:rsidRPr="00305B88" w:rsidRDefault="00E17434" w:rsidP="00C757E5">
      <w:pPr>
        <w:spacing w:after="0" w:line="360" w:lineRule="auto"/>
        <w:jc w:val="center"/>
        <w:rPr>
          <w:rFonts w:ascii="Arial" w:hAnsi="Arial" w:cs="Arial"/>
        </w:rPr>
      </w:pPr>
      <w:r w:rsidRPr="00305B88">
        <w:rPr>
          <w:rFonts w:ascii="Arial" w:hAnsi="Arial" w:cs="Arial"/>
        </w:rPr>
        <w:t>DECRETA:</w:t>
      </w:r>
    </w:p>
    <w:p w:rsidR="00E17434" w:rsidRPr="00305B88" w:rsidRDefault="00E17434" w:rsidP="00C757E5">
      <w:pPr>
        <w:pStyle w:val="NormalWeb"/>
        <w:shd w:val="clear" w:color="auto" w:fill="FFFFFF"/>
        <w:spacing w:before="0" w:beforeAutospacing="0" w:after="0" w:afterAutospacing="0" w:line="360" w:lineRule="auto"/>
        <w:jc w:val="both"/>
        <w:rPr>
          <w:rFonts w:ascii="Arial" w:hAnsi="Arial" w:cs="Arial"/>
          <w:bCs/>
          <w:i/>
          <w:iCs/>
          <w:color w:val="000000"/>
          <w:sz w:val="22"/>
          <w:szCs w:val="22"/>
        </w:rPr>
      </w:pPr>
      <w:r w:rsidRPr="00305B88">
        <w:rPr>
          <w:rFonts w:ascii="Arial" w:hAnsi="Arial" w:cs="Arial"/>
          <w:b/>
          <w:bCs/>
          <w:color w:val="000000"/>
          <w:sz w:val="22"/>
          <w:szCs w:val="22"/>
        </w:rPr>
        <w:t xml:space="preserve">Artículo 1. </w:t>
      </w:r>
      <w:r w:rsidRPr="00305B88">
        <w:rPr>
          <w:rFonts w:ascii="Arial" w:hAnsi="Arial" w:cs="Arial"/>
          <w:bCs/>
          <w:color w:val="000000"/>
          <w:sz w:val="22"/>
          <w:szCs w:val="22"/>
        </w:rPr>
        <w:t>Modifíquese el artículo 305 de la ley 599 de 2000 por la cual se expide el Código Penal.</w:t>
      </w:r>
    </w:p>
    <w:p w:rsidR="00E17434" w:rsidRPr="00305B88" w:rsidRDefault="00E17434" w:rsidP="00C757E5">
      <w:pPr>
        <w:pStyle w:val="NormalWeb"/>
        <w:shd w:val="clear" w:color="auto" w:fill="FFFFFF"/>
        <w:spacing w:before="0" w:beforeAutospacing="0" w:after="0" w:afterAutospacing="0" w:line="360" w:lineRule="auto"/>
        <w:jc w:val="both"/>
        <w:rPr>
          <w:rFonts w:ascii="Arial" w:hAnsi="Arial" w:cs="Arial"/>
          <w:bCs/>
          <w:color w:val="000000"/>
          <w:sz w:val="22"/>
          <w:szCs w:val="22"/>
        </w:rPr>
      </w:pPr>
      <w:r w:rsidRPr="00305B88">
        <w:rPr>
          <w:rFonts w:ascii="Arial" w:hAnsi="Arial" w:cs="Arial"/>
          <w:bCs/>
          <w:color w:val="000000"/>
          <w:sz w:val="22"/>
          <w:szCs w:val="22"/>
        </w:rPr>
        <w:t>El cual quedará así:</w:t>
      </w:r>
    </w:p>
    <w:p w:rsidR="00E17434" w:rsidRPr="00305B88" w:rsidRDefault="00E17434" w:rsidP="00C757E5">
      <w:pPr>
        <w:pStyle w:val="NormalWeb"/>
        <w:spacing w:before="0" w:beforeAutospacing="0" w:after="0" w:afterAutospacing="0" w:line="360" w:lineRule="auto"/>
        <w:jc w:val="both"/>
        <w:rPr>
          <w:rFonts w:ascii="Arial" w:hAnsi="Arial" w:cs="Arial"/>
          <w:color w:val="000000"/>
          <w:sz w:val="22"/>
          <w:szCs w:val="22"/>
        </w:rPr>
      </w:pPr>
      <w:r w:rsidRPr="00305B88">
        <w:rPr>
          <w:rFonts w:ascii="Arial" w:hAnsi="Arial" w:cs="Arial"/>
          <w:b/>
          <w:bCs/>
          <w:color w:val="000000"/>
          <w:sz w:val="22"/>
          <w:szCs w:val="22"/>
          <w:shd w:val="clear" w:color="auto" w:fill="FFFFFF"/>
        </w:rPr>
        <w:t>Artículo </w:t>
      </w:r>
      <w:bookmarkStart w:id="0" w:name="BM305"/>
      <w:r w:rsidRPr="00305B88">
        <w:rPr>
          <w:rFonts w:ascii="Arial" w:hAnsi="Arial" w:cs="Arial"/>
          <w:b/>
          <w:bCs/>
          <w:color w:val="000000"/>
          <w:sz w:val="22"/>
          <w:szCs w:val="22"/>
          <w:shd w:val="clear" w:color="auto" w:fill="FFFFFF"/>
        </w:rPr>
        <w:t> </w:t>
      </w:r>
      <w:bookmarkStart w:id="1" w:name="305"/>
      <w:bookmarkEnd w:id="0"/>
      <w:r w:rsidRPr="00305B88">
        <w:rPr>
          <w:rFonts w:ascii="Arial" w:hAnsi="Arial" w:cs="Arial"/>
          <w:b/>
          <w:bCs/>
          <w:color w:val="000000"/>
          <w:sz w:val="22"/>
          <w:szCs w:val="22"/>
          <w:shd w:val="clear" w:color="auto" w:fill="FFFFFF"/>
        </w:rPr>
        <w:t> </w:t>
      </w:r>
      <w:bookmarkEnd w:id="1"/>
      <w:r w:rsidRPr="00305B88">
        <w:rPr>
          <w:rFonts w:ascii="Arial" w:hAnsi="Arial" w:cs="Arial"/>
          <w:b/>
          <w:bCs/>
          <w:color w:val="000000"/>
          <w:sz w:val="22"/>
          <w:szCs w:val="22"/>
          <w:shd w:val="clear" w:color="auto" w:fill="FFFFFF"/>
        </w:rPr>
        <w:t xml:space="preserve">305. </w:t>
      </w:r>
      <w:r w:rsidRPr="00305B88">
        <w:rPr>
          <w:rFonts w:ascii="Arial" w:hAnsi="Arial" w:cs="Arial"/>
          <w:iCs/>
          <w:color w:val="000000"/>
          <w:sz w:val="22"/>
          <w:szCs w:val="22"/>
        </w:rPr>
        <w:t>Usura</w:t>
      </w:r>
      <w:r w:rsidRPr="00305B88">
        <w:rPr>
          <w:rFonts w:ascii="Arial" w:hAnsi="Arial" w:cs="Arial"/>
          <w:color w:val="000000"/>
          <w:sz w:val="22"/>
          <w:szCs w:val="22"/>
        </w:rPr>
        <w:t>. El que reciba o cobre, directa o indirectamente, a cambio de préstamo de dinero o por concepto de venta de bienes o servicios a plazo, utilidad o ventaja que exceda la tasa de usura que para el período correspondiente establezca la Superintendencia Financiera para cada una de las diferentes líneas o segmentos de crédito existentes, cualquiera sea la forma utilizada para hacer constar la operación, ocultarla o disimularla, incurrirá en prisión de dos (2) a cinco (5) años y multa de cincuenta (50) a doscientos (200) salarios mínimos legales mensuales vigentes.</w:t>
      </w:r>
    </w:p>
    <w:p w:rsidR="00E17434" w:rsidRPr="00305B88" w:rsidRDefault="00E17434" w:rsidP="00C757E5">
      <w:pPr>
        <w:pStyle w:val="NormalWeb"/>
        <w:spacing w:before="0" w:beforeAutospacing="0" w:after="0" w:afterAutospacing="0" w:line="360" w:lineRule="auto"/>
        <w:jc w:val="both"/>
        <w:rPr>
          <w:rFonts w:ascii="Arial" w:hAnsi="Arial" w:cs="Arial"/>
          <w:color w:val="000000"/>
          <w:sz w:val="22"/>
          <w:szCs w:val="22"/>
          <w:shd w:val="clear" w:color="auto" w:fill="FFFFFF"/>
        </w:rPr>
      </w:pPr>
      <w:r w:rsidRPr="00305B88">
        <w:rPr>
          <w:rFonts w:ascii="Arial" w:hAnsi="Arial" w:cs="Arial"/>
          <w:color w:val="000000"/>
          <w:sz w:val="22"/>
          <w:szCs w:val="22"/>
          <w:shd w:val="clear" w:color="auto" w:fill="FFFFFF"/>
        </w:rPr>
        <w:t>El que compre cheque, sueldo, salario o prestación social en los términos y condiciones previstos en este artículo, incurrirá en prisión de tres (3) a siete (7) años y multa de cien (100) a cuatrocientos (400) salarios mínimos legales mensuales vigentes.</w:t>
      </w:r>
    </w:p>
    <w:p w:rsidR="00E17434" w:rsidRPr="00305B88" w:rsidRDefault="00E17434" w:rsidP="00C757E5">
      <w:pPr>
        <w:spacing w:after="0" w:line="360" w:lineRule="auto"/>
        <w:jc w:val="both"/>
        <w:rPr>
          <w:rFonts w:ascii="Arial" w:hAnsi="Arial" w:cs="Arial"/>
          <w:bCs/>
          <w:color w:val="000000"/>
        </w:rPr>
      </w:pPr>
      <w:r w:rsidRPr="00305B88">
        <w:rPr>
          <w:rFonts w:ascii="Arial" w:hAnsi="Arial" w:cs="Arial"/>
          <w:b/>
          <w:bCs/>
          <w:color w:val="000000"/>
        </w:rPr>
        <w:t xml:space="preserve">Parágrafo: </w:t>
      </w:r>
      <w:r w:rsidRPr="00305B88">
        <w:rPr>
          <w:rFonts w:ascii="Arial" w:hAnsi="Arial" w:cs="Arial"/>
          <w:bCs/>
          <w:color w:val="000000"/>
        </w:rPr>
        <w:t>La Superintendencia Financiera de Colombia previo estudio de las condiciones del mercado, desarrollará la metodología idónea para establecer la tasa de usura correspondiente a cada línea o segmento de crédito existente, para el período de tiempo que considere pertinente.</w:t>
      </w:r>
    </w:p>
    <w:p w:rsidR="00305B88" w:rsidRPr="00305B88" w:rsidRDefault="00305B88" w:rsidP="00C757E5">
      <w:pPr>
        <w:spacing w:after="0" w:line="360" w:lineRule="auto"/>
        <w:jc w:val="both"/>
        <w:rPr>
          <w:rFonts w:ascii="Arial" w:hAnsi="Arial" w:cs="Arial"/>
          <w:bCs/>
          <w:color w:val="000000"/>
        </w:rPr>
      </w:pPr>
    </w:p>
    <w:p w:rsidR="00305B88" w:rsidRPr="00305B88" w:rsidRDefault="00305B88" w:rsidP="00305B88">
      <w:pPr>
        <w:spacing w:after="0" w:line="360" w:lineRule="auto"/>
        <w:jc w:val="both"/>
        <w:rPr>
          <w:rFonts w:ascii="Arial" w:hAnsi="Arial" w:cs="Arial"/>
        </w:rPr>
      </w:pPr>
      <w:r w:rsidRPr="00305B88">
        <w:rPr>
          <w:rFonts w:ascii="Arial" w:hAnsi="Arial" w:cs="Arial"/>
          <w:b/>
        </w:rPr>
        <w:t>Artículo 2</w:t>
      </w:r>
      <w:r w:rsidRPr="00305B88">
        <w:rPr>
          <w:rFonts w:ascii="Arial" w:hAnsi="Arial" w:cs="Arial"/>
        </w:rPr>
        <w:t>. La presente ley rige a partir de su promulgación y deroga todas las disposiciones que le sean contrarias.</w:t>
      </w:r>
    </w:p>
    <w:p w:rsidR="00305B88" w:rsidRPr="00305B88" w:rsidRDefault="00305B88" w:rsidP="00C757E5">
      <w:pPr>
        <w:spacing w:after="0" w:line="360" w:lineRule="auto"/>
        <w:jc w:val="both"/>
        <w:rPr>
          <w:rFonts w:ascii="Arial" w:hAnsi="Arial" w:cs="Arial"/>
          <w:b/>
          <w:u w:val="single"/>
        </w:rPr>
      </w:pPr>
    </w:p>
    <w:p w:rsidR="00E17434" w:rsidRPr="00305B88" w:rsidRDefault="00E17434" w:rsidP="00C757E5">
      <w:pPr>
        <w:spacing w:after="0" w:line="360" w:lineRule="auto"/>
        <w:jc w:val="center"/>
        <w:rPr>
          <w:rFonts w:ascii="Arial" w:hAnsi="Arial" w:cs="Arial"/>
          <w:b/>
          <w:u w:val="single"/>
        </w:rPr>
      </w:pPr>
    </w:p>
    <w:p w:rsidR="00C757E5" w:rsidRPr="00305B88" w:rsidRDefault="00C757E5" w:rsidP="001D7E4F">
      <w:pPr>
        <w:spacing w:after="0" w:line="240" w:lineRule="auto"/>
        <w:jc w:val="center"/>
        <w:rPr>
          <w:rFonts w:ascii="Arial" w:hAnsi="Arial" w:cs="Arial"/>
          <w:b/>
          <w:u w:val="single"/>
        </w:rPr>
      </w:pPr>
    </w:p>
    <w:p w:rsidR="00C757E5" w:rsidRPr="00305B88" w:rsidRDefault="001D7E4F" w:rsidP="001D7E4F">
      <w:pPr>
        <w:spacing w:after="0" w:line="240" w:lineRule="auto"/>
        <w:rPr>
          <w:rFonts w:ascii="Arial" w:hAnsi="Arial" w:cs="Arial"/>
          <w:b/>
        </w:rPr>
      </w:pPr>
      <w:r w:rsidRPr="00305B88">
        <w:rPr>
          <w:rFonts w:ascii="Arial" w:hAnsi="Arial" w:cs="Arial"/>
          <w:b/>
        </w:rPr>
        <w:t>DAVID BARGUIL ASSIS</w:t>
      </w:r>
    </w:p>
    <w:p w:rsidR="001D7E4F" w:rsidRPr="00305B88" w:rsidRDefault="001D7E4F" w:rsidP="001D7E4F">
      <w:pPr>
        <w:spacing w:after="0" w:line="240" w:lineRule="auto"/>
        <w:rPr>
          <w:rFonts w:ascii="Arial" w:hAnsi="Arial" w:cs="Arial"/>
          <w:b/>
        </w:rPr>
      </w:pPr>
      <w:r w:rsidRPr="00305B88">
        <w:rPr>
          <w:rFonts w:ascii="Arial" w:hAnsi="Arial" w:cs="Arial"/>
          <w:b/>
        </w:rPr>
        <w:t>Representante a la Cámara</w:t>
      </w:r>
      <w:bookmarkStart w:id="2" w:name="_GoBack"/>
      <w:bookmarkEnd w:id="2"/>
    </w:p>
    <w:p w:rsidR="00C757E5" w:rsidRDefault="00C757E5" w:rsidP="00C757E5">
      <w:pPr>
        <w:spacing w:after="0" w:line="360" w:lineRule="auto"/>
        <w:jc w:val="center"/>
        <w:rPr>
          <w:rFonts w:ascii="Arial" w:hAnsi="Arial" w:cs="Arial"/>
          <w:b/>
          <w:sz w:val="24"/>
          <w:szCs w:val="24"/>
          <w:u w:val="single"/>
        </w:rPr>
      </w:pPr>
    </w:p>
    <w:p w:rsidR="00A367A2" w:rsidRPr="00C757E5" w:rsidRDefault="00B85404" w:rsidP="00C757E5">
      <w:pPr>
        <w:spacing w:after="0" w:line="360" w:lineRule="auto"/>
        <w:jc w:val="center"/>
        <w:rPr>
          <w:rFonts w:ascii="Arial" w:hAnsi="Arial" w:cs="Arial"/>
          <w:b/>
          <w:sz w:val="24"/>
          <w:szCs w:val="24"/>
        </w:rPr>
      </w:pPr>
      <w:r w:rsidRPr="00C757E5">
        <w:rPr>
          <w:rFonts w:ascii="Arial" w:hAnsi="Arial" w:cs="Arial"/>
          <w:b/>
          <w:sz w:val="24"/>
          <w:szCs w:val="24"/>
        </w:rPr>
        <w:lastRenderedPageBreak/>
        <w:t>EXPOSICIÓ</w:t>
      </w:r>
      <w:r w:rsidR="003937A7" w:rsidRPr="00C757E5">
        <w:rPr>
          <w:rFonts w:ascii="Arial" w:hAnsi="Arial" w:cs="Arial"/>
          <w:b/>
          <w:sz w:val="24"/>
          <w:szCs w:val="24"/>
        </w:rPr>
        <w:t>N DE MOTIVOS</w:t>
      </w:r>
    </w:p>
    <w:p w:rsidR="003937A7" w:rsidRDefault="003937A7" w:rsidP="00C757E5">
      <w:pPr>
        <w:spacing w:after="0" w:line="360" w:lineRule="auto"/>
        <w:jc w:val="center"/>
        <w:rPr>
          <w:rFonts w:ascii="Arial" w:hAnsi="Arial" w:cs="Arial"/>
          <w:b/>
          <w:sz w:val="24"/>
          <w:szCs w:val="24"/>
          <w:u w:val="single"/>
        </w:rPr>
      </w:pPr>
    </w:p>
    <w:p w:rsidR="001D7E4F" w:rsidRPr="00E17434" w:rsidRDefault="001D7E4F" w:rsidP="00C757E5">
      <w:pPr>
        <w:spacing w:after="0" w:line="360" w:lineRule="auto"/>
        <w:jc w:val="center"/>
        <w:rPr>
          <w:rFonts w:ascii="Arial" w:hAnsi="Arial" w:cs="Arial"/>
          <w:b/>
          <w:sz w:val="24"/>
          <w:szCs w:val="24"/>
          <w:u w:val="single"/>
        </w:rPr>
      </w:pPr>
    </w:p>
    <w:p w:rsidR="001B13CC" w:rsidRPr="001D7E4F" w:rsidRDefault="001B13CC" w:rsidP="00C757E5">
      <w:pPr>
        <w:pStyle w:val="Prrafodelista"/>
        <w:numPr>
          <w:ilvl w:val="0"/>
          <w:numId w:val="3"/>
        </w:numPr>
        <w:spacing w:after="0" w:line="360" w:lineRule="auto"/>
        <w:rPr>
          <w:rFonts w:ascii="Arial" w:hAnsi="Arial" w:cs="Arial"/>
          <w:b/>
          <w:sz w:val="24"/>
          <w:szCs w:val="24"/>
          <w:u w:val="single"/>
        </w:rPr>
      </w:pPr>
      <w:r w:rsidRPr="00E17434">
        <w:rPr>
          <w:rFonts w:ascii="Arial" w:hAnsi="Arial" w:cs="Arial"/>
          <w:b/>
          <w:sz w:val="24"/>
          <w:szCs w:val="24"/>
        </w:rPr>
        <w:t>CONTEXTO GENERAL DE LA INICIATIVA</w:t>
      </w:r>
    </w:p>
    <w:p w:rsidR="001D7E4F" w:rsidRPr="00E17434" w:rsidRDefault="001D7E4F" w:rsidP="001D7E4F">
      <w:pPr>
        <w:pStyle w:val="Prrafodelista"/>
        <w:spacing w:after="0" w:line="360" w:lineRule="auto"/>
        <w:ind w:left="360"/>
        <w:rPr>
          <w:rFonts w:ascii="Arial" w:hAnsi="Arial" w:cs="Arial"/>
          <w:b/>
          <w:sz w:val="24"/>
          <w:szCs w:val="24"/>
          <w:u w:val="single"/>
        </w:rPr>
      </w:pPr>
    </w:p>
    <w:p w:rsidR="00F926A1" w:rsidRPr="00E17434" w:rsidRDefault="00F926A1" w:rsidP="00C757E5">
      <w:pPr>
        <w:spacing w:after="0" w:line="360" w:lineRule="auto"/>
        <w:jc w:val="both"/>
        <w:rPr>
          <w:rFonts w:ascii="Arial" w:hAnsi="Arial" w:cs="Arial"/>
          <w:sz w:val="24"/>
          <w:szCs w:val="24"/>
        </w:rPr>
      </w:pPr>
      <w:r w:rsidRPr="00E17434">
        <w:rPr>
          <w:rFonts w:ascii="Arial" w:hAnsi="Arial" w:cs="Arial"/>
          <w:sz w:val="24"/>
          <w:szCs w:val="24"/>
        </w:rPr>
        <w:t>En Colombia históricamente se ha</w:t>
      </w:r>
      <w:r w:rsidR="001A23C3" w:rsidRPr="00E17434">
        <w:rPr>
          <w:rFonts w:ascii="Arial" w:hAnsi="Arial" w:cs="Arial"/>
          <w:sz w:val="24"/>
          <w:szCs w:val="24"/>
        </w:rPr>
        <w:t xml:space="preserve">n hecho diferentes esfuerzos por establecer mecanismos que </w:t>
      </w:r>
      <w:r w:rsidR="001B13CC" w:rsidRPr="00E17434">
        <w:rPr>
          <w:rFonts w:ascii="Arial" w:hAnsi="Arial" w:cs="Arial"/>
          <w:sz w:val="24"/>
          <w:szCs w:val="24"/>
        </w:rPr>
        <w:t xml:space="preserve">les </w:t>
      </w:r>
      <w:r w:rsidR="001A23C3" w:rsidRPr="00E17434">
        <w:rPr>
          <w:rFonts w:ascii="Arial" w:hAnsi="Arial" w:cs="Arial"/>
          <w:sz w:val="24"/>
          <w:szCs w:val="24"/>
        </w:rPr>
        <w:t>permitan a los colombianos acceder al sistema financiero</w:t>
      </w:r>
      <w:r w:rsidR="008D4E26" w:rsidRPr="00E17434">
        <w:rPr>
          <w:rFonts w:ascii="Arial" w:hAnsi="Arial" w:cs="Arial"/>
          <w:sz w:val="24"/>
          <w:szCs w:val="24"/>
        </w:rPr>
        <w:t xml:space="preserve">. </w:t>
      </w:r>
      <w:r w:rsidR="001B13CC" w:rsidRPr="00E17434">
        <w:rPr>
          <w:rFonts w:ascii="Arial" w:hAnsi="Arial" w:cs="Arial"/>
          <w:sz w:val="24"/>
          <w:szCs w:val="24"/>
        </w:rPr>
        <w:t xml:space="preserve">Por ejemplo, en </w:t>
      </w:r>
      <w:r w:rsidR="008D4E26" w:rsidRPr="00E17434">
        <w:rPr>
          <w:rFonts w:ascii="Arial" w:hAnsi="Arial" w:cs="Arial"/>
          <w:sz w:val="24"/>
          <w:szCs w:val="24"/>
        </w:rPr>
        <w:t xml:space="preserve">el Plan de Desarrollo 2010 – 2014, se estableció que el acceso a los servicios financieros es un </w:t>
      </w:r>
      <w:r w:rsidR="00955D2A" w:rsidRPr="00E17434">
        <w:rPr>
          <w:rFonts w:ascii="Arial" w:hAnsi="Arial" w:cs="Arial"/>
          <w:sz w:val="24"/>
          <w:szCs w:val="24"/>
        </w:rPr>
        <w:t>elemento import</w:t>
      </w:r>
      <w:r w:rsidR="008D4E26" w:rsidRPr="00E17434">
        <w:rPr>
          <w:rFonts w:ascii="Arial" w:hAnsi="Arial" w:cs="Arial"/>
          <w:sz w:val="24"/>
          <w:szCs w:val="24"/>
        </w:rPr>
        <w:t xml:space="preserve">ante para el desarrollo de la competitividad del país, y además resaltó la importancia de aumentar el apoyo  a políticas </w:t>
      </w:r>
      <w:r w:rsidR="001B13CC" w:rsidRPr="00E17434">
        <w:rPr>
          <w:rFonts w:ascii="Arial" w:hAnsi="Arial" w:cs="Arial"/>
          <w:sz w:val="24"/>
          <w:szCs w:val="24"/>
        </w:rPr>
        <w:t xml:space="preserve">como la que </w:t>
      </w:r>
      <w:r w:rsidR="008D4E26" w:rsidRPr="00E17434">
        <w:rPr>
          <w:rFonts w:ascii="Arial" w:hAnsi="Arial" w:cs="Arial"/>
          <w:sz w:val="24"/>
          <w:szCs w:val="24"/>
        </w:rPr>
        <w:t>cre</w:t>
      </w:r>
      <w:r w:rsidR="001B13CC" w:rsidRPr="00E17434">
        <w:rPr>
          <w:rFonts w:ascii="Arial" w:hAnsi="Arial" w:cs="Arial"/>
          <w:sz w:val="24"/>
          <w:szCs w:val="24"/>
        </w:rPr>
        <w:t>o</w:t>
      </w:r>
      <w:r w:rsidR="008D4E26" w:rsidRPr="00E17434">
        <w:rPr>
          <w:rFonts w:ascii="Arial" w:hAnsi="Arial" w:cs="Arial"/>
          <w:sz w:val="24"/>
          <w:szCs w:val="24"/>
        </w:rPr>
        <w:t xml:space="preserve"> del programa Banca de las Oportunidades, entre otras</w:t>
      </w:r>
      <w:r w:rsidR="002C58F7" w:rsidRPr="00E17434">
        <w:rPr>
          <w:rStyle w:val="Refdenotaalpie"/>
          <w:rFonts w:ascii="Arial" w:hAnsi="Arial" w:cs="Arial"/>
          <w:sz w:val="24"/>
          <w:szCs w:val="24"/>
        </w:rPr>
        <w:footnoteReference w:id="1"/>
      </w:r>
      <w:r w:rsidR="001B13CC" w:rsidRPr="00E17434">
        <w:rPr>
          <w:rFonts w:ascii="Arial" w:hAnsi="Arial" w:cs="Arial"/>
          <w:sz w:val="24"/>
          <w:szCs w:val="24"/>
        </w:rPr>
        <w:t>. Por otro lado</w:t>
      </w:r>
      <w:r w:rsidR="008D4E26" w:rsidRPr="00E17434">
        <w:rPr>
          <w:rFonts w:ascii="Arial" w:hAnsi="Arial" w:cs="Arial"/>
          <w:sz w:val="24"/>
          <w:szCs w:val="24"/>
        </w:rPr>
        <w:t xml:space="preserve">, también se ha mantenido en el tiempo la preocupación de </w:t>
      </w:r>
      <w:r w:rsidRPr="00E17434">
        <w:rPr>
          <w:rFonts w:ascii="Arial" w:hAnsi="Arial" w:cs="Arial"/>
          <w:sz w:val="24"/>
          <w:szCs w:val="24"/>
        </w:rPr>
        <w:t xml:space="preserve">fijar límites a las tasas de interés con el fin de proteger a los usuarios del sistema financiero </w:t>
      </w:r>
      <w:r w:rsidR="008D4E26" w:rsidRPr="00E17434">
        <w:rPr>
          <w:rFonts w:ascii="Arial" w:hAnsi="Arial" w:cs="Arial"/>
          <w:sz w:val="24"/>
          <w:szCs w:val="24"/>
        </w:rPr>
        <w:t xml:space="preserve">de </w:t>
      </w:r>
      <w:r w:rsidR="001B13CC" w:rsidRPr="00E17434">
        <w:rPr>
          <w:rFonts w:ascii="Arial" w:hAnsi="Arial" w:cs="Arial"/>
          <w:sz w:val="24"/>
          <w:szCs w:val="24"/>
        </w:rPr>
        <w:t xml:space="preserve">posibles </w:t>
      </w:r>
      <w:r w:rsidR="00A47CA3" w:rsidRPr="00E17434">
        <w:rPr>
          <w:rFonts w:ascii="Arial" w:hAnsi="Arial" w:cs="Arial"/>
          <w:sz w:val="24"/>
          <w:szCs w:val="24"/>
        </w:rPr>
        <w:t xml:space="preserve">abusos. </w:t>
      </w:r>
      <w:r w:rsidRPr="00E17434">
        <w:rPr>
          <w:rFonts w:ascii="Arial" w:hAnsi="Arial" w:cs="Arial"/>
          <w:sz w:val="24"/>
          <w:szCs w:val="24"/>
        </w:rPr>
        <w:t xml:space="preserve">En nuestro país </w:t>
      </w:r>
      <w:r w:rsidR="001B13CC" w:rsidRPr="00E17434">
        <w:rPr>
          <w:rFonts w:ascii="Arial" w:hAnsi="Arial" w:cs="Arial"/>
          <w:sz w:val="24"/>
          <w:szCs w:val="24"/>
        </w:rPr>
        <w:t xml:space="preserve">existe libertad para </w:t>
      </w:r>
      <w:r w:rsidRPr="00E17434">
        <w:rPr>
          <w:rFonts w:ascii="Arial" w:hAnsi="Arial" w:cs="Arial"/>
          <w:sz w:val="24"/>
          <w:szCs w:val="24"/>
        </w:rPr>
        <w:t xml:space="preserve">la fijación de las tasas de interés </w:t>
      </w:r>
      <w:r w:rsidR="001B13CC" w:rsidRPr="00E17434">
        <w:rPr>
          <w:rFonts w:ascii="Arial" w:hAnsi="Arial" w:cs="Arial"/>
          <w:sz w:val="24"/>
          <w:szCs w:val="24"/>
        </w:rPr>
        <w:t xml:space="preserve">aunque </w:t>
      </w:r>
      <w:r w:rsidRPr="00E17434">
        <w:rPr>
          <w:rFonts w:ascii="Arial" w:hAnsi="Arial" w:cs="Arial"/>
          <w:sz w:val="24"/>
          <w:szCs w:val="24"/>
        </w:rPr>
        <w:t>existe</w:t>
      </w:r>
      <w:r w:rsidR="001B13CC" w:rsidRPr="00E17434">
        <w:rPr>
          <w:rFonts w:ascii="Arial" w:hAnsi="Arial" w:cs="Arial"/>
          <w:sz w:val="24"/>
          <w:szCs w:val="24"/>
        </w:rPr>
        <w:t>n</w:t>
      </w:r>
      <w:r w:rsidRPr="00E17434">
        <w:rPr>
          <w:rFonts w:ascii="Arial" w:hAnsi="Arial" w:cs="Arial"/>
          <w:sz w:val="24"/>
          <w:szCs w:val="24"/>
        </w:rPr>
        <w:t xml:space="preserve"> límites legales que prevalecen frente a esta autonomía. </w:t>
      </w:r>
    </w:p>
    <w:p w:rsidR="001D7E4F" w:rsidRDefault="001D7E4F" w:rsidP="00C757E5">
      <w:pPr>
        <w:spacing w:after="0" w:line="360" w:lineRule="auto"/>
        <w:jc w:val="both"/>
        <w:rPr>
          <w:rFonts w:ascii="Arial" w:hAnsi="Arial" w:cs="Arial"/>
          <w:sz w:val="24"/>
          <w:szCs w:val="24"/>
        </w:rPr>
      </w:pPr>
    </w:p>
    <w:p w:rsidR="008D4E26" w:rsidRDefault="00F926A1" w:rsidP="00C757E5">
      <w:pPr>
        <w:spacing w:after="0" w:line="360" w:lineRule="auto"/>
        <w:jc w:val="both"/>
        <w:rPr>
          <w:rFonts w:ascii="Arial" w:hAnsi="Arial" w:cs="Arial"/>
          <w:sz w:val="24"/>
          <w:szCs w:val="24"/>
        </w:rPr>
      </w:pPr>
      <w:r w:rsidRPr="00E17434">
        <w:rPr>
          <w:rFonts w:ascii="Arial" w:hAnsi="Arial" w:cs="Arial"/>
          <w:sz w:val="24"/>
          <w:szCs w:val="24"/>
        </w:rPr>
        <w:t>En primer lugar, La junta Directiva del Banco de la República es la única autoridad monetaria que puede intervenir en la fijación de las tasas máximas del interés remunatorio que los establecimientos de crédito pueden cobr</w:t>
      </w:r>
      <w:r w:rsidR="00E60B84" w:rsidRPr="00E17434">
        <w:rPr>
          <w:rFonts w:ascii="Arial" w:hAnsi="Arial" w:cs="Arial"/>
          <w:sz w:val="24"/>
          <w:szCs w:val="24"/>
        </w:rPr>
        <w:t>ar en sus operaciones según la l</w:t>
      </w:r>
      <w:r w:rsidRPr="00E17434">
        <w:rPr>
          <w:rFonts w:ascii="Arial" w:hAnsi="Arial" w:cs="Arial"/>
          <w:sz w:val="24"/>
          <w:szCs w:val="24"/>
        </w:rPr>
        <w:t xml:space="preserve">ey 31 de 1992. </w:t>
      </w:r>
      <w:r w:rsidR="008D4E26" w:rsidRPr="00E17434">
        <w:rPr>
          <w:rFonts w:ascii="Arial" w:hAnsi="Arial" w:cs="Arial"/>
          <w:sz w:val="24"/>
          <w:szCs w:val="24"/>
        </w:rPr>
        <w:t>Si esta no fija</w:t>
      </w:r>
      <w:r w:rsidRPr="00E17434">
        <w:rPr>
          <w:rFonts w:ascii="Arial" w:hAnsi="Arial" w:cs="Arial"/>
          <w:sz w:val="24"/>
          <w:szCs w:val="24"/>
        </w:rPr>
        <w:t xml:space="preserve"> tales tasas, las mismas responderán a los requerimientos del mercado, teniendo como base el interés bancario corriente (IBC) </w:t>
      </w:r>
      <w:r w:rsidR="001B13CC" w:rsidRPr="00E17434">
        <w:rPr>
          <w:rFonts w:ascii="Arial" w:hAnsi="Arial" w:cs="Arial"/>
          <w:sz w:val="24"/>
          <w:szCs w:val="24"/>
        </w:rPr>
        <w:t>certificado</w:t>
      </w:r>
      <w:r w:rsidRPr="00E17434">
        <w:rPr>
          <w:rFonts w:ascii="Arial" w:hAnsi="Arial" w:cs="Arial"/>
          <w:sz w:val="24"/>
          <w:szCs w:val="24"/>
        </w:rPr>
        <w:t xml:space="preserve"> por la Superintendencia Financiera de Colombia sin exceder la tasa de usura.</w:t>
      </w:r>
    </w:p>
    <w:p w:rsidR="001D7E4F" w:rsidRPr="00E17434" w:rsidRDefault="001D7E4F" w:rsidP="00C757E5">
      <w:pPr>
        <w:spacing w:after="0" w:line="360" w:lineRule="auto"/>
        <w:jc w:val="both"/>
        <w:rPr>
          <w:rFonts w:ascii="Arial" w:hAnsi="Arial" w:cs="Arial"/>
          <w:sz w:val="24"/>
          <w:szCs w:val="24"/>
        </w:rPr>
      </w:pPr>
    </w:p>
    <w:p w:rsidR="00902EC4" w:rsidRPr="00E17434" w:rsidRDefault="008D4E26" w:rsidP="00C757E5">
      <w:pPr>
        <w:spacing w:after="0" w:line="360" w:lineRule="auto"/>
        <w:jc w:val="both"/>
        <w:rPr>
          <w:rFonts w:ascii="Arial" w:hAnsi="Arial" w:cs="Arial"/>
          <w:i/>
          <w:sz w:val="24"/>
          <w:szCs w:val="24"/>
          <w:u w:val="single"/>
        </w:rPr>
      </w:pPr>
      <w:r w:rsidRPr="00E17434">
        <w:rPr>
          <w:rFonts w:ascii="Arial" w:hAnsi="Arial" w:cs="Arial"/>
          <w:sz w:val="24"/>
          <w:szCs w:val="24"/>
        </w:rPr>
        <w:t>En segundo</w:t>
      </w:r>
      <w:r w:rsidR="00CB32E4" w:rsidRPr="00E17434">
        <w:rPr>
          <w:rFonts w:ascii="Arial" w:hAnsi="Arial" w:cs="Arial"/>
          <w:sz w:val="24"/>
          <w:szCs w:val="24"/>
        </w:rPr>
        <w:t xml:space="preserve"> lugar,</w:t>
      </w:r>
      <w:r w:rsidRPr="00E17434">
        <w:rPr>
          <w:rFonts w:ascii="Arial" w:hAnsi="Arial" w:cs="Arial"/>
          <w:sz w:val="24"/>
          <w:szCs w:val="24"/>
        </w:rPr>
        <w:t xml:space="preserve"> </w:t>
      </w:r>
      <w:r w:rsidR="00CB32E4" w:rsidRPr="00E17434">
        <w:rPr>
          <w:rFonts w:ascii="Arial" w:hAnsi="Arial" w:cs="Arial"/>
          <w:sz w:val="24"/>
          <w:szCs w:val="24"/>
        </w:rPr>
        <w:t xml:space="preserve">el Código Penal </w:t>
      </w:r>
      <w:r w:rsidR="00A47CA3" w:rsidRPr="00E17434">
        <w:rPr>
          <w:rFonts w:ascii="Arial" w:hAnsi="Arial" w:cs="Arial"/>
          <w:sz w:val="24"/>
          <w:szCs w:val="24"/>
        </w:rPr>
        <w:t xml:space="preserve">reguló el delito de usura estableciendo en su artículo 305 que </w:t>
      </w:r>
      <w:r w:rsidR="00A47CA3" w:rsidRPr="00E17434">
        <w:rPr>
          <w:rFonts w:ascii="Arial" w:hAnsi="Arial" w:cs="Arial"/>
          <w:i/>
          <w:sz w:val="24"/>
          <w:szCs w:val="24"/>
          <w:u w:val="single"/>
        </w:rPr>
        <w:t>“</w:t>
      </w:r>
      <w:r w:rsidR="00902EC4" w:rsidRPr="00E17434">
        <w:rPr>
          <w:rFonts w:ascii="Arial" w:hAnsi="Arial" w:cs="Arial"/>
          <w:i/>
          <w:sz w:val="24"/>
          <w:szCs w:val="24"/>
          <w:u w:val="single"/>
        </w:rPr>
        <w:t xml:space="preserve">El que reciba o cobre, directa o indirectamente, a cambio de préstamo de dinero o por concepto de venta de bienes o servicios a plazo, utilidad </w:t>
      </w:r>
      <w:r w:rsidR="00902EC4" w:rsidRPr="00E17434">
        <w:rPr>
          <w:rFonts w:ascii="Arial" w:hAnsi="Arial" w:cs="Arial"/>
          <w:i/>
          <w:sz w:val="24"/>
          <w:szCs w:val="24"/>
          <w:u w:val="single"/>
        </w:rPr>
        <w:lastRenderedPageBreak/>
        <w:t>o ventaja que exceda en la mitad del interés bancario corriente que para el período correspondiente estén cobrando los bancos, según certificación de la Superintendencia Bancaria, cualquiera sea la forma utilizada para hacer constar la operación, ocultarla o disimularla, incurrirá en prisión de dos (2) a cinco (5) años y multa de cincuenta (50) a doscientos (200) salarios mínimos legales mensuales vigentes.</w:t>
      </w:r>
    </w:p>
    <w:p w:rsidR="00C4622A" w:rsidRPr="00E17434" w:rsidRDefault="00902EC4" w:rsidP="00C757E5">
      <w:pPr>
        <w:spacing w:after="0" w:line="360" w:lineRule="auto"/>
        <w:jc w:val="both"/>
        <w:rPr>
          <w:rFonts w:ascii="Arial" w:hAnsi="Arial" w:cs="Arial"/>
          <w:i/>
          <w:sz w:val="24"/>
          <w:szCs w:val="24"/>
          <w:u w:val="single"/>
        </w:rPr>
      </w:pPr>
      <w:r w:rsidRPr="00E17434">
        <w:rPr>
          <w:rFonts w:ascii="Arial" w:hAnsi="Arial" w:cs="Arial"/>
          <w:i/>
          <w:sz w:val="24"/>
          <w:szCs w:val="24"/>
          <w:u w:val="single"/>
        </w:rPr>
        <w:t>El que compre cheque, sueldo, salario o prestación social en los términos y condiciones previstos en este artículo, incurrirá en prisión de tres (3) a siete (7) años y multa de cien (100) a cuatrocientos (400) salarios mínimos legales mensuales vigentes.”</w:t>
      </w:r>
      <w:r w:rsidR="00A47CA3" w:rsidRPr="00E17434">
        <w:rPr>
          <w:rFonts w:ascii="Arial" w:hAnsi="Arial" w:cs="Arial"/>
          <w:i/>
          <w:sz w:val="24"/>
          <w:szCs w:val="24"/>
          <w:u w:val="single"/>
        </w:rPr>
        <w:t xml:space="preserve"> </w:t>
      </w:r>
    </w:p>
    <w:p w:rsidR="001D7E4F" w:rsidRDefault="001D7E4F" w:rsidP="00C757E5">
      <w:pPr>
        <w:tabs>
          <w:tab w:val="left" w:pos="142"/>
        </w:tabs>
        <w:spacing w:after="0" w:line="360" w:lineRule="auto"/>
        <w:jc w:val="both"/>
        <w:rPr>
          <w:rFonts w:ascii="Arial" w:hAnsi="Arial" w:cs="Arial"/>
          <w:sz w:val="24"/>
          <w:szCs w:val="24"/>
        </w:rPr>
      </w:pPr>
    </w:p>
    <w:p w:rsidR="00E06DE0" w:rsidRPr="00E17434" w:rsidRDefault="006269AB" w:rsidP="00C757E5">
      <w:pPr>
        <w:tabs>
          <w:tab w:val="left" w:pos="142"/>
        </w:tabs>
        <w:spacing w:after="0" w:line="360" w:lineRule="auto"/>
        <w:jc w:val="both"/>
        <w:rPr>
          <w:rFonts w:ascii="Arial" w:hAnsi="Arial" w:cs="Arial"/>
          <w:sz w:val="24"/>
          <w:szCs w:val="24"/>
        </w:rPr>
      </w:pPr>
      <w:r w:rsidRPr="00E17434">
        <w:rPr>
          <w:rFonts w:ascii="Arial" w:hAnsi="Arial" w:cs="Arial"/>
          <w:sz w:val="24"/>
          <w:szCs w:val="24"/>
        </w:rPr>
        <w:t xml:space="preserve">Frente a esta última limitación legal, consideramos que resulta </w:t>
      </w:r>
      <w:r w:rsidR="001B13CC" w:rsidRPr="00E17434">
        <w:rPr>
          <w:rFonts w:ascii="Arial" w:hAnsi="Arial" w:cs="Arial"/>
          <w:sz w:val="24"/>
          <w:szCs w:val="24"/>
        </w:rPr>
        <w:t>idóneo</w:t>
      </w:r>
      <w:r w:rsidRPr="00E17434">
        <w:rPr>
          <w:rFonts w:ascii="Arial" w:hAnsi="Arial" w:cs="Arial"/>
          <w:sz w:val="24"/>
          <w:szCs w:val="24"/>
        </w:rPr>
        <w:t xml:space="preserve"> atribuirle a la Superintendencia Financiera la potestad de establecer la tasa de usura según el compo</w:t>
      </w:r>
      <w:r w:rsidR="009746F2" w:rsidRPr="00E17434">
        <w:rPr>
          <w:rFonts w:ascii="Arial" w:hAnsi="Arial" w:cs="Arial"/>
          <w:sz w:val="24"/>
          <w:szCs w:val="24"/>
        </w:rPr>
        <w:t>rtamiento del mercado y no que é</w:t>
      </w:r>
      <w:r w:rsidRPr="00E17434">
        <w:rPr>
          <w:rFonts w:ascii="Arial" w:hAnsi="Arial" w:cs="Arial"/>
          <w:sz w:val="24"/>
          <w:szCs w:val="24"/>
        </w:rPr>
        <w:t>sta</w:t>
      </w:r>
      <w:r w:rsidR="001B13CC" w:rsidRPr="00E17434">
        <w:rPr>
          <w:rFonts w:ascii="Arial" w:hAnsi="Arial" w:cs="Arial"/>
          <w:sz w:val="24"/>
          <w:szCs w:val="24"/>
        </w:rPr>
        <w:t xml:space="preserve"> sea una tasa máxima fija de 1,</w:t>
      </w:r>
      <w:r w:rsidRPr="00E17434">
        <w:rPr>
          <w:rFonts w:ascii="Arial" w:hAnsi="Arial" w:cs="Arial"/>
          <w:sz w:val="24"/>
          <w:szCs w:val="24"/>
        </w:rPr>
        <w:t>5</w:t>
      </w:r>
      <w:r w:rsidR="001B13CC" w:rsidRPr="00E17434">
        <w:rPr>
          <w:rFonts w:ascii="Arial" w:hAnsi="Arial" w:cs="Arial"/>
          <w:sz w:val="24"/>
          <w:szCs w:val="24"/>
        </w:rPr>
        <w:t xml:space="preserve"> veces el interés bancario corriente.</w:t>
      </w:r>
      <w:r w:rsidR="00732997" w:rsidRPr="00E17434">
        <w:rPr>
          <w:rFonts w:ascii="Arial" w:hAnsi="Arial" w:cs="Arial"/>
          <w:sz w:val="24"/>
          <w:szCs w:val="24"/>
        </w:rPr>
        <w:t xml:space="preserve"> </w:t>
      </w:r>
    </w:p>
    <w:p w:rsidR="001D7E4F" w:rsidRDefault="001D7E4F" w:rsidP="00C757E5">
      <w:pPr>
        <w:tabs>
          <w:tab w:val="left" w:pos="142"/>
        </w:tabs>
        <w:spacing w:after="0" w:line="360" w:lineRule="auto"/>
        <w:jc w:val="both"/>
        <w:rPr>
          <w:rFonts w:ascii="Arial" w:hAnsi="Arial" w:cs="Arial"/>
          <w:sz w:val="24"/>
          <w:szCs w:val="24"/>
        </w:rPr>
      </w:pPr>
    </w:p>
    <w:p w:rsidR="00E60B84" w:rsidRDefault="00E257C4" w:rsidP="00C757E5">
      <w:pPr>
        <w:tabs>
          <w:tab w:val="left" w:pos="142"/>
        </w:tabs>
        <w:spacing w:after="0" w:line="360" w:lineRule="auto"/>
        <w:jc w:val="both"/>
        <w:rPr>
          <w:rFonts w:ascii="Arial" w:hAnsi="Arial" w:cs="Arial"/>
          <w:sz w:val="24"/>
          <w:szCs w:val="24"/>
        </w:rPr>
      </w:pPr>
      <w:r w:rsidRPr="00E17434">
        <w:rPr>
          <w:rFonts w:ascii="Arial" w:hAnsi="Arial" w:cs="Arial"/>
          <w:sz w:val="24"/>
          <w:szCs w:val="24"/>
        </w:rPr>
        <w:t>Además la misma Corte Constitucional en la Sentencia C 333/01 estableció que “……resulta claro que dada la mutabilidad del entorno económico y financiero, el legislador ha estimado necesario, para la defensa del interés jurídico que se intenta proteger con el tipo de la usura, atribuir a las autoridades administrativas la potestad de complementarlo y para ese efecto les otorga un cierto margen de apreciación…”</w:t>
      </w:r>
      <w:r w:rsidR="007245B8" w:rsidRPr="00E17434">
        <w:rPr>
          <w:rFonts w:ascii="Arial" w:hAnsi="Arial" w:cs="Arial"/>
          <w:sz w:val="24"/>
          <w:szCs w:val="24"/>
        </w:rPr>
        <w:t xml:space="preserve">; entonces, al darle a la Superintendencia Financiera la facultad legal de establecer la tasa de usura,  </w:t>
      </w:r>
      <w:r w:rsidR="00E60B84" w:rsidRPr="00E17434">
        <w:rPr>
          <w:rFonts w:ascii="Arial" w:hAnsi="Arial" w:cs="Arial"/>
          <w:sz w:val="24"/>
          <w:szCs w:val="24"/>
        </w:rPr>
        <w:t>se lograría flexibilizar la fijación de esta y así establecer una tasa de usura diferenciada para cada línea de crédito existente. Lo que redundaría en mejoras de acceso al crédito para todos los usuarios del sistema y aun así,  existiría un límite al interés máximo que se podría cobrar, protegiendo de este modo a los usuarios de posibles abusos.</w:t>
      </w:r>
    </w:p>
    <w:p w:rsidR="001D7E4F" w:rsidRDefault="001D7E4F" w:rsidP="00C757E5">
      <w:pPr>
        <w:tabs>
          <w:tab w:val="left" w:pos="142"/>
        </w:tabs>
        <w:spacing w:after="0" w:line="360" w:lineRule="auto"/>
        <w:jc w:val="both"/>
        <w:rPr>
          <w:rFonts w:ascii="Arial" w:hAnsi="Arial" w:cs="Arial"/>
          <w:sz w:val="24"/>
          <w:szCs w:val="24"/>
        </w:rPr>
      </w:pPr>
    </w:p>
    <w:p w:rsidR="001D7E4F" w:rsidRDefault="001D7E4F" w:rsidP="00C757E5">
      <w:pPr>
        <w:tabs>
          <w:tab w:val="left" w:pos="142"/>
        </w:tabs>
        <w:spacing w:after="0" w:line="360" w:lineRule="auto"/>
        <w:jc w:val="both"/>
        <w:rPr>
          <w:rFonts w:ascii="Arial" w:hAnsi="Arial" w:cs="Arial"/>
          <w:sz w:val="24"/>
          <w:szCs w:val="24"/>
        </w:rPr>
      </w:pPr>
    </w:p>
    <w:p w:rsidR="001B13CC" w:rsidRPr="001D7E4F" w:rsidRDefault="001B13CC" w:rsidP="001D7E4F">
      <w:pPr>
        <w:pStyle w:val="Prrafodelista"/>
        <w:numPr>
          <w:ilvl w:val="0"/>
          <w:numId w:val="3"/>
        </w:numPr>
        <w:tabs>
          <w:tab w:val="left" w:pos="142"/>
        </w:tabs>
        <w:spacing w:after="0" w:line="360" w:lineRule="auto"/>
        <w:jc w:val="both"/>
        <w:rPr>
          <w:rFonts w:ascii="Arial" w:hAnsi="Arial" w:cs="Arial"/>
          <w:b/>
          <w:sz w:val="24"/>
          <w:szCs w:val="24"/>
        </w:rPr>
      </w:pPr>
      <w:r w:rsidRPr="001D7E4F">
        <w:rPr>
          <w:rFonts w:ascii="Arial" w:hAnsi="Arial" w:cs="Arial"/>
          <w:b/>
          <w:sz w:val="24"/>
          <w:szCs w:val="24"/>
        </w:rPr>
        <w:lastRenderedPageBreak/>
        <w:t>OBJETO DEL PROYECTO</w:t>
      </w:r>
    </w:p>
    <w:p w:rsidR="00E06DE0" w:rsidRPr="00E17434" w:rsidRDefault="00E06DE0" w:rsidP="00C757E5">
      <w:pPr>
        <w:tabs>
          <w:tab w:val="left" w:pos="142"/>
        </w:tabs>
        <w:spacing w:after="0" w:line="360" w:lineRule="auto"/>
        <w:jc w:val="both"/>
        <w:rPr>
          <w:rFonts w:ascii="Arial" w:hAnsi="Arial" w:cs="Arial"/>
          <w:color w:val="000000"/>
          <w:sz w:val="24"/>
          <w:szCs w:val="24"/>
        </w:rPr>
      </w:pPr>
    </w:p>
    <w:p w:rsidR="004265D6" w:rsidRDefault="003E525A" w:rsidP="00C757E5">
      <w:pPr>
        <w:tabs>
          <w:tab w:val="left" w:pos="142"/>
        </w:tabs>
        <w:spacing w:after="0" w:line="360" w:lineRule="auto"/>
        <w:jc w:val="both"/>
        <w:rPr>
          <w:rFonts w:ascii="Arial" w:hAnsi="Arial" w:cs="Arial"/>
          <w:sz w:val="24"/>
          <w:szCs w:val="24"/>
        </w:rPr>
      </w:pPr>
      <w:r w:rsidRPr="00E17434">
        <w:rPr>
          <w:rFonts w:ascii="Arial" w:hAnsi="Arial" w:cs="Arial"/>
          <w:color w:val="000000"/>
          <w:sz w:val="24"/>
          <w:szCs w:val="24"/>
        </w:rPr>
        <w:t>El objeto de esta in</w:t>
      </w:r>
      <w:r w:rsidR="00E06DE0" w:rsidRPr="00E17434">
        <w:rPr>
          <w:rFonts w:ascii="Arial" w:hAnsi="Arial" w:cs="Arial"/>
          <w:color w:val="000000"/>
          <w:sz w:val="24"/>
          <w:szCs w:val="24"/>
        </w:rPr>
        <w:t>iciativa como ya fue mencionado es facultar a la Superi</w:t>
      </w:r>
      <w:r w:rsidRPr="00E17434">
        <w:rPr>
          <w:rFonts w:ascii="Arial" w:hAnsi="Arial" w:cs="Arial"/>
          <w:color w:val="000000"/>
          <w:sz w:val="24"/>
          <w:szCs w:val="24"/>
        </w:rPr>
        <w:t>ntendencia Financiera para que por medio de una herramienta idónea y de acuerdo a las condiciones del mercado establezca la tasa de usura correspondiente para cada una de las diferentes líneas o segmento</w:t>
      </w:r>
      <w:r w:rsidR="00B21631" w:rsidRPr="00E17434">
        <w:rPr>
          <w:rFonts w:ascii="Arial" w:hAnsi="Arial" w:cs="Arial"/>
          <w:color w:val="000000"/>
          <w:sz w:val="24"/>
          <w:szCs w:val="24"/>
        </w:rPr>
        <w:t>s</w:t>
      </w:r>
      <w:r w:rsidRPr="00E17434">
        <w:rPr>
          <w:rFonts w:ascii="Arial" w:hAnsi="Arial" w:cs="Arial"/>
          <w:color w:val="000000"/>
          <w:sz w:val="24"/>
          <w:szCs w:val="24"/>
        </w:rPr>
        <w:t xml:space="preserve"> de crédito existentes</w:t>
      </w:r>
      <w:r w:rsidR="00A267BC" w:rsidRPr="00E17434">
        <w:rPr>
          <w:rFonts w:ascii="Arial" w:hAnsi="Arial" w:cs="Arial"/>
          <w:color w:val="000000"/>
          <w:sz w:val="24"/>
          <w:szCs w:val="24"/>
        </w:rPr>
        <w:t>. Aclarando que aunque se ha venido discutiendo sobre</w:t>
      </w:r>
      <w:r w:rsidR="002D03A9" w:rsidRPr="00E17434">
        <w:rPr>
          <w:rFonts w:ascii="Arial" w:hAnsi="Arial" w:cs="Arial"/>
          <w:sz w:val="24"/>
          <w:szCs w:val="24"/>
        </w:rPr>
        <w:t xml:space="preserve"> las ventajas que le generaría al sistema financiero la eliminación</w:t>
      </w:r>
      <w:r w:rsidR="008036D3" w:rsidRPr="00E17434">
        <w:rPr>
          <w:rFonts w:ascii="Arial" w:hAnsi="Arial" w:cs="Arial"/>
          <w:sz w:val="24"/>
          <w:szCs w:val="24"/>
        </w:rPr>
        <w:t xml:space="preserve"> definitiva de la tasa de usura</w:t>
      </w:r>
      <w:r w:rsidR="00D143F1" w:rsidRPr="00E17434">
        <w:rPr>
          <w:rFonts w:ascii="Arial" w:hAnsi="Arial" w:cs="Arial"/>
          <w:sz w:val="24"/>
          <w:szCs w:val="24"/>
        </w:rPr>
        <w:t>;</w:t>
      </w:r>
      <w:r w:rsidR="008036D3" w:rsidRPr="00E17434">
        <w:rPr>
          <w:rFonts w:ascii="Arial" w:hAnsi="Arial" w:cs="Arial"/>
          <w:sz w:val="24"/>
          <w:szCs w:val="24"/>
        </w:rPr>
        <w:t xml:space="preserve"> </w:t>
      </w:r>
      <w:r w:rsidR="00D143F1" w:rsidRPr="00E17434">
        <w:rPr>
          <w:rFonts w:ascii="Arial" w:hAnsi="Arial" w:cs="Arial"/>
          <w:sz w:val="24"/>
          <w:szCs w:val="24"/>
        </w:rPr>
        <w:t xml:space="preserve">y que </w:t>
      </w:r>
      <w:r w:rsidR="008036D3" w:rsidRPr="00E17434">
        <w:rPr>
          <w:rFonts w:ascii="Arial" w:hAnsi="Arial" w:cs="Arial"/>
          <w:sz w:val="24"/>
          <w:szCs w:val="24"/>
        </w:rPr>
        <w:t xml:space="preserve">incluso países </w:t>
      </w:r>
      <w:r w:rsidR="004265D6" w:rsidRPr="00E17434">
        <w:rPr>
          <w:rFonts w:ascii="Arial" w:hAnsi="Arial" w:cs="Arial"/>
          <w:sz w:val="24"/>
          <w:szCs w:val="24"/>
        </w:rPr>
        <w:t>como Brasil y Perú</w:t>
      </w:r>
      <w:r w:rsidR="002D03A9" w:rsidRPr="00E17434">
        <w:rPr>
          <w:rFonts w:ascii="Arial" w:hAnsi="Arial" w:cs="Arial"/>
          <w:sz w:val="24"/>
          <w:szCs w:val="24"/>
        </w:rPr>
        <w:t xml:space="preserve"> </w:t>
      </w:r>
      <w:r w:rsidR="008036D3" w:rsidRPr="00E17434">
        <w:rPr>
          <w:rFonts w:ascii="Arial" w:hAnsi="Arial" w:cs="Arial"/>
          <w:sz w:val="24"/>
          <w:szCs w:val="24"/>
        </w:rPr>
        <w:t>han</w:t>
      </w:r>
      <w:r w:rsidR="004265D6" w:rsidRPr="00E17434">
        <w:rPr>
          <w:rFonts w:ascii="Arial" w:hAnsi="Arial" w:cs="Arial"/>
          <w:sz w:val="24"/>
          <w:szCs w:val="24"/>
        </w:rPr>
        <w:t xml:space="preserve"> </w:t>
      </w:r>
      <w:r w:rsidR="00B82CBE" w:rsidRPr="00E17434">
        <w:rPr>
          <w:rFonts w:ascii="Arial" w:hAnsi="Arial" w:cs="Arial"/>
          <w:sz w:val="24"/>
          <w:szCs w:val="24"/>
        </w:rPr>
        <w:t>elimina</w:t>
      </w:r>
      <w:r w:rsidR="008036D3" w:rsidRPr="00E17434">
        <w:rPr>
          <w:rFonts w:ascii="Arial" w:hAnsi="Arial" w:cs="Arial"/>
          <w:sz w:val="24"/>
          <w:szCs w:val="24"/>
        </w:rPr>
        <w:t>do</w:t>
      </w:r>
      <w:r w:rsidR="004265D6" w:rsidRPr="00E17434">
        <w:rPr>
          <w:rFonts w:ascii="Arial" w:hAnsi="Arial" w:cs="Arial"/>
          <w:sz w:val="24"/>
          <w:szCs w:val="24"/>
        </w:rPr>
        <w:t xml:space="preserve"> </w:t>
      </w:r>
      <w:r w:rsidR="008036D3" w:rsidRPr="00E17434">
        <w:rPr>
          <w:rFonts w:ascii="Arial" w:hAnsi="Arial" w:cs="Arial"/>
          <w:sz w:val="24"/>
          <w:szCs w:val="24"/>
        </w:rPr>
        <w:t xml:space="preserve">esta </w:t>
      </w:r>
      <w:r w:rsidR="004265D6" w:rsidRPr="00E17434">
        <w:rPr>
          <w:rFonts w:ascii="Arial" w:hAnsi="Arial" w:cs="Arial"/>
          <w:sz w:val="24"/>
          <w:szCs w:val="24"/>
        </w:rPr>
        <w:t>tasa por considerarla contraproducente para el desarrollo económico</w:t>
      </w:r>
      <w:r w:rsidR="002D03A9" w:rsidRPr="00E17434">
        <w:rPr>
          <w:rFonts w:ascii="Arial" w:hAnsi="Arial" w:cs="Arial"/>
          <w:sz w:val="24"/>
          <w:szCs w:val="24"/>
        </w:rPr>
        <w:t xml:space="preserve"> de sus países</w:t>
      </w:r>
      <w:r w:rsidR="00D143F1" w:rsidRPr="00E17434">
        <w:rPr>
          <w:rFonts w:ascii="Arial" w:hAnsi="Arial" w:cs="Arial"/>
          <w:sz w:val="24"/>
          <w:szCs w:val="24"/>
        </w:rPr>
        <w:t>; e</w:t>
      </w:r>
      <w:r w:rsidR="00E84CF7" w:rsidRPr="00E17434">
        <w:rPr>
          <w:rFonts w:ascii="Arial" w:hAnsi="Arial" w:cs="Arial"/>
          <w:sz w:val="24"/>
          <w:szCs w:val="24"/>
        </w:rPr>
        <w:t>n nuestro país</w:t>
      </w:r>
      <w:r w:rsidR="004265D6" w:rsidRPr="00E17434">
        <w:rPr>
          <w:rFonts w:ascii="Arial" w:hAnsi="Arial" w:cs="Arial"/>
          <w:sz w:val="24"/>
          <w:szCs w:val="24"/>
        </w:rPr>
        <w:t xml:space="preserve"> la imposición de </w:t>
      </w:r>
      <w:r w:rsidR="002D03A9" w:rsidRPr="00E17434">
        <w:rPr>
          <w:rFonts w:ascii="Arial" w:hAnsi="Arial" w:cs="Arial"/>
          <w:sz w:val="24"/>
          <w:szCs w:val="24"/>
        </w:rPr>
        <w:t>esta tasa</w:t>
      </w:r>
      <w:r w:rsidR="004265D6" w:rsidRPr="00E17434">
        <w:rPr>
          <w:rFonts w:ascii="Arial" w:hAnsi="Arial" w:cs="Arial"/>
          <w:sz w:val="24"/>
          <w:szCs w:val="24"/>
        </w:rPr>
        <w:t xml:space="preserve"> no ha afectado </w:t>
      </w:r>
      <w:r w:rsidR="00300E6A" w:rsidRPr="00E17434">
        <w:rPr>
          <w:rFonts w:ascii="Arial" w:hAnsi="Arial" w:cs="Arial"/>
          <w:sz w:val="24"/>
          <w:szCs w:val="24"/>
        </w:rPr>
        <w:t>el acceso a los servicios financieros</w:t>
      </w:r>
      <w:r w:rsidR="00A367A2" w:rsidRPr="00E17434">
        <w:rPr>
          <w:rFonts w:ascii="Arial" w:hAnsi="Arial" w:cs="Arial"/>
          <w:sz w:val="24"/>
          <w:szCs w:val="24"/>
        </w:rPr>
        <w:t xml:space="preserve">. </w:t>
      </w:r>
      <w:r w:rsidR="005761BA" w:rsidRPr="00E17434">
        <w:rPr>
          <w:rFonts w:ascii="Arial" w:hAnsi="Arial" w:cs="Arial"/>
          <w:sz w:val="24"/>
          <w:szCs w:val="24"/>
        </w:rPr>
        <w:t xml:space="preserve"> </w:t>
      </w:r>
    </w:p>
    <w:p w:rsidR="001D7E4F" w:rsidRPr="00E17434" w:rsidRDefault="001D7E4F" w:rsidP="00C757E5">
      <w:pPr>
        <w:tabs>
          <w:tab w:val="left" w:pos="142"/>
        </w:tabs>
        <w:spacing w:after="0" w:line="360" w:lineRule="auto"/>
        <w:jc w:val="both"/>
        <w:rPr>
          <w:rFonts w:ascii="Arial" w:hAnsi="Arial" w:cs="Arial"/>
          <w:sz w:val="24"/>
          <w:szCs w:val="24"/>
          <w:highlight w:val="yellow"/>
        </w:rPr>
      </w:pPr>
    </w:p>
    <w:p w:rsidR="00A819F5" w:rsidRDefault="00813A07" w:rsidP="00C757E5">
      <w:pPr>
        <w:spacing w:after="0" w:line="360" w:lineRule="auto"/>
        <w:jc w:val="both"/>
        <w:rPr>
          <w:rFonts w:ascii="Arial" w:hAnsi="Arial" w:cs="Arial"/>
          <w:sz w:val="24"/>
          <w:szCs w:val="24"/>
        </w:rPr>
      </w:pPr>
      <w:r w:rsidRPr="00E17434">
        <w:rPr>
          <w:rFonts w:ascii="Arial" w:hAnsi="Arial" w:cs="Arial"/>
          <w:sz w:val="24"/>
          <w:szCs w:val="24"/>
        </w:rPr>
        <w:t>Tanto así que l</w:t>
      </w:r>
      <w:r w:rsidR="00A819F5" w:rsidRPr="00E17434">
        <w:rPr>
          <w:rFonts w:ascii="Arial" w:hAnsi="Arial" w:cs="Arial"/>
          <w:sz w:val="24"/>
          <w:szCs w:val="24"/>
        </w:rPr>
        <w:t>as actividades de intermediación financiera de los establecimientos de crédito mostraron una estabilización durante el primer semestre de 2013, luego de un período de desaceleración que comenzó a finales de 2011. La cartera bruta creció a una tasa real anual de 13,3% en junio del año en curso, cifra superior a la observada en diciembre de 2012 (12,5</w:t>
      </w:r>
      <w:r w:rsidR="00D0077E" w:rsidRPr="00E17434">
        <w:rPr>
          <w:rFonts w:ascii="Arial" w:hAnsi="Arial" w:cs="Arial"/>
          <w:sz w:val="24"/>
          <w:szCs w:val="24"/>
        </w:rPr>
        <w:t>%</w:t>
      </w:r>
      <w:r w:rsidR="00A819F5" w:rsidRPr="00E17434">
        <w:rPr>
          <w:rFonts w:ascii="Arial" w:hAnsi="Arial" w:cs="Arial"/>
          <w:sz w:val="24"/>
          <w:szCs w:val="24"/>
        </w:rPr>
        <w:t>). Este comportamiento está explicado, principalmente, por la expansión del crédito comercial, mientras que el de consumo continúa exhibiendo reducciones en su ritmo de expansión. Por su parte, la carga financiera y el endeudamiento de los hogares aumentó durante el primer semestre de 2013, ubicándose en los niveles más altos desde 2011. Este comportamiento se explica, en especial, por un mayor uso de créditos de consumo distintos de tarjetas de crédito</w:t>
      </w:r>
      <w:r w:rsidR="002C58F7" w:rsidRPr="00E17434">
        <w:rPr>
          <w:rStyle w:val="Refdenotaalpie"/>
          <w:rFonts w:ascii="Arial" w:hAnsi="Arial" w:cs="Arial"/>
          <w:sz w:val="24"/>
          <w:szCs w:val="24"/>
        </w:rPr>
        <w:footnoteReference w:id="2"/>
      </w:r>
      <w:r w:rsidR="00A819F5" w:rsidRPr="00E17434">
        <w:rPr>
          <w:rFonts w:ascii="Arial" w:hAnsi="Arial" w:cs="Arial"/>
          <w:sz w:val="24"/>
          <w:szCs w:val="24"/>
        </w:rPr>
        <w:t xml:space="preserve">. </w:t>
      </w:r>
    </w:p>
    <w:p w:rsidR="001D7E4F" w:rsidRPr="00E17434" w:rsidRDefault="001D7E4F" w:rsidP="00C757E5">
      <w:pPr>
        <w:spacing w:after="0" w:line="360" w:lineRule="auto"/>
        <w:jc w:val="both"/>
        <w:rPr>
          <w:rFonts w:ascii="Arial" w:hAnsi="Arial" w:cs="Arial"/>
          <w:sz w:val="24"/>
          <w:szCs w:val="24"/>
        </w:rPr>
      </w:pPr>
    </w:p>
    <w:p w:rsidR="00A367A2" w:rsidRDefault="00A367A2" w:rsidP="00C757E5">
      <w:pPr>
        <w:spacing w:after="0" w:line="360" w:lineRule="auto"/>
        <w:jc w:val="both"/>
        <w:rPr>
          <w:rFonts w:ascii="Arial" w:hAnsi="Arial" w:cs="Arial"/>
          <w:sz w:val="24"/>
          <w:szCs w:val="24"/>
        </w:rPr>
      </w:pPr>
      <w:r w:rsidRPr="00E17434">
        <w:rPr>
          <w:rFonts w:ascii="Arial" w:hAnsi="Arial" w:cs="Arial"/>
          <w:sz w:val="24"/>
          <w:szCs w:val="24"/>
        </w:rPr>
        <w:t xml:space="preserve">Entre junio de 2013 y el mismo mes de 2014 la exposición de los establecimientos de crédito a sus diferentes deudores aumentó, principalmente por el mayor endeudamiento de los hogares. Esto estuvo acompañado de mayores niveles de </w:t>
      </w:r>
      <w:r w:rsidRPr="00E17434">
        <w:rPr>
          <w:rFonts w:ascii="Arial" w:hAnsi="Arial" w:cs="Arial"/>
          <w:sz w:val="24"/>
          <w:szCs w:val="24"/>
        </w:rPr>
        <w:lastRenderedPageBreak/>
        <w:t>carga financiera, por lo que la proporción de ingresos que los hogares debieron destinar al servicio de la deuda fue más alta que la observada durante 2013. Los indicadores de expectativas e intención de compra se mantienen en niveles positivos y altos y la carga financiera se encuentra en su mayor nivel en lo corrido del siglo</w:t>
      </w:r>
      <w:r w:rsidR="002C58F7" w:rsidRPr="00E17434">
        <w:rPr>
          <w:rStyle w:val="Refdenotaalpie"/>
          <w:rFonts w:ascii="Arial" w:hAnsi="Arial" w:cs="Arial"/>
          <w:sz w:val="24"/>
          <w:szCs w:val="24"/>
        </w:rPr>
        <w:footnoteReference w:id="3"/>
      </w:r>
      <w:r w:rsidRPr="00E17434">
        <w:rPr>
          <w:rFonts w:ascii="Arial" w:hAnsi="Arial" w:cs="Arial"/>
          <w:sz w:val="24"/>
          <w:szCs w:val="24"/>
        </w:rPr>
        <w:t>.</w:t>
      </w:r>
    </w:p>
    <w:p w:rsidR="001D7E4F" w:rsidRPr="00E17434" w:rsidRDefault="001D7E4F" w:rsidP="00C757E5">
      <w:pPr>
        <w:spacing w:after="0" w:line="360" w:lineRule="auto"/>
        <w:jc w:val="both"/>
        <w:rPr>
          <w:rFonts w:ascii="Arial" w:hAnsi="Arial" w:cs="Arial"/>
          <w:sz w:val="24"/>
          <w:szCs w:val="24"/>
        </w:rPr>
      </w:pPr>
    </w:p>
    <w:p w:rsidR="00A819F5" w:rsidRDefault="00A819F5" w:rsidP="00C757E5">
      <w:pPr>
        <w:spacing w:after="0" w:line="360" w:lineRule="auto"/>
        <w:jc w:val="both"/>
        <w:rPr>
          <w:rFonts w:ascii="Arial" w:hAnsi="Arial" w:cs="Arial"/>
          <w:sz w:val="24"/>
          <w:szCs w:val="24"/>
        </w:rPr>
      </w:pPr>
      <w:r w:rsidRPr="00E17434">
        <w:rPr>
          <w:rFonts w:ascii="Arial" w:hAnsi="Arial" w:cs="Arial"/>
          <w:sz w:val="24"/>
          <w:szCs w:val="24"/>
        </w:rPr>
        <w:t>Entre septiembre de 2014 y marzo de 2015 la cartera bruta de los estab</w:t>
      </w:r>
      <w:r w:rsidR="002C58F7" w:rsidRPr="00E17434">
        <w:rPr>
          <w:rFonts w:ascii="Arial" w:hAnsi="Arial" w:cs="Arial"/>
          <w:sz w:val="24"/>
          <w:szCs w:val="24"/>
        </w:rPr>
        <w:t xml:space="preserve">lecimientos de crédito registró </w:t>
      </w:r>
      <w:r w:rsidRPr="00E17434">
        <w:rPr>
          <w:rFonts w:ascii="Arial" w:hAnsi="Arial" w:cs="Arial"/>
          <w:sz w:val="24"/>
          <w:szCs w:val="24"/>
        </w:rPr>
        <w:t>una mayor dinámica, explicada por el comportamiento de todas las m</w:t>
      </w:r>
      <w:r w:rsidR="002C58F7" w:rsidRPr="00E17434">
        <w:rPr>
          <w:rFonts w:ascii="Arial" w:hAnsi="Arial" w:cs="Arial"/>
          <w:sz w:val="24"/>
          <w:szCs w:val="24"/>
        </w:rPr>
        <w:t xml:space="preserve">odalidades a excepción de la de </w:t>
      </w:r>
      <w:r w:rsidRPr="00E17434">
        <w:rPr>
          <w:rFonts w:ascii="Arial" w:hAnsi="Arial" w:cs="Arial"/>
          <w:sz w:val="24"/>
          <w:szCs w:val="24"/>
        </w:rPr>
        <w:t>vivienda. Por su parte, la cartera vencida se desaceleró, como resu</w:t>
      </w:r>
      <w:r w:rsidR="002C58F7" w:rsidRPr="00E17434">
        <w:rPr>
          <w:rFonts w:ascii="Arial" w:hAnsi="Arial" w:cs="Arial"/>
          <w:sz w:val="24"/>
          <w:szCs w:val="24"/>
        </w:rPr>
        <w:t xml:space="preserve">ltado del comportamiento de los </w:t>
      </w:r>
      <w:r w:rsidRPr="00E17434">
        <w:rPr>
          <w:rFonts w:ascii="Arial" w:hAnsi="Arial" w:cs="Arial"/>
          <w:sz w:val="24"/>
          <w:szCs w:val="24"/>
        </w:rPr>
        <w:t>microcréditos y créditos comerciales, mientras que la riesgosa a</w:t>
      </w:r>
      <w:r w:rsidR="002C58F7" w:rsidRPr="00E17434">
        <w:rPr>
          <w:rFonts w:ascii="Arial" w:hAnsi="Arial" w:cs="Arial"/>
          <w:sz w:val="24"/>
          <w:szCs w:val="24"/>
        </w:rPr>
        <w:t xml:space="preserve">umentó su ritmo de crecimiento, </w:t>
      </w:r>
      <w:r w:rsidRPr="00E17434">
        <w:rPr>
          <w:rFonts w:ascii="Arial" w:hAnsi="Arial" w:cs="Arial"/>
          <w:sz w:val="24"/>
          <w:szCs w:val="24"/>
        </w:rPr>
        <w:t xml:space="preserve">impulsada por la dinámica de las modalidades de comercial y consumo. Los indicadores </w:t>
      </w:r>
      <w:r w:rsidR="002C58F7" w:rsidRPr="00E17434">
        <w:rPr>
          <w:rFonts w:ascii="Arial" w:hAnsi="Arial" w:cs="Arial"/>
          <w:sz w:val="24"/>
          <w:szCs w:val="24"/>
        </w:rPr>
        <w:t xml:space="preserve">de calidad de </w:t>
      </w:r>
      <w:r w:rsidRPr="00E17434">
        <w:rPr>
          <w:rFonts w:ascii="Arial" w:hAnsi="Arial" w:cs="Arial"/>
          <w:sz w:val="24"/>
          <w:szCs w:val="24"/>
        </w:rPr>
        <w:t>la cartera total exhibieron leves disminuciones. Finalmente, las util</w:t>
      </w:r>
      <w:r w:rsidR="002C58F7" w:rsidRPr="00E17434">
        <w:rPr>
          <w:rFonts w:ascii="Arial" w:hAnsi="Arial" w:cs="Arial"/>
          <w:sz w:val="24"/>
          <w:szCs w:val="24"/>
        </w:rPr>
        <w:t xml:space="preserve">idades se expandieron a mayores </w:t>
      </w:r>
      <w:r w:rsidRPr="00E17434">
        <w:rPr>
          <w:rFonts w:ascii="Arial" w:hAnsi="Arial" w:cs="Arial"/>
          <w:sz w:val="24"/>
          <w:szCs w:val="24"/>
        </w:rPr>
        <w:t>niveles</w:t>
      </w:r>
      <w:r w:rsidR="002C58F7" w:rsidRPr="00E17434">
        <w:rPr>
          <w:rStyle w:val="Refdenotaalpie"/>
          <w:rFonts w:ascii="Arial" w:hAnsi="Arial" w:cs="Arial"/>
          <w:sz w:val="24"/>
          <w:szCs w:val="24"/>
        </w:rPr>
        <w:footnoteReference w:id="4"/>
      </w:r>
      <w:r w:rsidRPr="00E17434">
        <w:rPr>
          <w:rFonts w:ascii="Arial" w:hAnsi="Arial" w:cs="Arial"/>
          <w:sz w:val="24"/>
          <w:szCs w:val="24"/>
        </w:rPr>
        <w:t>.</w:t>
      </w:r>
    </w:p>
    <w:p w:rsidR="001D7E4F" w:rsidRPr="00E17434" w:rsidRDefault="001D7E4F" w:rsidP="00C757E5">
      <w:pPr>
        <w:spacing w:after="0" w:line="360" w:lineRule="auto"/>
        <w:jc w:val="both"/>
        <w:rPr>
          <w:rFonts w:ascii="Arial" w:hAnsi="Arial" w:cs="Arial"/>
          <w:sz w:val="24"/>
          <w:szCs w:val="24"/>
        </w:rPr>
      </w:pPr>
    </w:p>
    <w:p w:rsidR="00D0077E" w:rsidRDefault="00B63ECE" w:rsidP="00C757E5">
      <w:pPr>
        <w:spacing w:after="0" w:line="360" w:lineRule="auto"/>
        <w:jc w:val="both"/>
        <w:rPr>
          <w:rFonts w:ascii="Arial" w:hAnsi="Arial" w:cs="Arial"/>
          <w:sz w:val="24"/>
          <w:szCs w:val="24"/>
        </w:rPr>
      </w:pPr>
      <w:r w:rsidRPr="00E17434">
        <w:rPr>
          <w:rFonts w:ascii="Arial" w:hAnsi="Arial" w:cs="Arial"/>
          <w:sz w:val="24"/>
          <w:szCs w:val="24"/>
        </w:rPr>
        <w:t xml:space="preserve">En mayo de 2016 según la Superintendencia Financiera de Colombia </w:t>
      </w:r>
      <w:r w:rsidR="00A367A2" w:rsidRPr="00E17434">
        <w:rPr>
          <w:rFonts w:ascii="Arial" w:hAnsi="Arial" w:cs="Arial"/>
          <w:sz w:val="24"/>
          <w:szCs w:val="24"/>
        </w:rPr>
        <w:t xml:space="preserve">reporto que </w:t>
      </w:r>
      <w:r w:rsidRPr="00E17434">
        <w:rPr>
          <w:rFonts w:ascii="Arial" w:hAnsi="Arial" w:cs="Arial"/>
          <w:sz w:val="24"/>
          <w:szCs w:val="24"/>
        </w:rPr>
        <w:t>los activos del sistema financiero colombiano alcanzaron un valor de $1,330.7 billones, tras registrar un crecimiento real anual de 4.2%. Las inversiones y la cartera de créditos contribuyeron con el 46.3% y el 29.8% del total del activo, respectivamente</w:t>
      </w:r>
      <w:r w:rsidR="002C58F7" w:rsidRPr="00E17434">
        <w:rPr>
          <w:rStyle w:val="Refdenotaalpie"/>
          <w:rFonts w:ascii="Arial" w:hAnsi="Arial" w:cs="Arial"/>
          <w:sz w:val="24"/>
          <w:szCs w:val="24"/>
        </w:rPr>
        <w:footnoteReference w:id="5"/>
      </w:r>
      <w:r w:rsidRPr="00E17434">
        <w:rPr>
          <w:rFonts w:ascii="Arial" w:hAnsi="Arial" w:cs="Arial"/>
          <w:sz w:val="24"/>
          <w:szCs w:val="24"/>
        </w:rPr>
        <w:t>.</w:t>
      </w:r>
      <w:r w:rsidR="00D0077E" w:rsidRPr="00E17434">
        <w:rPr>
          <w:rFonts w:ascii="Arial" w:hAnsi="Arial" w:cs="Arial"/>
          <w:sz w:val="24"/>
          <w:szCs w:val="24"/>
        </w:rPr>
        <w:t xml:space="preserve"> </w:t>
      </w:r>
    </w:p>
    <w:p w:rsidR="001D7E4F" w:rsidRPr="00E17434" w:rsidRDefault="001D7E4F" w:rsidP="00C757E5">
      <w:pPr>
        <w:spacing w:after="0" w:line="360" w:lineRule="auto"/>
        <w:jc w:val="both"/>
        <w:rPr>
          <w:rFonts w:ascii="Arial" w:hAnsi="Arial" w:cs="Arial"/>
          <w:sz w:val="24"/>
          <w:szCs w:val="24"/>
        </w:rPr>
      </w:pPr>
    </w:p>
    <w:p w:rsidR="00E75D49" w:rsidRPr="00E17434" w:rsidRDefault="00D0077E" w:rsidP="00C757E5">
      <w:pPr>
        <w:spacing w:after="0" w:line="360" w:lineRule="auto"/>
        <w:jc w:val="both"/>
        <w:rPr>
          <w:rFonts w:ascii="Arial" w:hAnsi="Arial" w:cs="Arial"/>
          <w:sz w:val="24"/>
          <w:szCs w:val="24"/>
        </w:rPr>
      </w:pPr>
      <w:r w:rsidRPr="00E17434">
        <w:rPr>
          <w:rFonts w:ascii="Arial" w:hAnsi="Arial" w:cs="Arial"/>
          <w:sz w:val="24"/>
          <w:szCs w:val="24"/>
        </w:rPr>
        <w:t>En últimas se observa un</w:t>
      </w:r>
      <w:r w:rsidR="00005530" w:rsidRPr="00E17434">
        <w:rPr>
          <w:rFonts w:ascii="Arial" w:hAnsi="Arial" w:cs="Arial"/>
          <w:sz w:val="24"/>
          <w:szCs w:val="24"/>
        </w:rPr>
        <w:t xml:space="preserve"> importante</w:t>
      </w:r>
      <w:r w:rsidRPr="00E17434">
        <w:rPr>
          <w:rFonts w:ascii="Arial" w:hAnsi="Arial" w:cs="Arial"/>
          <w:sz w:val="24"/>
          <w:szCs w:val="24"/>
        </w:rPr>
        <w:t xml:space="preserve"> dinamismo </w:t>
      </w:r>
      <w:r w:rsidR="00005530" w:rsidRPr="00E17434">
        <w:rPr>
          <w:rFonts w:ascii="Arial" w:hAnsi="Arial" w:cs="Arial"/>
          <w:sz w:val="24"/>
          <w:szCs w:val="24"/>
        </w:rPr>
        <w:t xml:space="preserve">en el </w:t>
      </w:r>
      <w:r w:rsidRPr="00E17434">
        <w:rPr>
          <w:rFonts w:ascii="Arial" w:hAnsi="Arial" w:cs="Arial"/>
          <w:sz w:val="24"/>
          <w:szCs w:val="24"/>
        </w:rPr>
        <w:t xml:space="preserve">comportamiento del crédito y </w:t>
      </w:r>
      <w:r w:rsidR="00005530" w:rsidRPr="00E17434">
        <w:rPr>
          <w:rFonts w:ascii="Arial" w:hAnsi="Arial" w:cs="Arial"/>
          <w:sz w:val="24"/>
          <w:szCs w:val="24"/>
        </w:rPr>
        <w:t>también</w:t>
      </w:r>
      <w:r w:rsidRPr="00E17434">
        <w:rPr>
          <w:rFonts w:ascii="Arial" w:hAnsi="Arial" w:cs="Arial"/>
          <w:sz w:val="24"/>
          <w:szCs w:val="24"/>
        </w:rPr>
        <w:t xml:space="preserve"> se podría concluir que la existencia de la tasa de usura en el mercado financiero colombiano no </w:t>
      </w:r>
      <w:r w:rsidR="006774DA" w:rsidRPr="00E17434">
        <w:rPr>
          <w:rFonts w:ascii="Arial" w:hAnsi="Arial" w:cs="Arial"/>
          <w:sz w:val="24"/>
          <w:szCs w:val="24"/>
        </w:rPr>
        <w:t xml:space="preserve">ha sido restricción relevante para el acceso </w:t>
      </w:r>
      <w:r w:rsidR="00005530" w:rsidRPr="00E17434">
        <w:rPr>
          <w:rFonts w:ascii="Arial" w:hAnsi="Arial" w:cs="Arial"/>
          <w:sz w:val="24"/>
          <w:szCs w:val="24"/>
        </w:rPr>
        <w:t>a este</w:t>
      </w:r>
      <w:r w:rsidR="006774DA" w:rsidRPr="00E17434">
        <w:rPr>
          <w:rFonts w:ascii="Arial" w:hAnsi="Arial" w:cs="Arial"/>
          <w:sz w:val="24"/>
          <w:szCs w:val="24"/>
        </w:rPr>
        <w:t>; a</w:t>
      </w:r>
      <w:r w:rsidR="00D143F1" w:rsidRPr="00E17434">
        <w:rPr>
          <w:rFonts w:ascii="Arial" w:hAnsi="Arial" w:cs="Arial"/>
          <w:sz w:val="24"/>
          <w:szCs w:val="24"/>
        </w:rPr>
        <w:t xml:space="preserve">demás, </w:t>
      </w:r>
      <w:r w:rsidR="00C95453" w:rsidRPr="00E17434">
        <w:rPr>
          <w:rFonts w:ascii="Arial" w:hAnsi="Arial" w:cs="Arial"/>
          <w:sz w:val="24"/>
          <w:szCs w:val="24"/>
        </w:rPr>
        <w:t xml:space="preserve">frente a la discusión sobre </w:t>
      </w:r>
      <w:r w:rsidR="00813A07" w:rsidRPr="00E17434">
        <w:rPr>
          <w:rFonts w:ascii="Arial" w:hAnsi="Arial" w:cs="Arial"/>
          <w:sz w:val="24"/>
          <w:szCs w:val="24"/>
        </w:rPr>
        <w:t>eliminar la tasa de usura</w:t>
      </w:r>
      <w:r w:rsidR="00C95453" w:rsidRPr="00E17434">
        <w:rPr>
          <w:rFonts w:ascii="Arial" w:hAnsi="Arial" w:cs="Arial"/>
          <w:sz w:val="24"/>
          <w:szCs w:val="24"/>
        </w:rPr>
        <w:t>, esta sólo</w:t>
      </w:r>
      <w:r w:rsidR="00813A07" w:rsidRPr="00E17434">
        <w:rPr>
          <w:rFonts w:ascii="Arial" w:hAnsi="Arial" w:cs="Arial"/>
          <w:sz w:val="24"/>
          <w:szCs w:val="24"/>
        </w:rPr>
        <w:t xml:space="preserve"> sería </w:t>
      </w:r>
      <w:r w:rsidR="00C95453" w:rsidRPr="00E17434">
        <w:rPr>
          <w:rFonts w:ascii="Arial" w:hAnsi="Arial" w:cs="Arial"/>
          <w:sz w:val="24"/>
          <w:szCs w:val="24"/>
        </w:rPr>
        <w:t xml:space="preserve">una medida </w:t>
      </w:r>
      <w:r w:rsidR="00813A07" w:rsidRPr="00E17434">
        <w:rPr>
          <w:rFonts w:ascii="Arial" w:hAnsi="Arial" w:cs="Arial"/>
          <w:sz w:val="24"/>
          <w:szCs w:val="24"/>
        </w:rPr>
        <w:t xml:space="preserve">favorable siempre y cuando </w:t>
      </w:r>
      <w:r w:rsidR="002949C4" w:rsidRPr="00E17434">
        <w:rPr>
          <w:rFonts w:ascii="Arial" w:hAnsi="Arial" w:cs="Arial"/>
          <w:sz w:val="24"/>
          <w:szCs w:val="24"/>
        </w:rPr>
        <w:t>existiera un marco institucion</w:t>
      </w:r>
      <w:r w:rsidRPr="00E17434">
        <w:rPr>
          <w:rFonts w:ascii="Arial" w:hAnsi="Arial" w:cs="Arial"/>
          <w:sz w:val="24"/>
          <w:szCs w:val="24"/>
        </w:rPr>
        <w:t>al fuerte y un</w:t>
      </w:r>
      <w:r w:rsidR="002949C4" w:rsidRPr="00E17434">
        <w:rPr>
          <w:rFonts w:ascii="Arial" w:hAnsi="Arial" w:cs="Arial"/>
          <w:sz w:val="24"/>
          <w:szCs w:val="24"/>
        </w:rPr>
        <w:t xml:space="preserve"> </w:t>
      </w:r>
      <w:r w:rsidR="002949C4" w:rsidRPr="00E17434">
        <w:rPr>
          <w:rFonts w:ascii="Arial" w:hAnsi="Arial" w:cs="Arial"/>
          <w:sz w:val="24"/>
          <w:szCs w:val="24"/>
        </w:rPr>
        <w:lastRenderedPageBreak/>
        <w:t>mercado con e</w:t>
      </w:r>
      <w:r w:rsidR="00005530" w:rsidRPr="00E17434">
        <w:rPr>
          <w:rFonts w:ascii="Arial" w:hAnsi="Arial" w:cs="Arial"/>
          <w:sz w:val="24"/>
          <w:szCs w:val="24"/>
        </w:rPr>
        <w:t xml:space="preserve">levados niveles de competencia. </w:t>
      </w:r>
      <w:r w:rsidR="002949C4" w:rsidRPr="00E17434">
        <w:rPr>
          <w:rFonts w:ascii="Arial" w:hAnsi="Arial" w:cs="Arial"/>
          <w:sz w:val="24"/>
          <w:szCs w:val="24"/>
        </w:rPr>
        <w:t xml:space="preserve"> </w:t>
      </w:r>
      <w:r w:rsidR="00C95453" w:rsidRPr="00E17434">
        <w:rPr>
          <w:rFonts w:ascii="Arial" w:hAnsi="Arial" w:cs="Arial"/>
          <w:sz w:val="24"/>
          <w:szCs w:val="24"/>
        </w:rPr>
        <w:t xml:space="preserve">Y sobre este último </w:t>
      </w:r>
      <w:r w:rsidR="002949C4" w:rsidRPr="00E17434">
        <w:rPr>
          <w:rFonts w:ascii="Arial" w:hAnsi="Arial" w:cs="Arial"/>
          <w:sz w:val="24"/>
          <w:szCs w:val="24"/>
        </w:rPr>
        <w:t xml:space="preserve">el mismo Banco de la Republica </w:t>
      </w:r>
      <w:r w:rsidR="00D63ADD" w:rsidRPr="00E17434">
        <w:rPr>
          <w:rFonts w:ascii="Arial" w:hAnsi="Arial" w:cs="Arial"/>
          <w:sz w:val="24"/>
          <w:szCs w:val="24"/>
        </w:rPr>
        <w:t xml:space="preserve">en el Informe Especial de Estabilidad Financiera de 2014, </w:t>
      </w:r>
      <w:r w:rsidR="0085420A" w:rsidRPr="00E17434">
        <w:rPr>
          <w:rFonts w:ascii="Arial" w:hAnsi="Arial" w:cs="Arial"/>
          <w:sz w:val="24"/>
          <w:szCs w:val="24"/>
        </w:rPr>
        <w:t xml:space="preserve">señala que </w:t>
      </w:r>
      <w:r w:rsidR="00D63ADD" w:rsidRPr="00E17434">
        <w:rPr>
          <w:rFonts w:ascii="Arial" w:hAnsi="Arial" w:cs="Arial"/>
          <w:sz w:val="24"/>
          <w:szCs w:val="24"/>
        </w:rPr>
        <w:t xml:space="preserve">los mercados de crédito tienen una estructura de competencia monopolística, y que el crédito de consumo se acerca a una estructura colusiva, tipo cartel. </w:t>
      </w:r>
    </w:p>
    <w:p w:rsidR="001D7E4F" w:rsidRDefault="001D7E4F" w:rsidP="00C757E5">
      <w:pPr>
        <w:spacing w:after="0" w:line="360" w:lineRule="auto"/>
        <w:jc w:val="both"/>
        <w:rPr>
          <w:rFonts w:ascii="Arial" w:hAnsi="Arial" w:cs="Arial"/>
          <w:sz w:val="24"/>
          <w:szCs w:val="24"/>
        </w:rPr>
      </w:pPr>
    </w:p>
    <w:p w:rsidR="00221269" w:rsidRDefault="00D63ADD" w:rsidP="00C757E5">
      <w:pPr>
        <w:spacing w:after="0" w:line="360" w:lineRule="auto"/>
        <w:jc w:val="both"/>
        <w:rPr>
          <w:rFonts w:ascii="Arial" w:hAnsi="Arial" w:cs="Arial"/>
          <w:color w:val="000000"/>
          <w:sz w:val="24"/>
          <w:szCs w:val="24"/>
        </w:rPr>
      </w:pPr>
      <w:r w:rsidRPr="00E17434">
        <w:rPr>
          <w:rFonts w:ascii="Arial" w:hAnsi="Arial" w:cs="Arial"/>
          <w:sz w:val="24"/>
          <w:szCs w:val="24"/>
        </w:rPr>
        <w:t>En conclusión</w:t>
      </w:r>
      <w:r w:rsidR="009C6999" w:rsidRPr="00E17434">
        <w:rPr>
          <w:rFonts w:ascii="Arial" w:hAnsi="Arial" w:cs="Arial"/>
          <w:sz w:val="24"/>
          <w:szCs w:val="24"/>
        </w:rPr>
        <w:t>,</w:t>
      </w:r>
      <w:r w:rsidRPr="00E17434">
        <w:rPr>
          <w:rFonts w:ascii="Arial" w:hAnsi="Arial" w:cs="Arial"/>
          <w:sz w:val="24"/>
          <w:szCs w:val="24"/>
        </w:rPr>
        <w:t xml:space="preserve">  se busca mantener un límite a la tasa de interés con el fin de proteger a los usuarios del sistema financiero de posibles abusos, facultando a la Superintendencia </w:t>
      </w:r>
      <w:r w:rsidR="009C6999" w:rsidRPr="00E17434">
        <w:rPr>
          <w:rFonts w:ascii="Arial" w:hAnsi="Arial" w:cs="Arial"/>
          <w:sz w:val="24"/>
          <w:szCs w:val="24"/>
        </w:rPr>
        <w:t>F</w:t>
      </w:r>
      <w:r w:rsidRPr="00E17434">
        <w:rPr>
          <w:rFonts w:ascii="Arial" w:hAnsi="Arial" w:cs="Arial"/>
          <w:sz w:val="24"/>
          <w:szCs w:val="24"/>
        </w:rPr>
        <w:t xml:space="preserve">inanciera para </w:t>
      </w:r>
      <w:r w:rsidR="00321FAD" w:rsidRPr="00E17434">
        <w:rPr>
          <w:rFonts w:ascii="Arial" w:hAnsi="Arial" w:cs="Arial"/>
          <w:sz w:val="24"/>
          <w:szCs w:val="24"/>
        </w:rPr>
        <w:t xml:space="preserve">desarrolle los mecanismos metodológicos que le permitan establecer de manera idónea </w:t>
      </w:r>
      <w:r w:rsidRPr="00E17434">
        <w:rPr>
          <w:rFonts w:ascii="Arial" w:hAnsi="Arial" w:cs="Arial"/>
          <w:sz w:val="24"/>
          <w:szCs w:val="24"/>
        </w:rPr>
        <w:t>este l</w:t>
      </w:r>
      <w:r w:rsidR="00321FAD" w:rsidRPr="00E17434">
        <w:rPr>
          <w:rFonts w:ascii="Arial" w:hAnsi="Arial" w:cs="Arial"/>
          <w:sz w:val="24"/>
          <w:szCs w:val="24"/>
        </w:rPr>
        <w:t>í</w:t>
      </w:r>
      <w:r w:rsidRPr="00E17434">
        <w:rPr>
          <w:rFonts w:ascii="Arial" w:hAnsi="Arial" w:cs="Arial"/>
          <w:sz w:val="24"/>
          <w:szCs w:val="24"/>
        </w:rPr>
        <w:t>mite</w:t>
      </w:r>
      <w:r w:rsidR="00A50DF6" w:rsidRPr="00E17434">
        <w:rPr>
          <w:rFonts w:ascii="Arial" w:hAnsi="Arial" w:cs="Arial"/>
          <w:color w:val="000000"/>
          <w:sz w:val="24"/>
          <w:szCs w:val="24"/>
        </w:rPr>
        <w:t xml:space="preserve"> de acuerdo </w:t>
      </w:r>
      <w:r w:rsidR="0000015D" w:rsidRPr="00E17434">
        <w:rPr>
          <w:rFonts w:ascii="Arial" w:hAnsi="Arial" w:cs="Arial"/>
          <w:color w:val="000000"/>
          <w:sz w:val="24"/>
          <w:szCs w:val="24"/>
        </w:rPr>
        <w:t>con</w:t>
      </w:r>
      <w:r w:rsidR="00A50DF6" w:rsidRPr="00E17434">
        <w:rPr>
          <w:rFonts w:ascii="Arial" w:hAnsi="Arial" w:cs="Arial"/>
          <w:color w:val="000000"/>
          <w:sz w:val="24"/>
          <w:szCs w:val="24"/>
        </w:rPr>
        <w:t xml:space="preserve"> las condiciones del mercado para cada una de las diferentes líneas o segmentos de crédito existentes.</w:t>
      </w:r>
    </w:p>
    <w:p w:rsidR="00FB4E8A" w:rsidRDefault="00FB4E8A" w:rsidP="00C757E5">
      <w:pPr>
        <w:spacing w:after="0" w:line="360" w:lineRule="auto"/>
        <w:jc w:val="both"/>
        <w:rPr>
          <w:rFonts w:ascii="Arial" w:hAnsi="Arial" w:cs="Arial"/>
          <w:color w:val="000000"/>
          <w:sz w:val="24"/>
          <w:szCs w:val="24"/>
        </w:rPr>
      </w:pPr>
    </w:p>
    <w:p w:rsidR="00FB4E8A" w:rsidRDefault="00FB4E8A" w:rsidP="00C757E5">
      <w:pPr>
        <w:spacing w:after="0" w:line="360" w:lineRule="auto"/>
        <w:jc w:val="both"/>
        <w:rPr>
          <w:rFonts w:ascii="Arial" w:hAnsi="Arial" w:cs="Arial"/>
          <w:color w:val="000000"/>
          <w:sz w:val="24"/>
          <w:szCs w:val="24"/>
        </w:rPr>
      </w:pPr>
    </w:p>
    <w:p w:rsidR="00FB4E8A" w:rsidRDefault="00FB4E8A" w:rsidP="00C757E5">
      <w:pPr>
        <w:spacing w:after="0" w:line="360" w:lineRule="auto"/>
        <w:jc w:val="both"/>
        <w:rPr>
          <w:rFonts w:ascii="Arial" w:hAnsi="Arial" w:cs="Arial"/>
          <w:color w:val="000000"/>
          <w:sz w:val="24"/>
          <w:szCs w:val="24"/>
        </w:rPr>
      </w:pPr>
    </w:p>
    <w:p w:rsidR="00FB4E8A" w:rsidRDefault="00FB4E8A" w:rsidP="00C757E5">
      <w:pPr>
        <w:spacing w:after="0" w:line="360" w:lineRule="auto"/>
        <w:jc w:val="both"/>
        <w:rPr>
          <w:rFonts w:ascii="Arial" w:hAnsi="Arial" w:cs="Arial"/>
          <w:color w:val="000000"/>
          <w:sz w:val="24"/>
          <w:szCs w:val="24"/>
        </w:rPr>
      </w:pPr>
    </w:p>
    <w:p w:rsidR="00FB4E8A" w:rsidRDefault="00FB4E8A" w:rsidP="00C757E5">
      <w:pPr>
        <w:spacing w:after="0" w:line="360" w:lineRule="auto"/>
        <w:jc w:val="both"/>
        <w:rPr>
          <w:rFonts w:ascii="Arial" w:hAnsi="Arial" w:cs="Arial"/>
          <w:color w:val="000000"/>
          <w:sz w:val="24"/>
          <w:szCs w:val="24"/>
        </w:rPr>
      </w:pPr>
    </w:p>
    <w:p w:rsidR="00FB4E8A" w:rsidRDefault="00FB4E8A" w:rsidP="00FB4E8A">
      <w:pPr>
        <w:spacing w:after="0" w:line="240" w:lineRule="auto"/>
        <w:rPr>
          <w:rFonts w:ascii="Arial" w:hAnsi="Arial" w:cs="Arial"/>
          <w:b/>
          <w:sz w:val="24"/>
          <w:szCs w:val="24"/>
        </w:rPr>
      </w:pPr>
      <w:r>
        <w:rPr>
          <w:rFonts w:ascii="Arial" w:hAnsi="Arial" w:cs="Arial"/>
          <w:b/>
          <w:sz w:val="24"/>
          <w:szCs w:val="24"/>
        </w:rPr>
        <w:t>DAVID BARGUIL ASSIS</w:t>
      </w:r>
    </w:p>
    <w:p w:rsidR="00FB4E8A" w:rsidRPr="00C757E5" w:rsidRDefault="00FB4E8A" w:rsidP="00FB4E8A">
      <w:pPr>
        <w:spacing w:after="0" w:line="240" w:lineRule="auto"/>
        <w:rPr>
          <w:rFonts w:ascii="Arial" w:hAnsi="Arial" w:cs="Arial"/>
          <w:b/>
          <w:sz w:val="24"/>
          <w:szCs w:val="24"/>
        </w:rPr>
      </w:pPr>
      <w:r>
        <w:rPr>
          <w:rFonts w:ascii="Arial" w:hAnsi="Arial" w:cs="Arial"/>
          <w:b/>
          <w:sz w:val="24"/>
          <w:szCs w:val="24"/>
        </w:rPr>
        <w:t>Representante a la Cámara</w:t>
      </w:r>
    </w:p>
    <w:p w:rsidR="00FB4E8A" w:rsidRPr="00E17434" w:rsidRDefault="00FB4E8A" w:rsidP="00C757E5">
      <w:pPr>
        <w:spacing w:after="0" w:line="360" w:lineRule="auto"/>
        <w:jc w:val="both"/>
        <w:rPr>
          <w:rFonts w:ascii="Arial" w:hAnsi="Arial" w:cs="Arial"/>
          <w:sz w:val="24"/>
          <w:szCs w:val="24"/>
        </w:rPr>
      </w:pPr>
    </w:p>
    <w:sectPr w:rsidR="00FB4E8A" w:rsidRPr="00E17434" w:rsidSect="00C757E5">
      <w:footerReference w:type="default" r:id="rId8"/>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167" w:rsidRDefault="00323167" w:rsidP="00D34401">
      <w:pPr>
        <w:spacing w:after="0" w:line="240" w:lineRule="auto"/>
      </w:pPr>
      <w:r>
        <w:separator/>
      </w:r>
    </w:p>
  </w:endnote>
  <w:endnote w:type="continuationSeparator" w:id="0">
    <w:p w:rsidR="00323167" w:rsidRDefault="00323167" w:rsidP="00D3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600238"/>
      <w:docPartObj>
        <w:docPartGallery w:val="Page Numbers (Bottom of Page)"/>
        <w:docPartUnique/>
      </w:docPartObj>
    </w:sdtPr>
    <w:sdtEndPr/>
    <w:sdtContent>
      <w:p w:rsidR="00205CC7" w:rsidRDefault="00205CC7">
        <w:pPr>
          <w:pStyle w:val="Piedepgina"/>
          <w:jc w:val="right"/>
        </w:pPr>
        <w:r>
          <w:fldChar w:fldCharType="begin"/>
        </w:r>
        <w:r>
          <w:instrText>PAGE   \* MERGEFORMAT</w:instrText>
        </w:r>
        <w:r>
          <w:fldChar w:fldCharType="separate"/>
        </w:r>
        <w:r w:rsidR="00305B88" w:rsidRPr="00305B88">
          <w:rPr>
            <w:noProof/>
            <w:lang w:val="es-ES"/>
          </w:rPr>
          <w:t>6</w:t>
        </w:r>
        <w:r>
          <w:fldChar w:fldCharType="end"/>
        </w:r>
      </w:p>
    </w:sdtContent>
  </w:sdt>
  <w:p w:rsidR="00205CC7" w:rsidRDefault="00205C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167" w:rsidRDefault="00323167" w:rsidP="00D34401">
      <w:pPr>
        <w:spacing w:after="0" w:line="240" w:lineRule="auto"/>
      </w:pPr>
      <w:r>
        <w:separator/>
      </w:r>
    </w:p>
  </w:footnote>
  <w:footnote w:type="continuationSeparator" w:id="0">
    <w:p w:rsidR="00323167" w:rsidRDefault="00323167" w:rsidP="00D34401">
      <w:pPr>
        <w:spacing w:after="0" w:line="240" w:lineRule="auto"/>
      </w:pPr>
      <w:r>
        <w:continuationSeparator/>
      </w:r>
    </w:p>
  </w:footnote>
  <w:footnote w:id="1">
    <w:p w:rsidR="002C58F7" w:rsidRPr="002C58F7" w:rsidRDefault="002C58F7">
      <w:pPr>
        <w:pStyle w:val="Textonotapie"/>
        <w:rPr>
          <w:sz w:val="16"/>
          <w:szCs w:val="16"/>
        </w:rPr>
      </w:pPr>
      <w:r w:rsidRPr="002C58F7">
        <w:rPr>
          <w:rStyle w:val="Refdenotaalpie"/>
          <w:sz w:val="16"/>
          <w:szCs w:val="16"/>
        </w:rPr>
        <w:footnoteRef/>
      </w:r>
      <w:r w:rsidRPr="002C58F7">
        <w:rPr>
          <w:sz w:val="16"/>
          <w:szCs w:val="16"/>
        </w:rPr>
        <w:t xml:space="preserve"> http://www.fedesarrollo.org.co/wp-content/uploads/2011/08/Efectos-y-consecuencias-del-sistema-de-c%C3%A1lculo-aplicado-a-las-tasas-IF-AECOM-2012.pdf</w:t>
      </w:r>
    </w:p>
  </w:footnote>
  <w:footnote w:id="2">
    <w:p w:rsidR="002C58F7" w:rsidRPr="000211B6" w:rsidRDefault="002C58F7">
      <w:pPr>
        <w:pStyle w:val="Textonotapie"/>
        <w:rPr>
          <w:sz w:val="16"/>
          <w:szCs w:val="16"/>
        </w:rPr>
      </w:pPr>
      <w:r w:rsidRPr="002C58F7">
        <w:rPr>
          <w:rStyle w:val="Refdenotaalpie"/>
          <w:sz w:val="16"/>
          <w:szCs w:val="16"/>
        </w:rPr>
        <w:footnoteRef/>
      </w:r>
      <w:r w:rsidRPr="000211B6">
        <w:rPr>
          <w:sz w:val="16"/>
          <w:szCs w:val="16"/>
        </w:rPr>
        <w:t xml:space="preserve"> http://www.banrep.gov.co/sites/default/files/publicaciones/archivos/rref_sep_2013.pdf</w:t>
      </w:r>
    </w:p>
  </w:footnote>
  <w:footnote w:id="3">
    <w:p w:rsidR="002C58F7" w:rsidRPr="001B13CC" w:rsidRDefault="002C58F7">
      <w:pPr>
        <w:pStyle w:val="Textonotapie"/>
        <w:rPr>
          <w:sz w:val="16"/>
          <w:szCs w:val="16"/>
        </w:rPr>
      </w:pPr>
      <w:r w:rsidRPr="002C58F7">
        <w:rPr>
          <w:rStyle w:val="Refdenotaalpie"/>
          <w:sz w:val="16"/>
          <w:szCs w:val="16"/>
        </w:rPr>
        <w:footnoteRef/>
      </w:r>
      <w:r w:rsidRPr="001B13CC">
        <w:rPr>
          <w:sz w:val="16"/>
          <w:szCs w:val="16"/>
        </w:rPr>
        <w:t xml:space="preserve"> </w:t>
      </w:r>
      <w:hyperlink r:id="rId1" w:history="1">
        <w:r w:rsidRPr="001B13CC">
          <w:rPr>
            <w:rStyle w:val="Hipervnculo"/>
            <w:sz w:val="16"/>
            <w:szCs w:val="16"/>
          </w:rPr>
          <w:t>http://www.banrep.gov.co/sites/default/files/publicaciones/archivos/rref_sep_2014.pdf</w:t>
        </w:r>
      </w:hyperlink>
    </w:p>
  </w:footnote>
  <w:footnote w:id="4">
    <w:p w:rsidR="002C58F7" w:rsidRPr="001B13CC" w:rsidRDefault="002C58F7">
      <w:pPr>
        <w:pStyle w:val="Textonotapie"/>
        <w:rPr>
          <w:sz w:val="16"/>
          <w:szCs w:val="16"/>
        </w:rPr>
      </w:pPr>
      <w:r w:rsidRPr="002C58F7">
        <w:rPr>
          <w:rStyle w:val="Refdenotaalpie"/>
          <w:sz w:val="16"/>
          <w:szCs w:val="16"/>
        </w:rPr>
        <w:footnoteRef/>
      </w:r>
      <w:r w:rsidRPr="001B13CC">
        <w:rPr>
          <w:sz w:val="16"/>
          <w:szCs w:val="16"/>
        </w:rPr>
        <w:t xml:space="preserve"> http://www.banrep.gov.co/sites/default/files/publicaciones/archivos/amjdcartera_jun_2015.pdf</w:t>
      </w:r>
    </w:p>
  </w:footnote>
  <w:footnote w:id="5">
    <w:p w:rsidR="002C58F7" w:rsidRPr="001B13CC" w:rsidRDefault="002C58F7">
      <w:pPr>
        <w:pStyle w:val="Textonotapie"/>
        <w:rPr>
          <w:sz w:val="16"/>
          <w:szCs w:val="16"/>
        </w:rPr>
      </w:pPr>
      <w:r w:rsidRPr="002C58F7">
        <w:rPr>
          <w:rStyle w:val="Refdenotaalpie"/>
          <w:sz w:val="16"/>
          <w:szCs w:val="16"/>
        </w:rPr>
        <w:footnoteRef/>
      </w:r>
      <w:r w:rsidRPr="001B13CC">
        <w:rPr>
          <w:sz w:val="16"/>
          <w:szCs w:val="16"/>
        </w:rPr>
        <w:t>https://www.superfinanciera.gov.co/jsp/loader.jsf?lServicio=Publicaciones&amp;lTipo=publicaciones&amp;lFuncion=loadContenidoPublicacion&amp;id=10081702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93BB5"/>
    <w:multiLevelType w:val="hybridMultilevel"/>
    <w:tmpl w:val="A0A8EF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0E12DF1"/>
    <w:multiLevelType w:val="hybridMultilevel"/>
    <w:tmpl w:val="80A25B2C"/>
    <w:lvl w:ilvl="0" w:tplc="80E2F5CE">
      <w:start w:val="1"/>
      <w:numFmt w:val="decimal"/>
      <w:lvlText w:val="%1."/>
      <w:lvlJc w:val="left"/>
      <w:pPr>
        <w:ind w:left="360" w:hanging="360"/>
      </w:pPr>
      <w:rPr>
        <w:rFonts w:ascii="Arial" w:hAnsi="Arial" w:cs="Arial" w:hint="default"/>
        <w:sz w:val="24"/>
        <w:u w:val="non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44B769A5"/>
    <w:multiLevelType w:val="hybridMultilevel"/>
    <w:tmpl w:val="CABE844C"/>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
    <w:nsid w:val="723D6BF5"/>
    <w:multiLevelType w:val="hybridMultilevel"/>
    <w:tmpl w:val="C4126F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6A1"/>
    <w:rsid w:val="0000015D"/>
    <w:rsid w:val="00005530"/>
    <w:rsid w:val="000211B6"/>
    <w:rsid w:val="000E6DC1"/>
    <w:rsid w:val="001779E2"/>
    <w:rsid w:val="001A23C3"/>
    <w:rsid w:val="001B13CC"/>
    <w:rsid w:val="001D212C"/>
    <w:rsid w:val="001D7E4F"/>
    <w:rsid w:val="00205CC7"/>
    <w:rsid w:val="00221269"/>
    <w:rsid w:val="00256652"/>
    <w:rsid w:val="00276062"/>
    <w:rsid w:val="002949C4"/>
    <w:rsid w:val="002C58F7"/>
    <w:rsid w:val="002D03A9"/>
    <w:rsid w:val="002D5028"/>
    <w:rsid w:val="00300E6A"/>
    <w:rsid w:val="00305B88"/>
    <w:rsid w:val="00305E3C"/>
    <w:rsid w:val="00321FAD"/>
    <w:rsid w:val="00323167"/>
    <w:rsid w:val="00324818"/>
    <w:rsid w:val="003937A7"/>
    <w:rsid w:val="003E525A"/>
    <w:rsid w:val="003F3361"/>
    <w:rsid w:val="00423066"/>
    <w:rsid w:val="004265D6"/>
    <w:rsid w:val="00455B6E"/>
    <w:rsid w:val="005761BA"/>
    <w:rsid w:val="005768B1"/>
    <w:rsid w:val="00581F62"/>
    <w:rsid w:val="005C0739"/>
    <w:rsid w:val="006269AB"/>
    <w:rsid w:val="006379F1"/>
    <w:rsid w:val="006774DA"/>
    <w:rsid w:val="006F41EF"/>
    <w:rsid w:val="00705A05"/>
    <w:rsid w:val="007245B8"/>
    <w:rsid w:val="00732997"/>
    <w:rsid w:val="008036D3"/>
    <w:rsid w:val="008103DA"/>
    <w:rsid w:val="00813A07"/>
    <w:rsid w:val="00826E3B"/>
    <w:rsid w:val="0085264A"/>
    <w:rsid w:val="0085420A"/>
    <w:rsid w:val="00895635"/>
    <w:rsid w:val="008D4E26"/>
    <w:rsid w:val="00902EC4"/>
    <w:rsid w:val="00955D2A"/>
    <w:rsid w:val="009746F2"/>
    <w:rsid w:val="009C6999"/>
    <w:rsid w:val="00A267BC"/>
    <w:rsid w:val="00A367A2"/>
    <w:rsid w:val="00A46835"/>
    <w:rsid w:val="00A47CA3"/>
    <w:rsid w:val="00A50DF6"/>
    <w:rsid w:val="00A819F5"/>
    <w:rsid w:val="00A81CB2"/>
    <w:rsid w:val="00A8798B"/>
    <w:rsid w:val="00B067C2"/>
    <w:rsid w:val="00B21631"/>
    <w:rsid w:val="00B63ECE"/>
    <w:rsid w:val="00B82CBE"/>
    <w:rsid w:val="00B85404"/>
    <w:rsid w:val="00BC437A"/>
    <w:rsid w:val="00C4622A"/>
    <w:rsid w:val="00C520F7"/>
    <w:rsid w:val="00C757E5"/>
    <w:rsid w:val="00C82F6A"/>
    <w:rsid w:val="00C95453"/>
    <w:rsid w:val="00CB32E4"/>
    <w:rsid w:val="00CD778B"/>
    <w:rsid w:val="00D0077E"/>
    <w:rsid w:val="00D143F1"/>
    <w:rsid w:val="00D34401"/>
    <w:rsid w:val="00D63ADD"/>
    <w:rsid w:val="00E06DE0"/>
    <w:rsid w:val="00E17434"/>
    <w:rsid w:val="00E257C4"/>
    <w:rsid w:val="00E36C2F"/>
    <w:rsid w:val="00E55B6C"/>
    <w:rsid w:val="00E60B84"/>
    <w:rsid w:val="00E75D49"/>
    <w:rsid w:val="00E84CF7"/>
    <w:rsid w:val="00EC4EAB"/>
    <w:rsid w:val="00F926A1"/>
    <w:rsid w:val="00FB4E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FF215C-E1F0-4C33-AAB6-F553EB4A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34401"/>
    <w:pPr>
      <w:spacing w:after="0" w:line="240" w:lineRule="auto"/>
    </w:pPr>
    <w:rPr>
      <w:sz w:val="20"/>
      <w:szCs w:val="20"/>
    </w:rPr>
  </w:style>
  <w:style w:type="character" w:customStyle="1" w:styleId="TextonotapieCar">
    <w:name w:val="Texto nota pie Car"/>
    <w:basedOn w:val="Fuentedeprrafopredeter"/>
    <w:link w:val="Textonotapie"/>
    <w:uiPriority w:val="99"/>
    <w:rsid w:val="00D34401"/>
    <w:rPr>
      <w:sz w:val="20"/>
      <w:szCs w:val="20"/>
    </w:rPr>
  </w:style>
  <w:style w:type="character" w:styleId="Refdenotaalpie">
    <w:name w:val="footnote reference"/>
    <w:basedOn w:val="Fuentedeprrafopredeter"/>
    <w:uiPriority w:val="99"/>
    <w:semiHidden/>
    <w:unhideWhenUsed/>
    <w:rsid w:val="00D34401"/>
    <w:rPr>
      <w:vertAlign w:val="superscript"/>
    </w:rPr>
  </w:style>
  <w:style w:type="paragraph" w:styleId="Sinespaciado">
    <w:name w:val="No Spacing"/>
    <w:uiPriority w:val="1"/>
    <w:qFormat/>
    <w:rsid w:val="00D34401"/>
    <w:pPr>
      <w:spacing w:after="0" w:line="240" w:lineRule="auto"/>
    </w:pPr>
  </w:style>
  <w:style w:type="character" w:styleId="Hipervnculo">
    <w:name w:val="Hyperlink"/>
    <w:basedOn w:val="Fuentedeprrafopredeter"/>
    <w:uiPriority w:val="99"/>
    <w:unhideWhenUsed/>
    <w:rsid w:val="002C58F7"/>
    <w:rPr>
      <w:color w:val="0000FF" w:themeColor="hyperlink"/>
      <w:u w:val="single"/>
    </w:rPr>
  </w:style>
  <w:style w:type="paragraph" w:styleId="Prrafodelista">
    <w:name w:val="List Paragraph"/>
    <w:aliases w:val="titulo 3"/>
    <w:basedOn w:val="Normal"/>
    <w:link w:val="PrrafodelistaCar"/>
    <w:uiPriority w:val="34"/>
    <w:qFormat/>
    <w:rsid w:val="003937A7"/>
    <w:pPr>
      <w:ind w:left="720"/>
      <w:contextualSpacing/>
    </w:pPr>
  </w:style>
  <w:style w:type="character" w:customStyle="1" w:styleId="PrrafodelistaCar">
    <w:name w:val="Párrafo de lista Car"/>
    <w:aliases w:val="titulo 3 Car"/>
    <w:link w:val="Prrafodelista"/>
    <w:uiPriority w:val="34"/>
    <w:locked/>
    <w:rsid w:val="001B13CC"/>
  </w:style>
  <w:style w:type="paragraph" w:styleId="NormalWeb">
    <w:name w:val="Normal (Web)"/>
    <w:basedOn w:val="Normal"/>
    <w:uiPriority w:val="99"/>
    <w:unhideWhenUsed/>
    <w:rsid w:val="00E1743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205C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5CC7"/>
  </w:style>
  <w:style w:type="paragraph" w:styleId="Piedepgina">
    <w:name w:val="footer"/>
    <w:basedOn w:val="Normal"/>
    <w:link w:val="PiedepginaCar"/>
    <w:uiPriority w:val="99"/>
    <w:unhideWhenUsed/>
    <w:rsid w:val="00205C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5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595677">
      <w:bodyDiv w:val="1"/>
      <w:marLeft w:val="0"/>
      <w:marRight w:val="0"/>
      <w:marTop w:val="0"/>
      <w:marBottom w:val="0"/>
      <w:divBdr>
        <w:top w:val="none" w:sz="0" w:space="0" w:color="auto"/>
        <w:left w:val="none" w:sz="0" w:space="0" w:color="auto"/>
        <w:bottom w:val="none" w:sz="0" w:space="0" w:color="auto"/>
        <w:right w:val="none" w:sz="0" w:space="0" w:color="auto"/>
      </w:divBdr>
    </w:div>
    <w:div w:id="134297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anrep.gov.co/sites/default/files/publicaciones/archivos/rref_sep_201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40EE8-0A45-41D7-8D0D-B2E6512B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1429</Words>
  <Characters>7864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melisamarchena</dc:creator>
  <cp:lastModifiedBy>annysesther</cp:lastModifiedBy>
  <cp:revision>17</cp:revision>
  <dcterms:created xsi:type="dcterms:W3CDTF">2016-07-20T02:31:00Z</dcterms:created>
  <dcterms:modified xsi:type="dcterms:W3CDTF">2016-07-25T20:12:00Z</dcterms:modified>
</cp:coreProperties>
</file>