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6CCB" w:rsidRPr="00EE6AE5" w:rsidRDefault="00B60435" w:rsidP="00E06CCB">
      <w:pPr>
        <w:spacing w:before="100" w:beforeAutospacing="1" w:after="100" w:afterAutospacing="1" w:line="240" w:lineRule="auto"/>
        <w:jc w:val="center"/>
        <w:rPr>
          <w:rFonts w:ascii="Arial Narrow" w:eastAsia="Times New Roman" w:hAnsi="Arial Narrow" w:cs="Arial"/>
          <w:b/>
          <w:bCs/>
          <w:sz w:val="24"/>
          <w:szCs w:val="24"/>
          <w:shd w:val="clear" w:color="auto" w:fill="FFFFFF"/>
          <w:lang w:eastAsia="es-ES"/>
        </w:rPr>
      </w:pPr>
      <w:r>
        <w:rPr>
          <w:rFonts w:ascii="Arial Narrow" w:eastAsia="Times New Roman" w:hAnsi="Arial Narrow" w:cs="Arial"/>
          <w:b/>
          <w:bCs/>
          <w:sz w:val="24"/>
          <w:szCs w:val="24"/>
          <w:shd w:val="clear" w:color="auto" w:fill="FFFFFF"/>
          <w:lang w:eastAsia="es-ES"/>
        </w:rPr>
        <w:t xml:space="preserve">PROYECTO DE LEY </w:t>
      </w:r>
      <w:r w:rsidR="00DD7064">
        <w:rPr>
          <w:rFonts w:ascii="Arial Narrow" w:eastAsia="Times New Roman" w:hAnsi="Arial Narrow" w:cs="Arial"/>
          <w:b/>
          <w:bCs/>
          <w:sz w:val="24"/>
          <w:szCs w:val="24"/>
          <w:shd w:val="clear" w:color="auto" w:fill="FFFFFF"/>
          <w:lang w:eastAsia="es-ES"/>
        </w:rPr>
        <w:t>N° _____</w:t>
      </w:r>
      <w:r>
        <w:rPr>
          <w:rFonts w:ascii="Arial Narrow" w:eastAsia="Times New Roman" w:hAnsi="Arial Narrow" w:cs="Arial"/>
          <w:b/>
          <w:bCs/>
          <w:sz w:val="24"/>
          <w:szCs w:val="24"/>
          <w:shd w:val="clear" w:color="auto" w:fill="FFFFFF"/>
          <w:lang w:eastAsia="es-ES"/>
        </w:rPr>
        <w:t xml:space="preserve"> </w:t>
      </w:r>
      <w:r w:rsidR="00E06CCB" w:rsidRPr="00EE6AE5">
        <w:rPr>
          <w:rFonts w:ascii="Arial Narrow" w:eastAsia="Times New Roman" w:hAnsi="Arial Narrow" w:cs="Arial"/>
          <w:b/>
          <w:bCs/>
          <w:sz w:val="24"/>
          <w:szCs w:val="24"/>
          <w:shd w:val="clear" w:color="auto" w:fill="FFFFFF"/>
          <w:lang w:eastAsia="es-ES"/>
        </w:rPr>
        <w:t>DE 201</w:t>
      </w:r>
      <w:r w:rsidR="00DD7064">
        <w:rPr>
          <w:rFonts w:ascii="Arial Narrow" w:eastAsia="Times New Roman" w:hAnsi="Arial Narrow" w:cs="Arial"/>
          <w:b/>
          <w:bCs/>
          <w:sz w:val="24"/>
          <w:szCs w:val="24"/>
          <w:shd w:val="clear" w:color="auto" w:fill="FFFFFF"/>
          <w:lang w:eastAsia="es-ES"/>
        </w:rPr>
        <w:t>8</w:t>
      </w:r>
      <w:r w:rsidR="00E06CCB" w:rsidRPr="00EE6AE5">
        <w:rPr>
          <w:rFonts w:ascii="Arial Narrow" w:eastAsia="Times New Roman" w:hAnsi="Arial Narrow" w:cs="Arial"/>
          <w:b/>
          <w:bCs/>
          <w:sz w:val="24"/>
          <w:szCs w:val="24"/>
          <w:shd w:val="clear" w:color="auto" w:fill="FFFFFF"/>
          <w:lang w:eastAsia="es-ES"/>
        </w:rPr>
        <w:t xml:space="preserve"> </w:t>
      </w:r>
      <w:r w:rsidR="00727D83">
        <w:rPr>
          <w:rFonts w:ascii="Arial Narrow" w:eastAsia="Times New Roman" w:hAnsi="Arial Narrow" w:cs="Arial"/>
          <w:b/>
          <w:bCs/>
          <w:sz w:val="24"/>
          <w:szCs w:val="24"/>
          <w:shd w:val="clear" w:color="auto" w:fill="FFFFFF"/>
          <w:lang w:eastAsia="es-ES"/>
        </w:rPr>
        <w:t>CAMARA</w:t>
      </w:r>
      <w:bookmarkStart w:id="0" w:name="_GoBack"/>
      <w:bookmarkEnd w:id="0"/>
    </w:p>
    <w:p w:rsidR="00E06CCB" w:rsidRPr="00EE6AE5" w:rsidRDefault="00037D55" w:rsidP="00E06CCB">
      <w:pPr>
        <w:spacing w:before="100" w:beforeAutospacing="1" w:after="100" w:afterAutospacing="1" w:line="240" w:lineRule="auto"/>
        <w:jc w:val="center"/>
        <w:rPr>
          <w:rFonts w:ascii="Arial Narrow" w:eastAsia="Times New Roman" w:hAnsi="Arial Narrow" w:cs="Arial"/>
          <w:b/>
          <w:bCs/>
          <w:sz w:val="24"/>
          <w:szCs w:val="24"/>
          <w:shd w:val="clear" w:color="auto" w:fill="FFFFFF"/>
          <w:lang w:eastAsia="es-ES"/>
        </w:rPr>
      </w:pPr>
      <w:r>
        <w:rPr>
          <w:rFonts w:ascii="Arial Narrow" w:eastAsia="Times New Roman" w:hAnsi="Arial Narrow" w:cs="Arial"/>
          <w:b/>
          <w:bCs/>
          <w:sz w:val="24"/>
          <w:szCs w:val="24"/>
          <w:shd w:val="clear" w:color="auto" w:fill="FFFFFF"/>
          <w:lang w:eastAsia="es-ES"/>
        </w:rPr>
        <w:t>“</w:t>
      </w:r>
      <w:r w:rsidRPr="00EE6AE5">
        <w:rPr>
          <w:rFonts w:ascii="Arial Narrow" w:eastAsia="Times New Roman" w:hAnsi="Arial Narrow" w:cs="Arial"/>
          <w:b/>
          <w:bCs/>
          <w:sz w:val="24"/>
          <w:szCs w:val="24"/>
          <w:shd w:val="clear" w:color="auto" w:fill="FFFFFF"/>
          <w:lang w:eastAsia="es-ES"/>
        </w:rPr>
        <w:t>POR MEDIO DE LA CUAL SE ESTABLECE UN LÍMITE AL INCREMENTO ANUAL DEL IMPUESTO PREDIAL UNIFICADO PRODUCTO DE ACTUALIZACIONES CATASTRALES Y SE DICTAN OTRAS DISPOSICIONES</w:t>
      </w:r>
      <w:r>
        <w:rPr>
          <w:rFonts w:ascii="Arial Narrow" w:eastAsia="Times New Roman" w:hAnsi="Arial Narrow" w:cs="Arial"/>
          <w:b/>
          <w:bCs/>
          <w:sz w:val="24"/>
          <w:szCs w:val="24"/>
          <w:shd w:val="clear" w:color="auto" w:fill="FFFFFF"/>
          <w:lang w:eastAsia="es-ES"/>
        </w:rPr>
        <w:t>”</w:t>
      </w:r>
    </w:p>
    <w:p w:rsidR="00E06CCB" w:rsidRPr="00EE6AE5" w:rsidRDefault="00E06CCB" w:rsidP="00E06CCB">
      <w:pPr>
        <w:spacing w:after="0" w:line="360" w:lineRule="auto"/>
        <w:jc w:val="center"/>
        <w:rPr>
          <w:rFonts w:ascii="Arial Narrow" w:hAnsi="Arial Narrow" w:cs="Arial"/>
          <w:b/>
          <w:sz w:val="24"/>
          <w:szCs w:val="24"/>
        </w:rPr>
      </w:pPr>
      <w:r w:rsidRPr="00EE6AE5">
        <w:rPr>
          <w:rFonts w:ascii="Arial Narrow" w:hAnsi="Arial Narrow" w:cs="Arial"/>
          <w:b/>
          <w:sz w:val="24"/>
          <w:szCs w:val="24"/>
        </w:rPr>
        <w:t xml:space="preserve">EL CONGRESO DE COLOMBIA </w:t>
      </w:r>
    </w:p>
    <w:p w:rsidR="00E06CCB" w:rsidRPr="00EE6AE5" w:rsidRDefault="00E06CCB" w:rsidP="00E06CCB">
      <w:pPr>
        <w:spacing w:after="0" w:line="360" w:lineRule="auto"/>
        <w:jc w:val="center"/>
        <w:rPr>
          <w:rFonts w:ascii="Arial Narrow" w:hAnsi="Arial Narrow" w:cs="Arial"/>
          <w:b/>
          <w:sz w:val="24"/>
          <w:szCs w:val="24"/>
        </w:rPr>
      </w:pPr>
      <w:r w:rsidRPr="00EE6AE5">
        <w:rPr>
          <w:rFonts w:ascii="Arial Narrow" w:hAnsi="Arial Narrow" w:cs="Arial"/>
          <w:b/>
          <w:sz w:val="24"/>
          <w:szCs w:val="24"/>
        </w:rPr>
        <w:t>DECRETA:</w:t>
      </w:r>
    </w:p>
    <w:p w:rsidR="00E06CCB" w:rsidRPr="00EE6AE5" w:rsidRDefault="00E06CCB" w:rsidP="00E06CCB">
      <w:pPr>
        <w:spacing w:before="100" w:beforeAutospacing="1" w:after="100" w:afterAutospacing="1" w:line="240" w:lineRule="auto"/>
        <w:jc w:val="both"/>
        <w:rPr>
          <w:rFonts w:ascii="Arial Narrow" w:eastAsia="Times New Roman" w:hAnsi="Arial Narrow" w:cs="Arial"/>
          <w:b/>
          <w:bCs/>
          <w:sz w:val="24"/>
          <w:szCs w:val="24"/>
          <w:shd w:val="clear" w:color="auto" w:fill="FFFFFF"/>
          <w:lang w:eastAsia="es-ES"/>
        </w:rPr>
      </w:pPr>
      <w:r w:rsidRPr="00EE6AE5">
        <w:rPr>
          <w:rFonts w:ascii="Arial Narrow" w:eastAsia="Times New Roman" w:hAnsi="Arial Narrow" w:cs="Arial"/>
          <w:b/>
          <w:bCs/>
          <w:sz w:val="24"/>
          <w:szCs w:val="24"/>
          <w:shd w:val="clear" w:color="auto" w:fill="FFFFFF"/>
          <w:lang w:eastAsia="es-ES"/>
        </w:rPr>
        <w:t>Artículo 1º</w:t>
      </w:r>
      <w:r w:rsidRPr="00EE6AE5">
        <w:rPr>
          <w:rFonts w:ascii="Arial Narrow" w:eastAsia="Times New Roman" w:hAnsi="Arial Narrow" w:cs="Arial"/>
          <w:sz w:val="24"/>
          <w:szCs w:val="24"/>
          <w:shd w:val="clear" w:color="auto" w:fill="FFFFFF"/>
          <w:lang w:eastAsia="es-ES"/>
        </w:rPr>
        <w:t>. </w:t>
      </w:r>
      <w:r w:rsidRPr="00EE6AE5">
        <w:rPr>
          <w:rFonts w:ascii="Arial Narrow" w:eastAsia="Times New Roman" w:hAnsi="Arial Narrow" w:cs="Arial"/>
          <w:b/>
          <w:bCs/>
          <w:sz w:val="24"/>
          <w:szCs w:val="24"/>
          <w:shd w:val="clear" w:color="auto" w:fill="FFFFFF"/>
          <w:lang w:eastAsia="es-ES"/>
        </w:rPr>
        <w:t xml:space="preserve">Límite al incremento anual del impuesto predial unificado para predios residenciales producto de actualizaciones catastrales. </w:t>
      </w:r>
      <w:r w:rsidRPr="00EE6AE5">
        <w:rPr>
          <w:rFonts w:ascii="Arial Narrow" w:eastAsia="Times New Roman" w:hAnsi="Arial Narrow" w:cs="Arial"/>
          <w:sz w:val="24"/>
          <w:szCs w:val="24"/>
          <w:shd w:val="clear" w:color="auto" w:fill="FFFFFF"/>
          <w:lang w:eastAsia="es-ES"/>
        </w:rPr>
        <w:t>Para los predios residenciales urbanos, el aumento en el cobro total del impuesto predial unificado producto de actualizaciones catastrales de una vigencia a otra no podrá exceder en más de un 50% el monto liquidado por el mismo concepto en el año inmediatamente anterior.</w:t>
      </w:r>
      <w:r w:rsidRPr="00EE6AE5">
        <w:rPr>
          <w:rFonts w:ascii="Arial Narrow" w:eastAsia="Times New Roman" w:hAnsi="Arial Narrow" w:cs="Arial"/>
          <w:b/>
          <w:bCs/>
          <w:sz w:val="24"/>
          <w:szCs w:val="24"/>
          <w:shd w:val="clear" w:color="auto" w:fill="FFFFFF"/>
          <w:lang w:eastAsia="es-ES"/>
        </w:rPr>
        <w:t xml:space="preserve"> </w:t>
      </w:r>
    </w:p>
    <w:p w:rsidR="00E06CCB" w:rsidRPr="00EE6AE5" w:rsidRDefault="00E06CCB" w:rsidP="00E06CCB">
      <w:pPr>
        <w:spacing w:before="100" w:beforeAutospacing="1" w:after="100" w:afterAutospacing="1" w:line="240" w:lineRule="auto"/>
        <w:jc w:val="both"/>
        <w:rPr>
          <w:rFonts w:ascii="Arial Narrow" w:eastAsia="Times New Roman" w:hAnsi="Arial Narrow" w:cs="Arial"/>
          <w:sz w:val="24"/>
          <w:szCs w:val="24"/>
          <w:lang w:val="es-ES_tradnl" w:eastAsia="es-CO"/>
        </w:rPr>
      </w:pPr>
      <w:r w:rsidRPr="00EE6AE5">
        <w:rPr>
          <w:rFonts w:ascii="Arial Narrow" w:eastAsia="Times New Roman" w:hAnsi="Arial Narrow" w:cs="Arial"/>
          <w:b/>
          <w:bCs/>
          <w:sz w:val="24"/>
          <w:szCs w:val="24"/>
          <w:shd w:val="clear" w:color="auto" w:fill="FFFFFF"/>
          <w:lang w:eastAsia="es-ES"/>
        </w:rPr>
        <w:t>Parágrafo primero</w:t>
      </w:r>
      <w:r w:rsidRPr="00EE6AE5">
        <w:rPr>
          <w:rFonts w:ascii="Arial Narrow" w:eastAsia="Times New Roman" w:hAnsi="Arial Narrow" w:cs="Arial"/>
          <w:b/>
          <w:sz w:val="24"/>
          <w:szCs w:val="24"/>
          <w:shd w:val="clear" w:color="auto" w:fill="FFFFFF"/>
          <w:lang w:eastAsia="es-ES"/>
        </w:rPr>
        <w:t xml:space="preserve">: </w:t>
      </w:r>
      <w:r w:rsidRPr="00EE6AE5">
        <w:rPr>
          <w:rFonts w:ascii="Arial Narrow" w:eastAsia="Times New Roman" w:hAnsi="Arial Narrow" w:cs="Arial"/>
          <w:sz w:val="24"/>
          <w:szCs w:val="24"/>
          <w:shd w:val="clear" w:color="auto" w:fill="FFFFFF"/>
          <w:lang w:eastAsia="es-ES"/>
        </w:rPr>
        <w:t>Para las viviendas pertenecientes a los estratos 1 y 2 cuyo avalúo catastral sea igual o inferior a 135 SMMLV, el incremento anual del que trata este artículo, n</w:t>
      </w:r>
      <w:r w:rsidRPr="00EE6AE5">
        <w:rPr>
          <w:rFonts w:ascii="Arial Narrow" w:eastAsia="Times New Roman" w:hAnsi="Arial Narrow" w:cs="Arial"/>
          <w:sz w:val="24"/>
          <w:szCs w:val="24"/>
          <w:lang w:val="es-ES_tradnl" w:eastAsia="es-CO"/>
        </w:rPr>
        <w:t xml:space="preserve">o podrá sobrepasar en dos veces el aumento porcentual del salario mínimo determinado por el Gobierno Nacional para esa vigencia. Esta misma regla también aplicará en el caso de los </w:t>
      </w:r>
      <w:r w:rsidRPr="00EE6AE5">
        <w:rPr>
          <w:rFonts w:ascii="Arial Narrow" w:eastAsia="Times New Roman" w:hAnsi="Arial Narrow" w:cs="Arial"/>
          <w:sz w:val="24"/>
          <w:szCs w:val="24"/>
          <w:shd w:val="clear" w:color="auto" w:fill="FFFFFF"/>
          <w:lang w:eastAsia="es-ES"/>
        </w:rPr>
        <w:t>predios residenciales urbanos cuyo avalúo catastral supere el 70% de su valor comercial.</w:t>
      </w:r>
    </w:p>
    <w:p w:rsidR="00E06CCB" w:rsidRDefault="00E06CCB" w:rsidP="00E06CCB">
      <w:pPr>
        <w:spacing w:before="100" w:beforeAutospacing="1" w:after="100" w:afterAutospacing="1" w:line="240" w:lineRule="auto"/>
        <w:jc w:val="both"/>
        <w:rPr>
          <w:rFonts w:ascii="Arial Narrow" w:eastAsia="Times New Roman" w:hAnsi="Arial Narrow" w:cs="Arial"/>
          <w:sz w:val="24"/>
          <w:szCs w:val="24"/>
          <w:shd w:val="clear" w:color="auto" w:fill="FFFFFF"/>
          <w:lang w:eastAsia="es-ES"/>
        </w:rPr>
      </w:pPr>
      <w:r w:rsidRPr="00EE6AE5">
        <w:rPr>
          <w:rFonts w:ascii="Arial Narrow" w:eastAsia="Times New Roman" w:hAnsi="Arial Narrow" w:cs="Arial"/>
          <w:b/>
          <w:bCs/>
          <w:sz w:val="24"/>
          <w:szCs w:val="24"/>
          <w:shd w:val="clear" w:color="auto" w:fill="FFFFFF"/>
          <w:lang w:eastAsia="es-ES"/>
        </w:rPr>
        <w:t>Parágrafo segundo</w:t>
      </w:r>
      <w:r w:rsidRPr="00EE6AE5">
        <w:rPr>
          <w:rFonts w:ascii="Arial Narrow" w:eastAsia="Times New Roman" w:hAnsi="Arial Narrow" w:cs="Arial"/>
          <w:b/>
          <w:sz w:val="24"/>
          <w:szCs w:val="24"/>
          <w:shd w:val="clear" w:color="auto" w:fill="FFFFFF"/>
          <w:lang w:eastAsia="es-ES"/>
        </w:rPr>
        <w:t>:</w:t>
      </w:r>
      <w:r w:rsidRPr="00EE6AE5">
        <w:rPr>
          <w:rFonts w:ascii="Arial Narrow" w:eastAsia="Times New Roman" w:hAnsi="Arial Narrow" w:cs="Arial"/>
          <w:sz w:val="24"/>
          <w:szCs w:val="24"/>
          <w:shd w:val="clear" w:color="auto" w:fill="FFFFFF"/>
          <w:lang w:eastAsia="es-ES"/>
        </w:rPr>
        <w:t xml:space="preserve"> Se exceptúan de esta limitación aquellos predios en cuyo proceso de actualización catastral se hayan identificado cambios físicos o variaciones de uso que justifiquen un mayor valor catastral y el aumento en el cobro total del impuesto predial por encima de los porcentajes establecidos en este artículo.</w:t>
      </w:r>
    </w:p>
    <w:p w:rsidR="00E06CCB" w:rsidRDefault="00E06CCB" w:rsidP="00B5218A">
      <w:pPr>
        <w:spacing w:after="0" w:line="240" w:lineRule="auto"/>
        <w:jc w:val="both"/>
        <w:rPr>
          <w:rFonts w:ascii="Arial Narrow" w:eastAsia="Times New Roman" w:hAnsi="Arial Narrow" w:cs="Arial"/>
          <w:sz w:val="24"/>
          <w:szCs w:val="24"/>
          <w:shd w:val="clear" w:color="auto" w:fill="FFFFFF"/>
          <w:lang w:eastAsia="es-ES"/>
        </w:rPr>
      </w:pPr>
      <w:r w:rsidRPr="002B79B4">
        <w:rPr>
          <w:rFonts w:ascii="Arial Narrow" w:eastAsia="Times New Roman" w:hAnsi="Arial Narrow" w:cs="Arial"/>
          <w:b/>
          <w:sz w:val="24"/>
          <w:szCs w:val="24"/>
          <w:shd w:val="clear" w:color="auto" w:fill="FFFFFF"/>
          <w:lang w:eastAsia="es-ES"/>
        </w:rPr>
        <w:t>Artículo 2</w:t>
      </w:r>
      <w:r w:rsidR="00DD7064" w:rsidRPr="002B79B4">
        <w:rPr>
          <w:rFonts w:ascii="Arial Narrow" w:eastAsia="Times New Roman" w:hAnsi="Arial Narrow" w:cs="Arial"/>
          <w:b/>
          <w:sz w:val="24"/>
          <w:szCs w:val="24"/>
          <w:shd w:val="clear" w:color="auto" w:fill="FFFFFF"/>
          <w:lang w:eastAsia="es-ES"/>
        </w:rPr>
        <w:t>°. Vigencias</w:t>
      </w:r>
      <w:r w:rsidRPr="002B79B4">
        <w:rPr>
          <w:rFonts w:ascii="Arial Narrow" w:eastAsia="Times New Roman" w:hAnsi="Arial Narrow" w:cs="Arial"/>
          <w:b/>
          <w:sz w:val="24"/>
          <w:szCs w:val="24"/>
          <w:shd w:val="clear" w:color="auto" w:fill="FFFFFF"/>
          <w:lang w:eastAsia="es-ES"/>
        </w:rPr>
        <w:t xml:space="preserve"> y derogatorias</w:t>
      </w:r>
      <w:r>
        <w:rPr>
          <w:rFonts w:ascii="Arial Narrow" w:eastAsia="Times New Roman" w:hAnsi="Arial Narrow" w:cs="Arial"/>
          <w:sz w:val="24"/>
          <w:szCs w:val="24"/>
          <w:shd w:val="clear" w:color="auto" w:fill="FFFFFF"/>
          <w:lang w:eastAsia="es-ES"/>
        </w:rPr>
        <w:t xml:space="preserve">. La presente </w:t>
      </w:r>
      <w:r w:rsidRPr="00EE6AE5">
        <w:rPr>
          <w:rFonts w:ascii="Arial Narrow" w:eastAsia="Times New Roman" w:hAnsi="Arial Narrow" w:cs="Arial"/>
          <w:sz w:val="24"/>
          <w:szCs w:val="24"/>
          <w:shd w:val="clear" w:color="auto" w:fill="FFFFFF"/>
          <w:lang w:eastAsia="es-ES"/>
        </w:rPr>
        <w:t>ley rige a partir de su promulgación y deroga todas las disposiciones que le sean contrarias.</w:t>
      </w:r>
    </w:p>
    <w:p w:rsidR="00E06CCB" w:rsidRDefault="00E06CCB" w:rsidP="00E06CCB">
      <w:pPr>
        <w:spacing w:after="0" w:line="360" w:lineRule="auto"/>
        <w:jc w:val="both"/>
        <w:rPr>
          <w:rFonts w:ascii="Arial Narrow" w:eastAsia="Times New Roman" w:hAnsi="Arial Narrow" w:cs="Arial"/>
          <w:sz w:val="24"/>
          <w:szCs w:val="24"/>
          <w:shd w:val="clear" w:color="auto" w:fill="FFFFFF"/>
          <w:lang w:eastAsia="es-ES"/>
        </w:rPr>
      </w:pPr>
    </w:p>
    <w:p w:rsidR="00E06CCB" w:rsidRDefault="00E06CCB" w:rsidP="00E06CCB">
      <w:pPr>
        <w:pStyle w:val="Sinespaciado"/>
        <w:spacing w:line="360" w:lineRule="auto"/>
        <w:jc w:val="both"/>
        <w:rPr>
          <w:rFonts w:ascii="Arial Narrow" w:hAnsi="Arial Narrow" w:cs="Arial"/>
          <w:lang w:val="es-CO"/>
        </w:rPr>
      </w:pPr>
    </w:p>
    <w:p w:rsidR="00E06CCB" w:rsidRDefault="00E06CCB" w:rsidP="00E06CCB">
      <w:pPr>
        <w:pStyle w:val="Sinespaciado"/>
        <w:spacing w:line="360" w:lineRule="auto"/>
        <w:jc w:val="both"/>
        <w:rPr>
          <w:rFonts w:ascii="Arial Narrow" w:hAnsi="Arial Narrow" w:cs="Arial"/>
          <w:lang w:val="es-CO"/>
        </w:rPr>
      </w:pPr>
    </w:p>
    <w:p w:rsidR="00037D55" w:rsidRDefault="00037D55" w:rsidP="00E06CCB">
      <w:pPr>
        <w:pStyle w:val="Sinespaciado"/>
        <w:spacing w:line="360" w:lineRule="auto"/>
        <w:jc w:val="both"/>
        <w:rPr>
          <w:rFonts w:ascii="Arial Narrow" w:hAnsi="Arial Narrow" w:cs="Arial"/>
          <w:lang w:val="es-CO"/>
        </w:rPr>
      </w:pPr>
    </w:p>
    <w:p w:rsidR="00037D55" w:rsidRPr="00EE6AE5" w:rsidRDefault="00037D55" w:rsidP="00E06CCB">
      <w:pPr>
        <w:pStyle w:val="Sinespaciado"/>
        <w:spacing w:line="360" w:lineRule="auto"/>
        <w:jc w:val="both"/>
        <w:rPr>
          <w:rFonts w:ascii="Arial Narrow" w:hAnsi="Arial Narrow" w:cs="Arial"/>
          <w:lang w:val="es-CO"/>
        </w:rPr>
      </w:pPr>
    </w:p>
    <w:p w:rsidR="00E06CCB" w:rsidRPr="00EE6AE5" w:rsidRDefault="00E06CCB" w:rsidP="00E06CCB">
      <w:pPr>
        <w:pStyle w:val="Sinespaciado"/>
        <w:jc w:val="both"/>
        <w:rPr>
          <w:rFonts w:ascii="Arial Narrow" w:hAnsi="Arial Narrow" w:cs="Arial"/>
          <w:b/>
          <w:lang w:val="es-CO"/>
        </w:rPr>
      </w:pPr>
      <w:r w:rsidRPr="00EE6AE5">
        <w:rPr>
          <w:rFonts w:ascii="Arial Narrow" w:hAnsi="Arial Narrow" w:cs="Arial"/>
          <w:b/>
          <w:lang w:val="es-CO"/>
        </w:rPr>
        <w:t>DAVID BARGUIL ASSIS</w:t>
      </w:r>
    </w:p>
    <w:p w:rsidR="00E06CCB" w:rsidRPr="00EE6AE5" w:rsidRDefault="00DD7064" w:rsidP="00E06CCB">
      <w:pPr>
        <w:pStyle w:val="Sinespaciado"/>
        <w:jc w:val="both"/>
        <w:rPr>
          <w:rFonts w:ascii="Arial Narrow" w:hAnsi="Arial Narrow" w:cs="Arial"/>
          <w:lang w:val="es-CO"/>
        </w:rPr>
      </w:pPr>
      <w:r>
        <w:rPr>
          <w:rFonts w:ascii="Arial Narrow" w:hAnsi="Arial Narrow" w:cs="Arial"/>
          <w:lang w:val="es-CO"/>
        </w:rPr>
        <w:t>Senador</w:t>
      </w:r>
    </w:p>
    <w:p w:rsidR="00EE6AE5" w:rsidRPr="00EE6AE5" w:rsidRDefault="00EE6AE5" w:rsidP="00EE6AE5">
      <w:pPr>
        <w:spacing w:after="0" w:line="360" w:lineRule="auto"/>
        <w:jc w:val="center"/>
        <w:textAlignment w:val="center"/>
        <w:rPr>
          <w:rFonts w:ascii="Arial Narrow" w:eastAsia="Times New Roman" w:hAnsi="Arial Narrow" w:cs="Times New Roman"/>
          <w:b/>
          <w:bCs/>
          <w:color w:val="000000"/>
          <w:sz w:val="24"/>
          <w:szCs w:val="24"/>
          <w:lang w:val="es-ES_tradnl" w:eastAsia="es-CO"/>
        </w:rPr>
      </w:pPr>
    </w:p>
    <w:p w:rsidR="00E06CCB" w:rsidRDefault="00E06CCB" w:rsidP="00EE6AE5">
      <w:pPr>
        <w:spacing w:after="0" w:line="360" w:lineRule="auto"/>
        <w:jc w:val="center"/>
        <w:textAlignment w:val="center"/>
        <w:rPr>
          <w:rFonts w:ascii="Arial Narrow" w:eastAsia="Times New Roman" w:hAnsi="Arial Narrow" w:cs="Times New Roman"/>
          <w:b/>
          <w:bCs/>
          <w:color w:val="000000"/>
          <w:sz w:val="24"/>
          <w:szCs w:val="24"/>
          <w:lang w:val="es-ES_tradnl" w:eastAsia="es-CO"/>
        </w:rPr>
      </w:pPr>
    </w:p>
    <w:p w:rsidR="00BA0EAB" w:rsidRDefault="00BA0EAB" w:rsidP="00EE6AE5">
      <w:pPr>
        <w:spacing w:after="0" w:line="360" w:lineRule="auto"/>
        <w:jc w:val="center"/>
        <w:textAlignment w:val="center"/>
        <w:rPr>
          <w:rFonts w:ascii="Arial Narrow" w:eastAsia="Times New Roman" w:hAnsi="Arial Narrow" w:cs="Times New Roman"/>
          <w:b/>
          <w:bCs/>
          <w:color w:val="000000"/>
          <w:sz w:val="24"/>
          <w:szCs w:val="24"/>
          <w:lang w:val="es-ES_tradnl" w:eastAsia="es-CO"/>
        </w:rPr>
      </w:pPr>
    </w:p>
    <w:p w:rsidR="00CE016D" w:rsidRPr="00EE6AE5" w:rsidRDefault="00CE016D" w:rsidP="00EE6AE5">
      <w:pPr>
        <w:spacing w:after="0" w:line="360" w:lineRule="auto"/>
        <w:jc w:val="center"/>
        <w:textAlignment w:val="center"/>
        <w:rPr>
          <w:rFonts w:ascii="Arial Narrow" w:eastAsia="Times New Roman" w:hAnsi="Arial Narrow" w:cs="Times New Roman"/>
          <w:color w:val="000000"/>
          <w:sz w:val="24"/>
          <w:szCs w:val="24"/>
          <w:lang w:eastAsia="es-CO"/>
        </w:rPr>
      </w:pPr>
      <w:r w:rsidRPr="00EE6AE5">
        <w:rPr>
          <w:rFonts w:ascii="Arial Narrow" w:eastAsia="Times New Roman" w:hAnsi="Arial Narrow" w:cs="Times New Roman"/>
          <w:b/>
          <w:bCs/>
          <w:color w:val="000000"/>
          <w:sz w:val="24"/>
          <w:szCs w:val="24"/>
          <w:lang w:val="es-ES_tradnl" w:eastAsia="es-CO"/>
        </w:rPr>
        <w:lastRenderedPageBreak/>
        <w:t>EXPOSICIÓN DE MOTIVOS</w:t>
      </w:r>
    </w:p>
    <w:p w:rsidR="00870D10" w:rsidRDefault="00870D10" w:rsidP="00EE6AE5">
      <w:pPr>
        <w:pStyle w:val="Sinespaciado"/>
        <w:spacing w:line="360" w:lineRule="auto"/>
        <w:jc w:val="both"/>
        <w:rPr>
          <w:rFonts w:ascii="Arial Narrow" w:hAnsi="Arial Narrow" w:cs="Arial"/>
          <w:lang w:val="es-CO"/>
        </w:rPr>
      </w:pPr>
    </w:p>
    <w:p w:rsidR="00B11A39" w:rsidRPr="00EE6AE5" w:rsidRDefault="00EC22F3" w:rsidP="00EE6AE5">
      <w:pPr>
        <w:pStyle w:val="Sinespaciado"/>
        <w:spacing w:line="360" w:lineRule="auto"/>
        <w:jc w:val="both"/>
        <w:rPr>
          <w:rFonts w:ascii="Arial Narrow" w:hAnsi="Arial Narrow" w:cs="Arial"/>
          <w:lang w:val="es-CO"/>
        </w:rPr>
      </w:pPr>
      <w:r w:rsidRPr="00EE6AE5">
        <w:rPr>
          <w:rFonts w:ascii="Arial Narrow" w:hAnsi="Arial Narrow" w:cs="Arial"/>
          <w:lang w:val="es-CO"/>
        </w:rPr>
        <w:t xml:space="preserve">El auge reciente de nuestro mercado inmobiliario y constructor ha tenido </w:t>
      </w:r>
      <w:r w:rsidR="00B11A39" w:rsidRPr="00EE6AE5">
        <w:rPr>
          <w:rFonts w:ascii="Arial Narrow" w:hAnsi="Arial Narrow" w:cs="Arial"/>
          <w:lang w:val="es-CO"/>
        </w:rPr>
        <w:t>consecuencias tributaria</w:t>
      </w:r>
      <w:r w:rsidR="00BC65EB" w:rsidRPr="00EE6AE5">
        <w:rPr>
          <w:rFonts w:ascii="Arial Narrow" w:hAnsi="Arial Narrow" w:cs="Arial"/>
          <w:lang w:val="es-CO"/>
        </w:rPr>
        <w:t xml:space="preserve">s </w:t>
      </w:r>
      <w:r w:rsidR="00DD7064" w:rsidRPr="00EE6AE5">
        <w:rPr>
          <w:rFonts w:ascii="Arial Narrow" w:hAnsi="Arial Narrow" w:cs="Arial"/>
          <w:lang w:val="es-CO"/>
        </w:rPr>
        <w:t>previsibles,</w:t>
      </w:r>
      <w:r w:rsidRPr="00EE6AE5">
        <w:rPr>
          <w:rFonts w:ascii="Arial Narrow" w:hAnsi="Arial Narrow" w:cs="Arial"/>
          <w:lang w:val="es-CO"/>
        </w:rPr>
        <w:t xml:space="preserve"> pero no </w:t>
      </w:r>
      <w:r w:rsidR="007C27A3" w:rsidRPr="00EE6AE5">
        <w:rPr>
          <w:rFonts w:ascii="Arial Narrow" w:hAnsi="Arial Narrow" w:cs="Arial"/>
          <w:lang w:val="es-CO"/>
        </w:rPr>
        <w:t>deseables sobre</w:t>
      </w:r>
      <w:r w:rsidRPr="00EE6AE5">
        <w:rPr>
          <w:rFonts w:ascii="Arial Narrow" w:hAnsi="Arial Narrow" w:cs="Arial"/>
          <w:lang w:val="es-CO"/>
        </w:rPr>
        <w:t xml:space="preserve"> una parte muy importante de los propietarios de propiedad inmueble en Colombia. </w:t>
      </w:r>
      <w:r w:rsidR="00DD7064">
        <w:rPr>
          <w:rFonts w:ascii="Arial Narrow" w:hAnsi="Arial Narrow" w:cs="Arial"/>
          <w:lang w:val="es-CO"/>
        </w:rPr>
        <w:t xml:space="preserve">Cada año </w:t>
      </w:r>
      <w:r w:rsidR="00BC65EB" w:rsidRPr="00EE6AE5">
        <w:rPr>
          <w:rFonts w:ascii="Arial Narrow" w:hAnsi="Arial Narrow" w:cs="Arial"/>
          <w:lang w:val="es-CO"/>
        </w:rPr>
        <w:t xml:space="preserve">los contribuyentes del impuesto predial en </w:t>
      </w:r>
      <w:r w:rsidR="00DD7064">
        <w:rPr>
          <w:rFonts w:ascii="Arial Narrow" w:hAnsi="Arial Narrow" w:cs="Arial"/>
          <w:lang w:val="es-CO"/>
        </w:rPr>
        <w:t>diferentes puntos del territorio nacional</w:t>
      </w:r>
      <w:r w:rsidR="00D36B7C">
        <w:rPr>
          <w:rFonts w:ascii="Arial Narrow" w:hAnsi="Arial Narrow" w:cs="Arial"/>
          <w:lang w:val="es-CO"/>
        </w:rPr>
        <w:t xml:space="preserve"> tienen que padecer debido a que este impuesto </w:t>
      </w:r>
      <w:r w:rsidR="00BC65EB" w:rsidRPr="00EE6AE5">
        <w:rPr>
          <w:rFonts w:ascii="Arial Narrow" w:hAnsi="Arial Narrow" w:cs="Arial"/>
          <w:lang w:val="es-CO"/>
        </w:rPr>
        <w:t xml:space="preserve">aumenta muy por encima de su capacidad económica. </w:t>
      </w:r>
      <w:r w:rsidR="007C27A3" w:rsidRPr="00EE6AE5">
        <w:rPr>
          <w:rFonts w:ascii="Arial Narrow" w:hAnsi="Arial Narrow" w:cs="Arial"/>
          <w:lang w:val="es-CO"/>
        </w:rPr>
        <w:t xml:space="preserve">Las manifestaciones en contra de estos aumentos se han generalizado, </w:t>
      </w:r>
      <w:r w:rsidR="009A61BC" w:rsidRPr="00EE6AE5">
        <w:rPr>
          <w:rFonts w:ascii="Arial Narrow" w:hAnsi="Arial Narrow" w:cs="Arial"/>
          <w:lang w:val="es-CO"/>
        </w:rPr>
        <w:t xml:space="preserve">y preocupa particularmente como los ciudadanos propietarios de vivienda </w:t>
      </w:r>
      <w:r w:rsidR="007C27A3" w:rsidRPr="00EE6AE5">
        <w:rPr>
          <w:rFonts w:ascii="Arial Narrow" w:hAnsi="Arial Narrow" w:cs="Arial"/>
          <w:lang w:val="es-CO"/>
        </w:rPr>
        <w:t>denuncia</w:t>
      </w:r>
      <w:r w:rsidR="00B11A39" w:rsidRPr="00EE6AE5">
        <w:rPr>
          <w:rFonts w:ascii="Arial Narrow" w:hAnsi="Arial Narrow" w:cs="Arial"/>
          <w:lang w:val="es-CO"/>
        </w:rPr>
        <w:t>n</w:t>
      </w:r>
      <w:r w:rsidR="009A61BC" w:rsidRPr="00EE6AE5">
        <w:rPr>
          <w:rFonts w:ascii="Arial Narrow" w:hAnsi="Arial Narrow" w:cs="Arial"/>
          <w:lang w:val="es-CO"/>
        </w:rPr>
        <w:t xml:space="preserve"> que</w:t>
      </w:r>
      <w:r w:rsidR="007C27A3" w:rsidRPr="00EE6AE5">
        <w:rPr>
          <w:rFonts w:ascii="Arial Narrow" w:hAnsi="Arial Narrow" w:cs="Arial"/>
          <w:lang w:val="es-CO"/>
        </w:rPr>
        <w:t xml:space="preserve"> el valor del impuesto ha alcanzado niveles confiscatorios que los</w:t>
      </w:r>
      <w:r w:rsidR="00B11A39" w:rsidRPr="00EE6AE5">
        <w:rPr>
          <w:rFonts w:ascii="Arial Narrow" w:hAnsi="Arial Narrow" w:cs="Arial"/>
          <w:lang w:val="es-CO"/>
        </w:rPr>
        <w:t xml:space="preserve"> obliga</w:t>
      </w:r>
      <w:r w:rsidR="00E66A5A" w:rsidRPr="00EE6AE5">
        <w:rPr>
          <w:rFonts w:ascii="Arial Narrow" w:hAnsi="Arial Narrow" w:cs="Arial"/>
          <w:lang w:val="es-CO"/>
        </w:rPr>
        <w:t>n</w:t>
      </w:r>
      <w:r w:rsidR="00B11A39" w:rsidRPr="00EE6AE5">
        <w:rPr>
          <w:rFonts w:ascii="Arial Narrow" w:hAnsi="Arial Narrow" w:cs="Arial"/>
          <w:lang w:val="es-CO"/>
        </w:rPr>
        <w:t xml:space="preserve"> a vender sus casas para poder pagar.</w:t>
      </w:r>
    </w:p>
    <w:p w:rsidR="00BA0EAB" w:rsidRDefault="00BA0EAB" w:rsidP="00EE6AE5">
      <w:pPr>
        <w:pStyle w:val="Sinespaciado"/>
        <w:spacing w:line="360" w:lineRule="auto"/>
        <w:jc w:val="both"/>
        <w:rPr>
          <w:rFonts w:ascii="Arial Narrow" w:hAnsi="Arial Narrow" w:cs="Arial"/>
          <w:lang w:val="es-CO"/>
        </w:rPr>
      </w:pPr>
    </w:p>
    <w:p w:rsidR="00631587" w:rsidRPr="00EE6AE5" w:rsidRDefault="00B11A39" w:rsidP="00EE6AE5">
      <w:pPr>
        <w:pStyle w:val="Sinespaciado"/>
        <w:spacing w:line="360" w:lineRule="auto"/>
        <w:jc w:val="both"/>
        <w:rPr>
          <w:rFonts w:ascii="Arial Narrow" w:hAnsi="Arial Narrow" w:cs="Arial"/>
          <w:lang w:val="es-CO"/>
        </w:rPr>
      </w:pPr>
      <w:r w:rsidRPr="00EE6AE5">
        <w:rPr>
          <w:rFonts w:ascii="Arial Narrow" w:hAnsi="Arial Narrow" w:cs="Arial"/>
          <w:lang w:val="es-CO"/>
        </w:rPr>
        <w:t>A est</w:t>
      </w:r>
      <w:r w:rsidR="00421653" w:rsidRPr="00EE6AE5">
        <w:rPr>
          <w:rFonts w:ascii="Arial Narrow" w:hAnsi="Arial Narrow" w:cs="Arial"/>
          <w:lang w:val="es-CO"/>
        </w:rPr>
        <w:t xml:space="preserve">as circunstancias </w:t>
      </w:r>
      <w:r w:rsidRPr="00EE6AE5">
        <w:rPr>
          <w:rFonts w:ascii="Arial Narrow" w:hAnsi="Arial Narrow" w:cs="Arial"/>
          <w:lang w:val="es-CO"/>
        </w:rPr>
        <w:t xml:space="preserve">es precisamente </w:t>
      </w:r>
      <w:r w:rsidR="00421653" w:rsidRPr="00EE6AE5">
        <w:rPr>
          <w:rFonts w:ascii="Arial Narrow" w:hAnsi="Arial Narrow" w:cs="Arial"/>
          <w:lang w:val="es-CO"/>
        </w:rPr>
        <w:t>a las</w:t>
      </w:r>
      <w:r w:rsidRPr="00EE6AE5">
        <w:rPr>
          <w:rFonts w:ascii="Arial Narrow" w:hAnsi="Arial Narrow" w:cs="Arial"/>
          <w:lang w:val="es-CO"/>
        </w:rPr>
        <w:t xml:space="preserve"> que </w:t>
      </w:r>
      <w:r w:rsidR="00BA418B" w:rsidRPr="00EE6AE5">
        <w:rPr>
          <w:rFonts w:ascii="Arial Narrow" w:hAnsi="Arial Narrow" w:cs="Arial"/>
          <w:lang w:val="es-CO"/>
        </w:rPr>
        <w:t>este</w:t>
      </w:r>
      <w:r w:rsidRPr="00EE6AE5">
        <w:rPr>
          <w:rFonts w:ascii="Arial Narrow" w:hAnsi="Arial Narrow" w:cs="Arial"/>
          <w:lang w:val="es-CO"/>
        </w:rPr>
        <w:t xml:space="preserve"> </w:t>
      </w:r>
      <w:r w:rsidR="00BA418B" w:rsidRPr="00EE6AE5">
        <w:rPr>
          <w:rFonts w:ascii="Arial Narrow" w:hAnsi="Arial Narrow" w:cs="Arial"/>
          <w:lang w:val="es-CO"/>
        </w:rPr>
        <w:t>proyecto de ley</w:t>
      </w:r>
      <w:r w:rsidRPr="00EE6AE5">
        <w:rPr>
          <w:rFonts w:ascii="Arial Narrow" w:hAnsi="Arial Narrow" w:cs="Arial"/>
          <w:lang w:val="es-CO"/>
        </w:rPr>
        <w:t xml:space="preserve"> busca ponerle un límite. </w:t>
      </w:r>
      <w:r w:rsidR="00E66A5A" w:rsidRPr="00EE6AE5">
        <w:rPr>
          <w:rFonts w:ascii="Arial Narrow" w:hAnsi="Arial Narrow" w:cs="Arial"/>
          <w:lang w:val="es-CO"/>
        </w:rPr>
        <w:t xml:space="preserve">Lo que se pretende es introducir un </w:t>
      </w:r>
      <w:r w:rsidR="00631587" w:rsidRPr="00EE6AE5">
        <w:rPr>
          <w:rFonts w:ascii="Arial Narrow" w:hAnsi="Arial Narrow" w:cs="Arial"/>
          <w:lang w:val="es-CO"/>
        </w:rPr>
        <w:t>tope</w:t>
      </w:r>
      <w:r w:rsidR="00E66A5A" w:rsidRPr="00EE6AE5">
        <w:rPr>
          <w:rFonts w:ascii="Arial Narrow" w:hAnsi="Arial Narrow" w:cs="Arial"/>
          <w:lang w:val="es-CO"/>
        </w:rPr>
        <w:t xml:space="preserve"> al incremento anual del impuesto predial unificado </w:t>
      </w:r>
      <w:r w:rsidR="005F73F7" w:rsidRPr="00EE6AE5">
        <w:rPr>
          <w:rFonts w:ascii="Arial Narrow" w:hAnsi="Arial Narrow" w:cs="Arial"/>
          <w:lang w:val="es-CO"/>
        </w:rPr>
        <w:t xml:space="preserve">(IPU) </w:t>
      </w:r>
      <w:r w:rsidR="00E66A5A" w:rsidRPr="00EE6AE5">
        <w:rPr>
          <w:rFonts w:ascii="Arial Narrow" w:hAnsi="Arial Narrow" w:cs="Arial"/>
          <w:lang w:val="es-CO"/>
        </w:rPr>
        <w:t>para predios residenciales producto de actualizaciones catastrales</w:t>
      </w:r>
      <w:r w:rsidR="005F73F7" w:rsidRPr="00EE6AE5">
        <w:rPr>
          <w:rFonts w:ascii="Arial Narrow" w:hAnsi="Arial Narrow" w:cs="Arial"/>
          <w:lang w:val="es-CO"/>
        </w:rPr>
        <w:t>; este cambio normativo, aunque no impedirá que los entes territoriales hagan actualizaciones sobre estos bienes, s</w:t>
      </w:r>
      <w:r w:rsidR="00583698">
        <w:rPr>
          <w:rFonts w:ascii="Arial Narrow" w:hAnsi="Arial Narrow" w:cs="Arial"/>
          <w:lang w:val="es-CO"/>
        </w:rPr>
        <w:t>í</w:t>
      </w:r>
      <w:r w:rsidR="005F73F7" w:rsidRPr="00EE6AE5">
        <w:rPr>
          <w:rFonts w:ascii="Arial Narrow" w:hAnsi="Arial Narrow" w:cs="Arial"/>
          <w:lang w:val="es-CO"/>
        </w:rPr>
        <w:t xml:space="preserve"> hará que los incrementos que est</w:t>
      </w:r>
      <w:r w:rsidR="00D36B7C">
        <w:rPr>
          <w:rFonts w:ascii="Arial Narrow" w:hAnsi="Arial Narrow" w:cs="Arial"/>
          <w:lang w:val="es-CO"/>
        </w:rPr>
        <w:t>o</w:t>
      </w:r>
      <w:r w:rsidR="005F73F7" w:rsidRPr="00EE6AE5">
        <w:rPr>
          <w:rFonts w:ascii="Arial Narrow" w:hAnsi="Arial Narrow" w:cs="Arial"/>
          <w:lang w:val="es-CO"/>
        </w:rPr>
        <w:t xml:space="preserve">s generan en la liquidación del IPU sean razonables y guarden mayor grado de proporcionalidad </w:t>
      </w:r>
      <w:r w:rsidR="00D36B7C">
        <w:rPr>
          <w:rFonts w:ascii="Arial Narrow" w:hAnsi="Arial Narrow" w:cs="Arial"/>
          <w:lang w:val="es-CO"/>
        </w:rPr>
        <w:t>en relación con la c</w:t>
      </w:r>
      <w:r w:rsidR="005F73F7" w:rsidRPr="00EE6AE5">
        <w:rPr>
          <w:rFonts w:ascii="Arial Narrow" w:hAnsi="Arial Narrow" w:cs="Arial"/>
          <w:lang w:val="es-CO"/>
        </w:rPr>
        <w:t>apacidad contributiva de los ciudadanos</w:t>
      </w:r>
      <w:r w:rsidR="00E66A5A" w:rsidRPr="00EE6AE5">
        <w:rPr>
          <w:rFonts w:ascii="Arial Narrow" w:hAnsi="Arial Narrow" w:cs="Arial"/>
          <w:lang w:val="es-CO"/>
        </w:rPr>
        <w:t xml:space="preserve">. </w:t>
      </w:r>
      <w:r w:rsidRPr="00EE6AE5">
        <w:rPr>
          <w:rFonts w:ascii="Arial Narrow" w:hAnsi="Arial Narrow" w:cs="Arial"/>
          <w:lang w:val="es-CO"/>
        </w:rPr>
        <w:t xml:space="preserve">Partiendo de reconocer las necesidades de financiamiento de los diferentes municipios y distritos, </w:t>
      </w:r>
      <w:r w:rsidR="00E66A5A" w:rsidRPr="00EE6AE5">
        <w:rPr>
          <w:rFonts w:ascii="Arial Narrow" w:hAnsi="Arial Narrow" w:cs="Arial"/>
          <w:lang w:val="es-CO"/>
        </w:rPr>
        <w:t>los predios destinados a actividades comerciales, industriales y</w:t>
      </w:r>
      <w:r w:rsidR="00583698">
        <w:rPr>
          <w:rFonts w:ascii="Arial Narrow" w:hAnsi="Arial Narrow" w:cs="Arial"/>
          <w:lang w:val="es-CO"/>
        </w:rPr>
        <w:t>,</w:t>
      </w:r>
      <w:r w:rsidR="00E66A5A" w:rsidRPr="00EE6AE5">
        <w:rPr>
          <w:rFonts w:ascii="Arial Narrow" w:hAnsi="Arial Narrow" w:cs="Arial"/>
          <w:lang w:val="es-CO"/>
        </w:rPr>
        <w:t xml:space="preserve"> en general, todos aquellos de uso no residencial quedan excluidos de este beneficio. </w:t>
      </w:r>
    </w:p>
    <w:p w:rsidR="00631587" w:rsidRDefault="00631587" w:rsidP="00EE6AE5">
      <w:pPr>
        <w:pStyle w:val="Sinespaciado"/>
        <w:spacing w:line="360" w:lineRule="auto"/>
        <w:jc w:val="both"/>
        <w:rPr>
          <w:rFonts w:ascii="Arial Narrow" w:hAnsi="Arial Narrow" w:cs="Arial"/>
          <w:lang w:val="es-CO"/>
        </w:rPr>
      </w:pPr>
    </w:p>
    <w:p w:rsidR="00744B86" w:rsidRPr="00EE6AE5" w:rsidRDefault="00744B86" w:rsidP="00EE6AE5">
      <w:pPr>
        <w:pStyle w:val="Sinespaciado"/>
        <w:numPr>
          <w:ilvl w:val="0"/>
          <w:numId w:val="1"/>
        </w:numPr>
        <w:spacing w:line="360" w:lineRule="auto"/>
        <w:jc w:val="both"/>
        <w:rPr>
          <w:rFonts w:ascii="Arial Narrow" w:hAnsi="Arial Narrow" w:cs="Arial"/>
          <w:b/>
          <w:lang w:val="es-CO"/>
        </w:rPr>
      </w:pPr>
      <w:r w:rsidRPr="00EE6AE5">
        <w:rPr>
          <w:rFonts w:ascii="Arial Narrow" w:hAnsi="Arial Narrow" w:cs="Arial"/>
          <w:b/>
          <w:lang w:val="es-CO"/>
        </w:rPr>
        <w:t>FUNDAMENTOS</w:t>
      </w:r>
      <w:r w:rsidR="00631587" w:rsidRPr="00EE6AE5">
        <w:rPr>
          <w:rFonts w:ascii="Arial Narrow" w:hAnsi="Arial Narrow" w:cs="Arial"/>
          <w:b/>
          <w:lang w:val="es-CO"/>
        </w:rPr>
        <w:t xml:space="preserve"> JURÍDICO</w:t>
      </w:r>
      <w:r w:rsidRPr="00EE6AE5">
        <w:rPr>
          <w:rFonts w:ascii="Arial Narrow" w:hAnsi="Arial Narrow" w:cs="Arial"/>
          <w:b/>
          <w:lang w:val="es-CO"/>
        </w:rPr>
        <w:t>S</w:t>
      </w:r>
    </w:p>
    <w:p w:rsidR="00744B86" w:rsidRPr="00EE6AE5" w:rsidRDefault="00D36B7C" w:rsidP="00EE6AE5">
      <w:pPr>
        <w:pStyle w:val="Sinespaciado"/>
        <w:spacing w:line="360" w:lineRule="auto"/>
        <w:jc w:val="both"/>
        <w:rPr>
          <w:rFonts w:ascii="Arial Narrow" w:hAnsi="Arial Narrow" w:cs="Arial"/>
          <w:b/>
          <w:lang w:val="es-CO"/>
        </w:rPr>
      </w:pPr>
      <w:r>
        <w:rPr>
          <w:rFonts w:ascii="Arial Narrow" w:hAnsi="Arial Narrow" w:cs="Arial"/>
          <w:b/>
          <w:lang w:val="es-CO"/>
        </w:rPr>
        <w:t>1</w:t>
      </w:r>
      <w:r w:rsidR="00744B86" w:rsidRPr="00EE6AE5">
        <w:rPr>
          <w:rFonts w:ascii="Arial Narrow" w:hAnsi="Arial Narrow" w:cs="Arial"/>
          <w:b/>
          <w:lang w:val="es-CO"/>
        </w:rPr>
        <w:t>.1. MARCO CONSTITUCIONAL</w:t>
      </w:r>
    </w:p>
    <w:p w:rsidR="00D36B7C" w:rsidRPr="00EE6AE5" w:rsidRDefault="00D36B7C" w:rsidP="00D36B7C">
      <w:pPr>
        <w:pStyle w:val="Sinespaciado"/>
        <w:spacing w:line="360" w:lineRule="auto"/>
        <w:jc w:val="both"/>
        <w:rPr>
          <w:rFonts w:ascii="Arial Narrow" w:hAnsi="Arial Narrow" w:cs="Arial"/>
          <w:lang w:val="es-CO"/>
        </w:rPr>
      </w:pPr>
      <w:r w:rsidRPr="00EE6AE5">
        <w:rPr>
          <w:rFonts w:ascii="Arial Narrow" w:hAnsi="Arial Narrow" w:cs="Arial"/>
          <w:lang w:val="es-CO"/>
        </w:rPr>
        <w:t xml:space="preserve">El principio de justicia tributaria sintetiza todos los </w:t>
      </w:r>
      <w:r>
        <w:rPr>
          <w:rFonts w:ascii="Arial Narrow" w:hAnsi="Arial Narrow" w:cs="Arial"/>
          <w:lang w:val="es-CO"/>
        </w:rPr>
        <w:t>preceptos constitucionales en lo</w:t>
      </w:r>
      <w:r w:rsidRPr="00EE6AE5">
        <w:rPr>
          <w:rFonts w:ascii="Arial Narrow" w:hAnsi="Arial Narrow" w:cs="Arial"/>
          <w:lang w:val="es-CO"/>
        </w:rPr>
        <w:t>s cuales se debe enmarcar el poder impositivo del estado</w:t>
      </w:r>
      <w:r w:rsidRPr="00EE6AE5">
        <w:rPr>
          <w:rStyle w:val="Refdenotaalpie"/>
          <w:rFonts w:ascii="Arial Narrow" w:hAnsi="Arial Narrow" w:cs="Arial"/>
          <w:lang w:val="es-CO"/>
        </w:rPr>
        <w:footnoteReference w:id="1"/>
      </w:r>
      <w:r w:rsidRPr="00EE6AE5">
        <w:rPr>
          <w:rFonts w:ascii="Arial Narrow" w:hAnsi="Arial Narrow" w:cs="Arial"/>
          <w:lang w:val="es-CO"/>
        </w:rPr>
        <w:t xml:space="preserve"> y en los que se fundamenta este proyecto de ley. La Constitución Política de Colombia ha sido clara al señalar que el deber ciudadano de contribuir al financiamiento de los gastos e inversiones del Estado debe ser entendido dentro de los conceptos de justicia y equidad (Artículo 95, numeral 9). </w:t>
      </w:r>
    </w:p>
    <w:p w:rsidR="00D36B7C" w:rsidRPr="00EE6AE5" w:rsidRDefault="00D36B7C" w:rsidP="00D36B7C">
      <w:pPr>
        <w:pStyle w:val="Sinespaciado"/>
        <w:spacing w:line="360" w:lineRule="auto"/>
        <w:jc w:val="both"/>
        <w:rPr>
          <w:rFonts w:ascii="Arial Narrow" w:hAnsi="Arial Narrow" w:cs="Arial"/>
          <w:lang w:val="es-CO"/>
        </w:rPr>
      </w:pPr>
    </w:p>
    <w:p w:rsidR="00D36B7C" w:rsidRPr="00EE6AE5" w:rsidRDefault="00D36B7C" w:rsidP="00D36B7C">
      <w:pPr>
        <w:pStyle w:val="Sinespaciado"/>
        <w:spacing w:line="360" w:lineRule="auto"/>
        <w:jc w:val="both"/>
        <w:rPr>
          <w:rFonts w:ascii="Arial Narrow" w:hAnsi="Arial Narrow" w:cs="Arial"/>
          <w:lang w:val="es-CO"/>
        </w:rPr>
      </w:pPr>
      <w:r w:rsidRPr="00EE6AE5">
        <w:rPr>
          <w:rFonts w:ascii="Arial Narrow" w:hAnsi="Arial Narrow" w:cs="Arial"/>
          <w:lang w:val="es-CO"/>
        </w:rPr>
        <w:t>En desarrollo de este principio, toda carga tributaria debe consultar las posibilidades económicas de los contribuyentes, ya que si esta supera sus recursos, la norma consolida un sistema tributario injusto, que no logra propiciar un mayor grado de redistribución de la riqueza en nuestro país, uno de los fines esenciales de nuestra normatividad tributaria</w:t>
      </w:r>
      <w:r w:rsidRPr="00EE6AE5">
        <w:rPr>
          <w:rStyle w:val="Refdenotaalpie"/>
          <w:rFonts w:ascii="Arial Narrow" w:hAnsi="Arial Narrow" w:cs="Arial"/>
          <w:lang w:val="es-CO"/>
        </w:rPr>
        <w:footnoteReference w:id="2"/>
      </w:r>
      <w:r w:rsidRPr="00EE6AE5">
        <w:rPr>
          <w:rFonts w:ascii="Arial Narrow" w:hAnsi="Arial Narrow" w:cs="Arial"/>
          <w:lang w:val="es-CO"/>
        </w:rPr>
        <w:t>.</w:t>
      </w:r>
    </w:p>
    <w:p w:rsidR="00D36B7C" w:rsidRPr="00EE6AE5" w:rsidRDefault="00D36B7C" w:rsidP="00D36B7C">
      <w:pPr>
        <w:pStyle w:val="Sinespaciado"/>
        <w:spacing w:line="360" w:lineRule="auto"/>
        <w:jc w:val="both"/>
        <w:rPr>
          <w:rFonts w:ascii="Arial Narrow" w:hAnsi="Arial Narrow" w:cs="Arial"/>
          <w:lang w:val="es-CO"/>
        </w:rPr>
      </w:pPr>
    </w:p>
    <w:p w:rsidR="00D36B7C" w:rsidRPr="00EE6AE5" w:rsidRDefault="00D36B7C" w:rsidP="00D36B7C">
      <w:pPr>
        <w:pStyle w:val="Sinespaciado"/>
        <w:spacing w:line="360" w:lineRule="auto"/>
        <w:jc w:val="both"/>
        <w:rPr>
          <w:rFonts w:ascii="Arial Narrow" w:hAnsi="Arial Narrow" w:cs="Arial"/>
          <w:lang w:val="es-CO"/>
        </w:rPr>
      </w:pPr>
      <w:r w:rsidRPr="00EE6AE5">
        <w:rPr>
          <w:rFonts w:ascii="Arial Narrow" w:hAnsi="Arial Narrow" w:cs="Arial"/>
          <w:lang w:val="es-CO"/>
        </w:rPr>
        <w:t>Sin embargo, la justicia tributaria no es el único principio de orden constitucional que justifica esta iniciativa. Aunque no se puedan situa</w:t>
      </w:r>
      <w:r>
        <w:rPr>
          <w:rFonts w:ascii="Arial Narrow" w:hAnsi="Arial Narrow" w:cs="Arial"/>
          <w:lang w:val="es-CO"/>
        </w:rPr>
        <w:t xml:space="preserve">r a un mismo nivel horizontal, </w:t>
      </w:r>
      <w:r w:rsidRPr="00EE6AE5">
        <w:rPr>
          <w:rFonts w:ascii="Arial Narrow" w:hAnsi="Arial Narrow" w:cs="Arial"/>
          <w:lang w:val="es-CO"/>
        </w:rPr>
        <w:t xml:space="preserve">existen otros dos principios constitucionales tributarios que son claves en la consecución de la finalidad que este proyecto de ley persigue. Estos principios son la equidad y la progresividad (C.P. Artículo 363).  </w:t>
      </w:r>
    </w:p>
    <w:p w:rsidR="00D36B7C" w:rsidRPr="00EE6AE5" w:rsidRDefault="00D36B7C" w:rsidP="00D36B7C">
      <w:pPr>
        <w:pStyle w:val="Sinespaciado"/>
        <w:spacing w:line="360" w:lineRule="auto"/>
        <w:jc w:val="both"/>
        <w:rPr>
          <w:rFonts w:ascii="Arial Narrow" w:hAnsi="Arial Narrow" w:cs="Arial"/>
          <w:lang w:val="es-CO"/>
        </w:rPr>
      </w:pPr>
    </w:p>
    <w:p w:rsidR="00D36B7C" w:rsidRPr="00EE6AE5" w:rsidRDefault="00981C57" w:rsidP="00D36B7C">
      <w:pPr>
        <w:pStyle w:val="Sinespaciado"/>
        <w:spacing w:line="360" w:lineRule="auto"/>
        <w:jc w:val="both"/>
        <w:rPr>
          <w:rFonts w:ascii="Arial Narrow" w:hAnsi="Arial Narrow" w:cs="Arial"/>
          <w:lang w:val="es-CO"/>
        </w:rPr>
      </w:pPr>
      <w:r>
        <w:rPr>
          <w:rFonts w:ascii="Arial Narrow" w:hAnsi="Arial Narrow" w:cs="Arial"/>
          <w:lang w:val="es-CO"/>
        </w:rPr>
        <w:t>L</w:t>
      </w:r>
      <w:r w:rsidR="00D36B7C" w:rsidRPr="00EE6AE5">
        <w:rPr>
          <w:rFonts w:ascii="Arial Narrow" w:hAnsi="Arial Narrow" w:cs="Arial"/>
          <w:lang w:val="es-CO"/>
        </w:rPr>
        <w:t>a Corte Constitucional ha señalado que la equidad implica que personas con igual capacidad económica o que se hallen bajo una misma situación fáctica contribuyan al fisco de igual manera (equidad horizontal), mientras que aquellos que cuenten con mayor capacidad contributiva lo hagan en mayor medida (equidad vertical)</w:t>
      </w:r>
      <w:r w:rsidR="00D36B7C" w:rsidRPr="00EE6AE5">
        <w:rPr>
          <w:rStyle w:val="Refdenotaalpie"/>
          <w:rFonts w:ascii="Arial Narrow" w:hAnsi="Arial Narrow" w:cs="Arial"/>
          <w:lang w:val="es-CO"/>
        </w:rPr>
        <w:footnoteReference w:id="3"/>
      </w:r>
      <w:r w:rsidR="00D36B7C" w:rsidRPr="00EE6AE5">
        <w:rPr>
          <w:rFonts w:ascii="Arial Narrow" w:hAnsi="Arial Narrow" w:cs="Arial"/>
          <w:lang w:val="es-CO"/>
        </w:rPr>
        <w:t>. De otra parte, la progresividad se deduce de la equidad vertical, en el sentido de que propugna por la igualdad objetiva y material en la distribución de las cargas que imponen el sistema tributario, pero llega a un nivel más es</w:t>
      </w:r>
      <w:r w:rsidR="00D36B7C">
        <w:rPr>
          <w:rFonts w:ascii="Arial Narrow" w:hAnsi="Arial Narrow" w:cs="Arial"/>
          <w:lang w:val="es-CO"/>
        </w:rPr>
        <w:t>pecífico de análisis al medir có</w:t>
      </w:r>
      <w:r w:rsidR="00D36B7C" w:rsidRPr="00EE6AE5">
        <w:rPr>
          <w:rFonts w:ascii="Arial Narrow" w:hAnsi="Arial Narrow" w:cs="Arial"/>
          <w:lang w:val="es-CO"/>
        </w:rPr>
        <w:t>mo una carga o un beneficio tributario modifica la situación económica de un grupo de personas en comparación con los demás</w:t>
      </w:r>
      <w:r w:rsidR="00D36B7C" w:rsidRPr="00EE6AE5">
        <w:rPr>
          <w:rStyle w:val="Refdenotaalpie"/>
          <w:rFonts w:ascii="Arial Narrow" w:hAnsi="Arial Narrow" w:cs="Arial"/>
          <w:lang w:val="es-CO"/>
        </w:rPr>
        <w:footnoteReference w:id="4"/>
      </w:r>
      <w:r w:rsidR="00D36B7C" w:rsidRPr="00EE6AE5">
        <w:rPr>
          <w:rFonts w:ascii="Arial Narrow" w:hAnsi="Arial Narrow" w:cs="Arial"/>
          <w:lang w:val="es-CO"/>
        </w:rPr>
        <w:t xml:space="preserve">.       </w:t>
      </w:r>
    </w:p>
    <w:p w:rsidR="00D36B7C" w:rsidRPr="00EE6AE5" w:rsidRDefault="00D36B7C" w:rsidP="00D36B7C">
      <w:pPr>
        <w:pStyle w:val="Sinespaciado"/>
        <w:spacing w:line="360" w:lineRule="auto"/>
        <w:jc w:val="both"/>
        <w:rPr>
          <w:rFonts w:ascii="Arial Narrow" w:hAnsi="Arial Narrow" w:cs="Arial"/>
          <w:lang w:val="es-CO"/>
        </w:rPr>
      </w:pPr>
    </w:p>
    <w:p w:rsidR="00D36B7C" w:rsidRPr="00EE6AE5" w:rsidRDefault="00981C57" w:rsidP="00D36B7C">
      <w:pPr>
        <w:pStyle w:val="Sinespaciado"/>
        <w:spacing w:line="360" w:lineRule="auto"/>
        <w:jc w:val="both"/>
        <w:rPr>
          <w:rFonts w:ascii="Arial Narrow" w:hAnsi="Arial Narrow" w:cs="Arial"/>
          <w:lang w:val="es-CO"/>
        </w:rPr>
      </w:pPr>
      <w:r>
        <w:rPr>
          <w:rFonts w:ascii="Arial Narrow" w:hAnsi="Arial Narrow" w:cs="Arial"/>
          <w:lang w:val="es-CO"/>
        </w:rPr>
        <w:t xml:space="preserve">En cuanto a </w:t>
      </w:r>
      <w:r w:rsidR="00D36B7C" w:rsidRPr="00EE6AE5">
        <w:rPr>
          <w:rFonts w:ascii="Arial Narrow" w:hAnsi="Arial Narrow" w:cs="Arial"/>
          <w:lang w:val="es-CO"/>
        </w:rPr>
        <w:t>impuesto predial</w:t>
      </w:r>
      <w:r>
        <w:rPr>
          <w:rFonts w:ascii="Arial Narrow" w:hAnsi="Arial Narrow" w:cs="Arial"/>
          <w:lang w:val="es-CO"/>
        </w:rPr>
        <w:t xml:space="preserve"> se refiere</w:t>
      </w:r>
      <w:r w:rsidR="00D36B7C" w:rsidRPr="00EE6AE5">
        <w:rPr>
          <w:rFonts w:ascii="Arial Narrow" w:hAnsi="Arial Narrow" w:cs="Arial"/>
          <w:lang w:val="es-CO"/>
        </w:rPr>
        <w:t xml:space="preserve">, es importante mencionar </w:t>
      </w:r>
      <w:r w:rsidR="007B44D7" w:rsidRPr="00EE6AE5">
        <w:rPr>
          <w:rFonts w:ascii="Arial Narrow" w:hAnsi="Arial Narrow" w:cs="Arial"/>
          <w:lang w:val="es-CO"/>
        </w:rPr>
        <w:t>que,</w:t>
      </w:r>
      <w:r w:rsidR="00D36B7C" w:rsidRPr="00EE6AE5">
        <w:rPr>
          <w:rFonts w:ascii="Arial Narrow" w:hAnsi="Arial Narrow" w:cs="Arial"/>
          <w:lang w:val="es-CO"/>
        </w:rPr>
        <w:t xml:space="preserve"> aunque el artículo 317</w:t>
      </w:r>
      <w:r w:rsidR="00D36B7C">
        <w:rPr>
          <w:rFonts w:ascii="Arial Narrow" w:hAnsi="Arial Narrow" w:cs="Arial"/>
          <w:lang w:val="es-CO"/>
        </w:rPr>
        <w:t xml:space="preserve"> constitucional preceptúa que “s</w:t>
      </w:r>
      <w:r w:rsidR="00D36B7C" w:rsidRPr="00EE6AE5">
        <w:rPr>
          <w:rFonts w:ascii="Arial Narrow" w:hAnsi="Arial Narrow" w:cs="Arial"/>
          <w:lang w:val="es-CO"/>
        </w:rPr>
        <w:t xml:space="preserve">ólo los municipios podrán gravar la propiedad inmueble”, lo anterior no quiere decir que el Congreso de la República no pueda hacer uso de sus competencias para definir o modificar los elementos esenciales de este tributo. Más aún cuando la autonomía de los entes territoriales en materia tributaria se ha entendido como limitada por el concepto de República Unitaria y el principio de reserva de ley.  </w:t>
      </w:r>
    </w:p>
    <w:p w:rsidR="00D36B7C" w:rsidRPr="00EE6AE5" w:rsidRDefault="000613AE" w:rsidP="00D36B7C">
      <w:pPr>
        <w:pStyle w:val="Sinespaciado"/>
        <w:spacing w:line="360" w:lineRule="auto"/>
        <w:jc w:val="both"/>
        <w:rPr>
          <w:rFonts w:ascii="Arial Narrow" w:hAnsi="Arial Narrow" w:cs="Arial"/>
          <w:lang w:val="es-CO"/>
        </w:rPr>
      </w:pPr>
      <w:r>
        <w:rPr>
          <w:rFonts w:ascii="Arial Narrow" w:hAnsi="Arial Narrow" w:cs="Arial"/>
          <w:lang w:val="es-CO"/>
        </w:rPr>
        <w:t xml:space="preserve">Sobre el particular </w:t>
      </w:r>
      <w:r w:rsidR="00D36B7C" w:rsidRPr="00EE6AE5">
        <w:rPr>
          <w:rFonts w:ascii="Arial Narrow" w:hAnsi="Arial Narrow" w:cs="Arial"/>
          <w:lang w:val="es-CO"/>
        </w:rPr>
        <w:t xml:space="preserve">el </w:t>
      </w:r>
      <w:r w:rsidR="00D36B7C">
        <w:rPr>
          <w:rFonts w:ascii="Arial Narrow" w:hAnsi="Arial Narrow" w:cs="Arial"/>
          <w:lang w:val="es-CO"/>
        </w:rPr>
        <w:t>Consejo de Estado ha señalado có</w:t>
      </w:r>
      <w:r w:rsidR="00D36B7C" w:rsidRPr="00EE6AE5">
        <w:rPr>
          <w:rFonts w:ascii="Arial Narrow" w:hAnsi="Arial Narrow" w:cs="Arial"/>
          <w:lang w:val="es-CO"/>
        </w:rPr>
        <w:t>mo en cuanto a tributos de orden territorial</w:t>
      </w:r>
      <w:r w:rsidR="00D36B7C">
        <w:rPr>
          <w:rFonts w:ascii="Arial Narrow" w:hAnsi="Arial Narrow" w:cs="Arial"/>
          <w:lang w:val="es-CO"/>
        </w:rPr>
        <w:t>,</w:t>
      </w:r>
      <w:r w:rsidR="00D36B7C" w:rsidRPr="00EE6AE5">
        <w:rPr>
          <w:rFonts w:ascii="Arial Narrow" w:hAnsi="Arial Narrow" w:cs="Arial"/>
          <w:lang w:val="es-CO"/>
        </w:rPr>
        <w:t xml:space="preserve"> como el impuesto predial, la ley puede fijar o modificar los elementos esenciales del tributo; toda vez que la autonomía de los entes territoriales se limita a su facultad de acoger o no el tributo, y de fijar los elementos del mismo no previstos por el legislador, a excepción del hecho generador</w:t>
      </w:r>
      <w:r w:rsidR="00D36B7C" w:rsidRPr="00EE6AE5">
        <w:rPr>
          <w:rStyle w:val="Refdenotaalpie"/>
          <w:rFonts w:ascii="Arial Narrow" w:hAnsi="Arial Narrow" w:cs="Arial"/>
          <w:lang w:val="es-CO"/>
        </w:rPr>
        <w:footnoteReference w:id="5"/>
      </w:r>
      <w:r w:rsidR="00D36B7C" w:rsidRPr="00EE6AE5">
        <w:rPr>
          <w:rFonts w:ascii="Arial Narrow" w:hAnsi="Arial Narrow" w:cs="Arial"/>
          <w:lang w:val="es-CO"/>
        </w:rPr>
        <w:t>.</w:t>
      </w:r>
    </w:p>
    <w:p w:rsidR="00D36B7C" w:rsidRDefault="00D36B7C" w:rsidP="00D36B7C">
      <w:pPr>
        <w:pStyle w:val="Sinespaciado"/>
        <w:spacing w:line="360" w:lineRule="auto"/>
        <w:jc w:val="both"/>
        <w:rPr>
          <w:rFonts w:ascii="Arial Narrow" w:hAnsi="Arial Narrow" w:cs="Arial"/>
          <w:b/>
          <w:lang w:val="es-CO"/>
        </w:rPr>
      </w:pPr>
    </w:p>
    <w:p w:rsidR="00D36B7C" w:rsidRPr="00EE6AE5" w:rsidRDefault="008B5735" w:rsidP="00D36B7C">
      <w:pPr>
        <w:pStyle w:val="Sinespaciado"/>
        <w:spacing w:line="360" w:lineRule="auto"/>
        <w:jc w:val="both"/>
        <w:rPr>
          <w:rFonts w:ascii="Arial Narrow" w:hAnsi="Arial Narrow" w:cs="Arial"/>
          <w:b/>
          <w:lang w:val="es-CO"/>
        </w:rPr>
      </w:pPr>
      <w:r>
        <w:rPr>
          <w:rFonts w:ascii="Arial Narrow" w:hAnsi="Arial Narrow" w:cs="Arial"/>
          <w:b/>
          <w:lang w:val="es-CO"/>
        </w:rPr>
        <w:t>1</w:t>
      </w:r>
      <w:r w:rsidR="00D36B7C" w:rsidRPr="00EE6AE5">
        <w:rPr>
          <w:rFonts w:ascii="Arial Narrow" w:hAnsi="Arial Narrow" w:cs="Arial"/>
          <w:b/>
          <w:lang w:val="es-CO"/>
        </w:rPr>
        <w:t xml:space="preserve">.2. </w:t>
      </w:r>
      <w:r w:rsidR="00D36B7C">
        <w:rPr>
          <w:rFonts w:ascii="Arial Narrow" w:hAnsi="Arial Narrow" w:cs="Arial"/>
          <w:b/>
          <w:lang w:val="es-CO"/>
        </w:rPr>
        <w:t>FUNDAMENTOS LEGALES</w:t>
      </w:r>
      <w:r w:rsidR="00D36B7C" w:rsidRPr="00EE6AE5">
        <w:rPr>
          <w:rFonts w:ascii="Arial Narrow" w:hAnsi="Arial Narrow" w:cs="Arial"/>
          <w:b/>
          <w:lang w:val="es-CO"/>
        </w:rPr>
        <w:t xml:space="preserve"> </w:t>
      </w:r>
    </w:p>
    <w:p w:rsidR="00D36B7C" w:rsidRDefault="00D36B7C" w:rsidP="00D36B7C">
      <w:pPr>
        <w:pStyle w:val="Sinespaciado"/>
        <w:spacing w:line="360" w:lineRule="auto"/>
        <w:jc w:val="both"/>
        <w:rPr>
          <w:rFonts w:ascii="Arial Narrow" w:eastAsia="Times New Roman" w:hAnsi="Arial Narrow" w:cs="Arial"/>
          <w:color w:val="000000"/>
          <w:lang w:val="es-ES_tradnl" w:eastAsia="es-CO"/>
        </w:rPr>
      </w:pPr>
      <w:r w:rsidRPr="00EE6AE5">
        <w:rPr>
          <w:rFonts w:ascii="Arial Narrow" w:eastAsia="Times New Roman" w:hAnsi="Arial Narrow" w:cs="Arial"/>
          <w:color w:val="000000"/>
          <w:lang w:val="es-ES_tradnl" w:eastAsia="es-CO"/>
        </w:rPr>
        <w:t>La base del régimen jurídico que regula el IPU en el territorio nacional es la ley 44 de 1990, “</w:t>
      </w:r>
      <w:r w:rsidRPr="00EE6AE5">
        <w:rPr>
          <w:rFonts w:ascii="Arial Narrow" w:eastAsia="Times New Roman" w:hAnsi="Arial Narrow" w:cs="Arial"/>
          <w:i/>
          <w:iCs/>
          <w:color w:val="000000"/>
          <w:lang w:val="es-ES_tradnl" w:eastAsia="es-CO"/>
        </w:rPr>
        <w:t>por la cual se dictan normas sobre catastro e impuestos sobre la propiedad raíz, se dictan otras disposiciones de carácter tributario, y se conceden unas facultades extraordinarias</w:t>
      </w:r>
      <w:r w:rsidRPr="00EE6AE5">
        <w:rPr>
          <w:rFonts w:ascii="Arial Narrow" w:eastAsia="Times New Roman" w:hAnsi="Arial Narrow" w:cs="Arial"/>
          <w:color w:val="000000"/>
          <w:lang w:val="es-ES_tradnl" w:eastAsia="es-CO"/>
        </w:rPr>
        <w:t xml:space="preserve">”. En su momento, esta ley representó una verdadera modernización del impuesto predial al introducir cambios importantes sobre casi todos los elementos esenciales del tributo. </w:t>
      </w:r>
    </w:p>
    <w:p w:rsidR="00D36B7C" w:rsidRDefault="00D36B7C" w:rsidP="00D36B7C">
      <w:pPr>
        <w:pStyle w:val="Sinespaciado"/>
        <w:spacing w:line="360" w:lineRule="auto"/>
        <w:jc w:val="both"/>
        <w:rPr>
          <w:rFonts w:ascii="Arial Narrow" w:eastAsia="Times New Roman" w:hAnsi="Arial Narrow" w:cs="Arial"/>
          <w:color w:val="000000"/>
          <w:lang w:val="es-ES_tradnl" w:eastAsia="es-CO"/>
        </w:rPr>
      </w:pPr>
    </w:p>
    <w:p w:rsidR="00D36B7C" w:rsidRPr="00EE6AE5" w:rsidRDefault="00D36B7C" w:rsidP="00D36B7C">
      <w:pPr>
        <w:pStyle w:val="Sinespaciado"/>
        <w:spacing w:line="360" w:lineRule="auto"/>
        <w:jc w:val="both"/>
        <w:rPr>
          <w:rFonts w:ascii="Arial Narrow" w:eastAsia="Times New Roman" w:hAnsi="Arial Narrow" w:cs="Arial"/>
          <w:color w:val="000000"/>
          <w:lang w:val="es-ES_tradnl" w:eastAsia="es-CO"/>
        </w:rPr>
      </w:pPr>
      <w:r w:rsidRPr="00EE6AE5">
        <w:rPr>
          <w:rFonts w:ascii="Arial Narrow" w:eastAsia="Times New Roman" w:hAnsi="Arial Narrow" w:cs="Arial"/>
          <w:color w:val="000000"/>
          <w:lang w:val="es-ES_tradnl" w:eastAsia="es-CO"/>
        </w:rPr>
        <w:t xml:space="preserve">Entre </w:t>
      </w:r>
      <w:r w:rsidR="00772D9C" w:rsidRPr="00EE6AE5">
        <w:rPr>
          <w:rFonts w:ascii="Arial Narrow" w:eastAsia="Times New Roman" w:hAnsi="Arial Narrow" w:cs="Arial"/>
          <w:color w:val="000000"/>
          <w:lang w:val="es-ES_tradnl" w:eastAsia="es-CO"/>
        </w:rPr>
        <w:t>otros aspectos</w:t>
      </w:r>
      <w:r w:rsidRPr="00EE6AE5">
        <w:rPr>
          <w:rFonts w:ascii="Arial Narrow" w:eastAsia="Times New Roman" w:hAnsi="Arial Narrow" w:cs="Arial"/>
          <w:color w:val="000000"/>
          <w:lang w:val="es-ES_tradnl" w:eastAsia="es-CO"/>
        </w:rPr>
        <w:t xml:space="preserve">, la ley 44 creó el IPU; señaló que su administración, recaudo y control estaría a cargo de los municipios; dispuso que su tarifa fuera entre el 1 y el 16 por mil del avalúo catastral; estableció límites al aumento anual del mismo; estableció que el ajuste anual del IPU oscilara entre el 70% y el 100% del IPC; y fijo como base alternativa del impuesto el </w:t>
      </w:r>
      <w:r w:rsidR="00772D9C" w:rsidRPr="00EE6AE5">
        <w:rPr>
          <w:rFonts w:ascii="Arial Narrow" w:eastAsia="Times New Roman" w:hAnsi="Arial Narrow" w:cs="Arial"/>
          <w:color w:val="000000"/>
          <w:lang w:val="es-ES_tradnl" w:eastAsia="es-CO"/>
        </w:rPr>
        <w:t>auto avalúo</w:t>
      </w:r>
      <w:r w:rsidRPr="00EE6AE5">
        <w:rPr>
          <w:rFonts w:ascii="Arial Narrow" w:eastAsia="Times New Roman" w:hAnsi="Arial Narrow" w:cs="Arial"/>
          <w:color w:val="000000"/>
          <w:lang w:val="es-ES_tradnl" w:eastAsia="es-CO"/>
        </w:rPr>
        <w:t xml:space="preserve"> por parte del contribuyente.</w:t>
      </w:r>
    </w:p>
    <w:p w:rsidR="00D36B7C" w:rsidRPr="00EE6AE5" w:rsidRDefault="00D36B7C" w:rsidP="00D36B7C">
      <w:pPr>
        <w:pStyle w:val="Sinespaciado"/>
        <w:spacing w:line="360" w:lineRule="auto"/>
        <w:jc w:val="both"/>
        <w:rPr>
          <w:rFonts w:ascii="Arial Narrow" w:eastAsia="Times New Roman" w:hAnsi="Arial Narrow" w:cs="Arial"/>
          <w:color w:val="000000"/>
          <w:lang w:val="es-ES_tradnl" w:eastAsia="es-CO"/>
        </w:rPr>
      </w:pPr>
    </w:p>
    <w:p w:rsidR="00D36B7C" w:rsidRPr="00EE6AE5" w:rsidRDefault="00D36B7C" w:rsidP="00D36B7C">
      <w:pPr>
        <w:spacing w:after="0" w:line="360" w:lineRule="auto"/>
        <w:jc w:val="both"/>
        <w:textAlignment w:val="center"/>
        <w:rPr>
          <w:rFonts w:ascii="Arial Narrow" w:eastAsia="Times New Roman" w:hAnsi="Arial Narrow" w:cs="Times New Roman"/>
          <w:color w:val="000000"/>
          <w:sz w:val="24"/>
          <w:szCs w:val="24"/>
          <w:lang w:eastAsia="es-CO"/>
        </w:rPr>
      </w:pPr>
      <w:r w:rsidRPr="00EE6AE5">
        <w:rPr>
          <w:rFonts w:ascii="Arial Narrow" w:eastAsia="Times New Roman" w:hAnsi="Arial Narrow" w:cs="Times New Roman"/>
          <w:color w:val="000000"/>
          <w:sz w:val="24"/>
          <w:szCs w:val="24"/>
          <w:lang w:val="es-ES_tradnl" w:eastAsia="es-CO"/>
        </w:rPr>
        <w:t xml:space="preserve">La ley 44 de 1990, no obstante, ha sido objeto de varios cambios. La ley 242 de 1995, por ejemplo, modificó el cálculo del ajuste anual de la base gravable previsto en el artículo 8 de la ley 44, al eliminar el rango del 70% al 100% del IPC del año anterior para tomar como límite la meta de inflación del año en el que se efectúa el incremento. Por su parte, la ley 601 de 2000 reguló la base gravable del impuesto en Bogotá estableciendo que esta sería el </w:t>
      </w:r>
      <w:r w:rsidR="00772D9C" w:rsidRPr="00EE6AE5">
        <w:rPr>
          <w:rFonts w:ascii="Arial Narrow" w:eastAsia="Times New Roman" w:hAnsi="Arial Narrow" w:cs="Times New Roman"/>
          <w:color w:val="000000"/>
          <w:sz w:val="24"/>
          <w:szCs w:val="24"/>
          <w:lang w:val="es-ES_tradnl" w:eastAsia="es-CO"/>
        </w:rPr>
        <w:t>auto avalúo</w:t>
      </w:r>
      <w:r w:rsidRPr="00EE6AE5">
        <w:rPr>
          <w:rFonts w:ascii="Arial Narrow" w:eastAsia="Times New Roman" w:hAnsi="Arial Narrow" w:cs="Times New Roman"/>
          <w:color w:val="000000"/>
          <w:sz w:val="24"/>
          <w:szCs w:val="24"/>
          <w:lang w:val="es-ES_tradnl" w:eastAsia="es-CO"/>
        </w:rPr>
        <w:t xml:space="preserve"> por parte del contribuyente, que en todo caso no podría ser inferior al avalúo catastral.    </w:t>
      </w:r>
    </w:p>
    <w:p w:rsidR="00D36B7C" w:rsidRPr="00EE6AE5" w:rsidRDefault="00D36B7C" w:rsidP="00D36B7C">
      <w:pPr>
        <w:pStyle w:val="Sinespaciado"/>
        <w:spacing w:line="360" w:lineRule="auto"/>
        <w:jc w:val="both"/>
        <w:rPr>
          <w:rFonts w:ascii="Arial Narrow" w:eastAsia="Times New Roman" w:hAnsi="Arial Narrow" w:cs="Arial"/>
          <w:color w:val="000000"/>
          <w:lang w:val="es-ES_tradnl" w:eastAsia="es-CO"/>
        </w:rPr>
      </w:pPr>
      <w:r w:rsidRPr="00EE6AE5">
        <w:rPr>
          <w:rFonts w:ascii="Arial Narrow" w:eastAsia="Times New Roman" w:hAnsi="Arial Narrow" w:cs="Arial"/>
          <w:color w:val="000000"/>
          <w:lang w:val="es-ES_tradnl" w:eastAsia="es-CO"/>
        </w:rPr>
        <w:t xml:space="preserve">     </w:t>
      </w:r>
    </w:p>
    <w:p w:rsidR="00D36B7C" w:rsidRDefault="00D36B7C" w:rsidP="00D36B7C">
      <w:pPr>
        <w:spacing w:after="0" w:line="360" w:lineRule="auto"/>
        <w:jc w:val="both"/>
        <w:textAlignment w:val="center"/>
        <w:rPr>
          <w:rFonts w:ascii="Arial Narrow" w:eastAsia="Times New Roman" w:hAnsi="Arial Narrow" w:cs="Times New Roman"/>
          <w:color w:val="000000"/>
          <w:sz w:val="24"/>
          <w:szCs w:val="24"/>
          <w:lang w:val="es-ES_tradnl" w:eastAsia="es-CO"/>
        </w:rPr>
      </w:pPr>
      <w:r w:rsidRPr="00EE6AE5">
        <w:rPr>
          <w:rFonts w:ascii="Arial Narrow" w:eastAsia="Times New Roman" w:hAnsi="Arial Narrow" w:cs="Times New Roman"/>
          <w:color w:val="000000"/>
          <w:sz w:val="24"/>
          <w:szCs w:val="24"/>
          <w:lang w:val="es-ES_tradnl" w:eastAsia="es-CO"/>
        </w:rPr>
        <w:t>Además, e</w:t>
      </w:r>
      <w:r w:rsidRPr="00EE6AE5">
        <w:rPr>
          <w:rFonts w:ascii="Arial Narrow" w:eastAsia="Times New Roman" w:hAnsi="Arial Narrow" w:cs="Times New Roman"/>
          <w:iCs/>
          <w:color w:val="000000"/>
          <w:sz w:val="24"/>
          <w:szCs w:val="24"/>
          <w:lang w:val="es-ES_tradnl" w:eastAsia="es-CO"/>
        </w:rPr>
        <w:t>l Plan Nacional de Desarrollo 2010-2014</w:t>
      </w:r>
      <w:r w:rsidRPr="00EE6AE5">
        <w:rPr>
          <w:rFonts w:ascii="Arial Narrow" w:eastAsia="Times New Roman" w:hAnsi="Arial Narrow" w:cs="Times New Roman"/>
          <w:color w:val="000000"/>
          <w:sz w:val="24"/>
          <w:szCs w:val="24"/>
          <w:lang w:val="es-ES_tradnl" w:eastAsia="es-CO"/>
        </w:rPr>
        <w:t xml:space="preserve"> (ley 1450 de 2011), en sus artículos 23 y 24, modificó el artículo 4 de la referida ley 44 ajustando entre otros aspectos las tarifas del IPU, que pasaron de estar entre el 1 y el 16 por mil a ser entre el 5 y el 16 por mil del avalúo; incluyendo el rango del área y el avalúo catastral como factores para el establecimiento de la tarifa; fijando un techo del 25% en los incrementos anuales del valor liquidado por impuesto predial frente al valor liquidado en el año anterior, para los casos en que no hayan actualizaciones catastrales; y estableciendo un plazo máximo de 5 años para que las autoridades catastrales adelanten las actualizaciones periódicas respectivas a los avalúos catastrales que en ningún caso podrán ser inferiores al 60% del avalúo comercial del bien respectivo.</w:t>
      </w:r>
    </w:p>
    <w:p w:rsidR="00D36B7C" w:rsidRPr="00EE6AE5" w:rsidRDefault="00D36B7C" w:rsidP="00D36B7C">
      <w:pPr>
        <w:spacing w:after="0" w:line="360" w:lineRule="auto"/>
        <w:jc w:val="both"/>
        <w:textAlignment w:val="center"/>
        <w:rPr>
          <w:rFonts w:ascii="Arial Narrow" w:eastAsia="Times New Roman" w:hAnsi="Arial Narrow" w:cs="Times New Roman"/>
          <w:color w:val="000000"/>
          <w:sz w:val="24"/>
          <w:szCs w:val="24"/>
          <w:lang w:val="es-ES_tradnl" w:eastAsia="es-CO"/>
        </w:rPr>
      </w:pPr>
    </w:p>
    <w:p w:rsidR="00D36B7C" w:rsidRPr="00EE6AE5" w:rsidRDefault="00D36B7C" w:rsidP="00D36B7C">
      <w:pPr>
        <w:pStyle w:val="Sinespaciado"/>
        <w:numPr>
          <w:ilvl w:val="0"/>
          <w:numId w:val="1"/>
        </w:numPr>
        <w:spacing w:line="360" w:lineRule="auto"/>
        <w:jc w:val="both"/>
        <w:rPr>
          <w:rFonts w:ascii="Arial Narrow" w:hAnsi="Arial Narrow" w:cs="Arial"/>
          <w:b/>
          <w:lang w:val="es-CO"/>
        </w:rPr>
      </w:pPr>
      <w:r>
        <w:rPr>
          <w:rFonts w:ascii="Arial Narrow" w:hAnsi="Arial Narrow" w:cs="Arial"/>
          <w:b/>
          <w:lang w:val="es-CO"/>
        </w:rPr>
        <w:t xml:space="preserve">PROBLEMÁTICA ACTUAL </w:t>
      </w:r>
    </w:p>
    <w:p w:rsidR="00D36B7C" w:rsidRPr="000F2BBE" w:rsidRDefault="00D36B7C" w:rsidP="00D36B7C">
      <w:pPr>
        <w:pStyle w:val="Sinespaciado"/>
        <w:spacing w:line="360" w:lineRule="auto"/>
        <w:jc w:val="both"/>
        <w:rPr>
          <w:rFonts w:ascii="Arial Narrow" w:hAnsi="Arial Narrow" w:cs="Arial"/>
        </w:rPr>
      </w:pPr>
      <w:r w:rsidRPr="000F2BBE">
        <w:rPr>
          <w:rFonts w:ascii="Arial Narrow" w:hAnsi="Arial Narrow" w:cs="Arial"/>
        </w:rPr>
        <w:t xml:space="preserve">La capacidad de pago de algunos de los contribuyentes del IPU viene aumentando muy por debajo de los incrementos recientes del impuesto predial unificado. El aumento anual promedio del salario mínimo y del IPC, que son los indicadores más precisos del comportamiento reciente de los ingresos de los colombianos </w:t>
      </w:r>
      <w:r>
        <w:rPr>
          <w:rFonts w:ascii="Arial Narrow" w:hAnsi="Arial Narrow" w:cs="Arial"/>
        </w:rPr>
        <w:t xml:space="preserve">de </w:t>
      </w:r>
      <w:r w:rsidRPr="000F2BBE">
        <w:rPr>
          <w:rFonts w:ascii="Arial Narrow" w:hAnsi="Arial Narrow" w:cs="Arial"/>
        </w:rPr>
        <w:t xml:space="preserve">menores recursos, así lo </w:t>
      </w:r>
      <w:r w:rsidRPr="00747DD2">
        <w:rPr>
          <w:rFonts w:ascii="Arial Narrow" w:hAnsi="Arial Narrow" w:cs="Arial"/>
        </w:rPr>
        <w:t>demuestran. Entre 200</w:t>
      </w:r>
      <w:r w:rsidR="003B62FD">
        <w:rPr>
          <w:rFonts w:ascii="Arial Narrow" w:hAnsi="Arial Narrow" w:cs="Arial"/>
        </w:rPr>
        <w:t>10</w:t>
      </w:r>
      <w:r w:rsidRPr="00747DD2">
        <w:rPr>
          <w:rFonts w:ascii="Arial Narrow" w:hAnsi="Arial Narrow" w:cs="Arial"/>
        </w:rPr>
        <w:t xml:space="preserve"> y 201</w:t>
      </w:r>
      <w:r w:rsidR="00747DD2" w:rsidRPr="00747DD2">
        <w:rPr>
          <w:rFonts w:ascii="Arial Narrow" w:hAnsi="Arial Narrow" w:cs="Arial"/>
        </w:rPr>
        <w:t>7</w:t>
      </w:r>
      <w:r w:rsidRPr="00747DD2">
        <w:rPr>
          <w:rFonts w:ascii="Arial Narrow" w:hAnsi="Arial Narrow" w:cs="Arial"/>
        </w:rPr>
        <w:t>, el aumento del IPC y del salario mínimo ha sido en promedio de 3,</w:t>
      </w:r>
      <w:r w:rsidR="00747DD2" w:rsidRPr="00747DD2">
        <w:rPr>
          <w:rFonts w:ascii="Arial Narrow" w:hAnsi="Arial Narrow" w:cs="Arial"/>
        </w:rPr>
        <w:t>94</w:t>
      </w:r>
      <w:r w:rsidRPr="00747DD2">
        <w:rPr>
          <w:rFonts w:ascii="Arial Narrow" w:hAnsi="Arial Narrow" w:cs="Arial"/>
        </w:rPr>
        <w:t>% y de 4,</w:t>
      </w:r>
      <w:r w:rsidR="00747DD2" w:rsidRPr="00747DD2">
        <w:rPr>
          <w:rFonts w:ascii="Arial Narrow" w:hAnsi="Arial Narrow" w:cs="Arial"/>
        </w:rPr>
        <w:t>2</w:t>
      </w:r>
      <w:r w:rsidRPr="00747DD2">
        <w:rPr>
          <w:rFonts w:ascii="Arial Narrow" w:hAnsi="Arial Narrow" w:cs="Arial"/>
        </w:rPr>
        <w:t>% respectivamente</w:t>
      </w:r>
      <w:r w:rsidR="003B62FD">
        <w:rPr>
          <w:rFonts w:ascii="Arial Narrow" w:hAnsi="Arial Narrow" w:cs="Arial"/>
        </w:rPr>
        <w:t xml:space="preserve"> </w:t>
      </w:r>
      <w:r w:rsidRPr="00747DD2">
        <w:rPr>
          <w:rFonts w:ascii="Arial Narrow" w:hAnsi="Arial Narrow" w:cs="Arial"/>
        </w:rPr>
        <w:t xml:space="preserve">(tabla 01).   </w:t>
      </w:r>
    </w:p>
    <w:p w:rsidR="00D36B7C" w:rsidRDefault="00D36B7C" w:rsidP="00D36B7C">
      <w:pPr>
        <w:pStyle w:val="Sinespaciado"/>
        <w:spacing w:line="360" w:lineRule="auto"/>
        <w:ind w:left="360"/>
        <w:rPr>
          <w:rFonts w:ascii="Arial Narrow" w:hAnsi="Arial Narrow" w:cs="Arial"/>
        </w:rPr>
      </w:pPr>
    </w:p>
    <w:p w:rsidR="00D36B7C" w:rsidRPr="006E77C6" w:rsidRDefault="003B62FD" w:rsidP="00D36B7C">
      <w:pPr>
        <w:spacing w:line="240" w:lineRule="auto"/>
        <w:contextualSpacing/>
        <w:jc w:val="center"/>
        <w:rPr>
          <w:rFonts w:ascii="Arial Narrow" w:eastAsia="Calibri" w:hAnsi="Arial Narrow" w:cs="Arial"/>
          <w:sz w:val="24"/>
          <w:szCs w:val="24"/>
          <w:lang w:val="es-ES"/>
        </w:rPr>
      </w:pPr>
      <w:r w:rsidRPr="003B62FD">
        <w:rPr>
          <w:rFonts w:ascii="Arial Narrow" w:hAnsi="Arial Narrow" w:cs="Arial"/>
          <w:noProof/>
          <w:sz w:val="18"/>
          <w:lang w:eastAsia="es-CO"/>
        </w:rPr>
        <w:drawing>
          <wp:anchor distT="0" distB="0" distL="114300" distR="114300" simplePos="0" relativeHeight="251658240" behindDoc="1" locked="0" layoutInCell="1" allowOverlap="1" wp14:anchorId="45376A0C" wp14:editId="79EC1C22">
            <wp:simplePos x="0" y="0"/>
            <wp:positionH relativeFrom="margin">
              <wp:posOffset>1196340</wp:posOffset>
            </wp:positionH>
            <wp:positionV relativeFrom="paragraph">
              <wp:posOffset>224155</wp:posOffset>
            </wp:positionV>
            <wp:extent cx="3219450" cy="1981200"/>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19450" cy="1981200"/>
                    </a:xfrm>
                    <a:prstGeom prst="rect">
                      <a:avLst/>
                    </a:prstGeom>
                    <a:noFill/>
                    <a:ln>
                      <a:noFill/>
                    </a:ln>
                  </pic:spPr>
                </pic:pic>
              </a:graphicData>
            </a:graphic>
          </wp:anchor>
        </w:drawing>
      </w:r>
      <w:r w:rsidR="00D36B7C" w:rsidRPr="006E77C6">
        <w:rPr>
          <w:rFonts w:ascii="Arial Narrow" w:eastAsia="Calibri" w:hAnsi="Arial Narrow" w:cs="Arial"/>
          <w:sz w:val="24"/>
          <w:szCs w:val="24"/>
          <w:lang w:val="es-ES"/>
        </w:rPr>
        <w:t>Tabla, 01. Variación anual IPC y salario mínimo</w:t>
      </w:r>
    </w:p>
    <w:p w:rsidR="00747DD2" w:rsidRDefault="00747DD2" w:rsidP="00D36B7C">
      <w:pPr>
        <w:pStyle w:val="Sinespaciado"/>
        <w:ind w:left="1418" w:firstLine="709"/>
        <w:jc w:val="both"/>
        <w:rPr>
          <w:rFonts w:ascii="Arial Narrow" w:hAnsi="Arial Narrow" w:cs="Arial"/>
          <w:sz w:val="18"/>
        </w:rPr>
      </w:pPr>
    </w:p>
    <w:p w:rsidR="00747DD2" w:rsidRDefault="00747DD2" w:rsidP="00D36B7C">
      <w:pPr>
        <w:pStyle w:val="Sinespaciado"/>
        <w:ind w:left="1418" w:firstLine="709"/>
        <w:jc w:val="both"/>
        <w:rPr>
          <w:rFonts w:ascii="Arial Narrow" w:hAnsi="Arial Narrow" w:cs="Arial"/>
          <w:sz w:val="18"/>
        </w:rPr>
      </w:pPr>
    </w:p>
    <w:p w:rsidR="00747DD2" w:rsidRDefault="00747DD2" w:rsidP="00D36B7C">
      <w:pPr>
        <w:pStyle w:val="Sinespaciado"/>
        <w:ind w:left="1418" w:firstLine="709"/>
        <w:jc w:val="both"/>
        <w:rPr>
          <w:rFonts w:ascii="Arial Narrow" w:hAnsi="Arial Narrow" w:cs="Arial"/>
          <w:sz w:val="18"/>
        </w:rPr>
      </w:pPr>
    </w:p>
    <w:p w:rsidR="00747DD2" w:rsidRDefault="00747DD2" w:rsidP="00D36B7C">
      <w:pPr>
        <w:pStyle w:val="Sinespaciado"/>
        <w:ind w:left="1418" w:firstLine="709"/>
        <w:jc w:val="both"/>
        <w:rPr>
          <w:rFonts w:ascii="Arial Narrow" w:hAnsi="Arial Narrow" w:cs="Arial"/>
          <w:sz w:val="18"/>
        </w:rPr>
      </w:pPr>
    </w:p>
    <w:p w:rsidR="00747DD2" w:rsidRDefault="00747DD2" w:rsidP="00D36B7C">
      <w:pPr>
        <w:pStyle w:val="Sinespaciado"/>
        <w:ind w:left="1418" w:firstLine="709"/>
        <w:jc w:val="both"/>
        <w:rPr>
          <w:rFonts w:ascii="Arial Narrow" w:hAnsi="Arial Narrow" w:cs="Arial"/>
          <w:sz w:val="18"/>
        </w:rPr>
      </w:pPr>
    </w:p>
    <w:p w:rsidR="00747DD2" w:rsidRDefault="00747DD2" w:rsidP="00D36B7C">
      <w:pPr>
        <w:pStyle w:val="Sinespaciado"/>
        <w:ind w:left="1418" w:firstLine="709"/>
        <w:jc w:val="both"/>
        <w:rPr>
          <w:rFonts w:ascii="Arial Narrow" w:hAnsi="Arial Narrow" w:cs="Arial"/>
          <w:sz w:val="18"/>
        </w:rPr>
      </w:pPr>
    </w:p>
    <w:p w:rsidR="00747DD2" w:rsidRDefault="00747DD2" w:rsidP="00D36B7C">
      <w:pPr>
        <w:pStyle w:val="Sinespaciado"/>
        <w:ind w:left="1418" w:firstLine="709"/>
        <w:jc w:val="both"/>
        <w:rPr>
          <w:rFonts w:ascii="Arial Narrow" w:hAnsi="Arial Narrow" w:cs="Arial"/>
          <w:sz w:val="18"/>
        </w:rPr>
      </w:pPr>
    </w:p>
    <w:p w:rsidR="00747DD2" w:rsidRDefault="00747DD2" w:rsidP="00D36B7C">
      <w:pPr>
        <w:pStyle w:val="Sinespaciado"/>
        <w:ind w:left="1418" w:firstLine="709"/>
        <w:jc w:val="both"/>
        <w:rPr>
          <w:rFonts w:ascii="Arial Narrow" w:hAnsi="Arial Narrow" w:cs="Arial"/>
          <w:sz w:val="18"/>
        </w:rPr>
      </w:pPr>
    </w:p>
    <w:p w:rsidR="00747DD2" w:rsidRDefault="00747DD2" w:rsidP="00D36B7C">
      <w:pPr>
        <w:pStyle w:val="Sinespaciado"/>
        <w:ind w:left="1418" w:firstLine="709"/>
        <w:jc w:val="both"/>
        <w:rPr>
          <w:rFonts w:ascii="Arial Narrow" w:hAnsi="Arial Narrow" w:cs="Arial"/>
          <w:sz w:val="18"/>
        </w:rPr>
      </w:pPr>
    </w:p>
    <w:p w:rsidR="00747DD2" w:rsidRDefault="00747DD2" w:rsidP="00D36B7C">
      <w:pPr>
        <w:pStyle w:val="Sinespaciado"/>
        <w:ind w:left="1418" w:firstLine="709"/>
        <w:jc w:val="both"/>
        <w:rPr>
          <w:rFonts w:ascii="Arial Narrow" w:hAnsi="Arial Narrow" w:cs="Arial"/>
          <w:sz w:val="18"/>
        </w:rPr>
      </w:pPr>
    </w:p>
    <w:p w:rsidR="00747DD2" w:rsidRDefault="00747DD2" w:rsidP="00D36B7C">
      <w:pPr>
        <w:pStyle w:val="Sinespaciado"/>
        <w:ind w:left="1418" w:firstLine="709"/>
        <w:jc w:val="both"/>
        <w:rPr>
          <w:rFonts w:ascii="Arial Narrow" w:hAnsi="Arial Narrow" w:cs="Arial"/>
          <w:sz w:val="18"/>
        </w:rPr>
      </w:pPr>
    </w:p>
    <w:p w:rsidR="00747DD2" w:rsidRDefault="00747DD2" w:rsidP="00D36B7C">
      <w:pPr>
        <w:pStyle w:val="Sinespaciado"/>
        <w:ind w:left="1418" w:firstLine="709"/>
        <w:jc w:val="both"/>
        <w:rPr>
          <w:rFonts w:ascii="Arial Narrow" w:hAnsi="Arial Narrow" w:cs="Arial"/>
          <w:sz w:val="18"/>
        </w:rPr>
      </w:pPr>
    </w:p>
    <w:p w:rsidR="00747DD2" w:rsidRDefault="00747DD2" w:rsidP="00D36B7C">
      <w:pPr>
        <w:pStyle w:val="Sinespaciado"/>
        <w:ind w:left="1418" w:firstLine="709"/>
        <w:jc w:val="both"/>
        <w:rPr>
          <w:rFonts w:ascii="Arial Narrow" w:hAnsi="Arial Narrow" w:cs="Arial"/>
          <w:sz w:val="18"/>
        </w:rPr>
      </w:pPr>
    </w:p>
    <w:p w:rsidR="00747DD2" w:rsidRDefault="00747DD2" w:rsidP="00D36B7C">
      <w:pPr>
        <w:pStyle w:val="Sinespaciado"/>
        <w:ind w:left="1418" w:firstLine="709"/>
        <w:jc w:val="both"/>
        <w:rPr>
          <w:rFonts w:ascii="Arial Narrow" w:hAnsi="Arial Narrow" w:cs="Arial"/>
          <w:sz w:val="18"/>
        </w:rPr>
      </w:pPr>
    </w:p>
    <w:p w:rsidR="00747DD2" w:rsidRDefault="00747DD2" w:rsidP="00D36B7C">
      <w:pPr>
        <w:pStyle w:val="Sinespaciado"/>
        <w:ind w:left="1418" w:firstLine="709"/>
        <w:jc w:val="both"/>
        <w:rPr>
          <w:rFonts w:ascii="Arial Narrow" w:hAnsi="Arial Narrow" w:cs="Arial"/>
          <w:sz w:val="18"/>
        </w:rPr>
      </w:pPr>
    </w:p>
    <w:p w:rsidR="00747DD2" w:rsidRDefault="00D36B7C" w:rsidP="003B62FD">
      <w:pPr>
        <w:pStyle w:val="Sinespaciado"/>
        <w:ind w:left="1416" w:firstLine="708"/>
        <w:jc w:val="both"/>
        <w:rPr>
          <w:rFonts w:ascii="Arial Narrow" w:hAnsi="Arial Narrow" w:cs="Arial"/>
          <w:sz w:val="18"/>
        </w:rPr>
      </w:pPr>
      <w:r w:rsidRPr="00914C43">
        <w:rPr>
          <w:rFonts w:ascii="Arial Narrow" w:hAnsi="Arial Narrow" w:cs="Arial"/>
          <w:sz w:val="18"/>
        </w:rPr>
        <w:t xml:space="preserve">Fuente: </w:t>
      </w:r>
      <w:r w:rsidR="00747DD2">
        <w:rPr>
          <w:rFonts w:ascii="Arial Narrow" w:hAnsi="Arial Narrow" w:cs="Arial"/>
          <w:sz w:val="18"/>
        </w:rPr>
        <w:t>DANE, Variación anual</w:t>
      </w:r>
      <w:r w:rsidR="003B62FD">
        <w:rPr>
          <w:rFonts w:ascii="Arial Narrow" w:hAnsi="Arial Narrow" w:cs="Arial"/>
          <w:sz w:val="18"/>
        </w:rPr>
        <w:t xml:space="preserve">. </w:t>
      </w:r>
      <w:r w:rsidR="00747DD2">
        <w:rPr>
          <w:rFonts w:ascii="Arial Narrow" w:hAnsi="Arial Narrow" w:cs="Arial"/>
          <w:sz w:val="18"/>
        </w:rPr>
        <w:t>Construcción Propia</w:t>
      </w:r>
    </w:p>
    <w:p w:rsidR="00747DD2" w:rsidRDefault="00747DD2" w:rsidP="00D36B7C">
      <w:pPr>
        <w:pStyle w:val="Sinespaciado"/>
        <w:spacing w:line="360" w:lineRule="auto"/>
        <w:jc w:val="both"/>
        <w:rPr>
          <w:rFonts w:ascii="Arial Narrow" w:hAnsi="Arial Narrow" w:cs="Arial"/>
        </w:rPr>
      </w:pPr>
    </w:p>
    <w:p w:rsidR="00D36B7C" w:rsidRDefault="00D36B7C" w:rsidP="00D36B7C">
      <w:pPr>
        <w:pStyle w:val="Sinespaciado"/>
        <w:spacing w:line="360" w:lineRule="auto"/>
        <w:jc w:val="both"/>
        <w:rPr>
          <w:rFonts w:ascii="Arial Narrow" w:hAnsi="Arial Narrow" w:cs="Arial"/>
        </w:rPr>
      </w:pPr>
      <w:r>
        <w:rPr>
          <w:rFonts w:ascii="Arial Narrow" w:hAnsi="Arial Narrow" w:cs="Arial"/>
        </w:rPr>
        <w:t xml:space="preserve">Mientras tanto, </w:t>
      </w:r>
      <w:r w:rsidRPr="00343AFF">
        <w:rPr>
          <w:rFonts w:ascii="Arial Narrow" w:hAnsi="Arial Narrow" w:cs="Arial"/>
        </w:rPr>
        <w:t xml:space="preserve">el incremento en el índice de </w:t>
      </w:r>
      <w:r w:rsidR="003B62FD">
        <w:rPr>
          <w:rFonts w:ascii="Arial Narrow" w:hAnsi="Arial Narrow" w:cs="Arial"/>
        </w:rPr>
        <w:t>valoración predial (IVP) entre 2010 y 2014 fue</w:t>
      </w:r>
      <w:r w:rsidRPr="00343AFF">
        <w:rPr>
          <w:rFonts w:ascii="Arial Narrow" w:hAnsi="Arial Narrow" w:cs="Arial"/>
        </w:rPr>
        <w:t xml:space="preserve"> superior a los incrementos tanto del sala</w:t>
      </w:r>
      <w:r>
        <w:rPr>
          <w:rFonts w:ascii="Arial Narrow" w:hAnsi="Arial Narrow" w:cs="Arial"/>
        </w:rPr>
        <w:t>rio mínimo como de la inflación. S</w:t>
      </w:r>
      <w:r w:rsidRPr="00343AFF">
        <w:rPr>
          <w:rFonts w:ascii="Arial Narrow" w:hAnsi="Arial Narrow" w:cs="Arial"/>
        </w:rPr>
        <w:t>e observa que para el 2014</w:t>
      </w:r>
      <w:r>
        <w:rPr>
          <w:rFonts w:ascii="Arial Narrow" w:hAnsi="Arial Narrow" w:cs="Arial"/>
        </w:rPr>
        <w:t>, por ejemplo,</w:t>
      </w:r>
      <w:r w:rsidRPr="00343AFF">
        <w:rPr>
          <w:rFonts w:ascii="Arial Narrow" w:hAnsi="Arial Narrow" w:cs="Arial"/>
        </w:rPr>
        <w:t xml:space="preserve"> el IVP fue de 5.95%</w:t>
      </w:r>
      <w:r w:rsidRPr="008D3BF2">
        <w:rPr>
          <w:rFonts w:ascii="Arial Narrow" w:hAnsi="Arial Narrow" w:cs="Arial"/>
        </w:rPr>
        <w:t xml:space="preserve"> </w:t>
      </w:r>
      <w:r>
        <w:rPr>
          <w:rFonts w:ascii="Arial Narrow" w:hAnsi="Arial Narrow" w:cs="Arial"/>
        </w:rPr>
        <w:t>(gráfica 01). Esta variación está por encima del incremento del salario mínimo que para el mismo periodo</w:t>
      </w:r>
      <w:r w:rsidRPr="00343AFF">
        <w:rPr>
          <w:rFonts w:ascii="Arial Narrow" w:hAnsi="Arial Narrow" w:cs="Arial"/>
        </w:rPr>
        <w:t xml:space="preserve"> tuvo un incremento de </w:t>
      </w:r>
      <w:r>
        <w:rPr>
          <w:rFonts w:ascii="Arial Narrow" w:hAnsi="Arial Narrow" w:cs="Arial"/>
        </w:rPr>
        <w:t>4</w:t>
      </w:r>
      <w:r w:rsidRPr="00343AFF">
        <w:rPr>
          <w:rFonts w:ascii="Arial Narrow" w:hAnsi="Arial Narrow" w:cs="Arial"/>
        </w:rPr>
        <w:t xml:space="preserve">.5% y </w:t>
      </w:r>
      <w:r>
        <w:rPr>
          <w:rFonts w:ascii="Arial Narrow" w:hAnsi="Arial Narrow" w:cs="Arial"/>
        </w:rPr>
        <w:t xml:space="preserve">de </w:t>
      </w:r>
      <w:r w:rsidRPr="00343AFF">
        <w:rPr>
          <w:rFonts w:ascii="Arial Narrow" w:hAnsi="Arial Narrow" w:cs="Arial"/>
        </w:rPr>
        <w:t>l</w:t>
      </w:r>
      <w:r>
        <w:rPr>
          <w:rFonts w:ascii="Arial Narrow" w:hAnsi="Arial Narrow" w:cs="Arial"/>
        </w:rPr>
        <w:t>a inflación que en ese año fue de 3.66</w:t>
      </w:r>
      <w:r w:rsidRPr="00343AFF">
        <w:rPr>
          <w:rFonts w:ascii="Arial Narrow" w:hAnsi="Arial Narrow" w:cs="Arial"/>
        </w:rPr>
        <w:t>%.</w:t>
      </w:r>
      <w:r w:rsidR="003B62FD">
        <w:rPr>
          <w:rFonts w:ascii="Arial Narrow" w:hAnsi="Arial Narrow" w:cs="Arial"/>
        </w:rPr>
        <w:t xml:space="preserve"> Y aunque, para los años de 2015 y 2016 el incremento en el IPC fue superior al del IVP, y en los de 2016 y 2017 el mayor incremento se reflejó en el salario mínimo. En concreto, el aumento promedio del índice de valorización predial sigue siendo superior si se observa el promedio de los tres índices (grafica 01).</w:t>
      </w:r>
    </w:p>
    <w:p w:rsidR="00EB1962" w:rsidRDefault="00EB1962" w:rsidP="00D36B7C">
      <w:pPr>
        <w:pStyle w:val="Sinespaciado"/>
        <w:spacing w:line="360" w:lineRule="auto"/>
        <w:jc w:val="both"/>
        <w:rPr>
          <w:rFonts w:ascii="Arial Narrow" w:hAnsi="Arial Narrow" w:cs="Arial"/>
        </w:rPr>
      </w:pPr>
    </w:p>
    <w:p w:rsidR="00EB1962" w:rsidRPr="00EB1962" w:rsidRDefault="00EB1962" w:rsidP="00EB1962">
      <w:pPr>
        <w:pStyle w:val="Sinespaciado"/>
        <w:spacing w:line="360" w:lineRule="auto"/>
        <w:jc w:val="center"/>
        <w:rPr>
          <w:rFonts w:ascii="Arial Narrow" w:hAnsi="Arial Narrow" w:cs="Arial"/>
        </w:rPr>
      </w:pPr>
      <w:r w:rsidRPr="00EB1962">
        <w:rPr>
          <w:rFonts w:ascii="Arial Narrow" w:hAnsi="Arial Narrow" w:cs="Arial"/>
        </w:rPr>
        <w:t>Grafica 01. Incremento en el Índice Valoración Predial vs Salario Mínimo e Inflación</w:t>
      </w:r>
    </w:p>
    <w:p w:rsidR="00EB1962" w:rsidRDefault="00EB1962" w:rsidP="00D36B7C">
      <w:pPr>
        <w:pStyle w:val="Sinespaciado"/>
        <w:spacing w:line="360" w:lineRule="auto"/>
        <w:jc w:val="both"/>
        <w:rPr>
          <w:rFonts w:ascii="Arial Narrow" w:hAnsi="Arial Narrow" w:cs="Arial"/>
        </w:rPr>
      </w:pPr>
      <w:r>
        <w:rPr>
          <w:noProof/>
          <w:lang w:val="es-CO" w:eastAsia="es-CO"/>
        </w:rPr>
        <w:drawing>
          <wp:anchor distT="0" distB="0" distL="114300" distR="114300" simplePos="0" relativeHeight="251659264" behindDoc="1" locked="0" layoutInCell="1" allowOverlap="1" wp14:anchorId="2152598E" wp14:editId="6F426171">
            <wp:simplePos x="0" y="0"/>
            <wp:positionH relativeFrom="margin">
              <wp:align>right</wp:align>
            </wp:positionH>
            <wp:positionV relativeFrom="paragraph">
              <wp:posOffset>12065</wp:posOffset>
            </wp:positionV>
            <wp:extent cx="5612130" cy="2802255"/>
            <wp:effectExtent l="0" t="0" r="7620" b="17145"/>
            <wp:wrapNone/>
            <wp:docPr id="6" name="Gráfico 6">
              <a:extLst xmlns:a="http://schemas.openxmlformats.org/drawingml/2006/main">
                <a:ext uri="{FF2B5EF4-FFF2-40B4-BE49-F238E27FC236}">
                  <a16:creationId xmlns:a16="http://schemas.microsoft.com/office/drawing/2014/main" id="{00000000-0008-0000-05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V relativeFrom="margin">
              <wp14:pctHeight>0</wp14:pctHeight>
            </wp14:sizeRelV>
          </wp:anchor>
        </w:drawing>
      </w:r>
    </w:p>
    <w:p w:rsidR="00EB1962" w:rsidRDefault="00EB1962" w:rsidP="00D36B7C">
      <w:pPr>
        <w:pStyle w:val="Sinespaciado"/>
        <w:spacing w:line="360" w:lineRule="auto"/>
        <w:jc w:val="both"/>
        <w:rPr>
          <w:rFonts w:ascii="Arial Narrow" w:hAnsi="Arial Narrow" w:cs="Arial"/>
        </w:rPr>
      </w:pPr>
    </w:p>
    <w:p w:rsidR="00EB1962" w:rsidRDefault="00EB1962" w:rsidP="00EB1962">
      <w:pPr>
        <w:pStyle w:val="Sinespaciado"/>
        <w:tabs>
          <w:tab w:val="left" w:pos="2520"/>
        </w:tabs>
        <w:spacing w:line="360" w:lineRule="auto"/>
        <w:jc w:val="both"/>
        <w:rPr>
          <w:rFonts w:ascii="Arial Narrow" w:hAnsi="Arial Narrow" w:cs="Arial"/>
        </w:rPr>
      </w:pPr>
      <w:r>
        <w:rPr>
          <w:rFonts w:ascii="Arial Narrow" w:hAnsi="Arial Narrow" w:cs="Arial"/>
        </w:rPr>
        <w:tab/>
      </w:r>
    </w:p>
    <w:p w:rsidR="00EB1962" w:rsidRDefault="00EB1962" w:rsidP="00D36B7C">
      <w:pPr>
        <w:pStyle w:val="Sinespaciado"/>
        <w:spacing w:line="360" w:lineRule="auto"/>
        <w:jc w:val="both"/>
        <w:rPr>
          <w:rFonts w:ascii="Arial Narrow" w:hAnsi="Arial Narrow" w:cs="Arial"/>
        </w:rPr>
      </w:pPr>
    </w:p>
    <w:p w:rsidR="00EB1962" w:rsidRDefault="00EB1962" w:rsidP="00D36B7C">
      <w:pPr>
        <w:pStyle w:val="Sinespaciado"/>
        <w:spacing w:line="360" w:lineRule="auto"/>
        <w:jc w:val="both"/>
        <w:rPr>
          <w:rFonts w:ascii="Arial Narrow" w:hAnsi="Arial Narrow" w:cs="Arial"/>
        </w:rPr>
      </w:pPr>
    </w:p>
    <w:p w:rsidR="00EB1962" w:rsidRDefault="00EB1962" w:rsidP="00D36B7C">
      <w:pPr>
        <w:pStyle w:val="Sinespaciado"/>
        <w:spacing w:line="360" w:lineRule="auto"/>
        <w:jc w:val="both"/>
        <w:rPr>
          <w:rFonts w:ascii="Arial Narrow" w:hAnsi="Arial Narrow" w:cs="Arial"/>
        </w:rPr>
      </w:pPr>
    </w:p>
    <w:p w:rsidR="00EB1962" w:rsidRDefault="00EB1962" w:rsidP="00D36B7C">
      <w:pPr>
        <w:pStyle w:val="Sinespaciado"/>
        <w:spacing w:line="360" w:lineRule="auto"/>
        <w:jc w:val="both"/>
        <w:rPr>
          <w:rFonts w:ascii="Arial Narrow" w:hAnsi="Arial Narrow" w:cs="Arial"/>
        </w:rPr>
      </w:pPr>
    </w:p>
    <w:p w:rsidR="00EB1962" w:rsidRPr="00343AFF" w:rsidRDefault="00EB1962" w:rsidP="00D36B7C">
      <w:pPr>
        <w:pStyle w:val="Sinespaciado"/>
        <w:spacing w:line="360" w:lineRule="auto"/>
        <w:jc w:val="both"/>
        <w:rPr>
          <w:rFonts w:ascii="Arial Narrow" w:hAnsi="Arial Narrow" w:cs="Arial"/>
        </w:rPr>
      </w:pPr>
    </w:p>
    <w:p w:rsidR="00EB1962" w:rsidRDefault="00D36B7C" w:rsidP="00D36B7C">
      <w:pPr>
        <w:spacing w:line="240" w:lineRule="auto"/>
        <w:contextualSpacing/>
        <w:jc w:val="both"/>
        <w:rPr>
          <w:rFonts w:cstheme="minorHAnsi"/>
        </w:rPr>
      </w:pPr>
      <w:r w:rsidRPr="006D54B5">
        <w:rPr>
          <w:rFonts w:cstheme="minorHAnsi"/>
        </w:rPr>
        <w:t> </w:t>
      </w:r>
    </w:p>
    <w:p w:rsidR="00EB1962" w:rsidRDefault="00EB1962" w:rsidP="00D36B7C">
      <w:pPr>
        <w:spacing w:line="240" w:lineRule="auto"/>
        <w:contextualSpacing/>
        <w:jc w:val="both"/>
        <w:rPr>
          <w:rFonts w:cstheme="minorHAnsi"/>
        </w:rPr>
      </w:pPr>
    </w:p>
    <w:p w:rsidR="00EB1962" w:rsidRDefault="00EB1962" w:rsidP="00D36B7C">
      <w:pPr>
        <w:spacing w:line="240" w:lineRule="auto"/>
        <w:contextualSpacing/>
        <w:jc w:val="both"/>
        <w:rPr>
          <w:rFonts w:cstheme="minorHAnsi"/>
        </w:rPr>
      </w:pPr>
    </w:p>
    <w:p w:rsidR="00EB1962" w:rsidRDefault="00EB1962" w:rsidP="00D36B7C">
      <w:pPr>
        <w:spacing w:line="240" w:lineRule="auto"/>
        <w:contextualSpacing/>
        <w:jc w:val="both"/>
        <w:rPr>
          <w:rFonts w:cstheme="minorHAnsi"/>
        </w:rPr>
      </w:pPr>
    </w:p>
    <w:p w:rsidR="00EB1962" w:rsidRDefault="00EB1962" w:rsidP="00EB1962">
      <w:pPr>
        <w:pStyle w:val="Sinespaciado"/>
        <w:jc w:val="both"/>
        <w:rPr>
          <w:rFonts w:ascii="Arial Narrow" w:hAnsi="Arial Narrow" w:cs="Arial"/>
          <w:sz w:val="18"/>
        </w:rPr>
      </w:pPr>
      <w:r w:rsidRPr="00914C43">
        <w:rPr>
          <w:rFonts w:ascii="Arial Narrow" w:hAnsi="Arial Narrow" w:cs="Arial"/>
          <w:sz w:val="18"/>
        </w:rPr>
        <w:t xml:space="preserve">Fuente: </w:t>
      </w:r>
      <w:r>
        <w:rPr>
          <w:rFonts w:ascii="Arial Narrow" w:hAnsi="Arial Narrow" w:cs="Arial"/>
          <w:sz w:val="18"/>
        </w:rPr>
        <w:t>DANE, Variación anual. Construcción Propia</w:t>
      </w:r>
    </w:p>
    <w:p w:rsidR="00D36B7C" w:rsidRDefault="00D36B7C" w:rsidP="00D36B7C">
      <w:pPr>
        <w:spacing w:line="240" w:lineRule="auto"/>
        <w:contextualSpacing/>
        <w:jc w:val="both"/>
        <w:rPr>
          <w:rFonts w:cstheme="minorHAnsi"/>
        </w:rPr>
      </w:pPr>
    </w:p>
    <w:p w:rsidR="00D36B7C" w:rsidRPr="000B5308" w:rsidRDefault="00D36B7C" w:rsidP="00D36B7C">
      <w:pPr>
        <w:pStyle w:val="Sinespaciado"/>
        <w:spacing w:line="360" w:lineRule="auto"/>
        <w:jc w:val="both"/>
        <w:rPr>
          <w:rFonts w:ascii="Arial Narrow" w:hAnsi="Arial Narrow" w:cs="Arial"/>
          <w:color w:val="FF0000"/>
        </w:rPr>
      </w:pPr>
      <w:r w:rsidRPr="00174A6E">
        <w:rPr>
          <w:rFonts w:ascii="Arial Narrow" w:hAnsi="Arial Narrow" w:cs="Arial"/>
        </w:rPr>
        <w:t xml:space="preserve">La variación del IVP, sin embargo, no </w:t>
      </w:r>
      <w:r>
        <w:rPr>
          <w:rFonts w:ascii="Arial Narrow" w:hAnsi="Arial Narrow" w:cs="Arial"/>
        </w:rPr>
        <w:t>explica por sí sola los aumentos exagerados</w:t>
      </w:r>
      <w:r w:rsidRPr="00174A6E">
        <w:rPr>
          <w:rFonts w:ascii="Arial Narrow" w:hAnsi="Arial Narrow" w:cs="Arial"/>
        </w:rPr>
        <w:t xml:space="preserve"> que año a año afrontan los contribuyentes del impuesto predial unificado</w:t>
      </w:r>
      <w:r>
        <w:rPr>
          <w:rFonts w:ascii="Arial Narrow" w:hAnsi="Arial Narrow" w:cs="Arial"/>
        </w:rPr>
        <w:t>. Como se verá a continuación, estos aumentos son principalmente producto de las actualizaciones catastrales</w:t>
      </w:r>
      <w:r w:rsidRPr="00174A6E">
        <w:rPr>
          <w:rFonts w:ascii="Arial Narrow" w:hAnsi="Arial Narrow" w:cs="Arial"/>
        </w:rPr>
        <w:t>.</w:t>
      </w:r>
      <w:r>
        <w:rPr>
          <w:rFonts w:ascii="Arial Narrow" w:hAnsi="Arial Narrow" w:cs="Arial"/>
        </w:rPr>
        <w:t xml:space="preserve"> </w:t>
      </w:r>
      <w:r w:rsidRPr="00BA0EAB">
        <w:rPr>
          <w:rFonts w:ascii="Arial Narrow" w:hAnsi="Arial Narrow" w:cs="Arial"/>
        </w:rPr>
        <w:t xml:space="preserve">La tabla 02 permite observar </w:t>
      </w:r>
      <w:r w:rsidR="00BA0EAB" w:rsidRPr="00BA0EAB">
        <w:rPr>
          <w:rFonts w:ascii="Arial Narrow" w:hAnsi="Arial Narrow" w:cs="Arial"/>
        </w:rPr>
        <w:t>c</w:t>
      </w:r>
      <w:r w:rsidR="00BA0EAB">
        <w:rPr>
          <w:rFonts w:ascii="Arial Narrow" w:hAnsi="Arial Narrow" w:cs="Arial"/>
        </w:rPr>
        <w:t>ó</w:t>
      </w:r>
      <w:r w:rsidR="00BA0EAB" w:rsidRPr="00BA0EAB">
        <w:rPr>
          <w:rFonts w:ascii="Arial Narrow" w:hAnsi="Arial Narrow" w:cs="Arial"/>
        </w:rPr>
        <w:t>mo</w:t>
      </w:r>
      <w:r w:rsidRPr="00BA0EAB">
        <w:rPr>
          <w:rFonts w:ascii="Arial Narrow" w:hAnsi="Arial Narrow" w:cs="Arial"/>
        </w:rPr>
        <w:t xml:space="preserve"> mientras en el año 2009 se contaba en el país con un total de 11.585.395 predios avaluados en $298.153.096 millones, para el 201</w:t>
      </w:r>
      <w:r w:rsidR="000F76F2" w:rsidRPr="00BA0EAB">
        <w:rPr>
          <w:rFonts w:ascii="Arial Narrow" w:hAnsi="Arial Narrow" w:cs="Arial"/>
        </w:rPr>
        <w:t>7</w:t>
      </w:r>
      <w:r w:rsidRPr="00BA0EAB">
        <w:rPr>
          <w:rFonts w:ascii="Arial Narrow" w:hAnsi="Arial Narrow" w:cs="Arial"/>
        </w:rPr>
        <w:t xml:space="preserve"> el avalúo equivalía a $</w:t>
      </w:r>
      <w:r w:rsidR="000F76F2" w:rsidRPr="00BA0EAB">
        <w:rPr>
          <w:rFonts w:ascii="Arial Narrow" w:hAnsi="Arial Narrow" w:cs="Arial"/>
        </w:rPr>
        <w:t>629.671.416</w:t>
      </w:r>
      <w:r w:rsidRPr="00BA0EAB">
        <w:rPr>
          <w:rFonts w:ascii="Arial Narrow" w:hAnsi="Arial Narrow" w:cs="Arial"/>
        </w:rPr>
        <w:t xml:space="preserve"> millones distribuidos en apenas </w:t>
      </w:r>
      <w:r w:rsidR="000F76F2" w:rsidRPr="00BA0EAB">
        <w:rPr>
          <w:rFonts w:ascii="Arial Narrow" w:hAnsi="Arial Narrow" w:cs="Arial"/>
        </w:rPr>
        <w:t>13.283.782</w:t>
      </w:r>
      <w:r w:rsidRPr="00BA0EAB">
        <w:rPr>
          <w:rFonts w:ascii="Arial Narrow" w:hAnsi="Arial Narrow" w:cs="Arial"/>
        </w:rPr>
        <w:t xml:space="preserve"> predios</w:t>
      </w:r>
      <w:r w:rsidRPr="00BA0EAB">
        <w:rPr>
          <w:rStyle w:val="Refdenotaalpie"/>
          <w:rFonts w:ascii="Arial Narrow" w:hAnsi="Arial Narrow" w:cs="Arial"/>
        </w:rPr>
        <w:footnoteReference w:id="6"/>
      </w:r>
      <w:r w:rsidRPr="00BA0EAB">
        <w:rPr>
          <w:rFonts w:ascii="Arial Narrow" w:hAnsi="Arial Narrow" w:cs="Arial"/>
        </w:rPr>
        <w:t>. Esto demuest</w:t>
      </w:r>
      <w:r w:rsidR="000F76F2" w:rsidRPr="00BA0EAB">
        <w:rPr>
          <w:rFonts w:ascii="Arial Narrow" w:hAnsi="Arial Narrow" w:cs="Arial"/>
        </w:rPr>
        <w:t>ra que la razón del incremento</w:t>
      </w:r>
      <w:r w:rsidRPr="00BA0EAB">
        <w:rPr>
          <w:rFonts w:ascii="Arial Narrow" w:hAnsi="Arial Narrow" w:cs="Arial"/>
        </w:rPr>
        <w:t xml:space="preserve"> en el avalúo </w:t>
      </w:r>
      <w:r w:rsidR="000F76F2" w:rsidRPr="00BA0EAB">
        <w:rPr>
          <w:rFonts w:ascii="Arial Narrow" w:hAnsi="Arial Narrow" w:cs="Arial"/>
        </w:rPr>
        <w:t>catastral del</w:t>
      </w:r>
      <w:r w:rsidRPr="00BA0EAB">
        <w:rPr>
          <w:rFonts w:ascii="Arial Narrow" w:hAnsi="Arial Narrow" w:cs="Arial"/>
        </w:rPr>
        <w:t xml:space="preserve"> </w:t>
      </w:r>
      <w:r w:rsidR="000F76F2" w:rsidRPr="00BA0EAB">
        <w:rPr>
          <w:rFonts w:ascii="Arial Narrow" w:hAnsi="Arial Narrow" w:cs="Arial"/>
        </w:rPr>
        <w:t>150</w:t>
      </w:r>
      <w:r w:rsidRPr="00BA0EAB">
        <w:rPr>
          <w:rFonts w:ascii="Arial Narrow" w:hAnsi="Arial Narrow" w:cs="Arial"/>
        </w:rPr>
        <w:t>%</w:t>
      </w:r>
      <w:r w:rsidR="000F76F2" w:rsidRPr="00BA0EAB">
        <w:rPr>
          <w:rFonts w:ascii="Arial Narrow" w:hAnsi="Arial Narrow" w:cs="Arial"/>
        </w:rPr>
        <w:t xml:space="preserve"> en los últimos 10 años</w:t>
      </w:r>
      <w:r w:rsidRPr="00BA0EAB">
        <w:rPr>
          <w:rFonts w:ascii="Arial Narrow" w:hAnsi="Arial Narrow" w:cs="Arial"/>
        </w:rPr>
        <w:t xml:space="preserve">, </w:t>
      </w:r>
      <w:r w:rsidR="000F76F2" w:rsidRPr="00BA0EAB">
        <w:rPr>
          <w:rFonts w:ascii="Arial Narrow" w:hAnsi="Arial Narrow" w:cs="Arial"/>
        </w:rPr>
        <w:t>han sido</w:t>
      </w:r>
      <w:r w:rsidRPr="00BA0EAB">
        <w:rPr>
          <w:rFonts w:ascii="Arial Narrow" w:hAnsi="Arial Narrow" w:cs="Arial"/>
        </w:rPr>
        <w:t xml:space="preserve"> los procesos de actualización y no el incremento en el número de predios que apenas fue del </w:t>
      </w:r>
      <w:r w:rsidR="000F76F2" w:rsidRPr="00BA0EAB">
        <w:rPr>
          <w:rFonts w:ascii="Arial Narrow" w:hAnsi="Arial Narrow" w:cs="Arial"/>
        </w:rPr>
        <w:t>1</w:t>
      </w:r>
      <w:r w:rsidRPr="00BA0EAB">
        <w:rPr>
          <w:rFonts w:ascii="Arial Narrow" w:hAnsi="Arial Narrow" w:cs="Arial"/>
        </w:rPr>
        <w:t>7.</w:t>
      </w:r>
      <w:r w:rsidR="000F76F2" w:rsidRPr="00BA0EAB">
        <w:rPr>
          <w:rFonts w:ascii="Arial Narrow" w:hAnsi="Arial Narrow" w:cs="Arial"/>
        </w:rPr>
        <w:t>57</w:t>
      </w:r>
      <w:r w:rsidRPr="00BA0EAB">
        <w:rPr>
          <w:rFonts w:ascii="Arial Narrow" w:hAnsi="Arial Narrow" w:cs="Arial"/>
        </w:rPr>
        <w:t xml:space="preserve">% </w:t>
      </w:r>
      <w:r w:rsidR="000F76F2" w:rsidRPr="00BA0EAB">
        <w:rPr>
          <w:rFonts w:ascii="Arial Narrow" w:hAnsi="Arial Narrow" w:cs="Arial"/>
        </w:rPr>
        <w:t>en</w:t>
      </w:r>
      <w:r w:rsidRPr="00BA0EAB">
        <w:rPr>
          <w:rFonts w:ascii="Arial Narrow" w:hAnsi="Arial Narrow" w:cs="Arial"/>
        </w:rPr>
        <w:t xml:space="preserve"> el mismo periodo.</w:t>
      </w:r>
    </w:p>
    <w:p w:rsidR="00D36B7C" w:rsidRDefault="00D36B7C" w:rsidP="00D36B7C">
      <w:pPr>
        <w:spacing w:line="240" w:lineRule="auto"/>
        <w:contextualSpacing/>
        <w:rPr>
          <w:rFonts w:cstheme="minorHAnsi"/>
        </w:rPr>
      </w:pPr>
    </w:p>
    <w:p w:rsidR="00D36B7C" w:rsidRPr="006D54B5" w:rsidRDefault="00D36B7C" w:rsidP="00D36B7C">
      <w:pPr>
        <w:spacing w:line="240" w:lineRule="auto"/>
        <w:contextualSpacing/>
        <w:jc w:val="center"/>
        <w:rPr>
          <w:rFonts w:cstheme="minorHAnsi"/>
        </w:rPr>
      </w:pPr>
      <w:r>
        <w:rPr>
          <w:rFonts w:cstheme="minorHAnsi"/>
        </w:rPr>
        <w:t xml:space="preserve">Tabla, 02. Predios vs Avalúo Catastral </w:t>
      </w:r>
    </w:p>
    <w:p w:rsidR="000F76F2" w:rsidRDefault="000F76F2" w:rsidP="00D36B7C">
      <w:pPr>
        <w:spacing w:line="240" w:lineRule="auto"/>
        <w:contextualSpacing/>
        <w:jc w:val="both"/>
        <w:rPr>
          <w:rFonts w:cstheme="minorHAnsi"/>
        </w:rPr>
      </w:pPr>
      <w:r w:rsidRPr="000F76F2">
        <w:rPr>
          <w:rFonts w:cstheme="minorHAnsi"/>
          <w:noProof/>
          <w:lang w:eastAsia="es-CO"/>
        </w:rPr>
        <w:drawing>
          <wp:anchor distT="0" distB="0" distL="114300" distR="114300" simplePos="0" relativeHeight="251661312" behindDoc="1" locked="0" layoutInCell="1" allowOverlap="1" wp14:anchorId="7B438568" wp14:editId="6861E3AF">
            <wp:simplePos x="0" y="0"/>
            <wp:positionH relativeFrom="margin">
              <wp:align>right</wp:align>
            </wp:positionH>
            <wp:positionV relativeFrom="paragraph">
              <wp:posOffset>69215</wp:posOffset>
            </wp:positionV>
            <wp:extent cx="5612130" cy="916940"/>
            <wp:effectExtent l="0" t="0" r="7620"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12130" cy="916940"/>
                    </a:xfrm>
                    <a:prstGeom prst="rect">
                      <a:avLst/>
                    </a:prstGeom>
                    <a:noFill/>
                    <a:ln>
                      <a:noFill/>
                    </a:ln>
                  </pic:spPr>
                </pic:pic>
              </a:graphicData>
            </a:graphic>
          </wp:anchor>
        </w:drawing>
      </w:r>
      <w:r w:rsidR="00D36B7C" w:rsidRPr="006D54B5">
        <w:rPr>
          <w:rFonts w:cstheme="minorHAnsi"/>
        </w:rPr>
        <w:t> </w:t>
      </w:r>
    </w:p>
    <w:p w:rsidR="000F76F2" w:rsidRDefault="000F76F2" w:rsidP="00D36B7C">
      <w:pPr>
        <w:spacing w:line="240" w:lineRule="auto"/>
        <w:contextualSpacing/>
        <w:jc w:val="both"/>
        <w:rPr>
          <w:rFonts w:cstheme="minorHAnsi"/>
        </w:rPr>
      </w:pPr>
    </w:p>
    <w:p w:rsidR="000F76F2" w:rsidRDefault="000F76F2" w:rsidP="00D36B7C">
      <w:pPr>
        <w:spacing w:line="240" w:lineRule="auto"/>
        <w:contextualSpacing/>
        <w:jc w:val="both"/>
        <w:rPr>
          <w:rFonts w:cstheme="minorHAnsi"/>
        </w:rPr>
      </w:pPr>
    </w:p>
    <w:p w:rsidR="000F76F2" w:rsidRDefault="000F76F2" w:rsidP="00D36B7C">
      <w:pPr>
        <w:spacing w:line="240" w:lineRule="auto"/>
        <w:contextualSpacing/>
        <w:jc w:val="both"/>
        <w:rPr>
          <w:rFonts w:cstheme="minorHAnsi"/>
        </w:rPr>
      </w:pPr>
    </w:p>
    <w:p w:rsidR="000F76F2" w:rsidRDefault="000F76F2" w:rsidP="00D36B7C">
      <w:pPr>
        <w:spacing w:line="240" w:lineRule="auto"/>
        <w:contextualSpacing/>
        <w:jc w:val="both"/>
        <w:rPr>
          <w:rFonts w:cstheme="minorHAnsi"/>
        </w:rPr>
      </w:pPr>
    </w:p>
    <w:p w:rsidR="000F76F2" w:rsidRDefault="000F76F2" w:rsidP="00D36B7C">
      <w:pPr>
        <w:spacing w:line="240" w:lineRule="auto"/>
        <w:contextualSpacing/>
        <w:jc w:val="both"/>
        <w:rPr>
          <w:rFonts w:cstheme="minorHAnsi"/>
        </w:rPr>
      </w:pPr>
    </w:p>
    <w:p w:rsidR="00D36B7C" w:rsidRDefault="00D36B7C" w:rsidP="00D36B7C">
      <w:pPr>
        <w:spacing w:line="240" w:lineRule="auto"/>
        <w:contextualSpacing/>
        <w:jc w:val="both"/>
        <w:rPr>
          <w:rStyle w:val="apple-converted-space"/>
          <w:rFonts w:ascii="Arial" w:hAnsi="Arial" w:cs="Arial"/>
          <w:bCs/>
          <w:color w:val="000000"/>
          <w:sz w:val="14"/>
          <w:szCs w:val="16"/>
          <w:shd w:val="clear" w:color="auto" w:fill="FFFFFF"/>
        </w:rPr>
      </w:pPr>
      <w:r w:rsidRPr="00D85732">
        <w:rPr>
          <w:rFonts w:ascii="Arial" w:hAnsi="Arial" w:cs="Arial"/>
          <w:bCs/>
          <w:color w:val="000000"/>
          <w:sz w:val="14"/>
          <w:szCs w:val="16"/>
          <w:shd w:val="clear" w:color="auto" w:fill="FFFFFF"/>
        </w:rPr>
        <w:t>Fuente:</w:t>
      </w:r>
      <w:r w:rsidRPr="00D85732">
        <w:rPr>
          <w:rStyle w:val="apple-converted-space"/>
          <w:rFonts w:ascii="Arial" w:hAnsi="Arial" w:cs="Arial"/>
          <w:bCs/>
          <w:color w:val="000000"/>
          <w:sz w:val="14"/>
          <w:szCs w:val="16"/>
          <w:shd w:val="clear" w:color="auto" w:fill="FFFFFF"/>
        </w:rPr>
        <w:t xml:space="preserve"> Documentos Conpes sobre reajuste avalúos </w:t>
      </w:r>
      <w:r w:rsidR="00EB1962" w:rsidRPr="00D85732">
        <w:rPr>
          <w:rStyle w:val="apple-converted-space"/>
          <w:rFonts w:ascii="Arial" w:hAnsi="Arial" w:cs="Arial"/>
          <w:bCs/>
          <w:color w:val="000000"/>
          <w:sz w:val="14"/>
          <w:szCs w:val="16"/>
          <w:shd w:val="clear" w:color="auto" w:fill="FFFFFF"/>
        </w:rPr>
        <w:t>catastrales 2009</w:t>
      </w:r>
      <w:r w:rsidR="000F76F2">
        <w:rPr>
          <w:rStyle w:val="apple-converted-space"/>
          <w:rFonts w:ascii="Arial" w:hAnsi="Arial" w:cs="Arial"/>
          <w:bCs/>
          <w:color w:val="000000"/>
          <w:sz w:val="14"/>
          <w:szCs w:val="16"/>
          <w:shd w:val="clear" w:color="auto" w:fill="FFFFFF"/>
        </w:rPr>
        <w:t xml:space="preserve"> – 2017 y Censo Inmobiliario 2017</w:t>
      </w:r>
      <w:r w:rsidRPr="00D85732">
        <w:rPr>
          <w:rStyle w:val="apple-converted-space"/>
          <w:rFonts w:ascii="Arial" w:hAnsi="Arial" w:cs="Arial"/>
          <w:bCs/>
          <w:color w:val="000000"/>
          <w:sz w:val="14"/>
          <w:szCs w:val="16"/>
          <w:shd w:val="clear" w:color="auto" w:fill="FFFFFF"/>
        </w:rPr>
        <w:t xml:space="preserve"> Bogotá</w:t>
      </w:r>
      <w:r>
        <w:rPr>
          <w:rStyle w:val="apple-converted-space"/>
          <w:rFonts w:ascii="Arial" w:hAnsi="Arial" w:cs="Arial"/>
          <w:bCs/>
          <w:color w:val="000000"/>
          <w:sz w:val="14"/>
          <w:szCs w:val="16"/>
          <w:shd w:val="clear" w:color="auto" w:fill="FFFFFF"/>
        </w:rPr>
        <w:t xml:space="preserve"> – Elaboración propia </w:t>
      </w:r>
    </w:p>
    <w:p w:rsidR="00D36B7C" w:rsidRPr="00A4695B" w:rsidRDefault="00D36B7C" w:rsidP="00D36B7C">
      <w:pPr>
        <w:spacing w:line="240" w:lineRule="auto"/>
        <w:jc w:val="both"/>
        <w:rPr>
          <w:rFonts w:ascii="Arial" w:hAnsi="Arial" w:cs="Arial"/>
          <w:sz w:val="14"/>
        </w:rPr>
      </w:pPr>
      <w:r w:rsidRPr="00A4695B">
        <w:rPr>
          <w:rFonts w:ascii="Arial" w:hAnsi="Arial" w:cs="Arial"/>
          <w:sz w:val="14"/>
        </w:rPr>
        <w:t>*Las cifras nacionales no incluyen Bogot</w:t>
      </w:r>
      <w:r>
        <w:rPr>
          <w:rFonts w:ascii="Arial" w:hAnsi="Arial" w:cs="Arial"/>
          <w:sz w:val="14"/>
        </w:rPr>
        <w:t>á.</w:t>
      </w:r>
    </w:p>
    <w:p w:rsidR="00D36B7C" w:rsidRPr="00BA0EAB" w:rsidRDefault="00D36B7C" w:rsidP="00D36B7C">
      <w:pPr>
        <w:pStyle w:val="Sinespaciado"/>
        <w:spacing w:line="360" w:lineRule="auto"/>
        <w:jc w:val="both"/>
        <w:rPr>
          <w:rFonts w:ascii="Arial Narrow" w:hAnsi="Arial Narrow" w:cs="Arial"/>
        </w:rPr>
      </w:pPr>
      <w:r w:rsidRPr="00BA0EAB">
        <w:rPr>
          <w:rFonts w:ascii="Arial Narrow" w:hAnsi="Arial Narrow" w:cs="Arial"/>
        </w:rPr>
        <w:t xml:space="preserve">En Bogotá, el fenómeno es más preocupante aún. El valor catastral de la capital ha aumentado en los últimos </w:t>
      </w:r>
      <w:r w:rsidR="000F76F2" w:rsidRPr="00BA0EAB">
        <w:rPr>
          <w:rFonts w:ascii="Arial Narrow" w:hAnsi="Arial Narrow" w:cs="Arial"/>
        </w:rPr>
        <w:t>10</w:t>
      </w:r>
      <w:r w:rsidRPr="00BA0EAB">
        <w:rPr>
          <w:rFonts w:ascii="Arial Narrow" w:hAnsi="Arial Narrow" w:cs="Arial"/>
        </w:rPr>
        <w:t xml:space="preserve"> años en un </w:t>
      </w:r>
      <w:r w:rsidR="000F76F2" w:rsidRPr="00BA0EAB">
        <w:rPr>
          <w:rFonts w:ascii="Arial Narrow" w:hAnsi="Arial Narrow" w:cs="Arial"/>
        </w:rPr>
        <w:t>336,05</w:t>
      </w:r>
      <w:r w:rsidRPr="00BA0EAB">
        <w:rPr>
          <w:rFonts w:ascii="Arial Narrow" w:hAnsi="Arial Narrow" w:cs="Arial"/>
        </w:rPr>
        <w:t>% mientras que el número</w:t>
      </w:r>
      <w:r w:rsidR="000F76F2" w:rsidRPr="00BA0EAB">
        <w:rPr>
          <w:rFonts w:ascii="Arial Narrow" w:hAnsi="Arial Narrow" w:cs="Arial"/>
        </w:rPr>
        <w:t xml:space="preserve"> de predios apenas aumentó un 30</w:t>
      </w:r>
      <w:r w:rsidRPr="00BA0EAB">
        <w:rPr>
          <w:rFonts w:ascii="Arial Narrow" w:hAnsi="Arial Narrow" w:cs="Arial"/>
        </w:rPr>
        <w:t>% en ese mismo periodo. El aval</w:t>
      </w:r>
      <w:r w:rsidR="00CF0EA2" w:rsidRPr="00BA0EAB">
        <w:rPr>
          <w:rFonts w:ascii="Arial Narrow" w:hAnsi="Arial Narrow" w:cs="Arial"/>
        </w:rPr>
        <w:t xml:space="preserve">úo catastral total de Bogotá paso de 121 billones en </w:t>
      </w:r>
      <w:r w:rsidRPr="00BA0EAB">
        <w:rPr>
          <w:rFonts w:ascii="Arial Narrow" w:hAnsi="Arial Narrow" w:cs="Arial"/>
        </w:rPr>
        <w:t xml:space="preserve">2008 a </w:t>
      </w:r>
      <w:r w:rsidR="00CF0EA2" w:rsidRPr="00BA0EAB">
        <w:rPr>
          <w:rFonts w:ascii="Arial Narrow" w:hAnsi="Arial Narrow" w:cs="Arial"/>
        </w:rPr>
        <w:t>528,5 billones en 2017</w:t>
      </w:r>
      <w:r w:rsidRPr="00BA0EAB">
        <w:rPr>
          <w:rFonts w:ascii="Arial Narrow" w:hAnsi="Arial Narrow" w:cs="Arial"/>
        </w:rPr>
        <w:t xml:space="preserve"> (tabla 02). En ese rango de tiempo, el factor determinante en el crecimiento del valor catastral de la capital no fue el incremento en el número de predios sino la variación en su valor; </w:t>
      </w:r>
      <w:r w:rsidR="00CF0EA2" w:rsidRPr="00BA0EAB">
        <w:rPr>
          <w:rFonts w:ascii="Arial Narrow" w:hAnsi="Arial Narrow" w:cs="Arial"/>
        </w:rPr>
        <w:t xml:space="preserve">dado que </w:t>
      </w:r>
      <w:r w:rsidRPr="00BA0EAB">
        <w:rPr>
          <w:rFonts w:ascii="Arial Narrow" w:hAnsi="Arial Narrow" w:cs="Arial"/>
        </w:rPr>
        <w:t>entre 2008 y 2015 Bogotá pasó de 1.958.238 predios a tener 2.</w:t>
      </w:r>
      <w:r w:rsidR="00CF0EA2" w:rsidRPr="00BA0EAB">
        <w:rPr>
          <w:rFonts w:ascii="Arial Narrow" w:hAnsi="Arial Narrow" w:cs="Arial"/>
        </w:rPr>
        <w:t>543.290</w:t>
      </w:r>
      <w:r w:rsidRPr="00BA0EAB">
        <w:rPr>
          <w:rFonts w:ascii="Arial Narrow" w:hAnsi="Arial Narrow" w:cs="Arial"/>
        </w:rPr>
        <w:t>.</w:t>
      </w:r>
    </w:p>
    <w:p w:rsidR="00D14C4D" w:rsidRDefault="00D14C4D" w:rsidP="00D36B7C">
      <w:pPr>
        <w:pStyle w:val="Sinespaciado"/>
        <w:spacing w:line="360" w:lineRule="auto"/>
        <w:jc w:val="both"/>
        <w:rPr>
          <w:rFonts w:ascii="Arial Narrow" w:hAnsi="Arial Narrow" w:cs="Arial"/>
          <w:color w:val="FF0000"/>
        </w:rPr>
      </w:pPr>
    </w:p>
    <w:p w:rsidR="00D14C4D" w:rsidRPr="00A4695B" w:rsidRDefault="00D14C4D" w:rsidP="00D14C4D">
      <w:pPr>
        <w:spacing w:line="240" w:lineRule="auto"/>
        <w:contextualSpacing/>
        <w:jc w:val="center"/>
        <w:rPr>
          <w:rFonts w:cstheme="minorHAnsi"/>
        </w:rPr>
      </w:pPr>
      <w:r>
        <w:rPr>
          <w:rFonts w:cstheme="minorHAnsi"/>
        </w:rPr>
        <w:t>Gráfica, 02. Variación % Avalúo catastral</w:t>
      </w:r>
    </w:p>
    <w:p w:rsidR="00D14C4D" w:rsidRDefault="00D14C4D" w:rsidP="00D36B7C">
      <w:pPr>
        <w:pStyle w:val="Sinespaciado"/>
        <w:spacing w:line="360" w:lineRule="auto"/>
        <w:jc w:val="both"/>
        <w:rPr>
          <w:rFonts w:ascii="Arial Narrow" w:hAnsi="Arial Narrow" w:cs="Arial"/>
          <w:color w:val="FF0000"/>
        </w:rPr>
      </w:pPr>
      <w:r>
        <w:rPr>
          <w:noProof/>
          <w:lang w:val="es-CO" w:eastAsia="es-CO"/>
        </w:rPr>
        <w:drawing>
          <wp:anchor distT="0" distB="0" distL="114300" distR="114300" simplePos="0" relativeHeight="251660288" behindDoc="1" locked="0" layoutInCell="1" allowOverlap="1" wp14:anchorId="62FC8319" wp14:editId="0C3E40EF">
            <wp:simplePos x="0" y="0"/>
            <wp:positionH relativeFrom="margin">
              <wp:align>center</wp:align>
            </wp:positionH>
            <wp:positionV relativeFrom="paragraph">
              <wp:posOffset>5080</wp:posOffset>
            </wp:positionV>
            <wp:extent cx="5065395" cy="3130869"/>
            <wp:effectExtent l="0" t="0" r="1905" b="12700"/>
            <wp:wrapNone/>
            <wp:docPr id="1" name="Gráfico 1">
              <a:extLst xmlns:a="http://schemas.openxmlformats.org/drawingml/2006/main">
                <a:ext uri="{FF2B5EF4-FFF2-40B4-BE49-F238E27FC236}">
                  <a16:creationId xmlns:a16="http://schemas.microsoft.com/office/drawing/2014/main" id="{00000000-0008-0000-06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rsidR="00D14C4D" w:rsidRDefault="00D14C4D" w:rsidP="00D36B7C">
      <w:pPr>
        <w:pStyle w:val="Sinespaciado"/>
        <w:spacing w:line="360" w:lineRule="auto"/>
        <w:jc w:val="both"/>
        <w:rPr>
          <w:rFonts w:ascii="Arial Narrow" w:hAnsi="Arial Narrow" w:cs="Arial"/>
          <w:color w:val="FF0000"/>
        </w:rPr>
      </w:pPr>
    </w:p>
    <w:p w:rsidR="00D14C4D" w:rsidRDefault="00D14C4D" w:rsidP="00D36B7C">
      <w:pPr>
        <w:pStyle w:val="Sinespaciado"/>
        <w:spacing w:line="360" w:lineRule="auto"/>
        <w:jc w:val="both"/>
        <w:rPr>
          <w:rFonts w:ascii="Arial Narrow" w:hAnsi="Arial Narrow" w:cs="Arial"/>
          <w:color w:val="FF0000"/>
        </w:rPr>
      </w:pPr>
    </w:p>
    <w:p w:rsidR="00D14C4D" w:rsidRDefault="00D14C4D" w:rsidP="00D36B7C">
      <w:pPr>
        <w:pStyle w:val="Sinespaciado"/>
        <w:spacing w:line="360" w:lineRule="auto"/>
        <w:jc w:val="both"/>
        <w:rPr>
          <w:rFonts w:ascii="Arial Narrow" w:hAnsi="Arial Narrow" w:cs="Arial"/>
          <w:color w:val="FF0000"/>
        </w:rPr>
      </w:pPr>
    </w:p>
    <w:p w:rsidR="00D14C4D" w:rsidRDefault="00D14C4D" w:rsidP="00D36B7C">
      <w:pPr>
        <w:pStyle w:val="Sinespaciado"/>
        <w:spacing w:line="360" w:lineRule="auto"/>
        <w:jc w:val="both"/>
        <w:rPr>
          <w:rFonts w:ascii="Arial Narrow" w:hAnsi="Arial Narrow" w:cs="Arial"/>
          <w:color w:val="FF0000"/>
        </w:rPr>
      </w:pPr>
    </w:p>
    <w:p w:rsidR="00D14C4D" w:rsidRPr="00B42E64" w:rsidRDefault="00D14C4D" w:rsidP="00D36B7C">
      <w:pPr>
        <w:pStyle w:val="Sinespaciado"/>
        <w:spacing w:line="360" w:lineRule="auto"/>
        <w:jc w:val="both"/>
        <w:rPr>
          <w:rFonts w:ascii="Arial Narrow" w:hAnsi="Arial Narrow" w:cs="Arial"/>
          <w:color w:val="FF0000"/>
        </w:rPr>
      </w:pPr>
    </w:p>
    <w:p w:rsidR="00D36B7C" w:rsidRDefault="00D36B7C" w:rsidP="00D36B7C">
      <w:pPr>
        <w:pStyle w:val="Sinespaciado"/>
        <w:spacing w:line="360" w:lineRule="auto"/>
        <w:jc w:val="both"/>
        <w:rPr>
          <w:rFonts w:ascii="Arial Narrow" w:hAnsi="Arial Narrow" w:cs="Arial"/>
        </w:rPr>
      </w:pPr>
    </w:p>
    <w:p w:rsidR="00D36B7C" w:rsidRDefault="00D36B7C" w:rsidP="00D36B7C">
      <w:pPr>
        <w:pStyle w:val="Sinespaciado"/>
        <w:spacing w:line="360" w:lineRule="auto"/>
        <w:jc w:val="both"/>
        <w:rPr>
          <w:rFonts w:ascii="Arial Narrow" w:hAnsi="Arial Narrow" w:cs="Arial"/>
        </w:rPr>
      </w:pPr>
    </w:p>
    <w:p w:rsidR="00D36B7C" w:rsidRDefault="00D36B7C" w:rsidP="00D36B7C">
      <w:pPr>
        <w:pStyle w:val="Sinespaciado"/>
        <w:spacing w:line="360" w:lineRule="auto"/>
        <w:jc w:val="both"/>
        <w:rPr>
          <w:rFonts w:ascii="Arial Narrow" w:hAnsi="Arial Narrow" w:cs="Arial"/>
        </w:rPr>
      </w:pPr>
    </w:p>
    <w:p w:rsidR="00D36B7C" w:rsidRDefault="00D36B7C" w:rsidP="00D36B7C">
      <w:pPr>
        <w:pStyle w:val="Sinespaciado"/>
        <w:spacing w:line="360" w:lineRule="auto"/>
        <w:jc w:val="both"/>
        <w:rPr>
          <w:rFonts w:ascii="Arial Narrow" w:hAnsi="Arial Narrow" w:cs="Arial"/>
        </w:rPr>
      </w:pPr>
    </w:p>
    <w:p w:rsidR="00D36B7C" w:rsidRDefault="00D36B7C" w:rsidP="00D36B7C">
      <w:pPr>
        <w:pStyle w:val="Sinespaciado"/>
        <w:spacing w:line="360" w:lineRule="auto"/>
        <w:jc w:val="both"/>
        <w:rPr>
          <w:rFonts w:ascii="Arial Narrow" w:hAnsi="Arial Narrow" w:cs="Arial"/>
        </w:rPr>
      </w:pPr>
    </w:p>
    <w:p w:rsidR="00D36B7C" w:rsidRDefault="00D36B7C" w:rsidP="00D36B7C">
      <w:pPr>
        <w:pStyle w:val="Sinespaciado"/>
        <w:spacing w:line="360" w:lineRule="auto"/>
        <w:jc w:val="both"/>
        <w:rPr>
          <w:rFonts w:ascii="Arial Narrow" w:hAnsi="Arial Narrow" w:cs="Arial"/>
        </w:rPr>
      </w:pPr>
    </w:p>
    <w:p w:rsidR="00D36B7C" w:rsidRDefault="00D36B7C" w:rsidP="00D36B7C">
      <w:pPr>
        <w:spacing w:line="240" w:lineRule="auto"/>
        <w:contextualSpacing/>
        <w:jc w:val="both"/>
        <w:rPr>
          <w:rStyle w:val="apple-converted-space"/>
          <w:rFonts w:ascii="Arial" w:hAnsi="Arial" w:cs="Arial"/>
          <w:bCs/>
          <w:color w:val="000000"/>
          <w:sz w:val="14"/>
          <w:szCs w:val="16"/>
          <w:shd w:val="clear" w:color="auto" w:fill="FFFFFF"/>
        </w:rPr>
      </w:pPr>
      <w:r w:rsidRPr="00D85732">
        <w:rPr>
          <w:rFonts w:ascii="Arial" w:hAnsi="Arial" w:cs="Arial"/>
          <w:bCs/>
          <w:color w:val="000000"/>
          <w:sz w:val="14"/>
          <w:szCs w:val="16"/>
          <w:shd w:val="clear" w:color="auto" w:fill="FFFFFF"/>
        </w:rPr>
        <w:t>Fuente:</w:t>
      </w:r>
      <w:r w:rsidRPr="00D85732">
        <w:rPr>
          <w:rStyle w:val="apple-converted-space"/>
          <w:rFonts w:ascii="Arial" w:hAnsi="Arial" w:cs="Arial"/>
          <w:bCs/>
          <w:color w:val="000000"/>
          <w:sz w:val="14"/>
          <w:szCs w:val="16"/>
          <w:shd w:val="clear" w:color="auto" w:fill="FFFFFF"/>
        </w:rPr>
        <w:t xml:space="preserve"> Documentos Conpes sobre reajuste avalúos </w:t>
      </w:r>
      <w:r w:rsidR="00B94CA9" w:rsidRPr="00D85732">
        <w:rPr>
          <w:rStyle w:val="apple-converted-space"/>
          <w:rFonts w:ascii="Arial" w:hAnsi="Arial" w:cs="Arial"/>
          <w:bCs/>
          <w:color w:val="000000"/>
          <w:sz w:val="14"/>
          <w:szCs w:val="16"/>
          <w:shd w:val="clear" w:color="auto" w:fill="FFFFFF"/>
        </w:rPr>
        <w:t>catastrales 2009</w:t>
      </w:r>
      <w:r w:rsidRPr="00D85732">
        <w:rPr>
          <w:rStyle w:val="apple-converted-space"/>
          <w:rFonts w:ascii="Arial" w:hAnsi="Arial" w:cs="Arial"/>
          <w:bCs/>
          <w:color w:val="000000"/>
          <w:sz w:val="14"/>
          <w:szCs w:val="16"/>
          <w:shd w:val="clear" w:color="auto" w:fill="FFFFFF"/>
        </w:rPr>
        <w:t xml:space="preserve"> – 2014 y Censo Inmobiliario 2015 Bogotá</w:t>
      </w:r>
      <w:r>
        <w:rPr>
          <w:rStyle w:val="apple-converted-space"/>
          <w:rFonts w:ascii="Arial" w:hAnsi="Arial" w:cs="Arial"/>
          <w:bCs/>
          <w:color w:val="000000"/>
          <w:sz w:val="14"/>
          <w:szCs w:val="16"/>
          <w:shd w:val="clear" w:color="auto" w:fill="FFFFFF"/>
        </w:rPr>
        <w:t xml:space="preserve"> – Elaboración propia </w:t>
      </w:r>
    </w:p>
    <w:p w:rsidR="00D36B7C" w:rsidRDefault="00D36B7C" w:rsidP="00D36B7C">
      <w:pPr>
        <w:spacing w:line="240" w:lineRule="auto"/>
        <w:jc w:val="both"/>
        <w:rPr>
          <w:rFonts w:ascii="Arial" w:hAnsi="Arial" w:cs="Arial"/>
          <w:sz w:val="14"/>
        </w:rPr>
      </w:pPr>
      <w:r w:rsidRPr="00A4695B">
        <w:rPr>
          <w:rFonts w:ascii="Arial" w:hAnsi="Arial" w:cs="Arial"/>
          <w:sz w:val="14"/>
        </w:rPr>
        <w:t>*Las cifras nacionales no incluyen Bogot</w:t>
      </w:r>
      <w:r>
        <w:rPr>
          <w:rFonts w:ascii="Arial" w:hAnsi="Arial" w:cs="Arial"/>
          <w:sz w:val="14"/>
        </w:rPr>
        <w:t>á.</w:t>
      </w:r>
    </w:p>
    <w:p w:rsidR="00D36B7C" w:rsidRDefault="00D36B7C" w:rsidP="00D36B7C">
      <w:pPr>
        <w:spacing w:line="240" w:lineRule="auto"/>
        <w:jc w:val="both"/>
        <w:rPr>
          <w:rFonts w:ascii="Arial" w:hAnsi="Arial" w:cs="Arial"/>
          <w:sz w:val="14"/>
        </w:rPr>
      </w:pPr>
    </w:p>
    <w:p w:rsidR="00946F0E" w:rsidRPr="00A4695B" w:rsidRDefault="00946F0E" w:rsidP="00D36B7C">
      <w:pPr>
        <w:spacing w:line="240" w:lineRule="auto"/>
        <w:jc w:val="both"/>
        <w:rPr>
          <w:rFonts w:ascii="Arial" w:hAnsi="Arial" w:cs="Arial"/>
          <w:sz w:val="14"/>
        </w:rPr>
      </w:pPr>
    </w:p>
    <w:p w:rsidR="00D36B7C" w:rsidRDefault="00946F0E" w:rsidP="00D36B7C">
      <w:pPr>
        <w:pStyle w:val="Sinespaciado"/>
        <w:numPr>
          <w:ilvl w:val="0"/>
          <w:numId w:val="1"/>
        </w:numPr>
        <w:spacing w:line="360" w:lineRule="auto"/>
        <w:jc w:val="both"/>
        <w:rPr>
          <w:rFonts w:ascii="Arial Narrow" w:hAnsi="Arial Narrow" w:cs="Arial"/>
        </w:rPr>
      </w:pPr>
      <w:r>
        <w:rPr>
          <w:rFonts w:ascii="Arial Narrow" w:hAnsi="Arial Narrow" w:cs="Arial"/>
          <w:b/>
          <w:lang w:val="es-CO"/>
        </w:rPr>
        <w:t>OBJETO DE LA PROPUESTA.</w:t>
      </w:r>
    </w:p>
    <w:p w:rsidR="00D36B7C" w:rsidRDefault="00D36B7C" w:rsidP="00D36B7C">
      <w:pPr>
        <w:pStyle w:val="Sinespaciado"/>
        <w:spacing w:line="360" w:lineRule="auto"/>
        <w:jc w:val="both"/>
        <w:rPr>
          <w:rFonts w:ascii="Arial Narrow" w:eastAsia="Times New Roman" w:hAnsi="Arial Narrow" w:cs="Arial"/>
          <w:b/>
          <w:bCs/>
          <w:shd w:val="clear" w:color="auto" w:fill="FFFFFF"/>
          <w:lang w:eastAsia="es-ES"/>
        </w:rPr>
      </w:pPr>
      <w:r w:rsidRPr="00EE6AE5">
        <w:rPr>
          <w:rFonts w:ascii="Arial Narrow" w:hAnsi="Arial Narrow" w:cs="Arial"/>
        </w:rPr>
        <w:t xml:space="preserve">En este contexto se propone un proyecto de ley dirigido a </w:t>
      </w:r>
      <w:r w:rsidRPr="00EE6AE5">
        <w:rPr>
          <w:rFonts w:ascii="Arial Narrow" w:hAnsi="Arial Narrow" w:cs="Arial"/>
          <w:lang w:val="es-CO"/>
        </w:rPr>
        <w:t>ponerle un límite</w:t>
      </w:r>
      <w:r>
        <w:rPr>
          <w:rFonts w:ascii="Arial Narrow" w:hAnsi="Arial Narrow" w:cs="Arial"/>
          <w:lang w:val="es-CO"/>
        </w:rPr>
        <w:t xml:space="preserve"> a los incrementos anuales de valor liquidado por concepto del IPU</w:t>
      </w:r>
      <w:r w:rsidRPr="00EE6AE5">
        <w:rPr>
          <w:rFonts w:ascii="Arial Narrow" w:hAnsi="Arial Narrow" w:cs="Arial"/>
          <w:lang w:val="es-CO"/>
        </w:rPr>
        <w:t xml:space="preserve">. </w:t>
      </w:r>
      <w:r>
        <w:rPr>
          <w:rFonts w:ascii="Arial Narrow" w:hAnsi="Arial Narrow" w:cs="Arial"/>
          <w:lang w:val="es-CO"/>
        </w:rPr>
        <w:t>En concreto, se busca</w:t>
      </w:r>
      <w:r w:rsidRPr="00EE6AE5">
        <w:rPr>
          <w:rFonts w:ascii="Arial Narrow" w:hAnsi="Arial Narrow" w:cs="Arial"/>
          <w:lang w:val="es-CO"/>
        </w:rPr>
        <w:t xml:space="preserve"> introducir un tope al incremento anual del impuesto predial unificado (IPU) para predios residenciales producto de actualizaciones catastrales</w:t>
      </w:r>
      <w:r>
        <w:rPr>
          <w:rFonts w:ascii="Arial Narrow" w:hAnsi="Arial Narrow" w:cs="Arial"/>
          <w:lang w:val="es-CO"/>
        </w:rPr>
        <w:t>.</w:t>
      </w:r>
      <w:r w:rsidRPr="00EE6AE5">
        <w:rPr>
          <w:rFonts w:ascii="Arial Narrow" w:hAnsi="Arial Narrow" w:cs="Arial"/>
          <w:lang w:val="es-CO"/>
        </w:rPr>
        <w:t xml:space="preserve"> </w:t>
      </w:r>
      <w:r w:rsidRPr="00EE6AE5">
        <w:rPr>
          <w:rFonts w:ascii="Arial Narrow" w:eastAsia="Times New Roman" w:hAnsi="Arial Narrow" w:cs="Arial"/>
          <w:shd w:val="clear" w:color="auto" w:fill="FFFFFF"/>
          <w:lang w:eastAsia="es-ES"/>
        </w:rPr>
        <w:t xml:space="preserve">Para los predios residenciales urbanos, el aumento en el cobro total del </w:t>
      </w:r>
      <w:r>
        <w:rPr>
          <w:rFonts w:ascii="Arial Narrow" w:eastAsia="Times New Roman" w:hAnsi="Arial Narrow" w:cs="Arial"/>
          <w:shd w:val="clear" w:color="auto" w:fill="FFFFFF"/>
          <w:lang w:eastAsia="es-ES"/>
        </w:rPr>
        <w:t xml:space="preserve">IPU </w:t>
      </w:r>
      <w:r w:rsidRPr="00EE6AE5">
        <w:rPr>
          <w:rFonts w:ascii="Arial Narrow" w:eastAsia="Times New Roman" w:hAnsi="Arial Narrow" w:cs="Arial"/>
          <w:shd w:val="clear" w:color="auto" w:fill="FFFFFF"/>
          <w:lang w:eastAsia="es-ES"/>
        </w:rPr>
        <w:t>de una vigencia a otra no podrá exceder en más de un 50% el monto liquidado por el mismo concepto en el año inmediatamente anterior.</w:t>
      </w:r>
      <w:r w:rsidRPr="00EE6AE5">
        <w:rPr>
          <w:rFonts w:ascii="Arial Narrow" w:eastAsia="Times New Roman" w:hAnsi="Arial Narrow" w:cs="Arial"/>
          <w:b/>
          <w:bCs/>
          <w:shd w:val="clear" w:color="auto" w:fill="FFFFFF"/>
          <w:lang w:eastAsia="es-ES"/>
        </w:rPr>
        <w:t xml:space="preserve"> </w:t>
      </w:r>
    </w:p>
    <w:p w:rsidR="00D36B7C" w:rsidRDefault="00D36B7C" w:rsidP="00D36B7C">
      <w:pPr>
        <w:pStyle w:val="Sinespaciado"/>
        <w:spacing w:line="360" w:lineRule="auto"/>
        <w:jc w:val="both"/>
        <w:rPr>
          <w:rFonts w:ascii="Arial Narrow" w:eastAsia="Times New Roman" w:hAnsi="Arial Narrow" w:cs="Arial"/>
          <w:b/>
          <w:bCs/>
          <w:shd w:val="clear" w:color="auto" w:fill="FFFFFF"/>
          <w:lang w:eastAsia="es-ES"/>
        </w:rPr>
      </w:pPr>
    </w:p>
    <w:p w:rsidR="00D36B7C" w:rsidRPr="00B5218A" w:rsidRDefault="00D36B7C" w:rsidP="00D36B7C">
      <w:pPr>
        <w:pStyle w:val="Sinespaciado"/>
        <w:spacing w:line="360" w:lineRule="auto"/>
        <w:jc w:val="both"/>
        <w:rPr>
          <w:rFonts w:ascii="Arial Narrow" w:eastAsia="Times New Roman" w:hAnsi="Arial Narrow" w:cs="Arial"/>
          <w:lang w:val="es-ES_tradnl" w:eastAsia="es-CO"/>
        </w:rPr>
      </w:pPr>
      <w:r>
        <w:rPr>
          <w:rFonts w:ascii="Arial Narrow" w:eastAsia="Times New Roman" w:hAnsi="Arial Narrow" w:cs="Arial"/>
          <w:bCs/>
          <w:shd w:val="clear" w:color="auto" w:fill="FFFFFF"/>
          <w:lang w:eastAsia="es-ES"/>
        </w:rPr>
        <w:t xml:space="preserve">De otra parte, se plantea que en el caso de </w:t>
      </w:r>
      <w:r w:rsidRPr="00EE6AE5">
        <w:rPr>
          <w:rFonts w:ascii="Arial Narrow" w:eastAsia="Times New Roman" w:hAnsi="Arial Narrow" w:cs="Arial"/>
          <w:shd w:val="clear" w:color="auto" w:fill="FFFFFF"/>
          <w:lang w:eastAsia="es-ES"/>
        </w:rPr>
        <w:t>las viviendas pertenecientes a los estratos 1 y 2 cuyo avalúo catastral sea igual o inferior a</w:t>
      </w:r>
      <w:r>
        <w:rPr>
          <w:rFonts w:ascii="Arial Narrow" w:eastAsia="Times New Roman" w:hAnsi="Arial Narrow" w:cs="Arial"/>
          <w:shd w:val="clear" w:color="auto" w:fill="FFFFFF"/>
          <w:lang w:eastAsia="es-ES"/>
        </w:rPr>
        <w:t xml:space="preserve">l valor de la vivienda de interés social, es decir, </w:t>
      </w:r>
      <w:r w:rsidRPr="00EE6AE5">
        <w:rPr>
          <w:rFonts w:ascii="Arial Narrow" w:eastAsia="Times New Roman" w:hAnsi="Arial Narrow" w:cs="Arial"/>
          <w:shd w:val="clear" w:color="auto" w:fill="FFFFFF"/>
          <w:lang w:eastAsia="es-ES"/>
        </w:rPr>
        <w:t xml:space="preserve">135 SMMLV, el incremento anual del que trata este </w:t>
      </w:r>
      <w:r w:rsidR="00946F0E">
        <w:rPr>
          <w:rFonts w:ascii="Arial Narrow" w:eastAsia="Times New Roman" w:hAnsi="Arial Narrow" w:cs="Arial"/>
          <w:shd w:val="clear" w:color="auto" w:fill="FFFFFF"/>
          <w:lang w:eastAsia="es-ES"/>
        </w:rPr>
        <w:t>proyect</w:t>
      </w:r>
      <w:r w:rsidR="00946F0E" w:rsidRPr="00EE6AE5">
        <w:rPr>
          <w:rFonts w:ascii="Arial Narrow" w:eastAsia="Times New Roman" w:hAnsi="Arial Narrow" w:cs="Arial"/>
          <w:shd w:val="clear" w:color="auto" w:fill="FFFFFF"/>
          <w:lang w:eastAsia="es-ES"/>
        </w:rPr>
        <w:t>o</w:t>
      </w:r>
      <w:r w:rsidRPr="00EE6AE5">
        <w:rPr>
          <w:rFonts w:ascii="Arial Narrow" w:eastAsia="Times New Roman" w:hAnsi="Arial Narrow" w:cs="Arial"/>
          <w:shd w:val="clear" w:color="auto" w:fill="FFFFFF"/>
          <w:lang w:eastAsia="es-ES"/>
        </w:rPr>
        <w:t xml:space="preserve"> n</w:t>
      </w:r>
      <w:r>
        <w:rPr>
          <w:rFonts w:ascii="Arial Narrow" w:eastAsia="Times New Roman" w:hAnsi="Arial Narrow" w:cs="Arial"/>
          <w:lang w:val="es-ES_tradnl" w:eastAsia="es-CO"/>
        </w:rPr>
        <w:t>o pueda</w:t>
      </w:r>
      <w:r w:rsidRPr="00EE6AE5">
        <w:rPr>
          <w:rFonts w:ascii="Arial Narrow" w:eastAsia="Times New Roman" w:hAnsi="Arial Narrow" w:cs="Arial"/>
          <w:lang w:val="es-ES_tradnl" w:eastAsia="es-CO"/>
        </w:rPr>
        <w:t xml:space="preserve"> sobrepasar en dos veces el aumento porcentual del salario mínimo determinado por el Gobierno Nacional para esa vigencia.</w:t>
      </w:r>
      <w:r>
        <w:rPr>
          <w:rFonts w:ascii="Arial Narrow" w:eastAsia="Times New Roman" w:hAnsi="Arial Narrow" w:cs="Arial"/>
          <w:lang w:val="es-ES_tradnl" w:eastAsia="es-CO"/>
        </w:rPr>
        <w:t xml:space="preserve"> Esta regla también está </w:t>
      </w:r>
      <w:r w:rsidR="00946F0E">
        <w:rPr>
          <w:rFonts w:ascii="Arial Narrow" w:eastAsia="Times New Roman" w:hAnsi="Arial Narrow" w:cs="Arial"/>
          <w:lang w:val="es-ES_tradnl" w:eastAsia="es-CO"/>
        </w:rPr>
        <w:t xml:space="preserve">prevista </w:t>
      </w:r>
      <w:r w:rsidR="00946F0E" w:rsidRPr="00EE6AE5">
        <w:rPr>
          <w:rFonts w:ascii="Arial Narrow" w:eastAsia="Times New Roman" w:hAnsi="Arial Narrow" w:cs="Arial"/>
          <w:lang w:val="es-ES_tradnl" w:eastAsia="es-CO"/>
        </w:rPr>
        <w:t>en</w:t>
      </w:r>
      <w:r w:rsidRPr="00EE6AE5">
        <w:rPr>
          <w:rFonts w:ascii="Arial Narrow" w:eastAsia="Times New Roman" w:hAnsi="Arial Narrow" w:cs="Arial"/>
          <w:lang w:val="es-ES_tradnl" w:eastAsia="es-CO"/>
        </w:rPr>
        <w:t xml:space="preserve"> el caso de los </w:t>
      </w:r>
      <w:r w:rsidRPr="00EE6AE5">
        <w:rPr>
          <w:rFonts w:ascii="Arial Narrow" w:eastAsia="Times New Roman" w:hAnsi="Arial Narrow" w:cs="Arial"/>
          <w:shd w:val="clear" w:color="auto" w:fill="FFFFFF"/>
          <w:lang w:eastAsia="es-ES"/>
        </w:rPr>
        <w:t>predios residenciales urbanos cuyo avalúo catastral supe</w:t>
      </w:r>
      <w:r>
        <w:rPr>
          <w:rFonts w:ascii="Arial Narrow" w:eastAsia="Times New Roman" w:hAnsi="Arial Narrow" w:cs="Arial"/>
          <w:shd w:val="clear" w:color="auto" w:fill="FFFFFF"/>
          <w:lang w:eastAsia="es-ES"/>
        </w:rPr>
        <w:t>re el 70% de su valor comercial. Esto bajo el entendido que los contribuyentes de estos predios, con avalúos catastrales de valor cercano al comercial, ya vienen asumiendo una carga tributaria comparativamente mayor que la que otros propietarios asumen.</w:t>
      </w:r>
    </w:p>
    <w:p w:rsidR="00D36B7C" w:rsidRDefault="00D36B7C" w:rsidP="00D36B7C">
      <w:pPr>
        <w:pStyle w:val="Sinespaciado"/>
        <w:spacing w:line="360" w:lineRule="auto"/>
        <w:jc w:val="both"/>
        <w:rPr>
          <w:rFonts w:ascii="Arial Narrow" w:eastAsia="Times New Roman" w:hAnsi="Arial Narrow" w:cs="Arial"/>
          <w:shd w:val="clear" w:color="auto" w:fill="FFFFFF"/>
          <w:lang w:eastAsia="es-ES"/>
        </w:rPr>
      </w:pPr>
    </w:p>
    <w:p w:rsidR="00D36B7C" w:rsidRPr="00B5218A" w:rsidRDefault="00D36B7C" w:rsidP="00D36B7C">
      <w:pPr>
        <w:pStyle w:val="Sinespaciado"/>
        <w:spacing w:line="360" w:lineRule="auto"/>
        <w:jc w:val="both"/>
        <w:rPr>
          <w:rFonts w:ascii="Arial Narrow" w:hAnsi="Arial Narrow" w:cs="Arial"/>
          <w:lang w:val="es-CO"/>
        </w:rPr>
      </w:pPr>
      <w:r>
        <w:rPr>
          <w:rFonts w:ascii="Arial Narrow" w:eastAsia="Times New Roman" w:hAnsi="Arial Narrow" w:cs="Arial"/>
          <w:shd w:val="clear" w:color="auto" w:fill="FFFFFF"/>
          <w:lang w:eastAsia="es-ES"/>
        </w:rPr>
        <w:t xml:space="preserve">Por último, es importante mencionar que este proyecto establece una excepción a la aplicación del límite porcentual planteado. Este tope no aplica en el caso de </w:t>
      </w:r>
      <w:r w:rsidRPr="00EE6AE5">
        <w:rPr>
          <w:rFonts w:ascii="Arial Narrow" w:eastAsia="Times New Roman" w:hAnsi="Arial Narrow" w:cs="Arial"/>
          <w:shd w:val="clear" w:color="auto" w:fill="FFFFFF"/>
          <w:lang w:eastAsia="es-ES"/>
        </w:rPr>
        <w:t>aquellos predios en cuyo proceso de actualización catastral se hayan identificado cambios físicos o variaciones de uso que justifique</w:t>
      </w:r>
      <w:r>
        <w:rPr>
          <w:rFonts w:ascii="Arial Narrow" w:eastAsia="Times New Roman" w:hAnsi="Arial Narrow" w:cs="Arial"/>
          <w:shd w:val="clear" w:color="auto" w:fill="FFFFFF"/>
          <w:lang w:eastAsia="es-ES"/>
        </w:rPr>
        <w:t xml:space="preserve">n un mayor valor catastral y un </w:t>
      </w:r>
      <w:r w:rsidRPr="00EE6AE5">
        <w:rPr>
          <w:rFonts w:ascii="Arial Narrow" w:eastAsia="Times New Roman" w:hAnsi="Arial Narrow" w:cs="Arial"/>
          <w:shd w:val="clear" w:color="auto" w:fill="FFFFFF"/>
          <w:lang w:eastAsia="es-ES"/>
        </w:rPr>
        <w:t>aumento en el cobro total del impuesto predial</w:t>
      </w:r>
      <w:r>
        <w:rPr>
          <w:rFonts w:ascii="Arial Narrow" w:eastAsia="Times New Roman" w:hAnsi="Arial Narrow" w:cs="Arial"/>
          <w:shd w:val="clear" w:color="auto" w:fill="FFFFFF"/>
          <w:lang w:eastAsia="es-ES"/>
        </w:rPr>
        <w:t xml:space="preserve"> por </w:t>
      </w:r>
      <w:r w:rsidRPr="00EE6AE5">
        <w:rPr>
          <w:rFonts w:ascii="Arial Narrow" w:eastAsia="Times New Roman" w:hAnsi="Arial Narrow" w:cs="Arial"/>
          <w:shd w:val="clear" w:color="auto" w:fill="FFFFFF"/>
          <w:lang w:eastAsia="es-ES"/>
        </w:rPr>
        <w:t>encima de los porcentajes establecidos.</w:t>
      </w:r>
    </w:p>
    <w:p w:rsidR="00EE6AE5" w:rsidRDefault="00EE6AE5" w:rsidP="00EE6AE5">
      <w:pPr>
        <w:pStyle w:val="Sinespaciado"/>
        <w:spacing w:line="360" w:lineRule="auto"/>
        <w:jc w:val="both"/>
        <w:rPr>
          <w:rFonts w:ascii="Arial Narrow" w:hAnsi="Arial Narrow" w:cs="Arial"/>
          <w:lang w:val="es-CO"/>
        </w:rPr>
      </w:pPr>
    </w:p>
    <w:p w:rsidR="00BA0EAB" w:rsidRDefault="00BA0EAB" w:rsidP="00EE6AE5">
      <w:pPr>
        <w:pStyle w:val="Sinespaciado"/>
        <w:spacing w:line="360" w:lineRule="auto"/>
        <w:jc w:val="both"/>
        <w:rPr>
          <w:rFonts w:ascii="Arial Narrow" w:hAnsi="Arial Narrow" w:cs="Arial"/>
          <w:lang w:val="es-CO"/>
        </w:rPr>
      </w:pPr>
    </w:p>
    <w:p w:rsidR="00BA0EAB" w:rsidRDefault="00BA0EAB" w:rsidP="00EE6AE5">
      <w:pPr>
        <w:pStyle w:val="Sinespaciado"/>
        <w:spacing w:line="360" w:lineRule="auto"/>
        <w:jc w:val="both"/>
        <w:rPr>
          <w:rFonts w:ascii="Arial Narrow" w:hAnsi="Arial Narrow" w:cs="Arial"/>
          <w:lang w:val="es-CO"/>
        </w:rPr>
      </w:pPr>
    </w:p>
    <w:p w:rsidR="00BA0EAB" w:rsidRDefault="00BA0EAB" w:rsidP="00EE6AE5">
      <w:pPr>
        <w:pStyle w:val="Sinespaciado"/>
        <w:spacing w:line="360" w:lineRule="auto"/>
        <w:jc w:val="both"/>
        <w:rPr>
          <w:rFonts w:ascii="Arial Narrow" w:hAnsi="Arial Narrow" w:cs="Arial"/>
          <w:lang w:val="es-CO"/>
        </w:rPr>
      </w:pPr>
    </w:p>
    <w:p w:rsidR="00BA0EAB" w:rsidRDefault="00BA0EAB" w:rsidP="00EE6AE5">
      <w:pPr>
        <w:pStyle w:val="Sinespaciado"/>
        <w:spacing w:line="360" w:lineRule="auto"/>
        <w:jc w:val="both"/>
        <w:rPr>
          <w:rFonts w:ascii="Arial Narrow" w:hAnsi="Arial Narrow" w:cs="Arial"/>
          <w:lang w:val="es-CO"/>
        </w:rPr>
      </w:pPr>
    </w:p>
    <w:p w:rsidR="00EE6AE5" w:rsidRPr="00EE6AE5" w:rsidRDefault="00EE6AE5" w:rsidP="00EE6AE5">
      <w:pPr>
        <w:pStyle w:val="Sinespaciado"/>
        <w:jc w:val="both"/>
        <w:rPr>
          <w:rFonts w:ascii="Arial Narrow" w:hAnsi="Arial Narrow" w:cs="Arial"/>
          <w:b/>
          <w:lang w:val="es-CO"/>
        </w:rPr>
      </w:pPr>
      <w:r w:rsidRPr="00EE6AE5">
        <w:rPr>
          <w:rFonts w:ascii="Arial Narrow" w:hAnsi="Arial Narrow" w:cs="Arial"/>
          <w:b/>
          <w:lang w:val="es-CO"/>
        </w:rPr>
        <w:t>DAVID BARGUIL ASSIS</w:t>
      </w:r>
    </w:p>
    <w:p w:rsidR="00EE6AE5" w:rsidRPr="00EE6AE5" w:rsidRDefault="00946F0E" w:rsidP="00EE6AE5">
      <w:pPr>
        <w:pStyle w:val="Sinespaciado"/>
        <w:jc w:val="both"/>
        <w:rPr>
          <w:rFonts w:ascii="Arial Narrow" w:hAnsi="Arial Narrow" w:cs="Arial"/>
          <w:lang w:val="es-CO"/>
        </w:rPr>
      </w:pPr>
      <w:r>
        <w:rPr>
          <w:rFonts w:ascii="Arial Narrow" w:hAnsi="Arial Narrow" w:cs="Arial"/>
          <w:lang w:val="es-CO"/>
        </w:rPr>
        <w:t>Senador</w:t>
      </w:r>
    </w:p>
    <w:sectPr w:rsidR="00EE6AE5" w:rsidRPr="00EE6AE5" w:rsidSect="00037D55">
      <w:footerReference w:type="default" r:id="rId12"/>
      <w:pgSz w:w="12240" w:h="15840"/>
      <w:pgMar w:top="1985" w:right="1701" w:bottom="1985"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48D9" w:rsidRDefault="00AE48D9" w:rsidP="007C7F89">
      <w:pPr>
        <w:spacing w:after="0" w:line="240" w:lineRule="auto"/>
      </w:pPr>
      <w:r>
        <w:separator/>
      </w:r>
    </w:p>
  </w:endnote>
  <w:endnote w:type="continuationSeparator" w:id="0">
    <w:p w:rsidR="00AE48D9" w:rsidRDefault="00AE48D9" w:rsidP="007C7F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2957669"/>
      <w:docPartObj>
        <w:docPartGallery w:val="Page Numbers (Bottom of Page)"/>
        <w:docPartUnique/>
      </w:docPartObj>
    </w:sdtPr>
    <w:sdtEndPr/>
    <w:sdtContent>
      <w:p w:rsidR="00EE6AE5" w:rsidRDefault="00EE6AE5">
        <w:pPr>
          <w:pStyle w:val="Piedepgina"/>
          <w:jc w:val="right"/>
        </w:pPr>
        <w:r>
          <w:fldChar w:fldCharType="begin"/>
        </w:r>
        <w:r>
          <w:instrText>PAGE   \* MERGEFORMAT</w:instrText>
        </w:r>
        <w:r>
          <w:fldChar w:fldCharType="separate"/>
        </w:r>
        <w:r w:rsidR="00727D83" w:rsidRPr="00727D83">
          <w:rPr>
            <w:noProof/>
            <w:lang w:val="es-ES"/>
          </w:rPr>
          <w:t>8</w:t>
        </w:r>
        <w:r>
          <w:fldChar w:fldCharType="end"/>
        </w:r>
      </w:p>
    </w:sdtContent>
  </w:sdt>
  <w:p w:rsidR="00EE6AE5" w:rsidRDefault="00EE6AE5">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48D9" w:rsidRDefault="00AE48D9" w:rsidP="007C7F89">
      <w:pPr>
        <w:spacing w:after="0" w:line="240" w:lineRule="auto"/>
      </w:pPr>
      <w:r>
        <w:separator/>
      </w:r>
    </w:p>
  </w:footnote>
  <w:footnote w:type="continuationSeparator" w:id="0">
    <w:p w:rsidR="00AE48D9" w:rsidRDefault="00AE48D9" w:rsidP="007C7F89">
      <w:pPr>
        <w:spacing w:after="0" w:line="240" w:lineRule="auto"/>
      </w:pPr>
      <w:r>
        <w:continuationSeparator/>
      </w:r>
    </w:p>
  </w:footnote>
  <w:footnote w:id="1">
    <w:p w:rsidR="00D36B7C" w:rsidRDefault="00D36B7C" w:rsidP="00D36B7C">
      <w:pPr>
        <w:pStyle w:val="Textonotapie"/>
      </w:pPr>
      <w:r>
        <w:rPr>
          <w:rStyle w:val="Refdenotaalpie"/>
        </w:rPr>
        <w:footnoteRef/>
      </w:r>
      <w:r>
        <w:t xml:space="preserve"> Corte Constitucional, Sentencia C-833 de 2013.</w:t>
      </w:r>
    </w:p>
  </w:footnote>
  <w:footnote w:id="2">
    <w:p w:rsidR="00D36B7C" w:rsidRDefault="00D36B7C" w:rsidP="00D36B7C">
      <w:pPr>
        <w:pStyle w:val="Textonotapie"/>
      </w:pPr>
      <w:r>
        <w:rPr>
          <w:rStyle w:val="Refdenotaalpie"/>
        </w:rPr>
        <w:footnoteRef/>
      </w:r>
      <w:r>
        <w:t xml:space="preserve"> Corte Constitucional, Sentencia C-261 de 2002.</w:t>
      </w:r>
    </w:p>
  </w:footnote>
  <w:footnote w:id="3">
    <w:p w:rsidR="00D36B7C" w:rsidRDefault="00D36B7C" w:rsidP="00D36B7C">
      <w:pPr>
        <w:pStyle w:val="Textonotapie"/>
      </w:pPr>
      <w:r>
        <w:rPr>
          <w:rStyle w:val="Refdenotaalpie"/>
        </w:rPr>
        <w:footnoteRef/>
      </w:r>
      <w:r>
        <w:t xml:space="preserve"> Corte Constitucional, Sentencia C-249 de 2013.</w:t>
      </w:r>
    </w:p>
  </w:footnote>
  <w:footnote w:id="4">
    <w:p w:rsidR="00D36B7C" w:rsidRDefault="00D36B7C" w:rsidP="00D36B7C">
      <w:pPr>
        <w:pStyle w:val="Textonotapie"/>
      </w:pPr>
      <w:r>
        <w:rPr>
          <w:rStyle w:val="Refdenotaalpie"/>
        </w:rPr>
        <w:footnoteRef/>
      </w:r>
      <w:r>
        <w:t xml:space="preserve"> Corte Constitucional, Sentencia C-776 de 2003.</w:t>
      </w:r>
    </w:p>
  </w:footnote>
  <w:footnote w:id="5">
    <w:p w:rsidR="00D36B7C" w:rsidRDefault="00D36B7C" w:rsidP="00D36B7C">
      <w:pPr>
        <w:pStyle w:val="Textonotapie"/>
      </w:pPr>
      <w:r>
        <w:rPr>
          <w:rStyle w:val="Refdenotaalpie"/>
        </w:rPr>
        <w:footnoteRef/>
      </w:r>
      <w:r>
        <w:t xml:space="preserve"> Consejo de estado, </w:t>
      </w:r>
      <w:r w:rsidRPr="004154F3">
        <w:t xml:space="preserve">Sentencia </w:t>
      </w:r>
      <w:r>
        <w:t xml:space="preserve">del </w:t>
      </w:r>
      <w:r w:rsidRPr="004154F3">
        <w:t>9 julio 2009, EXP. 16544</w:t>
      </w:r>
      <w:r>
        <w:t>.</w:t>
      </w:r>
    </w:p>
  </w:footnote>
  <w:footnote w:id="6">
    <w:p w:rsidR="00D36B7C" w:rsidRDefault="00D36B7C" w:rsidP="00D36B7C">
      <w:pPr>
        <w:pStyle w:val="Textonotapie"/>
      </w:pPr>
      <w:r>
        <w:rPr>
          <w:rStyle w:val="Refdenotaalpie"/>
        </w:rPr>
        <w:footnoteRef/>
      </w:r>
      <w:r>
        <w:t xml:space="preserve"> Estas cifras no incluyen los predios de Bogotá D.C.</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1825A2"/>
    <w:multiLevelType w:val="multilevel"/>
    <w:tmpl w:val="418C2262"/>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016D"/>
    <w:rsid w:val="00011CF5"/>
    <w:rsid w:val="00016151"/>
    <w:rsid w:val="00021A13"/>
    <w:rsid w:val="00022500"/>
    <w:rsid w:val="00025220"/>
    <w:rsid w:val="00025700"/>
    <w:rsid w:val="00025E78"/>
    <w:rsid w:val="00030907"/>
    <w:rsid w:val="00034EF4"/>
    <w:rsid w:val="000363C9"/>
    <w:rsid w:val="00037D55"/>
    <w:rsid w:val="0004044F"/>
    <w:rsid w:val="00042CE9"/>
    <w:rsid w:val="00043776"/>
    <w:rsid w:val="000527F3"/>
    <w:rsid w:val="00052EA6"/>
    <w:rsid w:val="000613AE"/>
    <w:rsid w:val="00063D7F"/>
    <w:rsid w:val="00065429"/>
    <w:rsid w:val="00066F45"/>
    <w:rsid w:val="00067D4D"/>
    <w:rsid w:val="00070DED"/>
    <w:rsid w:val="00075634"/>
    <w:rsid w:val="00092B57"/>
    <w:rsid w:val="000959CE"/>
    <w:rsid w:val="000A1EE6"/>
    <w:rsid w:val="000A24B0"/>
    <w:rsid w:val="000A2DD1"/>
    <w:rsid w:val="000A58B0"/>
    <w:rsid w:val="000A7CAD"/>
    <w:rsid w:val="000B0C2A"/>
    <w:rsid w:val="000B0C93"/>
    <w:rsid w:val="000B2C86"/>
    <w:rsid w:val="000B37CC"/>
    <w:rsid w:val="000B499A"/>
    <w:rsid w:val="000B5212"/>
    <w:rsid w:val="000B5308"/>
    <w:rsid w:val="000B6A0F"/>
    <w:rsid w:val="000C51A0"/>
    <w:rsid w:val="000C6DE4"/>
    <w:rsid w:val="000D5021"/>
    <w:rsid w:val="000D598D"/>
    <w:rsid w:val="000D5DCA"/>
    <w:rsid w:val="000E116A"/>
    <w:rsid w:val="000E54A5"/>
    <w:rsid w:val="000E7E84"/>
    <w:rsid w:val="000F2BBE"/>
    <w:rsid w:val="000F5170"/>
    <w:rsid w:val="000F69CE"/>
    <w:rsid w:val="000F69ED"/>
    <w:rsid w:val="000F6B8C"/>
    <w:rsid w:val="000F723A"/>
    <w:rsid w:val="000F76F2"/>
    <w:rsid w:val="001016C6"/>
    <w:rsid w:val="00101E95"/>
    <w:rsid w:val="001111BC"/>
    <w:rsid w:val="00111B46"/>
    <w:rsid w:val="0011261C"/>
    <w:rsid w:val="00112A40"/>
    <w:rsid w:val="00114733"/>
    <w:rsid w:val="00114CE7"/>
    <w:rsid w:val="001172FC"/>
    <w:rsid w:val="00121DD3"/>
    <w:rsid w:val="0013333A"/>
    <w:rsid w:val="00137413"/>
    <w:rsid w:val="00140C95"/>
    <w:rsid w:val="001429F7"/>
    <w:rsid w:val="00152B27"/>
    <w:rsid w:val="0015647A"/>
    <w:rsid w:val="0015795F"/>
    <w:rsid w:val="00160167"/>
    <w:rsid w:val="00160319"/>
    <w:rsid w:val="00161343"/>
    <w:rsid w:val="001649A6"/>
    <w:rsid w:val="00173600"/>
    <w:rsid w:val="00176DB9"/>
    <w:rsid w:val="001774C9"/>
    <w:rsid w:val="001819C1"/>
    <w:rsid w:val="00191CE7"/>
    <w:rsid w:val="00195F25"/>
    <w:rsid w:val="001966CB"/>
    <w:rsid w:val="001A235C"/>
    <w:rsid w:val="001A5B27"/>
    <w:rsid w:val="001A64B8"/>
    <w:rsid w:val="001A7755"/>
    <w:rsid w:val="001B1C98"/>
    <w:rsid w:val="001B2293"/>
    <w:rsid w:val="001B2D9C"/>
    <w:rsid w:val="001B3611"/>
    <w:rsid w:val="001B4C10"/>
    <w:rsid w:val="001B63D1"/>
    <w:rsid w:val="001C25EE"/>
    <w:rsid w:val="001D042F"/>
    <w:rsid w:val="001D0EA9"/>
    <w:rsid w:val="001D2D91"/>
    <w:rsid w:val="001E04D6"/>
    <w:rsid w:val="001E0A79"/>
    <w:rsid w:val="001E111E"/>
    <w:rsid w:val="001E482F"/>
    <w:rsid w:val="001F21E1"/>
    <w:rsid w:val="001F2589"/>
    <w:rsid w:val="001F2C2B"/>
    <w:rsid w:val="001F39B1"/>
    <w:rsid w:val="001F3FE8"/>
    <w:rsid w:val="001F654C"/>
    <w:rsid w:val="00211608"/>
    <w:rsid w:val="00213417"/>
    <w:rsid w:val="002176BA"/>
    <w:rsid w:val="002323E8"/>
    <w:rsid w:val="00241FF5"/>
    <w:rsid w:val="00245455"/>
    <w:rsid w:val="002500C9"/>
    <w:rsid w:val="002548A8"/>
    <w:rsid w:val="00257898"/>
    <w:rsid w:val="00257E69"/>
    <w:rsid w:val="00265F2C"/>
    <w:rsid w:val="0026742D"/>
    <w:rsid w:val="002674F0"/>
    <w:rsid w:val="002677B0"/>
    <w:rsid w:val="00272E74"/>
    <w:rsid w:val="00272F71"/>
    <w:rsid w:val="00273226"/>
    <w:rsid w:val="00274AC3"/>
    <w:rsid w:val="0027770F"/>
    <w:rsid w:val="00280F1D"/>
    <w:rsid w:val="00281144"/>
    <w:rsid w:val="002815BF"/>
    <w:rsid w:val="002833E6"/>
    <w:rsid w:val="00291665"/>
    <w:rsid w:val="00297DC2"/>
    <w:rsid w:val="002A2FA9"/>
    <w:rsid w:val="002A75D4"/>
    <w:rsid w:val="002B0835"/>
    <w:rsid w:val="002B2E3A"/>
    <w:rsid w:val="002B39F3"/>
    <w:rsid w:val="002B4DD9"/>
    <w:rsid w:val="002B79B4"/>
    <w:rsid w:val="002C1D49"/>
    <w:rsid w:val="002D0D7C"/>
    <w:rsid w:val="002D3C90"/>
    <w:rsid w:val="002E28B0"/>
    <w:rsid w:val="002E298A"/>
    <w:rsid w:val="002E452E"/>
    <w:rsid w:val="002E59A0"/>
    <w:rsid w:val="002F2A5F"/>
    <w:rsid w:val="002F2B8D"/>
    <w:rsid w:val="002F3A9E"/>
    <w:rsid w:val="00300EBE"/>
    <w:rsid w:val="0030591C"/>
    <w:rsid w:val="0031014F"/>
    <w:rsid w:val="003107B5"/>
    <w:rsid w:val="003119D0"/>
    <w:rsid w:val="00314D11"/>
    <w:rsid w:val="00320DD4"/>
    <w:rsid w:val="0032471C"/>
    <w:rsid w:val="00326CBF"/>
    <w:rsid w:val="00337379"/>
    <w:rsid w:val="0034006D"/>
    <w:rsid w:val="003437D0"/>
    <w:rsid w:val="00343AFF"/>
    <w:rsid w:val="003448EC"/>
    <w:rsid w:val="00347584"/>
    <w:rsid w:val="00351DAA"/>
    <w:rsid w:val="00352D4F"/>
    <w:rsid w:val="00354225"/>
    <w:rsid w:val="00364EED"/>
    <w:rsid w:val="00374A18"/>
    <w:rsid w:val="00377645"/>
    <w:rsid w:val="0037788D"/>
    <w:rsid w:val="003855B7"/>
    <w:rsid w:val="00387888"/>
    <w:rsid w:val="00392215"/>
    <w:rsid w:val="003937AE"/>
    <w:rsid w:val="003A0ED2"/>
    <w:rsid w:val="003B1813"/>
    <w:rsid w:val="003B2EC2"/>
    <w:rsid w:val="003B3CF7"/>
    <w:rsid w:val="003B48C2"/>
    <w:rsid w:val="003B5807"/>
    <w:rsid w:val="003B62FD"/>
    <w:rsid w:val="003B7DA5"/>
    <w:rsid w:val="003C1CE9"/>
    <w:rsid w:val="003C1DA2"/>
    <w:rsid w:val="003C78B8"/>
    <w:rsid w:val="003D4491"/>
    <w:rsid w:val="003E6249"/>
    <w:rsid w:val="003F4D33"/>
    <w:rsid w:val="003F5E64"/>
    <w:rsid w:val="003F6E82"/>
    <w:rsid w:val="003F72DF"/>
    <w:rsid w:val="003F7B71"/>
    <w:rsid w:val="0040127D"/>
    <w:rsid w:val="00405AF7"/>
    <w:rsid w:val="004154F3"/>
    <w:rsid w:val="0041569D"/>
    <w:rsid w:val="004204CC"/>
    <w:rsid w:val="00420562"/>
    <w:rsid w:val="00420766"/>
    <w:rsid w:val="00421653"/>
    <w:rsid w:val="004229CE"/>
    <w:rsid w:val="004265B4"/>
    <w:rsid w:val="004268C6"/>
    <w:rsid w:val="00427932"/>
    <w:rsid w:val="00431109"/>
    <w:rsid w:val="00432482"/>
    <w:rsid w:val="00433D02"/>
    <w:rsid w:val="0043792C"/>
    <w:rsid w:val="004531E4"/>
    <w:rsid w:val="00453D8E"/>
    <w:rsid w:val="00455577"/>
    <w:rsid w:val="00457E1E"/>
    <w:rsid w:val="004630ED"/>
    <w:rsid w:val="00464C98"/>
    <w:rsid w:val="00470BF2"/>
    <w:rsid w:val="00472D26"/>
    <w:rsid w:val="004824ED"/>
    <w:rsid w:val="00483301"/>
    <w:rsid w:val="0048371D"/>
    <w:rsid w:val="00484E3C"/>
    <w:rsid w:val="0049192A"/>
    <w:rsid w:val="00494B8E"/>
    <w:rsid w:val="004950EF"/>
    <w:rsid w:val="00497F66"/>
    <w:rsid w:val="004A0E8E"/>
    <w:rsid w:val="004A3785"/>
    <w:rsid w:val="004A4DD5"/>
    <w:rsid w:val="004B2D70"/>
    <w:rsid w:val="004C12BF"/>
    <w:rsid w:val="004C2A4D"/>
    <w:rsid w:val="004D1170"/>
    <w:rsid w:val="004D2DC0"/>
    <w:rsid w:val="004D3C97"/>
    <w:rsid w:val="004D455B"/>
    <w:rsid w:val="004D60F6"/>
    <w:rsid w:val="004E4A3B"/>
    <w:rsid w:val="004E4C3D"/>
    <w:rsid w:val="004F1589"/>
    <w:rsid w:val="00506BD4"/>
    <w:rsid w:val="005072E7"/>
    <w:rsid w:val="005174E0"/>
    <w:rsid w:val="0051782B"/>
    <w:rsid w:val="00522484"/>
    <w:rsid w:val="0052308C"/>
    <w:rsid w:val="00524372"/>
    <w:rsid w:val="00525962"/>
    <w:rsid w:val="00527467"/>
    <w:rsid w:val="00533187"/>
    <w:rsid w:val="0054229C"/>
    <w:rsid w:val="00544DFA"/>
    <w:rsid w:val="005457BE"/>
    <w:rsid w:val="005549B6"/>
    <w:rsid w:val="00556A79"/>
    <w:rsid w:val="005575BE"/>
    <w:rsid w:val="005610E8"/>
    <w:rsid w:val="00562D20"/>
    <w:rsid w:val="0056330D"/>
    <w:rsid w:val="005653A2"/>
    <w:rsid w:val="005711F3"/>
    <w:rsid w:val="005776D6"/>
    <w:rsid w:val="00583698"/>
    <w:rsid w:val="0058699D"/>
    <w:rsid w:val="0059297A"/>
    <w:rsid w:val="00593EF0"/>
    <w:rsid w:val="0059403A"/>
    <w:rsid w:val="00596F53"/>
    <w:rsid w:val="005971EC"/>
    <w:rsid w:val="005A0736"/>
    <w:rsid w:val="005A212F"/>
    <w:rsid w:val="005A52C2"/>
    <w:rsid w:val="005B2C6A"/>
    <w:rsid w:val="005B759C"/>
    <w:rsid w:val="005C20F1"/>
    <w:rsid w:val="005C2B3F"/>
    <w:rsid w:val="005D1ABE"/>
    <w:rsid w:val="005E0304"/>
    <w:rsid w:val="005E1039"/>
    <w:rsid w:val="005E10FA"/>
    <w:rsid w:val="005E2CE7"/>
    <w:rsid w:val="005E4B9C"/>
    <w:rsid w:val="005F303F"/>
    <w:rsid w:val="005F3F79"/>
    <w:rsid w:val="005F40C7"/>
    <w:rsid w:val="005F5436"/>
    <w:rsid w:val="005F67C0"/>
    <w:rsid w:val="005F73F7"/>
    <w:rsid w:val="006017AA"/>
    <w:rsid w:val="006017C8"/>
    <w:rsid w:val="00612C60"/>
    <w:rsid w:val="0061477A"/>
    <w:rsid w:val="006155B2"/>
    <w:rsid w:val="0062081A"/>
    <w:rsid w:val="00631587"/>
    <w:rsid w:val="00632432"/>
    <w:rsid w:val="00632A32"/>
    <w:rsid w:val="00632E47"/>
    <w:rsid w:val="00643890"/>
    <w:rsid w:val="00645186"/>
    <w:rsid w:val="00645F19"/>
    <w:rsid w:val="0064608B"/>
    <w:rsid w:val="00646BA6"/>
    <w:rsid w:val="0064778C"/>
    <w:rsid w:val="006477BC"/>
    <w:rsid w:val="00647D1C"/>
    <w:rsid w:val="0065384A"/>
    <w:rsid w:val="00662DB9"/>
    <w:rsid w:val="00670238"/>
    <w:rsid w:val="006777CD"/>
    <w:rsid w:val="00683046"/>
    <w:rsid w:val="00690D65"/>
    <w:rsid w:val="0069120F"/>
    <w:rsid w:val="00692C53"/>
    <w:rsid w:val="00694FFA"/>
    <w:rsid w:val="006959D7"/>
    <w:rsid w:val="006A20AA"/>
    <w:rsid w:val="006A2D11"/>
    <w:rsid w:val="006A7818"/>
    <w:rsid w:val="006B00CC"/>
    <w:rsid w:val="006B2321"/>
    <w:rsid w:val="006B4FE2"/>
    <w:rsid w:val="006B771E"/>
    <w:rsid w:val="006D14FA"/>
    <w:rsid w:val="006D3FCD"/>
    <w:rsid w:val="006D52F8"/>
    <w:rsid w:val="006D5F81"/>
    <w:rsid w:val="006D68B7"/>
    <w:rsid w:val="006E4D62"/>
    <w:rsid w:val="006E6E2C"/>
    <w:rsid w:val="006E77C6"/>
    <w:rsid w:val="006F1B95"/>
    <w:rsid w:val="0070029E"/>
    <w:rsid w:val="00700BA4"/>
    <w:rsid w:val="00701AD6"/>
    <w:rsid w:val="00701CB3"/>
    <w:rsid w:val="00703800"/>
    <w:rsid w:val="00707374"/>
    <w:rsid w:val="007114C8"/>
    <w:rsid w:val="00711E6B"/>
    <w:rsid w:val="007120A7"/>
    <w:rsid w:val="00720E97"/>
    <w:rsid w:val="00722DE8"/>
    <w:rsid w:val="00727D83"/>
    <w:rsid w:val="00731FE3"/>
    <w:rsid w:val="007322FA"/>
    <w:rsid w:val="00732E7E"/>
    <w:rsid w:val="00736F45"/>
    <w:rsid w:val="007403DC"/>
    <w:rsid w:val="007417C7"/>
    <w:rsid w:val="00742BA8"/>
    <w:rsid w:val="00743585"/>
    <w:rsid w:val="00744B86"/>
    <w:rsid w:val="00745DE8"/>
    <w:rsid w:val="00747DD2"/>
    <w:rsid w:val="00751304"/>
    <w:rsid w:val="00752884"/>
    <w:rsid w:val="00753D92"/>
    <w:rsid w:val="00754C7D"/>
    <w:rsid w:val="00762C13"/>
    <w:rsid w:val="00764C6D"/>
    <w:rsid w:val="007651B1"/>
    <w:rsid w:val="0076568E"/>
    <w:rsid w:val="00772D9C"/>
    <w:rsid w:val="007833D3"/>
    <w:rsid w:val="007840B3"/>
    <w:rsid w:val="00784A12"/>
    <w:rsid w:val="00795760"/>
    <w:rsid w:val="007A5E4C"/>
    <w:rsid w:val="007A77A1"/>
    <w:rsid w:val="007B00A9"/>
    <w:rsid w:val="007B1575"/>
    <w:rsid w:val="007B3BC3"/>
    <w:rsid w:val="007B44D7"/>
    <w:rsid w:val="007B5811"/>
    <w:rsid w:val="007C27A3"/>
    <w:rsid w:val="007C3BBE"/>
    <w:rsid w:val="007C7F89"/>
    <w:rsid w:val="007D16A7"/>
    <w:rsid w:val="007D22AA"/>
    <w:rsid w:val="007D685D"/>
    <w:rsid w:val="007D7ABD"/>
    <w:rsid w:val="007E249D"/>
    <w:rsid w:val="007E540C"/>
    <w:rsid w:val="00807247"/>
    <w:rsid w:val="008155B5"/>
    <w:rsid w:val="00815D1D"/>
    <w:rsid w:val="00820C66"/>
    <w:rsid w:val="008230FE"/>
    <w:rsid w:val="0083079E"/>
    <w:rsid w:val="00832D4A"/>
    <w:rsid w:val="0083337D"/>
    <w:rsid w:val="0083482A"/>
    <w:rsid w:val="0083749A"/>
    <w:rsid w:val="008379E4"/>
    <w:rsid w:val="00840FF6"/>
    <w:rsid w:val="00841F9C"/>
    <w:rsid w:val="008436B8"/>
    <w:rsid w:val="0086018F"/>
    <w:rsid w:val="00860AFE"/>
    <w:rsid w:val="008646EC"/>
    <w:rsid w:val="00870D10"/>
    <w:rsid w:val="00872487"/>
    <w:rsid w:val="00873885"/>
    <w:rsid w:val="008772C6"/>
    <w:rsid w:val="00877EB3"/>
    <w:rsid w:val="008813C3"/>
    <w:rsid w:val="0088446F"/>
    <w:rsid w:val="00890B9F"/>
    <w:rsid w:val="00891C3E"/>
    <w:rsid w:val="008A6800"/>
    <w:rsid w:val="008A78DA"/>
    <w:rsid w:val="008B0DC6"/>
    <w:rsid w:val="008B1B77"/>
    <w:rsid w:val="008B35A1"/>
    <w:rsid w:val="008B5735"/>
    <w:rsid w:val="008C65E3"/>
    <w:rsid w:val="008D02D9"/>
    <w:rsid w:val="008D4C64"/>
    <w:rsid w:val="008F7743"/>
    <w:rsid w:val="008F77F7"/>
    <w:rsid w:val="0090223C"/>
    <w:rsid w:val="00905619"/>
    <w:rsid w:val="00906D38"/>
    <w:rsid w:val="00914C43"/>
    <w:rsid w:val="00920521"/>
    <w:rsid w:val="009308A8"/>
    <w:rsid w:val="00930BBB"/>
    <w:rsid w:val="00940290"/>
    <w:rsid w:val="0094255C"/>
    <w:rsid w:val="009461AA"/>
    <w:rsid w:val="00946F0E"/>
    <w:rsid w:val="009503A7"/>
    <w:rsid w:val="009538B2"/>
    <w:rsid w:val="0095764C"/>
    <w:rsid w:val="00957AC3"/>
    <w:rsid w:val="0096284B"/>
    <w:rsid w:val="009670E6"/>
    <w:rsid w:val="009677F8"/>
    <w:rsid w:val="0097708B"/>
    <w:rsid w:val="00981C57"/>
    <w:rsid w:val="009824C3"/>
    <w:rsid w:val="009865F3"/>
    <w:rsid w:val="00986F0D"/>
    <w:rsid w:val="009873B3"/>
    <w:rsid w:val="00990793"/>
    <w:rsid w:val="00992139"/>
    <w:rsid w:val="009A0258"/>
    <w:rsid w:val="009A0640"/>
    <w:rsid w:val="009A4834"/>
    <w:rsid w:val="009A61BC"/>
    <w:rsid w:val="009A66A7"/>
    <w:rsid w:val="009B3ACE"/>
    <w:rsid w:val="009C12ED"/>
    <w:rsid w:val="009C6A21"/>
    <w:rsid w:val="009D2636"/>
    <w:rsid w:val="009D79D9"/>
    <w:rsid w:val="009E0733"/>
    <w:rsid w:val="009E1354"/>
    <w:rsid w:val="009E505D"/>
    <w:rsid w:val="009E53DE"/>
    <w:rsid w:val="009F131E"/>
    <w:rsid w:val="009F2225"/>
    <w:rsid w:val="009F6709"/>
    <w:rsid w:val="00A01052"/>
    <w:rsid w:val="00A03516"/>
    <w:rsid w:val="00A04020"/>
    <w:rsid w:val="00A116E8"/>
    <w:rsid w:val="00A1237E"/>
    <w:rsid w:val="00A12C7C"/>
    <w:rsid w:val="00A1742F"/>
    <w:rsid w:val="00A17495"/>
    <w:rsid w:val="00A20C8A"/>
    <w:rsid w:val="00A25778"/>
    <w:rsid w:val="00A26299"/>
    <w:rsid w:val="00A3125D"/>
    <w:rsid w:val="00A34063"/>
    <w:rsid w:val="00A349FC"/>
    <w:rsid w:val="00A378B2"/>
    <w:rsid w:val="00A44A84"/>
    <w:rsid w:val="00A53A60"/>
    <w:rsid w:val="00A5749C"/>
    <w:rsid w:val="00A57B6E"/>
    <w:rsid w:val="00A60A8D"/>
    <w:rsid w:val="00A60C31"/>
    <w:rsid w:val="00A616BC"/>
    <w:rsid w:val="00A62881"/>
    <w:rsid w:val="00A654F8"/>
    <w:rsid w:val="00A67D68"/>
    <w:rsid w:val="00A7081F"/>
    <w:rsid w:val="00A70D93"/>
    <w:rsid w:val="00A7310B"/>
    <w:rsid w:val="00A767E8"/>
    <w:rsid w:val="00A812A8"/>
    <w:rsid w:val="00A82D58"/>
    <w:rsid w:val="00A9038A"/>
    <w:rsid w:val="00A95531"/>
    <w:rsid w:val="00A97D2F"/>
    <w:rsid w:val="00AA1BB5"/>
    <w:rsid w:val="00AA2A26"/>
    <w:rsid w:val="00AA4FD4"/>
    <w:rsid w:val="00AA586C"/>
    <w:rsid w:val="00AB6522"/>
    <w:rsid w:val="00AB72B2"/>
    <w:rsid w:val="00AC7102"/>
    <w:rsid w:val="00AD12E2"/>
    <w:rsid w:val="00AD182E"/>
    <w:rsid w:val="00AD1BCA"/>
    <w:rsid w:val="00AD5C29"/>
    <w:rsid w:val="00AD65C9"/>
    <w:rsid w:val="00AE03A9"/>
    <w:rsid w:val="00AE09B8"/>
    <w:rsid w:val="00AE21A8"/>
    <w:rsid w:val="00AE2D68"/>
    <w:rsid w:val="00AE41CE"/>
    <w:rsid w:val="00AE48D9"/>
    <w:rsid w:val="00AE5232"/>
    <w:rsid w:val="00AE5488"/>
    <w:rsid w:val="00AF2C6F"/>
    <w:rsid w:val="00AF5733"/>
    <w:rsid w:val="00AF657F"/>
    <w:rsid w:val="00AF71B7"/>
    <w:rsid w:val="00B031AB"/>
    <w:rsid w:val="00B05318"/>
    <w:rsid w:val="00B1001B"/>
    <w:rsid w:val="00B11A39"/>
    <w:rsid w:val="00B11E1A"/>
    <w:rsid w:val="00B15A41"/>
    <w:rsid w:val="00B20ED5"/>
    <w:rsid w:val="00B217A5"/>
    <w:rsid w:val="00B21B38"/>
    <w:rsid w:val="00B23194"/>
    <w:rsid w:val="00B30859"/>
    <w:rsid w:val="00B30F22"/>
    <w:rsid w:val="00B34FD5"/>
    <w:rsid w:val="00B35CB0"/>
    <w:rsid w:val="00B40AC3"/>
    <w:rsid w:val="00B42E64"/>
    <w:rsid w:val="00B43265"/>
    <w:rsid w:val="00B437DB"/>
    <w:rsid w:val="00B445F8"/>
    <w:rsid w:val="00B465ED"/>
    <w:rsid w:val="00B5218A"/>
    <w:rsid w:val="00B53598"/>
    <w:rsid w:val="00B55D47"/>
    <w:rsid w:val="00B571E6"/>
    <w:rsid w:val="00B60435"/>
    <w:rsid w:val="00B671B0"/>
    <w:rsid w:val="00B80CD1"/>
    <w:rsid w:val="00B8209B"/>
    <w:rsid w:val="00B8368A"/>
    <w:rsid w:val="00B87EC1"/>
    <w:rsid w:val="00B92910"/>
    <w:rsid w:val="00B932DB"/>
    <w:rsid w:val="00B94CA9"/>
    <w:rsid w:val="00BA0EAB"/>
    <w:rsid w:val="00BA19CB"/>
    <w:rsid w:val="00BA418B"/>
    <w:rsid w:val="00BA7CE6"/>
    <w:rsid w:val="00BB3A8F"/>
    <w:rsid w:val="00BB4EAC"/>
    <w:rsid w:val="00BC0A41"/>
    <w:rsid w:val="00BC192E"/>
    <w:rsid w:val="00BC2977"/>
    <w:rsid w:val="00BC5C8F"/>
    <w:rsid w:val="00BC65EB"/>
    <w:rsid w:val="00BC750B"/>
    <w:rsid w:val="00BD1DBA"/>
    <w:rsid w:val="00BD6399"/>
    <w:rsid w:val="00BE21C4"/>
    <w:rsid w:val="00BE51C3"/>
    <w:rsid w:val="00BF020A"/>
    <w:rsid w:val="00BF12B7"/>
    <w:rsid w:val="00BF1975"/>
    <w:rsid w:val="00BF7BE6"/>
    <w:rsid w:val="00BF7E8E"/>
    <w:rsid w:val="00C02D7D"/>
    <w:rsid w:val="00C0482A"/>
    <w:rsid w:val="00C04DBA"/>
    <w:rsid w:val="00C25E96"/>
    <w:rsid w:val="00C2787D"/>
    <w:rsid w:val="00C4562B"/>
    <w:rsid w:val="00C4684D"/>
    <w:rsid w:val="00C46E05"/>
    <w:rsid w:val="00C554A5"/>
    <w:rsid w:val="00C55748"/>
    <w:rsid w:val="00C57B6C"/>
    <w:rsid w:val="00C6367E"/>
    <w:rsid w:val="00C66756"/>
    <w:rsid w:val="00C67835"/>
    <w:rsid w:val="00C70AFC"/>
    <w:rsid w:val="00C71277"/>
    <w:rsid w:val="00C762EE"/>
    <w:rsid w:val="00C826CA"/>
    <w:rsid w:val="00C927FB"/>
    <w:rsid w:val="00C963B4"/>
    <w:rsid w:val="00C978ED"/>
    <w:rsid w:val="00CB082F"/>
    <w:rsid w:val="00CB1A93"/>
    <w:rsid w:val="00CB7ADE"/>
    <w:rsid w:val="00CB7FE5"/>
    <w:rsid w:val="00CD3819"/>
    <w:rsid w:val="00CD4C34"/>
    <w:rsid w:val="00CE016D"/>
    <w:rsid w:val="00CE33B9"/>
    <w:rsid w:val="00CF018C"/>
    <w:rsid w:val="00CF0EA2"/>
    <w:rsid w:val="00CF5679"/>
    <w:rsid w:val="00CF667C"/>
    <w:rsid w:val="00CF7F25"/>
    <w:rsid w:val="00D10F42"/>
    <w:rsid w:val="00D11258"/>
    <w:rsid w:val="00D14C4D"/>
    <w:rsid w:val="00D15C4B"/>
    <w:rsid w:val="00D16B55"/>
    <w:rsid w:val="00D1792C"/>
    <w:rsid w:val="00D17A04"/>
    <w:rsid w:val="00D20D60"/>
    <w:rsid w:val="00D221D9"/>
    <w:rsid w:val="00D24E01"/>
    <w:rsid w:val="00D3314D"/>
    <w:rsid w:val="00D36914"/>
    <w:rsid w:val="00D36B7C"/>
    <w:rsid w:val="00D425BC"/>
    <w:rsid w:val="00D4498F"/>
    <w:rsid w:val="00D44A57"/>
    <w:rsid w:val="00D4508D"/>
    <w:rsid w:val="00D452E3"/>
    <w:rsid w:val="00D468D4"/>
    <w:rsid w:val="00D50350"/>
    <w:rsid w:val="00D50CA2"/>
    <w:rsid w:val="00D51860"/>
    <w:rsid w:val="00D52958"/>
    <w:rsid w:val="00D5554A"/>
    <w:rsid w:val="00D557AD"/>
    <w:rsid w:val="00D56F37"/>
    <w:rsid w:val="00D57CBA"/>
    <w:rsid w:val="00D6031A"/>
    <w:rsid w:val="00D6314B"/>
    <w:rsid w:val="00D6486F"/>
    <w:rsid w:val="00D727CE"/>
    <w:rsid w:val="00D75228"/>
    <w:rsid w:val="00D91D8A"/>
    <w:rsid w:val="00D925CF"/>
    <w:rsid w:val="00DA5194"/>
    <w:rsid w:val="00DB108C"/>
    <w:rsid w:val="00DB3283"/>
    <w:rsid w:val="00DC0AAC"/>
    <w:rsid w:val="00DC6764"/>
    <w:rsid w:val="00DC7F7F"/>
    <w:rsid w:val="00DD6970"/>
    <w:rsid w:val="00DD7064"/>
    <w:rsid w:val="00DE2D99"/>
    <w:rsid w:val="00DE3FC1"/>
    <w:rsid w:val="00DE4723"/>
    <w:rsid w:val="00DE58EB"/>
    <w:rsid w:val="00DF1507"/>
    <w:rsid w:val="00DF5B24"/>
    <w:rsid w:val="00DF6826"/>
    <w:rsid w:val="00DF6A82"/>
    <w:rsid w:val="00DF72DE"/>
    <w:rsid w:val="00DF74D9"/>
    <w:rsid w:val="00E01985"/>
    <w:rsid w:val="00E03E30"/>
    <w:rsid w:val="00E040B4"/>
    <w:rsid w:val="00E04616"/>
    <w:rsid w:val="00E05183"/>
    <w:rsid w:val="00E05BD0"/>
    <w:rsid w:val="00E06CCB"/>
    <w:rsid w:val="00E10124"/>
    <w:rsid w:val="00E10A90"/>
    <w:rsid w:val="00E132F0"/>
    <w:rsid w:val="00E1668E"/>
    <w:rsid w:val="00E16F57"/>
    <w:rsid w:val="00E200BA"/>
    <w:rsid w:val="00E215EF"/>
    <w:rsid w:val="00E265E0"/>
    <w:rsid w:val="00E32F48"/>
    <w:rsid w:val="00E3533C"/>
    <w:rsid w:val="00E35FB0"/>
    <w:rsid w:val="00E46DE3"/>
    <w:rsid w:val="00E511F5"/>
    <w:rsid w:val="00E51C3A"/>
    <w:rsid w:val="00E52DB0"/>
    <w:rsid w:val="00E545A6"/>
    <w:rsid w:val="00E619A1"/>
    <w:rsid w:val="00E620EB"/>
    <w:rsid w:val="00E66A5A"/>
    <w:rsid w:val="00E71927"/>
    <w:rsid w:val="00E7223A"/>
    <w:rsid w:val="00E74534"/>
    <w:rsid w:val="00E756EB"/>
    <w:rsid w:val="00E81DEE"/>
    <w:rsid w:val="00E82020"/>
    <w:rsid w:val="00E856C7"/>
    <w:rsid w:val="00E87B79"/>
    <w:rsid w:val="00E93607"/>
    <w:rsid w:val="00E93772"/>
    <w:rsid w:val="00E9457E"/>
    <w:rsid w:val="00E9744E"/>
    <w:rsid w:val="00EA0A16"/>
    <w:rsid w:val="00EA3697"/>
    <w:rsid w:val="00EB1962"/>
    <w:rsid w:val="00EB3D3E"/>
    <w:rsid w:val="00EB7286"/>
    <w:rsid w:val="00EC1C11"/>
    <w:rsid w:val="00EC22F3"/>
    <w:rsid w:val="00EC284C"/>
    <w:rsid w:val="00EC5B70"/>
    <w:rsid w:val="00EC69B2"/>
    <w:rsid w:val="00EC7056"/>
    <w:rsid w:val="00EC78AB"/>
    <w:rsid w:val="00EC7ABF"/>
    <w:rsid w:val="00ED1399"/>
    <w:rsid w:val="00ED6405"/>
    <w:rsid w:val="00EE1046"/>
    <w:rsid w:val="00EE287E"/>
    <w:rsid w:val="00EE6AE5"/>
    <w:rsid w:val="00EE7473"/>
    <w:rsid w:val="00EE7B6B"/>
    <w:rsid w:val="00EF05D7"/>
    <w:rsid w:val="00EF522B"/>
    <w:rsid w:val="00F024BB"/>
    <w:rsid w:val="00F0326C"/>
    <w:rsid w:val="00F2326D"/>
    <w:rsid w:val="00F24CEF"/>
    <w:rsid w:val="00F27E05"/>
    <w:rsid w:val="00F370B9"/>
    <w:rsid w:val="00F40A70"/>
    <w:rsid w:val="00F57A7B"/>
    <w:rsid w:val="00F62466"/>
    <w:rsid w:val="00F658B5"/>
    <w:rsid w:val="00F676C6"/>
    <w:rsid w:val="00F70D1C"/>
    <w:rsid w:val="00F742D4"/>
    <w:rsid w:val="00F74C41"/>
    <w:rsid w:val="00F81AD1"/>
    <w:rsid w:val="00F84704"/>
    <w:rsid w:val="00F86F8B"/>
    <w:rsid w:val="00F96FA1"/>
    <w:rsid w:val="00F97F74"/>
    <w:rsid w:val="00FA0AFD"/>
    <w:rsid w:val="00FA123D"/>
    <w:rsid w:val="00FC01D3"/>
    <w:rsid w:val="00FC0E05"/>
    <w:rsid w:val="00FC2AA1"/>
    <w:rsid w:val="00FC5171"/>
    <w:rsid w:val="00FD55DB"/>
    <w:rsid w:val="00FE0547"/>
    <w:rsid w:val="00FE4B47"/>
    <w:rsid w:val="00FE5A7E"/>
    <w:rsid w:val="00FE728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CF564E"/>
  <w15:chartTrackingRefBased/>
  <w15:docId w15:val="{452A1188-2C4F-4176-B56F-3DA34BBCB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016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CE016D"/>
    <w:pPr>
      <w:spacing w:after="0" w:line="240" w:lineRule="auto"/>
    </w:pPr>
    <w:rPr>
      <w:rFonts w:ascii="Arial" w:eastAsia="Calibri" w:hAnsi="Arial" w:cs="Verdana"/>
      <w:sz w:val="24"/>
      <w:szCs w:val="24"/>
      <w:lang w:val="es-ES"/>
    </w:rPr>
  </w:style>
  <w:style w:type="paragraph" w:styleId="Textonotapie">
    <w:name w:val="footnote text"/>
    <w:basedOn w:val="Normal"/>
    <w:link w:val="TextonotapieCar"/>
    <w:uiPriority w:val="99"/>
    <w:semiHidden/>
    <w:unhideWhenUsed/>
    <w:rsid w:val="007C7F89"/>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7C7F89"/>
    <w:rPr>
      <w:sz w:val="20"/>
      <w:szCs w:val="20"/>
    </w:rPr>
  </w:style>
  <w:style w:type="character" w:styleId="Refdenotaalpie">
    <w:name w:val="footnote reference"/>
    <w:basedOn w:val="Fuentedeprrafopredeter"/>
    <w:uiPriority w:val="99"/>
    <w:semiHidden/>
    <w:unhideWhenUsed/>
    <w:rsid w:val="007C7F89"/>
    <w:rPr>
      <w:vertAlign w:val="superscript"/>
    </w:rPr>
  </w:style>
  <w:style w:type="character" w:customStyle="1" w:styleId="apple-converted-space">
    <w:name w:val="apple-converted-space"/>
    <w:basedOn w:val="Fuentedeprrafopredeter"/>
    <w:rsid w:val="00D452E3"/>
  </w:style>
  <w:style w:type="paragraph" w:styleId="Encabezado">
    <w:name w:val="header"/>
    <w:basedOn w:val="Normal"/>
    <w:link w:val="EncabezadoCar"/>
    <w:uiPriority w:val="99"/>
    <w:unhideWhenUsed/>
    <w:rsid w:val="00EE6AE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E6AE5"/>
  </w:style>
  <w:style w:type="paragraph" w:styleId="Piedepgina">
    <w:name w:val="footer"/>
    <w:basedOn w:val="Normal"/>
    <w:link w:val="PiedepginaCar"/>
    <w:uiPriority w:val="99"/>
    <w:unhideWhenUsed/>
    <w:rsid w:val="00EE6AE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E6AE5"/>
  </w:style>
  <w:style w:type="table" w:styleId="Tablaconcuadrcula">
    <w:name w:val="Table Grid"/>
    <w:basedOn w:val="Tablanormal"/>
    <w:uiPriority w:val="39"/>
    <w:rsid w:val="000F2B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106701">
      <w:bodyDiv w:val="1"/>
      <w:marLeft w:val="0"/>
      <w:marRight w:val="0"/>
      <w:marTop w:val="0"/>
      <w:marBottom w:val="0"/>
      <w:divBdr>
        <w:top w:val="none" w:sz="0" w:space="0" w:color="auto"/>
        <w:left w:val="none" w:sz="0" w:space="0" w:color="auto"/>
        <w:bottom w:val="none" w:sz="0" w:space="0" w:color="auto"/>
        <w:right w:val="none" w:sz="0" w:space="0" w:color="auto"/>
      </w:divBdr>
    </w:div>
    <w:div w:id="538323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javier.hernandez\Desktop\temp\Avaluo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javier.hernandez\Desktop\temp\Avaluo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[Avaluos.xlsx]IVPvsSMvsIPC!$H$1</c:f>
              <c:strCache>
                <c:ptCount val="1"/>
                <c:pt idx="0">
                  <c:v>Promedio IVP</c:v>
                </c:pt>
              </c:strCache>
            </c:strRef>
          </c:tx>
          <c:spPr>
            <a:ln w="31750" cmpd="sng">
              <a:solidFill>
                <a:srgbClr val="FF0000"/>
              </a:solidFill>
              <a:prstDash val="solid"/>
            </a:ln>
          </c:spPr>
          <c:marker>
            <c:symbol val="none"/>
          </c:marker>
          <c:cat>
            <c:numRef>
              <c:f>[Avaluos.xlsx]IVPvsSMvsIPC!$G$2:$G$9</c:f>
              <c:numCache>
                <c:formatCode>General</c:formatCode>
                <c:ptCount val="8"/>
                <c:pt idx="0">
                  <c:v>2010</c:v>
                </c:pt>
                <c:pt idx="1">
                  <c:v>2011</c:v>
                </c:pt>
                <c:pt idx="2">
                  <c:v>2012</c:v>
                </c:pt>
                <c:pt idx="3">
                  <c:v>2013</c:v>
                </c:pt>
                <c:pt idx="4">
                  <c:v>2014</c:v>
                </c:pt>
                <c:pt idx="5">
                  <c:v>2015</c:v>
                </c:pt>
                <c:pt idx="6">
                  <c:v>2016</c:v>
                </c:pt>
                <c:pt idx="7">
                  <c:v>2017</c:v>
                </c:pt>
              </c:numCache>
            </c:numRef>
          </c:cat>
          <c:val>
            <c:numRef>
              <c:f>[Avaluos.xlsx]IVPvsSMvsIPC!$H$2:$H$9</c:f>
              <c:numCache>
                <c:formatCode>0.00%</c:formatCode>
                <c:ptCount val="8"/>
                <c:pt idx="0">
                  <c:v>5.7799999999999997E-2</c:v>
                </c:pt>
                <c:pt idx="1">
                  <c:v>5.7799999999999997E-2</c:v>
                </c:pt>
                <c:pt idx="2">
                  <c:v>5.7799999999999997E-2</c:v>
                </c:pt>
                <c:pt idx="3">
                  <c:v>5.7799999999999997E-2</c:v>
                </c:pt>
                <c:pt idx="4">
                  <c:v>5.7799999999999997E-2</c:v>
                </c:pt>
                <c:pt idx="5">
                  <c:v>5.7799999999999997E-2</c:v>
                </c:pt>
                <c:pt idx="6">
                  <c:v>5.7799999999999997E-2</c:v>
                </c:pt>
                <c:pt idx="7">
                  <c:v>5.7799999999999997E-2</c:v>
                </c:pt>
              </c:numCache>
            </c:numRef>
          </c:val>
          <c:smooth val="0"/>
          <c:extLst>
            <c:ext xmlns:c16="http://schemas.microsoft.com/office/drawing/2014/chart" uri="{C3380CC4-5D6E-409C-BE32-E72D297353CC}">
              <c16:uniqueId val="{00000000-AB0A-4BFA-B2BE-27C58DE64451}"/>
            </c:ext>
          </c:extLst>
        </c:ser>
        <c:ser>
          <c:idx val="1"/>
          <c:order val="1"/>
          <c:tx>
            <c:strRef>
              <c:f>[Avaluos.xlsx]IVPvsSMvsIPC!$I$1</c:f>
              <c:strCache>
                <c:ptCount val="1"/>
                <c:pt idx="0">
                  <c:v>IVP</c:v>
                </c:pt>
              </c:strCache>
            </c:strRef>
          </c:tx>
          <c:spPr>
            <a:ln>
              <a:solidFill>
                <a:srgbClr val="FF0000"/>
              </a:solidFill>
              <a:prstDash val="dashDot"/>
            </a:ln>
          </c:spPr>
          <c:marker>
            <c:symbol val="none"/>
          </c:marker>
          <c:cat>
            <c:numRef>
              <c:f>[Avaluos.xlsx]IVPvsSMvsIPC!$G$2:$G$9</c:f>
              <c:numCache>
                <c:formatCode>General</c:formatCode>
                <c:ptCount val="8"/>
                <c:pt idx="0">
                  <c:v>2010</c:v>
                </c:pt>
                <c:pt idx="1">
                  <c:v>2011</c:v>
                </c:pt>
                <c:pt idx="2">
                  <c:v>2012</c:v>
                </c:pt>
                <c:pt idx="3">
                  <c:v>2013</c:v>
                </c:pt>
                <c:pt idx="4">
                  <c:v>2014</c:v>
                </c:pt>
                <c:pt idx="5">
                  <c:v>2015</c:v>
                </c:pt>
                <c:pt idx="6">
                  <c:v>2016</c:v>
                </c:pt>
                <c:pt idx="7">
                  <c:v>2017</c:v>
                </c:pt>
              </c:numCache>
            </c:numRef>
          </c:cat>
          <c:val>
            <c:numRef>
              <c:f>[Avaluos.xlsx]IVPvsSMvsIPC!$I$2:$I$9</c:f>
              <c:numCache>
                <c:formatCode>0.00%</c:formatCode>
                <c:ptCount val="8"/>
                <c:pt idx="0">
                  <c:v>5.0999999999999997E-2</c:v>
                </c:pt>
                <c:pt idx="1">
                  <c:v>6.3700000000000007E-2</c:v>
                </c:pt>
                <c:pt idx="2">
                  <c:v>6.2899999999999998E-2</c:v>
                </c:pt>
                <c:pt idx="3">
                  <c:v>6.0299999999999999E-2</c:v>
                </c:pt>
                <c:pt idx="4">
                  <c:v>5.9499999999999997E-2</c:v>
                </c:pt>
                <c:pt idx="5">
                  <c:v>5.8000000000000003E-2</c:v>
                </c:pt>
                <c:pt idx="6">
                  <c:v>5.4800000000000001E-2</c:v>
                </c:pt>
                <c:pt idx="7">
                  <c:v>5.21E-2</c:v>
                </c:pt>
              </c:numCache>
            </c:numRef>
          </c:val>
          <c:smooth val="0"/>
          <c:extLst>
            <c:ext xmlns:c16="http://schemas.microsoft.com/office/drawing/2014/chart" uri="{C3380CC4-5D6E-409C-BE32-E72D297353CC}">
              <c16:uniqueId val="{00000001-AB0A-4BFA-B2BE-27C58DE64451}"/>
            </c:ext>
          </c:extLst>
        </c:ser>
        <c:ser>
          <c:idx val="2"/>
          <c:order val="2"/>
          <c:tx>
            <c:strRef>
              <c:f>[Avaluos.xlsx]IVPvsSMvsIPC!$J$1</c:f>
              <c:strCache>
                <c:ptCount val="1"/>
                <c:pt idx="0">
                  <c:v>Promedio SM</c:v>
                </c:pt>
              </c:strCache>
            </c:strRef>
          </c:tx>
          <c:spPr>
            <a:ln w="31750">
              <a:solidFill>
                <a:schemeClr val="accent6">
                  <a:lumMod val="60000"/>
                  <a:lumOff val="40000"/>
                </a:schemeClr>
              </a:solidFill>
            </a:ln>
          </c:spPr>
          <c:marker>
            <c:symbol val="none"/>
          </c:marker>
          <c:cat>
            <c:numRef>
              <c:f>[Avaluos.xlsx]IVPvsSMvsIPC!$G$2:$G$9</c:f>
              <c:numCache>
                <c:formatCode>General</c:formatCode>
                <c:ptCount val="8"/>
                <c:pt idx="0">
                  <c:v>2010</c:v>
                </c:pt>
                <c:pt idx="1">
                  <c:v>2011</c:v>
                </c:pt>
                <c:pt idx="2">
                  <c:v>2012</c:v>
                </c:pt>
                <c:pt idx="3">
                  <c:v>2013</c:v>
                </c:pt>
                <c:pt idx="4">
                  <c:v>2014</c:v>
                </c:pt>
                <c:pt idx="5">
                  <c:v>2015</c:v>
                </c:pt>
                <c:pt idx="6">
                  <c:v>2016</c:v>
                </c:pt>
                <c:pt idx="7">
                  <c:v>2017</c:v>
                </c:pt>
              </c:numCache>
            </c:numRef>
          </c:cat>
          <c:val>
            <c:numRef>
              <c:f>[Avaluos.xlsx]IVPvsSMvsIPC!$J$2:$J$9</c:f>
              <c:numCache>
                <c:formatCode>0.00%</c:formatCode>
                <c:ptCount val="8"/>
                <c:pt idx="0">
                  <c:v>5.0700000000000002E-2</c:v>
                </c:pt>
                <c:pt idx="1">
                  <c:v>5.0700000000000002E-2</c:v>
                </c:pt>
                <c:pt idx="2">
                  <c:v>5.0700000000000002E-2</c:v>
                </c:pt>
                <c:pt idx="3">
                  <c:v>5.0700000000000002E-2</c:v>
                </c:pt>
                <c:pt idx="4">
                  <c:v>5.0700000000000002E-2</c:v>
                </c:pt>
                <c:pt idx="5">
                  <c:v>5.0700000000000002E-2</c:v>
                </c:pt>
                <c:pt idx="6">
                  <c:v>5.0700000000000002E-2</c:v>
                </c:pt>
                <c:pt idx="7">
                  <c:v>5.0700000000000002E-2</c:v>
                </c:pt>
              </c:numCache>
            </c:numRef>
          </c:val>
          <c:smooth val="0"/>
          <c:extLst>
            <c:ext xmlns:c16="http://schemas.microsoft.com/office/drawing/2014/chart" uri="{C3380CC4-5D6E-409C-BE32-E72D297353CC}">
              <c16:uniqueId val="{00000002-AB0A-4BFA-B2BE-27C58DE64451}"/>
            </c:ext>
          </c:extLst>
        </c:ser>
        <c:ser>
          <c:idx val="3"/>
          <c:order val="3"/>
          <c:tx>
            <c:strRef>
              <c:f>[Avaluos.xlsx]IVPvsSMvsIPC!$K$1</c:f>
              <c:strCache>
                <c:ptCount val="1"/>
                <c:pt idx="0">
                  <c:v>Salario Mínimo</c:v>
                </c:pt>
              </c:strCache>
            </c:strRef>
          </c:tx>
          <c:spPr>
            <a:ln>
              <a:solidFill>
                <a:schemeClr val="accent6">
                  <a:lumMod val="60000"/>
                  <a:lumOff val="40000"/>
                </a:schemeClr>
              </a:solidFill>
              <a:prstDash val="dash"/>
            </a:ln>
          </c:spPr>
          <c:marker>
            <c:symbol val="none"/>
          </c:marker>
          <c:cat>
            <c:numRef>
              <c:f>[Avaluos.xlsx]IVPvsSMvsIPC!$G$2:$G$9</c:f>
              <c:numCache>
                <c:formatCode>General</c:formatCode>
                <c:ptCount val="8"/>
                <c:pt idx="0">
                  <c:v>2010</c:v>
                </c:pt>
                <c:pt idx="1">
                  <c:v>2011</c:v>
                </c:pt>
                <c:pt idx="2">
                  <c:v>2012</c:v>
                </c:pt>
                <c:pt idx="3">
                  <c:v>2013</c:v>
                </c:pt>
                <c:pt idx="4">
                  <c:v>2014</c:v>
                </c:pt>
                <c:pt idx="5">
                  <c:v>2015</c:v>
                </c:pt>
                <c:pt idx="6">
                  <c:v>2016</c:v>
                </c:pt>
                <c:pt idx="7">
                  <c:v>2017</c:v>
                </c:pt>
              </c:numCache>
            </c:numRef>
          </c:cat>
          <c:val>
            <c:numRef>
              <c:f>[Avaluos.xlsx]IVPvsSMvsIPC!$K$2:$K$9</c:f>
              <c:numCache>
                <c:formatCode>0.00%</c:formatCode>
                <c:ptCount val="8"/>
                <c:pt idx="0">
                  <c:v>3.5999999999999997E-2</c:v>
                </c:pt>
                <c:pt idx="1">
                  <c:v>0.04</c:v>
                </c:pt>
                <c:pt idx="2">
                  <c:v>5.8000000000000003E-2</c:v>
                </c:pt>
                <c:pt idx="3">
                  <c:v>4.02E-2</c:v>
                </c:pt>
                <c:pt idx="4">
                  <c:v>4.4999999999999998E-2</c:v>
                </c:pt>
                <c:pt idx="5">
                  <c:v>4.5999999999999999E-2</c:v>
                </c:pt>
                <c:pt idx="6">
                  <c:v>7.0000000000000007E-2</c:v>
                </c:pt>
                <c:pt idx="7">
                  <c:v>7.0000000000000007E-2</c:v>
                </c:pt>
              </c:numCache>
            </c:numRef>
          </c:val>
          <c:smooth val="0"/>
          <c:extLst>
            <c:ext xmlns:c16="http://schemas.microsoft.com/office/drawing/2014/chart" uri="{C3380CC4-5D6E-409C-BE32-E72D297353CC}">
              <c16:uniqueId val="{00000003-AB0A-4BFA-B2BE-27C58DE64451}"/>
            </c:ext>
          </c:extLst>
        </c:ser>
        <c:ser>
          <c:idx val="4"/>
          <c:order val="4"/>
          <c:tx>
            <c:strRef>
              <c:f>[Avaluos.xlsx]IVPvsSMvsIPC!$L$1</c:f>
              <c:strCache>
                <c:ptCount val="1"/>
                <c:pt idx="0">
                  <c:v>Promedio IPC</c:v>
                </c:pt>
              </c:strCache>
            </c:strRef>
          </c:tx>
          <c:spPr>
            <a:ln w="31750">
              <a:solidFill>
                <a:schemeClr val="accent5">
                  <a:lumMod val="60000"/>
                  <a:lumOff val="40000"/>
                </a:schemeClr>
              </a:solidFill>
            </a:ln>
          </c:spPr>
          <c:marker>
            <c:symbol val="none"/>
          </c:marker>
          <c:cat>
            <c:numRef>
              <c:f>[Avaluos.xlsx]IVPvsSMvsIPC!$G$2:$G$9</c:f>
              <c:numCache>
                <c:formatCode>General</c:formatCode>
                <c:ptCount val="8"/>
                <c:pt idx="0">
                  <c:v>2010</c:v>
                </c:pt>
                <c:pt idx="1">
                  <c:v>2011</c:v>
                </c:pt>
                <c:pt idx="2">
                  <c:v>2012</c:v>
                </c:pt>
                <c:pt idx="3">
                  <c:v>2013</c:v>
                </c:pt>
                <c:pt idx="4">
                  <c:v>2014</c:v>
                </c:pt>
                <c:pt idx="5">
                  <c:v>2015</c:v>
                </c:pt>
                <c:pt idx="6">
                  <c:v>2016</c:v>
                </c:pt>
                <c:pt idx="7">
                  <c:v>2017</c:v>
                </c:pt>
              </c:numCache>
            </c:numRef>
          </c:cat>
          <c:val>
            <c:numRef>
              <c:f>[Avaluos.xlsx]IVPvsSMvsIPC!$L$2:$L$9</c:f>
              <c:numCache>
                <c:formatCode>0.00%</c:formatCode>
                <c:ptCount val="8"/>
                <c:pt idx="0">
                  <c:v>3.9399999999999998E-2</c:v>
                </c:pt>
                <c:pt idx="1">
                  <c:v>3.9399999999999998E-2</c:v>
                </c:pt>
                <c:pt idx="2">
                  <c:v>3.9399999999999998E-2</c:v>
                </c:pt>
                <c:pt idx="3">
                  <c:v>3.9399999999999998E-2</c:v>
                </c:pt>
                <c:pt idx="4">
                  <c:v>3.9399999999999998E-2</c:v>
                </c:pt>
                <c:pt idx="5">
                  <c:v>3.9399999999999998E-2</c:v>
                </c:pt>
                <c:pt idx="6">
                  <c:v>3.9399999999999998E-2</c:v>
                </c:pt>
                <c:pt idx="7">
                  <c:v>3.9399999999999998E-2</c:v>
                </c:pt>
              </c:numCache>
            </c:numRef>
          </c:val>
          <c:smooth val="0"/>
          <c:extLst>
            <c:ext xmlns:c16="http://schemas.microsoft.com/office/drawing/2014/chart" uri="{C3380CC4-5D6E-409C-BE32-E72D297353CC}">
              <c16:uniqueId val="{00000004-AB0A-4BFA-B2BE-27C58DE64451}"/>
            </c:ext>
          </c:extLst>
        </c:ser>
        <c:ser>
          <c:idx val="5"/>
          <c:order val="5"/>
          <c:tx>
            <c:strRef>
              <c:f>[Avaluos.xlsx]IVPvsSMvsIPC!$M$1</c:f>
              <c:strCache>
                <c:ptCount val="1"/>
                <c:pt idx="0">
                  <c:v>IPC</c:v>
                </c:pt>
              </c:strCache>
            </c:strRef>
          </c:tx>
          <c:spPr>
            <a:ln>
              <a:solidFill>
                <a:schemeClr val="accent5">
                  <a:lumMod val="60000"/>
                  <a:lumOff val="40000"/>
                </a:schemeClr>
              </a:solidFill>
              <a:prstDash val="sysDot"/>
            </a:ln>
          </c:spPr>
          <c:marker>
            <c:symbol val="none"/>
          </c:marker>
          <c:cat>
            <c:numRef>
              <c:f>[Avaluos.xlsx]IVPvsSMvsIPC!$G$2:$G$9</c:f>
              <c:numCache>
                <c:formatCode>General</c:formatCode>
                <c:ptCount val="8"/>
                <c:pt idx="0">
                  <c:v>2010</c:v>
                </c:pt>
                <c:pt idx="1">
                  <c:v>2011</c:v>
                </c:pt>
                <c:pt idx="2">
                  <c:v>2012</c:v>
                </c:pt>
                <c:pt idx="3">
                  <c:v>2013</c:v>
                </c:pt>
                <c:pt idx="4">
                  <c:v>2014</c:v>
                </c:pt>
                <c:pt idx="5">
                  <c:v>2015</c:v>
                </c:pt>
                <c:pt idx="6">
                  <c:v>2016</c:v>
                </c:pt>
                <c:pt idx="7">
                  <c:v>2017</c:v>
                </c:pt>
              </c:numCache>
            </c:numRef>
          </c:cat>
          <c:val>
            <c:numRef>
              <c:f>[Avaluos.xlsx]IVPvsSMvsIPC!$M$2:$M$9</c:f>
              <c:numCache>
                <c:formatCode>0.00%</c:formatCode>
                <c:ptCount val="8"/>
                <c:pt idx="0">
                  <c:v>3.1699999999999999E-2</c:v>
                </c:pt>
                <c:pt idx="1">
                  <c:v>3.73E-2</c:v>
                </c:pt>
                <c:pt idx="2">
                  <c:v>2.4400000000000002E-2</c:v>
                </c:pt>
                <c:pt idx="3">
                  <c:v>1.9400000000000001E-2</c:v>
                </c:pt>
                <c:pt idx="4">
                  <c:v>3.6600000000000001E-2</c:v>
                </c:pt>
                <c:pt idx="5">
                  <c:v>6.7699999999999996E-2</c:v>
                </c:pt>
                <c:pt idx="6">
                  <c:v>5.7500000000000002E-2</c:v>
                </c:pt>
                <c:pt idx="7">
                  <c:v>4.0899999999999999E-2</c:v>
                </c:pt>
              </c:numCache>
            </c:numRef>
          </c:val>
          <c:smooth val="0"/>
          <c:extLst>
            <c:ext xmlns:c16="http://schemas.microsoft.com/office/drawing/2014/chart" uri="{C3380CC4-5D6E-409C-BE32-E72D297353CC}">
              <c16:uniqueId val="{00000005-AB0A-4BFA-B2BE-27C58DE64451}"/>
            </c:ext>
          </c:extLst>
        </c:ser>
        <c:dLbls>
          <c:showLegendKey val="0"/>
          <c:showVal val="0"/>
          <c:showCatName val="0"/>
          <c:showSerName val="0"/>
          <c:showPercent val="0"/>
          <c:showBubbleSize val="0"/>
        </c:dLbls>
        <c:smooth val="0"/>
        <c:axId val="92538752"/>
        <c:axId val="92902528"/>
      </c:lineChart>
      <c:catAx>
        <c:axId val="92538752"/>
        <c:scaling>
          <c:orientation val="minMax"/>
        </c:scaling>
        <c:delete val="0"/>
        <c:axPos val="b"/>
        <c:numFmt formatCode="General" sourceLinked="1"/>
        <c:majorTickMark val="out"/>
        <c:minorTickMark val="none"/>
        <c:tickLblPos val="nextTo"/>
        <c:crossAx val="92902528"/>
        <c:crosses val="autoZero"/>
        <c:auto val="1"/>
        <c:lblAlgn val="ctr"/>
        <c:lblOffset val="100"/>
        <c:noMultiLvlLbl val="0"/>
      </c:catAx>
      <c:valAx>
        <c:axId val="92902528"/>
        <c:scaling>
          <c:orientation val="minMax"/>
          <c:max val="6.7000000000000018E-2"/>
          <c:min val="1.5000000000000003E-2"/>
        </c:scaling>
        <c:delete val="0"/>
        <c:axPos val="l"/>
        <c:numFmt formatCode="0.00%" sourceLinked="1"/>
        <c:majorTickMark val="out"/>
        <c:minorTickMark val="none"/>
        <c:tickLblPos val="nextTo"/>
        <c:crossAx val="92538752"/>
        <c:crosses val="autoZero"/>
        <c:crossBetween val="between"/>
        <c:majorUnit val="1.0000000000000002E-2"/>
      </c:valAx>
      <c:spPr>
        <a:noFill/>
        <a:ln w="25400">
          <a:noFill/>
        </a:ln>
      </c:spPr>
    </c:plotArea>
    <c:legend>
      <c:legendPos val="b"/>
      <c:layout>
        <c:manualLayout>
          <c:xMode val="edge"/>
          <c:yMode val="edge"/>
          <c:x val="2.6096330626696109E-2"/>
          <c:y val="0.82234239068740256"/>
          <c:w val="0.94554438332682944"/>
          <c:h val="0.15144528952229594"/>
        </c:manualLayout>
      </c:layout>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[Avaluos.xlsx]AvalúoBGTvsNAL!$M$17</c:f>
              <c:strCache>
                <c:ptCount val="1"/>
                <c:pt idx="0">
                  <c:v>VARIACIÓN NACIONAL % DESDE 2008</c:v>
                </c:pt>
              </c:strCache>
            </c:strRef>
          </c:tx>
          <c:marker>
            <c:symbol val="none"/>
          </c:marker>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ext>
            </c:extLst>
          </c:dLbls>
          <c:cat>
            <c:numRef>
              <c:f>[Avaluos.xlsx]AvalúoBGTvsNAL!$N$16:$W$16</c:f>
              <c:numCache>
                <c:formatCode>General</c:formatCode>
                <c:ptCount val="10"/>
                <c:pt idx="0">
                  <c:v>2008</c:v>
                </c:pt>
                <c:pt idx="1">
                  <c:v>2009</c:v>
                </c:pt>
                <c:pt idx="2">
                  <c:v>2010</c:v>
                </c:pt>
                <c:pt idx="3">
                  <c:v>2011</c:v>
                </c:pt>
                <c:pt idx="4">
                  <c:v>2012</c:v>
                </c:pt>
                <c:pt idx="5">
                  <c:v>2013</c:v>
                </c:pt>
                <c:pt idx="6">
                  <c:v>2014</c:v>
                </c:pt>
                <c:pt idx="7">
                  <c:v>2015</c:v>
                </c:pt>
                <c:pt idx="8">
                  <c:v>2016</c:v>
                </c:pt>
                <c:pt idx="9">
                  <c:v>2017</c:v>
                </c:pt>
              </c:numCache>
            </c:numRef>
          </c:cat>
          <c:val>
            <c:numRef>
              <c:f>[Avaluos.xlsx]AvalúoBGTvsNAL!$N$17:$W$17</c:f>
              <c:numCache>
                <c:formatCode>0.00%</c:formatCode>
                <c:ptCount val="10"/>
                <c:pt idx="1">
                  <c:v>0.18247840219577394</c:v>
                </c:pt>
                <c:pt idx="2">
                  <c:v>0.28293928438014793</c:v>
                </c:pt>
                <c:pt idx="3">
                  <c:v>0.41807029539998664</c:v>
                </c:pt>
                <c:pt idx="4">
                  <c:v>0.63709553084915904</c:v>
                </c:pt>
                <c:pt idx="5">
                  <c:v>0.82313175012561346</c:v>
                </c:pt>
                <c:pt idx="6">
                  <c:v>1.0836666348989201</c:v>
                </c:pt>
                <c:pt idx="7">
                  <c:v>1.2379988770636987</c:v>
                </c:pt>
                <c:pt idx="8">
                  <c:v>1.3590780460559353</c:v>
                </c:pt>
                <c:pt idx="9">
                  <c:v>1.4972836435011581</c:v>
                </c:pt>
              </c:numCache>
            </c:numRef>
          </c:val>
          <c:smooth val="0"/>
          <c:extLst>
            <c:ext xmlns:c16="http://schemas.microsoft.com/office/drawing/2014/chart" uri="{C3380CC4-5D6E-409C-BE32-E72D297353CC}">
              <c16:uniqueId val="{00000000-2EC1-4987-B48C-1987A1F7F94E}"/>
            </c:ext>
          </c:extLst>
        </c:ser>
        <c:ser>
          <c:idx val="1"/>
          <c:order val="1"/>
          <c:tx>
            <c:strRef>
              <c:f>[Avaluos.xlsx]AvalúoBGTvsNAL!$M$18</c:f>
              <c:strCache>
                <c:ptCount val="1"/>
                <c:pt idx="0">
                  <c:v>VARIACIÓN BOGOTÁ % DESDE 2008</c:v>
                </c:pt>
              </c:strCache>
            </c:strRef>
          </c:tx>
          <c:marker>
            <c:symbol val="none"/>
          </c:marker>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ext>
            </c:extLst>
          </c:dLbls>
          <c:cat>
            <c:numRef>
              <c:f>[Avaluos.xlsx]AvalúoBGTvsNAL!$N$16:$W$16</c:f>
              <c:numCache>
                <c:formatCode>General</c:formatCode>
                <c:ptCount val="10"/>
                <c:pt idx="0">
                  <c:v>2008</c:v>
                </c:pt>
                <c:pt idx="1">
                  <c:v>2009</c:v>
                </c:pt>
                <c:pt idx="2">
                  <c:v>2010</c:v>
                </c:pt>
                <c:pt idx="3">
                  <c:v>2011</c:v>
                </c:pt>
                <c:pt idx="4">
                  <c:v>2012</c:v>
                </c:pt>
                <c:pt idx="5">
                  <c:v>2013</c:v>
                </c:pt>
                <c:pt idx="6">
                  <c:v>2014</c:v>
                </c:pt>
                <c:pt idx="7">
                  <c:v>2015</c:v>
                </c:pt>
                <c:pt idx="8">
                  <c:v>2016</c:v>
                </c:pt>
                <c:pt idx="9">
                  <c:v>2017</c:v>
                </c:pt>
              </c:numCache>
            </c:numRef>
          </c:cat>
          <c:val>
            <c:numRef>
              <c:f>[Avaluos.xlsx]AvalúoBGTvsNAL!$N$18:$W$18</c:f>
              <c:numCache>
                <c:formatCode>0.00%</c:formatCode>
                <c:ptCount val="10"/>
                <c:pt idx="1">
                  <c:v>0.27041380128069759</c:v>
                </c:pt>
                <c:pt idx="2">
                  <c:v>0.62219540448773891</c:v>
                </c:pt>
                <c:pt idx="3">
                  <c:v>0.97335112976873117</c:v>
                </c:pt>
                <c:pt idx="4">
                  <c:v>1.3108394114714534</c:v>
                </c:pt>
                <c:pt idx="5">
                  <c:v>1.7531555462583546</c:v>
                </c:pt>
                <c:pt idx="6">
                  <c:v>2.2006950447882083</c:v>
                </c:pt>
                <c:pt idx="7">
                  <c:v>2.6872784003907375</c:v>
                </c:pt>
                <c:pt idx="8">
                  <c:v>3.0081665279168348</c:v>
                </c:pt>
                <c:pt idx="9">
                  <c:v>3.3588192192228563</c:v>
                </c:pt>
              </c:numCache>
            </c:numRef>
          </c:val>
          <c:smooth val="0"/>
          <c:extLst>
            <c:ext xmlns:c16="http://schemas.microsoft.com/office/drawing/2014/chart" uri="{C3380CC4-5D6E-409C-BE32-E72D297353CC}">
              <c16:uniqueId val="{00000001-2EC1-4987-B48C-1987A1F7F94E}"/>
            </c:ext>
          </c:extLst>
        </c:ser>
        <c:dLbls>
          <c:dLblPos val="ctr"/>
          <c:showLegendKey val="0"/>
          <c:showVal val="1"/>
          <c:showCatName val="0"/>
          <c:showSerName val="0"/>
          <c:showPercent val="0"/>
          <c:showBubbleSize val="0"/>
        </c:dLbls>
        <c:smooth val="0"/>
        <c:axId val="93356032"/>
        <c:axId val="93357568"/>
      </c:lineChart>
      <c:catAx>
        <c:axId val="93356032"/>
        <c:scaling>
          <c:orientation val="minMax"/>
        </c:scaling>
        <c:delete val="0"/>
        <c:axPos val="b"/>
        <c:numFmt formatCode="General" sourceLinked="1"/>
        <c:majorTickMark val="none"/>
        <c:minorTickMark val="none"/>
        <c:tickLblPos val="nextTo"/>
        <c:crossAx val="93357568"/>
        <c:crosses val="autoZero"/>
        <c:auto val="1"/>
        <c:lblAlgn val="ctr"/>
        <c:lblOffset val="100"/>
        <c:noMultiLvlLbl val="0"/>
      </c:catAx>
      <c:valAx>
        <c:axId val="93357568"/>
        <c:scaling>
          <c:orientation val="minMax"/>
        </c:scaling>
        <c:delete val="0"/>
        <c:axPos val="l"/>
        <c:numFmt formatCode="0%" sourceLinked="0"/>
        <c:majorTickMark val="none"/>
        <c:minorTickMark val="none"/>
        <c:tickLblPos val="nextTo"/>
        <c:crossAx val="93356032"/>
        <c:crosses val="autoZero"/>
        <c:crossBetween val="between"/>
      </c:valAx>
    </c:plotArea>
    <c:legend>
      <c:legendPos val="b"/>
      <c:layout/>
      <c:overlay val="0"/>
    </c:legend>
    <c:plotVisOnly val="1"/>
    <c:dispBlanksAs val="gap"/>
    <c:showDLblsOverMax val="0"/>
  </c:chart>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510F10-970F-4C5E-8951-AA9015ACD0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8</Pages>
  <Words>2046</Words>
  <Characters>11259</Characters>
  <Application>Microsoft Office Word</Application>
  <DocSecurity>0</DocSecurity>
  <Lines>93</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Omar Rangel</dc:creator>
  <cp:keywords/>
  <dc:description/>
  <cp:lastModifiedBy>JAVIER HERNANDEZ</cp:lastModifiedBy>
  <cp:revision>5</cp:revision>
  <dcterms:created xsi:type="dcterms:W3CDTF">2018-07-19T01:52:00Z</dcterms:created>
  <dcterms:modified xsi:type="dcterms:W3CDTF">2018-07-26T16:07:00Z</dcterms:modified>
</cp:coreProperties>
</file>