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7FE" w:rsidRPr="008837FE" w:rsidRDefault="008837FE" w:rsidP="008837FE"/>
    <w:p w:rsidR="008837FE" w:rsidRPr="008837FE" w:rsidRDefault="008837FE" w:rsidP="008837FE"/>
    <w:p w:rsidR="008837FE" w:rsidRPr="008837FE" w:rsidRDefault="008837FE" w:rsidP="00D40C47">
      <w:pPr>
        <w:jc w:val="center"/>
        <w:rPr>
          <w:b/>
        </w:rPr>
      </w:pPr>
      <w:r w:rsidRPr="008837FE">
        <w:rPr>
          <w:b/>
        </w:rPr>
        <w:t>PROYECTO DE LEY N° _________ DE 2025 CÁMARA</w:t>
      </w:r>
    </w:p>
    <w:p w:rsidR="008837FE" w:rsidRPr="008837FE" w:rsidRDefault="008837FE" w:rsidP="00D40C47">
      <w:pPr>
        <w:jc w:val="center"/>
        <w:rPr>
          <w:b/>
        </w:rPr>
      </w:pPr>
    </w:p>
    <w:p w:rsidR="008837FE" w:rsidRPr="008837FE" w:rsidRDefault="008837FE" w:rsidP="00D40C47">
      <w:pPr>
        <w:jc w:val="center"/>
        <w:rPr>
          <w:b/>
          <w:i/>
        </w:rPr>
      </w:pPr>
      <w:r w:rsidRPr="008837FE">
        <w:rPr>
          <w:b/>
          <w:i/>
        </w:rPr>
        <w:t xml:space="preserve">“POR </w:t>
      </w:r>
      <w:r w:rsidR="00C355BD">
        <w:rPr>
          <w:b/>
          <w:i/>
        </w:rPr>
        <w:t xml:space="preserve">LA CUAL </w:t>
      </w:r>
      <w:r w:rsidR="009A43B7">
        <w:rPr>
          <w:b/>
          <w:i/>
        </w:rPr>
        <w:t>SE ESTABLECEN PARÁ</w:t>
      </w:r>
      <w:r w:rsidR="00F767BB">
        <w:rPr>
          <w:b/>
          <w:i/>
        </w:rPr>
        <w:t xml:space="preserve">METROS Y ADVERTENCIAS FRENTE A LOS JUEGOS DE APUESTAS, SUERTE Y AZAR QUE </w:t>
      </w:r>
      <w:r w:rsidR="009A43B7">
        <w:rPr>
          <w:b/>
          <w:i/>
        </w:rPr>
        <w:t>SE REALIZAN EN PLATAFORMAS EN LÍ</w:t>
      </w:r>
      <w:r w:rsidR="00F767BB">
        <w:rPr>
          <w:b/>
          <w:i/>
        </w:rPr>
        <w:t xml:space="preserve">NEA Y SE </w:t>
      </w:r>
      <w:r w:rsidRPr="008837FE">
        <w:rPr>
          <w:b/>
          <w:i/>
        </w:rPr>
        <w:t>DICTAN OTRAS DISPOSICIONES”</w:t>
      </w:r>
    </w:p>
    <w:p w:rsidR="008837FE" w:rsidRPr="008837FE" w:rsidRDefault="008837FE" w:rsidP="00D40C47">
      <w:pPr>
        <w:jc w:val="center"/>
        <w:rPr>
          <w:b/>
          <w:i/>
        </w:rPr>
      </w:pPr>
    </w:p>
    <w:p w:rsidR="008837FE" w:rsidRPr="008837FE" w:rsidRDefault="008837FE" w:rsidP="00D40C47">
      <w:pPr>
        <w:jc w:val="center"/>
        <w:rPr>
          <w:b/>
        </w:rPr>
      </w:pPr>
      <w:r w:rsidRPr="008837FE">
        <w:rPr>
          <w:b/>
        </w:rPr>
        <w:t>EL CONGRESO DE COLOMBIA</w:t>
      </w:r>
    </w:p>
    <w:p w:rsidR="008837FE" w:rsidRPr="008837FE" w:rsidRDefault="008837FE" w:rsidP="00D40C47">
      <w:pPr>
        <w:jc w:val="center"/>
        <w:rPr>
          <w:b/>
        </w:rPr>
      </w:pPr>
    </w:p>
    <w:p w:rsidR="008837FE" w:rsidRPr="008837FE" w:rsidRDefault="008837FE" w:rsidP="00D40C47">
      <w:pPr>
        <w:jc w:val="center"/>
        <w:rPr>
          <w:b/>
        </w:rPr>
      </w:pPr>
      <w:r w:rsidRPr="008837FE">
        <w:rPr>
          <w:b/>
        </w:rPr>
        <w:t>DECRETA:</w:t>
      </w:r>
    </w:p>
    <w:p w:rsidR="008837FE" w:rsidRPr="008837FE" w:rsidRDefault="008837FE" w:rsidP="00D40C47">
      <w:pPr>
        <w:jc w:val="center"/>
        <w:rPr>
          <w:b/>
        </w:rPr>
      </w:pPr>
    </w:p>
    <w:p w:rsidR="008837FE" w:rsidRPr="008837FE" w:rsidRDefault="008837FE" w:rsidP="00E72894">
      <w:pPr>
        <w:jc w:val="both"/>
      </w:pPr>
      <w:r w:rsidRPr="008837FE">
        <w:rPr>
          <w:b/>
        </w:rPr>
        <w:t xml:space="preserve">ARTÍCULO 1°. OBJETO. </w:t>
      </w:r>
      <w:r w:rsidRPr="008837FE">
        <w:t xml:space="preserve">La presente ley tiene por </w:t>
      </w:r>
      <w:r w:rsidR="00DB79D3" w:rsidRPr="008837FE">
        <w:t xml:space="preserve">objeto </w:t>
      </w:r>
      <w:bookmarkStart w:id="0" w:name="_Hlk202956422"/>
      <w:bookmarkStart w:id="1" w:name="_Hlk203460252"/>
      <w:r w:rsidR="00DB79D3">
        <w:t xml:space="preserve">la </w:t>
      </w:r>
      <w:r w:rsidR="00544C30">
        <w:t>implementación</w:t>
      </w:r>
      <w:r w:rsidR="00DB79D3">
        <w:t xml:space="preserve"> de advertencias</w:t>
      </w:r>
      <w:r w:rsidR="00544C30">
        <w:t xml:space="preserve"> y mensajes preventivos</w:t>
      </w:r>
      <w:r w:rsidR="00DB79D3">
        <w:t xml:space="preserve"> que deberán realizar las plataformas de apuestas en línea</w:t>
      </w:r>
      <w:r w:rsidR="00F02E05">
        <w:t xml:space="preserve"> que operan en Colombia,</w:t>
      </w:r>
      <w:r w:rsidR="00DB79D3">
        <w:t xml:space="preserve"> cuando comunican y publican sus juegos </w:t>
      </w:r>
      <w:r w:rsidR="008F724A">
        <w:t>de</w:t>
      </w:r>
      <w:r w:rsidR="00544C30">
        <w:t xml:space="preserve"> apuestas,</w:t>
      </w:r>
      <w:r w:rsidR="008F724A">
        <w:t xml:space="preserve"> </w:t>
      </w:r>
      <w:r w:rsidR="00DB79D3">
        <w:t xml:space="preserve">suerte y azar. </w:t>
      </w:r>
      <w:r w:rsidR="00976C4E">
        <w:t xml:space="preserve"> En la que deberán informar sobre los aspectos</w:t>
      </w:r>
      <w:r w:rsidR="00E72894">
        <w:t xml:space="preserve"> </w:t>
      </w:r>
      <w:r w:rsidR="00976C4E">
        <w:t>asociados a</w:t>
      </w:r>
      <w:r w:rsidR="00544C30">
        <w:t xml:space="preserve"> la</w:t>
      </w:r>
      <w:r w:rsidR="00976C4E">
        <w:t xml:space="preserve"> </w:t>
      </w:r>
      <w:r w:rsidR="00544C30">
        <w:t>l</w:t>
      </w:r>
      <w:r w:rsidR="00976C4E">
        <w:t>udopatía y afectaciones a la salud mental</w:t>
      </w:r>
      <w:bookmarkEnd w:id="0"/>
      <w:r w:rsidR="004F661C">
        <w:t>.</w:t>
      </w:r>
      <w:bookmarkEnd w:id="1"/>
    </w:p>
    <w:p w:rsidR="008837FE" w:rsidRPr="008837FE" w:rsidRDefault="008837FE" w:rsidP="008837FE"/>
    <w:p w:rsidR="008F724A" w:rsidRDefault="008837FE" w:rsidP="008F724A">
      <w:pPr>
        <w:jc w:val="both"/>
      </w:pPr>
      <w:r w:rsidRPr="008837FE">
        <w:rPr>
          <w:b/>
        </w:rPr>
        <w:t>AR</w:t>
      </w:r>
      <w:r w:rsidR="00C5410A" w:rsidRPr="008837FE">
        <w:rPr>
          <w:b/>
        </w:rPr>
        <w:t xml:space="preserve">TÍCULO 2°. </w:t>
      </w:r>
      <w:r w:rsidR="00C5410A">
        <w:rPr>
          <w:b/>
        </w:rPr>
        <w:t>ADVERTENCIA</w:t>
      </w:r>
      <w:r w:rsidR="00C5410A" w:rsidRPr="008837FE">
        <w:t>:</w:t>
      </w:r>
      <w:r w:rsidRPr="008837FE">
        <w:t xml:space="preserve"> </w:t>
      </w:r>
      <w:bookmarkStart w:id="2" w:name="_Hlk202956468"/>
      <w:bookmarkStart w:id="3" w:name="_Hlk203460356"/>
      <w:r w:rsidR="00C5410A">
        <w:t xml:space="preserve">Toda publicidad, </w:t>
      </w:r>
      <w:r w:rsidR="00025C34">
        <w:t>identificación o promoción sobre juegos de suerte y azar</w:t>
      </w:r>
      <w:r w:rsidR="008F724A">
        <w:t xml:space="preserve"> que realicen las plataformas de apuestas en línea</w:t>
      </w:r>
      <w:r w:rsidR="00141E5B">
        <w:t xml:space="preserve">, </w:t>
      </w:r>
      <w:r w:rsidR="000C17F0">
        <w:t>deberán</w:t>
      </w:r>
      <w:r w:rsidR="00141E5B">
        <w:t xml:space="preserve"> hacer referencia expresa a la </w:t>
      </w:r>
      <w:r w:rsidR="003C2FFD">
        <w:t xml:space="preserve">prohibición </w:t>
      </w:r>
      <w:r w:rsidR="008F724A">
        <w:t xml:space="preserve">para menores de edad </w:t>
      </w:r>
      <w:r w:rsidR="003C2FFD">
        <w:t>establecida en el artículo 4</w:t>
      </w:r>
      <w:r w:rsidR="00381E86">
        <w:t xml:space="preserve"> literal (b)</w:t>
      </w:r>
      <w:r w:rsidR="003C2FFD">
        <w:t xml:space="preserve"> de la Ley 643 de 2001</w:t>
      </w:r>
      <w:r w:rsidR="008F724A">
        <w:t>.</w:t>
      </w:r>
    </w:p>
    <w:p w:rsidR="008F724A" w:rsidRDefault="008F724A" w:rsidP="008F724A">
      <w:pPr>
        <w:jc w:val="both"/>
      </w:pPr>
    </w:p>
    <w:bookmarkEnd w:id="2"/>
    <w:p w:rsidR="008837FE" w:rsidRDefault="008837FE" w:rsidP="00381E86">
      <w:pPr>
        <w:jc w:val="both"/>
      </w:pPr>
      <w:r w:rsidRPr="008837FE">
        <w:rPr>
          <w:b/>
        </w:rPr>
        <w:t xml:space="preserve">ARTÍCULO 3°. </w:t>
      </w:r>
      <w:r w:rsidR="000C17F0">
        <w:rPr>
          <w:b/>
        </w:rPr>
        <w:t xml:space="preserve">ETIQUETA: </w:t>
      </w:r>
      <w:r w:rsidRPr="008837FE">
        <w:t xml:space="preserve">En </w:t>
      </w:r>
      <w:r w:rsidR="00381E86">
        <w:t xml:space="preserve">toda publicidad, identificación o promoción de juegos de suerte y azar que realicen las plataformas de apuestas en línea deberá comunicarse al público la leyenda: </w:t>
      </w:r>
      <w:r w:rsidR="00381E86" w:rsidRPr="00B91BB6">
        <w:rPr>
          <w:i/>
          <w:iCs/>
        </w:rPr>
        <w:t>“El exceso de apuestas en línea puede causar ludopatía siendo perjudicial para la salud mental”.</w:t>
      </w:r>
      <w:r w:rsidR="00381E86">
        <w:t xml:space="preserve"> </w:t>
      </w:r>
    </w:p>
    <w:p w:rsidR="00381E86" w:rsidRPr="008837FE" w:rsidRDefault="00381E86" w:rsidP="008837FE"/>
    <w:p w:rsidR="008837FE" w:rsidRPr="008837FE" w:rsidRDefault="008837FE" w:rsidP="00544C30">
      <w:pPr>
        <w:jc w:val="both"/>
        <w:rPr>
          <w:bCs/>
        </w:rPr>
      </w:pPr>
      <w:r w:rsidRPr="008837FE">
        <w:rPr>
          <w:b/>
        </w:rPr>
        <w:t xml:space="preserve">ARTÍCULO 4°. AUTORIZACIÓN: </w:t>
      </w:r>
      <w:r w:rsidRPr="008837FE">
        <w:t>Autorícese al Gobierno Nacional</w:t>
      </w:r>
      <w:r w:rsidR="00B91BB6">
        <w:t>, Ministerio de Hacienda, Ministerio de Salud,</w:t>
      </w:r>
      <w:r w:rsidR="00F02E05">
        <w:t xml:space="preserve"> Ministerio de las Tecnologías de la Información y Comunicaciones,</w:t>
      </w:r>
      <w:r w:rsidR="00B91BB6">
        <w:t xml:space="preserve"> y especialmente a</w:t>
      </w:r>
      <w:r w:rsidR="00381E86" w:rsidRPr="00544C30">
        <w:t xml:space="preserve"> </w:t>
      </w:r>
      <w:r w:rsidRPr="008837FE">
        <w:t>l</w:t>
      </w:r>
      <w:r w:rsidR="00322F46" w:rsidRPr="00544C30">
        <w:t xml:space="preserve">a </w:t>
      </w:r>
      <w:r w:rsidR="00862871" w:rsidRPr="00544C30">
        <w:t>E</w:t>
      </w:r>
      <w:r w:rsidR="00322F46" w:rsidRPr="00544C30">
        <w:t xml:space="preserve">mpresa Industrial y Comercial del Estado Administradora del Monopolio Rentístico de los Juegos de Suerte y Azar </w:t>
      </w:r>
      <w:r w:rsidR="00862871" w:rsidRPr="00544C30">
        <w:t>–</w:t>
      </w:r>
      <w:r w:rsidR="00322F46" w:rsidRPr="00544C30">
        <w:t xml:space="preserve"> COLJUEGOS</w:t>
      </w:r>
      <w:r w:rsidR="00862871" w:rsidRPr="00544C30">
        <w:t xml:space="preserve">, para expedir los reglamentos </w:t>
      </w:r>
      <w:r w:rsidR="00544C30" w:rsidRPr="00544C30">
        <w:t xml:space="preserve">que podrán contener las sanciones </w:t>
      </w:r>
      <w:r w:rsidR="00862871" w:rsidRPr="00544C30">
        <w:t>necesari</w:t>
      </w:r>
      <w:r w:rsidR="00544C30">
        <w:t>as</w:t>
      </w:r>
      <w:r w:rsidR="00862871" w:rsidRPr="00544C30">
        <w:t xml:space="preserve"> </w:t>
      </w:r>
      <w:r w:rsidR="00544C30">
        <w:t xml:space="preserve">frente al incumplimiento de </w:t>
      </w:r>
      <w:r w:rsidR="00862871" w:rsidRPr="00544C30">
        <w:t>la presente Ley.</w:t>
      </w:r>
    </w:p>
    <w:bookmarkEnd w:id="3"/>
    <w:p w:rsidR="008837FE" w:rsidRPr="008837FE" w:rsidRDefault="008837FE" w:rsidP="008837FE"/>
    <w:p w:rsidR="008837FE" w:rsidRPr="008837FE" w:rsidRDefault="008837FE" w:rsidP="008837FE">
      <w:r w:rsidRPr="008837FE">
        <w:rPr>
          <w:b/>
        </w:rPr>
        <w:t xml:space="preserve">ARTÍCULO </w:t>
      </w:r>
      <w:r w:rsidR="00B16254">
        <w:rPr>
          <w:b/>
        </w:rPr>
        <w:t>5</w:t>
      </w:r>
      <w:r w:rsidRPr="008837FE">
        <w:rPr>
          <w:b/>
        </w:rPr>
        <w:t xml:space="preserve">°. VIGENCIA Y DEROGATORIAS: </w:t>
      </w:r>
      <w:r w:rsidRPr="008837FE">
        <w:t>La presente Ley rige a partir de la fecha de su promulgación.</w:t>
      </w:r>
    </w:p>
    <w:p w:rsidR="008837FE" w:rsidRPr="008837FE" w:rsidRDefault="008837FE" w:rsidP="008837FE"/>
    <w:p w:rsidR="008837FE" w:rsidRPr="008837FE" w:rsidRDefault="008837FE" w:rsidP="008837FE">
      <w:pPr>
        <w:rPr>
          <w:b/>
        </w:rPr>
      </w:pPr>
    </w:p>
    <w:p w:rsidR="008837FE" w:rsidRPr="008837FE" w:rsidRDefault="008837FE" w:rsidP="008837FE">
      <w:pPr>
        <w:rPr>
          <w:b/>
        </w:rPr>
      </w:pPr>
    </w:p>
    <w:p w:rsidR="008837FE" w:rsidRPr="008837FE" w:rsidRDefault="008837FE" w:rsidP="008837FE">
      <w:pPr>
        <w:rPr>
          <w:b/>
        </w:rPr>
      </w:pPr>
    </w:p>
    <w:p w:rsidR="008837FE" w:rsidRPr="008837FE" w:rsidRDefault="008837FE" w:rsidP="008837FE">
      <w:pPr>
        <w:rPr>
          <w:b/>
        </w:rPr>
      </w:pPr>
      <w:r w:rsidRPr="008837FE">
        <w:rPr>
          <w:b/>
        </w:rPr>
        <w:t>EDUAR TRIANA RINCÓN</w:t>
      </w:r>
    </w:p>
    <w:p w:rsidR="008837FE" w:rsidRPr="008837FE" w:rsidRDefault="008837FE" w:rsidP="008837FE">
      <w:pPr>
        <w:rPr>
          <w:b/>
        </w:rPr>
      </w:pPr>
      <w:r w:rsidRPr="008837FE">
        <w:rPr>
          <w:b/>
        </w:rPr>
        <w:t xml:space="preserve">Representante a la Cámara Boyacá </w:t>
      </w:r>
    </w:p>
    <w:p w:rsidR="008837FE" w:rsidRDefault="008837FE" w:rsidP="008837FE">
      <w:pPr>
        <w:rPr>
          <w:b/>
        </w:rPr>
      </w:pPr>
      <w:r w:rsidRPr="008837FE">
        <w:rPr>
          <w:b/>
        </w:rPr>
        <w:t xml:space="preserve">Centro Democrático </w:t>
      </w:r>
    </w:p>
    <w:p w:rsidR="007A335B" w:rsidRDefault="007A335B" w:rsidP="008837FE">
      <w:pPr>
        <w:rPr>
          <w:b/>
        </w:rPr>
      </w:pPr>
    </w:p>
    <w:p w:rsidR="007A335B" w:rsidRDefault="007A335B" w:rsidP="008837FE">
      <w:pPr>
        <w:rPr>
          <w:b/>
        </w:rPr>
      </w:pPr>
    </w:p>
    <w:p w:rsidR="007A335B" w:rsidRDefault="007A335B" w:rsidP="008837FE">
      <w:pPr>
        <w:rPr>
          <w:b/>
        </w:rPr>
      </w:pPr>
    </w:p>
    <w:p w:rsidR="007A335B" w:rsidRDefault="007A335B" w:rsidP="008837FE">
      <w:pPr>
        <w:rPr>
          <w:b/>
        </w:rPr>
      </w:pPr>
    </w:p>
    <w:tbl>
      <w:tblPr>
        <w:tblStyle w:val="Tablaconcuadrcula"/>
        <w:tblW w:w="0" w:type="auto"/>
        <w:tblLook w:val="04A0" w:firstRow="1" w:lastRow="0" w:firstColumn="1" w:lastColumn="0" w:noHBand="0" w:noVBand="1"/>
      </w:tblPr>
      <w:tblGrid>
        <w:gridCol w:w="4414"/>
        <w:gridCol w:w="4414"/>
      </w:tblGrid>
      <w:tr w:rsidR="007A335B" w:rsidTr="007A335B">
        <w:tc>
          <w:tcPr>
            <w:tcW w:w="4414" w:type="dxa"/>
          </w:tcPr>
          <w:p w:rsidR="007A335B" w:rsidRDefault="007A335B" w:rsidP="008837FE">
            <w:pPr>
              <w:rPr>
                <w:b/>
              </w:rPr>
            </w:pPr>
          </w:p>
          <w:p w:rsidR="007A335B" w:rsidRDefault="007A335B" w:rsidP="008837FE">
            <w:pPr>
              <w:rPr>
                <w:b/>
              </w:rPr>
            </w:pPr>
          </w:p>
          <w:p w:rsidR="007A335B" w:rsidRDefault="007A335B" w:rsidP="008837FE">
            <w:pPr>
              <w:rPr>
                <w:b/>
              </w:rPr>
            </w:pPr>
          </w:p>
          <w:p w:rsidR="007A335B" w:rsidRDefault="007A335B" w:rsidP="008837FE">
            <w:pPr>
              <w:rPr>
                <w:b/>
              </w:rPr>
            </w:pPr>
          </w:p>
        </w:tc>
        <w:tc>
          <w:tcPr>
            <w:tcW w:w="4414" w:type="dxa"/>
          </w:tcPr>
          <w:p w:rsidR="007A335B" w:rsidRDefault="007A335B" w:rsidP="008837FE">
            <w:pPr>
              <w:rPr>
                <w:b/>
              </w:rPr>
            </w:pPr>
          </w:p>
        </w:tc>
      </w:tr>
      <w:tr w:rsidR="007A335B" w:rsidTr="007A335B">
        <w:tc>
          <w:tcPr>
            <w:tcW w:w="4414" w:type="dxa"/>
          </w:tcPr>
          <w:p w:rsidR="007A335B" w:rsidRDefault="007A335B" w:rsidP="008837FE">
            <w:pPr>
              <w:rPr>
                <w:b/>
              </w:rPr>
            </w:pPr>
          </w:p>
          <w:p w:rsidR="007A335B" w:rsidRDefault="007A335B" w:rsidP="008837FE">
            <w:pPr>
              <w:rPr>
                <w:b/>
              </w:rPr>
            </w:pPr>
          </w:p>
          <w:p w:rsidR="007A335B" w:rsidRDefault="007A335B" w:rsidP="008837FE">
            <w:pPr>
              <w:rPr>
                <w:b/>
              </w:rPr>
            </w:pPr>
          </w:p>
          <w:p w:rsidR="007A335B" w:rsidRDefault="007A335B" w:rsidP="008837FE">
            <w:pPr>
              <w:rPr>
                <w:b/>
              </w:rPr>
            </w:pPr>
          </w:p>
        </w:tc>
        <w:tc>
          <w:tcPr>
            <w:tcW w:w="4414" w:type="dxa"/>
          </w:tcPr>
          <w:p w:rsidR="007A335B" w:rsidRDefault="007A335B" w:rsidP="008837FE">
            <w:pPr>
              <w:rPr>
                <w:b/>
              </w:rPr>
            </w:pPr>
          </w:p>
        </w:tc>
      </w:tr>
      <w:tr w:rsidR="007A335B" w:rsidTr="007A335B">
        <w:tc>
          <w:tcPr>
            <w:tcW w:w="4414" w:type="dxa"/>
          </w:tcPr>
          <w:p w:rsidR="007A335B" w:rsidRDefault="007A335B" w:rsidP="008837FE">
            <w:pPr>
              <w:rPr>
                <w:b/>
              </w:rPr>
            </w:pPr>
          </w:p>
          <w:p w:rsidR="007A335B" w:rsidRDefault="007A335B" w:rsidP="008837FE">
            <w:pPr>
              <w:rPr>
                <w:b/>
              </w:rPr>
            </w:pPr>
          </w:p>
          <w:p w:rsidR="007A335B" w:rsidRDefault="007A335B" w:rsidP="008837FE">
            <w:pPr>
              <w:rPr>
                <w:b/>
              </w:rPr>
            </w:pPr>
          </w:p>
          <w:p w:rsidR="007A335B" w:rsidRDefault="007A335B" w:rsidP="008837FE">
            <w:pPr>
              <w:rPr>
                <w:b/>
              </w:rPr>
            </w:pPr>
          </w:p>
        </w:tc>
        <w:tc>
          <w:tcPr>
            <w:tcW w:w="4414" w:type="dxa"/>
          </w:tcPr>
          <w:p w:rsidR="007A335B" w:rsidRDefault="007A335B" w:rsidP="008837FE">
            <w:pPr>
              <w:rPr>
                <w:b/>
              </w:rPr>
            </w:pPr>
          </w:p>
        </w:tc>
      </w:tr>
      <w:tr w:rsidR="007A335B" w:rsidTr="007A335B">
        <w:tc>
          <w:tcPr>
            <w:tcW w:w="4414" w:type="dxa"/>
          </w:tcPr>
          <w:p w:rsidR="007A335B" w:rsidRDefault="007A335B" w:rsidP="008837FE">
            <w:pPr>
              <w:rPr>
                <w:b/>
              </w:rPr>
            </w:pPr>
          </w:p>
          <w:p w:rsidR="007A335B" w:rsidRDefault="007A335B" w:rsidP="008837FE">
            <w:pPr>
              <w:rPr>
                <w:b/>
              </w:rPr>
            </w:pPr>
          </w:p>
          <w:p w:rsidR="007A335B" w:rsidRDefault="007A335B" w:rsidP="008837FE">
            <w:pPr>
              <w:rPr>
                <w:b/>
              </w:rPr>
            </w:pPr>
          </w:p>
          <w:p w:rsidR="007A335B" w:rsidRDefault="007A335B" w:rsidP="008837FE">
            <w:pPr>
              <w:rPr>
                <w:b/>
              </w:rPr>
            </w:pPr>
          </w:p>
        </w:tc>
        <w:tc>
          <w:tcPr>
            <w:tcW w:w="4414" w:type="dxa"/>
          </w:tcPr>
          <w:p w:rsidR="007A335B" w:rsidRDefault="007A335B" w:rsidP="008837FE">
            <w:pPr>
              <w:rPr>
                <w:b/>
              </w:rPr>
            </w:pPr>
          </w:p>
        </w:tc>
      </w:tr>
      <w:tr w:rsidR="007A335B" w:rsidTr="007A335B">
        <w:tc>
          <w:tcPr>
            <w:tcW w:w="4414" w:type="dxa"/>
          </w:tcPr>
          <w:p w:rsidR="007A335B" w:rsidRDefault="007A335B" w:rsidP="008837FE">
            <w:pPr>
              <w:rPr>
                <w:b/>
              </w:rPr>
            </w:pPr>
          </w:p>
          <w:p w:rsidR="007A335B" w:rsidRDefault="007A335B" w:rsidP="008837FE">
            <w:pPr>
              <w:rPr>
                <w:b/>
              </w:rPr>
            </w:pPr>
          </w:p>
          <w:p w:rsidR="007A335B" w:rsidRDefault="007A335B" w:rsidP="008837FE">
            <w:pPr>
              <w:rPr>
                <w:b/>
              </w:rPr>
            </w:pPr>
          </w:p>
          <w:p w:rsidR="007A335B" w:rsidRDefault="007A335B" w:rsidP="008837FE">
            <w:pPr>
              <w:rPr>
                <w:b/>
              </w:rPr>
            </w:pPr>
          </w:p>
        </w:tc>
        <w:tc>
          <w:tcPr>
            <w:tcW w:w="4414" w:type="dxa"/>
          </w:tcPr>
          <w:p w:rsidR="007A335B" w:rsidRDefault="007A335B" w:rsidP="008837FE">
            <w:pPr>
              <w:rPr>
                <w:b/>
              </w:rPr>
            </w:pPr>
          </w:p>
        </w:tc>
      </w:tr>
      <w:tr w:rsidR="007A335B" w:rsidTr="007A335B">
        <w:tc>
          <w:tcPr>
            <w:tcW w:w="4414" w:type="dxa"/>
          </w:tcPr>
          <w:p w:rsidR="007A335B" w:rsidRDefault="007A335B" w:rsidP="008837FE">
            <w:pPr>
              <w:rPr>
                <w:b/>
              </w:rPr>
            </w:pPr>
          </w:p>
          <w:p w:rsidR="007A335B" w:rsidRDefault="007A335B" w:rsidP="008837FE">
            <w:pPr>
              <w:rPr>
                <w:b/>
              </w:rPr>
            </w:pPr>
          </w:p>
          <w:p w:rsidR="007A335B" w:rsidRDefault="007A335B" w:rsidP="008837FE">
            <w:pPr>
              <w:rPr>
                <w:b/>
              </w:rPr>
            </w:pPr>
          </w:p>
          <w:p w:rsidR="007A335B" w:rsidRDefault="007A335B" w:rsidP="008837FE">
            <w:pPr>
              <w:rPr>
                <w:b/>
              </w:rPr>
            </w:pPr>
          </w:p>
        </w:tc>
        <w:tc>
          <w:tcPr>
            <w:tcW w:w="4414" w:type="dxa"/>
          </w:tcPr>
          <w:p w:rsidR="007A335B" w:rsidRDefault="007A335B" w:rsidP="008837FE">
            <w:pPr>
              <w:rPr>
                <w:b/>
              </w:rPr>
            </w:pPr>
          </w:p>
        </w:tc>
      </w:tr>
      <w:tr w:rsidR="007A335B" w:rsidTr="007A335B">
        <w:tc>
          <w:tcPr>
            <w:tcW w:w="4414" w:type="dxa"/>
          </w:tcPr>
          <w:p w:rsidR="007A335B" w:rsidRDefault="007A335B" w:rsidP="008837FE">
            <w:pPr>
              <w:rPr>
                <w:b/>
              </w:rPr>
            </w:pPr>
          </w:p>
          <w:p w:rsidR="007A335B" w:rsidRDefault="007A335B" w:rsidP="008837FE">
            <w:pPr>
              <w:rPr>
                <w:b/>
              </w:rPr>
            </w:pPr>
          </w:p>
          <w:p w:rsidR="007A335B" w:rsidRDefault="007A335B" w:rsidP="008837FE">
            <w:pPr>
              <w:rPr>
                <w:b/>
              </w:rPr>
            </w:pPr>
          </w:p>
          <w:p w:rsidR="007A335B" w:rsidRDefault="007A335B" w:rsidP="008837FE">
            <w:pPr>
              <w:rPr>
                <w:b/>
              </w:rPr>
            </w:pPr>
          </w:p>
        </w:tc>
        <w:tc>
          <w:tcPr>
            <w:tcW w:w="4414" w:type="dxa"/>
          </w:tcPr>
          <w:p w:rsidR="007A335B" w:rsidRDefault="007A335B" w:rsidP="008837FE">
            <w:pPr>
              <w:rPr>
                <w:b/>
              </w:rPr>
            </w:pPr>
          </w:p>
        </w:tc>
      </w:tr>
      <w:tr w:rsidR="007A335B" w:rsidTr="007A335B">
        <w:tc>
          <w:tcPr>
            <w:tcW w:w="4414" w:type="dxa"/>
          </w:tcPr>
          <w:p w:rsidR="007A335B" w:rsidRDefault="007A335B" w:rsidP="008837FE">
            <w:pPr>
              <w:rPr>
                <w:b/>
              </w:rPr>
            </w:pPr>
          </w:p>
          <w:p w:rsidR="007A335B" w:rsidRDefault="007A335B" w:rsidP="008837FE">
            <w:pPr>
              <w:rPr>
                <w:b/>
              </w:rPr>
            </w:pPr>
          </w:p>
          <w:p w:rsidR="007A335B" w:rsidRDefault="007A335B" w:rsidP="008837FE">
            <w:pPr>
              <w:rPr>
                <w:b/>
              </w:rPr>
            </w:pPr>
          </w:p>
          <w:p w:rsidR="007A335B" w:rsidRDefault="007A335B" w:rsidP="008837FE">
            <w:pPr>
              <w:rPr>
                <w:b/>
              </w:rPr>
            </w:pPr>
          </w:p>
        </w:tc>
        <w:tc>
          <w:tcPr>
            <w:tcW w:w="4414" w:type="dxa"/>
          </w:tcPr>
          <w:p w:rsidR="007A335B" w:rsidRDefault="007A335B" w:rsidP="008837FE">
            <w:pPr>
              <w:rPr>
                <w:b/>
              </w:rPr>
            </w:pPr>
          </w:p>
        </w:tc>
      </w:tr>
      <w:tr w:rsidR="007A335B" w:rsidTr="007A335B">
        <w:tc>
          <w:tcPr>
            <w:tcW w:w="4414" w:type="dxa"/>
          </w:tcPr>
          <w:p w:rsidR="007A335B" w:rsidRDefault="007A335B" w:rsidP="008837FE">
            <w:pPr>
              <w:rPr>
                <w:b/>
              </w:rPr>
            </w:pPr>
          </w:p>
          <w:p w:rsidR="007A335B" w:rsidRDefault="007A335B" w:rsidP="008837FE">
            <w:pPr>
              <w:rPr>
                <w:b/>
              </w:rPr>
            </w:pPr>
          </w:p>
          <w:p w:rsidR="007A335B" w:rsidRDefault="007A335B" w:rsidP="008837FE">
            <w:pPr>
              <w:rPr>
                <w:b/>
              </w:rPr>
            </w:pPr>
          </w:p>
          <w:p w:rsidR="007A335B" w:rsidRDefault="007A335B" w:rsidP="008837FE">
            <w:pPr>
              <w:rPr>
                <w:b/>
              </w:rPr>
            </w:pPr>
          </w:p>
        </w:tc>
        <w:tc>
          <w:tcPr>
            <w:tcW w:w="4414" w:type="dxa"/>
          </w:tcPr>
          <w:p w:rsidR="007A335B" w:rsidRDefault="007A335B" w:rsidP="008837FE">
            <w:pPr>
              <w:rPr>
                <w:b/>
              </w:rPr>
            </w:pPr>
          </w:p>
        </w:tc>
      </w:tr>
      <w:tr w:rsidR="007A335B" w:rsidTr="007A335B">
        <w:tc>
          <w:tcPr>
            <w:tcW w:w="4414" w:type="dxa"/>
          </w:tcPr>
          <w:p w:rsidR="007A335B" w:rsidRDefault="007A335B" w:rsidP="008837FE">
            <w:pPr>
              <w:rPr>
                <w:b/>
              </w:rPr>
            </w:pPr>
          </w:p>
          <w:p w:rsidR="007A335B" w:rsidRDefault="007A335B" w:rsidP="008837FE">
            <w:pPr>
              <w:rPr>
                <w:b/>
              </w:rPr>
            </w:pPr>
          </w:p>
          <w:p w:rsidR="007A335B" w:rsidRDefault="007A335B" w:rsidP="008837FE">
            <w:pPr>
              <w:rPr>
                <w:b/>
              </w:rPr>
            </w:pPr>
          </w:p>
          <w:p w:rsidR="007A335B" w:rsidRDefault="007A335B" w:rsidP="008837FE">
            <w:pPr>
              <w:rPr>
                <w:b/>
              </w:rPr>
            </w:pPr>
          </w:p>
        </w:tc>
        <w:tc>
          <w:tcPr>
            <w:tcW w:w="4414" w:type="dxa"/>
          </w:tcPr>
          <w:p w:rsidR="007A335B" w:rsidRDefault="007A335B" w:rsidP="008837FE">
            <w:pPr>
              <w:rPr>
                <w:b/>
              </w:rPr>
            </w:pPr>
          </w:p>
        </w:tc>
      </w:tr>
    </w:tbl>
    <w:p w:rsidR="007A335B" w:rsidRPr="008837FE" w:rsidRDefault="007A335B" w:rsidP="008837FE">
      <w:pPr>
        <w:rPr>
          <w:b/>
        </w:rPr>
      </w:pPr>
    </w:p>
    <w:p w:rsidR="008837FE" w:rsidRPr="008837FE" w:rsidRDefault="008837FE" w:rsidP="008837FE">
      <w:pPr>
        <w:rPr>
          <w:b/>
        </w:rPr>
      </w:pPr>
    </w:p>
    <w:p w:rsidR="008837FE" w:rsidRPr="008837FE" w:rsidRDefault="008837FE" w:rsidP="00B16254">
      <w:pPr>
        <w:jc w:val="center"/>
        <w:rPr>
          <w:b/>
          <w:u w:val="single"/>
        </w:rPr>
      </w:pPr>
      <w:r w:rsidRPr="008837FE">
        <w:rPr>
          <w:b/>
          <w:u w:val="single"/>
        </w:rPr>
        <w:t>EXPOSICIÓN DE MOTIVOS</w:t>
      </w:r>
    </w:p>
    <w:p w:rsidR="008837FE" w:rsidRPr="008837FE" w:rsidRDefault="008837FE" w:rsidP="00B16254">
      <w:pPr>
        <w:jc w:val="center"/>
      </w:pPr>
    </w:p>
    <w:p w:rsidR="008837FE" w:rsidRPr="008837FE" w:rsidRDefault="008837FE" w:rsidP="00B16254">
      <w:pPr>
        <w:jc w:val="center"/>
        <w:rPr>
          <w:b/>
        </w:rPr>
      </w:pPr>
      <w:r w:rsidRPr="008837FE">
        <w:rPr>
          <w:b/>
        </w:rPr>
        <w:t>PROYECTO DE LEY N° _________ DE 2025 CÁMARA</w:t>
      </w:r>
    </w:p>
    <w:p w:rsidR="008837FE" w:rsidRPr="008837FE" w:rsidRDefault="008837FE" w:rsidP="00B16254">
      <w:pPr>
        <w:jc w:val="center"/>
        <w:rPr>
          <w:b/>
        </w:rPr>
      </w:pPr>
    </w:p>
    <w:p w:rsidR="009A43B7" w:rsidRPr="008837FE" w:rsidRDefault="009A43B7" w:rsidP="009A43B7">
      <w:pPr>
        <w:jc w:val="center"/>
        <w:rPr>
          <w:b/>
          <w:i/>
        </w:rPr>
      </w:pPr>
      <w:r w:rsidRPr="008837FE">
        <w:rPr>
          <w:b/>
          <w:i/>
        </w:rPr>
        <w:t xml:space="preserve">“POR </w:t>
      </w:r>
      <w:r>
        <w:rPr>
          <w:b/>
          <w:i/>
        </w:rPr>
        <w:t xml:space="preserve">LA CUAL SE ESTABLECEN PARÁMETROS Y ADVERTENCIAS FRENTE A LOS JUEGOS DE APUESTAS, SUERTE Y AZAR QUE SE REALIZAN EN PLATAFORMAS EN LÍNEA Y SE </w:t>
      </w:r>
      <w:r w:rsidRPr="008837FE">
        <w:rPr>
          <w:b/>
          <w:i/>
        </w:rPr>
        <w:t>DICTAN OTRAS DISPOSICIONES”</w:t>
      </w:r>
    </w:p>
    <w:p w:rsidR="008837FE" w:rsidRPr="008837FE" w:rsidRDefault="008837FE" w:rsidP="00B16254">
      <w:pPr>
        <w:jc w:val="center"/>
      </w:pPr>
    </w:p>
    <w:p w:rsidR="008837FE" w:rsidRPr="008837FE" w:rsidRDefault="008837FE" w:rsidP="00B16254">
      <w:pPr>
        <w:jc w:val="center"/>
      </w:pPr>
    </w:p>
    <w:p w:rsidR="008837FE" w:rsidRPr="008837FE" w:rsidRDefault="008837FE" w:rsidP="008170C6">
      <w:pPr>
        <w:numPr>
          <w:ilvl w:val="0"/>
          <w:numId w:val="1"/>
        </w:numPr>
        <w:jc w:val="center"/>
        <w:rPr>
          <w:b/>
        </w:rPr>
      </w:pPr>
      <w:r w:rsidRPr="008837FE">
        <w:rPr>
          <w:b/>
        </w:rPr>
        <w:t>OBJETO:</w:t>
      </w:r>
    </w:p>
    <w:p w:rsidR="008837FE" w:rsidRPr="008837FE" w:rsidRDefault="008837FE" w:rsidP="008170C6">
      <w:pPr>
        <w:jc w:val="both"/>
        <w:rPr>
          <w:b/>
        </w:rPr>
      </w:pPr>
    </w:p>
    <w:p w:rsidR="008170C6" w:rsidRDefault="008837FE" w:rsidP="008170C6">
      <w:pPr>
        <w:numPr>
          <w:ilvl w:val="0"/>
          <w:numId w:val="2"/>
        </w:numPr>
        <w:jc w:val="both"/>
      </w:pPr>
      <w:r w:rsidRPr="008837FE">
        <w:t>La Iniciativa tiene por objeto</w:t>
      </w:r>
      <w:r w:rsidR="008170C6">
        <w:t xml:space="preserve"> </w:t>
      </w:r>
      <w:r w:rsidR="008170C6" w:rsidRPr="008170C6">
        <w:t xml:space="preserve">la implementación de advertencias y mensajes preventivos que deberán realizar las plataformas de apuestas en línea cuando comunican y publican sus juegos de apuestas, suerte y azar.  </w:t>
      </w:r>
    </w:p>
    <w:p w:rsidR="008170C6" w:rsidRDefault="008170C6" w:rsidP="008170C6">
      <w:pPr>
        <w:ind w:left="720"/>
        <w:jc w:val="both"/>
      </w:pPr>
    </w:p>
    <w:p w:rsidR="008837FE" w:rsidRPr="008837FE" w:rsidRDefault="008170C6" w:rsidP="008170C6">
      <w:pPr>
        <w:numPr>
          <w:ilvl w:val="0"/>
          <w:numId w:val="2"/>
        </w:numPr>
        <w:jc w:val="both"/>
      </w:pPr>
      <w:r>
        <w:t xml:space="preserve">Las advertencias </w:t>
      </w:r>
      <w:r w:rsidRPr="008170C6">
        <w:t>deberán informar sobre los aspectos asociados a la ludopatía y afectaciones a la salud mental.</w:t>
      </w:r>
    </w:p>
    <w:p w:rsidR="008837FE" w:rsidRPr="008837FE" w:rsidRDefault="008837FE" w:rsidP="008170C6">
      <w:pPr>
        <w:jc w:val="both"/>
      </w:pPr>
    </w:p>
    <w:p w:rsidR="008170C6" w:rsidRDefault="008837FE" w:rsidP="008170C6">
      <w:pPr>
        <w:numPr>
          <w:ilvl w:val="0"/>
          <w:numId w:val="2"/>
        </w:numPr>
        <w:jc w:val="both"/>
      </w:pPr>
      <w:r w:rsidRPr="008837FE">
        <w:t>Igualmente,</w:t>
      </w:r>
      <w:r w:rsidR="008170C6">
        <w:t xml:space="preserve"> toda publicidad, identificación o promoción sobre juegos de suerte y azar que realicen las plataformas de apuestas en línea, deberán hacer referencia expresa a la prohibición y oferta de estos juegos para menores de edad, la cual fue establecida en el artículo 4 literal (b) de la Ley 643 de 2001.</w:t>
      </w:r>
    </w:p>
    <w:p w:rsidR="008170C6" w:rsidRDefault="008170C6" w:rsidP="008170C6">
      <w:pPr>
        <w:ind w:left="720"/>
        <w:jc w:val="both"/>
      </w:pPr>
    </w:p>
    <w:p w:rsidR="008170C6" w:rsidRDefault="008170C6" w:rsidP="008170C6">
      <w:pPr>
        <w:numPr>
          <w:ilvl w:val="0"/>
          <w:numId w:val="2"/>
        </w:numPr>
        <w:jc w:val="both"/>
      </w:pPr>
      <w:r>
        <w:t xml:space="preserve"> A su vez, en toda publicidad o promoción de juegos de suerte y azar que realicen las plataformas de apuestas en línea deberá comunicarse al público la leyenda: “El exceso de apuestas en línea puede causar ludopatía siendo perjudicial para la salud mental”. </w:t>
      </w:r>
    </w:p>
    <w:p w:rsidR="008170C6" w:rsidRDefault="008170C6" w:rsidP="00466220">
      <w:pPr>
        <w:ind w:left="720"/>
        <w:jc w:val="both"/>
      </w:pPr>
    </w:p>
    <w:p w:rsidR="008837FE" w:rsidRPr="008837FE" w:rsidRDefault="00466220" w:rsidP="007D5C9A">
      <w:pPr>
        <w:numPr>
          <w:ilvl w:val="0"/>
          <w:numId w:val="2"/>
        </w:numPr>
        <w:jc w:val="both"/>
      </w:pPr>
      <w:r>
        <w:t xml:space="preserve">Finalmente, se crea una autorización </w:t>
      </w:r>
      <w:r w:rsidR="008170C6">
        <w:t>al Gobierno Nacional a través de COLJUEGOS, para expedir los reglamentos que podrán contener las sanciones necesarias frente al incumplimiento de la presente Ley.</w:t>
      </w:r>
    </w:p>
    <w:p w:rsidR="008837FE" w:rsidRPr="008837FE" w:rsidRDefault="008837FE" w:rsidP="008170C6">
      <w:pPr>
        <w:jc w:val="both"/>
      </w:pPr>
    </w:p>
    <w:p w:rsidR="008837FE" w:rsidRPr="008837FE" w:rsidRDefault="008837FE" w:rsidP="009A43B7">
      <w:pPr>
        <w:numPr>
          <w:ilvl w:val="0"/>
          <w:numId w:val="1"/>
        </w:numPr>
        <w:jc w:val="center"/>
        <w:rPr>
          <w:b/>
          <w:bCs/>
        </w:rPr>
      </w:pPr>
      <w:r w:rsidRPr="008837FE">
        <w:rPr>
          <w:b/>
          <w:bCs/>
        </w:rPr>
        <w:t>FUNDAMENTO LEGAL:</w:t>
      </w:r>
    </w:p>
    <w:p w:rsidR="008837FE" w:rsidRPr="008837FE" w:rsidRDefault="008837FE" w:rsidP="008170C6">
      <w:pPr>
        <w:jc w:val="both"/>
      </w:pPr>
    </w:p>
    <w:p w:rsidR="008837FE" w:rsidRPr="008837FE" w:rsidRDefault="008837FE" w:rsidP="008170C6">
      <w:pPr>
        <w:numPr>
          <w:ilvl w:val="0"/>
          <w:numId w:val="3"/>
        </w:numPr>
        <w:jc w:val="both"/>
      </w:pPr>
      <w:r w:rsidRPr="008837FE">
        <w:t>Artículo 114 de la Constitución Política de Colombia. Función del Congreso es hacer las leyes.</w:t>
      </w:r>
    </w:p>
    <w:p w:rsidR="008837FE" w:rsidRPr="008837FE" w:rsidRDefault="008837FE" w:rsidP="008170C6">
      <w:pPr>
        <w:jc w:val="both"/>
      </w:pPr>
    </w:p>
    <w:p w:rsidR="008837FE" w:rsidRPr="008837FE" w:rsidRDefault="008837FE" w:rsidP="008170C6">
      <w:pPr>
        <w:numPr>
          <w:ilvl w:val="0"/>
          <w:numId w:val="3"/>
        </w:numPr>
        <w:jc w:val="both"/>
      </w:pPr>
      <w:r w:rsidRPr="008837FE">
        <w:t xml:space="preserve">Ley 5 de 1992 </w:t>
      </w:r>
      <w:r w:rsidR="009A43B7" w:rsidRPr="008837FE">
        <w:t>artículo</w:t>
      </w:r>
      <w:r w:rsidRPr="008837FE">
        <w:t xml:space="preserve"> 140, determinó que los Senadores y Representantes individualmente y a través de las bancadas pueden presentar proyectos de Ley.</w:t>
      </w:r>
    </w:p>
    <w:p w:rsidR="008837FE" w:rsidRPr="008837FE" w:rsidRDefault="008837FE" w:rsidP="008170C6">
      <w:pPr>
        <w:jc w:val="both"/>
      </w:pPr>
    </w:p>
    <w:p w:rsidR="00DD3B84" w:rsidRPr="00DD3B84" w:rsidRDefault="008837FE" w:rsidP="008170C6">
      <w:pPr>
        <w:numPr>
          <w:ilvl w:val="0"/>
          <w:numId w:val="3"/>
        </w:numPr>
        <w:jc w:val="both"/>
        <w:rPr>
          <w:b/>
          <w:bCs/>
        </w:rPr>
      </w:pPr>
      <w:r w:rsidRPr="008837FE">
        <w:t>Igualmente,</w:t>
      </w:r>
      <w:r w:rsidR="00DD3B84">
        <w:t xml:space="preserve"> existen dos Leyes que tratan y protegen la Salud Mental en la que se encuentran: </w:t>
      </w:r>
    </w:p>
    <w:p w:rsidR="00DD3B84" w:rsidRDefault="00DD3B84" w:rsidP="00DD3B84">
      <w:pPr>
        <w:pStyle w:val="Prrafodelista"/>
      </w:pPr>
    </w:p>
    <w:p w:rsidR="008837FE" w:rsidRPr="006D3D36" w:rsidRDefault="006D3D36" w:rsidP="00DD3B84">
      <w:pPr>
        <w:numPr>
          <w:ilvl w:val="1"/>
          <w:numId w:val="3"/>
        </w:numPr>
        <w:jc w:val="both"/>
        <w:rPr>
          <w:b/>
          <w:bCs/>
        </w:rPr>
      </w:pPr>
      <w:r>
        <w:t xml:space="preserve">Ley 1616 de 2013: </w:t>
      </w:r>
      <w:r w:rsidRPr="006D3D36">
        <w:t>Por medio de la cual se expide la ley de salud mental y se dictan otras disposiciones</w:t>
      </w:r>
      <w:r>
        <w:t xml:space="preserve">, en la cual se garantiza </w:t>
      </w:r>
      <w:r w:rsidRPr="006D3D36">
        <w:t>el ejercicio pleno del Derecho a la Salud Mental a la población colombiana, priorizando a los niños, las niñas, los adolescentes y los jóvenes, mediante la promoción de la salud y la prevención del trastorno mental, la Atención Integral e Integrada en Salud Mental en el ámbito del Sistema General de Seguridad Social en Salud</w:t>
      </w:r>
      <w:r>
        <w:t>.</w:t>
      </w:r>
    </w:p>
    <w:p w:rsidR="006D3D36" w:rsidRPr="006D3D36" w:rsidRDefault="006D3D36" w:rsidP="006D3D36">
      <w:pPr>
        <w:ind w:left="1440"/>
        <w:jc w:val="both"/>
        <w:rPr>
          <w:b/>
          <w:bCs/>
        </w:rPr>
      </w:pPr>
    </w:p>
    <w:p w:rsidR="006D3D36" w:rsidRPr="008837FE" w:rsidRDefault="006D3D36" w:rsidP="00DD3B84">
      <w:pPr>
        <w:numPr>
          <w:ilvl w:val="1"/>
          <w:numId w:val="3"/>
        </w:numPr>
        <w:jc w:val="both"/>
      </w:pPr>
      <w:r w:rsidRPr="006D3D36">
        <w:t>Ley 2460</w:t>
      </w:r>
      <w:r>
        <w:t xml:space="preserve"> de 2025: </w:t>
      </w:r>
      <w:r w:rsidRPr="006D3D36">
        <w:t>Por medio del cual se modifica la ley 1616 de 2013 y se dictan otras disposiciones en materia de prevención y atención de trastornos y/o enfermedades mentales, así como medidas para la promoción y cuidado de la salud mental</w:t>
      </w:r>
      <w:r>
        <w:t>, la cual dispuso que l</w:t>
      </w:r>
      <w:r w:rsidRPr="006D3D36">
        <w:t>a promoción de la salud mental es una estrategia intersectorial e interinstitucional que busca transformar los determinantes de la salud mental que impactan la calidad de vida, con el propósito de garantizar entornos saludables, satisfacer las necesidades; y facilitar medios para fomentar, mantener y mejorar la salud a nivel individual y colectivo. Esta estrategia considerará la multiculturalidad en Colombia con el objetivo de aumentar los factores protectores y reducir los factores de riesgo entre las demás acciones que se definan.</w:t>
      </w:r>
    </w:p>
    <w:p w:rsidR="008837FE" w:rsidRPr="008837FE" w:rsidRDefault="008837FE" w:rsidP="008170C6">
      <w:pPr>
        <w:jc w:val="both"/>
      </w:pPr>
    </w:p>
    <w:p w:rsidR="008837FE" w:rsidRPr="008837FE" w:rsidRDefault="008837FE" w:rsidP="008170C6">
      <w:pPr>
        <w:jc w:val="both"/>
      </w:pPr>
    </w:p>
    <w:p w:rsidR="008837FE" w:rsidRPr="008837FE" w:rsidRDefault="006D3D36" w:rsidP="006D3D36">
      <w:pPr>
        <w:numPr>
          <w:ilvl w:val="0"/>
          <w:numId w:val="1"/>
        </w:numPr>
        <w:jc w:val="center"/>
        <w:rPr>
          <w:b/>
          <w:bCs/>
        </w:rPr>
      </w:pPr>
      <w:r>
        <w:rPr>
          <w:b/>
          <w:bCs/>
        </w:rPr>
        <w:t>JUSTIFICACIÓN</w:t>
      </w:r>
    </w:p>
    <w:p w:rsidR="008837FE" w:rsidRPr="008837FE" w:rsidRDefault="008837FE" w:rsidP="008170C6">
      <w:pPr>
        <w:jc w:val="both"/>
      </w:pPr>
    </w:p>
    <w:p w:rsidR="004C45E7" w:rsidRDefault="000A75B3" w:rsidP="008170C6">
      <w:pPr>
        <w:jc w:val="both"/>
      </w:pPr>
      <w:r>
        <w:t xml:space="preserve">Hoy en Colombia una de las problemáticas que está generando amplia preocupación es el acceso de menores de edad a las plataformas de apuestas en línea, principalmente debido a que en lugares físicos como casinos o sitios de apuestas,  si existe y se realiza un control </w:t>
      </w:r>
      <w:r w:rsidR="004C45E7">
        <w:t xml:space="preserve">al ingreso para menores de edad, no obstante, en el escenario digital se ha podido lograr burlar los controles de las plataformas de apuestas en </w:t>
      </w:r>
      <w:r w:rsidR="00FA3607">
        <w:t>línea</w:t>
      </w:r>
      <w:r w:rsidR="004C45E7">
        <w:t>, y niños y adolescentes terminan entrando a ellas generando conductas que los acercan a la ludopatía y a la adicción.</w:t>
      </w:r>
    </w:p>
    <w:p w:rsidR="004C45E7" w:rsidRDefault="004C45E7" w:rsidP="008170C6">
      <w:pPr>
        <w:jc w:val="both"/>
      </w:pPr>
    </w:p>
    <w:p w:rsidR="00FA3607" w:rsidRDefault="00FA3607" w:rsidP="008170C6">
      <w:pPr>
        <w:jc w:val="both"/>
      </w:pPr>
      <w:r>
        <w:t>Según el Diario el Tiempo en 2019 la Organización Mundial de la Salud decretó a la ludopatía como un trastorno mental y del comportamiento persistente o recurrente que provoca un deterioro significativo personal y familiar</w:t>
      </w:r>
      <w:r w:rsidR="00FF22D2">
        <w:rPr>
          <w:rStyle w:val="Refdenotaalpie"/>
        </w:rPr>
        <w:footnoteReference w:id="1"/>
      </w:r>
      <w:r>
        <w:t>.</w:t>
      </w:r>
    </w:p>
    <w:p w:rsidR="00FA3607" w:rsidRDefault="00FA3607" w:rsidP="008170C6">
      <w:pPr>
        <w:jc w:val="both"/>
      </w:pPr>
    </w:p>
    <w:p w:rsidR="00F25412" w:rsidRDefault="00F25412" w:rsidP="008170C6">
      <w:pPr>
        <w:jc w:val="both"/>
      </w:pPr>
      <w:r>
        <w:t xml:space="preserve">La Universidad Nacional en 2020 reveló que un 19% de estudiantes encuestados presentan adicción </w:t>
      </w:r>
      <w:r w:rsidR="00B91BB6">
        <w:t>a los juegos</w:t>
      </w:r>
      <w:r>
        <w:t xml:space="preserve"> de azar.</w:t>
      </w:r>
      <w:r w:rsidR="007200F8">
        <w:t xml:space="preserve"> Los expertos en el tema afirman que el “efecto recompensa” en las apuestas genera en el cerebro de los menores de edad eventuales adicciones si no se realizan medidas a tiempo.</w:t>
      </w:r>
    </w:p>
    <w:p w:rsidR="007200F8" w:rsidRDefault="007200F8" w:rsidP="008170C6">
      <w:pPr>
        <w:jc w:val="both"/>
      </w:pPr>
    </w:p>
    <w:p w:rsidR="007200F8" w:rsidRDefault="007200F8" w:rsidP="008170C6">
      <w:pPr>
        <w:jc w:val="both"/>
      </w:pPr>
    </w:p>
    <w:p w:rsidR="00067DB6" w:rsidRDefault="00695F7A" w:rsidP="008170C6">
      <w:pPr>
        <w:jc w:val="both"/>
      </w:pPr>
      <w:r>
        <w:lastRenderedPageBreak/>
        <w:t>Según el informe de “</w:t>
      </w:r>
      <w:proofErr w:type="spellStart"/>
      <w:r>
        <w:t>The</w:t>
      </w:r>
      <w:proofErr w:type="spellEnd"/>
      <w:r>
        <w:t xml:space="preserve"> </w:t>
      </w:r>
      <w:proofErr w:type="spellStart"/>
      <w:r>
        <w:t>Lancet</w:t>
      </w:r>
      <w:proofErr w:type="spellEnd"/>
      <w:r>
        <w:t xml:space="preserve">”, </w:t>
      </w:r>
      <w:r w:rsidRPr="00695F7A">
        <w:t>Al menos 80 millones de personas a nivel global serían ludópatas. A nivel global, investigadores calculan que el rendimiento bruto estimado que tendrán los juegos de suerte y azar por internet, es decir, la cantidad perdida por los consumidores, alcanzará los 205.000 millones de dólares para el año 2030. En Colombia, hay más de 11 millones de cuentas en plataformas de apuestas en línea</w:t>
      </w:r>
      <w:r>
        <w:rPr>
          <w:rStyle w:val="Refdenotaalpie"/>
        </w:rPr>
        <w:footnoteReference w:id="2"/>
      </w:r>
      <w:r w:rsidRPr="00695F7A">
        <w:t>.</w:t>
      </w:r>
    </w:p>
    <w:p w:rsidR="00D703A1" w:rsidRDefault="00D703A1" w:rsidP="008170C6">
      <w:pPr>
        <w:jc w:val="both"/>
      </w:pPr>
    </w:p>
    <w:p w:rsidR="00695F7A" w:rsidRDefault="00695F7A" w:rsidP="00695F7A">
      <w:pPr>
        <w:jc w:val="both"/>
        <w:rPr>
          <w:i/>
          <w:iCs/>
        </w:rPr>
      </w:pPr>
      <w:r>
        <w:t xml:space="preserve">Lo cierto es que hoy no es necesario acudir o desplazarse físicamente para ir a un casino, ya que se podrá aventurar en juegos de suerte y azar con el celular que </w:t>
      </w:r>
      <w:proofErr w:type="spellStart"/>
      <w:r>
        <w:t>esta</w:t>
      </w:r>
      <w:proofErr w:type="spellEnd"/>
      <w:r>
        <w:t xml:space="preserve"> disponible 24/7, gracias a la digitalización. </w:t>
      </w:r>
      <w:r w:rsidRPr="00695F7A">
        <w:rPr>
          <w:i/>
          <w:iCs/>
        </w:rPr>
        <w:t>“El informe de la reconocida revista médica habla de la rápida expansión de la industria de los juegos de azar, impulsada por el auge de los juegos en línea, la accesibilidad a través de los celulares, el aumento de la legalización y la llegada de las apuestas a nuevos mercados, incluyendo a países de ingresos bajos y medios en los que la infraestructura regulatoria suele ser débil.</w:t>
      </w:r>
      <w:r>
        <w:rPr>
          <w:i/>
          <w:iCs/>
        </w:rPr>
        <w:t xml:space="preserve"> </w:t>
      </w:r>
      <w:r w:rsidRPr="00695F7A">
        <w:rPr>
          <w:i/>
          <w:iCs/>
        </w:rPr>
        <w:t xml:space="preserve">Otro punto que los estudios internacionales revisados por </w:t>
      </w:r>
      <w:proofErr w:type="spellStart"/>
      <w:r w:rsidRPr="00695F7A">
        <w:rPr>
          <w:i/>
          <w:iCs/>
        </w:rPr>
        <w:t>The</w:t>
      </w:r>
      <w:proofErr w:type="spellEnd"/>
      <w:r w:rsidRPr="00695F7A">
        <w:rPr>
          <w:i/>
          <w:iCs/>
        </w:rPr>
        <w:t xml:space="preserve"> </w:t>
      </w:r>
      <w:proofErr w:type="spellStart"/>
      <w:r w:rsidRPr="00695F7A">
        <w:rPr>
          <w:i/>
          <w:iCs/>
        </w:rPr>
        <w:t>Lancet</w:t>
      </w:r>
      <w:proofErr w:type="spellEnd"/>
      <w:r w:rsidRPr="00695F7A">
        <w:rPr>
          <w:i/>
          <w:iCs/>
        </w:rPr>
        <w:t xml:space="preserve"> advierten es que </w:t>
      </w:r>
      <w:r w:rsidRPr="00695F7A">
        <w:rPr>
          <w:b/>
          <w:bCs/>
          <w:i/>
          <w:iCs/>
        </w:rPr>
        <w:t>hay grupos específicos en mayor riesgo por las apuestas, entre ellos los niños y jóvenes que rutinariamente se ven expuestos a publicidad de apuestas y patrocinios de esta industria. De hecho, se habla de que las asociaciones entre el deporte profesional y el juego comercial son ahora parte integral del diseño de las prácticas comerciales y las estrategias de marketing de ambos sectores.</w:t>
      </w:r>
      <w:r w:rsidRPr="00695F7A">
        <w:rPr>
          <w:i/>
          <w:iCs/>
        </w:rPr>
        <w:t xml:space="preserve"> “Parece que se está instalando una nueva realidad social generalizada: un mayor interés en los deportes significa ahora una mayor exposición a las apuestas”</w:t>
      </w:r>
      <w:r w:rsidRPr="00695F7A">
        <w:rPr>
          <w:rStyle w:val="Refdenotaalpie"/>
          <w:i/>
          <w:iCs/>
        </w:rPr>
        <w:t xml:space="preserve"> </w:t>
      </w:r>
      <w:r>
        <w:rPr>
          <w:rStyle w:val="Refdenotaalpie"/>
          <w:i/>
          <w:iCs/>
        </w:rPr>
        <w:footnoteReference w:id="3"/>
      </w:r>
      <w:r w:rsidRPr="00695F7A">
        <w:rPr>
          <w:i/>
          <w:iCs/>
        </w:rPr>
        <w:t>”</w:t>
      </w:r>
      <w:r>
        <w:rPr>
          <w:i/>
          <w:iCs/>
        </w:rPr>
        <w:t xml:space="preserve"> </w:t>
      </w:r>
    </w:p>
    <w:p w:rsidR="00695F7A" w:rsidRDefault="00695F7A" w:rsidP="008170C6">
      <w:pPr>
        <w:jc w:val="both"/>
        <w:rPr>
          <w:i/>
          <w:iCs/>
        </w:rPr>
      </w:pPr>
    </w:p>
    <w:p w:rsidR="00695F7A" w:rsidRDefault="00760862" w:rsidP="00760862">
      <w:pPr>
        <w:jc w:val="both"/>
      </w:pPr>
      <w:r>
        <w:t>En e</w:t>
      </w:r>
      <w:r w:rsidR="00695F7A">
        <w:t xml:space="preserve">ntrevistas a dos jóvenes que realizó el </w:t>
      </w:r>
      <w:r>
        <w:t>diario</w:t>
      </w:r>
      <w:r w:rsidR="00695F7A">
        <w:t xml:space="preserve"> el Tiempo demuestran </w:t>
      </w:r>
      <w:r>
        <w:t xml:space="preserve">como la publicidad ha venido afectando a los jóvenes que ingresan a estas plataformas de apuestas en las que vale la pena </w:t>
      </w:r>
      <w:r w:rsidR="00B91BB6">
        <w:t>citar; “</w:t>
      </w:r>
      <w:r w:rsidRPr="00760862">
        <w:rPr>
          <w:i/>
          <w:iCs/>
        </w:rPr>
        <w:t xml:space="preserve">Uno ya no se puede ver un partido sin que haya publicidad de apuestas, en las propagandas te dicen que tienes un bono, una recarga, y te invitan a jugar”, dice Rivera 29 años y </w:t>
      </w:r>
      <w:r w:rsidR="00B91BB6" w:rsidRPr="00760862">
        <w:rPr>
          <w:i/>
          <w:iCs/>
        </w:rPr>
        <w:t>Andrés</w:t>
      </w:r>
      <w:r w:rsidRPr="00760862">
        <w:rPr>
          <w:i/>
          <w:iCs/>
        </w:rPr>
        <w:t xml:space="preserve"> Rincón 19 años. </w:t>
      </w:r>
      <w:r w:rsidRPr="00760862">
        <w:rPr>
          <w:b/>
          <w:bCs/>
          <w:i/>
          <w:iCs/>
        </w:rPr>
        <w:t>“Este joven reconoce que es frecuente que al hablar de fútbol la pasión por ese deporte sea secundaria: “Uno muchas veces ya no habla en términos futbolísticos sino de apuestas, es decir, uno ya no dice ‘Ojalá que Colombia gane’, sino, por ejemplo, ‘Colombia está pagando 360, Uruguay está pagando 270’, uno habla es de lo que hay en juego”</w:t>
      </w:r>
      <w:r>
        <w:rPr>
          <w:rStyle w:val="Refdenotaalpie"/>
          <w:b/>
          <w:bCs/>
          <w:i/>
          <w:iCs/>
        </w:rPr>
        <w:footnoteReference w:id="4"/>
      </w:r>
      <w:r w:rsidRPr="00760862">
        <w:rPr>
          <w:b/>
          <w:bCs/>
          <w:i/>
          <w:iCs/>
        </w:rPr>
        <w:t>.</w:t>
      </w:r>
    </w:p>
    <w:p w:rsidR="00D703A1" w:rsidRDefault="00D703A1" w:rsidP="008170C6">
      <w:pPr>
        <w:jc w:val="both"/>
      </w:pPr>
    </w:p>
    <w:p w:rsidR="00067DB6" w:rsidRDefault="00067DB6" w:rsidP="008170C6">
      <w:pPr>
        <w:jc w:val="both"/>
      </w:pPr>
      <w:r>
        <w:t>Es por esto que la Ludopatía se convierte en una problemática que debe ser trabajada desde varios sectores, y prestársele especial atención para que los menores de edad no participen de esta actividad.</w:t>
      </w:r>
    </w:p>
    <w:p w:rsidR="007200F8" w:rsidRDefault="007200F8" w:rsidP="008170C6">
      <w:pPr>
        <w:jc w:val="both"/>
      </w:pPr>
    </w:p>
    <w:p w:rsidR="00067DB6" w:rsidRDefault="007200F8" w:rsidP="007200F8">
      <w:pPr>
        <w:jc w:val="both"/>
      </w:pPr>
      <w:r>
        <w:t xml:space="preserve">El Doctor José Manuel Quintero Castellanos MD. </w:t>
      </w:r>
      <w:proofErr w:type="spellStart"/>
      <w:r>
        <w:t>MsC</w:t>
      </w:r>
      <w:proofErr w:type="spellEnd"/>
      <w:r>
        <w:t>. PhD(c). de la Universidad Pedagógica y Tecnológica de Colombia, quien acompañó con su experiencia y profesionalismo la presente iniciativa, explica que e</w:t>
      </w:r>
      <w:r w:rsidRPr="007200F8">
        <w:t xml:space="preserve">l juego de apuestas ha experimentado una expansión sin precedentes, impulsada por la tecnología y la accesibilidad de las plataformas en línea. Esta proliferación ha generado una creciente preocupación por sus efectos adversos en la salud </w:t>
      </w:r>
      <w:r w:rsidRPr="007200F8">
        <w:lastRenderedPageBreak/>
        <w:t>pública</w:t>
      </w:r>
      <w:r w:rsidR="00992537">
        <w:rPr>
          <w:rStyle w:val="Refdenotaalpie"/>
        </w:rPr>
        <w:footnoteReference w:id="5"/>
      </w:r>
      <w:r w:rsidRPr="007200F8">
        <w:t>. Numerosas investigaciones en revistas indexadas demuestran que el daño asociado al juego excede al pequeño grupo de jugadores patológicos, afectando de manera amplia y desigual a la sociedad</w:t>
      </w:r>
      <w:r w:rsidR="00992537">
        <w:rPr>
          <w:rStyle w:val="Refdenotaalpie"/>
        </w:rPr>
        <w:footnoteReference w:id="6"/>
      </w:r>
      <w:r w:rsidRPr="007200F8">
        <w:t>. La Organización Mundial de la Salud (OMS) reconoce explícitamente el juego como un problema de salud pública, al generar externalidades negativas en salud mental, violencia intrafamiliar, suicidio y sobreendeudamiento</w:t>
      </w:r>
      <w:r w:rsidR="002450C7">
        <w:rPr>
          <w:rStyle w:val="Refdenotaalpie"/>
        </w:rPr>
        <w:footnoteReference w:id="7"/>
      </w:r>
      <w:r w:rsidRPr="007200F8">
        <w:t>. La evidencia muestra que los daños se ubican en un continuo que va del malestar leve a consecuencias graves, no limitadas a casos clínicos de ludopatía</w:t>
      </w:r>
      <w:r w:rsidR="002450C7">
        <w:t>.</w:t>
      </w:r>
    </w:p>
    <w:p w:rsidR="002450C7" w:rsidRDefault="002450C7" w:rsidP="007200F8">
      <w:pPr>
        <w:jc w:val="both"/>
      </w:pPr>
    </w:p>
    <w:p w:rsidR="002450C7" w:rsidRPr="002450C7" w:rsidRDefault="002450C7" w:rsidP="007200F8">
      <w:pPr>
        <w:jc w:val="both"/>
        <w:rPr>
          <w:b/>
          <w:bCs/>
          <w:i/>
          <w:iCs/>
        </w:rPr>
      </w:pPr>
      <w:r>
        <w:t xml:space="preserve">Afirma el Doctor Quintero que, </w:t>
      </w:r>
      <w:r w:rsidRPr="002450C7">
        <w:rPr>
          <w:b/>
          <w:bCs/>
          <w:i/>
          <w:iCs/>
        </w:rPr>
        <w:t xml:space="preserve">el juego como una opción de ocio y de </w:t>
      </w:r>
      <w:r w:rsidR="00B91BB6" w:rsidRPr="002450C7">
        <w:rPr>
          <w:b/>
          <w:bCs/>
          <w:i/>
          <w:iCs/>
        </w:rPr>
        <w:t>auto responsabilidad</w:t>
      </w:r>
      <w:r w:rsidRPr="002450C7">
        <w:rPr>
          <w:b/>
          <w:bCs/>
          <w:i/>
          <w:iCs/>
        </w:rPr>
        <w:t xml:space="preserve"> individual ha sido ampliamente cuestionado, toda vez que se reproduce un control similar al del tabaco y el alcohol, promovido por la propia industria y demostrando tener un bajo impacto preventivo, desviando la atención de los determinantes estructurales del daño</w:t>
      </w:r>
      <w:r w:rsidRPr="002450C7">
        <w:rPr>
          <w:rStyle w:val="Refdenotaalpie"/>
          <w:b/>
          <w:bCs/>
          <w:i/>
          <w:iCs/>
        </w:rPr>
        <w:footnoteReference w:id="8"/>
      </w:r>
      <w:r w:rsidRPr="002450C7">
        <w:rPr>
          <w:b/>
          <w:bCs/>
          <w:i/>
          <w:iCs/>
        </w:rPr>
        <w:t xml:space="preserve">. La regulación actual se muestra insuficiente para proteger a los ciudadanos, lo que hace imperativo y urgente desarrollar una nueva ley con un enfoque preventivo y de salud pública. </w:t>
      </w:r>
    </w:p>
    <w:p w:rsidR="00FA3607" w:rsidRDefault="00FA3607" w:rsidP="008170C6">
      <w:pPr>
        <w:jc w:val="both"/>
      </w:pPr>
    </w:p>
    <w:p w:rsidR="00FC1AE5" w:rsidRDefault="002450C7" w:rsidP="008170C6">
      <w:pPr>
        <w:jc w:val="both"/>
      </w:pPr>
      <w:r>
        <w:t xml:space="preserve">Y los daños no se centran en la afectación económica o patrimonial, sino que están afectando profundamente la Salud Mental y las relaciones sociales. La </w:t>
      </w:r>
      <w:r w:rsidR="00B91BB6">
        <w:t>ludopatía</w:t>
      </w:r>
      <w:r>
        <w:t xml:space="preserve"> o adicción al juego se afirma que: </w:t>
      </w:r>
      <w:r w:rsidR="005B4F12" w:rsidRPr="005B4F12">
        <w:t>es un trastorno devastador cuyas consecuencias recaen no solo en los individuos afectados, sino también en sus familias y en la sociedad en su conjunto, que asume los costos indirectos derivad</w:t>
      </w:r>
    </w:p>
    <w:p w:rsidR="00F25412" w:rsidRDefault="005B4F12" w:rsidP="008170C6">
      <w:pPr>
        <w:jc w:val="both"/>
      </w:pPr>
      <w:r w:rsidRPr="005B4F12">
        <w:t>os de la pérdida de productividad, el aumento de la delincuencia y la sobrecarga de los servicios sociales y de salud</w:t>
      </w:r>
      <w:r>
        <w:rPr>
          <w:rStyle w:val="Refdenotaalpie"/>
        </w:rPr>
        <w:footnoteReference w:id="9"/>
      </w:r>
      <w:r>
        <w:t>.</w:t>
      </w:r>
    </w:p>
    <w:p w:rsidR="005B4F12" w:rsidRDefault="005B4F12" w:rsidP="008170C6">
      <w:pPr>
        <w:jc w:val="both"/>
      </w:pPr>
    </w:p>
    <w:p w:rsidR="005B4F12" w:rsidRDefault="005B4F12" w:rsidP="008170C6">
      <w:pPr>
        <w:jc w:val="both"/>
      </w:pPr>
      <w:r>
        <w:t xml:space="preserve">Frente al caso concreto que ocupa el presente proyecto de ley, demuestra que la publicidad </w:t>
      </w:r>
      <w:r w:rsidR="002C74FA">
        <w:t>masiva que estamos viendo de plataformas de juegos de apuestas y azar, en la que se muestran como una forma de ocio inofensiva, minimizando los peligros y riesgos reales</w:t>
      </w:r>
      <w:r w:rsidR="009379D7">
        <w:t>, generando una percepción de aceptación social de una conducta que realmente es dañina</w:t>
      </w:r>
      <w:r w:rsidR="009379D7">
        <w:rPr>
          <w:rStyle w:val="Refdenotaalpie"/>
        </w:rPr>
        <w:footnoteReference w:id="10"/>
      </w:r>
      <w:r w:rsidR="009379D7">
        <w:t>, por esto la necesidad de una regulación que refleje las complejidades y los riesgos reales del juego.</w:t>
      </w:r>
    </w:p>
    <w:p w:rsidR="009379D7" w:rsidRDefault="009379D7" w:rsidP="008170C6">
      <w:pPr>
        <w:jc w:val="both"/>
      </w:pPr>
    </w:p>
    <w:p w:rsidR="007F1178" w:rsidRDefault="000D3B9D" w:rsidP="008170C6">
      <w:pPr>
        <w:jc w:val="both"/>
      </w:pPr>
      <w:r>
        <w:t xml:space="preserve">El </w:t>
      </w:r>
      <w:r w:rsidR="007F1178">
        <w:t xml:space="preserve">Doctor José Manuel Quintero Castellanos, nos allego un análisis del estudio de este caso, del cual adjuntamos los apartes literales más destacados a continuación: </w:t>
      </w:r>
    </w:p>
    <w:p w:rsidR="009379D7" w:rsidRDefault="009379D7" w:rsidP="008170C6">
      <w:pPr>
        <w:jc w:val="both"/>
      </w:pPr>
    </w:p>
    <w:p w:rsidR="0004359D" w:rsidRPr="009B1E3F" w:rsidRDefault="0004359D" w:rsidP="009B1E3F">
      <w:pPr>
        <w:jc w:val="center"/>
        <w:rPr>
          <w:b/>
          <w:bCs/>
        </w:rPr>
      </w:pPr>
      <w:r w:rsidRPr="009B1E3F">
        <w:rPr>
          <w:b/>
          <w:bCs/>
        </w:rPr>
        <w:t>Poblaciones Vulnerables y Factores de Riesgo</w:t>
      </w:r>
      <w:r w:rsidR="009B1E3F">
        <w:rPr>
          <w:b/>
          <w:bCs/>
        </w:rPr>
        <w:t>:</w:t>
      </w:r>
    </w:p>
    <w:p w:rsidR="009B1E3F" w:rsidRDefault="009B1E3F" w:rsidP="0004359D">
      <w:pPr>
        <w:jc w:val="both"/>
      </w:pPr>
    </w:p>
    <w:p w:rsidR="0004359D" w:rsidRDefault="0004359D" w:rsidP="009B1E3F">
      <w:pPr>
        <w:pStyle w:val="Prrafodelista"/>
        <w:numPr>
          <w:ilvl w:val="0"/>
          <w:numId w:val="9"/>
        </w:numPr>
        <w:jc w:val="both"/>
      </w:pPr>
      <w:r>
        <w:t>Los adolescentes y jóvenes constituyen una población especialmente vulnerable a los efectos adversos del juego de apuestas</w:t>
      </w:r>
      <w:r w:rsidR="009B1E3F">
        <w:rPr>
          <w:rStyle w:val="Refdenotaalpie"/>
        </w:rPr>
        <w:footnoteReference w:id="11"/>
      </w:r>
      <w:r>
        <w:t>. Su cerebro, aún en desarrollo, presenta una mayor susceptibilidad a las conductas adictivas, lo que los hace particularmente propensos a desarrollar ludopatía. Las consecuencias negativas de un inicio temprano en el juego pueden ser profundas y duraderas, afectando su salud mental, rendimiento académico, relaciones sociales y bienestar general a lo largo de la vida. Los estudios de prevalencia revisados muestran que las tasas de juego problemático son hasta cinco veces más altas en adolescentes que en adultos</w:t>
      </w:r>
      <w:r w:rsidR="009B1E3F">
        <w:rPr>
          <w:rStyle w:val="Refdenotaalpie"/>
        </w:rPr>
        <w:footnoteReference w:id="12"/>
      </w:r>
      <w:r>
        <w:t>.</w:t>
      </w:r>
    </w:p>
    <w:p w:rsidR="009B1E3F" w:rsidRDefault="009B1E3F" w:rsidP="009B1E3F">
      <w:pPr>
        <w:pStyle w:val="Prrafodelista"/>
        <w:jc w:val="both"/>
      </w:pPr>
    </w:p>
    <w:p w:rsidR="0004359D" w:rsidRDefault="0004359D" w:rsidP="0004359D">
      <w:pPr>
        <w:pStyle w:val="Prrafodelista"/>
        <w:numPr>
          <w:ilvl w:val="0"/>
          <w:numId w:val="9"/>
        </w:numPr>
        <w:jc w:val="both"/>
      </w:pPr>
      <w:r>
        <w:t>El inicio temprano en las apuestas es un fuerte predictor de problemas futuros. Investigaciones longitudinales demuestran que una proporción significativa de adultos diagnosticados con ludopatía comenzaron a jugar en la adolescencia. La exposición al juego en el entorno familiar o a través de grupos de pares puede normalizar la conducta y reducir la percepción de riesgo. La constante disponibilidad de plataformas de apuestas en línea agrava esta situación, eliminando barreras de acceso y facilitando el juego a cualquier hora y desde cualquier lugar, incluso para menores de edad</w:t>
      </w:r>
      <w:r w:rsidR="00093134">
        <w:rPr>
          <w:rStyle w:val="Refdenotaalpie"/>
        </w:rPr>
        <w:footnoteReference w:id="13"/>
      </w:r>
      <w:r>
        <w:t>.</w:t>
      </w:r>
    </w:p>
    <w:p w:rsidR="00093134" w:rsidRDefault="00093134" w:rsidP="00093134">
      <w:pPr>
        <w:pStyle w:val="Prrafodelista"/>
      </w:pPr>
    </w:p>
    <w:p w:rsidR="00C83140" w:rsidRDefault="0004359D" w:rsidP="0004359D">
      <w:pPr>
        <w:pStyle w:val="Prrafodelista"/>
        <w:numPr>
          <w:ilvl w:val="0"/>
          <w:numId w:val="9"/>
        </w:numPr>
        <w:jc w:val="both"/>
      </w:pPr>
      <w:r>
        <w:t>Existen múltiples factores que aumentan la predisposición individual a desarrollar una adicción al juego. Entre ellos se incluyen rasgos de personalidad como la impulsividad, la búsqueda de sensaciones y la baja tolerancia a la frustración.</w:t>
      </w:r>
    </w:p>
    <w:p w:rsidR="00C83140" w:rsidRDefault="00C83140" w:rsidP="00C83140">
      <w:pPr>
        <w:pStyle w:val="Prrafodelista"/>
      </w:pPr>
    </w:p>
    <w:p w:rsidR="0004359D" w:rsidRDefault="0004359D" w:rsidP="0004359D">
      <w:pPr>
        <w:pStyle w:val="Prrafodelista"/>
        <w:numPr>
          <w:ilvl w:val="0"/>
          <w:numId w:val="9"/>
        </w:numPr>
        <w:jc w:val="both"/>
      </w:pPr>
      <w:r>
        <w:t xml:space="preserve">Asimismo, la presencia de otros trastornos mentales </w:t>
      </w:r>
      <w:proofErr w:type="spellStart"/>
      <w:r>
        <w:t>comórbidos</w:t>
      </w:r>
      <w:proofErr w:type="spellEnd"/>
      <w:r>
        <w:t>, como la depresión, la ansiedad, el trastorno por déficit de atención e hiperactividad (TDAH) o el abuso de sustancias, incrementa significativamente el riesgo de desarrollar ludopatía. La regulación debe ser sensible a estas condiciones preexistentes y considerar estrategias de protección específicas para estos grupos</w:t>
      </w:r>
      <w:r w:rsidR="00C83140">
        <w:rPr>
          <w:rStyle w:val="Refdenotaalpie"/>
        </w:rPr>
        <w:footnoteReference w:id="14"/>
      </w:r>
      <w:r>
        <w:t>.</w:t>
      </w:r>
    </w:p>
    <w:p w:rsidR="00C83140" w:rsidRDefault="00C83140" w:rsidP="00C83140">
      <w:pPr>
        <w:pStyle w:val="Prrafodelista"/>
      </w:pPr>
    </w:p>
    <w:p w:rsidR="00C83140" w:rsidRDefault="00C83140" w:rsidP="0004359D">
      <w:pPr>
        <w:pStyle w:val="Prrafodelista"/>
        <w:numPr>
          <w:ilvl w:val="0"/>
          <w:numId w:val="9"/>
        </w:numPr>
        <w:jc w:val="both"/>
      </w:pPr>
      <w:r w:rsidRPr="00C83140">
        <w:rPr>
          <w:b/>
          <w:bCs/>
        </w:rPr>
        <w:lastRenderedPageBreak/>
        <w:t xml:space="preserve">La publicidad y el marketing de las casas de apuestas ejercen una influencia directa y perniciosa, especialmente sobre los jóvenes. Las estrategias de marketing son agresivas y a menudo utilizan técnicas que apuntan específicamente a este segmento de la población. La asociación del juego con figuras del deporte, celebridades o </w:t>
      </w:r>
      <w:proofErr w:type="spellStart"/>
      <w:r w:rsidRPr="00C83140">
        <w:rPr>
          <w:b/>
          <w:bCs/>
        </w:rPr>
        <w:t>influencers</w:t>
      </w:r>
      <w:proofErr w:type="spellEnd"/>
      <w:r w:rsidRPr="00C83140">
        <w:rPr>
          <w:b/>
          <w:bCs/>
        </w:rPr>
        <w:t xml:space="preserve"> en redes sociales crea una falsa sensación de normalidad, éxito y glamour, minimizando los riesgos inherentes</w:t>
      </w:r>
      <w:r w:rsidRPr="00C83140">
        <w:t xml:space="preserve">. Esta normalización contribuye a la </w:t>
      </w:r>
      <w:proofErr w:type="spellStart"/>
      <w:r w:rsidRPr="00C83140">
        <w:t>gamificación</w:t>
      </w:r>
      <w:proofErr w:type="spellEnd"/>
      <w:r w:rsidRPr="00C83140">
        <w:t xml:space="preserve"> de las apuestas y a su integración en la cultura juvenil, lo que dificulta la percepción de los peligros reales</w:t>
      </w:r>
      <w:r>
        <w:rPr>
          <w:rStyle w:val="Refdenotaalpie"/>
        </w:rPr>
        <w:footnoteReference w:id="15"/>
      </w:r>
      <w:r w:rsidRPr="00C83140">
        <w:t xml:space="preserve">. </w:t>
      </w:r>
      <w:r w:rsidRPr="00C83140">
        <w:rPr>
          <w:b/>
          <w:bCs/>
          <w:u w:val="single"/>
        </w:rPr>
        <w:t>Es imperativo, desde una perspectiva de salud pública, limitar drásticamente estas prácticas de marketing para proteger a los menores y a las poblaciones vulnerables de la exposición a mensajes que incitan al juego.</w:t>
      </w:r>
      <w:r w:rsidRPr="00C83140">
        <w:t xml:space="preserve"> La literatura demuestra que la exposición al juego en entornos físicos y digitales ha aumentado exponencialmente, especialmente entre adolescentes y jóvenes</w:t>
      </w:r>
      <w:r>
        <w:rPr>
          <w:rStyle w:val="Refdenotaalpie"/>
        </w:rPr>
        <w:footnoteReference w:id="16"/>
      </w:r>
      <w:r w:rsidRPr="00C83140">
        <w:t>.</w:t>
      </w:r>
    </w:p>
    <w:p w:rsidR="00C83140" w:rsidRDefault="00C83140" w:rsidP="00C83140">
      <w:pPr>
        <w:jc w:val="both"/>
      </w:pPr>
    </w:p>
    <w:p w:rsidR="00C83140" w:rsidRPr="00C83140" w:rsidRDefault="00C83140" w:rsidP="00C83140">
      <w:pPr>
        <w:jc w:val="center"/>
        <w:rPr>
          <w:b/>
          <w:bCs/>
        </w:rPr>
      </w:pPr>
      <w:r w:rsidRPr="00C83140">
        <w:rPr>
          <w:b/>
          <w:bCs/>
        </w:rPr>
        <w:t>Impacto Económico y Social</w:t>
      </w:r>
    </w:p>
    <w:p w:rsidR="00C83140" w:rsidRDefault="00C83140" w:rsidP="00C83140">
      <w:pPr>
        <w:jc w:val="both"/>
      </w:pPr>
    </w:p>
    <w:p w:rsidR="00C83140" w:rsidRDefault="00C83140" w:rsidP="00A716B3">
      <w:pPr>
        <w:pStyle w:val="Prrafodelista"/>
        <w:numPr>
          <w:ilvl w:val="0"/>
          <w:numId w:val="12"/>
        </w:numPr>
        <w:jc w:val="both"/>
      </w:pPr>
      <w:r>
        <w:t>La industria del juego a menudo destaca su contribución económica. Argumenta la generación de empleos y significativos ingresos fiscales para el Estado. Sin embargo, es crucial reconocer que estos beneficios no deben eclipsar los sustanciales costos sociales y económicos. Estos costos son generados por la actividad del juego problemático</w:t>
      </w:r>
      <w:r w:rsidR="00BA0527">
        <w:rPr>
          <w:rStyle w:val="Refdenotaalpie"/>
        </w:rPr>
        <w:footnoteReference w:id="17"/>
      </w:r>
      <w:r>
        <w:t xml:space="preserve">. </w:t>
      </w:r>
    </w:p>
    <w:p w:rsidR="00BA0527" w:rsidRDefault="00BA0527" w:rsidP="00BA0527">
      <w:pPr>
        <w:pStyle w:val="Prrafodelista"/>
        <w:jc w:val="both"/>
      </w:pPr>
    </w:p>
    <w:p w:rsidR="00C83140" w:rsidRDefault="00C83140" w:rsidP="00C83140">
      <w:pPr>
        <w:pStyle w:val="Prrafodelista"/>
        <w:numPr>
          <w:ilvl w:val="0"/>
          <w:numId w:val="12"/>
        </w:numPr>
        <w:jc w:val="both"/>
      </w:pPr>
      <w:r>
        <w:t>El juego problemático tiene un impacto negativo directo en la productividad laboral. Se manifiesta a través del ausentismo, la disminución del rendimiento y, en muchos casos, la pérdida de empleo. Con frecuencia, conduce a la acumulación de deudas insostenibles y a la ruina financiera personal y familiar. Esto no solo destruye el patrimonio, sino que también genera una carga adicional para los servicios sociales y de bienestar del Estado, que deben asumir los costos de la asistencia y la rehabilitación</w:t>
      </w:r>
      <w:r w:rsidR="00F17C21">
        <w:rPr>
          <w:rStyle w:val="Refdenotaalpie"/>
        </w:rPr>
        <w:footnoteReference w:id="18"/>
      </w:r>
      <w:r>
        <w:t>.</w:t>
      </w:r>
    </w:p>
    <w:p w:rsidR="00F17C21" w:rsidRDefault="00F17C21" w:rsidP="00F17C21">
      <w:pPr>
        <w:pStyle w:val="Prrafodelista"/>
      </w:pPr>
    </w:p>
    <w:p w:rsidR="00C83140" w:rsidRDefault="00C83140" w:rsidP="00C83140">
      <w:pPr>
        <w:pStyle w:val="Prrafodelista"/>
        <w:numPr>
          <w:ilvl w:val="0"/>
          <w:numId w:val="12"/>
        </w:numPr>
        <w:jc w:val="both"/>
      </w:pPr>
      <w:r>
        <w:t xml:space="preserve">Existe una correlación documentada entre la ludopatía y el aumento de la criminalidad. Los jugadores patológicos, desesperados por financiar su adicción, pueden recurrir a actos ilegales. Esto incluye desde pequeños hurtos y fraudes hasta malversación de fondos y, en casos extremos, delitos más graves. Este fenómeno </w:t>
      </w:r>
      <w:r>
        <w:lastRenderedPageBreak/>
        <w:t>impacta directamente en la seguridad ciudadana y aumenta los costos para el sistema de justicia penal, desviando recursos que podrían destinarse a otras áreas</w:t>
      </w:r>
      <w:r w:rsidR="00F17C21">
        <w:rPr>
          <w:rStyle w:val="Refdenotaalpie"/>
        </w:rPr>
        <w:footnoteReference w:id="19"/>
      </w:r>
    </w:p>
    <w:p w:rsidR="00F17C21" w:rsidRDefault="00F17C21" w:rsidP="00F17C21">
      <w:pPr>
        <w:jc w:val="both"/>
      </w:pPr>
    </w:p>
    <w:p w:rsidR="002450C7" w:rsidRDefault="002450C7" w:rsidP="008170C6">
      <w:pPr>
        <w:jc w:val="both"/>
      </w:pPr>
    </w:p>
    <w:p w:rsidR="00F25412" w:rsidRPr="00F25412" w:rsidRDefault="00F25412" w:rsidP="00F25412">
      <w:pPr>
        <w:pStyle w:val="Prrafodelista"/>
        <w:numPr>
          <w:ilvl w:val="0"/>
          <w:numId w:val="1"/>
        </w:numPr>
        <w:jc w:val="center"/>
        <w:rPr>
          <w:b/>
          <w:bCs/>
        </w:rPr>
      </w:pPr>
      <w:r>
        <w:rPr>
          <w:b/>
          <w:bCs/>
        </w:rPr>
        <w:t>ANÁLISIS COMPARADO</w:t>
      </w:r>
    </w:p>
    <w:p w:rsidR="00F25412" w:rsidRDefault="00F25412" w:rsidP="008170C6">
      <w:pPr>
        <w:jc w:val="both"/>
      </w:pPr>
    </w:p>
    <w:p w:rsidR="00F25412" w:rsidRDefault="00F25412" w:rsidP="008170C6">
      <w:pPr>
        <w:jc w:val="both"/>
      </w:pPr>
    </w:p>
    <w:p w:rsidR="00F25412" w:rsidRDefault="00F25412" w:rsidP="008170C6">
      <w:pPr>
        <w:jc w:val="both"/>
      </w:pPr>
      <w:r>
        <w:rPr>
          <w:b/>
          <w:bCs/>
        </w:rPr>
        <w:t xml:space="preserve">Argentina: </w:t>
      </w:r>
      <w:r>
        <w:t xml:space="preserve">Ordenó bloquear direcciones IP de los sitios de apuestas en </w:t>
      </w:r>
      <w:r w:rsidR="00067DB6">
        <w:t>línea</w:t>
      </w:r>
      <w:r>
        <w:t xml:space="preserve"> en las áreas escolares como medida preventiva para que menores de edad puedan usarlas.</w:t>
      </w:r>
      <w:r w:rsidR="00067DB6">
        <w:t xml:space="preserve"> Estas fueron las medidas que han tomado: </w:t>
      </w:r>
    </w:p>
    <w:p w:rsidR="00F25412" w:rsidRDefault="00F25412" w:rsidP="008170C6">
      <w:pPr>
        <w:jc w:val="both"/>
      </w:pPr>
    </w:p>
    <w:p w:rsidR="00067DB6" w:rsidRDefault="00067DB6" w:rsidP="00067DB6">
      <w:pPr>
        <w:pStyle w:val="Prrafodelista"/>
        <w:numPr>
          <w:ilvl w:val="0"/>
          <w:numId w:val="7"/>
        </w:numPr>
        <w:jc w:val="both"/>
      </w:pPr>
      <w:r>
        <w:t xml:space="preserve">Se cerró la convocatoria para operadores de juego online, no se pueden sumar más sitios de apuestas. Quedaron 11 empresas activas que son auditadas permanentemente, Lotería de la Ciudad de Buenos Aires, con parámetros sobre juego responsable y que establecen identificaciones de los jugadores mediante tecnología biométrica. </w:t>
      </w:r>
    </w:p>
    <w:p w:rsidR="00067DB6" w:rsidRDefault="00067DB6" w:rsidP="00067DB6">
      <w:pPr>
        <w:pStyle w:val="Prrafodelista"/>
        <w:numPr>
          <w:ilvl w:val="0"/>
          <w:numId w:val="7"/>
        </w:numPr>
        <w:jc w:val="both"/>
      </w:pPr>
      <w:r>
        <w:t>Se estableció el bloqueo de .</w:t>
      </w:r>
      <w:proofErr w:type="spellStart"/>
      <w:r>
        <w:t>com</w:t>
      </w:r>
      <w:proofErr w:type="spellEnd"/>
      <w:r>
        <w:t xml:space="preserve"> y sitios de apuestas en toda la red BA wifi (en toda la Ciudad). Se bloquearon 1271 páginas legales. </w:t>
      </w:r>
    </w:p>
    <w:p w:rsidR="00067DB6" w:rsidRDefault="00067DB6" w:rsidP="00067DB6">
      <w:pPr>
        <w:pStyle w:val="Prrafodelista"/>
        <w:numPr>
          <w:ilvl w:val="0"/>
          <w:numId w:val="7"/>
        </w:numPr>
        <w:jc w:val="both"/>
      </w:pPr>
      <w:r>
        <w:t xml:space="preserve">Se denunció a </w:t>
      </w:r>
      <w:proofErr w:type="spellStart"/>
      <w:r>
        <w:t>influencers</w:t>
      </w:r>
      <w:proofErr w:type="spellEnd"/>
      <w:r>
        <w:t xml:space="preserve"> y personalidades para que dejen de publicitar apuestas ilegales. Entre las medidas para atacar la problemática de la ludopatía infantil, el Gobierno de la Ciudad intimó y denunció penalmente a </w:t>
      </w:r>
      <w:proofErr w:type="spellStart"/>
      <w:r>
        <w:t>influencers</w:t>
      </w:r>
      <w:proofErr w:type="spellEnd"/>
      <w:r>
        <w:t xml:space="preserve"> y famosos que a través de redes sociales promocionaron plataformas de apuestas online ilegales. Además, se firmaron acuerdos y convenios para bloquear perfiles de usuarios que promocionan el juego ilegal.</w:t>
      </w:r>
    </w:p>
    <w:p w:rsidR="00067DB6" w:rsidRDefault="00067DB6" w:rsidP="00067DB6">
      <w:pPr>
        <w:pStyle w:val="Prrafodelista"/>
        <w:numPr>
          <w:ilvl w:val="0"/>
          <w:numId w:val="7"/>
        </w:numPr>
        <w:jc w:val="both"/>
      </w:pPr>
      <w:r>
        <w:t>Se creó una fiscalía especializada en ludopatía, una fiscalía especializada en el juego infantil ya trabaja sobre denuncias de sitios de apuestas ilegales, para mejorar el acceso a estas plataformas y ya ha bloqueado 237 sitios de juego ilegal.</w:t>
      </w:r>
    </w:p>
    <w:p w:rsidR="00067DB6" w:rsidRDefault="00067DB6" w:rsidP="00067DB6">
      <w:pPr>
        <w:pStyle w:val="Prrafodelista"/>
        <w:numPr>
          <w:ilvl w:val="0"/>
          <w:numId w:val="7"/>
        </w:numPr>
        <w:jc w:val="both"/>
      </w:pPr>
      <w:r>
        <w:t xml:space="preserve">Se requirió a las billeteras virtuales y bancos que bloqueen transferencias a sitios ilegales. </w:t>
      </w:r>
    </w:p>
    <w:p w:rsidR="00F25412" w:rsidRDefault="00067DB6" w:rsidP="00067DB6">
      <w:pPr>
        <w:pStyle w:val="Prrafodelista"/>
        <w:numPr>
          <w:ilvl w:val="0"/>
          <w:numId w:val="7"/>
        </w:numPr>
        <w:jc w:val="both"/>
      </w:pPr>
      <w:r>
        <w:t>Lotería de la Ciudad de Buenos Aires lleva adelante una campaña de prevención</w:t>
      </w:r>
      <w:r w:rsidR="009A43B7">
        <w:t>.</w:t>
      </w:r>
      <w:r>
        <w:t xml:space="preserve"> Busca concientizar sobre el uso de la tecnología y los riesgos de las apuestas en los menores. Se llama “Hablar es ganar” </w:t>
      </w:r>
      <w:r w:rsidR="00B91BB6">
        <w:t>y promueve</w:t>
      </w:r>
      <w:r>
        <w:t xml:space="preserve"> el diálogo y la concientización para trabajar en la prevención.</w:t>
      </w:r>
    </w:p>
    <w:p w:rsidR="00067DB6" w:rsidRPr="00F25412" w:rsidRDefault="00067DB6" w:rsidP="008170C6">
      <w:pPr>
        <w:jc w:val="both"/>
      </w:pPr>
    </w:p>
    <w:p w:rsidR="008837FE" w:rsidRPr="008837FE" w:rsidRDefault="008837FE" w:rsidP="008170C6">
      <w:pPr>
        <w:jc w:val="both"/>
      </w:pPr>
    </w:p>
    <w:p w:rsidR="00F17C21" w:rsidRDefault="00F17C21" w:rsidP="00F17C21">
      <w:pPr>
        <w:numPr>
          <w:ilvl w:val="0"/>
          <w:numId w:val="1"/>
        </w:numPr>
        <w:jc w:val="center"/>
        <w:rPr>
          <w:b/>
          <w:bCs/>
        </w:rPr>
      </w:pPr>
      <w:r>
        <w:rPr>
          <w:b/>
          <w:bCs/>
        </w:rPr>
        <w:t>CONCLUSIÓN Y PROPUESTA DE MEDIDAS PREVENTIVAS</w:t>
      </w:r>
    </w:p>
    <w:p w:rsidR="00F17C21" w:rsidRDefault="00F17C21" w:rsidP="00F17C21">
      <w:pPr>
        <w:jc w:val="both"/>
        <w:rPr>
          <w:b/>
          <w:bCs/>
        </w:rPr>
      </w:pPr>
    </w:p>
    <w:p w:rsidR="00F17C21" w:rsidRDefault="00F17C21" w:rsidP="00F17C21">
      <w:pPr>
        <w:jc w:val="both"/>
      </w:pPr>
      <w:r>
        <w:t>Es nece</w:t>
      </w:r>
      <w:r w:rsidR="006E0789">
        <w:t xml:space="preserve">saria la creación de las advertencias que contempla la presente ley, toda vez que la publicidad, promoción y patrocinio de los juegos de apuestas, suerte y azar no tiene hoy ninguna restricción, y si por el contrario tenemos modelos exitosos que se han aplicado a otras industrias como el tabaco y el alcohol, es necesario que pongamos sobre la mesa si </w:t>
      </w:r>
      <w:r w:rsidR="006E0789">
        <w:lastRenderedPageBreak/>
        <w:t>debe también ser limitada o no en cuanto a horarios específicos, o a medios de comunicación que principalmente sean escuchados por adultos.</w:t>
      </w:r>
    </w:p>
    <w:p w:rsidR="006E0789" w:rsidRDefault="006E0789" w:rsidP="00F17C21">
      <w:pPr>
        <w:jc w:val="both"/>
      </w:pPr>
    </w:p>
    <w:p w:rsidR="006E0789" w:rsidRDefault="006E0789" w:rsidP="00F17C21">
      <w:pPr>
        <w:jc w:val="both"/>
      </w:pPr>
      <w:r>
        <w:t xml:space="preserve">Es pertinente replantearnos si las plataformas en línea de juegos de apuestas, suerte y azar, deben o no patrocinar eventos deportivos que mayoritariamente menores de edad consumen, si el marketing debe ser realizado por personajes famosos, </w:t>
      </w:r>
      <w:proofErr w:type="spellStart"/>
      <w:r>
        <w:t>influenciadores</w:t>
      </w:r>
      <w:proofErr w:type="spellEnd"/>
      <w:r>
        <w:t xml:space="preserve"> o deportistas que fomentan apuestas, ya que esto </w:t>
      </w:r>
      <w:proofErr w:type="spellStart"/>
      <w:r>
        <w:t>esta</w:t>
      </w:r>
      <w:proofErr w:type="spellEnd"/>
      <w:r>
        <w:t xml:space="preserve"> normalizando y exaltando una conducta que genera riesgos en la salud mental asociada a la Ludopatía.</w:t>
      </w:r>
    </w:p>
    <w:p w:rsidR="006E0789" w:rsidRDefault="006E0789" w:rsidP="00F17C21">
      <w:pPr>
        <w:jc w:val="both"/>
      </w:pPr>
    </w:p>
    <w:p w:rsidR="006E0789" w:rsidRDefault="006E0789" w:rsidP="00F17C21">
      <w:pPr>
        <w:jc w:val="both"/>
      </w:pPr>
      <w:r>
        <w:t xml:space="preserve">Igualmente, es menester revisar la creación de programas de prevención y educación sobre </w:t>
      </w:r>
      <w:r w:rsidR="00B96612">
        <w:t xml:space="preserve">los riesgos de los juegos de apuestas, suerte y azar, así como, que las plataformas de apuestas en línea, ofrezcan herramientas de autoexclusión efectivas frente a la edad mínima de ingreso, montos en las apuestas e incluso tiempo de juego. </w:t>
      </w:r>
    </w:p>
    <w:p w:rsidR="00B96612" w:rsidRDefault="00B96612" w:rsidP="00F17C21">
      <w:pPr>
        <w:jc w:val="both"/>
      </w:pPr>
    </w:p>
    <w:p w:rsidR="00B96612" w:rsidRDefault="00B96612" w:rsidP="00F17C21">
      <w:pPr>
        <w:jc w:val="both"/>
      </w:pPr>
      <w:r>
        <w:t xml:space="preserve">Existen propuestas sobre la eventual creación de un fondo, que se financie con parte de los impuestos de estas empresas para la prevención y el tratamiento de la </w:t>
      </w:r>
      <w:r w:rsidR="00C336E3">
        <w:t>ludopatía</w:t>
      </w:r>
      <w:r>
        <w:t xml:space="preserve">, </w:t>
      </w:r>
      <w:r w:rsidR="00C336E3">
        <w:t>así</w:t>
      </w:r>
      <w:r>
        <w:t xml:space="preserve"> como para mitigar los daños que se generan en la salud mental. </w:t>
      </w:r>
    </w:p>
    <w:p w:rsidR="00C336E3" w:rsidRDefault="00C336E3" w:rsidP="00F17C21">
      <w:pPr>
        <w:jc w:val="both"/>
      </w:pPr>
    </w:p>
    <w:p w:rsidR="00C336E3" w:rsidRDefault="00C336E3" w:rsidP="00F17C21">
      <w:pPr>
        <w:jc w:val="both"/>
      </w:pPr>
      <w:r>
        <w:t xml:space="preserve">Así las cosas, este Proyecto de ley </w:t>
      </w:r>
      <w:r w:rsidR="0078319C">
        <w:t xml:space="preserve">es una oportunidad para la implementación de medidas de advertencia en la publicidad que usan las plataformas en </w:t>
      </w:r>
      <w:r w:rsidR="00D703A1">
        <w:t>línea</w:t>
      </w:r>
      <w:r w:rsidR="0078319C">
        <w:t xml:space="preserve"> de juegos de apuestas, suerte y azar, con el fin de crear un entorno de juego </w:t>
      </w:r>
      <w:r w:rsidR="009A43B7">
        <w:t>más</w:t>
      </w:r>
      <w:r w:rsidR="0078319C">
        <w:t xml:space="preserve"> seguro y responsable, protegiendo a los meno</w:t>
      </w:r>
      <w:r w:rsidR="009A43B7">
        <w:t>res</w:t>
      </w:r>
      <w:r w:rsidR="0078319C">
        <w:t xml:space="preserve"> de edad que son los más</w:t>
      </w:r>
      <w:bookmarkStart w:id="4" w:name="_GoBack"/>
      <w:bookmarkEnd w:id="4"/>
      <w:r w:rsidR="0078319C">
        <w:t xml:space="preserve"> vulnerables. </w:t>
      </w:r>
      <w:r w:rsidR="00FF7020">
        <w:t xml:space="preserve">Siendo la oportunidad de poner este asunto sobre la mesa y en la cual será necesaria la convocatoria a audiencias </w:t>
      </w:r>
      <w:r w:rsidR="009A43B7">
        <w:t>públicas</w:t>
      </w:r>
      <w:r w:rsidR="00D703A1">
        <w:t xml:space="preserve"> y la solicitud de conceptos a las entidades del estado para de esta forma escuchar también a la sociedad civil, expertos en salud pública y voceros de las plataformas en </w:t>
      </w:r>
      <w:r w:rsidR="00B91BB6">
        <w:t>línea</w:t>
      </w:r>
      <w:r w:rsidR="00D703A1">
        <w:t xml:space="preserve"> de apuestas.</w:t>
      </w:r>
    </w:p>
    <w:p w:rsidR="00D703A1" w:rsidRDefault="00D703A1" w:rsidP="00F17C21">
      <w:pPr>
        <w:jc w:val="both"/>
      </w:pPr>
    </w:p>
    <w:p w:rsidR="00F17C21" w:rsidRDefault="00F17C21" w:rsidP="00F17C21">
      <w:pPr>
        <w:jc w:val="both"/>
        <w:rPr>
          <w:b/>
          <w:bCs/>
        </w:rPr>
      </w:pPr>
    </w:p>
    <w:p w:rsidR="008837FE" w:rsidRPr="008837FE" w:rsidRDefault="008837FE" w:rsidP="00D703A1">
      <w:pPr>
        <w:numPr>
          <w:ilvl w:val="0"/>
          <w:numId w:val="1"/>
        </w:numPr>
        <w:jc w:val="center"/>
        <w:rPr>
          <w:b/>
          <w:bCs/>
        </w:rPr>
      </w:pPr>
      <w:r w:rsidRPr="008837FE">
        <w:rPr>
          <w:b/>
          <w:bCs/>
        </w:rPr>
        <w:t>IMPACTO FISCAL</w:t>
      </w:r>
    </w:p>
    <w:p w:rsidR="008837FE" w:rsidRPr="008837FE" w:rsidRDefault="008837FE" w:rsidP="008170C6">
      <w:pPr>
        <w:jc w:val="both"/>
        <w:rPr>
          <w:i/>
          <w:iCs/>
        </w:rPr>
      </w:pPr>
    </w:p>
    <w:p w:rsidR="008837FE" w:rsidRDefault="008837FE" w:rsidP="008170C6">
      <w:pPr>
        <w:jc w:val="both"/>
      </w:pPr>
      <w:r w:rsidRPr="008837FE">
        <w:t>De conformidad con el articulado propuesto, el proyecto de ley no tiene un impacto fiscal negativo en las finanzas del Gobierno Central o cualquier otra entidad pública, por el contrario, significaría un</w:t>
      </w:r>
      <w:r w:rsidR="00D703A1">
        <w:t>a protección a la salud mental no solo de los menores de edad, sino de aquellas personas que realizan apuestas en plataformas en línea.</w:t>
      </w:r>
    </w:p>
    <w:p w:rsidR="008837FE" w:rsidRPr="008837FE" w:rsidRDefault="008837FE" w:rsidP="008170C6">
      <w:pPr>
        <w:jc w:val="both"/>
      </w:pPr>
    </w:p>
    <w:p w:rsidR="008837FE" w:rsidRPr="008837FE" w:rsidRDefault="008837FE" w:rsidP="008170C6">
      <w:pPr>
        <w:jc w:val="both"/>
      </w:pPr>
    </w:p>
    <w:p w:rsidR="008837FE" w:rsidRPr="008837FE" w:rsidRDefault="008837FE" w:rsidP="00F25412">
      <w:pPr>
        <w:numPr>
          <w:ilvl w:val="0"/>
          <w:numId w:val="1"/>
        </w:numPr>
        <w:jc w:val="both"/>
      </w:pPr>
      <w:r w:rsidRPr="008837FE">
        <w:rPr>
          <w:b/>
          <w:bCs/>
        </w:rPr>
        <w:t>DECLARACIÓN DE IMPEDIMENTOS O RELACIÓN DE POSIBLES CONFLICTOS DE INTERÉS</w:t>
      </w:r>
    </w:p>
    <w:p w:rsidR="008837FE" w:rsidRPr="008837FE" w:rsidRDefault="008837FE" w:rsidP="008170C6">
      <w:pPr>
        <w:jc w:val="both"/>
        <w:rPr>
          <w:b/>
          <w:bCs/>
        </w:rPr>
      </w:pPr>
    </w:p>
    <w:p w:rsidR="008837FE" w:rsidRPr="008837FE" w:rsidRDefault="008837FE" w:rsidP="008170C6">
      <w:pPr>
        <w:jc w:val="both"/>
        <w:rPr>
          <w:bCs/>
          <w:lang w:val="es-ES_tradnl"/>
        </w:rPr>
      </w:pPr>
      <w:r w:rsidRPr="008837FE">
        <w:rPr>
          <w:bCs/>
          <w:lang w:val="es-ES_tradnl"/>
        </w:rPr>
        <w:t>De conformidad con el artículo 291 de la Ley 5 de 1992, en la que se estableció que el autor del proyecto presentara en la exposición de motivos un acápite que describa las circunstancias o eventos que podrán generar un conflicto de interés para la discusión y votación del proyecto.</w:t>
      </w:r>
      <w:r w:rsidR="00D703A1">
        <w:rPr>
          <w:bCs/>
          <w:lang w:val="es-ES_tradnl"/>
        </w:rPr>
        <w:t xml:space="preserve"> </w:t>
      </w:r>
      <w:r w:rsidRPr="008837FE">
        <w:rPr>
          <w:bCs/>
          <w:lang w:val="es-ES_tradnl"/>
        </w:rPr>
        <w:t xml:space="preserve">Se considera que el presente proyecto de Ley no genera conflictos de interés en atención a que se trata de un proyecto que no produce un beneficio particular, actual y directo a los congresistas, de conformidad con lo establecido en el artículo 1 de la </w:t>
      </w:r>
      <w:r w:rsidRPr="008837FE">
        <w:rPr>
          <w:bCs/>
          <w:lang w:val="es-ES_tradnl"/>
        </w:rPr>
        <w:lastRenderedPageBreak/>
        <w:t xml:space="preserve">Ley 2003 de 19 de noviembre de 2019; sino que, por el contrario, </w:t>
      </w:r>
      <w:r w:rsidR="00D703A1">
        <w:rPr>
          <w:bCs/>
          <w:lang w:val="es-ES_tradnl"/>
        </w:rPr>
        <w:t xml:space="preserve">al ser una ley que crea una advertencia frente a las apuestas en línea, no existe un </w:t>
      </w:r>
      <w:r w:rsidRPr="008837FE">
        <w:rPr>
          <w:bCs/>
          <w:lang w:val="es-ES_tradnl"/>
        </w:rPr>
        <w:t>beneficio particular.</w:t>
      </w:r>
    </w:p>
    <w:p w:rsidR="008837FE" w:rsidRPr="008837FE" w:rsidRDefault="008837FE" w:rsidP="008170C6">
      <w:pPr>
        <w:jc w:val="both"/>
        <w:rPr>
          <w:bCs/>
          <w:lang w:val="es-ES_tradnl"/>
        </w:rPr>
      </w:pPr>
    </w:p>
    <w:p w:rsidR="008837FE" w:rsidRPr="008837FE" w:rsidRDefault="008837FE" w:rsidP="008170C6">
      <w:pPr>
        <w:jc w:val="both"/>
        <w:rPr>
          <w:bCs/>
          <w:lang w:val="es-ES_tradnl"/>
        </w:rPr>
      </w:pPr>
      <w:r w:rsidRPr="008837FE">
        <w:rPr>
          <w:bCs/>
          <w:lang w:val="es-ES_tradnl"/>
        </w:rPr>
        <w:t>Así el Consejo de Estado determinó “No cualquier interés configura la causal de perdida de investidura, pues se sabe que sólo lo será aquél del que se pueda predicar que es:</w:t>
      </w:r>
    </w:p>
    <w:p w:rsidR="008837FE" w:rsidRPr="008837FE" w:rsidRDefault="008837FE" w:rsidP="008170C6">
      <w:pPr>
        <w:jc w:val="both"/>
        <w:rPr>
          <w:bCs/>
          <w:lang w:val="es-ES_tradnl"/>
        </w:rPr>
      </w:pPr>
    </w:p>
    <w:p w:rsidR="008837FE" w:rsidRPr="008837FE" w:rsidRDefault="008837FE" w:rsidP="008170C6">
      <w:pPr>
        <w:jc w:val="both"/>
        <w:rPr>
          <w:bCs/>
          <w:lang w:val="es-ES_tradnl"/>
        </w:rPr>
      </w:pPr>
      <w:r w:rsidRPr="008837FE">
        <w:rPr>
          <w:b/>
          <w:i/>
          <w:iCs/>
          <w:u w:val="single"/>
          <w:lang w:val="es-ES_tradnl"/>
        </w:rPr>
        <w:t>Directo</w:t>
      </w:r>
      <w:r w:rsidRPr="008837FE">
        <w:rPr>
          <w:b/>
          <w:i/>
          <w:iCs/>
          <w:lang w:val="es-ES_tradnl"/>
        </w:rPr>
        <w:t>, esto es, que per se el alegado beneficio, provecho o utilidad encuentre su fuente en el asunto que fue conocido por el legislador</w:t>
      </w:r>
      <w:r w:rsidRPr="008837FE">
        <w:rPr>
          <w:bCs/>
          <w:lang w:val="es-ES_tradnl"/>
        </w:rPr>
        <w:t xml:space="preserve">; </w:t>
      </w:r>
    </w:p>
    <w:p w:rsidR="008837FE" w:rsidRPr="008837FE" w:rsidRDefault="008837FE" w:rsidP="008170C6">
      <w:pPr>
        <w:jc w:val="both"/>
        <w:rPr>
          <w:bCs/>
          <w:lang w:val="es-ES_tradnl"/>
        </w:rPr>
      </w:pPr>
    </w:p>
    <w:p w:rsidR="008837FE" w:rsidRPr="008837FE" w:rsidRDefault="008837FE" w:rsidP="008170C6">
      <w:pPr>
        <w:jc w:val="both"/>
        <w:rPr>
          <w:bCs/>
          <w:lang w:val="es-ES_tradnl"/>
        </w:rPr>
      </w:pPr>
      <w:r w:rsidRPr="008837FE">
        <w:rPr>
          <w:b/>
          <w:i/>
          <w:iCs/>
          <w:u w:val="single"/>
          <w:lang w:val="es-ES_tradnl"/>
        </w:rPr>
        <w:t>Particular,</w:t>
      </w:r>
      <w:r w:rsidRPr="008837FE">
        <w:rPr>
          <w:b/>
          <w:i/>
          <w:iCs/>
          <w:lang w:val="es-ES_tradnl"/>
        </w:rPr>
        <w:t xml:space="preserve"> que el mismo sea específico o personal, bien para el congresista o quienes se encuentren relacionados con él</w:t>
      </w:r>
      <w:r w:rsidRPr="008837FE">
        <w:rPr>
          <w:bCs/>
          <w:lang w:val="es-ES_tradnl"/>
        </w:rPr>
        <w:t xml:space="preserve">; y </w:t>
      </w:r>
    </w:p>
    <w:p w:rsidR="008837FE" w:rsidRPr="008837FE" w:rsidRDefault="008837FE" w:rsidP="008170C6">
      <w:pPr>
        <w:jc w:val="both"/>
        <w:rPr>
          <w:b/>
          <w:i/>
          <w:iCs/>
          <w:lang w:val="es-ES_tradnl"/>
        </w:rPr>
      </w:pPr>
    </w:p>
    <w:p w:rsidR="008837FE" w:rsidRPr="008837FE" w:rsidRDefault="008837FE" w:rsidP="008170C6">
      <w:pPr>
        <w:jc w:val="both"/>
        <w:rPr>
          <w:bCs/>
          <w:lang w:val="es-ES_tradnl"/>
        </w:rPr>
      </w:pPr>
      <w:r w:rsidRPr="008837FE">
        <w:rPr>
          <w:b/>
          <w:i/>
          <w:iCs/>
          <w:u w:val="single"/>
          <w:lang w:val="es-ES_tradnl"/>
        </w:rPr>
        <w:t>Actual o inmediato</w:t>
      </w:r>
      <w:r w:rsidRPr="008837FE">
        <w:rPr>
          <w:b/>
          <w:i/>
          <w:iCs/>
          <w:lang w:val="es-ES_tradnl"/>
        </w:rPr>
        <w:t>, que concurra para el momento en que ocurrió la participación o votación del congresista, lo que excluye sucesos contingentes, futuros o imprevisibles.</w:t>
      </w:r>
      <w:r w:rsidRPr="008837FE">
        <w:rPr>
          <w:b/>
          <w:i/>
          <w:iCs/>
          <w:vertAlign w:val="superscript"/>
          <w:lang w:val="es-ES_tradnl"/>
        </w:rPr>
        <w:footnoteReference w:id="20"/>
      </w:r>
    </w:p>
    <w:p w:rsidR="008837FE" w:rsidRPr="008837FE" w:rsidRDefault="008837FE" w:rsidP="008170C6">
      <w:pPr>
        <w:jc w:val="both"/>
      </w:pPr>
    </w:p>
    <w:p w:rsidR="008837FE" w:rsidRPr="008837FE" w:rsidRDefault="008837FE" w:rsidP="008170C6">
      <w:pPr>
        <w:jc w:val="both"/>
      </w:pPr>
      <w:r w:rsidRPr="008837FE">
        <w:t>De los Honorables Congresistas,</w:t>
      </w:r>
    </w:p>
    <w:p w:rsidR="008837FE" w:rsidRPr="008837FE" w:rsidRDefault="008837FE" w:rsidP="008170C6">
      <w:pPr>
        <w:jc w:val="both"/>
      </w:pPr>
    </w:p>
    <w:p w:rsidR="00D703A1" w:rsidRDefault="00D703A1" w:rsidP="008170C6">
      <w:pPr>
        <w:jc w:val="both"/>
      </w:pPr>
    </w:p>
    <w:p w:rsidR="00D703A1" w:rsidRDefault="00D703A1" w:rsidP="008170C6">
      <w:pPr>
        <w:jc w:val="both"/>
      </w:pPr>
    </w:p>
    <w:p w:rsidR="00D703A1" w:rsidRPr="008837FE" w:rsidRDefault="00D703A1" w:rsidP="008170C6">
      <w:pPr>
        <w:jc w:val="both"/>
      </w:pPr>
    </w:p>
    <w:p w:rsidR="008837FE" w:rsidRPr="008837FE" w:rsidRDefault="008837FE" w:rsidP="008170C6">
      <w:pPr>
        <w:jc w:val="both"/>
        <w:rPr>
          <w:b/>
        </w:rPr>
      </w:pPr>
      <w:r w:rsidRPr="008837FE">
        <w:rPr>
          <w:b/>
        </w:rPr>
        <w:t>EDUAR TRIANA RINCÓN</w:t>
      </w:r>
    </w:p>
    <w:p w:rsidR="008837FE" w:rsidRPr="008837FE" w:rsidRDefault="008837FE" w:rsidP="008170C6">
      <w:pPr>
        <w:jc w:val="both"/>
        <w:rPr>
          <w:b/>
        </w:rPr>
      </w:pPr>
      <w:r w:rsidRPr="008837FE">
        <w:rPr>
          <w:b/>
        </w:rPr>
        <w:t xml:space="preserve">Representante a la Cámara Boyacá </w:t>
      </w:r>
    </w:p>
    <w:p w:rsidR="001901A6" w:rsidRDefault="008837FE" w:rsidP="008170C6">
      <w:pPr>
        <w:jc w:val="both"/>
        <w:rPr>
          <w:b/>
        </w:rPr>
      </w:pPr>
      <w:r w:rsidRPr="008837FE">
        <w:rPr>
          <w:b/>
        </w:rPr>
        <w:t xml:space="preserve">Centro Democrático </w:t>
      </w:r>
    </w:p>
    <w:p w:rsidR="007A335B" w:rsidRDefault="007A335B" w:rsidP="008170C6">
      <w:pPr>
        <w:jc w:val="both"/>
        <w:rPr>
          <w:b/>
        </w:rPr>
      </w:pPr>
    </w:p>
    <w:p w:rsidR="007A335B" w:rsidRDefault="007A335B" w:rsidP="008170C6">
      <w:pPr>
        <w:jc w:val="both"/>
        <w:rPr>
          <w:b/>
        </w:rPr>
      </w:pPr>
    </w:p>
    <w:p w:rsidR="007A335B" w:rsidRDefault="007A335B" w:rsidP="008170C6">
      <w:pPr>
        <w:jc w:val="both"/>
        <w:rPr>
          <w:b/>
        </w:rPr>
      </w:pPr>
    </w:p>
    <w:p w:rsidR="007A335B" w:rsidRDefault="007A335B" w:rsidP="008170C6">
      <w:pPr>
        <w:jc w:val="both"/>
        <w:rPr>
          <w:b/>
        </w:rPr>
      </w:pPr>
    </w:p>
    <w:p w:rsidR="007A335B" w:rsidRDefault="007A335B" w:rsidP="008170C6">
      <w:pPr>
        <w:jc w:val="both"/>
        <w:rPr>
          <w:b/>
        </w:rPr>
      </w:pPr>
    </w:p>
    <w:p w:rsidR="007A335B" w:rsidRDefault="007A335B" w:rsidP="008170C6">
      <w:pPr>
        <w:jc w:val="both"/>
        <w:rPr>
          <w:b/>
        </w:rPr>
      </w:pPr>
    </w:p>
    <w:p w:rsidR="007A335B" w:rsidRDefault="007A335B" w:rsidP="008170C6">
      <w:pPr>
        <w:jc w:val="both"/>
        <w:rPr>
          <w:b/>
        </w:rPr>
      </w:pPr>
    </w:p>
    <w:p w:rsidR="007A335B" w:rsidRDefault="007A335B" w:rsidP="008170C6">
      <w:pPr>
        <w:jc w:val="both"/>
        <w:rPr>
          <w:b/>
        </w:rPr>
      </w:pPr>
    </w:p>
    <w:p w:rsidR="007A335B" w:rsidRDefault="007A335B" w:rsidP="008170C6">
      <w:pPr>
        <w:jc w:val="both"/>
        <w:rPr>
          <w:b/>
        </w:rPr>
      </w:pPr>
    </w:p>
    <w:p w:rsidR="007A335B" w:rsidRDefault="007A335B" w:rsidP="008170C6">
      <w:pPr>
        <w:jc w:val="both"/>
        <w:rPr>
          <w:b/>
        </w:rPr>
      </w:pPr>
    </w:p>
    <w:p w:rsidR="007A335B" w:rsidRDefault="007A335B" w:rsidP="008170C6">
      <w:pPr>
        <w:jc w:val="both"/>
      </w:pPr>
    </w:p>
    <w:p w:rsidR="009A43B7" w:rsidRDefault="009A43B7" w:rsidP="008170C6">
      <w:pPr>
        <w:jc w:val="both"/>
      </w:pPr>
    </w:p>
    <w:p w:rsidR="009A43B7" w:rsidRDefault="009A43B7" w:rsidP="008170C6">
      <w:pPr>
        <w:jc w:val="both"/>
      </w:pPr>
    </w:p>
    <w:p w:rsidR="009A43B7" w:rsidRDefault="009A43B7" w:rsidP="008170C6">
      <w:pPr>
        <w:jc w:val="both"/>
      </w:pPr>
    </w:p>
    <w:p w:rsidR="009A43B7" w:rsidRDefault="009A43B7" w:rsidP="008170C6">
      <w:pPr>
        <w:jc w:val="both"/>
      </w:pPr>
    </w:p>
    <w:p w:rsidR="009A43B7" w:rsidRDefault="009A43B7" w:rsidP="008170C6">
      <w:pPr>
        <w:jc w:val="both"/>
      </w:pPr>
    </w:p>
    <w:p w:rsidR="009A43B7" w:rsidRDefault="009A43B7" w:rsidP="008170C6">
      <w:pPr>
        <w:jc w:val="both"/>
      </w:pPr>
    </w:p>
    <w:p w:rsidR="009A43B7" w:rsidRDefault="009A43B7" w:rsidP="008170C6">
      <w:pPr>
        <w:jc w:val="both"/>
      </w:pPr>
    </w:p>
    <w:tbl>
      <w:tblPr>
        <w:tblStyle w:val="Tablaconcuadrcula"/>
        <w:tblW w:w="0" w:type="auto"/>
        <w:tblLook w:val="04A0" w:firstRow="1" w:lastRow="0" w:firstColumn="1" w:lastColumn="0" w:noHBand="0" w:noVBand="1"/>
      </w:tblPr>
      <w:tblGrid>
        <w:gridCol w:w="4414"/>
        <w:gridCol w:w="4414"/>
      </w:tblGrid>
      <w:tr w:rsidR="009A43B7" w:rsidTr="00517761">
        <w:tc>
          <w:tcPr>
            <w:tcW w:w="4414" w:type="dxa"/>
          </w:tcPr>
          <w:p w:rsidR="009A43B7" w:rsidRDefault="009A43B7" w:rsidP="00517761">
            <w:pPr>
              <w:rPr>
                <w:b/>
              </w:rPr>
            </w:pPr>
          </w:p>
          <w:p w:rsidR="009A43B7" w:rsidRDefault="009A43B7" w:rsidP="00517761">
            <w:pPr>
              <w:rPr>
                <w:b/>
              </w:rPr>
            </w:pPr>
          </w:p>
          <w:p w:rsidR="009A43B7" w:rsidRDefault="009A43B7" w:rsidP="00517761">
            <w:pPr>
              <w:rPr>
                <w:b/>
              </w:rPr>
            </w:pPr>
          </w:p>
          <w:p w:rsidR="009A43B7" w:rsidRDefault="009A43B7" w:rsidP="00517761">
            <w:pPr>
              <w:rPr>
                <w:b/>
              </w:rPr>
            </w:pPr>
          </w:p>
        </w:tc>
        <w:tc>
          <w:tcPr>
            <w:tcW w:w="4414" w:type="dxa"/>
          </w:tcPr>
          <w:p w:rsidR="009A43B7" w:rsidRDefault="009A43B7" w:rsidP="00517761">
            <w:pPr>
              <w:rPr>
                <w:b/>
              </w:rPr>
            </w:pPr>
          </w:p>
        </w:tc>
      </w:tr>
      <w:tr w:rsidR="009A43B7" w:rsidTr="00517761">
        <w:tc>
          <w:tcPr>
            <w:tcW w:w="4414" w:type="dxa"/>
          </w:tcPr>
          <w:p w:rsidR="009A43B7" w:rsidRDefault="009A43B7" w:rsidP="00517761">
            <w:pPr>
              <w:rPr>
                <w:b/>
              </w:rPr>
            </w:pPr>
          </w:p>
          <w:p w:rsidR="009A43B7" w:rsidRDefault="009A43B7" w:rsidP="00517761">
            <w:pPr>
              <w:rPr>
                <w:b/>
              </w:rPr>
            </w:pPr>
          </w:p>
          <w:p w:rsidR="009A43B7" w:rsidRDefault="009A43B7" w:rsidP="00517761">
            <w:pPr>
              <w:rPr>
                <w:b/>
              </w:rPr>
            </w:pPr>
          </w:p>
          <w:p w:rsidR="009A43B7" w:rsidRDefault="009A43B7" w:rsidP="00517761">
            <w:pPr>
              <w:rPr>
                <w:b/>
              </w:rPr>
            </w:pPr>
          </w:p>
        </w:tc>
        <w:tc>
          <w:tcPr>
            <w:tcW w:w="4414" w:type="dxa"/>
          </w:tcPr>
          <w:p w:rsidR="009A43B7" w:rsidRDefault="009A43B7" w:rsidP="00517761">
            <w:pPr>
              <w:rPr>
                <w:b/>
              </w:rPr>
            </w:pPr>
          </w:p>
        </w:tc>
      </w:tr>
      <w:tr w:rsidR="009A43B7" w:rsidTr="00517761">
        <w:tc>
          <w:tcPr>
            <w:tcW w:w="4414" w:type="dxa"/>
          </w:tcPr>
          <w:p w:rsidR="009A43B7" w:rsidRDefault="009A43B7" w:rsidP="00517761">
            <w:pPr>
              <w:rPr>
                <w:b/>
              </w:rPr>
            </w:pPr>
          </w:p>
          <w:p w:rsidR="009A43B7" w:rsidRDefault="009A43B7" w:rsidP="00517761">
            <w:pPr>
              <w:rPr>
                <w:b/>
              </w:rPr>
            </w:pPr>
          </w:p>
          <w:p w:rsidR="009A43B7" w:rsidRDefault="009A43B7" w:rsidP="00517761">
            <w:pPr>
              <w:rPr>
                <w:b/>
              </w:rPr>
            </w:pPr>
          </w:p>
          <w:p w:rsidR="009A43B7" w:rsidRDefault="009A43B7" w:rsidP="00517761">
            <w:pPr>
              <w:rPr>
                <w:b/>
              </w:rPr>
            </w:pPr>
          </w:p>
        </w:tc>
        <w:tc>
          <w:tcPr>
            <w:tcW w:w="4414" w:type="dxa"/>
          </w:tcPr>
          <w:p w:rsidR="009A43B7" w:rsidRDefault="009A43B7" w:rsidP="00517761">
            <w:pPr>
              <w:rPr>
                <w:b/>
              </w:rPr>
            </w:pPr>
          </w:p>
        </w:tc>
      </w:tr>
      <w:tr w:rsidR="009A43B7" w:rsidTr="00517761">
        <w:tc>
          <w:tcPr>
            <w:tcW w:w="4414" w:type="dxa"/>
          </w:tcPr>
          <w:p w:rsidR="009A43B7" w:rsidRDefault="009A43B7" w:rsidP="00517761">
            <w:pPr>
              <w:rPr>
                <w:b/>
              </w:rPr>
            </w:pPr>
          </w:p>
          <w:p w:rsidR="009A43B7" w:rsidRDefault="009A43B7" w:rsidP="00517761">
            <w:pPr>
              <w:rPr>
                <w:b/>
              </w:rPr>
            </w:pPr>
          </w:p>
          <w:p w:rsidR="009A43B7" w:rsidRDefault="009A43B7" w:rsidP="00517761">
            <w:pPr>
              <w:rPr>
                <w:b/>
              </w:rPr>
            </w:pPr>
          </w:p>
          <w:p w:rsidR="009A43B7" w:rsidRDefault="009A43B7" w:rsidP="00517761">
            <w:pPr>
              <w:rPr>
                <w:b/>
              </w:rPr>
            </w:pPr>
          </w:p>
        </w:tc>
        <w:tc>
          <w:tcPr>
            <w:tcW w:w="4414" w:type="dxa"/>
          </w:tcPr>
          <w:p w:rsidR="009A43B7" w:rsidRDefault="009A43B7" w:rsidP="00517761">
            <w:pPr>
              <w:rPr>
                <w:b/>
              </w:rPr>
            </w:pPr>
          </w:p>
        </w:tc>
      </w:tr>
      <w:tr w:rsidR="009A43B7" w:rsidTr="00517761">
        <w:tc>
          <w:tcPr>
            <w:tcW w:w="4414" w:type="dxa"/>
          </w:tcPr>
          <w:p w:rsidR="009A43B7" w:rsidRDefault="009A43B7" w:rsidP="00517761">
            <w:pPr>
              <w:rPr>
                <w:b/>
              </w:rPr>
            </w:pPr>
          </w:p>
          <w:p w:rsidR="009A43B7" w:rsidRDefault="009A43B7" w:rsidP="00517761">
            <w:pPr>
              <w:rPr>
                <w:b/>
              </w:rPr>
            </w:pPr>
          </w:p>
          <w:p w:rsidR="009A43B7" w:rsidRDefault="009A43B7" w:rsidP="00517761">
            <w:pPr>
              <w:rPr>
                <w:b/>
              </w:rPr>
            </w:pPr>
          </w:p>
          <w:p w:rsidR="009A43B7" w:rsidRDefault="009A43B7" w:rsidP="00517761">
            <w:pPr>
              <w:rPr>
                <w:b/>
              </w:rPr>
            </w:pPr>
          </w:p>
        </w:tc>
        <w:tc>
          <w:tcPr>
            <w:tcW w:w="4414" w:type="dxa"/>
          </w:tcPr>
          <w:p w:rsidR="009A43B7" w:rsidRDefault="009A43B7" w:rsidP="00517761">
            <w:pPr>
              <w:rPr>
                <w:b/>
              </w:rPr>
            </w:pPr>
          </w:p>
        </w:tc>
      </w:tr>
      <w:tr w:rsidR="009A43B7" w:rsidTr="00517761">
        <w:tc>
          <w:tcPr>
            <w:tcW w:w="4414" w:type="dxa"/>
          </w:tcPr>
          <w:p w:rsidR="009A43B7" w:rsidRDefault="009A43B7" w:rsidP="00517761">
            <w:pPr>
              <w:rPr>
                <w:b/>
              </w:rPr>
            </w:pPr>
          </w:p>
          <w:p w:rsidR="009A43B7" w:rsidRDefault="009A43B7" w:rsidP="00517761">
            <w:pPr>
              <w:rPr>
                <w:b/>
              </w:rPr>
            </w:pPr>
          </w:p>
          <w:p w:rsidR="009A43B7" w:rsidRDefault="009A43B7" w:rsidP="00517761">
            <w:pPr>
              <w:rPr>
                <w:b/>
              </w:rPr>
            </w:pPr>
          </w:p>
          <w:p w:rsidR="009A43B7" w:rsidRDefault="009A43B7" w:rsidP="00517761">
            <w:pPr>
              <w:rPr>
                <w:b/>
              </w:rPr>
            </w:pPr>
          </w:p>
        </w:tc>
        <w:tc>
          <w:tcPr>
            <w:tcW w:w="4414" w:type="dxa"/>
          </w:tcPr>
          <w:p w:rsidR="009A43B7" w:rsidRDefault="009A43B7" w:rsidP="00517761">
            <w:pPr>
              <w:rPr>
                <w:b/>
              </w:rPr>
            </w:pPr>
          </w:p>
        </w:tc>
      </w:tr>
      <w:tr w:rsidR="009A43B7" w:rsidTr="00517761">
        <w:tc>
          <w:tcPr>
            <w:tcW w:w="4414" w:type="dxa"/>
          </w:tcPr>
          <w:p w:rsidR="009A43B7" w:rsidRDefault="009A43B7" w:rsidP="00517761">
            <w:pPr>
              <w:rPr>
                <w:b/>
              </w:rPr>
            </w:pPr>
          </w:p>
          <w:p w:rsidR="009A43B7" w:rsidRDefault="009A43B7" w:rsidP="00517761">
            <w:pPr>
              <w:rPr>
                <w:b/>
              </w:rPr>
            </w:pPr>
          </w:p>
          <w:p w:rsidR="009A43B7" w:rsidRDefault="009A43B7" w:rsidP="00517761">
            <w:pPr>
              <w:rPr>
                <w:b/>
              </w:rPr>
            </w:pPr>
          </w:p>
          <w:p w:rsidR="009A43B7" w:rsidRDefault="009A43B7" w:rsidP="00517761">
            <w:pPr>
              <w:rPr>
                <w:b/>
              </w:rPr>
            </w:pPr>
          </w:p>
        </w:tc>
        <w:tc>
          <w:tcPr>
            <w:tcW w:w="4414" w:type="dxa"/>
          </w:tcPr>
          <w:p w:rsidR="009A43B7" w:rsidRDefault="009A43B7" w:rsidP="00517761">
            <w:pPr>
              <w:rPr>
                <w:b/>
              </w:rPr>
            </w:pPr>
          </w:p>
        </w:tc>
      </w:tr>
      <w:tr w:rsidR="009A43B7" w:rsidTr="00517761">
        <w:tc>
          <w:tcPr>
            <w:tcW w:w="4414" w:type="dxa"/>
          </w:tcPr>
          <w:p w:rsidR="009A43B7" w:rsidRDefault="009A43B7" w:rsidP="00517761">
            <w:pPr>
              <w:rPr>
                <w:b/>
              </w:rPr>
            </w:pPr>
          </w:p>
          <w:p w:rsidR="009A43B7" w:rsidRDefault="009A43B7" w:rsidP="00517761">
            <w:pPr>
              <w:rPr>
                <w:b/>
              </w:rPr>
            </w:pPr>
          </w:p>
          <w:p w:rsidR="009A43B7" w:rsidRDefault="009A43B7" w:rsidP="00517761">
            <w:pPr>
              <w:rPr>
                <w:b/>
              </w:rPr>
            </w:pPr>
          </w:p>
          <w:p w:rsidR="009A43B7" w:rsidRDefault="009A43B7" w:rsidP="00517761">
            <w:pPr>
              <w:rPr>
                <w:b/>
              </w:rPr>
            </w:pPr>
          </w:p>
        </w:tc>
        <w:tc>
          <w:tcPr>
            <w:tcW w:w="4414" w:type="dxa"/>
          </w:tcPr>
          <w:p w:rsidR="009A43B7" w:rsidRDefault="009A43B7" w:rsidP="00517761">
            <w:pPr>
              <w:rPr>
                <w:b/>
              </w:rPr>
            </w:pPr>
          </w:p>
        </w:tc>
      </w:tr>
      <w:tr w:rsidR="009A43B7" w:rsidTr="00517761">
        <w:tc>
          <w:tcPr>
            <w:tcW w:w="4414" w:type="dxa"/>
          </w:tcPr>
          <w:p w:rsidR="009A43B7" w:rsidRDefault="009A43B7" w:rsidP="00517761">
            <w:pPr>
              <w:rPr>
                <w:b/>
              </w:rPr>
            </w:pPr>
          </w:p>
          <w:p w:rsidR="009A43B7" w:rsidRDefault="009A43B7" w:rsidP="00517761">
            <w:pPr>
              <w:rPr>
                <w:b/>
              </w:rPr>
            </w:pPr>
          </w:p>
          <w:p w:rsidR="009A43B7" w:rsidRDefault="009A43B7" w:rsidP="00517761">
            <w:pPr>
              <w:rPr>
                <w:b/>
              </w:rPr>
            </w:pPr>
          </w:p>
          <w:p w:rsidR="009A43B7" w:rsidRDefault="009A43B7" w:rsidP="00517761">
            <w:pPr>
              <w:rPr>
                <w:b/>
              </w:rPr>
            </w:pPr>
          </w:p>
        </w:tc>
        <w:tc>
          <w:tcPr>
            <w:tcW w:w="4414" w:type="dxa"/>
          </w:tcPr>
          <w:p w:rsidR="009A43B7" w:rsidRDefault="009A43B7" w:rsidP="00517761">
            <w:pPr>
              <w:rPr>
                <w:b/>
              </w:rPr>
            </w:pPr>
          </w:p>
        </w:tc>
      </w:tr>
      <w:tr w:rsidR="009A43B7" w:rsidTr="00517761">
        <w:tc>
          <w:tcPr>
            <w:tcW w:w="4414" w:type="dxa"/>
          </w:tcPr>
          <w:p w:rsidR="009A43B7" w:rsidRDefault="009A43B7" w:rsidP="00517761">
            <w:pPr>
              <w:rPr>
                <w:b/>
              </w:rPr>
            </w:pPr>
          </w:p>
          <w:p w:rsidR="009A43B7" w:rsidRDefault="009A43B7" w:rsidP="00517761">
            <w:pPr>
              <w:rPr>
                <w:b/>
              </w:rPr>
            </w:pPr>
          </w:p>
          <w:p w:rsidR="009A43B7" w:rsidRDefault="009A43B7" w:rsidP="00517761">
            <w:pPr>
              <w:rPr>
                <w:b/>
              </w:rPr>
            </w:pPr>
          </w:p>
          <w:p w:rsidR="009A43B7" w:rsidRDefault="009A43B7" w:rsidP="00517761">
            <w:pPr>
              <w:rPr>
                <w:b/>
              </w:rPr>
            </w:pPr>
          </w:p>
        </w:tc>
        <w:tc>
          <w:tcPr>
            <w:tcW w:w="4414" w:type="dxa"/>
          </w:tcPr>
          <w:p w:rsidR="009A43B7" w:rsidRDefault="009A43B7" w:rsidP="00517761">
            <w:pPr>
              <w:rPr>
                <w:b/>
              </w:rPr>
            </w:pPr>
          </w:p>
        </w:tc>
      </w:tr>
    </w:tbl>
    <w:p w:rsidR="009A43B7" w:rsidRPr="00E11E6F" w:rsidRDefault="009A43B7" w:rsidP="008170C6">
      <w:pPr>
        <w:jc w:val="both"/>
      </w:pPr>
    </w:p>
    <w:sectPr w:rsidR="009A43B7" w:rsidRPr="00E11E6F" w:rsidSect="00F124E8">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9DC" w:rsidRDefault="007779DC" w:rsidP="007D23F2">
      <w:r>
        <w:separator/>
      </w:r>
    </w:p>
  </w:endnote>
  <w:endnote w:type="continuationSeparator" w:id="0">
    <w:p w:rsidR="007779DC" w:rsidRDefault="007779DC" w:rsidP="007D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3F2" w:rsidRDefault="007D23F2">
    <w:pPr>
      <w:pStyle w:val="Piedepgina"/>
    </w:pPr>
    <w:r>
      <w:rPr>
        <w:noProof/>
        <w:lang w:eastAsia="es-CO"/>
      </w:rPr>
      <w:drawing>
        <wp:anchor distT="0" distB="0" distL="114300" distR="114300" simplePos="0" relativeHeight="251659264" behindDoc="1" locked="0" layoutInCell="1" allowOverlap="1">
          <wp:simplePos x="0" y="0"/>
          <wp:positionH relativeFrom="margin">
            <wp:align>center</wp:align>
          </wp:positionH>
          <wp:positionV relativeFrom="paragraph">
            <wp:posOffset>-539750</wp:posOffset>
          </wp:positionV>
          <wp:extent cx="6557395" cy="1740626"/>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png"/>
                  <pic:cNvPicPr/>
                </pic:nvPicPr>
                <pic:blipFill>
                  <a:blip r:embed="rId1">
                    <a:extLst>
                      <a:ext uri="{28A0092B-C50C-407E-A947-70E740481C1C}">
                        <a14:useLocalDpi xmlns:a14="http://schemas.microsoft.com/office/drawing/2010/main" val="0"/>
                      </a:ext>
                    </a:extLst>
                  </a:blip>
                  <a:stretch>
                    <a:fillRect/>
                  </a:stretch>
                </pic:blipFill>
                <pic:spPr>
                  <a:xfrm>
                    <a:off x="0" y="0"/>
                    <a:ext cx="6557395" cy="1740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9DC" w:rsidRDefault="007779DC" w:rsidP="007D23F2">
      <w:r>
        <w:separator/>
      </w:r>
    </w:p>
  </w:footnote>
  <w:footnote w:type="continuationSeparator" w:id="0">
    <w:p w:rsidR="007779DC" w:rsidRDefault="007779DC" w:rsidP="007D23F2">
      <w:r>
        <w:continuationSeparator/>
      </w:r>
    </w:p>
  </w:footnote>
  <w:footnote w:id="1">
    <w:p w:rsidR="00FF22D2" w:rsidRPr="00FF22D2" w:rsidRDefault="00FF22D2">
      <w:pPr>
        <w:pStyle w:val="Textonotapie"/>
        <w:rPr>
          <w:lang w:val="es-MX"/>
        </w:rPr>
      </w:pPr>
      <w:r>
        <w:rPr>
          <w:rStyle w:val="Refdenotaalpie"/>
        </w:rPr>
        <w:footnoteRef/>
      </w:r>
      <w:r>
        <w:t xml:space="preserve"> </w:t>
      </w:r>
      <w:r w:rsidR="00041728" w:rsidRPr="00041728">
        <w:t>https://www.eltiempo.com/tecnosfera/novedades-tecnologia/apuestas-y-menores-de-edad-cuidado-analisis-del-editor-multimedia-3370705</w:t>
      </w:r>
    </w:p>
  </w:footnote>
  <w:footnote w:id="2">
    <w:p w:rsidR="00695F7A" w:rsidRPr="00695F7A" w:rsidRDefault="00695F7A">
      <w:pPr>
        <w:pStyle w:val="Textonotapie"/>
        <w:rPr>
          <w:lang w:val="es-MX"/>
        </w:rPr>
      </w:pPr>
      <w:r>
        <w:rPr>
          <w:rStyle w:val="Refdenotaalpie"/>
        </w:rPr>
        <w:footnoteRef/>
      </w:r>
      <w:r>
        <w:t xml:space="preserve"> </w:t>
      </w:r>
      <w:r w:rsidRPr="00695F7A">
        <w:t>https://www.eltiempo.com/salud/los-riesgos-de-tener-un-casino-en-el-bolsillo-una-alerta-de-salud-publica-3404613</w:t>
      </w:r>
    </w:p>
  </w:footnote>
  <w:footnote w:id="3">
    <w:p w:rsidR="00695F7A" w:rsidRPr="00695F7A" w:rsidRDefault="00695F7A">
      <w:pPr>
        <w:pStyle w:val="Textonotapie"/>
        <w:rPr>
          <w:lang w:val="es-MX"/>
        </w:rPr>
      </w:pPr>
      <w:r>
        <w:rPr>
          <w:rStyle w:val="Refdenotaalpie"/>
        </w:rPr>
        <w:footnoteRef/>
      </w:r>
      <w:r>
        <w:t xml:space="preserve"> </w:t>
      </w:r>
      <w:r w:rsidR="00B91BB6">
        <w:rPr>
          <w:lang w:val="es-MX"/>
        </w:rPr>
        <w:t>Ídem</w:t>
      </w:r>
      <w:r>
        <w:rPr>
          <w:lang w:val="es-MX"/>
        </w:rPr>
        <w:t>.</w:t>
      </w:r>
    </w:p>
  </w:footnote>
  <w:footnote w:id="4">
    <w:p w:rsidR="00760862" w:rsidRPr="00760862" w:rsidRDefault="00760862">
      <w:pPr>
        <w:pStyle w:val="Textonotapie"/>
        <w:rPr>
          <w:lang w:val="es-MX"/>
        </w:rPr>
      </w:pPr>
      <w:r>
        <w:rPr>
          <w:rStyle w:val="Refdenotaalpie"/>
        </w:rPr>
        <w:footnoteRef/>
      </w:r>
      <w:r>
        <w:t xml:space="preserve"> </w:t>
      </w:r>
      <w:r>
        <w:rPr>
          <w:lang w:val="es-MX"/>
        </w:rPr>
        <w:t>Ídem.</w:t>
      </w:r>
    </w:p>
  </w:footnote>
  <w:footnote w:id="5">
    <w:p w:rsidR="00992537" w:rsidRPr="00992537" w:rsidRDefault="00992537">
      <w:pPr>
        <w:pStyle w:val="Textonotapie"/>
        <w:rPr>
          <w:lang w:val="es-MX"/>
        </w:rPr>
      </w:pPr>
      <w:r>
        <w:rPr>
          <w:rStyle w:val="Refdenotaalpie"/>
        </w:rPr>
        <w:footnoteRef/>
      </w:r>
      <w:r>
        <w:t xml:space="preserve"> </w:t>
      </w:r>
      <w:proofErr w:type="spellStart"/>
      <w:r w:rsidRPr="00992537">
        <w:t>Blank</w:t>
      </w:r>
      <w:proofErr w:type="spellEnd"/>
      <w:r w:rsidRPr="00992537">
        <w:t xml:space="preserve">, L., Baxter, S., Woods, H. B., &amp; </w:t>
      </w:r>
      <w:proofErr w:type="spellStart"/>
      <w:r w:rsidRPr="00992537">
        <w:t>Goyder</w:t>
      </w:r>
      <w:proofErr w:type="spellEnd"/>
      <w:r w:rsidRPr="00992537">
        <w:t xml:space="preserve">, E. (2021). </w:t>
      </w:r>
      <w:proofErr w:type="spellStart"/>
      <w:r w:rsidRPr="00992537">
        <w:t>Interventions</w:t>
      </w:r>
      <w:proofErr w:type="spellEnd"/>
      <w:r w:rsidRPr="00992537">
        <w:t xml:space="preserve"> to reduce </w:t>
      </w:r>
      <w:proofErr w:type="spellStart"/>
      <w:r w:rsidRPr="00992537">
        <w:t>the</w:t>
      </w:r>
      <w:proofErr w:type="spellEnd"/>
      <w:r w:rsidRPr="00992537">
        <w:t xml:space="preserve"> </w:t>
      </w:r>
      <w:proofErr w:type="spellStart"/>
      <w:r w:rsidRPr="00992537">
        <w:t>public</w:t>
      </w:r>
      <w:proofErr w:type="spellEnd"/>
      <w:r w:rsidRPr="00992537">
        <w:t xml:space="preserve"> </w:t>
      </w:r>
      <w:proofErr w:type="spellStart"/>
      <w:r w:rsidRPr="00992537">
        <w:t>health</w:t>
      </w:r>
      <w:proofErr w:type="spellEnd"/>
      <w:r w:rsidRPr="00992537">
        <w:t xml:space="preserve"> </w:t>
      </w:r>
      <w:proofErr w:type="spellStart"/>
      <w:r w:rsidRPr="00992537">
        <w:t>burden</w:t>
      </w:r>
      <w:proofErr w:type="spellEnd"/>
      <w:r w:rsidRPr="00992537">
        <w:t xml:space="preserve"> of </w:t>
      </w:r>
      <w:proofErr w:type="spellStart"/>
      <w:r w:rsidRPr="00992537">
        <w:t>gambling-related</w:t>
      </w:r>
      <w:proofErr w:type="spellEnd"/>
      <w:r w:rsidRPr="00992537">
        <w:t xml:space="preserve"> </w:t>
      </w:r>
      <w:proofErr w:type="spellStart"/>
      <w:r w:rsidRPr="00992537">
        <w:t>harms</w:t>
      </w:r>
      <w:proofErr w:type="spellEnd"/>
      <w:r w:rsidRPr="00992537">
        <w:t xml:space="preserve">: a </w:t>
      </w:r>
      <w:proofErr w:type="spellStart"/>
      <w:r w:rsidRPr="00992537">
        <w:t>mapping</w:t>
      </w:r>
      <w:proofErr w:type="spellEnd"/>
      <w:r w:rsidRPr="00992537">
        <w:t xml:space="preserve"> </w:t>
      </w:r>
      <w:proofErr w:type="spellStart"/>
      <w:r w:rsidRPr="00992537">
        <w:t>review</w:t>
      </w:r>
      <w:proofErr w:type="spellEnd"/>
      <w:r w:rsidRPr="00992537">
        <w:t xml:space="preserve">. </w:t>
      </w:r>
      <w:proofErr w:type="spellStart"/>
      <w:r w:rsidRPr="00992537">
        <w:t>The</w:t>
      </w:r>
      <w:proofErr w:type="spellEnd"/>
      <w:r w:rsidRPr="00992537">
        <w:t xml:space="preserve"> </w:t>
      </w:r>
      <w:proofErr w:type="spellStart"/>
      <w:r w:rsidRPr="00992537">
        <w:t>Lancet</w:t>
      </w:r>
      <w:proofErr w:type="spellEnd"/>
      <w:r w:rsidRPr="00992537">
        <w:t xml:space="preserve"> </w:t>
      </w:r>
      <w:proofErr w:type="spellStart"/>
      <w:r w:rsidRPr="00992537">
        <w:t>Public</w:t>
      </w:r>
      <w:proofErr w:type="spellEnd"/>
      <w:r w:rsidRPr="00992537">
        <w:t xml:space="preserve"> </w:t>
      </w:r>
      <w:proofErr w:type="spellStart"/>
      <w:r w:rsidRPr="00992537">
        <w:t>Health</w:t>
      </w:r>
      <w:proofErr w:type="spellEnd"/>
      <w:r w:rsidRPr="00992537">
        <w:t>, 6(1), e50-e63. https://doi.org/10.1016/S2468-2667(20)30230-9</w:t>
      </w:r>
    </w:p>
  </w:footnote>
  <w:footnote w:id="6">
    <w:p w:rsidR="00992537" w:rsidRPr="00992537" w:rsidRDefault="00992537">
      <w:pPr>
        <w:pStyle w:val="Textonotapie"/>
        <w:rPr>
          <w:lang w:val="es-MX"/>
        </w:rPr>
      </w:pPr>
      <w:r>
        <w:rPr>
          <w:rStyle w:val="Refdenotaalpie"/>
        </w:rPr>
        <w:footnoteRef/>
      </w:r>
      <w:r>
        <w:t xml:space="preserve"> </w:t>
      </w:r>
      <w:r w:rsidRPr="00992537">
        <w:t xml:space="preserve">van </w:t>
      </w:r>
      <w:proofErr w:type="spellStart"/>
      <w:r w:rsidRPr="00992537">
        <w:t>Schalkwyk</w:t>
      </w:r>
      <w:proofErr w:type="spellEnd"/>
      <w:r w:rsidRPr="00992537">
        <w:t xml:space="preserve">, M. C. I., </w:t>
      </w:r>
      <w:proofErr w:type="spellStart"/>
      <w:r w:rsidRPr="00992537">
        <w:t>Petticrew</w:t>
      </w:r>
      <w:proofErr w:type="spellEnd"/>
      <w:r w:rsidRPr="00992537">
        <w:t xml:space="preserve">, M., </w:t>
      </w:r>
      <w:proofErr w:type="spellStart"/>
      <w:r w:rsidRPr="00992537">
        <w:t>Cassidy</w:t>
      </w:r>
      <w:proofErr w:type="spellEnd"/>
      <w:r w:rsidRPr="00992537">
        <w:t xml:space="preserve">, R., Adams, P., </w:t>
      </w:r>
      <w:proofErr w:type="spellStart"/>
      <w:r w:rsidRPr="00992537">
        <w:t>McKee</w:t>
      </w:r>
      <w:proofErr w:type="spellEnd"/>
      <w:r w:rsidRPr="00992537">
        <w:t xml:space="preserve">, M., Reynolds, J., &amp; </w:t>
      </w:r>
      <w:proofErr w:type="spellStart"/>
      <w:r w:rsidRPr="00992537">
        <w:t>Orford</w:t>
      </w:r>
      <w:proofErr w:type="spellEnd"/>
      <w:r w:rsidRPr="00992537">
        <w:t xml:space="preserve">, J. (2021). A </w:t>
      </w:r>
      <w:proofErr w:type="spellStart"/>
      <w:r w:rsidRPr="00992537">
        <w:t>public</w:t>
      </w:r>
      <w:proofErr w:type="spellEnd"/>
      <w:r w:rsidRPr="00992537">
        <w:t xml:space="preserve"> </w:t>
      </w:r>
      <w:proofErr w:type="spellStart"/>
      <w:r w:rsidRPr="00992537">
        <w:t>health</w:t>
      </w:r>
      <w:proofErr w:type="spellEnd"/>
      <w:r w:rsidRPr="00992537">
        <w:t xml:space="preserve"> </w:t>
      </w:r>
      <w:proofErr w:type="spellStart"/>
      <w:r w:rsidRPr="00992537">
        <w:t>approach</w:t>
      </w:r>
      <w:proofErr w:type="spellEnd"/>
      <w:r w:rsidRPr="00992537">
        <w:t xml:space="preserve"> to </w:t>
      </w:r>
      <w:proofErr w:type="spellStart"/>
      <w:r w:rsidRPr="00992537">
        <w:t>gambling</w:t>
      </w:r>
      <w:proofErr w:type="spellEnd"/>
      <w:r w:rsidRPr="00992537">
        <w:t xml:space="preserve"> </w:t>
      </w:r>
      <w:proofErr w:type="spellStart"/>
      <w:r w:rsidRPr="00992537">
        <w:t>regulation</w:t>
      </w:r>
      <w:proofErr w:type="spellEnd"/>
      <w:r w:rsidRPr="00992537">
        <w:t xml:space="preserve">: </w:t>
      </w:r>
      <w:proofErr w:type="spellStart"/>
      <w:r w:rsidRPr="00992537">
        <w:t>countering</w:t>
      </w:r>
      <w:proofErr w:type="spellEnd"/>
      <w:r w:rsidRPr="00992537">
        <w:t xml:space="preserve"> </w:t>
      </w:r>
      <w:proofErr w:type="spellStart"/>
      <w:r w:rsidRPr="00992537">
        <w:t>powerful</w:t>
      </w:r>
      <w:proofErr w:type="spellEnd"/>
      <w:r w:rsidRPr="00992537">
        <w:t xml:space="preserve"> </w:t>
      </w:r>
      <w:proofErr w:type="spellStart"/>
      <w:r w:rsidRPr="00992537">
        <w:t>influences</w:t>
      </w:r>
      <w:proofErr w:type="spellEnd"/>
      <w:r w:rsidRPr="00992537">
        <w:t xml:space="preserve">. </w:t>
      </w:r>
      <w:proofErr w:type="spellStart"/>
      <w:r w:rsidRPr="00992537">
        <w:t>The</w:t>
      </w:r>
      <w:proofErr w:type="spellEnd"/>
      <w:r w:rsidRPr="00992537">
        <w:t xml:space="preserve"> </w:t>
      </w:r>
      <w:proofErr w:type="spellStart"/>
      <w:r w:rsidRPr="00992537">
        <w:t>Lancet</w:t>
      </w:r>
      <w:proofErr w:type="spellEnd"/>
      <w:r w:rsidRPr="00992537">
        <w:t xml:space="preserve"> </w:t>
      </w:r>
      <w:proofErr w:type="spellStart"/>
      <w:r w:rsidRPr="00992537">
        <w:t>Public</w:t>
      </w:r>
      <w:proofErr w:type="spellEnd"/>
      <w:r w:rsidRPr="00992537">
        <w:t xml:space="preserve"> </w:t>
      </w:r>
      <w:proofErr w:type="spellStart"/>
      <w:r w:rsidRPr="00992537">
        <w:t>Health</w:t>
      </w:r>
      <w:proofErr w:type="spellEnd"/>
      <w:r w:rsidRPr="00992537">
        <w:t>, 6(8), e614–e619. https://doi.org/10.1016/S2468-2667(21)00098-0</w:t>
      </w:r>
    </w:p>
  </w:footnote>
  <w:footnote w:id="7">
    <w:p w:rsidR="002450C7" w:rsidRPr="002450C7" w:rsidRDefault="002450C7">
      <w:pPr>
        <w:pStyle w:val="Textonotapie"/>
        <w:rPr>
          <w:lang w:val="es-MX"/>
        </w:rPr>
      </w:pPr>
      <w:r>
        <w:rPr>
          <w:rStyle w:val="Refdenotaalpie"/>
        </w:rPr>
        <w:footnoteRef/>
      </w:r>
      <w:r>
        <w:t xml:space="preserve"> </w:t>
      </w:r>
      <w:r w:rsidRPr="002450C7">
        <w:t xml:space="preserve">Adams, P. J. (2016). Moral </w:t>
      </w:r>
      <w:proofErr w:type="spellStart"/>
      <w:r w:rsidRPr="002450C7">
        <w:t>jeopardy</w:t>
      </w:r>
      <w:proofErr w:type="spellEnd"/>
      <w:r w:rsidRPr="002450C7">
        <w:t xml:space="preserve">: </w:t>
      </w:r>
      <w:proofErr w:type="spellStart"/>
      <w:r w:rsidRPr="002450C7">
        <w:t>Risks</w:t>
      </w:r>
      <w:proofErr w:type="spellEnd"/>
      <w:r w:rsidRPr="002450C7">
        <w:t xml:space="preserve"> of </w:t>
      </w:r>
      <w:proofErr w:type="spellStart"/>
      <w:r w:rsidRPr="002450C7">
        <w:t>accepting</w:t>
      </w:r>
      <w:proofErr w:type="spellEnd"/>
      <w:r w:rsidRPr="002450C7">
        <w:t xml:space="preserve"> </w:t>
      </w:r>
      <w:proofErr w:type="spellStart"/>
      <w:r w:rsidRPr="002450C7">
        <w:t>money</w:t>
      </w:r>
      <w:proofErr w:type="spellEnd"/>
      <w:r w:rsidRPr="002450C7">
        <w:t xml:space="preserve"> </w:t>
      </w:r>
      <w:proofErr w:type="spellStart"/>
      <w:r w:rsidRPr="002450C7">
        <w:t>from</w:t>
      </w:r>
      <w:proofErr w:type="spellEnd"/>
      <w:r w:rsidRPr="002450C7">
        <w:t xml:space="preserve"> </w:t>
      </w:r>
      <w:proofErr w:type="spellStart"/>
      <w:r w:rsidRPr="002450C7">
        <w:t>the</w:t>
      </w:r>
      <w:proofErr w:type="spellEnd"/>
      <w:r w:rsidRPr="002450C7">
        <w:t xml:space="preserve"> alcohol, </w:t>
      </w:r>
      <w:proofErr w:type="spellStart"/>
      <w:r w:rsidRPr="002450C7">
        <w:t>tobacco</w:t>
      </w:r>
      <w:proofErr w:type="spellEnd"/>
      <w:r w:rsidRPr="002450C7">
        <w:t xml:space="preserve"> and </w:t>
      </w:r>
      <w:proofErr w:type="spellStart"/>
      <w:r w:rsidRPr="002450C7">
        <w:t>gambling</w:t>
      </w:r>
      <w:proofErr w:type="spellEnd"/>
      <w:r w:rsidRPr="002450C7">
        <w:t xml:space="preserve"> industries. Cambridge </w:t>
      </w:r>
      <w:proofErr w:type="spellStart"/>
      <w:r w:rsidRPr="002450C7">
        <w:t>University</w:t>
      </w:r>
      <w:proofErr w:type="spellEnd"/>
      <w:r w:rsidRPr="002450C7">
        <w:t xml:space="preserve"> </w:t>
      </w:r>
      <w:proofErr w:type="spellStart"/>
      <w:r w:rsidRPr="002450C7">
        <w:t>Press</w:t>
      </w:r>
      <w:proofErr w:type="spellEnd"/>
      <w:r w:rsidRPr="002450C7">
        <w:t>.</w:t>
      </w:r>
    </w:p>
  </w:footnote>
  <w:footnote w:id="8">
    <w:p w:rsidR="002450C7" w:rsidRPr="002450C7" w:rsidRDefault="002450C7">
      <w:pPr>
        <w:pStyle w:val="Textonotapie"/>
        <w:rPr>
          <w:lang w:val="es-MX"/>
        </w:rPr>
      </w:pPr>
      <w:r>
        <w:rPr>
          <w:rStyle w:val="Refdenotaalpie"/>
        </w:rPr>
        <w:footnoteRef/>
      </w:r>
      <w:r>
        <w:t xml:space="preserve"> </w:t>
      </w:r>
      <w:proofErr w:type="spellStart"/>
      <w:r w:rsidRPr="002450C7">
        <w:t>Ukhova</w:t>
      </w:r>
      <w:proofErr w:type="spellEnd"/>
      <w:r w:rsidRPr="002450C7">
        <w:t xml:space="preserve">, D., </w:t>
      </w:r>
      <w:proofErr w:type="spellStart"/>
      <w:r w:rsidRPr="002450C7">
        <w:t>Marionneau</w:t>
      </w:r>
      <w:proofErr w:type="spellEnd"/>
      <w:r w:rsidRPr="002450C7">
        <w:t xml:space="preserve">, V., </w:t>
      </w:r>
      <w:proofErr w:type="spellStart"/>
      <w:r w:rsidRPr="002450C7">
        <w:t>Nikkinen</w:t>
      </w:r>
      <w:proofErr w:type="spellEnd"/>
      <w:r w:rsidRPr="002450C7">
        <w:t xml:space="preserve">, J., &amp; </w:t>
      </w:r>
      <w:proofErr w:type="spellStart"/>
      <w:r w:rsidRPr="002450C7">
        <w:t>Wardle</w:t>
      </w:r>
      <w:proofErr w:type="spellEnd"/>
      <w:r w:rsidRPr="002450C7">
        <w:t xml:space="preserve">, H. (2024). </w:t>
      </w:r>
      <w:proofErr w:type="spellStart"/>
      <w:r w:rsidRPr="002450C7">
        <w:t>Public</w:t>
      </w:r>
      <w:proofErr w:type="spellEnd"/>
      <w:r w:rsidRPr="002450C7">
        <w:t xml:space="preserve"> </w:t>
      </w:r>
      <w:proofErr w:type="spellStart"/>
      <w:r w:rsidRPr="002450C7">
        <w:t>health</w:t>
      </w:r>
      <w:proofErr w:type="spellEnd"/>
      <w:r w:rsidRPr="002450C7">
        <w:t xml:space="preserve"> </w:t>
      </w:r>
      <w:proofErr w:type="spellStart"/>
      <w:r w:rsidRPr="002450C7">
        <w:t>approaches</w:t>
      </w:r>
      <w:proofErr w:type="spellEnd"/>
      <w:r w:rsidRPr="002450C7">
        <w:t xml:space="preserve"> to </w:t>
      </w:r>
      <w:proofErr w:type="spellStart"/>
      <w:r w:rsidRPr="002450C7">
        <w:t>gambling</w:t>
      </w:r>
      <w:proofErr w:type="spellEnd"/>
      <w:r w:rsidRPr="002450C7">
        <w:t xml:space="preserve">: a global </w:t>
      </w:r>
      <w:proofErr w:type="spellStart"/>
      <w:r w:rsidRPr="002450C7">
        <w:t>review</w:t>
      </w:r>
      <w:proofErr w:type="spellEnd"/>
      <w:r w:rsidRPr="002450C7">
        <w:t xml:space="preserve"> of </w:t>
      </w:r>
      <w:proofErr w:type="spellStart"/>
      <w:r w:rsidRPr="002450C7">
        <w:t>legislative</w:t>
      </w:r>
      <w:proofErr w:type="spellEnd"/>
      <w:r w:rsidRPr="002450C7">
        <w:t xml:space="preserve"> </w:t>
      </w:r>
      <w:proofErr w:type="spellStart"/>
      <w:r w:rsidRPr="002450C7">
        <w:t>trends</w:t>
      </w:r>
      <w:proofErr w:type="spellEnd"/>
      <w:r w:rsidRPr="002450C7">
        <w:t xml:space="preserve">. </w:t>
      </w:r>
      <w:proofErr w:type="spellStart"/>
      <w:r w:rsidRPr="002450C7">
        <w:t>The</w:t>
      </w:r>
      <w:proofErr w:type="spellEnd"/>
      <w:r w:rsidRPr="002450C7">
        <w:t xml:space="preserve"> </w:t>
      </w:r>
      <w:proofErr w:type="spellStart"/>
      <w:r w:rsidRPr="002450C7">
        <w:t>Lancet</w:t>
      </w:r>
      <w:proofErr w:type="spellEnd"/>
      <w:r w:rsidRPr="002450C7">
        <w:t xml:space="preserve"> </w:t>
      </w:r>
      <w:proofErr w:type="spellStart"/>
      <w:r w:rsidRPr="002450C7">
        <w:t>Public</w:t>
      </w:r>
      <w:proofErr w:type="spellEnd"/>
      <w:r w:rsidRPr="002450C7">
        <w:t xml:space="preserve"> </w:t>
      </w:r>
      <w:proofErr w:type="spellStart"/>
      <w:r w:rsidRPr="002450C7">
        <w:t>Health</w:t>
      </w:r>
      <w:proofErr w:type="spellEnd"/>
      <w:r w:rsidRPr="002450C7">
        <w:t>, 9(1), e57–e67. https://doi.org/10.1016/S2468-2667(23)00221-9</w:t>
      </w:r>
    </w:p>
  </w:footnote>
  <w:footnote w:id="9">
    <w:p w:rsidR="005B4F12" w:rsidRPr="005B4F12" w:rsidRDefault="005B4F12">
      <w:pPr>
        <w:pStyle w:val="Textonotapie"/>
        <w:rPr>
          <w:lang w:val="es-MX"/>
        </w:rPr>
      </w:pPr>
      <w:r>
        <w:rPr>
          <w:rStyle w:val="Refdenotaalpie"/>
        </w:rPr>
        <w:footnoteRef/>
      </w:r>
      <w:r>
        <w:t xml:space="preserve"> </w:t>
      </w:r>
      <w:r w:rsidRPr="005B4F12">
        <w:t xml:space="preserve">Calado, F., &amp; </w:t>
      </w:r>
      <w:proofErr w:type="spellStart"/>
      <w:r w:rsidRPr="005B4F12">
        <w:t>Griffiths</w:t>
      </w:r>
      <w:proofErr w:type="spellEnd"/>
      <w:r w:rsidRPr="005B4F12">
        <w:t xml:space="preserve">, M. D. (2016). </w:t>
      </w:r>
      <w:proofErr w:type="spellStart"/>
      <w:r w:rsidRPr="005B4F12">
        <w:t>Problem</w:t>
      </w:r>
      <w:proofErr w:type="spellEnd"/>
      <w:r w:rsidRPr="005B4F12">
        <w:t xml:space="preserve"> </w:t>
      </w:r>
      <w:proofErr w:type="spellStart"/>
      <w:r w:rsidRPr="005B4F12">
        <w:t>gambling</w:t>
      </w:r>
      <w:proofErr w:type="spellEnd"/>
      <w:r w:rsidRPr="005B4F12">
        <w:t xml:space="preserve"> </w:t>
      </w:r>
      <w:proofErr w:type="spellStart"/>
      <w:r w:rsidRPr="005B4F12">
        <w:t>worldwide</w:t>
      </w:r>
      <w:proofErr w:type="spellEnd"/>
      <w:r w:rsidRPr="005B4F12">
        <w:t xml:space="preserve">: </w:t>
      </w:r>
      <w:proofErr w:type="spellStart"/>
      <w:r w:rsidRPr="005B4F12">
        <w:t>An</w:t>
      </w:r>
      <w:proofErr w:type="spellEnd"/>
      <w:r w:rsidRPr="005B4F12">
        <w:t xml:space="preserve"> </w:t>
      </w:r>
      <w:proofErr w:type="spellStart"/>
      <w:r w:rsidRPr="005B4F12">
        <w:t>update</w:t>
      </w:r>
      <w:proofErr w:type="spellEnd"/>
      <w:r w:rsidRPr="005B4F12">
        <w:t xml:space="preserve"> and </w:t>
      </w:r>
      <w:proofErr w:type="spellStart"/>
      <w:r w:rsidRPr="005B4F12">
        <w:t>systematic</w:t>
      </w:r>
      <w:proofErr w:type="spellEnd"/>
      <w:r w:rsidRPr="005B4F12">
        <w:t xml:space="preserve"> </w:t>
      </w:r>
      <w:proofErr w:type="spellStart"/>
      <w:r w:rsidRPr="005B4F12">
        <w:t>review</w:t>
      </w:r>
      <w:proofErr w:type="spellEnd"/>
      <w:r w:rsidRPr="005B4F12">
        <w:t xml:space="preserve"> of </w:t>
      </w:r>
      <w:proofErr w:type="spellStart"/>
      <w:r w:rsidRPr="005B4F12">
        <w:t>empirical</w:t>
      </w:r>
      <w:proofErr w:type="spellEnd"/>
      <w:r w:rsidRPr="005B4F12">
        <w:t xml:space="preserve"> </w:t>
      </w:r>
      <w:proofErr w:type="spellStart"/>
      <w:r w:rsidRPr="005B4F12">
        <w:t>research</w:t>
      </w:r>
      <w:proofErr w:type="spellEnd"/>
      <w:r w:rsidRPr="005B4F12">
        <w:t xml:space="preserve"> (2000–2015). </w:t>
      </w:r>
      <w:proofErr w:type="spellStart"/>
      <w:r w:rsidRPr="005B4F12">
        <w:t>Journal</w:t>
      </w:r>
      <w:proofErr w:type="spellEnd"/>
      <w:r w:rsidRPr="005B4F12">
        <w:t xml:space="preserve"> of </w:t>
      </w:r>
      <w:proofErr w:type="spellStart"/>
      <w:r w:rsidRPr="005B4F12">
        <w:t>Behavioral</w:t>
      </w:r>
      <w:proofErr w:type="spellEnd"/>
      <w:r w:rsidRPr="005B4F12">
        <w:t xml:space="preserve"> </w:t>
      </w:r>
      <w:proofErr w:type="spellStart"/>
      <w:r w:rsidRPr="005B4F12">
        <w:t>Addictions</w:t>
      </w:r>
      <w:proofErr w:type="spellEnd"/>
      <w:r w:rsidRPr="005B4F12">
        <w:t>, 5(4), 592–613. https://doi.org/10.1556/2006.5.2016.073</w:t>
      </w:r>
    </w:p>
  </w:footnote>
  <w:footnote w:id="10">
    <w:p w:rsidR="009379D7" w:rsidRPr="009379D7" w:rsidRDefault="009379D7">
      <w:pPr>
        <w:pStyle w:val="Textonotapie"/>
        <w:rPr>
          <w:lang w:val="es-MX"/>
        </w:rPr>
      </w:pPr>
      <w:r>
        <w:rPr>
          <w:rStyle w:val="Refdenotaalpie"/>
        </w:rPr>
        <w:footnoteRef/>
      </w:r>
      <w:r>
        <w:t xml:space="preserve"> </w:t>
      </w:r>
      <w:proofErr w:type="spellStart"/>
      <w:r w:rsidRPr="009379D7">
        <w:t>Livingstone</w:t>
      </w:r>
      <w:proofErr w:type="spellEnd"/>
      <w:r w:rsidRPr="009379D7">
        <w:t xml:space="preserve">, C., &amp; </w:t>
      </w:r>
      <w:proofErr w:type="spellStart"/>
      <w:r w:rsidRPr="009379D7">
        <w:t>Rintoul</w:t>
      </w:r>
      <w:proofErr w:type="spellEnd"/>
      <w:r w:rsidRPr="009379D7">
        <w:t xml:space="preserve">, A. (2020). </w:t>
      </w:r>
      <w:proofErr w:type="spellStart"/>
      <w:r w:rsidRPr="009379D7">
        <w:t>Moving</w:t>
      </w:r>
      <w:proofErr w:type="spellEnd"/>
      <w:r w:rsidRPr="009379D7">
        <w:t xml:space="preserve"> </w:t>
      </w:r>
      <w:proofErr w:type="spellStart"/>
      <w:r w:rsidRPr="009379D7">
        <w:t>on</w:t>
      </w:r>
      <w:proofErr w:type="spellEnd"/>
      <w:r w:rsidRPr="009379D7">
        <w:t xml:space="preserve"> </w:t>
      </w:r>
      <w:proofErr w:type="spellStart"/>
      <w:r w:rsidRPr="009379D7">
        <w:t>from</w:t>
      </w:r>
      <w:proofErr w:type="spellEnd"/>
      <w:r w:rsidRPr="009379D7">
        <w:t xml:space="preserve"> </w:t>
      </w:r>
      <w:proofErr w:type="spellStart"/>
      <w:r w:rsidRPr="009379D7">
        <w:t>responsible</w:t>
      </w:r>
      <w:proofErr w:type="spellEnd"/>
      <w:r w:rsidRPr="009379D7">
        <w:t xml:space="preserve"> </w:t>
      </w:r>
      <w:proofErr w:type="spellStart"/>
      <w:r w:rsidRPr="009379D7">
        <w:t>gambling</w:t>
      </w:r>
      <w:proofErr w:type="spellEnd"/>
      <w:r w:rsidRPr="009379D7">
        <w:t xml:space="preserve">: A new </w:t>
      </w:r>
      <w:proofErr w:type="spellStart"/>
      <w:r w:rsidRPr="009379D7">
        <w:t>discourse</w:t>
      </w:r>
      <w:proofErr w:type="spellEnd"/>
      <w:r w:rsidRPr="009379D7">
        <w:t xml:space="preserve"> </w:t>
      </w:r>
      <w:proofErr w:type="spellStart"/>
      <w:r w:rsidRPr="009379D7">
        <w:t>is</w:t>
      </w:r>
      <w:proofErr w:type="spellEnd"/>
      <w:r w:rsidRPr="009379D7">
        <w:t xml:space="preserve"> </w:t>
      </w:r>
      <w:proofErr w:type="spellStart"/>
      <w:r w:rsidRPr="009379D7">
        <w:t>needed</w:t>
      </w:r>
      <w:proofErr w:type="spellEnd"/>
      <w:r w:rsidRPr="009379D7">
        <w:t xml:space="preserve"> to </w:t>
      </w:r>
      <w:proofErr w:type="spellStart"/>
      <w:r w:rsidRPr="009379D7">
        <w:t>prevent</w:t>
      </w:r>
      <w:proofErr w:type="spellEnd"/>
      <w:r w:rsidRPr="009379D7">
        <w:t xml:space="preserve"> and </w:t>
      </w:r>
      <w:proofErr w:type="spellStart"/>
      <w:r w:rsidRPr="009379D7">
        <w:t>minimise</w:t>
      </w:r>
      <w:proofErr w:type="spellEnd"/>
      <w:r w:rsidRPr="009379D7">
        <w:t xml:space="preserve"> </w:t>
      </w:r>
      <w:proofErr w:type="spellStart"/>
      <w:r w:rsidRPr="009379D7">
        <w:t>harm</w:t>
      </w:r>
      <w:proofErr w:type="spellEnd"/>
      <w:r w:rsidRPr="009379D7">
        <w:t xml:space="preserve">. </w:t>
      </w:r>
      <w:proofErr w:type="spellStart"/>
      <w:r w:rsidRPr="009379D7">
        <w:t>Public</w:t>
      </w:r>
      <w:proofErr w:type="spellEnd"/>
      <w:r w:rsidRPr="009379D7">
        <w:t xml:space="preserve"> </w:t>
      </w:r>
      <w:proofErr w:type="spellStart"/>
      <w:r w:rsidRPr="009379D7">
        <w:t>Health</w:t>
      </w:r>
      <w:proofErr w:type="spellEnd"/>
      <w:r w:rsidRPr="009379D7">
        <w:t>, 184, 107–112. https://doi.org/10.1016/j.puhe.2020.03.018</w:t>
      </w:r>
    </w:p>
  </w:footnote>
  <w:footnote w:id="11">
    <w:p w:rsidR="009B1E3F" w:rsidRPr="009B1E3F" w:rsidRDefault="009B1E3F">
      <w:pPr>
        <w:pStyle w:val="Textonotapie"/>
        <w:rPr>
          <w:lang w:val="es-MX"/>
        </w:rPr>
      </w:pPr>
      <w:r>
        <w:rPr>
          <w:rStyle w:val="Refdenotaalpie"/>
        </w:rPr>
        <w:footnoteRef/>
      </w:r>
      <w:r>
        <w:t xml:space="preserve"> </w:t>
      </w:r>
      <w:proofErr w:type="spellStart"/>
      <w:r w:rsidRPr="009B1E3F">
        <w:t>Wilber</w:t>
      </w:r>
      <w:proofErr w:type="spellEnd"/>
      <w:r w:rsidRPr="009B1E3F">
        <w:t xml:space="preserve">, M. K., &amp; Potenza, M. N. (2006). </w:t>
      </w:r>
      <w:proofErr w:type="spellStart"/>
      <w:r w:rsidRPr="009B1E3F">
        <w:t>Adolescent</w:t>
      </w:r>
      <w:proofErr w:type="spellEnd"/>
      <w:r w:rsidRPr="009B1E3F">
        <w:t xml:space="preserve"> </w:t>
      </w:r>
      <w:proofErr w:type="spellStart"/>
      <w:r w:rsidRPr="009B1E3F">
        <w:t>gambling</w:t>
      </w:r>
      <w:proofErr w:type="spellEnd"/>
      <w:r w:rsidRPr="009B1E3F">
        <w:t xml:space="preserve">: </w:t>
      </w:r>
      <w:proofErr w:type="spellStart"/>
      <w:r w:rsidRPr="009B1E3F">
        <w:t>Research</w:t>
      </w:r>
      <w:proofErr w:type="spellEnd"/>
      <w:r w:rsidRPr="009B1E3F">
        <w:t xml:space="preserve"> </w:t>
      </w:r>
      <w:proofErr w:type="spellStart"/>
      <w:r w:rsidRPr="009B1E3F">
        <w:t>findings</w:t>
      </w:r>
      <w:proofErr w:type="spellEnd"/>
      <w:r w:rsidRPr="009B1E3F">
        <w:t xml:space="preserve"> and </w:t>
      </w:r>
      <w:proofErr w:type="spellStart"/>
      <w:r w:rsidRPr="009B1E3F">
        <w:t>implications</w:t>
      </w:r>
      <w:proofErr w:type="spellEnd"/>
      <w:r w:rsidRPr="009B1E3F">
        <w:t xml:space="preserve">. </w:t>
      </w:r>
      <w:proofErr w:type="spellStart"/>
      <w:r w:rsidRPr="009B1E3F">
        <w:t>Psychiatry</w:t>
      </w:r>
      <w:proofErr w:type="spellEnd"/>
      <w:r w:rsidRPr="009B1E3F">
        <w:t>, 3(10), 40–48.</w:t>
      </w:r>
    </w:p>
  </w:footnote>
  <w:footnote w:id="12">
    <w:p w:rsidR="009B1E3F" w:rsidRPr="009B1E3F" w:rsidRDefault="009B1E3F">
      <w:pPr>
        <w:pStyle w:val="Textonotapie"/>
        <w:rPr>
          <w:lang w:val="es-MX"/>
        </w:rPr>
      </w:pPr>
      <w:r>
        <w:rPr>
          <w:rStyle w:val="Refdenotaalpie"/>
        </w:rPr>
        <w:footnoteRef/>
      </w:r>
      <w:r>
        <w:t xml:space="preserve"> </w:t>
      </w:r>
      <w:r w:rsidRPr="009B1E3F">
        <w:t xml:space="preserve">Calado, F., &amp; </w:t>
      </w:r>
      <w:proofErr w:type="spellStart"/>
      <w:r w:rsidRPr="009B1E3F">
        <w:t>Griffiths</w:t>
      </w:r>
      <w:proofErr w:type="spellEnd"/>
      <w:r w:rsidRPr="009B1E3F">
        <w:t xml:space="preserve">, M. D. (2016). </w:t>
      </w:r>
      <w:proofErr w:type="spellStart"/>
      <w:r w:rsidRPr="009B1E3F">
        <w:t>Problem</w:t>
      </w:r>
      <w:proofErr w:type="spellEnd"/>
      <w:r w:rsidRPr="009B1E3F">
        <w:t xml:space="preserve"> </w:t>
      </w:r>
      <w:proofErr w:type="spellStart"/>
      <w:r w:rsidRPr="009B1E3F">
        <w:t>gambling</w:t>
      </w:r>
      <w:proofErr w:type="spellEnd"/>
      <w:r w:rsidRPr="009B1E3F">
        <w:t xml:space="preserve"> </w:t>
      </w:r>
      <w:proofErr w:type="spellStart"/>
      <w:r w:rsidRPr="009B1E3F">
        <w:t>worldwide</w:t>
      </w:r>
      <w:proofErr w:type="spellEnd"/>
      <w:r w:rsidRPr="009B1E3F">
        <w:t xml:space="preserve">: </w:t>
      </w:r>
      <w:proofErr w:type="spellStart"/>
      <w:r w:rsidRPr="009B1E3F">
        <w:t>An</w:t>
      </w:r>
      <w:proofErr w:type="spellEnd"/>
      <w:r w:rsidRPr="009B1E3F">
        <w:t xml:space="preserve"> </w:t>
      </w:r>
      <w:proofErr w:type="spellStart"/>
      <w:r w:rsidRPr="009B1E3F">
        <w:t>update</w:t>
      </w:r>
      <w:proofErr w:type="spellEnd"/>
      <w:r w:rsidRPr="009B1E3F">
        <w:t xml:space="preserve"> and </w:t>
      </w:r>
      <w:proofErr w:type="spellStart"/>
      <w:r w:rsidRPr="009B1E3F">
        <w:t>systematic</w:t>
      </w:r>
      <w:proofErr w:type="spellEnd"/>
      <w:r w:rsidRPr="009B1E3F">
        <w:t xml:space="preserve"> </w:t>
      </w:r>
      <w:proofErr w:type="spellStart"/>
      <w:r w:rsidRPr="009B1E3F">
        <w:t>review</w:t>
      </w:r>
      <w:proofErr w:type="spellEnd"/>
      <w:r w:rsidRPr="009B1E3F">
        <w:t xml:space="preserve"> of </w:t>
      </w:r>
      <w:proofErr w:type="spellStart"/>
      <w:r w:rsidRPr="009B1E3F">
        <w:t>empirical</w:t>
      </w:r>
      <w:proofErr w:type="spellEnd"/>
      <w:r w:rsidRPr="009B1E3F">
        <w:t xml:space="preserve"> </w:t>
      </w:r>
      <w:proofErr w:type="spellStart"/>
      <w:r w:rsidRPr="009B1E3F">
        <w:t>research</w:t>
      </w:r>
      <w:proofErr w:type="spellEnd"/>
      <w:r w:rsidRPr="009B1E3F">
        <w:t xml:space="preserve"> (2000–2015). </w:t>
      </w:r>
      <w:proofErr w:type="spellStart"/>
      <w:r w:rsidRPr="009B1E3F">
        <w:t>Journal</w:t>
      </w:r>
      <w:proofErr w:type="spellEnd"/>
      <w:r w:rsidRPr="009B1E3F">
        <w:t xml:space="preserve"> of </w:t>
      </w:r>
      <w:proofErr w:type="spellStart"/>
      <w:r w:rsidRPr="009B1E3F">
        <w:t>Behavioral</w:t>
      </w:r>
      <w:proofErr w:type="spellEnd"/>
      <w:r w:rsidRPr="009B1E3F">
        <w:t xml:space="preserve"> </w:t>
      </w:r>
      <w:proofErr w:type="spellStart"/>
      <w:r w:rsidRPr="009B1E3F">
        <w:t>Addictions</w:t>
      </w:r>
      <w:proofErr w:type="spellEnd"/>
      <w:r w:rsidRPr="009B1E3F">
        <w:t>, 5(4), 592–613. https://doi.org/10.1556/2006.5.2016.073</w:t>
      </w:r>
    </w:p>
  </w:footnote>
  <w:footnote w:id="13">
    <w:p w:rsidR="00093134" w:rsidRPr="00093134" w:rsidRDefault="00093134">
      <w:pPr>
        <w:pStyle w:val="Textonotapie"/>
        <w:rPr>
          <w:lang w:val="es-MX"/>
        </w:rPr>
      </w:pPr>
      <w:r>
        <w:rPr>
          <w:rStyle w:val="Refdenotaalpie"/>
        </w:rPr>
        <w:footnoteRef/>
      </w:r>
      <w:r>
        <w:t xml:space="preserve"> </w:t>
      </w:r>
      <w:proofErr w:type="spellStart"/>
      <w:r w:rsidRPr="00093134">
        <w:t>Ukhova</w:t>
      </w:r>
      <w:proofErr w:type="spellEnd"/>
      <w:r w:rsidRPr="00093134">
        <w:t xml:space="preserve">, D., </w:t>
      </w:r>
      <w:proofErr w:type="spellStart"/>
      <w:r w:rsidRPr="00093134">
        <w:t>Marionneau</w:t>
      </w:r>
      <w:proofErr w:type="spellEnd"/>
      <w:r w:rsidRPr="00093134">
        <w:t xml:space="preserve">, V., </w:t>
      </w:r>
      <w:proofErr w:type="spellStart"/>
      <w:r w:rsidRPr="00093134">
        <w:t>Nikkinen</w:t>
      </w:r>
      <w:proofErr w:type="spellEnd"/>
      <w:r w:rsidRPr="00093134">
        <w:t xml:space="preserve">, J., &amp; </w:t>
      </w:r>
      <w:proofErr w:type="spellStart"/>
      <w:r w:rsidRPr="00093134">
        <w:t>Wardle</w:t>
      </w:r>
      <w:proofErr w:type="spellEnd"/>
      <w:r w:rsidRPr="00093134">
        <w:t xml:space="preserve">, H. (2024). </w:t>
      </w:r>
      <w:proofErr w:type="spellStart"/>
      <w:r w:rsidRPr="00093134">
        <w:t>Public</w:t>
      </w:r>
      <w:proofErr w:type="spellEnd"/>
      <w:r w:rsidRPr="00093134">
        <w:t xml:space="preserve"> </w:t>
      </w:r>
      <w:proofErr w:type="spellStart"/>
      <w:r w:rsidRPr="00093134">
        <w:t>health</w:t>
      </w:r>
      <w:proofErr w:type="spellEnd"/>
      <w:r w:rsidRPr="00093134">
        <w:t xml:space="preserve"> </w:t>
      </w:r>
      <w:proofErr w:type="spellStart"/>
      <w:r w:rsidRPr="00093134">
        <w:t>approaches</w:t>
      </w:r>
      <w:proofErr w:type="spellEnd"/>
      <w:r w:rsidRPr="00093134">
        <w:t xml:space="preserve"> to </w:t>
      </w:r>
      <w:proofErr w:type="spellStart"/>
      <w:r w:rsidRPr="00093134">
        <w:t>gambling</w:t>
      </w:r>
      <w:proofErr w:type="spellEnd"/>
      <w:r w:rsidRPr="00093134">
        <w:t xml:space="preserve">: a global </w:t>
      </w:r>
      <w:proofErr w:type="spellStart"/>
      <w:r w:rsidRPr="00093134">
        <w:t>review</w:t>
      </w:r>
      <w:proofErr w:type="spellEnd"/>
      <w:r w:rsidRPr="00093134">
        <w:t xml:space="preserve"> of </w:t>
      </w:r>
      <w:proofErr w:type="spellStart"/>
      <w:r w:rsidRPr="00093134">
        <w:t>legislative</w:t>
      </w:r>
      <w:proofErr w:type="spellEnd"/>
      <w:r w:rsidRPr="00093134">
        <w:t xml:space="preserve"> </w:t>
      </w:r>
      <w:proofErr w:type="spellStart"/>
      <w:r w:rsidRPr="00093134">
        <w:t>trends</w:t>
      </w:r>
      <w:proofErr w:type="spellEnd"/>
      <w:r w:rsidRPr="00093134">
        <w:t xml:space="preserve">. </w:t>
      </w:r>
      <w:proofErr w:type="spellStart"/>
      <w:r w:rsidRPr="00093134">
        <w:t>The</w:t>
      </w:r>
      <w:proofErr w:type="spellEnd"/>
      <w:r w:rsidRPr="00093134">
        <w:t xml:space="preserve"> </w:t>
      </w:r>
      <w:proofErr w:type="spellStart"/>
      <w:r w:rsidRPr="00093134">
        <w:t>Lancet</w:t>
      </w:r>
      <w:proofErr w:type="spellEnd"/>
      <w:r w:rsidRPr="00093134">
        <w:t xml:space="preserve"> </w:t>
      </w:r>
      <w:proofErr w:type="spellStart"/>
      <w:r w:rsidRPr="00093134">
        <w:t>Public</w:t>
      </w:r>
      <w:proofErr w:type="spellEnd"/>
      <w:r w:rsidRPr="00093134">
        <w:t xml:space="preserve"> </w:t>
      </w:r>
      <w:proofErr w:type="spellStart"/>
      <w:r w:rsidRPr="00093134">
        <w:t>Health</w:t>
      </w:r>
      <w:proofErr w:type="spellEnd"/>
      <w:r w:rsidRPr="00093134">
        <w:t>, 9(1), e57–e67. https://doi.org/10.1016/S2468-2667(23)00221-</w:t>
      </w:r>
    </w:p>
  </w:footnote>
  <w:footnote w:id="14">
    <w:p w:rsidR="00C83140" w:rsidRPr="00C83140" w:rsidRDefault="00C83140">
      <w:pPr>
        <w:pStyle w:val="Textonotapie"/>
        <w:rPr>
          <w:lang w:val="es-MX"/>
        </w:rPr>
      </w:pPr>
      <w:r>
        <w:rPr>
          <w:rStyle w:val="Refdenotaalpie"/>
        </w:rPr>
        <w:footnoteRef/>
      </w:r>
      <w:r>
        <w:t xml:space="preserve"> </w:t>
      </w:r>
      <w:r w:rsidRPr="00C83140">
        <w:t xml:space="preserve">Calado, F., &amp; </w:t>
      </w:r>
      <w:proofErr w:type="spellStart"/>
      <w:r w:rsidRPr="00C83140">
        <w:t>Griffiths</w:t>
      </w:r>
      <w:proofErr w:type="spellEnd"/>
      <w:r w:rsidRPr="00C83140">
        <w:t xml:space="preserve">, M. D. (2016). </w:t>
      </w:r>
      <w:proofErr w:type="spellStart"/>
      <w:r w:rsidRPr="00C83140">
        <w:t>Problem</w:t>
      </w:r>
      <w:proofErr w:type="spellEnd"/>
      <w:r w:rsidRPr="00C83140">
        <w:t xml:space="preserve"> </w:t>
      </w:r>
      <w:proofErr w:type="spellStart"/>
      <w:r w:rsidRPr="00C83140">
        <w:t>gambling</w:t>
      </w:r>
      <w:proofErr w:type="spellEnd"/>
      <w:r w:rsidRPr="00C83140">
        <w:t xml:space="preserve"> </w:t>
      </w:r>
      <w:proofErr w:type="spellStart"/>
      <w:r w:rsidRPr="00C83140">
        <w:t>worldwide</w:t>
      </w:r>
      <w:proofErr w:type="spellEnd"/>
      <w:r w:rsidRPr="00C83140">
        <w:t xml:space="preserve">: </w:t>
      </w:r>
      <w:proofErr w:type="spellStart"/>
      <w:r w:rsidRPr="00C83140">
        <w:t>An</w:t>
      </w:r>
      <w:proofErr w:type="spellEnd"/>
      <w:r w:rsidRPr="00C83140">
        <w:t xml:space="preserve"> </w:t>
      </w:r>
      <w:proofErr w:type="spellStart"/>
      <w:r w:rsidRPr="00C83140">
        <w:t>update</w:t>
      </w:r>
      <w:proofErr w:type="spellEnd"/>
      <w:r w:rsidRPr="00C83140">
        <w:t xml:space="preserve"> and </w:t>
      </w:r>
      <w:proofErr w:type="spellStart"/>
      <w:r w:rsidRPr="00C83140">
        <w:t>systematic</w:t>
      </w:r>
      <w:proofErr w:type="spellEnd"/>
      <w:r w:rsidRPr="00C83140">
        <w:t xml:space="preserve"> </w:t>
      </w:r>
      <w:proofErr w:type="spellStart"/>
      <w:r w:rsidRPr="00C83140">
        <w:t>review</w:t>
      </w:r>
      <w:proofErr w:type="spellEnd"/>
      <w:r w:rsidRPr="00C83140">
        <w:t xml:space="preserve"> of </w:t>
      </w:r>
      <w:proofErr w:type="spellStart"/>
      <w:r w:rsidRPr="00C83140">
        <w:t>empirical</w:t>
      </w:r>
      <w:proofErr w:type="spellEnd"/>
      <w:r w:rsidRPr="00C83140">
        <w:t xml:space="preserve"> </w:t>
      </w:r>
      <w:proofErr w:type="spellStart"/>
      <w:r w:rsidRPr="00C83140">
        <w:t>research</w:t>
      </w:r>
      <w:proofErr w:type="spellEnd"/>
      <w:r w:rsidRPr="00C83140">
        <w:t xml:space="preserve"> (2000–2015). </w:t>
      </w:r>
      <w:proofErr w:type="spellStart"/>
      <w:r w:rsidRPr="00C83140">
        <w:t>Journal</w:t>
      </w:r>
      <w:proofErr w:type="spellEnd"/>
      <w:r w:rsidRPr="00C83140">
        <w:t xml:space="preserve"> of </w:t>
      </w:r>
      <w:proofErr w:type="spellStart"/>
      <w:r w:rsidRPr="00C83140">
        <w:t>Behavioral</w:t>
      </w:r>
      <w:proofErr w:type="spellEnd"/>
      <w:r w:rsidRPr="00C83140">
        <w:t xml:space="preserve"> </w:t>
      </w:r>
      <w:proofErr w:type="spellStart"/>
      <w:r w:rsidRPr="00C83140">
        <w:t>Addictions</w:t>
      </w:r>
      <w:proofErr w:type="spellEnd"/>
      <w:r w:rsidRPr="00C83140">
        <w:t>, 5(4), 592–613. https://doi.org/10.1556/2006.5.2016.073</w:t>
      </w:r>
    </w:p>
  </w:footnote>
  <w:footnote w:id="15">
    <w:p w:rsidR="00C83140" w:rsidRPr="00C83140" w:rsidRDefault="00C83140">
      <w:pPr>
        <w:pStyle w:val="Textonotapie"/>
        <w:rPr>
          <w:lang w:val="es-MX"/>
        </w:rPr>
      </w:pPr>
      <w:r>
        <w:rPr>
          <w:rStyle w:val="Refdenotaalpie"/>
        </w:rPr>
        <w:footnoteRef/>
      </w:r>
      <w:r>
        <w:t xml:space="preserve"> </w:t>
      </w:r>
      <w:proofErr w:type="spellStart"/>
      <w:r w:rsidRPr="00C83140">
        <w:t>Ukhova</w:t>
      </w:r>
      <w:proofErr w:type="spellEnd"/>
      <w:r w:rsidRPr="00C83140">
        <w:t xml:space="preserve">, D., </w:t>
      </w:r>
      <w:proofErr w:type="spellStart"/>
      <w:r w:rsidRPr="00C83140">
        <w:t>Marionneau</w:t>
      </w:r>
      <w:proofErr w:type="spellEnd"/>
      <w:r w:rsidRPr="00C83140">
        <w:t xml:space="preserve">, V., </w:t>
      </w:r>
      <w:proofErr w:type="spellStart"/>
      <w:r w:rsidRPr="00C83140">
        <w:t>Nikkinen</w:t>
      </w:r>
      <w:proofErr w:type="spellEnd"/>
      <w:r w:rsidRPr="00C83140">
        <w:t xml:space="preserve">, J., &amp; </w:t>
      </w:r>
      <w:proofErr w:type="spellStart"/>
      <w:r w:rsidRPr="00C83140">
        <w:t>Wardle</w:t>
      </w:r>
      <w:proofErr w:type="spellEnd"/>
      <w:r w:rsidRPr="00C83140">
        <w:t xml:space="preserve">, H. (2024). </w:t>
      </w:r>
      <w:proofErr w:type="spellStart"/>
      <w:r w:rsidRPr="00C83140">
        <w:t>Public</w:t>
      </w:r>
      <w:proofErr w:type="spellEnd"/>
      <w:r w:rsidRPr="00C83140">
        <w:t xml:space="preserve"> </w:t>
      </w:r>
      <w:proofErr w:type="spellStart"/>
      <w:r w:rsidRPr="00C83140">
        <w:t>health</w:t>
      </w:r>
      <w:proofErr w:type="spellEnd"/>
      <w:r w:rsidRPr="00C83140">
        <w:t xml:space="preserve"> </w:t>
      </w:r>
      <w:proofErr w:type="spellStart"/>
      <w:r w:rsidRPr="00C83140">
        <w:t>approaches</w:t>
      </w:r>
      <w:proofErr w:type="spellEnd"/>
      <w:r w:rsidRPr="00C83140">
        <w:t xml:space="preserve"> to </w:t>
      </w:r>
      <w:proofErr w:type="spellStart"/>
      <w:r w:rsidRPr="00C83140">
        <w:t>gambling</w:t>
      </w:r>
      <w:proofErr w:type="spellEnd"/>
      <w:r w:rsidRPr="00C83140">
        <w:t xml:space="preserve">: a global </w:t>
      </w:r>
      <w:proofErr w:type="spellStart"/>
      <w:r w:rsidRPr="00C83140">
        <w:t>review</w:t>
      </w:r>
      <w:proofErr w:type="spellEnd"/>
      <w:r w:rsidRPr="00C83140">
        <w:t xml:space="preserve"> of </w:t>
      </w:r>
      <w:proofErr w:type="spellStart"/>
      <w:r w:rsidRPr="00C83140">
        <w:t>legislative</w:t>
      </w:r>
      <w:proofErr w:type="spellEnd"/>
      <w:r w:rsidRPr="00C83140">
        <w:t xml:space="preserve"> </w:t>
      </w:r>
      <w:proofErr w:type="spellStart"/>
      <w:r w:rsidRPr="00C83140">
        <w:t>trends</w:t>
      </w:r>
      <w:proofErr w:type="spellEnd"/>
      <w:r w:rsidRPr="00C83140">
        <w:t xml:space="preserve">. </w:t>
      </w:r>
      <w:proofErr w:type="spellStart"/>
      <w:r w:rsidRPr="00C83140">
        <w:t>The</w:t>
      </w:r>
      <w:proofErr w:type="spellEnd"/>
      <w:r w:rsidRPr="00C83140">
        <w:t xml:space="preserve"> </w:t>
      </w:r>
      <w:proofErr w:type="spellStart"/>
      <w:r w:rsidRPr="00C83140">
        <w:t>Lancet</w:t>
      </w:r>
      <w:proofErr w:type="spellEnd"/>
      <w:r w:rsidRPr="00C83140">
        <w:t xml:space="preserve"> </w:t>
      </w:r>
      <w:proofErr w:type="spellStart"/>
      <w:r w:rsidRPr="00C83140">
        <w:t>Public</w:t>
      </w:r>
      <w:proofErr w:type="spellEnd"/>
      <w:r w:rsidRPr="00C83140">
        <w:t xml:space="preserve"> </w:t>
      </w:r>
      <w:proofErr w:type="spellStart"/>
      <w:r w:rsidRPr="00C83140">
        <w:t>Health</w:t>
      </w:r>
      <w:proofErr w:type="spellEnd"/>
      <w:r w:rsidRPr="00C83140">
        <w:t>, 9(1), e57–e67. https://doi.org/10.1016/S2468-2667(23)00221-9</w:t>
      </w:r>
    </w:p>
  </w:footnote>
  <w:footnote w:id="16">
    <w:p w:rsidR="00C83140" w:rsidRPr="00C83140" w:rsidRDefault="00C83140">
      <w:pPr>
        <w:pStyle w:val="Textonotapie"/>
        <w:rPr>
          <w:lang w:val="es-MX"/>
        </w:rPr>
      </w:pPr>
      <w:r>
        <w:rPr>
          <w:rStyle w:val="Refdenotaalpie"/>
        </w:rPr>
        <w:footnoteRef/>
      </w:r>
      <w:r>
        <w:t xml:space="preserve"> </w:t>
      </w:r>
      <w:proofErr w:type="spellStart"/>
      <w:r w:rsidRPr="00C83140">
        <w:t>Wilber</w:t>
      </w:r>
      <w:proofErr w:type="spellEnd"/>
      <w:r w:rsidRPr="00C83140">
        <w:t xml:space="preserve">, M. K., &amp; Potenza, M. N. (2006). </w:t>
      </w:r>
      <w:proofErr w:type="spellStart"/>
      <w:r w:rsidRPr="00C83140">
        <w:t>Adolescent</w:t>
      </w:r>
      <w:proofErr w:type="spellEnd"/>
      <w:r w:rsidRPr="00C83140">
        <w:t xml:space="preserve"> </w:t>
      </w:r>
      <w:proofErr w:type="spellStart"/>
      <w:r w:rsidRPr="00C83140">
        <w:t>gambling</w:t>
      </w:r>
      <w:proofErr w:type="spellEnd"/>
      <w:r w:rsidRPr="00C83140">
        <w:t xml:space="preserve">: </w:t>
      </w:r>
      <w:proofErr w:type="spellStart"/>
      <w:r w:rsidRPr="00C83140">
        <w:t>Research</w:t>
      </w:r>
      <w:proofErr w:type="spellEnd"/>
      <w:r w:rsidRPr="00C83140">
        <w:t xml:space="preserve"> </w:t>
      </w:r>
      <w:proofErr w:type="spellStart"/>
      <w:r w:rsidRPr="00C83140">
        <w:t>findings</w:t>
      </w:r>
      <w:proofErr w:type="spellEnd"/>
      <w:r w:rsidRPr="00C83140">
        <w:t xml:space="preserve"> and </w:t>
      </w:r>
      <w:proofErr w:type="spellStart"/>
      <w:r w:rsidRPr="00C83140">
        <w:t>implications</w:t>
      </w:r>
      <w:proofErr w:type="spellEnd"/>
      <w:r w:rsidRPr="00C83140">
        <w:t xml:space="preserve">. </w:t>
      </w:r>
      <w:proofErr w:type="spellStart"/>
      <w:r w:rsidRPr="00C83140">
        <w:t>Psychiatry</w:t>
      </w:r>
      <w:proofErr w:type="spellEnd"/>
      <w:r w:rsidRPr="00C83140">
        <w:t>, 3(10), 40–48.</w:t>
      </w:r>
    </w:p>
  </w:footnote>
  <w:footnote w:id="17">
    <w:p w:rsidR="00BA0527" w:rsidRPr="00BA0527" w:rsidRDefault="00BA0527">
      <w:pPr>
        <w:pStyle w:val="Textonotapie"/>
        <w:rPr>
          <w:lang w:val="es-MX"/>
        </w:rPr>
      </w:pPr>
      <w:r>
        <w:rPr>
          <w:rStyle w:val="Refdenotaalpie"/>
        </w:rPr>
        <w:footnoteRef/>
      </w:r>
      <w:r>
        <w:t xml:space="preserve"> </w:t>
      </w:r>
      <w:proofErr w:type="spellStart"/>
      <w:r w:rsidRPr="00BA0527">
        <w:t>Blank</w:t>
      </w:r>
      <w:proofErr w:type="spellEnd"/>
      <w:r w:rsidRPr="00BA0527">
        <w:t xml:space="preserve">, L., Baxter, S., Woods, H. B., &amp; </w:t>
      </w:r>
      <w:proofErr w:type="spellStart"/>
      <w:r w:rsidRPr="00BA0527">
        <w:t>Goyder</w:t>
      </w:r>
      <w:proofErr w:type="spellEnd"/>
      <w:r w:rsidRPr="00BA0527">
        <w:t xml:space="preserve">, E. (2021). </w:t>
      </w:r>
      <w:proofErr w:type="spellStart"/>
      <w:r w:rsidRPr="00BA0527">
        <w:t>Interventions</w:t>
      </w:r>
      <w:proofErr w:type="spellEnd"/>
      <w:r w:rsidRPr="00BA0527">
        <w:t xml:space="preserve"> to reduce </w:t>
      </w:r>
      <w:proofErr w:type="spellStart"/>
      <w:r w:rsidRPr="00BA0527">
        <w:t>the</w:t>
      </w:r>
      <w:proofErr w:type="spellEnd"/>
      <w:r w:rsidRPr="00BA0527">
        <w:t xml:space="preserve"> </w:t>
      </w:r>
      <w:proofErr w:type="spellStart"/>
      <w:r w:rsidRPr="00BA0527">
        <w:t>public</w:t>
      </w:r>
      <w:proofErr w:type="spellEnd"/>
      <w:r w:rsidRPr="00BA0527">
        <w:t xml:space="preserve"> </w:t>
      </w:r>
      <w:proofErr w:type="spellStart"/>
      <w:r w:rsidRPr="00BA0527">
        <w:t>health</w:t>
      </w:r>
      <w:proofErr w:type="spellEnd"/>
      <w:r w:rsidRPr="00BA0527">
        <w:t xml:space="preserve"> </w:t>
      </w:r>
      <w:proofErr w:type="spellStart"/>
      <w:r w:rsidRPr="00BA0527">
        <w:t>burden</w:t>
      </w:r>
      <w:proofErr w:type="spellEnd"/>
      <w:r w:rsidRPr="00BA0527">
        <w:t xml:space="preserve"> of </w:t>
      </w:r>
      <w:proofErr w:type="spellStart"/>
      <w:r w:rsidRPr="00BA0527">
        <w:t>gambling-related</w:t>
      </w:r>
      <w:proofErr w:type="spellEnd"/>
      <w:r w:rsidRPr="00BA0527">
        <w:t xml:space="preserve"> </w:t>
      </w:r>
      <w:proofErr w:type="spellStart"/>
      <w:r w:rsidRPr="00BA0527">
        <w:t>harms</w:t>
      </w:r>
      <w:proofErr w:type="spellEnd"/>
      <w:r w:rsidRPr="00BA0527">
        <w:t xml:space="preserve">: a </w:t>
      </w:r>
      <w:proofErr w:type="spellStart"/>
      <w:r w:rsidRPr="00BA0527">
        <w:t>mapping</w:t>
      </w:r>
      <w:proofErr w:type="spellEnd"/>
      <w:r w:rsidRPr="00BA0527">
        <w:t xml:space="preserve"> </w:t>
      </w:r>
      <w:proofErr w:type="spellStart"/>
      <w:r w:rsidRPr="00BA0527">
        <w:t>review</w:t>
      </w:r>
      <w:proofErr w:type="spellEnd"/>
      <w:r w:rsidRPr="00BA0527">
        <w:t xml:space="preserve">. </w:t>
      </w:r>
      <w:proofErr w:type="spellStart"/>
      <w:r w:rsidRPr="00BA0527">
        <w:t>The</w:t>
      </w:r>
      <w:proofErr w:type="spellEnd"/>
      <w:r w:rsidRPr="00BA0527">
        <w:t xml:space="preserve"> </w:t>
      </w:r>
      <w:proofErr w:type="spellStart"/>
      <w:r w:rsidRPr="00BA0527">
        <w:t>Lancet</w:t>
      </w:r>
      <w:proofErr w:type="spellEnd"/>
      <w:r w:rsidRPr="00BA0527">
        <w:t xml:space="preserve"> </w:t>
      </w:r>
      <w:proofErr w:type="spellStart"/>
      <w:r w:rsidRPr="00BA0527">
        <w:t>Public</w:t>
      </w:r>
      <w:proofErr w:type="spellEnd"/>
      <w:r w:rsidRPr="00BA0527">
        <w:t xml:space="preserve"> </w:t>
      </w:r>
      <w:proofErr w:type="spellStart"/>
      <w:r w:rsidRPr="00BA0527">
        <w:t>Health</w:t>
      </w:r>
      <w:proofErr w:type="spellEnd"/>
      <w:r w:rsidRPr="00BA0527">
        <w:t>, 6(1), e50-e63. https://doi.org/10.1016/S2468-2667(20)30230-9</w:t>
      </w:r>
    </w:p>
  </w:footnote>
  <w:footnote w:id="18">
    <w:p w:rsidR="00F17C21" w:rsidRPr="00F17C21" w:rsidRDefault="00F17C21">
      <w:pPr>
        <w:pStyle w:val="Textonotapie"/>
        <w:rPr>
          <w:lang w:val="es-MX"/>
        </w:rPr>
      </w:pPr>
      <w:r>
        <w:rPr>
          <w:rStyle w:val="Refdenotaalpie"/>
        </w:rPr>
        <w:footnoteRef/>
      </w:r>
      <w:r>
        <w:t xml:space="preserve"> </w:t>
      </w:r>
      <w:r w:rsidRPr="00F17C21">
        <w:t xml:space="preserve">Calado, F., &amp; </w:t>
      </w:r>
      <w:proofErr w:type="spellStart"/>
      <w:r w:rsidRPr="00F17C21">
        <w:t>Griffiths</w:t>
      </w:r>
      <w:proofErr w:type="spellEnd"/>
      <w:r w:rsidRPr="00F17C21">
        <w:t xml:space="preserve">, M. D. (2016). </w:t>
      </w:r>
      <w:proofErr w:type="spellStart"/>
      <w:r w:rsidRPr="00F17C21">
        <w:t>Problem</w:t>
      </w:r>
      <w:proofErr w:type="spellEnd"/>
      <w:r w:rsidRPr="00F17C21">
        <w:t xml:space="preserve"> </w:t>
      </w:r>
      <w:proofErr w:type="spellStart"/>
      <w:r w:rsidRPr="00F17C21">
        <w:t>gambling</w:t>
      </w:r>
      <w:proofErr w:type="spellEnd"/>
      <w:r w:rsidRPr="00F17C21">
        <w:t xml:space="preserve"> </w:t>
      </w:r>
      <w:proofErr w:type="spellStart"/>
      <w:r w:rsidRPr="00F17C21">
        <w:t>worldwide</w:t>
      </w:r>
      <w:proofErr w:type="spellEnd"/>
      <w:r w:rsidRPr="00F17C21">
        <w:t xml:space="preserve">: </w:t>
      </w:r>
      <w:proofErr w:type="spellStart"/>
      <w:r w:rsidRPr="00F17C21">
        <w:t>An</w:t>
      </w:r>
      <w:proofErr w:type="spellEnd"/>
      <w:r w:rsidRPr="00F17C21">
        <w:t xml:space="preserve"> </w:t>
      </w:r>
      <w:proofErr w:type="spellStart"/>
      <w:r w:rsidRPr="00F17C21">
        <w:t>update</w:t>
      </w:r>
      <w:proofErr w:type="spellEnd"/>
      <w:r w:rsidRPr="00F17C21">
        <w:t xml:space="preserve"> and </w:t>
      </w:r>
      <w:proofErr w:type="spellStart"/>
      <w:r w:rsidRPr="00F17C21">
        <w:t>systematic</w:t>
      </w:r>
      <w:proofErr w:type="spellEnd"/>
      <w:r w:rsidRPr="00F17C21">
        <w:t xml:space="preserve"> </w:t>
      </w:r>
      <w:proofErr w:type="spellStart"/>
      <w:r w:rsidRPr="00F17C21">
        <w:t>review</w:t>
      </w:r>
      <w:proofErr w:type="spellEnd"/>
      <w:r w:rsidRPr="00F17C21">
        <w:t xml:space="preserve"> of </w:t>
      </w:r>
      <w:proofErr w:type="spellStart"/>
      <w:r w:rsidRPr="00F17C21">
        <w:t>empirical</w:t>
      </w:r>
      <w:proofErr w:type="spellEnd"/>
      <w:r w:rsidRPr="00F17C21">
        <w:t xml:space="preserve"> </w:t>
      </w:r>
      <w:proofErr w:type="spellStart"/>
      <w:r w:rsidRPr="00F17C21">
        <w:t>research</w:t>
      </w:r>
      <w:proofErr w:type="spellEnd"/>
      <w:r w:rsidRPr="00F17C21">
        <w:t xml:space="preserve"> (2000–2015). </w:t>
      </w:r>
      <w:proofErr w:type="spellStart"/>
      <w:r w:rsidRPr="00F17C21">
        <w:t>Journal</w:t>
      </w:r>
      <w:proofErr w:type="spellEnd"/>
      <w:r w:rsidRPr="00F17C21">
        <w:t xml:space="preserve"> of </w:t>
      </w:r>
      <w:proofErr w:type="spellStart"/>
      <w:r w:rsidRPr="00F17C21">
        <w:t>Behavioral</w:t>
      </w:r>
      <w:proofErr w:type="spellEnd"/>
      <w:r w:rsidRPr="00F17C21">
        <w:t xml:space="preserve"> </w:t>
      </w:r>
      <w:proofErr w:type="spellStart"/>
      <w:r w:rsidRPr="00F17C21">
        <w:t>Addictions</w:t>
      </w:r>
      <w:proofErr w:type="spellEnd"/>
      <w:r w:rsidRPr="00F17C21">
        <w:t>, 5(4), 592–613. https://doi.org/10.1556/2006.5.2016.073</w:t>
      </w:r>
    </w:p>
  </w:footnote>
  <w:footnote w:id="19">
    <w:p w:rsidR="00F17C21" w:rsidRPr="00F17C21" w:rsidRDefault="00F17C21">
      <w:pPr>
        <w:pStyle w:val="Textonotapie"/>
        <w:rPr>
          <w:lang w:val="es-MX"/>
        </w:rPr>
      </w:pPr>
      <w:r>
        <w:rPr>
          <w:rStyle w:val="Refdenotaalpie"/>
        </w:rPr>
        <w:footnoteRef/>
      </w:r>
      <w:r>
        <w:t xml:space="preserve"> </w:t>
      </w:r>
      <w:r>
        <w:rPr>
          <w:lang w:val="es-MX"/>
        </w:rPr>
        <w:t xml:space="preserve">Ídem. </w:t>
      </w:r>
    </w:p>
  </w:footnote>
  <w:footnote w:id="20">
    <w:p w:rsidR="008837FE" w:rsidRDefault="008837FE" w:rsidP="008837FE">
      <w:pPr>
        <w:pStyle w:val="Textonotapie"/>
        <w:rPr>
          <w:rFonts w:ascii="Calibri" w:eastAsia="Calibri" w:hAnsi="Calibri" w:cs="Times New Roman"/>
        </w:rPr>
      </w:pPr>
      <w:r>
        <w:rPr>
          <w:rStyle w:val="Refdenotaalpie"/>
        </w:rPr>
        <w:footnoteRef/>
      </w:r>
      <w:r>
        <w:t xml:space="preserve"> Consejo de Estado, Sala de lo Contencioso Administrativo, sentencia de 10 de noviembre de 2009, radicación número: PI. 01180-00 (C. P. Martha Teresa Briceño de Valencia).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3F2" w:rsidRDefault="007779DC">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6498204" o:spid="_x0000_s2053" type="#_x0000_t75" style="position:absolute;margin-left:0;margin-top:0;width:441.45pt;height:121.15pt;z-index:-251655168;mso-position-horizontal:center;mso-position-horizontal-relative:margin;mso-position-vertical:center;mso-position-vertical-relative:margin" o:allowincell="f">
          <v:imagedata r:id="rId1" o:title="LOGO E"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3F2" w:rsidRDefault="007779DC">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6498205" o:spid="_x0000_s2054" type="#_x0000_t75" style="position:absolute;margin-left:0;margin-top:0;width:441.45pt;height:121.15pt;z-index:-251654144;mso-position-horizontal:center;mso-position-horizontal-relative:margin;mso-position-vertical:center;mso-position-vertical-relative:margin" o:allowincell="f">
          <v:imagedata r:id="rId1" o:title="LOGO E" gain="19661f" blacklevel="22938f"/>
          <w10:wrap anchorx="margin" anchory="margin"/>
        </v:shape>
      </w:pict>
    </w:r>
    <w:r w:rsidR="00E11E6F">
      <w:rPr>
        <w:noProof/>
        <w:lang w:eastAsia="es-CO"/>
      </w:rPr>
      <w:drawing>
        <wp:anchor distT="0" distB="0" distL="114300" distR="114300" simplePos="0" relativeHeight="251658240" behindDoc="1" locked="0" layoutInCell="1" allowOverlap="1" wp14:anchorId="2CA68D79" wp14:editId="0C8E3433">
          <wp:simplePos x="0" y="0"/>
          <wp:positionH relativeFrom="margin">
            <wp:align>center</wp:align>
          </wp:positionH>
          <wp:positionV relativeFrom="paragraph">
            <wp:posOffset>-710384</wp:posOffset>
          </wp:positionV>
          <wp:extent cx="6643845" cy="1886858"/>
          <wp:effectExtent l="0" t="0" r="508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png"/>
                  <pic:cNvPicPr/>
                </pic:nvPicPr>
                <pic:blipFill>
                  <a:blip r:embed="rId2">
                    <a:extLst>
                      <a:ext uri="{28A0092B-C50C-407E-A947-70E740481C1C}">
                        <a14:useLocalDpi xmlns:a14="http://schemas.microsoft.com/office/drawing/2010/main" val="0"/>
                      </a:ext>
                    </a:extLst>
                  </a:blip>
                  <a:stretch>
                    <a:fillRect/>
                  </a:stretch>
                </pic:blipFill>
                <pic:spPr>
                  <a:xfrm>
                    <a:off x="0" y="0"/>
                    <a:ext cx="6643845" cy="18868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3F2" w:rsidRDefault="007779DC">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6498203" o:spid="_x0000_s2052" type="#_x0000_t75" style="position:absolute;margin-left:0;margin-top:0;width:441.45pt;height:121.15pt;z-index:-251656192;mso-position-horizontal:center;mso-position-horizontal-relative:margin;mso-position-vertical:center;mso-position-vertical-relative:margin" o:allowincell="f">
          <v:imagedata r:id="rId1" o:title="LOGO 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4C4"/>
    <w:multiLevelType w:val="hybridMultilevel"/>
    <w:tmpl w:val="5A3630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C839A0"/>
    <w:multiLevelType w:val="hybridMultilevel"/>
    <w:tmpl w:val="F948C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572111"/>
    <w:multiLevelType w:val="hybridMultilevel"/>
    <w:tmpl w:val="6D1C4B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BE33847"/>
    <w:multiLevelType w:val="hybridMultilevel"/>
    <w:tmpl w:val="67ACB6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0ED7FA0"/>
    <w:multiLevelType w:val="hybridMultilevel"/>
    <w:tmpl w:val="D2AA74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4E5308D6"/>
    <w:multiLevelType w:val="hybridMultilevel"/>
    <w:tmpl w:val="92228C6C"/>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0F63AEE"/>
    <w:multiLevelType w:val="hybridMultilevel"/>
    <w:tmpl w:val="F70C1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64818D7"/>
    <w:multiLevelType w:val="hybridMultilevel"/>
    <w:tmpl w:val="289C42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CF17CF4"/>
    <w:multiLevelType w:val="hybridMultilevel"/>
    <w:tmpl w:val="CD7EEA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7F7215F9"/>
    <w:multiLevelType w:val="hybridMultilevel"/>
    <w:tmpl w:val="92228C6C"/>
    <w:lvl w:ilvl="0" w:tplc="24DC56C8">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9"/>
  </w:num>
  <w:num w:numId="5">
    <w:abstractNumId w:val="5"/>
  </w:num>
  <w:num w:numId="6">
    <w:abstractNumId w:val="4"/>
  </w:num>
  <w:num w:numId="7">
    <w:abstractNumId w:val="7"/>
  </w:num>
  <w:num w:numId="8">
    <w:abstractNumId w:val="1"/>
  </w:num>
  <w:num w:numId="9">
    <w:abstractNumId w:val="0"/>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F2"/>
    <w:rsid w:val="00025C34"/>
    <w:rsid w:val="00041728"/>
    <w:rsid w:val="0004359D"/>
    <w:rsid w:val="00067DB6"/>
    <w:rsid w:val="00093134"/>
    <w:rsid w:val="000A75B3"/>
    <w:rsid w:val="000C17F0"/>
    <w:rsid w:val="000D3B9D"/>
    <w:rsid w:val="00141E5B"/>
    <w:rsid w:val="00184B5D"/>
    <w:rsid w:val="001901A6"/>
    <w:rsid w:val="00243DDF"/>
    <w:rsid w:val="002450C7"/>
    <w:rsid w:val="002724D6"/>
    <w:rsid w:val="002C74FA"/>
    <w:rsid w:val="0030014F"/>
    <w:rsid w:val="00322F46"/>
    <w:rsid w:val="00381E86"/>
    <w:rsid w:val="003C2FFD"/>
    <w:rsid w:val="00466220"/>
    <w:rsid w:val="00477438"/>
    <w:rsid w:val="004C45E7"/>
    <w:rsid w:val="004F661C"/>
    <w:rsid w:val="00523696"/>
    <w:rsid w:val="00544C30"/>
    <w:rsid w:val="005B4F12"/>
    <w:rsid w:val="00695F7A"/>
    <w:rsid w:val="006D3D36"/>
    <w:rsid w:val="006E0789"/>
    <w:rsid w:val="006E5CE5"/>
    <w:rsid w:val="007200F8"/>
    <w:rsid w:val="00760862"/>
    <w:rsid w:val="007779DC"/>
    <w:rsid w:val="0078319C"/>
    <w:rsid w:val="007A335B"/>
    <w:rsid w:val="007D23F2"/>
    <w:rsid w:val="007D5C9A"/>
    <w:rsid w:val="007F1178"/>
    <w:rsid w:val="008170C6"/>
    <w:rsid w:val="00862871"/>
    <w:rsid w:val="008837FE"/>
    <w:rsid w:val="008C43E0"/>
    <w:rsid w:val="008F724A"/>
    <w:rsid w:val="00931246"/>
    <w:rsid w:val="009379D7"/>
    <w:rsid w:val="00976C4E"/>
    <w:rsid w:val="00992537"/>
    <w:rsid w:val="009A43B7"/>
    <w:rsid w:val="009B1E3F"/>
    <w:rsid w:val="009F0249"/>
    <w:rsid w:val="00A716B3"/>
    <w:rsid w:val="00A846C5"/>
    <w:rsid w:val="00B16254"/>
    <w:rsid w:val="00B2407E"/>
    <w:rsid w:val="00B91BB6"/>
    <w:rsid w:val="00B96612"/>
    <w:rsid w:val="00BA0527"/>
    <w:rsid w:val="00C07132"/>
    <w:rsid w:val="00C336E3"/>
    <w:rsid w:val="00C355BD"/>
    <w:rsid w:val="00C5410A"/>
    <w:rsid w:val="00C83140"/>
    <w:rsid w:val="00D40C47"/>
    <w:rsid w:val="00D603A0"/>
    <w:rsid w:val="00D703A1"/>
    <w:rsid w:val="00D760EA"/>
    <w:rsid w:val="00DB79D3"/>
    <w:rsid w:val="00DD3B84"/>
    <w:rsid w:val="00E11E6F"/>
    <w:rsid w:val="00E72894"/>
    <w:rsid w:val="00ED0EFD"/>
    <w:rsid w:val="00F02E05"/>
    <w:rsid w:val="00F124E8"/>
    <w:rsid w:val="00F17C21"/>
    <w:rsid w:val="00F25412"/>
    <w:rsid w:val="00F61F1C"/>
    <w:rsid w:val="00F767BB"/>
    <w:rsid w:val="00F85B36"/>
    <w:rsid w:val="00FA3607"/>
    <w:rsid w:val="00FC1AE5"/>
    <w:rsid w:val="00FF22D2"/>
    <w:rsid w:val="00FF70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C2B1857"/>
  <w15:chartTrackingRefBased/>
  <w15:docId w15:val="{52A50CB8-D2C5-F848-AB8D-03008C38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3F2"/>
    <w:pPr>
      <w:tabs>
        <w:tab w:val="center" w:pos="4419"/>
        <w:tab w:val="right" w:pos="8838"/>
      </w:tabs>
    </w:pPr>
  </w:style>
  <w:style w:type="character" w:customStyle="1" w:styleId="EncabezadoCar">
    <w:name w:val="Encabezado Car"/>
    <w:basedOn w:val="Fuentedeprrafopredeter"/>
    <w:link w:val="Encabezado"/>
    <w:uiPriority w:val="99"/>
    <w:rsid w:val="007D23F2"/>
  </w:style>
  <w:style w:type="paragraph" w:styleId="Piedepgina">
    <w:name w:val="footer"/>
    <w:basedOn w:val="Normal"/>
    <w:link w:val="PiedepginaCar"/>
    <w:uiPriority w:val="99"/>
    <w:unhideWhenUsed/>
    <w:rsid w:val="007D23F2"/>
    <w:pPr>
      <w:tabs>
        <w:tab w:val="center" w:pos="4419"/>
        <w:tab w:val="right" w:pos="8838"/>
      </w:tabs>
    </w:pPr>
  </w:style>
  <w:style w:type="character" w:customStyle="1" w:styleId="PiedepginaCar">
    <w:name w:val="Pie de página Car"/>
    <w:basedOn w:val="Fuentedeprrafopredeter"/>
    <w:link w:val="Piedepgina"/>
    <w:uiPriority w:val="99"/>
    <w:rsid w:val="007D23F2"/>
  </w:style>
  <w:style w:type="paragraph" w:styleId="Textonotapie">
    <w:name w:val="footnote text"/>
    <w:basedOn w:val="Normal"/>
    <w:link w:val="TextonotapieCar"/>
    <w:uiPriority w:val="99"/>
    <w:semiHidden/>
    <w:unhideWhenUsed/>
    <w:rsid w:val="008837FE"/>
    <w:rPr>
      <w:sz w:val="20"/>
      <w:szCs w:val="20"/>
    </w:rPr>
  </w:style>
  <w:style w:type="character" w:customStyle="1" w:styleId="TextonotapieCar">
    <w:name w:val="Texto nota pie Car"/>
    <w:basedOn w:val="Fuentedeprrafopredeter"/>
    <w:link w:val="Textonotapie"/>
    <w:uiPriority w:val="99"/>
    <w:semiHidden/>
    <w:rsid w:val="008837FE"/>
    <w:rPr>
      <w:sz w:val="20"/>
      <w:szCs w:val="20"/>
    </w:rPr>
  </w:style>
  <w:style w:type="character" w:styleId="Refdenotaalpie">
    <w:name w:val="footnote reference"/>
    <w:basedOn w:val="Fuentedeprrafopredeter"/>
    <w:uiPriority w:val="99"/>
    <w:semiHidden/>
    <w:unhideWhenUsed/>
    <w:rsid w:val="008837FE"/>
    <w:rPr>
      <w:vertAlign w:val="superscript"/>
    </w:rPr>
  </w:style>
  <w:style w:type="paragraph" w:styleId="Prrafodelista">
    <w:name w:val="List Paragraph"/>
    <w:basedOn w:val="Normal"/>
    <w:uiPriority w:val="34"/>
    <w:qFormat/>
    <w:rsid w:val="00DD3B84"/>
    <w:pPr>
      <w:ind w:left="720"/>
      <w:contextualSpacing/>
    </w:pPr>
  </w:style>
  <w:style w:type="table" w:styleId="Tablaconcuadrcula">
    <w:name w:val="Table Grid"/>
    <w:basedOn w:val="Tablanormal"/>
    <w:uiPriority w:val="39"/>
    <w:rsid w:val="007A3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A33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3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1554">
      <w:bodyDiv w:val="1"/>
      <w:marLeft w:val="0"/>
      <w:marRight w:val="0"/>
      <w:marTop w:val="0"/>
      <w:marBottom w:val="0"/>
      <w:divBdr>
        <w:top w:val="none" w:sz="0" w:space="0" w:color="auto"/>
        <w:left w:val="none" w:sz="0" w:space="0" w:color="auto"/>
        <w:bottom w:val="none" w:sz="0" w:space="0" w:color="auto"/>
        <w:right w:val="none" w:sz="0" w:space="0" w:color="auto"/>
      </w:divBdr>
    </w:div>
    <w:div w:id="710111549">
      <w:bodyDiv w:val="1"/>
      <w:marLeft w:val="0"/>
      <w:marRight w:val="0"/>
      <w:marTop w:val="0"/>
      <w:marBottom w:val="0"/>
      <w:divBdr>
        <w:top w:val="none" w:sz="0" w:space="0" w:color="auto"/>
        <w:left w:val="none" w:sz="0" w:space="0" w:color="auto"/>
        <w:bottom w:val="none" w:sz="0" w:space="0" w:color="auto"/>
        <w:right w:val="none" w:sz="0" w:space="0" w:color="auto"/>
      </w:divBdr>
    </w:div>
    <w:div w:id="805859286">
      <w:bodyDiv w:val="1"/>
      <w:marLeft w:val="0"/>
      <w:marRight w:val="0"/>
      <w:marTop w:val="0"/>
      <w:marBottom w:val="0"/>
      <w:divBdr>
        <w:top w:val="none" w:sz="0" w:space="0" w:color="auto"/>
        <w:left w:val="none" w:sz="0" w:space="0" w:color="auto"/>
        <w:bottom w:val="none" w:sz="0" w:space="0" w:color="auto"/>
        <w:right w:val="none" w:sz="0" w:space="0" w:color="auto"/>
      </w:divBdr>
    </w:div>
    <w:div w:id="916940628">
      <w:bodyDiv w:val="1"/>
      <w:marLeft w:val="0"/>
      <w:marRight w:val="0"/>
      <w:marTop w:val="0"/>
      <w:marBottom w:val="0"/>
      <w:divBdr>
        <w:top w:val="none" w:sz="0" w:space="0" w:color="auto"/>
        <w:left w:val="none" w:sz="0" w:space="0" w:color="auto"/>
        <w:bottom w:val="none" w:sz="0" w:space="0" w:color="auto"/>
        <w:right w:val="none" w:sz="0" w:space="0" w:color="auto"/>
      </w:divBdr>
    </w:div>
    <w:div w:id="1679230156">
      <w:bodyDiv w:val="1"/>
      <w:marLeft w:val="0"/>
      <w:marRight w:val="0"/>
      <w:marTop w:val="0"/>
      <w:marBottom w:val="0"/>
      <w:divBdr>
        <w:top w:val="none" w:sz="0" w:space="0" w:color="auto"/>
        <w:left w:val="none" w:sz="0" w:space="0" w:color="auto"/>
        <w:bottom w:val="none" w:sz="0" w:space="0" w:color="auto"/>
        <w:right w:val="none" w:sz="0" w:space="0" w:color="auto"/>
      </w:divBdr>
    </w:div>
    <w:div w:id="1787961556">
      <w:bodyDiv w:val="1"/>
      <w:marLeft w:val="0"/>
      <w:marRight w:val="0"/>
      <w:marTop w:val="0"/>
      <w:marBottom w:val="0"/>
      <w:divBdr>
        <w:top w:val="none" w:sz="0" w:space="0" w:color="auto"/>
        <w:left w:val="none" w:sz="0" w:space="0" w:color="auto"/>
        <w:bottom w:val="none" w:sz="0" w:space="0" w:color="auto"/>
        <w:right w:val="none" w:sz="0" w:space="0" w:color="auto"/>
      </w:divBdr>
    </w:div>
    <w:div w:id="183194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CC9E3-435B-4C81-902B-95270289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3286</Words>
  <Characters>18079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 Sebastian Barrera Angel</cp:lastModifiedBy>
  <cp:revision>3</cp:revision>
  <cp:lastPrinted>2025-07-21T20:43:00Z</cp:lastPrinted>
  <dcterms:created xsi:type="dcterms:W3CDTF">2025-07-21T20:43:00Z</dcterms:created>
  <dcterms:modified xsi:type="dcterms:W3CDTF">2025-07-29T18:41:00Z</dcterms:modified>
</cp:coreProperties>
</file>