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BA5" w:rsidRDefault="00F463F1">
      <w:pPr>
        <w:spacing w:after="160"/>
        <w:jc w:val="both"/>
        <w:rPr>
          <w:sz w:val="24"/>
          <w:szCs w:val="24"/>
        </w:rPr>
      </w:pPr>
      <w:r>
        <w:rPr>
          <w:sz w:val="24"/>
          <w:szCs w:val="24"/>
        </w:rPr>
        <w:t xml:space="preserve">Bogotá D.C.,  05 de agosto de 2025 </w:t>
      </w:r>
    </w:p>
    <w:p w:rsidR="00326BA5" w:rsidRDefault="00326BA5">
      <w:pPr>
        <w:spacing w:after="160"/>
        <w:jc w:val="both"/>
        <w:rPr>
          <w:sz w:val="24"/>
          <w:szCs w:val="24"/>
        </w:rPr>
      </w:pPr>
    </w:p>
    <w:p w:rsidR="00326BA5" w:rsidRDefault="00F463F1">
      <w:pPr>
        <w:jc w:val="both"/>
        <w:rPr>
          <w:sz w:val="24"/>
          <w:szCs w:val="24"/>
        </w:rPr>
      </w:pPr>
      <w:r>
        <w:rPr>
          <w:sz w:val="24"/>
          <w:szCs w:val="24"/>
        </w:rPr>
        <w:t xml:space="preserve">Doctor, </w:t>
      </w:r>
    </w:p>
    <w:p w:rsidR="00326BA5" w:rsidRDefault="00F463F1">
      <w:pPr>
        <w:jc w:val="both"/>
        <w:rPr>
          <w:b/>
          <w:sz w:val="24"/>
          <w:szCs w:val="24"/>
        </w:rPr>
      </w:pPr>
      <w:r>
        <w:rPr>
          <w:b/>
          <w:sz w:val="24"/>
          <w:szCs w:val="24"/>
        </w:rPr>
        <w:t>JAIME LUIS LACOUTURE</w:t>
      </w:r>
    </w:p>
    <w:p w:rsidR="00326BA5" w:rsidRDefault="00F463F1">
      <w:pPr>
        <w:jc w:val="both"/>
        <w:rPr>
          <w:sz w:val="24"/>
          <w:szCs w:val="24"/>
        </w:rPr>
      </w:pPr>
      <w:r>
        <w:rPr>
          <w:sz w:val="24"/>
          <w:szCs w:val="24"/>
        </w:rPr>
        <w:t xml:space="preserve">Secretario General </w:t>
      </w:r>
    </w:p>
    <w:p w:rsidR="00326BA5" w:rsidRDefault="00F463F1">
      <w:pPr>
        <w:jc w:val="both"/>
        <w:rPr>
          <w:sz w:val="24"/>
          <w:szCs w:val="24"/>
        </w:rPr>
      </w:pPr>
      <w:r>
        <w:rPr>
          <w:sz w:val="24"/>
          <w:szCs w:val="24"/>
        </w:rPr>
        <w:t>Honorable Cámara de Representantes</w:t>
      </w:r>
    </w:p>
    <w:p w:rsidR="00326BA5" w:rsidRDefault="00326BA5">
      <w:pPr>
        <w:spacing w:after="160"/>
        <w:jc w:val="both"/>
        <w:rPr>
          <w:sz w:val="24"/>
          <w:szCs w:val="24"/>
        </w:rPr>
      </w:pPr>
    </w:p>
    <w:p w:rsidR="00326BA5" w:rsidRDefault="00F463F1">
      <w:pPr>
        <w:spacing w:after="160"/>
        <w:jc w:val="both"/>
        <w:rPr>
          <w:b/>
          <w:sz w:val="24"/>
          <w:szCs w:val="24"/>
        </w:rPr>
      </w:pPr>
      <w:r>
        <w:rPr>
          <w:b/>
          <w:sz w:val="24"/>
          <w:szCs w:val="24"/>
        </w:rPr>
        <w:t xml:space="preserve">Asunto: </w:t>
      </w:r>
      <w:r>
        <w:rPr>
          <w:sz w:val="24"/>
          <w:szCs w:val="24"/>
        </w:rPr>
        <w:t>Radicación Proyecto de Ley</w:t>
      </w:r>
      <w:r>
        <w:rPr>
          <w:i/>
          <w:sz w:val="24"/>
          <w:szCs w:val="24"/>
        </w:rPr>
        <w:t xml:space="preserve"> </w:t>
      </w:r>
      <w:r>
        <w:rPr>
          <w:b/>
          <w:sz w:val="24"/>
          <w:szCs w:val="24"/>
        </w:rPr>
        <w:t>“Por medio de la cual se crean medidas para el cumplimiento de las obligaciones tributarias no pagadas</w:t>
      </w:r>
      <w:r>
        <w:rPr>
          <w:b/>
          <w:i/>
          <w:sz w:val="24"/>
          <w:szCs w:val="24"/>
        </w:rPr>
        <w:t xml:space="preserve"> y se dictan otras disposiciones”</w:t>
      </w:r>
    </w:p>
    <w:p w:rsidR="00326BA5" w:rsidRDefault="00326BA5">
      <w:pPr>
        <w:spacing w:after="160"/>
        <w:jc w:val="center"/>
        <w:rPr>
          <w:b/>
          <w:sz w:val="24"/>
          <w:szCs w:val="24"/>
        </w:rPr>
      </w:pPr>
    </w:p>
    <w:p w:rsidR="00326BA5" w:rsidRDefault="00F463F1">
      <w:pPr>
        <w:spacing w:after="160"/>
        <w:jc w:val="both"/>
        <w:rPr>
          <w:sz w:val="24"/>
          <w:szCs w:val="24"/>
        </w:rPr>
      </w:pPr>
      <w:r>
        <w:rPr>
          <w:sz w:val="24"/>
          <w:szCs w:val="24"/>
        </w:rPr>
        <w:t xml:space="preserve">Respetado, </w:t>
      </w:r>
    </w:p>
    <w:p w:rsidR="00326BA5" w:rsidRDefault="00F463F1">
      <w:pPr>
        <w:spacing w:after="160"/>
        <w:jc w:val="both"/>
        <w:rPr>
          <w:sz w:val="24"/>
          <w:szCs w:val="24"/>
        </w:rPr>
      </w:pPr>
      <w:r>
        <w:rPr>
          <w:sz w:val="24"/>
          <w:szCs w:val="24"/>
        </w:rPr>
        <w:t xml:space="preserve">En atención a lo estipulado en los artículos 139 y 140 de la Ley 5 de 1992, presento a su consideración el </w:t>
      </w:r>
      <w:r>
        <w:rPr>
          <w:sz w:val="24"/>
          <w:szCs w:val="24"/>
        </w:rPr>
        <w:t xml:space="preserve">Proyecto de Ley </w:t>
      </w:r>
      <w:r>
        <w:rPr>
          <w:b/>
          <w:i/>
          <w:sz w:val="24"/>
          <w:szCs w:val="24"/>
        </w:rPr>
        <w:t>“Por medio de la cual se crean medidas para el cumplimiento de las obligaciones tributarias no pagadas y se dictan otras disposiciones”.</w:t>
      </w:r>
      <w:r>
        <w:rPr>
          <w:i/>
          <w:sz w:val="24"/>
          <w:szCs w:val="24"/>
        </w:rPr>
        <w:t xml:space="preserve"> </w:t>
      </w:r>
      <w:r>
        <w:rPr>
          <w:sz w:val="24"/>
          <w:szCs w:val="24"/>
        </w:rPr>
        <w:t>Iniciativa legislativa que cumple con las disposiciones correspondientes al orden de redacción consagra</w:t>
      </w:r>
      <w:r>
        <w:rPr>
          <w:sz w:val="24"/>
          <w:szCs w:val="24"/>
        </w:rPr>
        <w:t>do en el artículo 145 de la citada Ley.</w:t>
      </w:r>
    </w:p>
    <w:p w:rsidR="00326BA5" w:rsidRDefault="00326BA5">
      <w:pPr>
        <w:spacing w:after="160"/>
        <w:rPr>
          <w:sz w:val="24"/>
          <w:szCs w:val="24"/>
        </w:rPr>
      </w:pPr>
    </w:p>
    <w:p w:rsidR="00326BA5" w:rsidRDefault="00F463F1">
      <w:pPr>
        <w:spacing w:after="160"/>
        <w:rPr>
          <w:rFonts w:ascii="Raleway" w:eastAsia="Raleway" w:hAnsi="Raleway" w:cs="Raleway"/>
          <w:b/>
          <w:sz w:val="24"/>
          <w:szCs w:val="24"/>
        </w:rPr>
      </w:pPr>
      <w:r>
        <w:rPr>
          <w:sz w:val="24"/>
          <w:szCs w:val="24"/>
        </w:rPr>
        <w:t xml:space="preserve">De los Honorables congresistas, </w:t>
      </w:r>
    </w:p>
    <w:p w:rsidR="00326BA5" w:rsidRDefault="00326BA5">
      <w:pPr>
        <w:spacing w:after="160" w:line="278" w:lineRule="auto"/>
        <w:jc w:val="both"/>
        <w:rPr>
          <w:rFonts w:ascii="Raleway" w:eastAsia="Raleway" w:hAnsi="Raleway" w:cs="Raleway"/>
          <w:b/>
          <w:sz w:val="24"/>
          <w:szCs w:val="24"/>
        </w:rPr>
      </w:pPr>
    </w:p>
    <w:p w:rsidR="00326BA5" w:rsidRDefault="00326BA5">
      <w:pPr>
        <w:spacing w:after="160" w:line="278" w:lineRule="auto"/>
        <w:jc w:val="both"/>
        <w:rPr>
          <w:rFonts w:ascii="Raleway" w:eastAsia="Raleway" w:hAnsi="Raleway" w:cs="Raleway"/>
          <w:b/>
          <w:sz w:val="24"/>
          <w:szCs w:val="24"/>
        </w:rPr>
      </w:pPr>
    </w:p>
    <w:sdt>
      <w:sdtPr>
        <w:tag w:val="goog_rdk_0"/>
        <w:id w:val="1440316745"/>
        <w:lock w:val="contentLocked"/>
      </w:sdtPr>
      <w:sdtEndPr/>
      <w:sdtContent>
        <w:tbl>
          <w:tblPr>
            <w:tblStyle w:val="a3"/>
            <w:tblW w:w="1060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5370"/>
          </w:tblGrid>
          <w:tr w:rsidR="00326BA5">
            <w:tc>
              <w:tcPr>
                <w:tcW w:w="5235" w:type="dxa"/>
                <w:shd w:val="clear" w:color="auto" w:fill="auto"/>
                <w:tcMar>
                  <w:top w:w="100" w:type="dxa"/>
                  <w:left w:w="100" w:type="dxa"/>
                  <w:bottom w:w="100" w:type="dxa"/>
                  <w:right w:w="100" w:type="dxa"/>
                </w:tcMar>
              </w:tcPr>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ANGELA MARIA VERGARA GONZALEZ</w:t>
                </w: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Representante a la Cámara</w:t>
                </w: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Departamento de Bolívar</w:t>
                </w:r>
              </w:p>
            </w:tc>
            <w:tc>
              <w:tcPr>
                <w:tcW w:w="5370" w:type="dxa"/>
                <w:shd w:val="clear" w:color="auto" w:fill="auto"/>
                <w:tcMar>
                  <w:top w:w="100" w:type="dxa"/>
                  <w:left w:w="100" w:type="dxa"/>
                  <w:bottom w:w="100" w:type="dxa"/>
                  <w:right w:w="100" w:type="dxa"/>
                </w:tcMar>
              </w:tcPr>
              <w:p w:rsidR="00326BA5" w:rsidRDefault="00326BA5">
                <w:pPr>
                  <w:widowControl w:val="0"/>
                  <w:pBdr>
                    <w:top w:val="nil"/>
                    <w:left w:val="nil"/>
                    <w:bottom w:val="nil"/>
                    <w:right w:val="nil"/>
                    <w:between w:val="nil"/>
                  </w:pBdr>
                  <w:spacing w:line="240" w:lineRule="auto"/>
                  <w:rPr>
                    <w:b/>
                    <w:sz w:val="24"/>
                    <w:szCs w:val="24"/>
                  </w:rPr>
                </w:pPr>
              </w:p>
              <w:p w:rsidR="00326BA5" w:rsidRDefault="00F463F1">
                <w:pPr>
                  <w:widowControl w:val="0"/>
                  <w:pBdr>
                    <w:top w:val="nil"/>
                    <w:left w:val="nil"/>
                    <w:bottom w:val="nil"/>
                    <w:right w:val="nil"/>
                    <w:between w:val="nil"/>
                  </w:pBdr>
                  <w:spacing w:line="240" w:lineRule="auto"/>
                  <w:rPr>
                    <w:b/>
                    <w:sz w:val="24"/>
                    <w:szCs w:val="24"/>
                  </w:rPr>
                </w:pPr>
                <w:r>
                  <w:rPr>
                    <w:b/>
                    <w:sz w:val="24"/>
                    <w:szCs w:val="24"/>
                  </w:rPr>
                  <w:t xml:space="preserve">            </w:t>
                </w: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 xml:space="preserve">      DIELA LILIANA BENAVIDES SOLARTE</w:t>
                </w: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SENADORA DE LA REPÚBLICA</w:t>
                </w:r>
              </w:p>
            </w:tc>
          </w:tr>
          <w:tr w:rsidR="00326BA5">
            <w:trPr>
              <w:trHeight w:val="1890"/>
            </w:trPr>
            <w:tc>
              <w:tcPr>
                <w:tcW w:w="5235" w:type="dxa"/>
                <w:shd w:val="clear" w:color="auto" w:fill="auto"/>
                <w:tcMar>
                  <w:top w:w="100" w:type="dxa"/>
                  <w:left w:w="100" w:type="dxa"/>
                  <w:bottom w:w="100" w:type="dxa"/>
                  <w:right w:w="100" w:type="dxa"/>
                </w:tcMar>
              </w:tcPr>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jc w:val="center"/>
                  <w:rPr>
                    <w:b/>
                    <w:sz w:val="24"/>
                    <w:szCs w:val="24"/>
                  </w:rPr>
                </w:pP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EFRAÍN CEPEDA SARABIA</w:t>
                </w: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Senador de la República</w:t>
                </w:r>
              </w:p>
            </w:tc>
            <w:tc>
              <w:tcPr>
                <w:tcW w:w="5370" w:type="dxa"/>
                <w:shd w:val="clear" w:color="auto" w:fill="auto"/>
                <w:tcMar>
                  <w:top w:w="100" w:type="dxa"/>
                  <w:left w:w="100" w:type="dxa"/>
                  <w:bottom w:w="100" w:type="dxa"/>
                  <w:right w:w="100" w:type="dxa"/>
                </w:tcMar>
              </w:tcPr>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F463F1">
                <w:pPr>
                  <w:widowControl w:val="0"/>
                  <w:spacing w:line="240" w:lineRule="auto"/>
                  <w:rPr>
                    <w:b/>
                    <w:sz w:val="24"/>
                    <w:szCs w:val="24"/>
                  </w:rPr>
                </w:pPr>
                <w:r>
                  <w:rPr>
                    <w:b/>
                    <w:sz w:val="24"/>
                    <w:szCs w:val="24"/>
                  </w:rPr>
                  <w:t>LILIANA BITAR CASTILLA</w:t>
                </w:r>
              </w:p>
              <w:p w:rsidR="00326BA5" w:rsidRDefault="00F463F1">
                <w:pPr>
                  <w:widowControl w:val="0"/>
                  <w:spacing w:line="240" w:lineRule="auto"/>
                  <w:rPr>
                    <w:b/>
                    <w:sz w:val="24"/>
                    <w:szCs w:val="24"/>
                  </w:rPr>
                </w:pPr>
                <w:r>
                  <w:rPr>
                    <w:b/>
                    <w:sz w:val="24"/>
                    <w:szCs w:val="24"/>
                  </w:rPr>
                  <w:t>Senadora de la República</w:t>
                </w:r>
              </w:p>
              <w:p w:rsidR="00326BA5" w:rsidRDefault="00326BA5">
                <w:pPr>
                  <w:widowControl w:val="0"/>
                  <w:pBdr>
                    <w:top w:val="nil"/>
                    <w:left w:val="nil"/>
                    <w:bottom w:val="nil"/>
                    <w:right w:val="nil"/>
                    <w:between w:val="nil"/>
                  </w:pBdr>
                  <w:spacing w:line="240" w:lineRule="auto"/>
                  <w:rPr>
                    <w:b/>
                    <w:sz w:val="24"/>
                    <w:szCs w:val="24"/>
                  </w:rPr>
                </w:pPr>
              </w:p>
            </w:tc>
          </w:tr>
          <w:tr w:rsidR="00326BA5">
            <w:trPr>
              <w:trHeight w:val="1916"/>
            </w:trPr>
            <w:tc>
              <w:tcPr>
                <w:tcW w:w="5235" w:type="dxa"/>
                <w:shd w:val="clear" w:color="auto" w:fill="auto"/>
                <w:tcMar>
                  <w:top w:w="100" w:type="dxa"/>
                  <w:left w:w="100" w:type="dxa"/>
                  <w:bottom w:w="100" w:type="dxa"/>
                  <w:right w:w="100" w:type="dxa"/>
                </w:tcMar>
              </w:tcPr>
              <w:p w:rsidR="00326BA5" w:rsidRDefault="00326BA5">
                <w:pPr>
                  <w:widowControl w:val="0"/>
                  <w:pBdr>
                    <w:top w:val="nil"/>
                    <w:left w:val="nil"/>
                    <w:bottom w:val="nil"/>
                    <w:right w:val="nil"/>
                    <w:between w:val="nil"/>
                  </w:pBdr>
                  <w:spacing w:line="240" w:lineRule="auto"/>
                  <w:jc w:val="center"/>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jc w:val="center"/>
                  <w:rPr>
                    <w:b/>
                    <w:sz w:val="24"/>
                    <w:szCs w:val="24"/>
                  </w:rPr>
                </w:pP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WADITH ALBERTO MANZUR IMBETT</w:t>
                </w: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Representante a la Cámara</w:t>
                </w: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 xml:space="preserve">Departamento de Córdoba </w:t>
                </w:r>
              </w:p>
            </w:tc>
            <w:tc>
              <w:tcPr>
                <w:tcW w:w="5370" w:type="dxa"/>
              </w:tcPr>
              <w:p w:rsidR="00326BA5" w:rsidRDefault="00326BA5">
                <w:pPr>
                  <w:widowControl w:val="0"/>
                  <w:pBdr>
                    <w:top w:val="nil"/>
                    <w:left w:val="nil"/>
                    <w:bottom w:val="nil"/>
                    <w:right w:val="nil"/>
                    <w:between w:val="nil"/>
                  </w:pBdr>
                  <w:spacing w:line="240" w:lineRule="auto"/>
                  <w:jc w:val="center"/>
                  <w:rPr>
                    <w:b/>
                    <w:sz w:val="24"/>
                    <w:szCs w:val="24"/>
                  </w:rPr>
                </w:pPr>
              </w:p>
              <w:p w:rsidR="00326BA5" w:rsidRDefault="00326BA5">
                <w:pPr>
                  <w:widowControl w:val="0"/>
                  <w:pBdr>
                    <w:top w:val="nil"/>
                    <w:left w:val="nil"/>
                    <w:bottom w:val="nil"/>
                    <w:right w:val="nil"/>
                    <w:between w:val="nil"/>
                  </w:pBdr>
                  <w:spacing w:line="240" w:lineRule="auto"/>
                  <w:jc w:val="center"/>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jc w:val="center"/>
                  <w:rPr>
                    <w:b/>
                    <w:sz w:val="24"/>
                    <w:szCs w:val="24"/>
                  </w:rPr>
                </w:pPr>
              </w:p>
              <w:p w:rsidR="00326BA5" w:rsidRDefault="00326BA5">
                <w:pPr>
                  <w:widowControl w:val="0"/>
                  <w:pBdr>
                    <w:top w:val="nil"/>
                    <w:left w:val="nil"/>
                    <w:bottom w:val="nil"/>
                    <w:right w:val="nil"/>
                    <w:between w:val="nil"/>
                  </w:pBdr>
                  <w:spacing w:line="240" w:lineRule="auto"/>
                  <w:jc w:val="center"/>
                  <w:rPr>
                    <w:b/>
                    <w:sz w:val="24"/>
                    <w:szCs w:val="24"/>
                  </w:rPr>
                </w:pP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NICOLAS BARGUIL CUBILLOS</w:t>
                </w: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Representante a la Cámara</w:t>
                </w: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Departamento de Córdoba</w:t>
                </w:r>
              </w:p>
            </w:tc>
          </w:tr>
          <w:tr w:rsidR="00326BA5">
            <w:trPr>
              <w:trHeight w:val="1916"/>
            </w:trPr>
            <w:tc>
              <w:tcPr>
                <w:tcW w:w="5235" w:type="dxa"/>
                <w:shd w:val="clear" w:color="auto" w:fill="auto"/>
                <w:tcMar>
                  <w:top w:w="100" w:type="dxa"/>
                  <w:left w:w="100" w:type="dxa"/>
                  <w:bottom w:w="100" w:type="dxa"/>
                  <w:right w:w="100" w:type="dxa"/>
                </w:tcMar>
              </w:tcPr>
              <w:p w:rsidR="00326BA5" w:rsidRDefault="00326BA5">
                <w:pPr>
                  <w:widowControl w:val="0"/>
                  <w:pBdr>
                    <w:top w:val="nil"/>
                    <w:left w:val="nil"/>
                    <w:bottom w:val="nil"/>
                    <w:right w:val="nil"/>
                    <w:between w:val="nil"/>
                  </w:pBdr>
                  <w:spacing w:line="240" w:lineRule="auto"/>
                  <w:jc w:val="center"/>
                  <w:rPr>
                    <w:b/>
                    <w:sz w:val="24"/>
                    <w:szCs w:val="24"/>
                  </w:rPr>
                </w:pPr>
              </w:p>
              <w:p w:rsidR="00326BA5" w:rsidRDefault="00326BA5">
                <w:pPr>
                  <w:widowControl w:val="0"/>
                  <w:pBdr>
                    <w:top w:val="nil"/>
                    <w:left w:val="nil"/>
                    <w:bottom w:val="nil"/>
                    <w:right w:val="nil"/>
                    <w:between w:val="nil"/>
                  </w:pBdr>
                  <w:spacing w:line="240" w:lineRule="auto"/>
                  <w:jc w:val="center"/>
                  <w:rPr>
                    <w:b/>
                    <w:sz w:val="24"/>
                    <w:szCs w:val="24"/>
                  </w:rPr>
                </w:pPr>
              </w:p>
              <w:p w:rsidR="00326BA5" w:rsidRDefault="00326BA5">
                <w:pPr>
                  <w:widowControl w:val="0"/>
                  <w:pBdr>
                    <w:top w:val="nil"/>
                    <w:left w:val="nil"/>
                    <w:bottom w:val="nil"/>
                    <w:right w:val="nil"/>
                    <w:between w:val="nil"/>
                  </w:pBdr>
                  <w:spacing w:line="240" w:lineRule="auto"/>
                  <w:jc w:val="center"/>
                  <w:rPr>
                    <w:b/>
                    <w:sz w:val="24"/>
                    <w:szCs w:val="24"/>
                  </w:rPr>
                </w:pPr>
              </w:p>
              <w:p w:rsidR="00326BA5" w:rsidRDefault="00326BA5">
                <w:pPr>
                  <w:widowControl w:val="0"/>
                  <w:pBdr>
                    <w:top w:val="nil"/>
                    <w:left w:val="nil"/>
                    <w:bottom w:val="nil"/>
                    <w:right w:val="nil"/>
                    <w:between w:val="nil"/>
                  </w:pBdr>
                  <w:spacing w:line="240" w:lineRule="auto"/>
                  <w:jc w:val="center"/>
                  <w:rPr>
                    <w:b/>
                    <w:sz w:val="24"/>
                    <w:szCs w:val="24"/>
                  </w:rPr>
                </w:pPr>
              </w:p>
              <w:p w:rsidR="00326BA5" w:rsidRDefault="00326BA5">
                <w:pPr>
                  <w:widowControl w:val="0"/>
                  <w:pBdr>
                    <w:top w:val="nil"/>
                    <w:left w:val="nil"/>
                    <w:bottom w:val="nil"/>
                    <w:right w:val="nil"/>
                    <w:between w:val="nil"/>
                  </w:pBdr>
                  <w:spacing w:line="240" w:lineRule="auto"/>
                  <w:jc w:val="center"/>
                  <w:rPr>
                    <w:b/>
                    <w:sz w:val="24"/>
                    <w:szCs w:val="24"/>
                  </w:rPr>
                </w:pPr>
              </w:p>
              <w:p w:rsidR="00326BA5" w:rsidRDefault="00F463F1">
                <w:pPr>
                  <w:widowControl w:val="0"/>
                  <w:pBdr>
                    <w:top w:val="nil"/>
                    <w:left w:val="nil"/>
                    <w:bottom w:val="nil"/>
                    <w:right w:val="nil"/>
                    <w:between w:val="nil"/>
                  </w:pBdr>
                  <w:spacing w:line="240" w:lineRule="auto"/>
                  <w:rPr>
                    <w:b/>
                    <w:sz w:val="24"/>
                    <w:szCs w:val="24"/>
                  </w:rPr>
                </w:pPr>
                <w:r>
                  <w:rPr>
                    <w:b/>
                    <w:sz w:val="24"/>
                    <w:szCs w:val="24"/>
                  </w:rPr>
                  <w:t>ARMANDO ZABARAIN D’ARCE</w:t>
                </w:r>
              </w:p>
              <w:p w:rsidR="00326BA5" w:rsidRDefault="00F463F1">
                <w:pPr>
                  <w:widowControl w:val="0"/>
                  <w:pBdr>
                    <w:top w:val="nil"/>
                    <w:left w:val="nil"/>
                    <w:bottom w:val="nil"/>
                    <w:right w:val="nil"/>
                    <w:between w:val="nil"/>
                  </w:pBdr>
                  <w:spacing w:line="240" w:lineRule="auto"/>
                  <w:rPr>
                    <w:b/>
                    <w:sz w:val="24"/>
                    <w:szCs w:val="24"/>
                  </w:rPr>
                </w:pPr>
                <w:r>
                  <w:rPr>
                    <w:b/>
                    <w:sz w:val="24"/>
                    <w:szCs w:val="24"/>
                  </w:rPr>
                  <w:t>Representante a la Cámara</w:t>
                </w:r>
              </w:p>
              <w:p w:rsidR="00326BA5" w:rsidRDefault="00F463F1">
                <w:pPr>
                  <w:widowControl w:val="0"/>
                  <w:pBdr>
                    <w:top w:val="nil"/>
                    <w:left w:val="nil"/>
                    <w:bottom w:val="nil"/>
                    <w:right w:val="nil"/>
                    <w:between w:val="nil"/>
                  </w:pBdr>
                  <w:spacing w:line="240" w:lineRule="auto"/>
                  <w:rPr>
                    <w:b/>
                    <w:sz w:val="24"/>
                    <w:szCs w:val="24"/>
                  </w:rPr>
                </w:pPr>
                <w:r>
                  <w:rPr>
                    <w:b/>
                    <w:sz w:val="24"/>
                    <w:szCs w:val="24"/>
                  </w:rPr>
                  <w:t>Departamento del Atlántico</w:t>
                </w:r>
              </w:p>
            </w:tc>
            <w:tc>
              <w:tcPr>
                <w:tcW w:w="5370" w:type="dxa"/>
              </w:tcPr>
              <w:p w:rsidR="00326BA5" w:rsidRDefault="00326BA5">
                <w:pPr>
                  <w:widowControl w:val="0"/>
                  <w:jc w:val="center"/>
                  <w:rPr>
                    <w:b/>
                    <w:sz w:val="24"/>
                    <w:szCs w:val="24"/>
                  </w:rPr>
                </w:pPr>
              </w:p>
              <w:p w:rsidR="00326BA5" w:rsidRDefault="00326BA5">
                <w:pPr>
                  <w:widowControl w:val="0"/>
                  <w:jc w:val="center"/>
                  <w:rPr>
                    <w:b/>
                    <w:sz w:val="24"/>
                    <w:szCs w:val="24"/>
                  </w:rPr>
                </w:pPr>
              </w:p>
              <w:p w:rsidR="00326BA5" w:rsidRDefault="00326BA5">
                <w:pPr>
                  <w:widowControl w:val="0"/>
                  <w:jc w:val="center"/>
                  <w:rPr>
                    <w:b/>
                    <w:sz w:val="24"/>
                    <w:szCs w:val="24"/>
                  </w:rPr>
                </w:pPr>
              </w:p>
              <w:p w:rsidR="00326BA5" w:rsidRDefault="00326BA5">
                <w:pPr>
                  <w:widowControl w:val="0"/>
                  <w:jc w:val="center"/>
                  <w:rPr>
                    <w:b/>
                    <w:sz w:val="24"/>
                    <w:szCs w:val="24"/>
                  </w:rPr>
                </w:pPr>
              </w:p>
              <w:p w:rsidR="00326BA5" w:rsidRDefault="00326BA5">
                <w:pPr>
                  <w:widowControl w:val="0"/>
                  <w:jc w:val="center"/>
                  <w:rPr>
                    <w:b/>
                    <w:sz w:val="24"/>
                    <w:szCs w:val="24"/>
                  </w:rPr>
                </w:pPr>
              </w:p>
              <w:p w:rsidR="00326BA5" w:rsidRDefault="00F463F1">
                <w:pPr>
                  <w:widowControl w:val="0"/>
                  <w:jc w:val="center"/>
                  <w:rPr>
                    <w:b/>
                  </w:rPr>
                </w:pPr>
                <w:r>
                  <w:rPr>
                    <w:b/>
                  </w:rPr>
                  <w:t>ANDRES GUILLERMO MONTES CELEDON</w:t>
                </w:r>
                <w:r>
                  <w:rPr>
                    <w:b/>
                  </w:rPr>
                  <w:br/>
                  <w:t xml:space="preserve">Representante a la Cámara </w:t>
                </w:r>
              </w:p>
              <w:p w:rsidR="00326BA5" w:rsidRDefault="00F463F1">
                <w:pPr>
                  <w:widowControl w:val="0"/>
                  <w:jc w:val="center"/>
                  <w:rPr>
                    <w:b/>
                    <w:sz w:val="24"/>
                    <w:szCs w:val="24"/>
                  </w:rPr>
                </w:pPr>
                <w:r>
                  <w:rPr>
                    <w:b/>
                  </w:rPr>
                  <w:t xml:space="preserve">Departamento de Bolívar </w:t>
                </w:r>
              </w:p>
            </w:tc>
          </w:tr>
          <w:tr w:rsidR="00326BA5">
            <w:trPr>
              <w:trHeight w:val="1916"/>
            </w:trPr>
            <w:tc>
              <w:tcPr>
                <w:tcW w:w="5235" w:type="dxa"/>
                <w:shd w:val="clear" w:color="auto" w:fill="auto"/>
                <w:tcMar>
                  <w:top w:w="100" w:type="dxa"/>
                  <w:left w:w="100" w:type="dxa"/>
                  <w:bottom w:w="100" w:type="dxa"/>
                  <w:right w:w="100" w:type="dxa"/>
                </w:tcMar>
              </w:tcPr>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rPr>
                    <w:b/>
                    <w:sz w:val="24"/>
                    <w:szCs w:val="24"/>
                  </w:rPr>
                </w:pPr>
              </w:p>
              <w:p w:rsidR="00326BA5" w:rsidRDefault="00326BA5">
                <w:pPr>
                  <w:widowControl w:val="0"/>
                  <w:pBdr>
                    <w:top w:val="nil"/>
                    <w:left w:val="nil"/>
                    <w:bottom w:val="nil"/>
                    <w:right w:val="nil"/>
                    <w:between w:val="nil"/>
                  </w:pBdr>
                  <w:spacing w:line="240" w:lineRule="auto"/>
                  <w:jc w:val="center"/>
                  <w:rPr>
                    <w:b/>
                    <w:sz w:val="24"/>
                    <w:szCs w:val="24"/>
                  </w:rPr>
                </w:pP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OSCAR BARRETO QUIROGA</w:t>
                </w: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Senador de la República</w:t>
                </w:r>
              </w:p>
            </w:tc>
            <w:tc>
              <w:tcPr>
                <w:tcW w:w="5370" w:type="dxa"/>
              </w:tcPr>
              <w:p w:rsidR="00326BA5" w:rsidRDefault="00326BA5">
                <w:pPr>
                  <w:spacing w:line="240" w:lineRule="auto"/>
                  <w:jc w:val="both"/>
                  <w:rPr>
                    <w:sz w:val="24"/>
                    <w:szCs w:val="24"/>
                  </w:rPr>
                </w:pPr>
              </w:p>
              <w:p w:rsidR="00326BA5" w:rsidRDefault="00326BA5">
                <w:pPr>
                  <w:spacing w:line="240" w:lineRule="auto"/>
                  <w:jc w:val="both"/>
                  <w:rPr>
                    <w:sz w:val="24"/>
                    <w:szCs w:val="24"/>
                  </w:rPr>
                </w:pPr>
              </w:p>
              <w:p w:rsidR="00326BA5" w:rsidRDefault="00326BA5">
                <w:pPr>
                  <w:spacing w:line="240" w:lineRule="auto"/>
                  <w:jc w:val="both"/>
                  <w:rPr>
                    <w:sz w:val="24"/>
                    <w:szCs w:val="24"/>
                  </w:rPr>
                </w:pPr>
              </w:p>
              <w:p w:rsidR="00326BA5" w:rsidRDefault="00326BA5">
                <w:pPr>
                  <w:spacing w:line="240" w:lineRule="auto"/>
                  <w:jc w:val="both"/>
                  <w:rPr>
                    <w:sz w:val="24"/>
                    <w:szCs w:val="24"/>
                  </w:rPr>
                </w:pPr>
              </w:p>
              <w:p w:rsidR="00326BA5" w:rsidRDefault="00326BA5">
                <w:pPr>
                  <w:spacing w:line="240" w:lineRule="auto"/>
                  <w:jc w:val="both"/>
                  <w:rPr>
                    <w:sz w:val="24"/>
                    <w:szCs w:val="24"/>
                  </w:rPr>
                </w:pPr>
              </w:p>
              <w:p w:rsidR="00326BA5" w:rsidRDefault="00326BA5">
                <w:pPr>
                  <w:spacing w:line="240" w:lineRule="auto"/>
                  <w:jc w:val="both"/>
                  <w:rPr>
                    <w:sz w:val="24"/>
                    <w:szCs w:val="24"/>
                  </w:rPr>
                </w:pPr>
              </w:p>
              <w:p w:rsidR="00326BA5" w:rsidRDefault="00F463F1">
                <w:pPr>
                  <w:spacing w:line="240" w:lineRule="auto"/>
                  <w:jc w:val="center"/>
                  <w:rPr>
                    <w:b/>
                    <w:sz w:val="24"/>
                    <w:szCs w:val="24"/>
                  </w:rPr>
                </w:pPr>
                <w:r>
                  <w:rPr>
                    <w:b/>
                    <w:sz w:val="24"/>
                    <w:szCs w:val="24"/>
                  </w:rPr>
                  <w:t>CHRISTIAN M. GARCÉS ALJURE</w:t>
                </w:r>
              </w:p>
              <w:p w:rsidR="00326BA5" w:rsidRDefault="00F463F1">
                <w:pPr>
                  <w:spacing w:line="240" w:lineRule="auto"/>
                  <w:jc w:val="center"/>
                  <w:rPr>
                    <w:b/>
                    <w:sz w:val="24"/>
                    <w:szCs w:val="24"/>
                  </w:rPr>
                </w:pPr>
                <w:r>
                  <w:rPr>
                    <w:b/>
                    <w:sz w:val="24"/>
                    <w:szCs w:val="24"/>
                  </w:rPr>
                  <w:t>Representante Valle del Cauca</w:t>
                </w:r>
              </w:p>
            </w:tc>
          </w:tr>
          <w:tr w:rsidR="00326BA5">
            <w:trPr>
              <w:trHeight w:val="1916"/>
            </w:trPr>
            <w:tc>
              <w:tcPr>
                <w:tcW w:w="5235" w:type="dxa"/>
                <w:shd w:val="clear" w:color="auto" w:fill="auto"/>
                <w:tcMar>
                  <w:top w:w="100" w:type="dxa"/>
                  <w:left w:w="100" w:type="dxa"/>
                  <w:bottom w:w="100" w:type="dxa"/>
                  <w:right w:w="100" w:type="dxa"/>
                </w:tcMar>
              </w:tcPr>
              <w:p w:rsidR="00326BA5" w:rsidRDefault="00326BA5">
                <w:pPr>
                  <w:widowControl w:val="0"/>
                  <w:pBdr>
                    <w:top w:val="nil"/>
                    <w:left w:val="nil"/>
                    <w:bottom w:val="nil"/>
                    <w:right w:val="nil"/>
                    <w:between w:val="nil"/>
                  </w:pBdr>
                  <w:spacing w:line="240" w:lineRule="auto"/>
                  <w:jc w:val="center"/>
                  <w:rPr>
                    <w:b/>
                    <w:sz w:val="24"/>
                    <w:szCs w:val="24"/>
                  </w:rPr>
                </w:pPr>
              </w:p>
              <w:p w:rsidR="00326BA5" w:rsidRDefault="00326BA5">
                <w:pPr>
                  <w:widowControl w:val="0"/>
                  <w:pBdr>
                    <w:top w:val="nil"/>
                    <w:left w:val="nil"/>
                    <w:bottom w:val="nil"/>
                    <w:right w:val="nil"/>
                    <w:between w:val="nil"/>
                  </w:pBdr>
                  <w:spacing w:line="240" w:lineRule="auto"/>
                  <w:jc w:val="center"/>
                  <w:rPr>
                    <w:b/>
                    <w:sz w:val="24"/>
                    <w:szCs w:val="24"/>
                  </w:rPr>
                </w:pPr>
              </w:p>
              <w:p w:rsidR="00326BA5" w:rsidRDefault="00326BA5">
                <w:pPr>
                  <w:widowControl w:val="0"/>
                  <w:pBdr>
                    <w:top w:val="nil"/>
                    <w:left w:val="nil"/>
                    <w:bottom w:val="nil"/>
                    <w:right w:val="nil"/>
                    <w:between w:val="nil"/>
                  </w:pBdr>
                  <w:spacing w:line="240" w:lineRule="auto"/>
                  <w:jc w:val="center"/>
                  <w:rPr>
                    <w:b/>
                    <w:sz w:val="24"/>
                    <w:szCs w:val="24"/>
                  </w:rPr>
                </w:pPr>
              </w:p>
              <w:p w:rsidR="00326BA5" w:rsidRDefault="00326BA5">
                <w:pPr>
                  <w:widowControl w:val="0"/>
                  <w:pBdr>
                    <w:top w:val="nil"/>
                    <w:left w:val="nil"/>
                    <w:bottom w:val="nil"/>
                    <w:right w:val="nil"/>
                    <w:between w:val="nil"/>
                  </w:pBdr>
                  <w:spacing w:line="240" w:lineRule="auto"/>
                  <w:jc w:val="center"/>
                  <w:rPr>
                    <w:b/>
                    <w:sz w:val="24"/>
                    <w:szCs w:val="24"/>
                  </w:rPr>
                </w:pPr>
              </w:p>
              <w:p w:rsidR="00326BA5" w:rsidRDefault="00326BA5">
                <w:pPr>
                  <w:widowControl w:val="0"/>
                  <w:pBdr>
                    <w:top w:val="nil"/>
                    <w:left w:val="nil"/>
                    <w:bottom w:val="nil"/>
                    <w:right w:val="nil"/>
                    <w:between w:val="nil"/>
                  </w:pBdr>
                  <w:spacing w:line="240" w:lineRule="auto"/>
                  <w:jc w:val="center"/>
                  <w:rPr>
                    <w:b/>
                    <w:sz w:val="24"/>
                    <w:szCs w:val="24"/>
                  </w:rPr>
                </w:pP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SARAY ROBAYO BECHARA</w:t>
                </w: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Representante a la Cámara</w:t>
                </w:r>
              </w:p>
              <w:p w:rsidR="00326BA5" w:rsidRDefault="00F463F1">
                <w:pPr>
                  <w:widowControl w:val="0"/>
                  <w:pBdr>
                    <w:top w:val="nil"/>
                    <w:left w:val="nil"/>
                    <w:bottom w:val="nil"/>
                    <w:right w:val="nil"/>
                    <w:between w:val="nil"/>
                  </w:pBdr>
                  <w:spacing w:line="240" w:lineRule="auto"/>
                  <w:jc w:val="center"/>
                  <w:rPr>
                    <w:b/>
                    <w:sz w:val="24"/>
                    <w:szCs w:val="24"/>
                  </w:rPr>
                </w:pPr>
                <w:r>
                  <w:rPr>
                    <w:b/>
                    <w:sz w:val="24"/>
                    <w:szCs w:val="24"/>
                  </w:rPr>
                  <w:t>Departamento de Córdoba</w:t>
                </w:r>
              </w:p>
              <w:p w:rsidR="00326BA5" w:rsidRDefault="00326BA5">
                <w:pPr>
                  <w:widowControl w:val="0"/>
                  <w:pBdr>
                    <w:top w:val="nil"/>
                    <w:left w:val="nil"/>
                    <w:bottom w:val="nil"/>
                    <w:right w:val="nil"/>
                    <w:between w:val="nil"/>
                  </w:pBdr>
                  <w:spacing w:line="240" w:lineRule="auto"/>
                  <w:jc w:val="center"/>
                  <w:rPr>
                    <w:b/>
                    <w:sz w:val="24"/>
                    <w:szCs w:val="24"/>
                  </w:rPr>
                </w:pPr>
              </w:p>
            </w:tc>
            <w:tc>
              <w:tcPr>
                <w:tcW w:w="5370" w:type="dxa"/>
              </w:tcPr>
              <w:p w:rsidR="00326BA5" w:rsidRDefault="00326BA5">
                <w:pPr>
                  <w:widowControl w:val="0"/>
                  <w:jc w:val="center"/>
                  <w:rPr>
                    <w:b/>
                    <w:sz w:val="24"/>
                    <w:szCs w:val="24"/>
                  </w:rPr>
                </w:pPr>
              </w:p>
            </w:tc>
          </w:tr>
          <w:tr w:rsidR="00326BA5">
            <w:trPr>
              <w:trHeight w:val="1916"/>
            </w:trPr>
            <w:tc>
              <w:tcPr>
                <w:tcW w:w="5235" w:type="dxa"/>
                <w:shd w:val="clear" w:color="auto" w:fill="auto"/>
                <w:tcMar>
                  <w:top w:w="100" w:type="dxa"/>
                  <w:left w:w="100" w:type="dxa"/>
                  <w:bottom w:w="100" w:type="dxa"/>
                  <w:right w:w="100" w:type="dxa"/>
                </w:tcMar>
              </w:tcPr>
              <w:p w:rsidR="00326BA5" w:rsidRDefault="00326BA5">
                <w:pPr>
                  <w:widowControl w:val="0"/>
                  <w:pBdr>
                    <w:top w:val="nil"/>
                    <w:left w:val="nil"/>
                    <w:bottom w:val="nil"/>
                    <w:right w:val="nil"/>
                    <w:between w:val="nil"/>
                  </w:pBdr>
                  <w:spacing w:line="240" w:lineRule="auto"/>
                  <w:rPr>
                    <w:rFonts w:ascii="Raleway" w:eastAsia="Raleway" w:hAnsi="Raleway" w:cs="Raleway"/>
                    <w:b/>
                    <w:sz w:val="24"/>
                    <w:szCs w:val="24"/>
                  </w:rPr>
                </w:pPr>
              </w:p>
            </w:tc>
            <w:tc>
              <w:tcPr>
                <w:tcW w:w="5370" w:type="dxa"/>
              </w:tcPr>
              <w:p w:rsidR="00326BA5" w:rsidRDefault="00F463F1">
                <w:pPr>
                  <w:widowControl w:val="0"/>
                  <w:jc w:val="center"/>
                  <w:rPr>
                    <w:b/>
                    <w:sz w:val="24"/>
                    <w:szCs w:val="24"/>
                  </w:rPr>
                </w:pPr>
              </w:p>
            </w:tc>
          </w:tr>
        </w:tbl>
      </w:sdtContent>
    </w:sdt>
    <w:p w:rsidR="00326BA5" w:rsidRDefault="00326BA5">
      <w:pPr>
        <w:spacing w:after="160"/>
        <w:rPr>
          <w:b/>
          <w:sz w:val="24"/>
          <w:szCs w:val="24"/>
        </w:rPr>
      </w:pPr>
    </w:p>
    <w:p w:rsidR="00326BA5" w:rsidRDefault="00326BA5">
      <w:pPr>
        <w:spacing w:after="160"/>
        <w:rPr>
          <w:b/>
          <w:sz w:val="24"/>
          <w:szCs w:val="24"/>
        </w:rPr>
      </w:pPr>
    </w:p>
    <w:p w:rsidR="00326BA5" w:rsidRDefault="00326BA5">
      <w:pPr>
        <w:spacing w:after="160"/>
        <w:rPr>
          <w:b/>
          <w:sz w:val="24"/>
          <w:szCs w:val="24"/>
        </w:rPr>
      </w:pPr>
    </w:p>
    <w:p w:rsidR="00326BA5" w:rsidRDefault="00326BA5">
      <w:pPr>
        <w:spacing w:after="160"/>
        <w:rPr>
          <w:b/>
          <w:sz w:val="24"/>
          <w:szCs w:val="24"/>
        </w:rPr>
      </w:pPr>
    </w:p>
    <w:p w:rsidR="00326BA5" w:rsidRDefault="00326BA5">
      <w:pPr>
        <w:spacing w:after="160"/>
        <w:rPr>
          <w:b/>
          <w:sz w:val="24"/>
          <w:szCs w:val="24"/>
        </w:rPr>
      </w:pPr>
    </w:p>
    <w:p w:rsidR="00326BA5" w:rsidRDefault="00326BA5">
      <w:pPr>
        <w:spacing w:after="160"/>
        <w:rPr>
          <w:b/>
          <w:sz w:val="24"/>
          <w:szCs w:val="24"/>
        </w:rPr>
      </w:pPr>
    </w:p>
    <w:p w:rsidR="00326BA5" w:rsidRDefault="00326BA5">
      <w:pPr>
        <w:spacing w:after="160"/>
        <w:rPr>
          <w:b/>
          <w:sz w:val="24"/>
          <w:szCs w:val="24"/>
        </w:rPr>
      </w:pPr>
    </w:p>
    <w:p w:rsidR="00326BA5" w:rsidRDefault="00326BA5">
      <w:pPr>
        <w:spacing w:after="160"/>
        <w:rPr>
          <w:b/>
          <w:sz w:val="24"/>
          <w:szCs w:val="24"/>
        </w:rPr>
      </w:pPr>
    </w:p>
    <w:p w:rsidR="00326BA5" w:rsidRDefault="00326BA5">
      <w:pPr>
        <w:spacing w:after="160"/>
        <w:rPr>
          <w:b/>
          <w:sz w:val="24"/>
          <w:szCs w:val="24"/>
        </w:rPr>
      </w:pPr>
    </w:p>
    <w:p w:rsidR="00326BA5" w:rsidRDefault="00326BA5">
      <w:pPr>
        <w:spacing w:after="160"/>
        <w:rPr>
          <w:b/>
          <w:sz w:val="24"/>
          <w:szCs w:val="24"/>
        </w:rPr>
      </w:pPr>
    </w:p>
    <w:p w:rsidR="00326BA5" w:rsidRDefault="00326BA5">
      <w:pPr>
        <w:spacing w:after="160"/>
        <w:rPr>
          <w:b/>
          <w:sz w:val="24"/>
          <w:szCs w:val="24"/>
        </w:rPr>
      </w:pPr>
    </w:p>
    <w:p w:rsidR="00326BA5" w:rsidRDefault="00326BA5">
      <w:pPr>
        <w:spacing w:after="160"/>
        <w:rPr>
          <w:b/>
          <w:sz w:val="24"/>
          <w:szCs w:val="24"/>
        </w:rPr>
      </w:pPr>
    </w:p>
    <w:p w:rsidR="00326BA5" w:rsidRDefault="00326BA5">
      <w:pPr>
        <w:spacing w:after="160"/>
        <w:rPr>
          <w:b/>
          <w:sz w:val="24"/>
          <w:szCs w:val="24"/>
        </w:rPr>
      </w:pPr>
    </w:p>
    <w:p w:rsidR="00326BA5" w:rsidRDefault="00326BA5">
      <w:pPr>
        <w:spacing w:after="160"/>
        <w:rPr>
          <w:b/>
          <w:sz w:val="24"/>
          <w:szCs w:val="24"/>
        </w:rPr>
      </w:pPr>
    </w:p>
    <w:p w:rsidR="00326BA5" w:rsidRDefault="00F463F1">
      <w:pPr>
        <w:spacing w:after="160"/>
        <w:jc w:val="center"/>
        <w:rPr>
          <w:b/>
          <w:sz w:val="24"/>
          <w:szCs w:val="24"/>
        </w:rPr>
      </w:pPr>
      <w:r>
        <w:rPr>
          <w:b/>
          <w:sz w:val="24"/>
          <w:szCs w:val="24"/>
        </w:rPr>
        <w:t>PROYECTO DE LEY N°______ de 2025</w:t>
      </w:r>
    </w:p>
    <w:p w:rsidR="00326BA5" w:rsidRDefault="00F463F1">
      <w:pPr>
        <w:spacing w:after="200"/>
        <w:jc w:val="center"/>
        <w:rPr>
          <w:b/>
          <w:i/>
          <w:sz w:val="24"/>
          <w:szCs w:val="24"/>
        </w:rPr>
      </w:pPr>
      <w:r>
        <w:rPr>
          <w:b/>
          <w:i/>
          <w:sz w:val="24"/>
          <w:szCs w:val="24"/>
        </w:rPr>
        <w:t>“Por medio de la cual se crean medidas para el cumplimiento de las obligaciones tributarias no pagadas y se dictan otras disposiciones”</w:t>
      </w:r>
    </w:p>
    <w:p w:rsidR="00326BA5" w:rsidRDefault="00326BA5">
      <w:pPr>
        <w:spacing w:after="200"/>
        <w:jc w:val="both"/>
        <w:rPr>
          <w:b/>
          <w:sz w:val="24"/>
          <w:szCs w:val="24"/>
        </w:rPr>
      </w:pPr>
    </w:p>
    <w:p w:rsidR="00326BA5" w:rsidRDefault="00F463F1">
      <w:pPr>
        <w:spacing w:after="200"/>
        <w:jc w:val="center"/>
        <w:rPr>
          <w:b/>
          <w:sz w:val="24"/>
          <w:szCs w:val="24"/>
        </w:rPr>
      </w:pPr>
      <w:r>
        <w:rPr>
          <w:b/>
          <w:sz w:val="24"/>
          <w:szCs w:val="24"/>
        </w:rPr>
        <w:t>EXPOSICIÓN DE MOTIVOS</w:t>
      </w:r>
    </w:p>
    <w:p w:rsidR="00326BA5" w:rsidRDefault="00F463F1">
      <w:pPr>
        <w:numPr>
          <w:ilvl w:val="0"/>
          <w:numId w:val="2"/>
        </w:numPr>
        <w:spacing w:after="200"/>
        <w:jc w:val="both"/>
        <w:rPr>
          <w:b/>
          <w:sz w:val="24"/>
          <w:szCs w:val="24"/>
        </w:rPr>
      </w:pPr>
      <w:r>
        <w:rPr>
          <w:b/>
          <w:sz w:val="24"/>
          <w:szCs w:val="24"/>
        </w:rPr>
        <w:t>ANTECEDENTES</w:t>
      </w:r>
    </w:p>
    <w:p w:rsidR="00326BA5" w:rsidRDefault="00F463F1">
      <w:pPr>
        <w:spacing w:after="200"/>
        <w:jc w:val="both"/>
        <w:rPr>
          <w:sz w:val="24"/>
          <w:szCs w:val="24"/>
        </w:rPr>
      </w:pPr>
      <w:r>
        <w:rPr>
          <w:b/>
          <w:sz w:val="24"/>
          <w:szCs w:val="24"/>
        </w:rPr>
        <w:t xml:space="preserve">Antecedentes de amnistías tributarias </w:t>
      </w:r>
    </w:p>
    <w:p w:rsidR="00326BA5" w:rsidRDefault="00F463F1">
      <w:pPr>
        <w:spacing w:after="200"/>
        <w:jc w:val="both"/>
        <w:rPr>
          <w:sz w:val="24"/>
          <w:szCs w:val="24"/>
        </w:rPr>
      </w:pPr>
      <w:r>
        <w:rPr>
          <w:sz w:val="24"/>
          <w:szCs w:val="24"/>
        </w:rPr>
        <w:t>De acuerdo con la jurisprudencia confirmada p</w:t>
      </w:r>
      <w:r>
        <w:rPr>
          <w:sz w:val="24"/>
          <w:szCs w:val="24"/>
        </w:rPr>
        <w:t>or la Corte Constitucional en la Sentencia C-833 de 2013, se está frente a una amnistía tributaria cuando, ante el incumplimiento de obligaciones tributarias, se aplican medidas ya sea para condonar, de manera total o parcial, dicha obligación, o bien para</w:t>
      </w:r>
      <w:r>
        <w:rPr>
          <w:sz w:val="24"/>
          <w:szCs w:val="24"/>
        </w:rPr>
        <w:t xml:space="preserve"> inhibir o atenuar las consecuencias adversas (investigaciones, liquidaciones, sanciones), derivadas de tal incumplimiento.</w:t>
      </w:r>
    </w:p>
    <w:p w:rsidR="00326BA5" w:rsidRDefault="00F463F1">
      <w:pPr>
        <w:spacing w:after="200"/>
        <w:jc w:val="both"/>
        <w:rPr>
          <w:sz w:val="24"/>
          <w:szCs w:val="24"/>
        </w:rPr>
      </w:pPr>
      <w:r>
        <w:rPr>
          <w:sz w:val="24"/>
          <w:szCs w:val="24"/>
        </w:rPr>
        <w:t>Las medidas de amnistía se implementan como una herramienta de política fiscal necesaria y adecuada para enfrentar y superar circuns</w:t>
      </w:r>
      <w:r>
        <w:rPr>
          <w:sz w:val="24"/>
          <w:szCs w:val="24"/>
        </w:rPr>
        <w:t>tancias excepcionales, y para compensar la afectación de los principios de igualdad, equidad y justicia tributaria. Para garantizar la precisión jurídica requerida, y basándose en la correspondiente línea jurisprudencial, la misma providencia identificó co</w:t>
      </w:r>
      <w:r>
        <w:rPr>
          <w:sz w:val="24"/>
          <w:szCs w:val="24"/>
        </w:rPr>
        <w:t>mo constitucionalmente aceptables los siguientes tipos de amnistía:</w:t>
      </w:r>
    </w:p>
    <w:p w:rsidR="00326BA5" w:rsidRDefault="00F463F1">
      <w:pPr>
        <w:numPr>
          <w:ilvl w:val="0"/>
          <w:numId w:val="3"/>
        </w:numPr>
        <w:spacing w:after="200"/>
        <w:jc w:val="both"/>
        <w:rPr>
          <w:sz w:val="24"/>
          <w:szCs w:val="24"/>
        </w:rPr>
      </w:pPr>
      <w:r>
        <w:rPr>
          <w:sz w:val="24"/>
          <w:szCs w:val="24"/>
        </w:rPr>
        <w:t>Aquellas que responden a una coyuntura específica mediante estímulos tributarios para quienes se dedican a una actividad económica en situación de crisis (C-260 de 1993).</w:t>
      </w:r>
    </w:p>
    <w:p w:rsidR="00326BA5" w:rsidRDefault="00F463F1">
      <w:pPr>
        <w:numPr>
          <w:ilvl w:val="0"/>
          <w:numId w:val="3"/>
        </w:numPr>
        <w:spacing w:after="200"/>
        <w:jc w:val="both"/>
        <w:rPr>
          <w:sz w:val="24"/>
          <w:szCs w:val="24"/>
        </w:rPr>
      </w:pPr>
      <w:r>
        <w:rPr>
          <w:sz w:val="24"/>
          <w:szCs w:val="24"/>
        </w:rPr>
        <w:t>Aquellas que aliv</w:t>
      </w:r>
      <w:r>
        <w:rPr>
          <w:sz w:val="24"/>
          <w:szCs w:val="24"/>
        </w:rPr>
        <w:t>ian la situación de los deudores morosos sin implicar un tratamiento fiscal más favorable que el otorgado a los contribuyentes cumplidos (C-823 de 2004).</w:t>
      </w:r>
    </w:p>
    <w:p w:rsidR="00326BA5" w:rsidRDefault="00F463F1">
      <w:pPr>
        <w:numPr>
          <w:ilvl w:val="0"/>
          <w:numId w:val="3"/>
        </w:numPr>
        <w:spacing w:after="200"/>
        <w:jc w:val="both"/>
        <w:rPr>
          <w:sz w:val="24"/>
          <w:szCs w:val="24"/>
        </w:rPr>
      </w:pPr>
      <w:r>
        <w:rPr>
          <w:sz w:val="24"/>
          <w:szCs w:val="24"/>
        </w:rPr>
        <w:t>Aquellas que facilitan la inclusión de activos omitidos o pasivos inexistentes, pero sometiéndolos a u</w:t>
      </w:r>
      <w:r>
        <w:rPr>
          <w:sz w:val="24"/>
          <w:szCs w:val="24"/>
        </w:rPr>
        <w:t xml:space="preserve">n régimen más gravoso del que sería aplicable en caso de haber sido declarados oportunamente y sin renunciar a la aplicación de sanciones (C-910 de 2004). </w:t>
      </w:r>
    </w:p>
    <w:p w:rsidR="00326BA5" w:rsidRDefault="00F463F1">
      <w:pPr>
        <w:spacing w:after="200"/>
        <w:jc w:val="both"/>
        <w:rPr>
          <w:sz w:val="24"/>
          <w:szCs w:val="24"/>
        </w:rPr>
      </w:pPr>
      <w:r>
        <w:rPr>
          <w:sz w:val="24"/>
          <w:szCs w:val="24"/>
        </w:rPr>
        <w:t>Así mismo, enumeró los grupos de amnistías que no se ajustaban a los parámetros constitucionales, en</w:t>
      </w:r>
      <w:r>
        <w:rPr>
          <w:sz w:val="24"/>
          <w:szCs w:val="24"/>
        </w:rPr>
        <w:t xml:space="preserve"> los cuales se encuentra:</w:t>
      </w:r>
    </w:p>
    <w:p w:rsidR="00326BA5" w:rsidRDefault="00F463F1">
      <w:pPr>
        <w:numPr>
          <w:ilvl w:val="0"/>
          <w:numId w:val="5"/>
        </w:numPr>
        <w:spacing w:after="200"/>
        <w:jc w:val="both"/>
        <w:rPr>
          <w:sz w:val="24"/>
          <w:szCs w:val="24"/>
        </w:rPr>
      </w:pPr>
      <w:r>
        <w:rPr>
          <w:sz w:val="24"/>
          <w:szCs w:val="24"/>
        </w:rPr>
        <w:t>Las no fundadas en situaciones excepcionales específicas y que benefician indiscriminadamente a quienes han faltado a sus obligaciones tributarias (por no declarar todos sus bienes o no pagar a tiempo los impuestos), a través de u</w:t>
      </w:r>
      <w:r>
        <w:rPr>
          <w:sz w:val="24"/>
          <w:szCs w:val="24"/>
        </w:rPr>
        <w:t>n tratamiento más benigno del que se dispensa a los contribuyentes cumplidos (sentencias C-511 de 1996, C-992 de 2001 y C-114 de 2003).</w:t>
      </w:r>
    </w:p>
    <w:p w:rsidR="00326BA5" w:rsidRDefault="00F463F1">
      <w:pPr>
        <w:spacing w:after="200"/>
        <w:jc w:val="both"/>
        <w:rPr>
          <w:sz w:val="24"/>
          <w:szCs w:val="24"/>
        </w:rPr>
      </w:pPr>
      <w:r>
        <w:rPr>
          <w:sz w:val="24"/>
          <w:szCs w:val="24"/>
        </w:rPr>
        <w:t>De la línea jurisprudencial frente a la aplicación de amnistías tributarias señalada en la sentencia C-833 de 2013, se p</w:t>
      </w:r>
      <w:r>
        <w:rPr>
          <w:sz w:val="24"/>
          <w:szCs w:val="24"/>
        </w:rPr>
        <w:t>uede concluir que, para qué puedan incluirse este tipo de mecanismos dentro de un proyecto de ley, es necesario que se funde en una situación excepcional.</w:t>
      </w:r>
    </w:p>
    <w:p w:rsidR="00326BA5" w:rsidRDefault="00F463F1">
      <w:pPr>
        <w:spacing w:after="200"/>
        <w:jc w:val="both"/>
        <w:rPr>
          <w:sz w:val="24"/>
          <w:szCs w:val="24"/>
        </w:rPr>
      </w:pPr>
      <w:r>
        <w:rPr>
          <w:sz w:val="24"/>
          <w:szCs w:val="24"/>
        </w:rPr>
        <w:t>Teniendo claridad sobre lo anterior, para el desarrollo del presente documento se identificaron las r</w:t>
      </w:r>
      <w:r>
        <w:rPr>
          <w:sz w:val="24"/>
          <w:szCs w:val="24"/>
        </w:rPr>
        <w:t xml:space="preserve">eformas tributarias aprobadas a los gobiernos entre el 2010 y el 2024. </w:t>
      </w:r>
      <w:r>
        <w:rPr>
          <w:sz w:val="24"/>
          <w:szCs w:val="24"/>
        </w:rPr>
        <w:lastRenderedPageBreak/>
        <w:t xml:space="preserve">De la revisión, se identificaron siete reformas tributarias de las cuales en tres se introdujeron amnistías tributarias, a saber: </w:t>
      </w:r>
    </w:p>
    <w:tbl>
      <w:tblPr>
        <w:tblStyle w:val="a4"/>
        <w:tblW w:w="95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05"/>
        <w:gridCol w:w="1215"/>
        <w:gridCol w:w="7305"/>
      </w:tblGrid>
      <w:tr w:rsidR="00326BA5">
        <w:trPr>
          <w:trHeight w:val="495"/>
        </w:trPr>
        <w:tc>
          <w:tcPr>
            <w:tcW w:w="9525" w:type="dxa"/>
            <w:gridSpan w:val="3"/>
            <w:shd w:val="clear" w:color="auto" w:fill="D0E0E3"/>
            <w:tcMar>
              <w:top w:w="40" w:type="dxa"/>
              <w:left w:w="40" w:type="dxa"/>
              <w:bottom w:w="40" w:type="dxa"/>
              <w:right w:w="40" w:type="dxa"/>
            </w:tcMar>
          </w:tcPr>
          <w:p w:rsidR="00326BA5" w:rsidRDefault="00F463F1">
            <w:pPr>
              <w:spacing w:after="200"/>
              <w:jc w:val="center"/>
              <w:rPr>
                <w:b/>
                <w:sz w:val="24"/>
                <w:szCs w:val="24"/>
              </w:rPr>
            </w:pPr>
            <w:r>
              <w:rPr>
                <w:b/>
                <w:sz w:val="24"/>
                <w:szCs w:val="24"/>
              </w:rPr>
              <w:t>Reformas Tributarias 2010-2024</w:t>
            </w:r>
          </w:p>
        </w:tc>
      </w:tr>
      <w:tr w:rsidR="00326BA5">
        <w:trPr>
          <w:trHeight w:val="315"/>
        </w:trPr>
        <w:tc>
          <w:tcPr>
            <w:tcW w:w="1005" w:type="dxa"/>
            <w:shd w:val="clear" w:color="auto" w:fill="D0E0E3"/>
            <w:tcMar>
              <w:top w:w="40" w:type="dxa"/>
              <w:left w:w="40" w:type="dxa"/>
              <w:bottom w:w="40" w:type="dxa"/>
              <w:right w:w="40" w:type="dxa"/>
            </w:tcMar>
          </w:tcPr>
          <w:p w:rsidR="00326BA5" w:rsidRDefault="00F463F1">
            <w:pPr>
              <w:spacing w:after="200"/>
              <w:jc w:val="center"/>
              <w:rPr>
                <w:b/>
                <w:sz w:val="24"/>
                <w:szCs w:val="24"/>
              </w:rPr>
            </w:pPr>
            <w:r>
              <w:rPr>
                <w:b/>
                <w:sz w:val="24"/>
                <w:szCs w:val="24"/>
              </w:rPr>
              <w:t>Ley</w:t>
            </w:r>
          </w:p>
        </w:tc>
        <w:tc>
          <w:tcPr>
            <w:tcW w:w="1215" w:type="dxa"/>
            <w:shd w:val="clear" w:color="auto" w:fill="D0E0E3"/>
            <w:tcMar>
              <w:top w:w="40" w:type="dxa"/>
              <w:left w:w="40" w:type="dxa"/>
              <w:bottom w:w="40" w:type="dxa"/>
              <w:right w:w="40" w:type="dxa"/>
            </w:tcMar>
          </w:tcPr>
          <w:p w:rsidR="00326BA5" w:rsidRDefault="00F463F1">
            <w:pPr>
              <w:spacing w:after="200"/>
              <w:jc w:val="center"/>
              <w:rPr>
                <w:b/>
                <w:sz w:val="24"/>
                <w:szCs w:val="24"/>
              </w:rPr>
            </w:pPr>
            <w:r>
              <w:rPr>
                <w:b/>
                <w:sz w:val="24"/>
                <w:szCs w:val="24"/>
              </w:rPr>
              <w:t>Año</w:t>
            </w:r>
          </w:p>
        </w:tc>
        <w:tc>
          <w:tcPr>
            <w:tcW w:w="7305" w:type="dxa"/>
            <w:shd w:val="clear" w:color="auto" w:fill="D0E0E3"/>
            <w:tcMar>
              <w:top w:w="40" w:type="dxa"/>
              <w:left w:w="40" w:type="dxa"/>
              <w:bottom w:w="40" w:type="dxa"/>
              <w:right w:w="40" w:type="dxa"/>
            </w:tcMar>
          </w:tcPr>
          <w:p w:rsidR="00326BA5" w:rsidRDefault="00F463F1">
            <w:pPr>
              <w:spacing w:after="200"/>
              <w:jc w:val="center"/>
              <w:rPr>
                <w:b/>
                <w:sz w:val="24"/>
                <w:szCs w:val="24"/>
              </w:rPr>
            </w:pPr>
            <w:r>
              <w:rPr>
                <w:b/>
                <w:sz w:val="24"/>
                <w:szCs w:val="24"/>
              </w:rPr>
              <w:t>Artículo</w:t>
            </w:r>
          </w:p>
        </w:tc>
      </w:tr>
      <w:tr w:rsidR="00326BA5">
        <w:trPr>
          <w:trHeight w:val="540"/>
        </w:trPr>
        <w:tc>
          <w:tcPr>
            <w:tcW w:w="1005" w:type="dxa"/>
            <w:shd w:val="clear" w:color="auto" w:fill="auto"/>
            <w:tcMar>
              <w:top w:w="40" w:type="dxa"/>
              <w:left w:w="40" w:type="dxa"/>
              <w:bottom w:w="40" w:type="dxa"/>
              <w:right w:w="40" w:type="dxa"/>
            </w:tcMar>
          </w:tcPr>
          <w:p w:rsidR="00326BA5" w:rsidRDefault="00F463F1">
            <w:pPr>
              <w:spacing w:after="200"/>
              <w:jc w:val="center"/>
              <w:rPr>
                <w:b/>
                <w:sz w:val="24"/>
                <w:szCs w:val="24"/>
              </w:rPr>
            </w:pPr>
            <w:r>
              <w:rPr>
                <w:b/>
                <w:sz w:val="24"/>
                <w:szCs w:val="24"/>
              </w:rPr>
              <w:t>1430</w:t>
            </w:r>
          </w:p>
        </w:tc>
        <w:tc>
          <w:tcPr>
            <w:tcW w:w="1215" w:type="dxa"/>
            <w:shd w:val="clear" w:color="auto" w:fill="auto"/>
            <w:tcMar>
              <w:top w:w="40" w:type="dxa"/>
              <w:left w:w="40" w:type="dxa"/>
              <w:bottom w:w="40" w:type="dxa"/>
              <w:right w:w="40" w:type="dxa"/>
            </w:tcMar>
          </w:tcPr>
          <w:p w:rsidR="00326BA5" w:rsidRDefault="00F463F1">
            <w:pPr>
              <w:spacing w:after="200"/>
              <w:jc w:val="center"/>
              <w:rPr>
                <w:b/>
                <w:sz w:val="24"/>
                <w:szCs w:val="24"/>
              </w:rPr>
            </w:pPr>
            <w:r>
              <w:rPr>
                <w:b/>
                <w:sz w:val="24"/>
                <w:szCs w:val="24"/>
              </w:rPr>
              <w:t>2010</w:t>
            </w:r>
          </w:p>
        </w:tc>
        <w:tc>
          <w:tcPr>
            <w:tcW w:w="7305" w:type="dxa"/>
            <w:shd w:val="clear" w:color="auto" w:fill="auto"/>
            <w:tcMar>
              <w:top w:w="40" w:type="dxa"/>
              <w:left w:w="40" w:type="dxa"/>
              <w:bottom w:w="40" w:type="dxa"/>
              <w:right w:w="40" w:type="dxa"/>
            </w:tcMar>
          </w:tcPr>
          <w:p w:rsidR="00326BA5" w:rsidRDefault="00F463F1">
            <w:pPr>
              <w:spacing w:after="200"/>
              <w:jc w:val="both"/>
              <w:rPr>
                <w:sz w:val="24"/>
                <w:szCs w:val="24"/>
              </w:rPr>
            </w:pPr>
            <w:r>
              <w:rPr>
                <w:b/>
                <w:sz w:val="24"/>
                <w:szCs w:val="24"/>
              </w:rPr>
              <w:t>Artículo 48.</w:t>
            </w:r>
            <w:r>
              <w:rPr>
                <w:sz w:val="24"/>
                <w:szCs w:val="24"/>
              </w:rPr>
              <w:t xml:space="preserve"> Condición especial para el pago de impuestos, tasas y contribuciones.</w:t>
            </w:r>
          </w:p>
        </w:tc>
      </w:tr>
      <w:tr w:rsidR="00326BA5">
        <w:trPr>
          <w:trHeight w:val="795"/>
        </w:trPr>
        <w:tc>
          <w:tcPr>
            <w:tcW w:w="1005" w:type="dxa"/>
            <w:shd w:val="clear" w:color="auto" w:fill="auto"/>
            <w:tcMar>
              <w:top w:w="40" w:type="dxa"/>
              <w:left w:w="40" w:type="dxa"/>
              <w:bottom w:w="40" w:type="dxa"/>
              <w:right w:w="40" w:type="dxa"/>
            </w:tcMar>
          </w:tcPr>
          <w:p w:rsidR="00326BA5" w:rsidRDefault="00F463F1">
            <w:pPr>
              <w:spacing w:after="200"/>
              <w:jc w:val="center"/>
              <w:rPr>
                <w:b/>
                <w:sz w:val="24"/>
                <w:szCs w:val="24"/>
              </w:rPr>
            </w:pPr>
            <w:r>
              <w:rPr>
                <w:b/>
                <w:sz w:val="24"/>
                <w:szCs w:val="24"/>
              </w:rPr>
              <w:t>1607</w:t>
            </w:r>
          </w:p>
        </w:tc>
        <w:tc>
          <w:tcPr>
            <w:tcW w:w="1215" w:type="dxa"/>
            <w:shd w:val="clear" w:color="auto" w:fill="auto"/>
            <w:tcMar>
              <w:top w:w="40" w:type="dxa"/>
              <w:left w:w="40" w:type="dxa"/>
              <w:bottom w:w="40" w:type="dxa"/>
              <w:right w:w="40" w:type="dxa"/>
            </w:tcMar>
          </w:tcPr>
          <w:p w:rsidR="00326BA5" w:rsidRDefault="00F463F1">
            <w:pPr>
              <w:spacing w:after="200"/>
              <w:jc w:val="center"/>
              <w:rPr>
                <w:b/>
                <w:sz w:val="24"/>
                <w:szCs w:val="24"/>
              </w:rPr>
            </w:pPr>
            <w:r>
              <w:rPr>
                <w:b/>
                <w:sz w:val="24"/>
                <w:szCs w:val="24"/>
              </w:rPr>
              <w:t>2012</w:t>
            </w:r>
          </w:p>
        </w:tc>
        <w:tc>
          <w:tcPr>
            <w:tcW w:w="7305" w:type="dxa"/>
            <w:shd w:val="clear" w:color="auto" w:fill="auto"/>
            <w:tcMar>
              <w:top w:w="40" w:type="dxa"/>
              <w:left w:w="40" w:type="dxa"/>
              <w:bottom w:w="40" w:type="dxa"/>
              <w:right w:w="40" w:type="dxa"/>
            </w:tcMar>
          </w:tcPr>
          <w:p w:rsidR="00326BA5" w:rsidRDefault="00F463F1">
            <w:pPr>
              <w:spacing w:after="200"/>
              <w:jc w:val="both"/>
              <w:rPr>
                <w:sz w:val="24"/>
                <w:szCs w:val="24"/>
              </w:rPr>
            </w:pPr>
            <w:r>
              <w:rPr>
                <w:b/>
                <w:sz w:val="24"/>
                <w:szCs w:val="24"/>
              </w:rPr>
              <w:t>Artículo 149</w:t>
            </w:r>
            <w:r>
              <w:rPr>
                <w:sz w:val="24"/>
                <w:szCs w:val="24"/>
              </w:rPr>
              <w:t>.Condición especial para el pago de impuestos, tasas y contribuciones.</w:t>
            </w:r>
          </w:p>
        </w:tc>
      </w:tr>
      <w:tr w:rsidR="00326BA5">
        <w:trPr>
          <w:trHeight w:val="1320"/>
        </w:trPr>
        <w:tc>
          <w:tcPr>
            <w:tcW w:w="1005" w:type="dxa"/>
            <w:shd w:val="clear" w:color="auto" w:fill="auto"/>
            <w:tcMar>
              <w:top w:w="40" w:type="dxa"/>
              <w:left w:w="40" w:type="dxa"/>
              <w:bottom w:w="40" w:type="dxa"/>
              <w:right w:w="40" w:type="dxa"/>
            </w:tcMar>
          </w:tcPr>
          <w:p w:rsidR="00326BA5" w:rsidRDefault="00F463F1">
            <w:pPr>
              <w:spacing w:after="200"/>
              <w:jc w:val="center"/>
              <w:rPr>
                <w:b/>
                <w:sz w:val="24"/>
                <w:szCs w:val="24"/>
              </w:rPr>
            </w:pPr>
            <w:r>
              <w:rPr>
                <w:b/>
                <w:sz w:val="24"/>
                <w:szCs w:val="24"/>
              </w:rPr>
              <w:t>1739</w:t>
            </w:r>
          </w:p>
        </w:tc>
        <w:tc>
          <w:tcPr>
            <w:tcW w:w="1215" w:type="dxa"/>
            <w:shd w:val="clear" w:color="auto" w:fill="auto"/>
            <w:tcMar>
              <w:top w:w="40" w:type="dxa"/>
              <w:left w:w="40" w:type="dxa"/>
              <w:bottom w:w="40" w:type="dxa"/>
              <w:right w:w="40" w:type="dxa"/>
            </w:tcMar>
          </w:tcPr>
          <w:p w:rsidR="00326BA5" w:rsidRDefault="00F463F1">
            <w:pPr>
              <w:spacing w:after="200"/>
              <w:jc w:val="center"/>
              <w:rPr>
                <w:b/>
                <w:sz w:val="24"/>
                <w:szCs w:val="24"/>
              </w:rPr>
            </w:pPr>
            <w:r>
              <w:rPr>
                <w:b/>
                <w:sz w:val="24"/>
                <w:szCs w:val="24"/>
              </w:rPr>
              <w:t>2014</w:t>
            </w:r>
          </w:p>
        </w:tc>
        <w:tc>
          <w:tcPr>
            <w:tcW w:w="7305" w:type="dxa"/>
            <w:shd w:val="clear" w:color="auto" w:fill="auto"/>
            <w:tcMar>
              <w:top w:w="40" w:type="dxa"/>
              <w:left w:w="40" w:type="dxa"/>
              <w:bottom w:w="40" w:type="dxa"/>
              <w:right w:w="40" w:type="dxa"/>
            </w:tcMar>
          </w:tcPr>
          <w:p w:rsidR="00326BA5" w:rsidRDefault="00F463F1">
            <w:pPr>
              <w:spacing w:after="200"/>
              <w:jc w:val="both"/>
              <w:rPr>
                <w:sz w:val="24"/>
                <w:szCs w:val="24"/>
              </w:rPr>
            </w:pPr>
            <w:r>
              <w:rPr>
                <w:b/>
                <w:sz w:val="24"/>
                <w:szCs w:val="24"/>
              </w:rPr>
              <w:t>Artículo 57</w:t>
            </w:r>
            <w:r>
              <w:rPr>
                <w:sz w:val="24"/>
                <w:szCs w:val="24"/>
              </w:rPr>
              <w:t>. Condición especial para el pago de impuestos, tasas y contribuciones, tributos aduaneros y sanciones</w:t>
            </w:r>
            <w:r>
              <w:rPr>
                <w:sz w:val="24"/>
                <w:szCs w:val="24"/>
              </w:rPr>
              <w:br/>
            </w:r>
            <w:r>
              <w:rPr>
                <w:sz w:val="24"/>
                <w:szCs w:val="24"/>
              </w:rPr>
              <w:br/>
            </w:r>
            <w:r>
              <w:rPr>
                <w:b/>
                <w:sz w:val="24"/>
                <w:szCs w:val="24"/>
              </w:rPr>
              <w:t>Artículo 58</w:t>
            </w:r>
            <w:r>
              <w:rPr>
                <w:sz w:val="24"/>
                <w:szCs w:val="24"/>
              </w:rPr>
              <w:t>. Condición especial para el pago de impuestos, tasas y contribuciones a cargo de los municipios</w:t>
            </w:r>
          </w:p>
        </w:tc>
      </w:tr>
      <w:tr w:rsidR="00326BA5">
        <w:trPr>
          <w:trHeight w:val="315"/>
        </w:trPr>
        <w:tc>
          <w:tcPr>
            <w:tcW w:w="1005" w:type="dxa"/>
            <w:shd w:val="clear" w:color="auto" w:fill="auto"/>
            <w:tcMar>
              <w:top w:w="40" w:type="dxa"/>
              <w:left w:w="40" w:type="dxa"/>
              <w:bottom w:w="40" w:type="dxa"/>
              <w:right w:w="40" w:type="dxa"/>
            </w:tcMar>
          </w:tcPr>
          <w:p w:rsidR="00326BA5" w:rsidRDefault="00F463F1">
            <w:pPr>
              <w:spacing w:after="200"/>
              <w:jc w:val="center"/>
              <w:rPr>
                <w:b/>
                <w:sz w:val="24"/>
                <w:szCs w:val="24"/>
              </w:rPr>
            </w:pPr>
            <w:r>
              <w:rPr>
                <w:b/>
                <w:sz w:val="24"/>
                <w:szCs w:val="24"/>
              </w:rPr>
              <w:t>1819</w:t>
            </w:r>
          </w:p>
        </w:tc>
        <w:tc>
          <w:tcPr>
            <w:tcW w:w="1215" w:type="dxa"/>
            <w:shd w:val="clear" w:color="auto" w:fill="auto"/>
            <w:tcMar>
              <w:top w:w="40" w:type="dxa"/>
              <w:left w:w="40" w:type="dxa"/>
              <w:bottom w:w="40" w:type="dxa"/>
              <w:right w:w="40" w:type="dxa"/>
            </w:tcMar>
          </w:tcPr>
          <w:p w:rsidR="00326BA5" w:rsidRDefault="00F463F1">
            <w:pPr>
              <w:spacing w:after="200"/>
              <w:jc w:val="center"/>
              <w:rPr>
                <w:b/>
                <w:sz w:val="24"/>
                <w:szCs w:val="24"/>
              </w:rPr>
            </w:pPr>
            <w:r>
              <w:rPr>
                <w:b/>
                <w:sz w:val="24"/>
                <w:szCs w:val="24"/>
              </w:rPr>
              <w:t>2016</w:t>
            </w:r>
          </w:p>
        </w:tc>
        <w:tc>
          <w:tcPr>
            <w:tcW w:w="7305" w:type="dxa"/>
            <w:shd w:val="clear" w:color="auto" w:fill="auto"/>
            <w:tcMar>
              <w:top w:w="40" w:type="dxa"/>
              <w:left w:w="40" w:type="dxa"/>
              <w:bottom w:w="40" w:type="dxa"/>
              <w:right w:w="40" w:type="dxa"/>
            </w:tcMar>
          </w:tcPr>
          <w:p w:rsidR="00326BA5" w:rsidRDefault="00F463F1">
            <w:pPr>
              <w:spacing w:after="200"/>
              <w:jc w:val="both"/>
              <w:rPr>
                <w:sz w:val="24"/>
                <w:szCs w:val="24"/>
              </w:rPr>
            </w:pPr>
            <w:r>
              <w:rPr>
                <w:sz w:val="24"/>
                <w:szCs w:val="24"/>
              </w:rPr>
              <w:t>N/A</w:t>
            </w:r>
          </w:p>
        </w:tc>
      </w:tr>
      <w:tr w:rsidR="00326BA5">
        <w:trPr>
          <w:trHeight w:val="315"/>
        </w:trPr>
        <w:tc>
          <w:tcPr>
            <w:tcW w:w="1005" w:type="dxa"/>
            <w:shd w:val="clear" w:color="auto" w:fill="auto"/>
            <w:tcMar>
              <w:top w:w="40" w:type="dxa"/>
              <w:left w:w="40" w:type="dxa"/>
              <w:bottom w:w="40" w:type="dxa"/>
              <w:right w:w="40" w:type="dxa"/>
            </w:tcMar>
          </w:tcPr>
          <w:p w:rsidR="00326BA5" w:rsidRDefault="00F463F1">
            <w:pPr>
              <w:spacing w:after="200"/>
              <w:jc w:val="center"/>
              <w:rPr>
                <w:b/>
                <w:sz w:val="24"/>
                <w:szCs w:val="24"/>
              </w:rPr>
            </w:pPr>
            <w:r>
              <w:rPr>
                <w:b/>
                <w:sz w:val="24"/>
                <w:szCs w:val="24"/>
              </w:rPr>
              <w:t>2010</w:t>
            </w:r>
          </w:p>
        </w:tc>
        <w:tc>
          <w:tcPr>
            <w:tcW w:w="1215" w:type="dxa"/>
            <w:shd w:val="clear" w:color="auto" w:fill="auto"/>
            <w:tcMar>
              <w:top w:w="40" w:type="dxa"/>
              <w:left w:w="40" w:type="dxa"/>
              <w:bottom w:w="40" w:type="dxa"/>
              <w:right w:w="40" w:type="dxa"/>
            </w:tcMar>
          </w:tcPr>
          <w:p w:rsidR="00326BA5" w:rsidRDefault="00F463F1">
            <w:pPr>
              <w:spacing w:after="200"/>
              <w:jc w:val="center"/>
              <w:rPr>
                <w:b/>
                <w:sz w:val="24"/>
                <w:szCs w:val="24"/>
              </w:rPr>
            </w:pPr>
            <w:r>
              <w:rPr>
                <w:b/>
                <w:sz w:val="24"/>
                <w:szCs w:val="24"/>
              </w:rPr>
              <w:t>2019</w:t>
            </w:r>
          </w:p>
        </w:tc>
        <w:tc>
          <w:tcPr>
            <w:tcW w:w="7305" w:type="dxa"/>
            <w:shd w:val="clear" w:color="auto" w:fill="auto"/>
            <w:tcMar>
              <w:top w:w="40" w:type="dxa"/>
              <w:left w:w="40" w:type="dxa"/>
              <w:bottom w:w="40" w:type="dxa"/>
              <w:right w:w="40" w:type="dxa"/>
            </w:tcMar>
          </w:tcPr>
          <w:p w:rsidR="00326BA5" w:rsidRDefault="00F463F1">
            <w:pPr>
              <w:spacing w:after="200"/>
              <w:jc w:val="both"/>
              <w:rPr>
                <w:sz w:val="24"/>
                <w:szCs w:val="24"/>
              </w:rPr>
            </w:pPr>
            <w:r>
              <w:rPr>
                <w:sz w:val="24"/>
                <w:szCs w:val="24"/>
              </w:rPr>
              <w:t>N/A</w:t>
            </w:r>
          </w:p>
        </w:tc>
      </w:tr>
      <w:tr w:rsidR="00326BA5">
        <w:trPr>
          <w:trHeight w:val="1500"/>
        </w:trPr>
        <w:tc>
          <w:tcPr>
            <w:tcW w:w="1005" w:type="dxa"/>
            <w:shd w:val="clear" w:color="auto" w:fill="auto"/>
            <w:tcMar>
              <w:top w:w="40" w:type="dxa"/>
              <w:left w:w="40" w:type="dxa"/>
              <w:bottom w:w="40" w:type="dxa"/>
              <w:right w:w="40" w:type="dxa"/>
            </w:tcMar>
          </w:tcPr>
          <w:p w:rsidR="00326BA5" w:rsidRDefault="00F463F1">
            <w:pPr>
              <w:spacing w:after="200"/>
              <w:jc w:val="center"/>
              <w:rPr>
                <w:b/>
                <w:sz w:val="24"/>
                <w:szCs w:val="24"/>
              </w:rPr>
            </w:pPr>
            <w:r>
              <w:rPr>
                <w:b/>
                <w:sz w:val="24"/>
                <w:szCs w:val="24"/>
              </w:rPr>
              <w:t>2155</w:t>
            </w:r>
          </w:p>
        </w:tc>
        <w:tc>
          <w:tcPr>
            <w:tcW w:w="1215" w:type="dxa"/>
            <w:shd w:val="clear" w:color="auto" w:fill="auto"/>
            <w:tcMar>
              <w:top w:w="40" w:type="dxa"/>
              <w:left w:w="40" w:type="dxa"/>
              <w:bottom w:w="40" w:type="dxa"/>
              <w:right w:w="40" w:type="dxa"/>
            </w:tcMar>
          </w:tcPr>
          <w:p w:rsidR="00326BA5" w:rsidRDefault="00F463F1">
            <w:pPr>
              <w:spacing w:after="200"/>
              <w:jc w:val="center"/>
              <w:rPr>
                <w:b/>
                <w:sz w:val="24"/>
                <w:szCs w:val="24"/>
              </w:rPr>
            </w:pPr>
            <w:r>
              <w:rPr>
                <w:b/>
                <w:sz w:val="24"/>
                <w:szCs w:val="24"/>
              </w:rPr>
              <w:t>2021</w:t>
            </w:r>
          </w:p>
        </w:tc>
        <w:tc>
          <w:tcPr>
            <w:tcW w:w="7305" w:type="dxa"/>
            <w:shd w:val="clear" w:color="auto" w:fill="auto"/>
            <w:tcMar>
              <w:top w:w="40" w:type="dxa"/>
              <w:left w:w="40" w:type="dxa"/>
              <w:bottom w:w="40" w:type="dxa"/>
              <w:right w:w="40" w:type="dxa"/>
            </w:tcMar>
          </w:tcPr>
          <w:p w:rsidR="00326BA5" w:rsidRDefault="00F463F1">
            <w:pPr>
              <w:spacing w:after="200"/>
              <w:jc w:val="both"/>
              <w:rPr>
                <w:sz w:val="24"/>
                <w:szCs w:val="24"/>
              </w:rPr>
            </w:pPr>
            <w:r>
              <w:rPr>
                <w:b/>
                <w:sz w:val="24"/>
                <w:szCs w:val="24"/>
              </w:rPr>
              <w:t xml:space="preserve">Artículo 45. </w:t>
            </w:r>
            <w:r>
              <w:rPr>
                <w:sz w:val="24"/>
                <w:szCs w:val="24"/>
              </w:rPr>
              <w:t>Reducción transitoria de sanciones y de tasa de interés para los sujetos de obligaciones administradas por la DIAN así como respecto de los impuestos, tasas y contribuciones del orden territorial.</w:t>
            </w:r>
            <w:r>
              <w:rPr>
                <w:sz w:val="24"/>
                <w:szCs w:val="24"/>
              </w:rPr>
              <w:br/>
            </w:r>
            <w:r>
              <w:rPr>
                <w:sz w:val="24"/>
                <w:szCs w:val="24"/>
              </w:rPr>
              <w:br/>
            </w:r>
            <w:r>
              <w:rPr>
                <w:b/>
                <w:sz w:val="24"/>
                <w:szCs w:val="24"/>
              </w:rPr>
              <w:t xml:space="preserve">Artículo 47. </w:t>
            </w:r>
            <w:r>
              <w:rPr>
                <w:sz w:val="24"/>
                <w:szCs w:val="24"/>
              </w:rPr>
              <w:t>Terminación por mutuo acuerdo de</w:t>
            </w:r>
            <w:r>
              <w:rPr>
                <w:sz w:val="24"/>
                <w:szCs w:val="24"/>
              </w:rPr>
              <w:t xml:space="preserve"> los procesos administrativos tributarios, aduaneros y cambiarios.</w:t>
            </w:r>
          </w:p>
        </w:tc>
      </w:tr>
      <w:tr w:rsidR="00326BA5">
        <w:trPr>
          <w:trHeight w:val="1740"/>
        </w:trPr>
        <w:tc>
          <w:tcPr>
            <w:tcW w:w="1005" w:type="dxa"/>
            <w:shd w:val="clear" w:color="auto" w:fill="auto"/>
            <w:tcMar>
              <w:top w:w="40" w:type="dxa"/>
              <w:left w:w="40" w:type="dxa"/>
              <w:bottom w:w="40" w:type="dxa"/>
              <w:right w:w="40" w:type="dxa"/>
            </w:tcMar>
          </w:tcPr>
          <w:p w:rsidR="00326BA5" w:rsidRDefault="00F463F1">
            <w:pPr>
              <w:spacing w:after="200"/>
              <w:jc w:val="center"/>
              <w:rPr>
                <w:b/>
                <w:sz w:val="24"/>
                <w:szCs w:val="24"/>
              </w:rPr>
            </w:pPr>
            <w:r>
              <w:rPr>
                <w:b/>
                <w:sz w:val="24"/>
                <w:szCs w:val="24"/>
              </w:rPr>
              <w:t>2277</w:t>
            </w:r>
          </w:p>
        </w:tc>
        <w:tc>
          <w:tcPr>
            <w:tcW w:w="1215" w:type="dxa"/>
            <w:shd w:val="clear" w:color="auto" w:fill="auto"/>
            <w:tcMar>
              <w:top w:w="40" w:type="dxa"/>
              <w:left w:w="40" w:type="dxa"/>
              <w:bottom w:w="40" w:type="dxa"/>
              <w:right w:w="40" w:type="dxa"/>
            </w:tcMar>
          </w:tcPr>
          <w:p w:rsidR="00326BA5" w:rsidRDefault="00F463F1">
            <w:pPr>
              <w:spacing w:after="200"/>
              <w:jc w:val="center"/>
              <w:rPr>
                <w:b/>
                <w:sz w:val="24"/>
                <w:szCs w:val="24"/>
              </w:rPr>
            </w:pPr>
            <w:r>
              <w:rPr>
                <w:b/>
                <w:sz w:val="24"/>
                <w:szCs w:val="24"/>
              </w:rPr>
              <w:t>2022</w:t>
            </w:r>
          </w:p>
        </w:tc>
        <w:tc>
          <w:tcPr>
            <w:tcW w:w="7305" w:type="dxa"/>
            <w:shd w:val="clear" w:color="auto" w:fill="auto"/>
            <w:tcMar>
              <w:top w:w="40" w:type="dxa"/>
              <w:left w:w="40" w:type="dxa"/>
              <w:bottom w:w="40" w:type="dxa"/>
              <w:right w:w="40" w:type="dxa"/>
            </w:tcMar>
          </w:tcPr>
          <w:p w:rsidR="00326BA5" w:rsidRDefault="00F463F1">
            <w:pPr>
              <w:spacing w:after="200"/>
              <w:jc w:val="both"/>
              <w:rPr>
                <w:sz w:val="24"/>
                <w:szCs w:val="24"/>
              </w:rPr>
            </w:pPr>
            <w:r>
              <w:rPr>
                <w:b/>
                <w:sz w:val="24"/>
                <w:szCs w:val="24"/>
              </w:rPr>
              <w:t xml:space="preserve">Artículo 91. </w:t>
            </w:r>
            <w:r>
              <w:rPr>
                <w:sz w:val="24"/>
                <w:szCs w:val="24"/>
              </w:rPr>
              <w:t>Tasa de interés moratoria transitoria.</w:t>
            </w:r>
            <w:r>
              <w:rPr>
                <w:sz w:val="24"/>
                <w:szCs w:val="24"/>
              </w:rPr>
              <w:br/>
            </w:r>
            <w:r>
              <w:rPr>
                <w:sz w:val="24"/>
                <w:szCs w:val="24"/>
              </w:rPr>
              <w:br/>
            </w:r>
            <w:r>
              <w:rPr>
                <w:b/>
                <w:sz w:val="24"/>
                <w:szCs w:val="24"/>
              </w:rPr>
              <w:t>Artículo 92.</w:t>
            </w:r>
            <w:r>
              <w:rPr>
                <w:sz w:val="24"/>
                <w:szCs w:val="24"/>
              </w:rPr>
              <w:t xml:space="preserve"> Declaraciones de IVA sin efecto legal alguno.</w:t>
            </w:r>
            <w:r>
              <w:rPr>
                <w:sz w:val="24"/>
                <w:szCs w:val="24"/>
              </w:rPr>
              <w:br/>
            </w:r>
            <w:r>
              <w:rPr>
                <w:sz w:val="24"/>
                <w:szCs w:val="24"/>
              </w:rPr>
              <w:br/>
            </w:r>
            <w:r>
              <w:rPr>
                <w:b/>
                <w:sz w:val="24"/>
                <w:szCs w:val="24"/>
              </w:rPr>
              <w:t>Artículo 93</w:t>
            </w:r>
            <w:r>
              <w:rPr>
                <w:sz w:val="24"/>
                <w:szCs w:val="24"/>
              </w:rPr>
              <w:t>. Reducción transitoria de sanciones y de tasa de interés para omisos en la obligación de declarar de los impuestos administrados por la DIAN.</w:t>
            </w:r>
          </w:p>
        </w:tc>
      </w:tr>
    </w:tbl>
    <w:p w:rsidR="00326BA5" w:rsidRDefault="00326BA5">
      <w:pPr>
        <w:spacing w:after="200"/>
        <w:jc w:val="both"/>
        <w:rPr>
          <w:sz w:val="24"/>
          <w:szCs w:val="24"/>
        </w:rPr>
      </w:pPr>
    </w:p>
    <w:p w:rsidR="00326BA5" w:rsidRDefault="00F463F1">
      <w:pPr>
        <w:spacing w:after="200"/>
        <w:jc w:val="both"/>
        <w:rPr>
          <w:sz w:val="24"/>
          <w:szCs w:val="24"/>
        </w:rPr>
      </w:pPr>
      <w:r>
        <w:rPr>
          <w:sz w:val="24"/>
          <w:szCs w:val="24"/>
        </w:rPr>
        <w:t>Por considerarse de gran relevancia para la inclusión de amnistías tributarias las circunstancias extraordinarias por las que esté atravesando el país al momento de la aplicación del mecanismo, es necesario hacer una breve revisión del contexto macroeconóm</w:t>
      </w:r>
      <w:r>
        <w:rPr>
          <w:sz w:val="24"/>
          <w:szCs w:val="24"/>
        </w:rPr>
        <w:t>ico que atravesaba Colombia al momento de la expedición de cada una de las tres reformas tributarias en las que se aplicó, según se presenta en el cuadro anterior.</w:t>
      </w:r>
    </w:p>
    <w:p w:rsidR="00326BA5" w:rsidRDefault="00F463F1">
      <w:pPr>
        <w:numPr>
          <w:ilvl w:val="0"/>
          <w:numId w:val="6"/>
        </w:numPr>
        <w:spacing w:after="200"/>
        <w:jc w:val="both"/>
        <w:rPr>
          <w:sz w:val="24"/>
          <w:szCs w:val="24"/>
        </w:rPr>
      </w:pPr>
      <w:r>
        <w:rPr>
          <w:sz w:val="24"/>
          <w:szCs w:val="24"/>
        </w:rPr>
        <w:t xml:space="preserve"> </w:t>
      </w:r>
      <w:r>
        <w:rPr>
          <w:b/>
          <w:sz w:val="24"/>
          <w:szCs w:val="24"/>
        </w:rPr>
        <w:t>Ley 1430 de 2010</w:t>
      </w:r>
      <w:r>
        <w:rPr>
          <w:sz w:val="24"/>
          <w:szCs w:val="24"/>
        </w:rPr>
        <w:t>: El panorama económico de Colombia para el año 2009 no fue positivo. En en</w:t>
      </w:r>
      <w:r>
        <w:rPr>
          <w:sz w:val="24"/>
          <w:szCs w:val="24"/>
        </w:rPr>
        <w:t>ero de 2009, se proyectó que el déficit fiscal de Colombia sería del 3.2 por ciento del PIB. Sin embargo, a medida que avanzaban los meses, el deterioro de la economía mundial comenzó a impactar significativamente al país. Esto llevó al Gobierno colombiano</w:t>
      </w:r>
      <w:r>
        <w:rPr>
          <w:sz w:val="24"/>
          <w:szCs w:val="24"/>
        </w:rPr>
        <w:t xml:space="preserve"> a revisar al alza sus proyecciones deficitarias en marzo, primero a 3.7 por ciento y posteriormente a 4.1 por ciento del PIB. </w:t>
      </w:r>
      <w:r>
        <w:rPr>
          <w:sz w:val="24"/>
          <w:szCs w:val="24"/>
        </w:rPr>
        <w:lastRenderedPageBreak/>
        <w:t>Finalmente, la realidad superó incluso estas proyecciones, con el déficit fiscal alcanzando el 4.2 por ciento del PIB, según el C</w:t>
      </w:r>
      <w:r>
        <w:rPr>
          <w:sz w:val="24"/>
          <w:szCs w:val="24"/>
        </w:rPr>
        <w:t>onfis.</w:t>
      </w:r>
    </w:p>
    <w:p w:rsidR="00326BA5" w:rsidRDefault="00F463F1">
      <w:pPr>
        <w:spacing w:after="200"/>
        <w:ind w:left="720"/>
        <w:jc w:val="both"/>
        <w:rPr>
          <w:sz w:val="24"/>
          <w:szCs w:val="24"/>
        </w:rPr>
      </w:pPr>
      <w:r>
        <w:rPr>
          <w:sz w:val="24"/>
          <w:szCs w:val="24"/>
        </w:rPr>
        <w:t xml:space="preserve">La razón de este incremento es clara: los gastos superaron considerablemente a los ingresos. Mientras el Gobierno Nacional Central (GNC) logró ingresos totales equivalentes al 15.5 por ciento del PIB, los gastos aumentaron hasta representar el 19.7 </w:t>
      </w:r>
      <w:r>
        <w:rPr>
          <w:sz w:val="24"/>
          <w:szCs w:val="24"/>
        </w:rPr>
        <w:t>por ciento del PIB.</w:t>
      </w:r>
    </w:p>
    <w:p w:rsidR="00326BA5" w:rsidRDefault="00F463F1">
      <w:pPr>
        <w:spacing w:after="200"/>
        <w:ind w:left="720"/>
        <w:jc w:val="both"/>
        <w:rPr>
          <w:sz w:val="24"/>
          <w:szCs w:val="24"/>
        </w:rPr>
      </w:pPr>
      <w:r>
        <w:rPr>
          <w:sz w:val="24"/>
          <w:szCs w:val="24"/>
        </w:rPr>
        <w:t>Si bien en la exposición de motivos del proyecto de Ley no se presenta de manera expresa la crisis económica por la que estaba atravesando el país, la realidad, como se explicó, es que había una gran necesidad por parte del Gobierno Nac</w:t>
      </w:r>
      <w:r>
        <w:rPr>
          <w:sz w:val="24"/>
          <w:szCs w:val="24"/>
        </w:rPr>
        <w:t xml:space="preserve">ional de aumentar el recaudo y disminuir el déficit fiscal para los años llegadores, por lo que la introducción de amnistías tributarias eran un mecanismo idóneo. </w:t>
      </w:r>
    </w:p>
    <w:p w:rsidR="00326BA5" w:rsidRDefault="00F463F1">
      <w:pPr>
        <w:numPr>
          <w:ilvl w:val="0"/>
          <w:numId w:val="6"/>
        </w:numPr>
        <w:spacing w:after="200"/>
        <w:jc w:val="both"/>
        <w:rPr>
          <w:sz w:val="24"/>
          <w:szCs w:val="24"/>
        </w:rPr>
      </w:pPr>
      <w:r>
        <w:rPr>
          <w:b/>
          <w:sz w:val="24"/>
          <w:szCs w:val="24"/>
        </w:rPr>
        <w:t>Ley 1607 de 2012:</w:t>
      </w:r>
      <w:r>
        <w:rPr>
          <w:sz w:val="24"/>
          <w:szCs w:val="24"/>
        </w:rPr>
        <w:t xml:space="preserve"> En el año 2011, Colombia experimentaba una fase de recuperación económica </w:t>
      </w:r>
      <w:r>
        <w:rPr>
          <w:sz w:val="24"/>
          <w:szCs w:val="24"/>
        </w:rPr>
        <w:t>tras la crisis financiera global de 2008-2009. La economía mostró un crecimiento robusto, impulsado por sectores clave como la minería, el petróleo y la construcción. Este crecimiento económico se reflejó en un aumento del PIB del 6.6%, una de las tasas má</w:t>
      </w:r>
      <w:r>
        <w:rPr>
          <w:sz w:val="24"/>
          <w:szCs w:val="24"/>
        </w:rPr>
        <w:t>s altas de la región. Sin embargo, a pesar de este dinamismo, el país enfrentaba desafíos significativos en materia fiscal. El déficit fiscal continuaba siendo una preocupación central para el gobierno, aunque había mejorado en comparación con los peores a</w:t>
      </w:r>
      <w:r>
        <w:rPr>
          <w:sz w:val="24"/>
          <w:szCs w:val="24"/>
        </w:rPr>
        <w:t xml:space="preserve">ños de la crisis. El déficit se situó alrededor del 3.4% del PIB, lo que indicaba una necesidad persistente de consolidación fiscal para asegurar la sostenibilidad de las finanzas públicas. </w:t>
      </w:r>
    </w:p>
    <w:p w:rsidR="00326BA5" w:rsidRDefault="00F463F1">
      <w:pPr>
        <w:spacing w:after="200"/>
        <w:ind w:left="720"/>
        <w:jc w:val="both"/>
        <w:rPr>
          <w:sz w:val="24"/>
          <w:szCs w:val="24"/>
        </w:rPr>
      </w:pPr>
      <w:r>
        <w:rPr>
          <w:sz w:val="24"/>
          <w:szCs w:val="24"/>
        </w:rPr>
        <w:t>En términos fiscales, el gobierno colombiano se enfocó en mejorar</w:t>
      </w:r>
      <w:r>
        <w:rPr>
          <w:sz w:val="24"/>
          <w:szCs w:val="24"/>
        </w:rPr>
        <w:t xml:space="preserve"> la recaudación de impuestos y en la implementación de reformas estructurales para aumentar la eficiencia del gasto público. La administración liderada por el presidente Juan Manuel Santos lanzó diversas iniciativas para combatir la evasión fiscal y mejora</w:t>
      </w:r>
      <w:r>
        <w:rPr>
          <w:sz w:val="24"/>
          <w:szCs w:val="24"/>
        </w:rPr>
        <w:t>r la administración tributaria, buscando ampliar la base impositiva y reducir el déficit. A pesar de estos esfuerzos, el país aún dependía en gran medida de los ingresos provenientes del sector de hidrocarburos y minería, lo que planteaba riesgos para la e</w:t>
      </w:r>
      <w:r>
        <w:rPr>
          <w:sz w:val="24"/>
          <w:szCs w:val="24"/>
        </w:rPr>
        <w:t xml:space="preserve">stabilidad fiscal a largo plazo debido a la volatilidad de los precios de estos </w:t>
      </w:r>
      <w:r>
        <w:rPr>
          <w:i/>
          <w:sz w:val="24"/>
          <w:szCs w:val="24"/>
        </w:rPr>
        <w:t>commodities</w:t>
      </w:r>
      <w:r>
        <w:rPr>
          <w:sz w:val="24"/>
          <w:szCs w:val="24"/>
        </w:rPr>
        <w:t xml:space="preserve"> en los mercados internacionales.</w:t>
      </w:r>
    </w:p>
    <w:p w:rsidR="00326BA5" w:rsidRDefault="00F463F1">
      <w:pPr>
        <w:numPr>
          <w:ilvl w:val="0"/>
          <w:numId w:val="6"/>
        </w:numPr>
        <w:spacing w:after="200"/>
        <w:jc w:val="both"/>
        <w:rPr>
          <w:sz w:val="24"/>
          <w:szCs w:val="24"/>
        </w:rPr>
      </w:pPr>
      <w:r>
        <w:rPr>
          <w:b/>
          <w:sz w:val="24"/>
          <w:szCs w:val="24"/>
        </w:rPr>
        <w:t>Ley 1739 de 2014:</w:t>
      </w:r>
      <w:r>
        <w:rPr>
          <w:sz w:val="24"/>
          <w:szCs w:val="24"/>
        </w:rPr>
        <w:t xml:space="preserve"> El contexto económico previo a la aprobación de esta Ley no era negativo. La tasa de crecimiento económico para e</w:t>
      </w:r>
      <w:r>
        <w:rPr>
          <w:sz w:val="24"/>
          <w:szCs w:val="24"/>
        </w:rPr>
        <w:t>l año 2013 fue de 4,3%, superando el promedio de América Latina.</w:t>
      </w:r>
      <w:r>
        <w:rPr>
          <w:sz w:val="24"/>
          <w:szCs w:val="24"/>
          <w:vertAlign w:val="superscript"/>
        </w:rPr>
        <w:footnoteReference w:id="1"/>
      </w:r>
    </w:p>
    <w:p w:rsidR="00326BA5" w:rsidRDefault="00F463F1">
      <w:pPr>
        <w:spacing w:after="200"/>
        <w:ind w:left="720"/>
        <w:jc w:val="both"/>
        <w:rPr>
          <w:sz w:val="24"/>
          <w:szCs w:val="24"/>
        </w:rPr>
      </w:pPr>
      <w:r>
        <w:rPr>
          <w:sz w:val="24"/>
          <w:szCs w:val="24"/>
        </w:rPr>
        <w:t>De acuerdo con lo anterior, la causa de incluir amnistías tributarias no corresponde a una coyuntura económica específica. De acuerdo con la exposición de motivos de la Ley, la finalidad de la amnistía fue la de que el Estado tuviera un mayor control de lo</w:t>
      </w:r>
      <w:r>
        <w:rPr>
          <w:sz w:val="24"/>
          <w:szCs w:val="24"/>
        </w:rPr>
        <w:t xml:space="preserve">s activos que los colombianos tienen en el exterior, creando el régimen de normalización para que los contribuyentes que no hubieran registrado activos en el exterior para efectos del impuesto a la riqueza. </w:t>
      </w:r>
    </w:p>
    <w:p w:rsidR="00326BA5" w:rsidRDefault="00F463F1">
      <w:pPr>
        <w:numPr>
          <w:ilvl w:val="0"/>
          <w:numId w:val="6"/>
        </w:numPr>
        <w:spacing w:after="200"/>
        <w:jc w:val="both"/>
        <w:rPr>
          <w:sz w:val="24"/>
          <w:szCs w:val="24"/>
        </w:rPr>
      </w:pPr>
      <w:r>
        <w:rPr>
          <w:b/>
          <w:sz w:val="24"/>
          <w:szCs w:val="24"/>
        </w:rPr>
        <w:t>Ley 2155 de 2021</w:t>
      </w:r>
      <w:r>
        <w:rPr>
          <w:sz w:val="24"/>
          <w:szCs w:val="24"/>
        </w:rPr>
        <w:t xml:space="preserve"> y </w:t>
      </w:r>
      <w:r>
        <w:rPr>
          <w:b/>
          <w:sz w:val="24"/>
          <w:szCs w:val="24"/>
        </w:rPr>
        <w:t>Ley 2277 de 2022</w:t>
      </w:r>
      <w:r>
        <w:rPr>
          <w:sz w:val="24"/>
          <w:szCs w:val="24"/>
        </w:rPr>
        <w:t>: En los años</w:t>
      </w:r>
      <w:r>
        <w:rPr>
          <w:sz w:val="24"/>
          <w:szCs w:val="24"/>
        </w:rPr>
        <w:t xml:space="preserve"> 2021 y 2022, Colombia se encontraba en un proceso de recuperación económica tras el impacto devastador de la pandemia de COVID-19. La economía colombiana, al igual que muchas otras a nivel global, sufrió una contracción significativa en 2020, con una caíd</w:t>
      </w:r>
      <w:r>
        <w:rPr>
          <w:sz w:val="24"/>
          <w:szCs w:val="24"/>
        </w:rPr>
        <w:t xml:space="preserve">a del PIB </w:t>
      </w:r>
      <w:r>
        <w:rPr>
          <w:sz w:val="24"/>
          <w:szCs w:val="24"/>
        </w:rPr>
        <w:lastRenderedPageBreak/>
        <w:t>del 6.8%. Para 2021, el país logró una recuperación notable con un crecimiento del PIB del 10.6%, impulsado por la reactivación de diversos sectores económicos y el aumento del consumo interno. Sin embargo, esta recuperación económica no se refle</w:t>
      </w:r>
      <w:r>
        <w:rPr>
          <w:sz w:val="24"/>
          <w:szCs w:val="24"/>
        </w:rPr>
        <w:t>jó de manera inmediata en una mejora fiscal. El déficit fiscal siguió siendo elevado, alcanzando el 7.1% del PIB en 2021, debido a los altos niveles de gasto público destinados a atender la emergencia sanitaria y a los programas de apoyo económico implemen</w:t>
      </w:r>
      <w:r>
        <w:rPr>
          <w:sz w:val="24"/>
          <w:szCs w:val="24"/>
        </w:rPr>
        <w:t>tados para mitigar los efectos de la pandemia.</w:t>
      </w:r>
    </w:p>
    <w:p w:rsidR="00326BA5" w:rsidRDefault="00F463F1">
      <w:pPr>
        <w:spacing w:after="200"/>
        <w:ind w:left="720"/>
        <w:jc w:val="both"/>
        <w:rPr>
          <w:sz w:val="24"/>
          <w:szCs w:val="24"/>
        </w:rPr>
      </w:pPr>
      <w:r>
        <w:rPr>
          <w:sz w:val="24"/>
          <w:szCs w:val="24"/>
        </w:rPr>
        <w:t>Para enfrentar estos desafíos fiscales, el gobierno colombiano introdujo varias reformas tributarias con el objetivo de aumentar la recaudación y mejorar la sostenibilidad fiscal. Dentro de las herramientas ut</w:t>
      </w:r>
      <w:r>
        <w:rPr>
          <w:sz w:val="24"/>
          <w:szCs w:val="24"/>
        </w:rPr>
        <w:t>ilizadas, se incluyó la amnistía fiscal como una medida clave. La Ley 2155 de 2021, conocida como la Ley de Inversión Social, y la Ley 2277 de 2022, denominada Ley de Reforma Tributaria para la Igualdad y la Justicia Social, ambas incorporaron mecanismos d</w:t>
      </w:r>
      <w:r>
        <w:rPr>
          <w:sz w:val="24"/>
          <w:szCs w:val="24"/>
        </w:rPr>
        <w:t>e amnistía fiscal. Estas medidas permitieron a los contribuyentes regularizar su situación fiscal mediante la declaración de activos omitidos y pasivos inexistentes, a cambio de un tratamiento tributario más favorable y la exoneración parcial de sanciones.</w:t>
      </w:r>
      <w:r>
        <w:rPr>
          <w:sz w:val="24"/>
          <w:szCs w:val="24"/>
        </w:rPr>
        <w:t xml:space="preserve"> Con estas iniciativas, el gobierno buscó no solo aumentar los ingresos fiscales de manera inmediata, sino también ampliar la base tributaria y promover una mayor transparencia y cumplimiento en el largo plazo, contribuyendo así a la recuperación fiscal po</w:t>
      </w:r>
      <w:r>
        <w:rPr>
          <w:sz w:val="24"/>
          <w:szCs w:val="24"/>
        </w:rPr>
        <w:t>st-COVID-19.</w:t>
      </w:r>
    </w:p>
    <w:p w:rsidR="00326BA5" w:rsidRDefault="00326BA5">
      <w:pPr>
        <w:spacing w:after="200"/>
        <w:ind w:left="720"/>
        <w:jc w:val="both"/>
        <w:rPr>
          <w:sz w:val="24"/>
          <w:szCs w:val="24"/>
        </w:rPr>
      </w:pPr>
    </w:p>
    <w:p w:rsidR="00326BA5" w:rsidRDefault="00F463F1">
      <w:pPr>
        <w:numPr>
          <w:ilvl w:val="0"/>
          <w:numId w:val="2"/>
        </w:numPr>
        <w:spacing w:after="200"/>
        <w:jc w:val="both"/>
        <w:rPr>
          <w:b/>
          <w:sz w:val="24"/>
          <w:szCs w:val="24"/>
        </w:rPr>
      </w:pPr>
      <w:r>
        <w:rPr>
          <w:b/>
          <w:sz w:val="24"/>
          <w:szCs w:val="24"/>
        </w:rPr>
        <w:t>OBJETO</w:t>
      </w:r>
    </w:p>
    <w:p w:rsidR="00326BA5" w:rsidRDefault="00F463F1">
      <w:pPr>
        <w:spacing w:after="200"/>
        <w:jc w:val="both"/>
        <w:rPr>
          <w:sz w:val="24"/>
          <w:szCs w:val="24"/>
        </w:rPr>
      </w:pPr>
      <w:r>
        <w:rPr>
          <w:sz w:val="24"/>
          <w:szCs w:val="24"/>
        </w:rPr>
        <w:t>El objeto de la presente ley es promover el cumplimiento voluntario de las obligaciones tributarias relacionadas con retenciones no pagadas, mediante la implementación de un mecanismo voluntario que permita a los contribuyentes regular</w:t>
      </w:r>
      <w:r>
        <w:rPr>
          <w:sz w:val="24"/>
          <w:szCs w:val="24"/>
        </w:rPr>
        <w:t>izar los valores no declarados sin la generación de intereses ni sanciones adicionales, con el objetivo de mejorar la sostenibilidad fiscal del país.</w:t>
      </w:r>
    </w:p>
    <w:p w:rsidR="00326BA5" w:rsidRDefault="00326BA5">
      <w:pPr>
        <w:spacing w:after="200"/>
        <w:jc w:val="both"/>
        <w:rPr>
          <w:sz w:val="24"/>
          <w:szCs w:val="24"/>
        </w:rPr>
      </w:pPr>
    </w:p>
    <w:p w:rsidR="00326BA5" w:rsidRDefault="00F463F1">
      <w:pPr>
        <w:numPr>
          <w:ilvl w:val="0"/>
          <w:numId w:val="2"/>
        </w:numPr>
        <w:spacing w:after="200"/>
        <w:jc w:val="both"/>
        <w:rPr>
          <w:b/>
          <w:sz w:val="24"/>
          <w:szCs w:val="24"/>
        </w:rPr>
      </w:pPr>
      <w:r>
        <w:rPr>
          <w:b/>
          <w:sz w:val="24"/>
          <w:szCs w:val="24"/>
        </w:rPr>
        <w:t>JUSTIFICACIÓN</w:t>
      </w:r>
    </w:p>
    <w:p w:rsidR="00326BA5" w:rsidRDefault="00F463F1">
      <w:pPr>
        <w:jc w:val="both"/>
        <w:rPr>
          <w:b/>
          <w:sz w:val="24"/>
          <w:szCs w:val="24"/>
        </w:rPr>
      </w:pPr>
      <w:r>
        <w:rPr>
          <w:b/>
          <w:sz w:val="24"/>
          <w:szCs w:val="24"/>
        </w:rPr>
        <w:t>Contexto macroeconómico actual – justificación de la necesidad de recursos fiscales nuevos.</w:t>
      </w:r>
    </w:p>
    <w:p w:rsidR="00326BA5" w:rsidRDefault="00F463F1">
      <w:pPr>
        <w:jc w:val="both"/>
        <w:rPr>
          <w:rFonts w:ascii="Raleway" w:eastAsia="Raleway" w:hAnsi="Raleway" w:cs="Raleway"/>
          <w:b/>
          <w:sz w:val="24"/>
          <w:szCs w:val="24"/>
        </w:rPr>
      </w:pPr>
      <w:r>
        <w:rPr>
          <w:rFonts w:ascii="Raleway" w:eastAsia="Raleway" w:hAnsi="Raleway" w:cs="Raleway"/>
          <w:b/>
          <w:sz w:val="24"/>
          <w:szCs w:val="24"/>
        </w:rPr>
        <w:t xml:space="preserve"> </w:t>
      </w:r>
    </w:p>
    <w:p w:rsidR="00326BA5" w:rsidRDefault="00F463F1">
      <w:pPr>
        <w:jc w:val="both"/>
        <w:rPr>
          <w:sz w:val="24"/>
          <w:szCs w:val="24"/>
        </w:rPr>
      </w:pPr>
      <w:r>
        <w:rPr>
          <w:sz w:val="24"/>
          <w:szCs w:val="24"/>
        </w:rPr>
        <w:t>Colombia atraviesa un momento crítico en términos de su situación fiscal, con un déficit que ha aumentado significativamente en los últimos años, exacerbado por diversos factores internos y externos. El gobierno ha reconocido la necesidad urgente de imp</w:t>
      </w:r>
      <w:r>
        <w:rPr>
          <w:sz w:val="24"/>
          <w:szCs w:val="24"/>
        </w:rPr>
        <w:t xml:space="preserve">lementar medidas que aborden este déficit y aseguren la estabilidad económica del país, incluso llegando a proponer medidas contracíclicas en materia tributaria, de financiación, de atracción de inversión en infraestructura, energética, entre otras. </w:t>
      </w:r>
    </w:p>
    <w:p w:rsidR="00326BA5" w:rsidRDefault="00F463F1">
      <w:pPr>
        <w:jc w:val="both"/>
        <w:rPr>
          <w:sz w:val="24"/>
          <w:szCs w:val="24"/>
        </w:rPr>
      </w:pPr>
      <w:r>
        <w:rPr>
          <w:sz w:val="24"/>
          <w:szCs w:val="24"/>
        </w:rPr>
        <w:t xml:space="preserve"> </w:t>
      </w:r>
    </w:p>
    <w:p w:rsidR="00326BA5" w:rsidRDefault="00F463F1">
      <w:pPr>
        <w:jc w:val="both"/>
        <w:rPr>
          <w:sz w:val="24"/>
          <w:szCs w:val="24"/>
        </w:rPr>
      </w:pPr>
      <w:r>
        <w:rPr>
          <w:sz w:val="24"/>
          <w:szCs w:val="24"/>
        </w:rPr>
        <w:t xml:space="preserve">En </w:t>
      </w:r>
      <w:r>
        <w:rPr>
          <w:sz w:val="24"/>
          <w:szCs w:val="24"/>
        </w:rPr>
        <w:t xml:space="preserve">2023, la economía colombiana mostró signos de recuperación tras el impacto de la pandemia de COVID-19, con un crecimiento del PIB proyectado en un 3.2%. Sin embargo, este crecimiento se ha visto acompañado de desafíos fiscales significativos. La inflación </w:t>
      </w:r>
      <w:r>
        <w:rPr>
          <w:sz w:val="24"/>
          <w:szCs w:val="24"/>
        </w:rPr>
        <w:t>se ha mantenido elevada, situándose en un 9.77% en diciembre de 2023, lo que ha afectado el poder adquisitivo de los hogares y ha complicado la gestión de la política monetaria.</w:t>
      </w:r>
    </w:p>
    <w:p w:rsidR="00326BA5" w:rsidRDefault="00F463F1">
      <w:pPr>
        <w:jc w:val="both"/>
        <w:rPr>
          <w:sz w:val="24"/>
          <w:szCs w:val="24"/>
        </w:rPr>
      </w:pPr>
      <w:r>
        <w:rPr>
          <w:sz w:val="24"/>
          <w:szCs w:val="24"/>
        </w:rPr>
        <w:t xml:space="preserve"> </w:t>
      </w:r>
    </w:p>
    <w:p w:rsidR="00326BA5" w:rsidRDefault="00F463F1">
      <w:pPr>
        <w:jc w:val="both"/>
        <w:rPr>
          <w:sz w:val="24"/>
          <w:szCs w:val="24"/>
        </w:rPr>
      </w:pPr>
      <w:r>
        <w:rPr>
          <w:sz w:val="24"/>
          <w:szCs w:val="24"/>
        </w:rPr>
        <w:lastRenderedPageBreak/>
        <w:t>El déficit fiscal de Colombia se ha convertido en una preocupación central p</w:t>
      </w:r>
      <w:r>
        <w:rPr>
          <w:sz w:val="24"/>
          <w:szCs w:val="24"/>
        </w:rPr>
        <w:t>ara el gobierno. En 2023, el déficit fiscal alcanzó el 4.2% del PIB</w:t>
      </w:r>
      <w:r>
        <w:rPr>
          <w:sz w:val="24"/>
          <w:szCs w:val="24"/>
          <w:vertAlign w:val="superscript"/>
        </w:rPr>
        <w:footnoteReference w:id="2"/>
      </w:r>
      <w:r>
        <w:rPr>
          <w:sz w:val="24"/>
          <w:szCs w:val="24"/>
        </w:rPr>
        <w:t>. Por otro lado, el plan financiero para el 2024 publicado por el Ministerio de Hacienda y Crédito Público proyecta un déficit de 5,3% del PIB para 2024</w:t>
      </w:r>
      <w:r>
        <w:rPr>
          <w:sz w:val="24"/>
          <w:szCs w:val="24"/>
          <w:vertAlign w:val="superscript"/>
        </w:rPr>
        <w:footnoteReference w:id="3"/>
      </w:r>
      <w:r>
        <w:rPr>
          <w:sz w:val="24"/>
          <w:szCs w:val="24"/>
        </w:rPr>
        <w:t>.</w:t>
      </w:r>
    </w:p>
    <w:p w:rsidR="00326BA5" w:rsidRDefault="00F463F1">
      <w:pPr>
        <w:jc w:val="both"/>
        <w:rPr>
          <w:sz w:val="24"/>
          <w:szCs w:val="24"/>
        </w:rPr>
      </w:pPr>
      <w:r>
        <w:rPr>
          <w:sz w:val="24"/>
          <w:szCs w:val="24"/>
        </w:rPr>
        <w:t xml:space="preserve"> </w:t>
      </w:r>
    </w:p>
    <w:p w:rsidR="00326BA5" w:rsidRDefault="00F463F1">
      <w:pPr>
        <w:jc w:val="both"/>
        <w:rPr>
          <w:sz w:val="24"/>
          <w:szCs w:val="24"/>
        </w:rPr>
      </w:pPr>
      <w:r>
        <w:rPr>
          <w:sz w:val="24"/>
          <w:szCs w:val="24"/>
        </w:rPr>
        <w:t>Este alto nivel de déficit ha sido impulsado por varios factores. En primer lugar, durante la pandemia, el gobierno aumentó significativamente el gasto público para mitigar los efectos económicos y sociales. Aunque estas medidas fueron necesarias para prot</w:t>
      </w:r>
      <w:r>
        <w:rPr>
          <w:sz w:val="24"/>
          <w:szCs w:val="24"/>
        </w:rPr>
        <w:t xml:space="preserve">eger a los ciudadanos y mantener a flote la economía, incrementaron el nivel de endeudamiento del país. Este aumento del gasto incluyó subsidios, ayudas directas a las familias, y programas de apoyo a las pequeñas y medianas empresas, que fueron cruciales </w:t>
      </w:r>
      <w:r>
        <w:rPr>
          <w:sz w:val="24"/>
          <w:szCs w:val="24"/>
        </w:rPr>
        <w:t>para evitar un colapso económico pero que también dejaron una huella profunda en las finanzas públicas.</w:t>
      </w:r>
    </w:p>
    <w:p w:rsidR="00326BA5" w:rsidRDefault="00F463F1">
      <w:pPr>
        <w:jc w:val="both"/>
        <w:rPr>
          <w:sz w:val="24"/>
          <w:szCs w:val="24"/>
        </w:rPr>
      </w:pPr>
      <w:r>
        <w:rPr>
          <w:sz w:val="24"/>
          <w:szCs w:val="24"/>
        </w:rPr>
        <w:t xml:space="preserve"> </w:t>
      </w:r>
    </w:p>
    <w:p w:rsidR="00326BA5" w:rsidRDefault="00F463F1">
      <w:pPr>
        <w:jc w:val="both"/>
        <w:rPr>
          <w:sz w:val="24"/>
          <w:szCs w:val="24"/>
        </w:rPr>
      </w:pPr>
      <w:r>
        <w:rPr>
          <w:sz w:val="24"/>
          <w:szCs w:val="24"/>
        </w:rPr>
        <w:t>En segundo lugar, la desaceleración económica resultante de la pandemia redujo la actividad comercial y, por ende, los ingresos fiscales. La reducción</w:t>
      </w:r>
      <w:r>
        <w:rPr>
          <w:sz w:val="24"/>
          <w:szCs w:val="24"/>
        </w:rPr>
        <w:t xml:space="preserve"> de la actividad económica afectó significativamente la recaudación de impuestos, creando un desequilibrio entre ingresos y gastos. La contracción en sectores clave como el turismo, la industria manufacturera y el comercio minorista redujo los ingresos por</w:t>
      </w:r>
      <w:r>
        <w:rPr>
          <w:sz w:val="24"/>
          <w:szCs w:val="24"/>
        </w:rPr>
        <w:t xml:space="preserve"> IVA, impuesto de renta y otros gravámenes, lo que agravó aún más la situación fiscal del país.</w:t>
      </w:r>
    </w:p>
    <w:p w:rsidR="00326BA5" w:rsidRDefault="00F463F1">
      <w:pPr>
        <w:jc w:val="both"/>
        <w:rPr>
          <w:sz w:val="24"/>
          <w:szCs w:val="24"/>
        </w:rPr>
      </w:pPr>
      <w:r>
        <w:rPr>
          <w:sz w:val="24"/>
          <w:szCs w:val="24"/>
        </w:rPr>
        <w:t xml:space="preserve"> </w:t>
      </w:r>
    </w:p>
    <w:p w:rsidR="00326BA5" w:rsidRDefault="00F463F1">
      <w:pPr>
        <w:jc w:val="both"/>
        <w:rPr>
          <w:sz w:val="24"/>
          <w:szCs w:val="24"/>
        </w:rPr>
      </w:pPr>
      <w:r>
        <w:rPr>
          <w:sz w:val="24"/>
          <w:szCs w:val="24"/>
        </w:rPr>
        <w:t>El impacto del déficit fiscal en la inversión ha sido notable. La incertidumbre económica y la percepción de un alto riesgo fiscal han llevado a una disminuci</w:t>
      </w:r>
      <w:r>
        <w:rPr>
          <w:sz w:val="24"/>
          <w:szCs w:val="24"/>
        </w:rPr>
        <w:t>ón en la inversión extranjera directa y en la confianza de los inversionistas locales. La calificación crediticia de Colombia fue rebajada por agencias internacionales, lo que aumentó el costo del financiamiento y limitó la capacidad del gobierno para acce</w:t>
      </w:r>
      <w:r>
        <w:rPr>
          <w:sz w:val="24"/>
          <w:szCs w:val="24"/>
        </w:rPr>
        <w:t>der a mercados internacionales de capital en condiciones favorables. Esta situación ha restringido la capacidad del gobierno para realizar inversiones en infraestructuras esenciales, educación y salud, áreas críticas para el desarrollo a largo plazo del pa</w:t>
      </w:r>
      <w:r>
        <w:rPr>
          <w:sz w:val="24"/>
          <w:szCs w:val="24"/>
        </w:rPr>
        <w:t>ís.</w:t>
      </w:r>
    </w:p>
    <w:p w:rsidR="00326BA5" w:rsidRDefault="00F463F1">
      <w:pPr>
        <w:jc w:val="both"/>
        <w:rPr>
          <w:sz w:val="24"/>
          <w:szCs w:val="24"/>
        </w:rPr>
      </w:pPr>
      <w:r>
        <w:rPr>
          <w:sz w:val="24"/>
          <w:szCs w:val="24"/>
        </w:rPr>
        <w:t xml:space="preserve"> </w:t>
      </w:r>
    </w:p>
    <w:p w:rsidR="00326BA5" w:rsidRDefault="00F463F1">
      <w:pPr>
        <w:jc w:val="both"/>
        <w:rPr>
          <w:sz w:val="24"/>
          <w:szCs w:val="24"/>
        </w:rPr>
      </w:pPr>
      <w:r>
        <w:rPr>
          <w:sz w:val="24"/>
          <w:szCs w:val="24"/>
        </w:rPr>
        <w:t>La necesidad de solucionar el déficit fiscal es urgente. La sostenibilidad fiscal es crucial para mantener la confianza de los inversionistas y asegurar un entorno macroeconómico estable. Sin medidas correctivas adecuadas, el déficit podría continuar</w:t>
      </w:r>
      <w:r>
        <w:rPr>
          <w:sz w:val="24"/>
          <w:szCs w:val="24"/>
        </w:rPr>
        <w:t xml:space="preserve"> aumentando, llevando a una mayor acumulación de deuda y a la posible pérdida de la capacidad del Estado para cumplir con sus obligaciones financieras. Además, un déficit persistente podría obligar al gobierno a implementar políticas de austeridad más seve</w:t>
      </w:r>
      <w:r>
        <w:rPr>
          <w:sz w:val="24"/>
          <w:szCs w:val="24"/>
        </w:rPr>
        <w:t>ras en el futuro, lo que podría tener repercusiones negativas sobre el crecimiento económico y el bienestar social.</w:t>
      </w:r>
    </w:p>
    <w:p w:rsidR="00326BA5" w:rsidRDefault="00F463F1">
      <w:pPr>
        <w:jc w:val="both"/>
        <w:rPr>
          <w:sz w:val="24"/>
          <w:szCs w:val="24"/>
        </w:rPr>
      </w:pPr>
      <w:r>
        <w:rPr>
          <w:sz w:val="24"/>
          <w:szCs w:val="24"/>
        </w:rPr>
        <w:t xml:space="preserve"> </w:t>
      </w:r>
    </w:p>
    <w:p w:rsidR="00326BA5" w:rsidRDefault="00F463F1">
      <w:pPr>
        <w:jc w:val="both"/>
        <w:rPr>
          <w:sz w:val="24"/>
          <w:szCs w:val="24"/>
        </w:rPr>
      </w:pPr>
      <w:r>
        <w:rPr>
          <w:sz w:val="24"/>
          <w:szCs w:val="24"/>
        </w:rPr>
        <w:t>El contexto macroeconómico de Colombia está marcado por un déficit fiscal significativo[DB-C1] , el cual el Gobierno apunta a cerrar en el</w:t>
      </w:r>
      <w:r>
        <w:rPr>
          <w:sz w:val="24"/>
          <w:szCs w:val="24"/>
        </w:rPr>
        <w:t xml:space="preserve"> año 2024 en un 5,6% del PIB frente al 4,3% del 2023, además, se espera que la deuda pública neta supere el 57% del PIB, lo que está por encima del ancla fiscal del 55%​. Este panorama fiscal está en riesgo de empeorar debido a los desafíos en la recaudaci</w:t>
      </w:r>
      <w:r>
        <w:rPr>
          <w:sz w:val="24"/>
          <w:szCs w:val="24"/>
        </w:rPr>
        <w:t xml:space="preserve">ón tributaria y la creciente inclinación del gobierno a expandir el gasto público, lo que podría poner en peligro el cumplimiento de la regla fiscal establecida. La baja en los ingresos se debe en parte a </w:t>
      </w:r>
      <w:r>
        <w:rPr>
          <w:sz w:val="24"/>
          <w:szCs w:val="24"/>
        </w:rPr>
        <w:lastRenderedPageBreak/>
        <w:t>decisiones judiciales que han afectado la recaudaci</w:t>
      </w:r>
      <w:r>
        <w:rPr>
          <w:sz w:val="24"/>
          <w:szCs w:val="24"/>
        </w:rPr>
        <w:t>ón, especialmente en sectores como los hidrocarburos.</w:t>
      </w:r>
      <w:r>
        <w:rPr>
          <w:sz w:val="24"/>
          <w:szCs w:val="24"/>
          <w:vertAlign w:val="superscript"/>
        </w:rPr>
        <w:footnoteReference w:id="4"/>
      </w:r>
    </w:p>
    <w:p w:rsidR="00326BA5" w:rsidRDefault="00F463F1">
      <w:pPr>
        <w:jc w:val="both"/>
        <w:rPr>
          <w:sz w:val="24"/>
          <w:szCs w:val="24"/>
        </w:rPr>
      </w:pPr>
      <w:r>
        <w:rPr>
          <w:sz w:val="24"/>
          <w:szCs w:val="24"/>
        </w:rPr>
        <w:t xml:space="preserve"> </w:t>
      </w:r>
    </w:p>
    <w:p w:rsidR="00326BA5" w:rsidRDefault="00F463F1">
      <w:pPr>
        <w:jc w:val="both"/>
        <w:rPr>
          <w:sz w:val="24"/>
          <w:szCs w:val="24"/>
        </w:rPr>
      </w:pPr>
      <w:r>
        <w:rPr>
          <w:sz w:val="24"/>
          <w:szCs w:val="24"/>
        </w:rPr>
        <w:t>Aunado a lo anterior, la implementación de medidas fiscales adecuadas es esencial para restaurar la estabilidad fiscal y económica del país, mejorar la confianza de los inversionistas y asegurar un c</w:t>
      </w:r>
      <w:r>
        <w:rPr>
          <w:sz w:val="24"/>
          <w:szCs w:val="24"/>
        </w:rPr>
        <w:t>recimiento económico sostenido en el futuro.</w:t>
      </w:r>
    </w:p>
    <w:p w:rsidR="00326BA5" w:rsidRDefault="00F463F1">
      <w:pPr>
        <w:spacing w:before="240" w:after="240"/>
        <w:jc w:val="both"/>
        <w:rPr>
          <w:sz w:val="24"/>
          <w:szCs w:val="24"/>
        </w:rPr>
      </w:pPr>
      <w:r>
        <w:rPr>
          <w:sz w:val="24"/>
          <w:szCs w:val="24"/>
        </w:rPr>
        <w:t>Ahora bien, el análisis de las últimas reformas tributarias aprobadas, en las cuales se incluyó la herramienta de amnistías tributarias, y considerando la coyuntura actual de la economía colombiana, se observa u</w:t>
      </w:r>
      <w:r>
        <w:rPr>
          <w:sz w:val="24"/>
          <w:szCs w:val="24"/>
        </w:rPr>
        <w:t>n escenario complejo. El país enfrenta un déficit fiscal significativo que es imperativo recortar para asegurar la estabilidad económica a largo plazo. Además, la actividad industrial y las inversiones han disminuido, lo cual se traduce en menores ingresos</w:t>
      </w:r>
      <w:r>
        <w:rPr>
          <w:sz w:val="24"/>
          <w:szCs w:val="24"/>
        </w:rPr>
        <w:t xml:space="preserve"> fiscales para el país. Este contexto de debilitamiento económico y fiscal resalta la urgencia de medidas efectivas para aumentar la recaudación y mejorar la sostenibilidad fiscal.</w:t>
      </w:r>
    </w:p>
    <w:p w:rsidR="00326BA5" w:rsidRDefault="00F463F1">
      <w:pPr>
        <w:spacing w:before="240" w:after="240"/>
        <w:jc w:val="both"/>
        <w:rPr>
          <w:sz w:val="24"/>
          <w:szCs w:val="24"/>
        </w:rPr>
      </w:pPr>
      <w:r>
        <w:rPr>
          <w:sz w:val="24"/>
          <w:szCs w:val="24"/>
        </w:rPr>
        <w:t xml:space="preserve">En vista de esta situación, se requiere de un Proyecto de Ley contemple un </w:t>
      </w:r>
      <w:r>
        <w:rPr>
          <w:sz w:val="24"/>
          <w:szCs w:val="24"/>
        </w:rPr>
        <w:t>mecanismo excepcional para regularizar omisiones tributarias, alineado con su objetivo de optimizar la recuperación de recursos fiscales y mejorar la liquidez de los contribuyentes. Esta herramienta ha demostrado ser útil en las recientes reformas para inc</w:t>
      </w:r>
      <w:r>
        <w:rPr>
          <w:sz w:val="24"/>
          <w:szCs w:val="24"/>
        </w:rPr>
        <w:t>rementar los ingresos fiscales a corto plazo al permitir a los contribuyentes regularizar su situación tributaria con incentivos y reducciones de sanciones. Además, la inclusión de este tipo de mecanismos podría facilitar la ampliación de la base impositiv</w:t>
      </w:r>
      <w:r>
        <w:rPr>
          <w:sz w:val="24"/>
          <w:szCs w:val="24"/>
        </w:rPr>
        <w:t>a y promover un mayor cumplimiento fiscal. En conclusión, la coyuntura económica y fiscal actual sugiere que el Proyecto incluya un esquema de regularización fiscal como una medida estratégica para fortalecer la sostenibilidad fiscal y dinamizar la economí</w:t>
      </w:r>
      <w:r>
        <w:rPr>
          <w:sz w:val="24"/>
          <w:szCs w:val="24"/>
        </w:rPr>
        <w:t>a.</w:t>
      </w:r>
    </w:p>
    <w:p w:rsidR="00326BA5" w:rsidRDefault="00F463F1">
      <w:pPr>
        <w:spacing w:before="240" w:after="240"/>
        <w:jc w:val="both"/>
        <w:rPr>
          <w:sz w:val="24"/>
          <w:szCs w:val="24"/>
        </w:rPr>
      </w:pPr>
      <w:r>
        <w:rPr>
          <w:sz w:val="24"/>
          <w:szCs w:val="24"/>
        </w:rPr>
        <w:t>Por último, es necesario abordar la injerencia que tiene en este asunto el tipo penal establecido en el artículo 402 del Código Penal. La disociación entre el período de firmeza de las declaraciones tributarias y el término de prescripción del delito de</w:t>
      </w:r>
      <w:r>
        <w:rPr>
          <w:sz w:val="24"/>
          <w:szCs w:val="24"/>
        </w:rPr>
        <w:t xml:space="preserve"> omisión del agente retenedor subraya la necesidad de introducir una amnistía fiscal, con la finalidad de generar incentivos para que los contribuyentes del impuesto de renta que omitieron la declaración de retenciones en la fuente u otras obligaciones tri</w:t>
      </w:r>
      <w:r>
        <w:rPr>
          <w:sz w:val="24"/>
          <w:szCs w:val="24"/>
        </w:rPr>
        <w:t>butarias, en años sobre los que ya operó la firmeza de sus declaraciones pero sobre los que penden un potencial riesgo penal, puedan regularizar su situación sin riesgo y generando recursos fiscales adicionales para el Estado colombiano.</w:t>
      </w:r>
    </w:p>
    <w:p w:rsidR="00326BA5" w:rsidRDefault="00F463F1">
      <w:pPr>
        <w:spacing w:before="240" w:after="240"/>
        <w:jc w:val="both"/>
        <w:rPr>
          <w:sz w:val="24"/>
          <w:szCs w:val="24"/>
        </w:rPr>
      </w:pPr>
      <w:r>
        <w:rPr>
          <w:sz w:val="24"/>
          <w:szCs w:val="24"/>
        </w:rPr>
        <w:t>Conforme al artícu</w:t>
      </w:r>
      <w:r>
        <w:rPr>
          <w:sz w:val="24"/>
          <w:szCs w:val="24"/>
        </w:rPr>
        <w:t>lo 817 del Estatuto Tributario, las declaraciones tributarias alcanzan firmeza a los cinco (5) años, a partir de los cuales tanto la administración tributaria como el contribuyente quedan impedidos para modificar la declaración. Sin embargo, el delito de o</w:t>
      </w:r>
      <w:r>
        <w:rPr>
          <w:sz w:val="24"/>
          <w:szCs w:val="24"/>
        </w:rPr>
        <w:t>misión del agente retenedor, regulado por el artículo 402 del Código Penal, prescribe en un período de hasta 13 años y 6 meses (por tratarse de casos de los servidores públicos o particulares que ejerzan funciones públicas, cuando se cometa un delito relac</w:t>
      </w:r>
      <w:r>
        <w:rPr>
          <w:sz w:val="24"/>
          <w:szCs w:val="24"/>
        </w:rPr>
        <w:t>ionado con la función pública, el término de prescripción se aumentará en la mitad), lo que genera una brecha de hasta 8 años durante los cuales el contribuyente sigue expuesto a la acción penal.</w:t>
      </w:r>
    </w:p>
    <w:p w:rsidR="00326BA5" w:rsidRDefault="00F463F1">
      <w:pPr>
        <w:spacing w:before="240" w:after="240"/>
        <w:jc w:val="both"/>
        <w:rPr>
          <w:sz w:val="24"/>
          <w:szCs w:val="24"/>
        </w:rPr>
      </w:pPr>
      <w:r>
        <w:rPr>
          <w:sz w:val="24"/>
          <w:szCs w:val="24"/>
        </w:rPr>
        <w:t>Este desfase temporal tiene implicaciones significativas tan</w:t>
      </w:r>
      <w:r>
        <w:rPr>
          <w:sz w:val="24"/>
          <w:szCs w:val="24"/>
        </w:rPr>
        <w:t xml:space="preserve">to para la administración tributaria como para los contribuyentes. Para la administración, se pierde la capacidad de exigir obligaciones tributarias una vez transcurrido el término de firmeza, mientras que </w:t>
      </w:r>
      <w:r>
        <w:rPr>
          <w:sz w:val="24"/>
          <w:szCs w:val="24"/>
        </w:rPr>
        <w:lastRenderedPageBreak/>
        <w:t>el contribuyente queda en una situación vulnerable</w:t>
      </w:r>
      <w:r>
        <w:rPr>
          <w:sz w:val="24"/>
          <w:szCs w:val="24"/>
        </w:rPr>
        <w:t>, sin la posibilidad de corregir errores pasados, pero expuesto a sanciones penales por un período prolongado. Por su parte, la Nación no cuenta con los instrumentos necesarios para detectar esas omisiones sobre períodos fiscales anteriores a los 5 años, p</w:t>
      </w:r>
      <w:r>
        <w:rPr>
          <w:sz w:val="24"/>
          <w:szCs w:val="24"/>
        </w:rPr>
        <w:t>ara buscar conminar el pago de aquellas obligaciones, perdiendo así recursos fiscales sustanciales.</w:t>
      </w:r>
    </w:p>
    <w:p w:rsidR="00326BA5" w:rsidRDefault="00F463F1">
      <w:pPr>
        <w:spacing w:before="240" w:after="240"/>
        <w:jc w:val="both"/>
        <w:rPr>
          <w:sz w:val="24"/>
          <w:szCs w:val="24"/>
        </w:rPr>
      </w:pPr>
      <w:r>
        <w:rPr>
          <w:sz w:val="24"/>
          <w:szCs w:val="24"/>
        </w:rPr>
        <w:t>En este contexto, la implementación de una amnistía fiscal se presenta como una solución eficaz para abordar estas problemáticas en la medida en que incenti</w:t>
      </w:r>
      <w:r>
        <w:rPr>
          <w:sz w:val="24"/>
          <w:szCs w:val="24"/>
        </w:rPr>
        <w:t>va el pago de deudas por los contribuyentes, que de por sí son de difícil detección, liquidación y cobro por parte de la Hacienda colombiana. Así, una medida de esta naturaleza permitiría al Estado recaudar ingresos adicionales por obligaciones tributarias</w:t>
      </w:r>
      <w:r>
        <w:rPr>
          <w:sz w:val="24"/>
          <w:szCs w:val="24"/>
        </w:rPr>
        <w:t xml:space="preserve"> que, de otro modo, no serían exigibles debido al vencimiento de los términos legales. Esto fortalecería la recaudación fiscal y contribuiría a la estabilidad financiera del país.</w:t>
      </w:r>
    </w:p>
    <w:p w:rsidR="00326BA5" w:rsidRDefault="00F463F1">
      <w:pPr>
        <w:spacing w:before="240" w:after="240"/>
        <w:jc w:val="both"/>
        <w:rPr>
          <w:sz w:val="24"/>
          <w:szCs w:val="24"/>
        </w:rPr>
      </w:pPr>
      <w:r>
        <w:rPr>
          <w:sz w:val="24"/>
          <w:szCs w:val="24"/>
        </w:rPr>
        <w:t>Finalmente, ofrecería a los contribuyentes la oportunidad de regularizar su situación fiscal mediante el pago de las obligaciones pendientes, cesando cualquier acción penal derivada de omisiones en la retención o recaudo de impuestos. De esta manera, la am</w:t>
      </w:r>
      <w:r>
        <w:rPr>
          <w:sz w:val="24"/>
          <w:szCs w:val="24"/>
        </w:rPr>
        <w:t>nistía actuaría como un incentivo para el cumplimiento voluntario de las obligaciones tributarias, reduciendo la carga de procesos judiciales y permitiendo a los contribuyentes reintegrarse plenamente al sistema fiscal sin el riesgo de sanciones penales fu</w:t>
      </w:r>
      <w:r>
        <w:rPr>
          <w:sz w:val="24"/>
          <w:szCs w:val="24"/>
        </w:rPr>
        <w:t>turas.</w:t>
      </w:r>
    </w:p>
    <w:p w:rsidR="00326BA5" w:rsidRDefault="00326BA5">
      <w:pPr>
        <w:spacing w:before="240" w:after="240"/>
        <w:jc w:val="both"/>
        <w:rPr>
          <w:sz w:val="24"/>
          <w:szCs w:val="24"/>
        </w:rPr>
      </w:pPr>
    </w:p>
    <w:p w:rsidR="00326BA5" w:rsidRDefault="00F463F1">
      <w:pPr>
        <w:numPr>
          <w:ilvl w:val="0"/>
          <w:numId w:val="2"/>
        </w:numPr>
        <w:jc w:val="both"/>
        <w:rPr>
          <w:b/>
          <w:sz w:val="24"/>
          <w:szCs w:val="24"/>
        </w:rPr>
      </w:pPr>
      <w:r>
        <w:rPr>
          <w:b/>
          <w:sz w:val="24"/>
          <w:szCs w:val="24"/>
        </w:rPr>
        <w:t>MARCO NORMATIVO</w:t>
      </w:r>
    </w:p>
    <w:p w:rsidR="00326BA5" w:rsidRDefault="00326BA5">
      <w:pPr>
        <w:widowControl w:val="0"/>
        <w:spacing w:after="160"/>
        <w:jc w:val="both"/>
        <w:rPr>
          <w:b/>
          <w:color w:val="0D0D0D"/>
          <w:sz w:val="24"/>
          <w:szCs w:val="24"/>
        </w:rPr>
      </w:pPr>
    </w:p>
    <w:p w:rsidR="00326BA5" w:rsidRDefault="00F463F1">
      <w:pPr>
        <w:widowControl w:val="0"/>
        <w:spacing w:after="160"/>
        <w:jc w:val="both"/>
        <w:rPr>
          <w:b/>
          <w:color w:val="0D0D0D"/>
          <w:sz w:val="24"/>
          <w:szCs w:val="24"/>
        </w:rPr>
      </w:pPr>
      <w:r>
        <w:rPr>
          <w:b/>
          <w:color w:val="0D0D0D"/>
          <w:sz w:val="24"/>
          <w:szCs w:val="24"/>
        </w:rPr>
        <w:t>Constitución Política de Colombia</w:t>
      </w:r>
    </w:p>
    <w:p w:rsidR="00326BA5" w:rsidRDefault="00F463F1">
      <w:pPr>
        <w:spacing w:after="160"/>
        <w:jc w:val="both"/>
        <w:rPr>
          <w:sz w:val="24"/>
          <w:szCs w:val="24"/>
        </w:rPr>
      </w:pPr>
      <w:r>
        <w:rPr>
          <w:sz w:val="24"/>
          <w:szCs w:val="24"/>
        </w:rPr>
        <w:t>“</w:t>
      </w:r>
      <w:r>
        <w:rPr>
          <w:b/>
          <w:sz w:val="24"/>
          <w:szCs w:val="24"/>
        </w:rPr>
        <w:t>ARTÍCULO 95.</w:t>
      </w:r>
      <w:r>
        <w:rPr>
          <w:sz w:val="24"/>
          <w:szCs w:val="24"/>
        </w:rPr>
        <w:t xml:space="preserve"> La calidad de colombiano enaltece a todos los miembros de la comunidad nacional. Todos están en el deber de engrandecerla y dignificarla. El ejercicio de los derechos y libertades rec</w:t>
      </w:r>
      <w:r>
        <w:rPr>
          <w:sz w:val="24"/>
          <w:szCs w:val="24"/>
        </w:rPr>
        <w:t>onocidos en esta Constitución implica responsabilidades. (…)</w:t>
      </w:r>
    </w:p>
    <w:p w:rsidR="00326BA5" w:rsidRDefault="00F463F1">
      <w:pPr>
        <w:widowControl w:val="0"/>
        <w:spacing w:after="160"/>
        <w:ind w:left="720"/>
        <w:jc w:val="both"/>
        <w:rPr>
          <w:rFonts w:ascii="Raleway" w:eastAsia="Raleway" w:hAnsi="Raleway" w:cs="Raleway"/>
        </w:rPr>
      </w:pPr>
      <w:r>
        <w:rPr>
          <w:sz w:val="24"/>
          <w:szCs w:val="24"/>
        </w:rPr>
        <w:t>9. Contribuir al financiamiento de los gastos e inversiones del Estado dentro de conceptos de justicia y equidad”</w:t>
      </w:r>
    </w:p>
    <w:p w:rsidR="00326BA5" w:rsidRDefault="00F463F1">
      <w:pPr>
        <w:spacing w:after="160"/>
        <w:jc w:val="both"/>
        <w:rPr>
          <w:color w:val="0D0D0D"/>
          <w:sz w:val="24"/>
          <w:szCs w:val="24"/>
        </w:rPr>
      </w:pPr>
      <w:bookmarkStart w:id="0" w:name="bookmark=kix.p1hl6bmp78g5" w:colFirst="0" w:colLast="0"/>
      <w:bookmarkEnd w:id="0"/>
      <w:r>
        <w:rPr>
          <w:color w:val="0D0D0D"/>
          <w:sz w:val="24"/>
          <w:szCs w:val="24"/>
        </w:rPr>
        <w:t>“</w:t>
      </w:r>
      <w:r>
        <w:rPr>
          <w:b/>
          <w:color w:val="0D0D0D"/>
          <w:sz w:val="24"/>
          <w:szCs w:val="24"/>
        </w:rPr>
        <w:t>ARTÍCULO 338. “</w:t>
      </w:r>
      <w:r>
        <w:rPr>
          <w:color w:val="0D0D0D"/>
          <w:sz w:val="24"/>
          <w:szCs w:val="24"/>
        </w:rPr>
        <w:t>En tiempo de paz, solamente el Congreso, las asambleas departamentales y los concejos distritales y municipales podrán imponer contribuciones fiscales o parafiscales. La ley, las ordenanzas y los acuerdos deben fijar, directamente, los sujetos activos y pa</w:t>
      </w:r>
      <w:r>
        <w:rPr>
          <w:color w:val="0D0D0D"/>
          <w:sz w:val="24"/>
          <w:szCs w:val="24"/>
        </w:rPr>
        <w:t>sivos, los hechos y las bases gravables, y las tarifas de los impuestos.</w:t>
      </w:r>
    </w:p>
    <w:p w:rsidR="00326BA5" w:rsidRDefault="00F463F1">
      <w:pPr>
        <w:spacing w:after="160"/>
        <w:jc w:val="both"/>
        <w:rPr>
          <w:color w:val="0D0D0D"/>
          <w:sz w:val="24"/>
          <w:szCs w:val="24"/>
        </w:rPr>
      </w:pPr>
      <w:r>
        <w:rPr>
          <w:color w:val="0D0D0D"/>
          <w:sz w:val="24"/>
          <w:szCs w:val="24"/>
        </w:rPr>
        <w:t>La ley, las ordenanzas y los acuerdos pueden permitir que las autoridades fijen la tarifa de las tasas y contribuciones que cobren a los contribuyentes, como recuperación de los costo</w:t>
      </w:r>
      <w:r>
        <w:rPr>
          <w:color w:val="0D0D0D"/>
          <w:sz w:val="24"/>
          <w:szCs w:val="24"/>
        </w:rPr>
        <w:t>s de los servicios que les presten o participación en los beneficios que les proporcionen; pero el sistema y el método para definir tales costos y beneficios, y la forma de hacer su reparto, deben ser fijados por la ley, las ordenanzas o los acuerdos.</w:t>
      </w:r>
    </w:p>
    <w:p w:rsidR="00326BA5" w:rsidRDefault="00F463F1">
      <w:pPr>
        <w:spacing w:after="160"/>
        <w:jc w:val="both"/>
        <w:rPr>
          <w:color w:val="0D0D0D"/>
          <w:sz w:val="24"/>
          <w:szCs w:val="24"/>
        </w:rPr>
      </w:pPr>
      <w:r>
        <w:rPr>
          <w:color w:val="0D0D0D"/>
          <w:sz w:val="24"/>
          <w:szCs w:val="24"/>
        </w:rPr>
        <w:t xml:space="preserve">Las </w:t>
      </w:r>
      <w:r>
        <w:rPr>
          <w:color w:val="0D0D0D"/>
          <w:sz w:val="24"/>
          <w:szCs w:val="24"/>
        </w:rPr>
        <w:t xml:space="preserve">leyes, ordenanzas o acuerdos que regulen contribuciones en las que la base sea el resultado de hechos ocurridos durante un período determinado, no pueden aplicarse sino a partir del período que comience después de iniciar la vigencia de la respectiva ley, </w:t>
      </w:r>
      <w:r>
        <w:rPr>
          <w:color w:val="0D0D0D"/>
          <w:sz w:val="24"/>
          <w:szCs w:val="24"/>
        </w:rPr>
        <w:t>ordenanza o acuerdo.”</w:t>
      </w:r>
    </w:p>
    <w:p w:rsidR="00326BA5" w:rsidRDefault="00F463F1">
      <w:pPr>
        <w:spacing w:after="160"/>
        <w:jc w:val="both"/>
        <w:rPr>
          <w:color w:val="0D0D0D"/>
          <w:sz w:val="24"/>
          <w:szCs w:val="24"/>
        </w:rPr>
      </w:pPr>
      <w:bookmarkStart w:id="1" w:name="bookmark=kix.4b56gzud1row" w:colFirst="0" w:colLast="0"/>
      <w:bookmarkEnd w:id="1"/>
      <w:r>
        <w:rPr>
          <w:color w:val="0D0D0D"/>
          <w:sz w:val="24"/>
          <w:szCs w:val="24"/>
        </w:rPr>
        <w:t>“</w:t>
      </w:r>
      <w:r>
        <w:rPr>
          <w:b/>
          <w:color w:val="0D0D0D"/>
          <w:sz w:val="24"/>
          <w:szCs w:val="24"/>
        </w:rPr>
        <w:t>ARTÍCULO 363. </w:t>
      </w:r>
      <w:r>
        <w:rPr>
          <w:color w:val="0D0D0D"/>
          <w:sz w:val="24"/>
          <w:szCs w:val="24"/>
        </w:rPr>
        <w:t>El sistema tributario se funda en los principios de equidad, eficiencia y progresividad.</w:t>
      </w:r>
    </w:p>
    <w:p w:rsidR="00326BA5" w:rsidRDefault="00F463F1">
      <w:pPr>
        <w:spacing w:after="160"/>
        <w:jc w:val="both"/>
        <w:rPr>
          <w:color w:val="0D0D0D"/>
          <w:sz w:val="24"/>
          <w:szCs w:val="24"/>
        </w:rPr>
      </w:pPr>
      <w:r>
        <w:rPr>
          <w:color w:val="0D0D0D"/>
          <w:sz w:val="24"/>
          <w:szCs w:val="24"/>
        </w:rPr>
        <w:lastRenderedPageBreak/>
        <w:t>Las leyes tributarias no se aplicarán con retroactividad.”</w:t>
      </w:r>
    </w:p>
    <w:p w:rsidR="00326BA5" w:rsidRDefault="00326BA5">
      <w:pPr>
        <w:widowControl w:val="0"/>
        <w:spacing w:after="160"/>
        <w:jc w:val="both"/>
        <w:rPr>
          <w:color w:val="0D0D0D"/>
          <w:sz w:val="24"/>
          <w:szCs w:val="24"/>
        </w:rPr>
      </w:pPr>
    </w:p>
    <w:p w:rsidR="00326BA5" w:rsidRDefault="00F463F1">
      <w:pPr>
        <w:widowControl w:val="0"/>
        <w:numPr>
          <w:ilvl w:val="0"/>
          <w:numId w:val="2"/>
        </w:numPr>
        <w:spacing w:after="160"/>
        <w:jc w:val="both"/>
        <w:rPr>
          <w:b/>
          <w:color w:val="0D0D0D"/>
          <w:sz w:val="24"/>
          <w:szCs w:val="24"/>
        </w:rPr>
      </w:pPr>
      <w:r>
        <w:rPr>
          <w:b/>
          <w:color w:val="0D0D0D"/>
          <w:sz w:val="24"/>
          <w:szCs w:val="24"/>
        </w:rPr>
        <w:t>IMPACTO FISCAL</w:t>
      </w:r>
    </w:p>
    <w:p w:rsidR="00326BA5" w:rsidRDefault="00F463F1">
      <w:pPr>
        <w:widowControl w:val="0"/>
        <w:spacing w:after="160"/>
        <w:jc w:val="both"/>
        <w:rPr>
          <w:color w:val="0D0D0D"/>
          <w:sz w:val="24"/>
          <w:szCs w:val="24"/>
          <w:highlight w:val="white"/>
        </w:rPr>
      </w:pPr>
      <w:r>
        <w:rPr>
          <w:color w:val="0D0D0D"/>
          <w:sz w:val="24"/>
          <w:szCs w:val="24"/>
          <w:highlight w:val="white"/>
        </w:rPr>
        <w:t>Con relación al impacto fiscal que los proyectos de ley</w:t>
      </w:r>
      <w:r>
        <w:rPr>
          <w:color w:val="0D0D0D"/>
          <w:sz w:val="24"/>
          <w:szCs w:val="24"/>
          <w:highlight w:val="white"/>
        </w:rPr>
        <w:t xml:space="preserve"> pudieran generar, la Corte ha señalado:</w:t>
      </w:r>
    </w:p>
    <w:p w:rsidR="00326BA5" w:rsidRDefault="00F463F1">
      <w:pPr>
        <w:widowControl w:val="0"/>
        <w:spacing w:after="160"/>
        <w:ind w:left="720"/>
        <w:jc w:val="both"/>
        <w:rPr>
          <w:color w:val="0D0D0D"/>
          <w:sz w:val="24"/>
          <w:szCs w:val="24"/>
          <w:highlight w:val="white"/>
        </w:rPr>
      </w:pPr>
      <w:r>
        <w:rPr>
          <w:i/>
          <w:color w:val="0D0D0D"/>
          <w:sz w:val="24"/>
          <w:szCs w:val="24"/>
          <w:highlight w:val="white"/>
        </w:rPr>
        <w:t>“Las obligaciones previstas en el artículo 7º de la Ley 819 de 2003 constituyen un parámetro de racionalidad legislativa, que está encaminado a cumplir propósitos constitucionalmente valiosos, entre ellos el orden d</w:t>
      </w:r>
      <w:r>
        <w:rPr>
          <w:i/>
          <w:color w:val="0D0D0D"/>
          <w:sz w:val="24"/>
          <w:szCs w:val="24"/>
          <w:highlight w:val="white"/>
        </w:rPr>
        <w:t>e las finanzas públicas, la estabilidad macroeconómica y la aplicación efectiva de las leyes. Esto último en tanto un estudio previo de la compatibilidad entre el contenido del proyecto de ley y las proyecciones de la política económica, disminuye el marge</w:t>
      </w:r>
      <w:r>
        <w:rPr>
          <w:i/>
          <w:color w:val="0D0D0D"/>
          <w:sz w:val="24"/>
          <w:szCs w:val="24"/>
          <w:highlight w:val="white"/>
        </w:rPr>
        <w:t>n de incertidumbre respecto de la ejecución material de las previsiones legislativas. El mandato de adecuación entre la justificación de los proyectos de ley y la planeación de la política económica, empero, no puede comprenderse como un requisito de trámi</w:t>
      </w:r>
      <w:r>
        <w:rPr>
          <w:i/>
          <w:color w:val="0D0D0D"/>
          <w:sz w:val="24"/>
          <w:szCs w:val="24"/>
          <w:highlight w:val="white"/>
        </w:rPr>
        <w:t>te para la aprobación de las iniciativas legislativas, cuyo cumplimiento recaiga exclusivamente en el Congreso.  Lo anterior, en tanto (i) el Congreso carece de las instancias de evaluación técnica para determinar el impacto fiscal de cada proyecto, la det</w:t>
      </w:r>
      <w:r>
        <w:rPr>
          <w:i/>
          <w:color w:val="0D0D0D"/>
          <w:sz w:val="24"/>
          <w:szCs w:val="24"/>
          <w:highlight w:val="white"/>
        </w:rPr>
        <w:t>erminación de las fuentes adicionales de financiación y la compatibilidad con el marco fiscal de mediano plazo; y (ii) aceptar una interpretación de esta naturaleza constituiría una carga irrazonable para el legislador y otorgaría un poder correlativo de v</w:t>
      </w:r>
      <w:r>
        <w:rPr>
          <w:i/>
          <w:color w:val="0D0D0D"/>
          <w:sz w:val="24"/>
          <w:szCs w:val="24"/>
          <w:highlight w:val="white"/>
        </w:rPr>
        <w:t>eto al Ejecutivo, a través del Ministerio de Hacienda, respecto de la competencia del Congreso para hacer las leyes. Un poder de este carácter, que involucra una barrera en la función constitucional de producción normativa, se muestra incompatible con el b</w:t>
      </w:r>
      <w:r>
        <w:rPr>
          <w:i/>
          <w:color w:val="0D0D0D"/>
          <w:sz w:val="24"/>
          <w:szCs w:val="24"/>
          <w:highlight w:val="white"/>
        </w:rPr>
        <w:t>alance entre los poderes públicos y el principio democrático. Si se considera dicho mandato como un mecanismo de racionalidad legislativa, su cumplimiento corresponde inicialmente al Ministerio de Hacienda y Crédito Público, una vez el Congreso haya valora</w:t>
      </w:r>
      <w:r>
        <w:rPr>
          <w:i/>
          <w:color w:val="0D0D0D"/>
          <w:sz w:val="24"/>
          <w:szCs w:val="24"/>
          <w:highlight w:val="white"/>
        </w:rPr>
        <w:t>do, mediante las herramientas que tiene a su alcance, la compatibilidad entre los gastos que genera la iniciativa legislativa y las proyecciones de la política económica trazada por el Gobierno. (…). El artículo 7º de la Ley 819/03 no puede interpretarse d</w:t>
      </w:r>
      <w:r>
        <w:rPr>
          <w:i/>
          <w:color w:val="0D0D0D"/>
          <w:sz w:val="24"/>
          <w:szCs w:val="24"/>
          <w:highlight w:val="white"/>
        </w:rPr>
        <w:t xml:space="preserve">e modo tal que la falta de concurrencia del Ministerio de Hacienda y Crédito Público dentro del proceso legislativo, afecte la validez constitucional del trámite respectivo”. </w:t>
      </w:r>
      <w:r>
        <w:rPr>
          <w:color w:val="0D0D0D"/>
          <w:sz w:val="24"/>
          <w:szCs w:val="24"/>
          <w:highlight w:val="white"/>
        </w:rPr>
        <w:t>(Sentencia C-315 de 2008).</w:t>
      </w:r>
    </w:p>
    <w:p w:rsidR="00326BA5" w:rsidRDefault="00F463F1">
      <w:pPr>
        <w:widowControl w:val="0"/>
        <w:spacing w:after="160"/>
        <w:jc w:val="both"/>
        <w:rPr>
          <w:color w:val="0D0D0D"/>
          <w:sz w:val="24"/>
          <w:szCs w:val="24"/>
          <w:highlight w:val="magenta"/>
        </w:rPr>
      </w:pPr>
      <w:r>
        <w:rPr>
          <w:color w:val="0D0D0D"/>
          <w:sz w:val="24"/>
          <w:szCs w:val="24"/>
          <w:highlight w:val="white"/>
        </w:rPr>
        <w:t>Como lo ha resaltado la Corte, si bien compete a los m</w:t>
      </w:r>
      <w:r>
        <w:rPr>
          <w:color w:val="0D0D0D"/>
          <w:sz w:val="24"/>
          <w:szCs w:val="24"/>
          <w:highlight w:val="white"/>
        </w:rPr>
        <w:t>iembros del Congreso la responsabilidad de estimar y tomar en cuenta el esfuerzo fiscal que el proyecto bajo estudio puede implicar para el erario público, es claro que es el Poder Ejecutivo, y al interior de aquel, el Ministerio de Hacienda y Crédito Públ</w:t>
      </w:r>
      <w:r>
        <w:rPr>
          <w:color w:val="0D0D0D"/>
          <w:sz w:val="24"/>
          <w:szCs w:val="24"/>
          <w:highlight w:val="white"/>
        </w:rPr>
        <w:t>ico, el que dispone de los elementos técnicos necesarios para valorar correctamente ese impacto, y a partir de ello, llegado el caso, demostrar a los miembros del órgano legislativo la inviabilidad financiera de la propuesta que se estudia.</w:t>
      </w:r>
    </w:p>
    <w:p w:rsidR="00326BA5" w:rsidRDefault="00F463F1">
      <w:pPr>
        <w:widowControl w:val="0"/>
        <w:numPr>
          <w:ilvl w:val="0"/>
          <w:numId w:val="2"/>
        </w:numPr>
        <w:spacing w:after="160"/>
        <w:jc w:val="both"/>
        <w:rPr>
          <w:b/>
          <w:color w:val="0D0D0D"/>
          <w:sz w:val="24"/>
          <w:szCs w:val="24"/>
        </w:rPr>
      </w:pPr>
      <w:r>
        <w:rPr>
          <w:b/>
          <w:color w:val="0D0D0D"/>
          <w:sz w:val="24"/>
          <w:szCs w:val="24"/>
        </w:rPr>
        <w:t xml:space="preserve">DECLARACIÓN DE </w:t>
      </w:r>
      <w:r>
        <w:rPr>
          <w:b/>
          <w:color w:val="0D0D0D"/>
          <w:sz w:val="24"/>
          <w:szCs w:val="24"/>
        </w:rPr>
        <w:t>IMPEDIMENTOS</w:t>
      </w:r>
    </w:p>
    <w:p w:rsidR="00326BA5" w:rsidRDefault="00F463F1">
      <w:pPr>
        <w:spacing w:after="160"/>
        <w:jc w:val="both"/>
        <w:rPr>
          <w:color w:val="0D0D0D"/>
          <w:sz w:val="24"/>
          <w:szCs w:val="24"/>
        </w:rPr>
      </w:pPr>
      <w:r>
        <w:rPr>
          <w:color w:val="0D0D0D"/>
          <w:sz w:val="24"/>
          <w:szCs w:val="24"/>
        </w:rPr>
        <w:t xml:space="preserve">En virtud de lo estipulado en al artículo 286 de la Ley 5 de 1992, se entenderá por conflicto de interés una situación que, en discusión o votación de un proyecto de ley, pueda resultar en un beneficio particular, actual y directo a favor del </w:t>
      </w:r>
      <w:r>
        <w:rPr>
          <w:color w:val="0D0D0D"/>
          <w:sz w:val="24"/>
          <w:szCs w:val="24"/>
        </w:rPr>
        <w:t xml:space="preserve">congresista. Teniendo en cuenta que los conflictos de interés son de carácter personal, corresponderá a cada Congresista evaluarlos de acuerdo a la norma previamente citada. </w:t>
      </w:r>
    </w:p>
    <w:p w:rsidR="00326BA5" w:rsidRDefault="00F463F1">
      <w:pPr>
        <w:spacing w:after="160"/>
        <w:jc w:val="both"/>
        <w:rPr>
          <w:color w:val="0D0D0D"/>
          <w:sz w:val="24"/>
          <w:szCs w:val="24"/>
        </w:rPr>
      </w:pPr>
      <w:r>
        <w:rPr>
          <w:color w:val="0D0D0D"/>
          <w:sz w:val="24"/>
          <w:szCs w:val="24"/>
        </w:rPr>
        <w:lastRenderedPageBreak/>
        <w:t xml:space="preserve">Así las cosas, corresponde señalar que, las situaciones en que puede configurarse un impedimento son las siguientes: </w:t>
      </w:r>
    </w:p>
    <w:p w:rsidR="00326BA5" w:rsidRDefault="00F463F1">
      <w:pPr>
        <w:widowControl w:val="0"/>
        <w:numPr>
          <w:ilvl w:val="0"/>
          <w:numId w:val="1"/>
        </w:numPr>
        <w:spacing w:after="160"/>
        <w:jc w:val="both"/>
        <w:rPr>
          <w:i/>
          <w:color w:val="0D0D0D"/>
          <w:sz w:val="24"/>
          <w:szCs w:val="24"/>
        </w:rPr>
      </w:pPr>
      <w:r>
        <w:rPr>
          <w:i/>
          <w:color w:val="0D0D0D"/>
          <w:sz w:val="24"/>
          <w:szCs w:val="24"/>
        </w:rPr>
        <w:t>Beneficio particular: aquel que otorga un privilegio o genera ganancias o crea indemnizaciones económicas o elimina obligaciones a favor d</w:t>
      </w:r>
      <w:r>
        <w:rPr>
          <w:i/>
          <w:color w:val="0D0D0D"/>
          <w:sz w:val="24"/>
          <w:szCs w:val="24"/>
        </w:rPr>
        <w:t xml:space="preserve">el congresista de las que no gozan el resto de los ciudadanos, </w:t>
      </w:r>
    </w:p>
    <w:p w:rsidR="00326BA5" w:rsidRDefault="00F463F1">
      <w:pPr>
        <w:widowControl w:val="0"/>
        <w:numPr>
          <w:ilvl w:val="0"/>
          <w:numId w:val="1"/>
        </w:numPr>
        <w:spacing w:after="160"/>
        <w:jc w:val="both"/>
        <w:rPr>
          <w:i/>
          <w:color w:val="0D0D0D"/>
          <w:sz w:val="24"/>
          <w:szCs w:val="24"/>
        </w:rPr>
      </w:pPr>
      <w:r>
        <w:rPr>
          <w:i/>
          <w:color w:val="0D0D0D"/>
          <w:sz w:val="24"/>
          <w:szCs w:val="24"/>
        </w:rPr>
        <w:t xml:space="preserve">Beneficio actual: aquel que efectivamente se configura en las circunstancias presentes y existentes al momento en el que el congresista participa de la decisión o </w:t>
      </w:r>
    </w:p>
    <w:p w:rsidR="00326BA5" w:rsidRDefault="00F463F1">
      <w:pPr>
        <w:widowControl w:val="0"/>
        <w:numPr>
          <w:ilvl w:val="0"/>
          <w:numId w:val="1"/>
        </w:numPr>
        <w:spacing w:after="160"/>
        <w:jc w:val="both"/>
        <w:rPr>
          <w:i/>
          <w:color w:val="0D0D0D"/>
          <w:sz w:val="24"/>
          <w:szCs w:val="24"/>
        </w:rPr>
      </w:pPr>
      <w:r>
        <w:rPr>
          <w:i/>
          <w:color w:val="0D0D0D"/>
          <w:sz w:val="24"/>
          <w:szCs w:val="24"/>
        </w:rPr>
        <w:t>Beneficio directo: aquel que</w:t>
      </w:r>
      <w:r>
        <w:rPr>
          <w:i/>
          <w:color w:val="0D0D0D"/>
          <w:sz w:val="24"/>
          <w:szCs w:val="24"/>
        </w:rPr>
        <w:t xml:space="preserve"> se produzca de forma específica respecto del congresista, de su cónyuge, compañero o compañera permanente, o parientes dentro del segundo grado de consanguinidad, segundo de afinidad o primero civil</w:t>
      </w:r>
    </w:p>
    <w:p w:rsidR="00326BA5" w:rsidRDefault="00F463F1">
      <w:pPr>
        <w:spacing w:after="160"/>
        <w:jc w:val="both"/>
        <w:rPr>
          <w:color w:val="0D0D0D"/>
          <w:sz w:val="24"/>
          <w:szCs w:val="24"/>
        </w:rPr>
      </w:pPr>
      <w:r>
        <w:rPr>
          <w:color w:val="0D0D0D"/>
          <w:sz w:val="24"/>
          <w:szCs w:val="24"/>
        </w:rPr>
        <w:t>Corolario de lo anterior, teniendo en cuenta que el pres</w:t>
      </w:r>
      <w:r>
        <w:rPr>
          <w:color w:val="0D0D0D"/>
          <w:sz w:val="24"/>
          <w:szCs w:val="24"/>
        </w:rPr>
        <w:t>ente proyecto tiene por objeto principal la reducción de los términos en que la DIAN efectúa la devolución de saldos a favor de los contribuyentes respecto al Impuesto de Rentas y Complementarios; es correcto afirmar que no crea conflicto de intereses resp</w:t>
      </w:r>
      <w:r>
        <w:rPr>
          <w:color w:val="0D0D0D"/>
          <w:sz w:val="24"/>
          <w:szCs w:val="24"/>
        </w:rPr>
        <w:t>ecto al congresista que participe, discuta y/o vote el presente proyecto de ley.</w:t>
      </w:r>
    </w:p>
    <w:p w:rsidR="00326BA5" w:rsidRDefault="00F463F1">
      <w:pPr>
        <w:spacing w:after="160"/>
        <w:jc w:val="both"/>
        <w:rPr>
          <w:sz w:val="24"/>
          <w:szCs w:val="24"/>
        </w:rPr>
      </w:pPr>
      <w:r>
        <w:rPr>
          <w:color w:val="0D0D0D"/>
          <w:sz w:val="24"/>
          <w:szCs w:val="24"/>
        </w:rPr>
        <w:t xml:space="preserve">Sin embargo, </w:t>
      </w:r>
      <w:r>
        <w:rPr>
          <w:sz w:val="24"/>
          <w:szCs w:val="24"/>
        </w:rPr>
        <w:t>lo anterior no exonera a los congresistas de examinar minuciosamente posibles conflictos de interés para conocer y votar este proyecto, y en caso de existir algún</w:t>
      </w:r>
      <w:r>
        <w:rPr>
          <w:sz w:val="24"/>
          <w:szCs w:val="24"/>
        </w:rPr>
        <w:t xml:space="preserve"> conflicto, su responsabilidad de manifestarlo al Congreso de la República, durante el trámite del mismo.</w:t>
      </w:r>
    </w:p>
    <w:p w:rsidR="00326BA5" w:rsidRDefault="00326BA5">
      <w:pPr>
        <w:widowControl w:val="0"/>
        <w:spacing w:after="160"/>
        <w:jc w:val="both"/>
        <w:rPr>
          <w:b/>
          <w:color w:val="0D0D0D"/>
          <w:sz w:val="24"/>
          <w:szCs w:val="24"/>
        </w:rPr>
      </w:pPr>
    </w:p>
    <w:p w:rsidR="00326BA5" w:rsidRDefault="00F463F1">
      <w:pPr>
        <w:widowControl w:val="0"/>
        <w:numPr>
          <w:ilvl w:val="0"/>
          <w:numId w:val="2"/>
        </w:numPr>
        <w:spacing w:after="160"/>
        <w:jc w:val="both"/>
        <w:rPr>
          <w:b/>
          <w:color w:val="0D0D0D"/>
          <w:sz w:val="24"/>
          <w:szCs w:val="24"/>
        </w:rPr>
      </w:pPr>
      <w:r>
        <w:rPr>
          <w:b/>
          <w:color w:val="0D0D0D"/>
          <w:sz w:val="24"/>
          <w:szCs w:val="24"/>
        </w:rPr>
        <w:t xml:space="preserve">CONTENIDO DEL PROYECTO DE LEY </w:t>
      </w:r>
    </w:p>
    <w:p w:rsidR="00326BA5" w:rsidRDefault="00F463F1">
      <w:pPr>
        <w:spacing w:after="160"/>
        <w:jc w:val="both"/>
        <w:rPr>
          <w:color w:val="0D0D0D"/>
          <w:sz w:val="24"/>
          <w:szCs w:val="24"/>
        </w:rPr>
      </w:pPr>
      <w:r>
        <w:rPr>
          <w:color w:val="0D0D0D"/>
          <w:sz w:val="24"/>
          <w:szCs w:val="24"/>
        </w:rPr>
        <w:t>El presente proyecto de ley consta de 4 artículos incluyendo la vigencia. El primero de ellos establece el objetivo de</w:t>
      </w:r>
      <w:r>
        <w:rPr>
          <w:color w:val="0D0D0D"/>
          <w:sz w:val="24"/>
          <w:szCs w:val="24"/>
        </w:rPr>
        <w:t xml:space="preserve"> la iniciativa. </w:t>
      </w:r>
    </w:p>
    <w:p w:rsidR="00326BA5" w:rsidRDefault="00F463F1">
      <w:pPr>
        <w:spacing w:after="160"/>
        <w:jc w:val="both"/>
        <w:rPr>
          <w:sz w:val="24"/>
          <w:szCs w:val="24"/>
        </w:rPr>
      </w:pPr>
      <w:r>
        <w:rPr>
          <w:color w:val="0D0D0D"/>
          <w:sz w:val="24"/>
          <w:szCs w:val="24"/>
        </w:rPr>
        <w:t xml:space="preserve">El segundo artículo del proyecto se refiere a la </w:t>
      </w:r>
      <w:r>
        <w:rPr>
          <w:sz w:val="24"/>
          <w:szCs w:val="24"/>
        </w:rPr>
        <w:t xml:space="preserve">promoción del cumplimiento voluntario de las obligaciones tributarias. </w:t>
      </w:r>
    </w:p>
    <w:p w:rsidR="00326BA5" w:rsidRDefault="00F463F1">
      <w:pPr>
        <w:spacing w:after="160"/>
        <w:jc w:val="both"/>
        <w:rPr>
          <w:sz w:val="24"/>
          <w:szCs w:val="24"/>
        </w:rPr>
      </w:pPr>
      <w:r>
        <w:rPr>
          <w:sz w:val="24"/>
          <w:szCs w:val="24"/>
        </w:rPr>
        <w:t>El artículo tercero hace referencia a la cesación de efectos penales.</w:t>
      </w:r>
    </w:p>
    <w:p w:rsidR="00326BA5" w:rsidRDefault="00F463F1">
      <w:pPr>
        <w:spacing w:after="160"/>
        <w:jc w:val="both"/>
        <w:rPr>
          <w:color w:val="0D0D0D"/>
          <w:sz w:val="24"/>
          <w:szCs w:val="24"/>
        </w:rPr>
      </w:pPr>
      <w:r>
        <w:rPr>
          <w:color w:val="0D0D0D"/>
          <w:sz w:val="24"/>
          <w:szCs w:val="24"/>
        </w:rPr>
        <w:t xml:space="preserve">Finalmente, el artículo cuarto dispone la vigencia de la ley. </w:t>
      </w:r>
    </w:p>
    <w:p w:rsidR="00326BA5" w:rsidRDefault="00326BA5">
      <w:pPr>
        <w:spacing w:after="160"/>
        <w:jc w:val="both"/>
        <w:rPr>
          <w:color w:val="0D0D0D"/>
          <w:sz w:val="24"/>
          <w:szCs w:val="24"/>
        </w:rPr>
      </w:pPr>
    </w:p>
    <w:p w:rsidR="00326BA5" w:rsidRDefault="00326BA5">
      <w:pPr>
        <w:spacing w:after="160"/>
        <w:jc w:val="both"/>
        <w:rPr>
          <w:color w:val="0D0D0D"/>
          <w:sz w:val="24"/>
          <w:szCs w:val="24"/>
        </w:rPr>
      </w:pPr>
    </w:p>
    <w:p w:rsidR="00326BA5" w:rsidRDefault="00F463F1">
      <w:pPr>
        <w:numPr>
          <w:ilvl w:val="0"/>
          <w:numId w:val="2"/>
        </w:numPr>
        <w:spacing w:after="160"/>
        <w:jc w:val="both"/>
        <w:rPr>
          <w:b/>
          <w:color w:val="0D0D0D"/>
          <w:sz w:val="24"/>
          <w:szCs w:val="24"/>
        </w:rPr>
      </w:pPr>
      <w:r>
        <w:rPr>
          <w:b/>
          <w:color w:val="0D0D0D"/>
          <w:sz w:val="24"/>
          <w:szCs w:val="24"/>
        </w:rPr>
        <w:t xml:space="preserve"> ARTICULADO</w:t>
      </w:r>
    </w:p>
    <w:p w:rsidR="00326BA5" w:rsidRDefault="00326BA5">
      <w:pPr>
        <w:spacing w:before="240" w:after="240" w:line="278" w:lineRule="auto"/>
        <w:jc w:val="both"/>
        <w:rPr>
          <w:rFonts w:ascii="Raleway" w:eastAsia="Raleway" w:hAnsi="Raleway" w:cs="Raleway"/>
        </w:rPr>
      </w:pPr>
    </w:p>
    <w:p w:rsidR="00D66E63" w:rsidRDefault="00D66E63">
      <w:pPr>
        <w:spacing w:before="240" w:after="240" w:line="278" w:lineRule="auto"/>
        <w:jc w:val="both"/>
        <w:rPr>
          <w:rFonts w:ascii="Raleway" w:eastAsia="Raleway" w:hAnsi="Raleway" w:cs="Raleway"/>
        </w:rPr>
      </w:pPr>
    </w:p>
    <w:p w:rsidR="00D66E63" w:rsidRDefault="00D66E63">
      <w:pPr>
        <w:spacing w:before="240" w:after="240" w:line="278" w:lineRule="auto"/>
        <w:jc w:val="both"/>
        <w:rPr>
          <w:rFonts w:ascii="Raleway" w:eastAsia="Raleway" w:hAnsi="Raleway" w:cs="Raleway"/>
        </w:rPr>
      </w:pPr>
    </w:p>
    <w:p w:rsidR="00D66E63" w:rsidRDefault="00D66E63">
      <w:pPr>
        <w:spacing w:before="240" w:after="240" w:line="278" w:lineRule="auto"/>
        <w:jc w:val="both"/>
        <w:rPr>
          <w:rFonts w:ascii="Raleway" w:eastAsia="Raleway" w:hAnsi="Raleway" w:cs="Raleway"/>
        </w:rPr>
      </w:pPr>
    </w:p>
    <w:p w:rsidR="00D66E63" w:rsidRDefault="00D66E63">
      <w:pPr>
        <w:spacing w:before="240" w:after="240" w:line="278" w:lineRule="auto"/>
        <w:jc w:val="both"/>
        <w:rPr>
          <w:rFonts w:ascii="Raleway" w:eastAsia="Raleway" w:hAnsi="Raleway" w:cs="Raleway"/>
        </w:rPr>
      </w:pPr>
    </w:p>
    <w:p w:rsidR="00D66E63" w:rsidRDefault="00D66E63">
      <w:pPr>
        <w:spacing w:before="240" w:after="240" w:line="278" w:lineRule="auto"/>
        <w:jc w:val="both"/>
        <w:rPr>
          <w:rFonts w:ascii="Raleway" w:eastAsia="Raleway" w:hAnsi="Raleway" w:cs="Raleway"/>
        </w:rPr>
      </w:pPr>
      <w:bookmarkStart w:id="2" w:name="_GoBack"/>
      <w:bookmarkEnd w:id="2"/>
    </w:p>
    <w:p w:rsidR="00D66E63" w:rsidRDefault="00D66E63">
      <w:pPr>
        <w:spacing w:after="160"/>
        <w:jc w:val="center"/>
        <w:rPr>
          <w:b/>
          <w:sz w:val="24"/>
          <w:szCs w:val="24"/>
        </w:rPr>
      </w:pPr>
    </w:p>
    <w:p w:rsidR="00326BA5" w:rsidRDefault="00F463F1">
      <w:pPr>
        <w:spacing w:after="160"/>
        <w:jc w:val="center"/>
        <w:rPr>
          <w:b/>
          <w:sz w:val="24"/>
          <w:szCs w:val="24"/>
        </w:rPr>
      </w:pPr>
      <w:r>
        <w:rPr>
          <w:b/>
          <w:sz w:val="24"/>
          <w:szCs w:val="24"/>
        </w:rPr>
        <w:lastRenderedPageBreak/>
        <w:t>PROYECTO DE LEY N°__</w:t>
      </w:r>
    </w:p>
    <w:p w:rsidR="00326BA5" w:rsidRDefault="00F463F1">
      <w:pPr>
        <w:spacing w:after="200"/>
        <w:jc w:val="center"/>
        <w:rPr>
          <w:rFonts w:ascii="Calibri" w:eastAsia="Calibri" w:hAnsi="Calibri" w:cs="Calibri"/>
        </w:rPr>
      </w:pPr>
      <w:r>
        <w:rPr>
          <w:b/>
          <w:sz w:val="24"/>
          <w:szCs w:val="24"/>
        </w:rPr>
        <w:t>“Por medio de la cual se crean medidas para el cumplimiento de las obligaciones tributarias no pagadas</w:t>
      </w:r>
      <w:r>
        <w:rPr>
          <w:b/>
          <w:i/>
          <w:sz w:val="24"/>
          <w:szCs w:val="24"/>
        </w:rPr>
        <w:t xml:space="preserve"> y se dictan otras disposiciones</w:t>
      </w:r>
      <w:r>
        <w:rPr>
          <w:b/>
          <w:sz w:val="24"/>
          <w:szCs w:val="24"/>
        </w:rPr>
        <w:t>”</w:t>
      </w:r>
    </w:p>
    <w:p w:rsidR="00326BA5" w:rsidRDefault="00326BA5">
      <w:pPr>
        <w:spacing w:line="259" w:lineRule="auto"/>
        <w:rPr>
          <w:rFonts w:ascii="Calibri" w:eastAsia="Calibri" w:hAnsi="Calibri" w:cs="Calibri"/>
        </w:rPr>
      </w:pPr>
    </w:p>
    <w:p w:rsidR="00326BA5" w:rsidRDefault="00F463F1">
      <w:pPr>
        <w:spacing w:after="200"/>
        <w:jc w:val="both"/>
        <w:rPr>
          <w:b/>
          <w:sz w:val="24"/>
          <w:szCs w:val="24"/>
        </w:rPr>
      </w:pPr>
      <w:r>
        <w:rPr>
          <w:b/>
          <w:sz w:val="24"/>
          <w:szCs w:val="24"/>
        </w:rPr>
        <w:t>Artículo 1. Objeto.</w:t>
      </w:r>
      <w:r>
        <w:rPr>
          <w:b/>
          <w:sz w:val="24"/>
          <w:szCs w:val="24"/>
        </w:rPr>
        <w:t xml:space="preserve"> </w:t>
      </w:r>
      <w:r>
        <w:rPr>
          <w:sz w:val="24"/>
          <w:szCs w:val="24"/>
        </w:rPr>
        <w:t xml:space="preserve">El objeto de la presente ley es promover el cumplimiento voluntario de las obligaciones tributarias relacionadas con retenciones no pagadas, mediante la implementación de un mecanismo voluntario que permita a los contribuyentes regularizar los valores no </w:t>
      </w:r>
      <w:r>
        <w:rPr>
          <w:sz w:val="24"/>
          <w:szCs w:val="24"/>
        </w:rPr>
        <w:t>declarados sin la generación de intereses ni sanciones adicionales, con el objetivo de mejorar la sostenibilidad fiscal del país.</w:t>
      </w:r>
    </w:p>
    <w:p w:rsidR="00326BA5" w:rsidRDefault="00F463F1">
      <w:pPr>
        <w:spacing w:after="200"/>
        <w:jc w:val="both"/>
        <w:rPr>
          <w:sz w:val="24"/>
          <w:szCs w:val="24"/>
        </w:rPr>
      </w:pPr>
      <w:r>
        <w:rPr>
          <w:b/>
          <w:sz w:val="24"/>
          <w:szCs w:val="24"/>
        </w:rPr>
        <w:t>Artículo 2.</w:t>
      </w:r>
      <w:r>
        <w:rPr>
          <w:sz w:val="24"/>
          <w:szCs w:val="24"/>
        </w:rPr>
        <w:t xml:space="preserve"> Con el fin de promover el cumplimiento voluntario de las obligaciones tributarias y mejorar la sostenibilidad fisc</w:t>
      </w:r>
      <w:r>
        <w:rPr>
          <w:sz w:val="24"/>
          <w:szCs w:val="24"/>
        </w:rPr>
        <w:t>al del país, los contribuyentes que hayan presentado declaraciones tributarias que a la fecha de entrada en vigencia de este artículo se encuentren en firme, pero en las cuales no se hayan liquidado y pagado en su totalidad las retenciones a título de impu</w:t>
      </w:r>
      <w:r>
        <w:rPr>
          <w:sz w:val="24"/>
          <w:szCs w:val="24"/>
        </w:rPr>
        <w:t xml:space="preserve">esto sobre la renta, podrán de manera voluntaria pagar los valores no declarados sin la generación de intereses ni sanciones adicionales, de acuerdo con los siguientes lineamientos: </w:t>
      </w:r>
    </w:p>
    <w:p w:rsidR="00326BA5" w:rsidRDefault="00F463F1">
      <w:pPr>
        <w:numPr>
          <w:ilvl w:val="0"/>
          <w:numId w:val="4"/>
        </w:numPr>
        <w:spacing w:after="200"/>
        <w:jc w:val="both"/>
        <w:rPr>
          <w:sz w:val="24"/>
          <w:szCs w:val="24"/>
        </w:rPr>
      </w:pPr>
      <w:r>
        <w:rPr>
          <w:sz w:val="24"/>
          <w:szCs w:val="24"/>
        </w:rPr>
        <w:t xml:space="preserve">Esta disposición aplicará exclusivamente a la obligación correspondiente </w:t>
      </w:r>
      <w:r>
        <w:rPr>
          <w:sz w:val="24"/>
          <w:szCs w:val="24"/>
        </w:rPr>
        <w:t>al impuesto de renta, bajo la modalidad de retención, el cual es administrado por la Dirección de Impuestos y Aduanas Nacionales (DIAN), que no hayan sido declarados y ya haya operado la firmeza de la declaración para el momento de entrada en vigor de la p</w:t>
      </w:r>
      <w:r>
        <w:rPr>
          <w:sz w:val="24"/>
          <w:szCs w:val="24"/>
        </w:rPr>
        <w:t>resente Ley.</w:t>
      </w:r>
    </w:p>
    <w:p w:rsidR="00326BA5" w:rsidRDefault="00F463F1">
      <w:pPr>
        <w:numPr>
          <w:ilvl w:val="0"/>
          <w:numId w:val="4"/>
        </w:numPr>
        <w:spacing w:after="200"/>
        <w:jc w:val="both"/>
        <w:rPr>
          <w:sz w:val="24"/>
          <w:szCs w:val="24"/>
        </w:rPr>
      </w:pPr>
      <w:r>
        <w:rPr>
          <w:sz w:val="24"/>
          <w:szCs w:val="24"/>
        </w:rPr>
        <w:t xml:space="preserve">Para acogerse a este beneficio, los contribuyentes deberán realizar el pago total de las obligaciones omitidas dentro del plazo de seis (6) meses a partir de la entrada en vigencia de la presente ley. Este pago podrá ser efectuado en una sola </w:t>
      </w:r>
      <w:r>
        <w:rPr>
          <w:sz w:val="24"/>
          <w:szCs w:val="24"/>
        </w:rPr>
        <w:t>cuota o en cuotas parciales, siempre y cuando se complete el pago total dentro del plazo establecido.</w:t>
      </w:r>
    </w:p>
    <w:p w:rsidR="00326BA5" w:rsidRDefault="00F463F1">
      <w:pPr>
        <w:numPr>
          <w:ilvl w:val="0"/>
          <w:numId w:val="4"/>
        </w:numPr>
        <w:spacing w:after="200"/>
        <w:jc w:val="both"/>
        <w:rPr>
          <w:sz w:val="24"/>
          <w:szCs w:val="24"/>
        </w:rPr>
      </w:pPr>
      <w:r>
        <w:rPr>
          <w:sz w:val="24"/>
          <w:szCs w:val="24"/>
        </w:rPr>
        <w:t>El pago voluntario efectuado bajo las condiciones de este artículo no dará lugar a la reapertura de las declaraciones sobre las cuales haya operado su firmeza, ni a la imposición de sanciones adicionales por parte de la administración tributaria.</w:t>
      </w:r>
    </w:p>
    <w:p w:rsidR="00326BA5" w:rsidRDefault="00F463F1">
      <w:pPr>
        <w:numPr>
          <w:ilvl w:val="0"/>
          <w:numId w:val="4"/>
        </w:numPr>
        <w:spacing w:after="200"/>
        <w:jc w:val="both"/>
        <w:rPr>
          <w:sz w:val="24"/>
          <w:szCs w:val="24"/>
        </w:rPr>
      </w:pPr>
      <w:r>
        <w:rPr>
          <w:sz w:val="24"/>
          <w:szCs w:val="24"/>
        </w:rPr>
        <w:t>La DIAN r</w:t>
      </w:r>
      <w:r>
        <w:rPr>
          <w:sz w:val="24"/>
          <w:szCs w:val="24"/>
        </w:rPr>
        <w:t>eglamentará, dentro de los treinta (30) días siguientes a la entrada en vigencia de la presente ley, el procedimiento a seguir para que los contribuyentes puedan acogerse a este beneficio, incluyendo los mecanismos de pago y las plataformas habilitadas par</w:t>
      </w:r>
      <w:r>
        <w:rPr>
          <w:sz w:val="24"/>
          <w:szCs w:val="24"/>
        </w:rPr>
        <w:t>a tal fin.</w:t>
      </w:r>
    </w:p>
    <w:p w:rsidR="00326BA5" w:rsidRDefault="00F463F1">
      <w:pPr>
        <w:spacing w:before="240" w:after="200"/>
        <w:jc w:val="both"/>
        <w:rPr>
          <w:sz w:val="24"/>
          <w:szCs w:val="24"/>
        </w:rPr>
      </w:pPr>
      <w:r>
        <w:rPr>
          <w:b/>
          <w:sz w:val="24"/>
          <w:szCs w:val="24"/>
        </w:rPr>
        <w:t>Parágrafo:</w:t>
      </w:r>
      <w:r>
        <w:rPr>
          <w:sz w:val="24"/>
          <w:szCs w:val="24"/>
        </w:rPr>
        <w:t xml:space="preserve"> Los contribuyentes que se acojan a esta disposición no podrán reclamar devolución o compensación alguna respecto de los pagos realizados en virtud de este artículo.</w:t>
      </w:r>
    </w:p>
    <w:p w:rsidR="00326BA5" w:rsidRDefault="00F463F1">
      <w:pPr>
        <w:spacing w:before="240" w:after="200"/>
        <w:jc w:val="both"/>
        <w:rPr>
          <w:sz w:val="24"/>
          <w:szCs w:val="24"/>
        </w:rPr>
      </w:pPr>
      <w:r>
        <w:rPr>
          <w:b/>
          <w:sz w:val="24"/>
          <w:szCs w:val="24"/>
        </w:rPr>
        <w:t>Artículo 3. Cesación efectos penales.</w:t>
      </w:r>
      <w:r>
        <w:rPr>
          <w:sz w:val="24"/>
          <w:szCs w:val="24"/>
        </w:rPr>
        <w:t xml:space="preserve"> El pago integral de los montos </w:t>
      </w:r>
      <w:r>
        <w:rPr>
          <w:sz w:val="24"/>
          <w:szCs w:val="24"/>
        </w:rPr>
        <w:t>de que trata este artículo tendrá como efecto la cesación de cualquier causa penal de que trata el artículo 402 del Código Penal Colombiano.</w:t>
      </w:r>
    </w:p>
    <w:p w:rsidR="00326BA5" w:rsidRDefault="00F463F1">
      <w:pPr>
        <w:spacing w:after="200"/>
        <w:jc w:val="both"/>
        <w:rPr>
          <w:b/>
          <w:sz w:val="24"/>
          <w:szCs w:val="24"/>
        </w:rPr>
      </w:pPr>
      <w:r>
        <w:rPr>
          <w:b/>
          <w:sz w:val="24"/>
          <w:szCs w:val="24"/>
        </w:rPr>
        <w:t xml:space="preserve">Artículo 4. Vigencia. </w:t>
      </w:r>
      <w:r>
        <w:rPr>
          <w:sz w:val="24"/>
          <w:szCs w:val="24"/>
        </w:rPr>
        <w:t>La presente ley rige a partir de la fecha de su promulgación y deroga todas las disposiciones</w:t>
      </w:r>
      <w:r>
        <w:rPr>
          <w:sz w:val="24"/>
          <w:szCs w:val="24"/>
        </w:rPr>
        <w:t xml:space="preserve"> que le sean contrarias.</w:t>
      </w:r>
    </w:p>
    <w:p w:rsidR="00326BA5" w:rsidRDefault="00326BA5">
      <w:pPr>
        <w:spacing w:line="240" w:lineRule="auto"/>
        <w:jc w:val="both"/>
        <w:rPr>
          <w:b/>
          <w:sz w:val="24"/>
          <w:szCs w:val="24"/>
        </w:rPr>
      </w:pPr>
    </w:p>
    <w:p w:rsidR="00326BA5" w:rsidRDefault="00F463F1">
      <w:pPr>
        <w:spacing w:line="240" w:lineRule="auto"/>
        <w:jc w:val="both"/>
        <w:rPr>
          <w:sz w:val="24"/>
          <w:szCs w:val="24"/>
        </w:rPr>
      </w:pPr>
      <w:r>
        <w:rPr>
          <w:sz w:val="24"/>
          <w:szCs w:val="24"/>
        </w:rPr>
        <w:t>Cordialmente,</w:t>
      </w:r>
    </w:p>
    <w:p w:rsidR="00326BA5" w:rsidRDefault="00326BA5">
      <w:pPr>
        <w:spacing w:line="240" w:lineRule="auto"/>
        <w:jc w:val="both"/>
        <w:rPr>
          <w:sz w:val="24"/>
          <w:szCs w:val="24"/>
        </w:rPr>
      </w:pPr>
    </w:p>
    <w:p w:rsidR="00326BA5" w:rsidRDefault="00326BA5">
      <w:pPr>
        <w:spacing w:after="200" w:line="360" w:lineRule="auto"/>
        <w:jc w:val="both"/>
        <w:rPr>
          <w:sz w:val="24"/>
          <w:szCs w:val="24"/>
        </w:rPr>
      </w:pPr>
    </w:p>
    <w:tbl>
      <w:tblPr>
        <w:tblStyle w:val="a5"/>
        <w:tblW w:w="99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980"/>
        <w:gridCol w:w="4980"/>
      </w:tblGrid>
      <w:tr w:rsidR="00326BA5">
        <w:trPr>
          <w:trHeight w:val="2063"/>
        </w:trPr>
        <w:tc>
          <w:tcPr>
            <w:tcW w:w="4980" w:type="dxa"/>
          </w:tcPr>
          <w:p w:rsidR="00326BA5" w:rsidRDefault="00F463F1">
            <w:pPr>
              <w:jc w:val="center"/>
              <w:rPr>
                <w:b/>
                <w:sz w:val="24"/>
                <w:szCs w:val="24"/>
              </w:rPr>
            </w:pPr>
            <w:r>
              <w:rPr>
                <w:b/>
                <w:sz w:val="24"/>
                <w:szCs w:val="24"/>
              </w:rPr>
              <w:lastRenderedPageBreak/>
              <w:t xml:space="preserve">                                                                 </w:t>
            </w:r>
          </w:p>
          <w:p w:rsidR="00326BA5" w:rsidRDefault="00326BA5">
            <w:pPr>
              <w:rPr>
                <w:b/>
                <w:sz w:val="24"/>
                <w:szCs w:val="24"/>
              </w:rPr>
            </w:pPr>
          </w:p>
          <w:p w:rsidR="00326BA5" w:rsidRDefault="00326BA5">
            <w:pPr>
              <w:jc w:val="center"/>
              <w:rPr>
                <w:b/>
                <w:sz w:val="24"/>
                <w:szCs w:val="24"/>
              </w:rPr>
            </w:pPr>
          </w:p>
          <w:p w:rsidR="00326BA5" w:rsidRDefault="00326BA5">
            <w:pPr>
              <w:rPr>
                <w:b/>
                <w:sz w:val="24"/>
                <w:szCs w:val="24"/>
              </w:rPr>
            </w:pPr>
          </w:p>
          <w:p w:rsidR="00326BA5" w:rsidRDefault="00326BA5">
            <w:pPr>
              <w:rPr>
                <w:b/>
                <w:sz w:val="24"/>
                <w:szCs w:val="24"/>
              </w:rPr>
            </w:pPr>
          </w:p>
          <w:p w:rsidR="00326BA5" w:rsidRDefault="00326BA5">
            <w:pPr>
              <w:rPr>
                <w:b/>
                <w:sz w:val="24"/>
                <w:szCs w:val="24"/>
              </w:rPr>
            </w:pPr>
          </w:p>
          <w:p w:rsidR="00326BA5" w:rsidRDefault="00326BA5">
            <w:pPr>
              <w:rPr>
                <w:b/>
                <w:sz w:val="24"/>
                <w:szCs w:val="24"/>
              </w:rPr>
            </w:pPr>
          </w:p>
          <w:p w:rsidR="00326BA5" w:rsidRDefault="00F463F1">
            <w:pPr>
              <w:jc w:val="center"/>
              <w:rPr>
                <w:b/>
                <w:sz w:val="24"/>
                <w:szCs w:val="24"/>
              </w:rPr>
            </w:pPr>
            <w:r>
              <w:rPr>
                <w:b/>
                <w:sz w:val="24"/>
                <w:szCs w:val="24"/>
              </w:rPr>
              <w:t>ANGELA MARÍA VERGARA GONZALEZ</w:t>
            </w:r>
          </w:p>
          <w:p w:rsidR="00326BA5" w:rsidRDefault="00F463F1">
            <w:pPr>
              <w:jc w:val="center"/>
              <w:rPr>
                <w:b/>
                <w:sz w:val="24"/>
                <w:szCs w:val="24"/>
              </w:rPr>
            </w:pPr>
            <w:r>
              <w:rPr>
                <w:b/>
                <w:sz w:val="24"/>
                <w:szCs w:val="24"/>
              </w:rPr>
              <w:t xml:space="preserve">Representante a la Cámara </w:t>
            </w:r>
          </w:p>
          <w:p w:rsidR="00326BA5" w:rsidRDefault="00F463F1">
            <w:pPr>
              <w:jc w:val="center"/>
              <w:rPr>
                <w:b/>
                <w:sz w:val="24"/>
                <w:szCs w:val="24"/>
              </w:rPr>
            </w:pPr>
            <w:r>
              <w:rPr>
                <w:b/>
                <w:sz w:val="24"/>
                <w:szCs w:val="24"/>
              </w:rPr>
              <w:t>Departamento de Bolívar</w:t>
            </w:r>
          </w:p>
        </w:tc>
        <w:tc>
          <w:tcPr>
            <w:tcW w:w="4980" w:type="dxa"/>
          </w:tcPr>
          <w:p w:rsidR="00326BA5" w:rsidRDefault="00326BA5">
            <w:pPr>
              <w:spacing w:line="276" w:lineRule="auto"/>
              <w:jc w:val="center"/>
              <w:rPr>
                <w:b/>
              </w:rPr>
            </w:pPr>
          </w:p>
          <w:p w:rsidR="00326BA5" w:rsidRDefault="00326BA5">
            <w:pPr>
              <w:widowControl w:val="0"/>
              <w:rPr>
                <w:b/>
                <w:sz w:val="24"/>
                <w:szCs w:val="24"/>
              </w:rPr>
            </w:pPr>
          </w:p>
          <w:p w:rsidR="00326BA5" w:rsidRDefault="00326BA5">
            <w:pPr>
              <w:widowControl w:val="0"/>
              <w:rPr>
                <w:b/>
                <w:sz w:val="24"/>
                <w:szCs w:val="24"/>
              </w:rPr>
            </w:pPr>
          </w:p>
          <w:p w:rsidR="00326BA5" w:rsidRDefault="00326BA5">
            <w:pPr>
              <w:widowControl w:val="0"/>
              <w:rPr>
                <w:b/>
                <w:sz w:val="24"/>
                <w:szCs w:val="24"/>
              </w:rPr>
            </w:pPr>
          </w:p>
          <w:p w:rsidR="00326BA5" w:rsidRDefault="00326BA5">
            <w:pPr>
              <w:widowControl w:val="0"/>
              <w:rPr>
                <w:b/>
                <w:sz w:val="24"/>
                <w:szCs w:val="24"/>
              </w:rPr>
            </w:pPr>
          </w:p>
          <w:p w:rsidR="00326BA5" w:rsidRDefault="00326BA5">
            <w:pPr>
              <w:widowControl w:val="0"/>
              <w:rPr>
                <w:b/>
                <w:sz w:val="24"/>
                <w:szCs w:val="24"/>
              </w:rPr>
            </w:pPr>
          </w:p>
          <w:p w:rsidR="00326BA5" w:rsidRDefault="00F463F1">
            <w:pPr>
              <w:widowControl w:val="0"/>
              <w:rPr>
                <w:b/>
                <w:sz w:val="24"/>
                <w:szCs w:val="24"/>
              </w:rPr>
            </w:pPr>
            <w:r>
              <w:rPr>
                <w:b/>
                <w:sz w:val="24"/>
                <w:szCs w:val="24"/>
              </w:rPr>
              <w:t>EFRAÍN CEPEDA SARABIA</w:t>
            </w:r>
          </w:p>
          <w:p w:rsidR="00326BA5" w:rsidRDefault="00F463F1">
            <w:pPr>
              <w:widowControl w:val="0"/>
              <w:rPr>
                <w:sz w:val="24"/>
                <w:szCs w:val="24"/>
              </w:rPr>
            </w:pPr>
            <w:r>
              <w:rPr>
                <w:b/>
                <w:sz w:val="24"/>
                <w:szCs w:val="24"/>
              </w:rPr>
              <w:t>Senador de la República</w:t>
            </w:r>
          </w:p>
          <w:p w:rsidR="00326BA5" w:rsidRDefault="00326BA5">
            <w:pPr>
              <w:rPr>
                <w:sz w:val="24"/>
                <w:szCs w:val="24"/>
              </w:rPr>
            </w:pPr>
          </w:p>
          <w:p w:rsidR="00326BA5" w:rsidRDefault="00326BA5">
            <w:pPr>
              <w:rPr>
                <w:sz w:val="24"/>
                <w:szCs w:val="24"/>
              </w:rPr>
            </w:pPr>
          </w:p>
          <w:p w:rsidR="00326BA5" w:rsidRDefault="00326BA5">
            <w:pPr>
              <w:jc w:val="center"/>
              <w:rPr>
                <w:sz w:val="24"/>
                <w:szCs w:val="24"/>
              </w:rPr>
            </w:pPr>
          </w:p>
        </w:tc>
      </w:tr>
      <w:tr w:rsidR="00326BA5">
        <w:trPr>
          <w:trHeight w:val="1545"/>
        </w:trPr>
        <w:tc>
          <w:tcPr>
            <w:tcW w:w="4980" w:type="dxa"/>
          </w:tcPr>
          <w:p w:rsidR="00326BA5" w:rsidRDefault="00326BA5">
            <w:pPr>
              <w:widowControl w:val="0"/>
              <w:rPr>
                <w:b/>
                <w:sz w:val="24"/>
                <w:szCs w:val="24"/>
              </w:rPr>
            </w:pPr>
          </w:p>
          <w:p w:rsidR="00326BA5" w:rsidRDefault="00326BA5">
            <w:pPr>
              <w:widowControl w:val="0"/>
              <w:rPr>
                <w:b/>
                <w:sz w:val="24"/>
                <w:szCs w:val="24"/>
              </w:rPr>
            </w:pPr>
          </w:p>
          <w:p w:rsidR="00326BA5" w:rsidRDefault="00F463F1">
            <w:pPr>
              <w:widowControl w:val="0"/>
              <w:rPr>
                <w:b/>
                <w:sz w:val="24"/>
                <w:szCs w:val="24"/>
              </w:rPr>
            </w:pPr>
            <w:r>
              <w:rPr>
                <w:b/>
                <w:sz w:val="24"/>
                <w:szCs w:val="24"/>
              </w:rPr>
              <w:t>LILIANA BITAR CASTILLA</w:t>
            </w:r>
          </w:p>
          <w:p w:rsidR="00326BA5" w:rsidRDefault="00F463F1">
            <w:pPr>
              <w:widowControl w:val="0"/>
              <w:rPr>
                <w:b/>
                <w:sz w:val="24"/>
                <w:szCs w:val="24"/>
              </w:rPr>
            </w:pPr>
            <w:r>
              <w:rPr>
                <w:b/>
                <w:sz w:val="24"/>
                <w:szCs w:val="24"/>
              </w:rPr>
              <w:t>Senadora de la República</w:t>
            </w:r>
          </w:p>
        </w:tc>
        <w:tc>
          <w:tcPr>
            <w:tcW w:w="4980" w:type="dxa"/>
          </w:tcPr>
          <w:p w:rsidR="00326BA5" w:rsidRDefault="00326BA5">
            <w:pPr>
              <w:rPr>
                <w:sz w:val="24"/>
                <w:szCs w:val="24"/>
              </w:rPr>
            </w:pPr>
          </w:p>
          <w:p w:rsidR="00326BA5" w:rsidRDefault="00326BA5">
            <w:pPr>
              <w:rPr>
                <w:sz w:val="24"/>
                <w:szCs w:val="24"/>
              </w:rPr>
            </w:pPr>
          </w:p>
          <w:p w:rsidR="00326BA5" w:rsidRDefault="00F463F1">
            <w:pPr>
              <w:widowControl w:val="0"/>
              <w:jc w:val="center"/>
              <w:rPr>
                <w:b/>
                <w:sz w:val="24"/>
                <w:szCs w:val="24"/>
              </w:rPr>
            </w:pPr>
            <w:r>
              <w:rPr>
                <w:b/>
                <w:sz w:val="24"/>
                <w:szCs w:val="24"/>
              </w:rPr>
              <w:t>WADITH ALBERTO MANZUR IMBETT</w:t>
            </w:r>
          </w:p>
          <w:p w:rsidR="00326BA5" w:rsidRDefault="00F463F1">
            <w:pPr>
              <w:widowControl w:val="0"/>
              <w:jc w:val="center"/>
              <w:rPr>
                <w:b/>
                <w:sz w:val="24"/>
                <w:szCs w:val="24"/>
              </w:rPr>
            </w:pPr>
            <w:r>
              <w:rPr>
                <w:b/>
                <w:sz w:val="24"/>
                <w:szCs w:val="24"/>
              </w:rPr>
              <w:t>Representante a la Cámara</w:t>
            </w:r>
          </w:p>
          <w:p w:rsidR="00326BA5" w:rsidRDefault="00F463F1">
            <w:pPr>
              <w:widowControl w:val="0"/>
              <w:jc w:val="center"/>
              <w:rPr>
                <w:b/>
                <w:sz w:val="24"/>
                <w:szCs w:val="24"/>
              </w:rPr>
            </w:pPr>
            <w:r>
              <w:rPr>
                <w:b/>
                <w:sz w:val="24"/>
                <w:szCs w:val="24"/>
              </w:rPr>
              <w:t xml:space="preserve">Departamento de Córdoba </w:t>
            </w:r>
          </w:p>
        </w:tc>
      </w:tr>
      <w:tr w:rsidR="00326BA5">
        <w:trPr>
          <w:trHeight w:val="1545"/>
        </w:trPr>
        <w:tc>
          <w:tcPr>
            <w:tcW w:w="4980" w:type="dxa"/>
          </w:tcPr>
          <w:p w:rsidR="00326BA5" w:rsidRDefault="00326BA5">
            <w:pPr>
              <w:widowControl w:val="0"/>
              <w:jc w:val="center"/>
              <w:rPr>
                <w:b/>
                <w:sz w:val="24"/>
                <w:szCs w:val="24"/>
              </w:rPr>
            </w:pPr>
          </w:p>
          <w:p w:rsidR="00326BA5" w:rsidRDefault="00326BA5">
            <w:pPr>
              <w:widowControl w:val="0"/>
              <w:jc w:val="center"/>
              <w:rPr>
                <w:b/>
                <w:sz w:val="24"/>
                <w:szCs w:val="24"/>
              </w:rPr>
            </w:pPr>
          </w:p>
          <w:p w:rsidR="00326BA5" w:rsidRDefault="00326BA5">
            <w:pPr>
              <w:widowControl w:val="0"/>
              <w:jc w:val="center"/>
              <w:rPr>
                <w:b/>
                <w:sz w:val="24"/>
                <w:szCs w:val="24"/>
              </w:rPr>
            </w:pPr>
          </w:p>
          <w:p w:rsidR="00326BA5" w:rsidRDefault="00326BA5">
            <w:pPr>
              <w:widowControl w:val="0"/>
              <w:jc w:val="center"/>
              <w:rPr>
                <w:b/>
                <w:sz w:val="24"/>
                <w:szCs w:val="24"/>
              </w:rPr>
            </w:pPr>
          </w:p>
          <w:p w:rsidR="00326BA5" w:rsidRDefault="00F463F1">
            <w:pPr>
              <w:widowControl w:val="0"/>
              <w:jc w:val="center"/>
              <w:rPr>
                <w:b/>
                <w:sz w:val="24"/>
                <w:szCs w:val="24"/>
              </w:rPr>
            </w:pPr>
            <w:r>
              <w:rPr>
                <w:b/>
                <w:sz w:val="24"/>
                <w:szCs w:val="24"/>
              </w:rPr>
              <w:t>NICOLAS BARGUIL CUBILLOS</w:t>
            </w:r>
          </w:p>
          <w:p w:rsidR="00326BA5" w:rsidRDefault="00F463F1">
            <w:pPr>
              <w:widowControl w:val="0"/>
              <w:jc w:val="center"/>
              <w:rPr>
                <w:b/>
                <w:sz w:val="24"/>
                <w:szCs w:val="24"/>
              </w:rPr>
            </w:pPr>
            <w:r>
              <w:rPr>
                <w:b/>
                <w:sz w:val="24"/>
                <w:szCs w:val="24"/>
              </w:rPr>
              <w:t>Representante a la Cámara</w:t>
            </w:r>
          </w:p>
          <w:p w:rsidR="00326BA5" w:rsidRDefault="00F463F1">
            <w:pPr>
              <w:widowControl w:val="0"/>
              <w:jc w:val="center"/>
              <w:rPr>
                <w:b/>
                <w:sz w:val="24"/>
                <w:szCs w:val="24"/>
              </w:rPr>
            </w:pPr>
            <w:r>
              <w:rPr>
                <w:b/>
                <w:sz w:val="24"/>
                <w:szCs w:val="24"/>
              </w:rPr>
              <w:t>Departamento de Córdoba</w:t>
            </w:r>
          </w:p>
        </w:tc>
        <w:tc>
          <w:tcPr>
            <w:tcW w:w="4980" w:type="dxa"/>
          </w:tcPr>
          <w:p w:rsidR="00326BA5" w:rsidRDefault="00326BA5">
            <w:pPr>
              <w:widowControl w:val="0"/>
              <w:spacing w:line="276" w:lineRule="auto"/>
              <w:jc w:val="center"/>
              <w:rPr>
                <w:b/>
                <w:sz w:val="24"/>
                <w:szCs w:val="24"/>
              </w:rPr>
            </w:pPr>
          </w:p>
          <w:p w:rsidR="00326BA5" w:rsidRDefault="00326BA5">
            <w:pPr>
              <w:widowControl w:val="0"/>
              <w:spacing w:line="276" w:lineRule="auto"/>
              <w:jc w:val="center"/>
              <w:rPr>
                <w:b/>
                <w:sz w:val="24"/>
                <w:szCs w:val="24"/>
              </w:rPr>
            </w:pPr>
          </w:p>
          <w:p w:rsidR="00326BA5" w:rsidRDefault="00326BA5">
            <w:pPr>
              <w:widowControl w:val="0"/>
              <w:spacing w:line="276" w:lineRule="auto"/>
              <w:jc w:val="center"/>
              <w:rPr>
                <w:b/>
                <w:sz w:val="24"/>
                <w:szCs w:val="24"/>
              </w:rPr>
            </w:pPr>
          </w:p>
          <w:p w:rsidR="00326BA5" w:rsidRDefault="00326BA5">
            <w:pPr>
              <w:widowControl w:val="0"/>
              <w:spacing w:line="276" w:lineRule="auto"/>
              <w:jc w:val="center"/>
              <w:rPr>
                <w:b/>
                <w:sz w:val="24"/>
                <w:szCs w:val="24"/>
              </w:rPr>
            </w:pPr>
          </w:p>
          <w:p w:rsidR="00326BA5" w:rsidRDefault="00F463F1">
            <w:pPr>
              <w:widowControl w:val="0"/>
              <w:spacing w:line="276" w:lineRule="auto"/>
              <w:jc w:val="center"/>
              <w:rPr>
                <w:b/>
              </w:rPr>
            </w:pPr>
            <w:r>
              <w:rPr>
                <w:b/>
              </w:rPr>
              <w:t>ANDRES GUILLERMO MONTES CELEDON</w:t>
            </w:r>
            <w:r>
              <w:rPr>
                <w:b/>
              </w:rPr>
              <w:br/>
            </w:r>
            <w:r>
              <w:rPr>
                <w:b/>
              </w:rPr>
              <w:t xml:space="preserve">Representante a la Cámara </w:t>
            </w:r>
          </w:p>
          <w:p w:rsidR="00326BA5" w:rsidRDefault="00F463F1">
            <w:pPr>
              <w:widowControl w:val="0"/>
              <w:spacing w:line="276" w:lineRule="auto"/>
              <w:jc w:val="center"/>
              <w:rPr>
                <w:b/>
                <w:sz w:val="24"/>
                <w:szCs w:val="24"/>
              </w:rPr>
            </w:pPr>
            <w:r>
              <w:rPr>
                <w:b/>
              </w:rPr>
              <w:t xml:space="preserve">Departamento de Bolívar </w:t>
            </w:r>
          </w:p>
        </w:tc>
      </w:tr>
      <w:tr w:rsidR="00326BA5">
        <w:trPr>
          <w:trHeight w:val="1545"/>
        </w:trPr>
        <w:tc>
          <w:tcPr>
            <w:tcW w:w="4980" w:type="dxa"/>
          </w:tcPr>
          <w:p w:rsidR="00326BA5" w:rsidRDefault="00326BA5">
            <w:pPr>
              <w:widowControl w:val="0"/>
              <w:jc w:val="center"/>
              <w:rPr>
                <w:b/>
                <w:sz w:val="24"/>
                <w:szCs w:val="24"/>
              </w:rPr>
            </w:pPr>
          </w:p>
          <w:p w:rsidR="00326BA5" w:rsidRDefault="00326BA5">
            <w:pPr>
              <w:widowControl w:val="0"/>
              <w:jc w:val="center"/>
              <w:rPr>
                <w:b/>
                <w:sz w:val="24"/>
                <w:szCs w:val="24"/>
              </w:rPr>
            </w:pPr>
          </w:p>
          <w:p w:rsidR="00326BA5" w:rsidRDefault="00326BA5">
            <w:pPr>
              <w:widowControl w:val="0"/>
              <w:jc w:val="center"/>
              <w:rPr>
                <w:b/>
                <w:sz w:val="24"/>
                <w:szCs w:val="24"/>
              </w:rPr>
            </w:pPr>
          </w:p>
          <w:p w:rsidR="00326BA5" w:rsidRDefault="00F463F1">
            <w:pPr>
              <w:widowControl w:val="0"/>
              <w:jc w:val="center"/>
              <w:rPr>
                <w:b/>
                <w:sz w:val="24"/>
                <w:szCs w:val="24"/>
              </w:rPr>
            </w:pPr>
            <w:r>
              <w:rPr>
                <w:b/>
                <w:sz w:val="24"/>
                <w:szCs w:val="24"/>
              </w:rPr>
              <w:t>ARMANDO ZABARAIN D’ARCE</w:t>
            </w:r>
          </w:p>
          <w:p w:rsidR="00326BA5" w:rsidRDefault="00F463F1">
            <w:pPr>
              <w:widowControl w:val="0"/>
              <w:jc w:val="center"/>
              <w:rPr>
                <w:b/>
                <w:sz w:val="24"/>
                <w:szCs w:val="24"/>
              </w:rPr>
            </w:pPr>
            <w:r>
              <w:rPr>
                <w:b/>
                <w:sz w:val="24"/>
                <w:szCs w:val="24"/>
              </w:rPr>
              <w:t>Representante a la Cámara</w:t>
            </w:r>
          </w:p>
          <w:p w:rsidR="00326BA5" w:rsidRDefault="00F463F1">
            <w:pPr>
              <w:widowControl w:val="0"/>
              <w:jc w:val="center"/>
              <w:rPr>
                <w:b/>
                <w:sz w:val="24"/>
                <w:szCs w:val="24"/>
              </w:rPr>
            </w:pPr>
            <w:r>
              <w:rPr>
                <w:b/>
                <w:sz w:val="24"/>
                <w:szCs w:val="24"/>
              </w:rPr>
              <w:t>Departamento del Atlántico</w:t>
            </w:r>
          </w:p>
        </w:tc>
        <w:tc>
          <w:tcPr>
            <w:tcW w:w="4980" w:type="dxa"/>
          </w:tcPr>
          <w:p w:rsidR="00326BA5" w:rsidRDefault="00326BA5">
            <w:pPr>
              <w:widowControl w:val="0"/>
              <w:jc w:val="center"/>
              <w:rPr>
                <w:b/>
                <w:sz w:val="24"/>
                <w:szCs w:val="24"/>
              </w:rPr>
            </w:pPr>
          </w:p>
          <w:p w:rsidR="00326BA5" w:rsidRDefault="00F463F1">
            <w:pPr>
              <w:widowControl w:val="0"/>
              <w:jc w:val="center"/>
              <w:rPr>
                <w:b/>
                <w:sz w:val="24"/>
                <w:szCs w:val="24"/>
              </w:rPr>
            </w:pPr>
            <w:r>
              <w:rPr>
                <w:b/>
                <w:sz w:val="24"/>
                <w:szCs w:val="24"/>
              </w:rPr>
              <w:t>OSCAR BARRETO QUIROGA</w:t>
            </w:r>
          </w:p>
          <w:p w:rsidR="00326BA5" w:rsidRDefault="00F463F1">
            <w:pPr>
              <w:widowControl w:val="0"/>
              <w:jc w:val="center"/>
              <w:rPr>
                <w:sz w:val="24"/>
                <w:szCs w:val="24"/>
              </w:rPr>
            </w:pPr>
            <w:r>
              <w:rPr>
                <w:b/>
                <w:sz w:val="24"/>
                <w:szCs w:val="24"/>
              </w:rPr>
              <w:t>Senador de la República</w:t>
            </w:r>
          </w:p>
        </w:tc>
      </w:tr>
      <w:tr w:rsidR="00326BA5">
        <w:trPr>
          <w:trHeight w:val="1545"/>
        </w:trPr>
        <w:tc>
          <w:tcPr>
            <w:tcW w:w="4980" w:type="dxa"/>
          </w:tcPr>
          <w:p w:rsidR="00326BA5" w:rsidRDefault="00326BA5">
            <w:pPr>
              <w:jc w:val="center"/>
              <w:rPr>
                <w:b/>
                <w:sz w:val="24"/>
                <w:szCs w:val="24"/>
              </w:rPr>
            </w:pPr>
          </w:p>
          <w:p w:rsidR="00326BA5" w:rsidRDefault="00326BA5">
            <w:pPr>
              <w:jc w:val="center"/>
              <w:rPr>
                <w:b/>
                <w:sz w:val="24"/>
                <w:szCs w:val="24"/>
              </w:rPr>
            </w:pPr>
          </w:p>
          <w:p w:rsidR="00326BA5" w:rsidRDefault="00326BA5">
            <w:pPr>
              <w:jc w:val="center"/>
              <w:rPr>
                <w:b/>
                <w:sz w:val="24"/>
                <w:szCs w:val="24"/>
              </w:rPr>
            </w:pPr>
          </w:p>
          <w:p w:rsidR="00326BA5" w:rsidRDefault="00326BA5">
            <w:pPr>
              <w:jc w:val="center"/>
              <w:rPr>
                <w:b/>
                <w:sz w:val="24"/>
                <w:szCs w:val="24"/>
              </w:rPr>
            </w:pPr>
          </w:p>
          <w:p w:rsidR="00326BA5" w:rsidRDefault="00F463F1">
            <w:pPr>
              <w:jc w:val="center"/>
              <w:rPr>
                <w:b/>
                <w:sz w:val="24"/>
                <w:szCs w:val="24"/>
              </w:rPr>
            </w:pPr>
            <w:r>
              <w:rPr>
                <w:b/>
                <w:sz w:val="24"/>
                <w:szCs w:val="24"/>
              </w:rPr>
              <w:t>CHRISTIAN M. GARCÉS ALJURE</w:t>
            </w:r>
          </w:p>
          <w:p w:rsidR="00326BA5" w:rsidRDefault="00F463F1">
            <w:pPr>
              <w:jc w:val="center"/>
              <w:rPr>
                <w:b/>
                <w:sz w:val="24"/>
                <w:szCs w:val="24"/>
              </w:rPr>
            </w:pPr>
            <w:r>
              <w:rPr>
                <w:b/>
                <w:sz w:val="24"/>
                <w:szCs w:val="24"/>
              </w:rPr>
              <w:t>Representante Valle del Cauca</w:t>
            </w:r>
          </w:p>
        </w:tc>
        <w:tc>
          <w:tcPr>
            <w:tcW w:w="4980" w:type="dxa"/>
          </w:tcPr>
          <w:p w:rsidR="00326BA5" w:rsidRDefault="00326BA5">
            <w:pPr>
              <w:widowControl w:val="0"/>
              <w:jc w:val="center"/>
              <w:rPr>
                <w:b/>
                <w:sz w:val="24"/>
                <w:szCs w:val="24"/>
              </w:rPr>
            </w:pPr>
          </w:p>
          <w:p w:rsidR="00326BA5" w:rsidRDefault="00326BA5">
            <w:pPr>
              <w:widowControl w:val="0"/>
              <w:jc w:val="center"/>
              <w:rPr>
                <w:b/>
                <w:sz w:val="24"/>
                <w:szCs w:val="24"/>
              </w:rPr>
            </w:pPr>
          </w:p>
          <w:p w:rsidR="00326BA5" w:rsidRDefault="00326BA5">
            <w:pPr>
              <w:widowControl w:val="0"/>
              <w:jc w:val="center"/>
              <w:rPr>
                <w:b/>
                <w:sz w:val="24"/>
                <w:szCs w:val="24"/>
              </w:rPr>
            </w:pPr>
          </w:p>
          <w:p w:rsidR="00326BA5" w:rsidRDefault="00F463F1">
            <w:pPr>
              <w:widowControl w:val="0"/>
              <w:jc w:val="center"/>
              <w:rPr>
                <w:b/>
                <w:sz w:val="24"/>
                <w:szCs w:val="24"/>
              </w:rPr>
            </w:pPr>
            <w:r>
              <w:rPr>
                <w:b/>
                <w:sz w:val="24"/>
                <w:szCs w:val="24"/>
              </w:rPr>
              <w:t>SARAY ROBAYO BECHARA</w:t>
            </w:r>
          </w:p>
          <w:p w:rsidR="00326BA5" w:rsidRDefault="00F463F1">
            <w:pPr>
              <w:widowControl w:val="0"/>
              <w:jc w:val="center"/>
              <w:rPr>
                <w:b/>
                <w:sz w:val="24"/>
                <w:szCs w:val="24"/>
              </w:rPr>
            </w:pPr>
            <w:r>
              <w:rPr>
                <w:b/>
                <w:sz w:val="24"/>
                <w:szCs w:val="24"/>
              </w:rPr>
              <w:t>Representante a la Cámara</w:t>
            </w:r>
          </w:p>
          <w:p w:rsidR="00326BA5" w:rsidRDefault="00F463F1">
            <w:pPr>
              <w:widowControl w:val="0"/>
              <w:jc w:val="center"/>
              <w:rPr>
                <w:b/>
                <w:sz w:val="24"/>
                <w:szCs w:val="24"/>
              </w:rPr>
            </w:pPr>
            <w:r>
              <w:rPr>
                <w:b/>
                <w:sz w:val="24"/>
                <w:szCs w:val="24"/>
              </w:rPr>
              <w:t>Departamento de Córdoba</w:t>
            </w:r>
          </w:p>
          <w:p w:rsidR="00326BA5" w:rsidRDefault="00326BA5">
            <w:pPr>
              <w:widowControl w:val="0"/>
              <w:jc w:val="center"/>
              <w:rPr>
                <w:b/>
                <w:sz w:val="24"/>
                <w:szCs w:val="24"/>
              </w:rPr>
            </w:pPr>
          </w:p>
        </w:tc>
      </w:tr>
      <w:tr w:rsidR="00326BA5">
        <w:trPr>
          <w:trHeight w:val="1545"/>
        </w:trPr>
        <w:tc>
          <w:tcPr>
            <w:tcW w:w="4980" w:type="dxa"/>
          </w:tcPr>
          <w:p w:rsidR="00326BA5" w:rsidRDefault="00326BA5">
            <w:pPr>
              <w:widowControl w:val="0"/>
              <w:jc w:val="center"/>
              <w:rPr>
                <w:rFonts w:ascii="Raleway" w:eastAsia="Raleway" w:hAnsi="Raleway" w:cs="Raleway"/>
                <w:b/>
                <w:sz w:val="24"/>
                <w:szCs w:val="24"/>
              </w:rPr>
            </w:pPr>
          </w:p>
        </w:tc>
        <w:tc>
          <w:tcPr>
            <w:tcW w:w="4980" w:type="dxa"/>
          </w:tcPr>
          <w:p w:rsidR="00326BA5" w:rsidRDefault="00326BA5">
            <w:pPr>
              <w:widowControl w:val="0"/>
              <w:jc w:val="center"/>
              <w:rPr>
                <w:rFonts w:ascii="Raleway" w:eastAsia="Raleway" w:hAnsi="Raleway" w:cs="Raleway"/>
                <w:b/>
                <w:sz w:val="24"/>
                <w:szCs w:val="24"/>
              </w:rPr>
            </w:pPr>
          </w:p>
        </w:tc>
      </w:tr>
    </w:tbl>
    <w:p w:rsidR="00326BA5" w:rsidRDefault="00326BA5">
      <w:pPr>
        <w:spacing w:after="200" w:line="360" w:lineRule="auto"/>
        <w:jc w:val="both"/>
        <w:rPr>
          <w:sz w:val="24"/>
          <w:szCs w:val="24"/>
        </w:rPr>
      </w:pPr>
    </w:p>
    <w:sectPr w:rsidR="00326BA5">
      <w:headerReference w:type="default" r:id="rId8"/>
      <w:pgSz w:w="12240" w:h="2016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3F1" w:rsidRDefault="00F463F1">
      <w:pPr>
        <w:spacing w:line="240" w:lineRule="auto"/>
      </w:pPr>
      <w:r>
        <w:separator/>
      </w:r>
    </w:p>
  </w:endnote>
  <w:endnote w:type="continuationSeparator" w:id="0">
    <w:p w:rsidR="00F463F1" w:rsidRDefault="00F46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3F1" w:rsidRDefault="00F463F1">
      <w:pPr>
        <w:spacing w:line="240" w:lineRule="auto"/>
      </w:pPr>
      <w:r>
        <w:separator/>
      </w:r>
    </w:p>
  </w:footnote>
  <w:footnote w:type="continuationSeparator" w:id="0">
    <w:p w:rsidR="00F463F1" w:rsidRDefault="00F463F1">
      <w:pPr>
        <w:spacing w:line="240" w:lineRule="auto"/>
      </w:pPr>
      <w:r>
        <w:continuationSeparator/>
      </w:r>
    </w:p>
  </w:footnote>
  <w:footnote w:id="1">
    <w:p w:rsidR="00326BA5" w:rsidRDefault="00F463F1">
      <w:pPr>
        <w:spacing w:line="240" w:lineRule="auto"/>
        <w:rPr>
          <w:sz w:val="20"/>
          <w:szCs w:val="20"/>
        </w:rPr>
      </w:pPr>
      <w:r>
        <w:rPr>
          <w:vertAlign w:val="superscript"/>
        </w:rPr>
        <w:footnoteRef/>
      </w:r>
      <w:r>
        <w:rPr>
          <w:sz w:val="20"/>
          <w:szCs w:val="20"/>
        </w:rPr>
        <w:t xml:space="preserve"> </w:t>
      </w:r>
      <w:r>
        <w:rPr>
          <w:rFonts w:ascii="Raleway" w:eastAsia="Raleway" w:hAnsi="Raleway" w:cs="Raleway"/>
          <w:sz w:val="18"/>
          <w:szCs w:val="18"/>
        </w:rPr>
        <w:t>Departamento Nacional de Planeación, 2014. Tomado de:</w:t>
      </w:r>
      <w:hyperlink r:id="rId1">
        <w:r>
          <w:rPr>
            <w:rFonts w:ascii="Raleway" w:eastAsia="Raleway" w:hAnsi="Raleway" w:cs="Raleway"/>
            <w:sz w:val="18"/>
            <w:szCs w:val="18"/>
          </w:rPr>
          <w:t xml:space="preserve"> </w:t>
        </w:r>
      </w:hyperlink>
      <w:hyperlink r:id="rId2">
        <w:r>
          <w:rPr>
            <w:rFonts w:ascii="Raleway" w:eastAsia="Raleway" w:hAnsi="Raleway" w:cs="Raleway"/>
            <w:color w:val="1155CC"/>
            <w:sz w:val="18"/>
            <w:szCs w:val="18"/>
            <w:u w:val="single"/>
          </w:rPr>
          <w:t>https://2022.dnp.gov.co/sala-de-prensa/Paginas/crecimiento-de-la-economia-colombiana-en-2013-supero-promedio-latinoamericano.aspx</w:t>
        </w:r>
      </w:hyperlink>
    </w:p>
  </w:footnote>
  <w:footnote w:id="2">
    <w:p w:rsidR="00326BA5" w:rsidRDefault="00F463F1">
      <w:pPr>
        <w:spacing w:line="240" w:lineRule="auto"/>
        <w:rPr>
          <w:sz w:val="20"/>
          <w:szCs w:val="20"/>
        </w:rPr>
      </w:pPr>
      <w:r>
        <w:rPr>
          <w:vertAlign w:val="superscript"/>
        </w:rPr>
        <w:footnoteRef/>
      </w:r>
      <w:r>
        <w:rPr>
          <w:sz w:val="20"/>
          <w:szCs w:val="20"/>
        </w:rPr>
        <w:t xml:space="preserve"> </w:t>
      </w:r>
      <w:r>
        <w:rPr>
          <w:rFonts w:ascii="Raleway" w:eastAsia="Raleway" w:hAnsi="Raleway" w:cs="Raleway"/>
          <w:sz w:val="18"/>
          <w:szCs w:val="18"/>
        </w:rPr>
        <w:t xml:space="preserve">Ministerio de Hacienda y Crédito Público. Resultados fiscales de 2023. Obtenido de: </w:t>
      </w:r>
      <w:hyperlink r:id="rId3">
        <w:r>
          <w:rPr>
            <w:rFonts w:ascii="Raleway" w:eastAsia="Raleway" w:hAnsi="Raleway" w:cs="Raleway"/>
            <w:sz w:val="18"/>
            <w:szCs w:val="18"/>
          </w:rPr>
          <w:t xml:space="preserve"> </w:t>
        </w:r>
      </w:hyperlink>
      <w:hyperlink r:id="rId4">
        <w:r>
          <w:rPr>
            <w:rFonts w:ascii="Raleway" w:eastAsia="Raleway" w:hAnsi="Raleway" w:cs="Raleway"/>
            <w:color w:val="1155CC"/>
            <w:sz w:val="18"/>
            <w:szCs w:val="18"/>
            <w:u w:val="single"/>
          </w:rPr>
          <w:t>https://www.minhacienda.gov.co/webcenter/ShowProperty?nodeId=%2FConexionContent%2FWCC_CLUSTER-236763%2F%2FidcPrimaryFile&amp;revision=latestreleased</w:t>
        </w:r>
      </w:hyperlink>
    </w:p>
  </w:footnote>
  <w:footnote w:id="3">
    <w:p w:rsidR="00326BA5" w:rsidRDefault="00F463F1">
      <w:pPr>
        <w:spacing w:line="240" w:lineRule="auto"/>
        <w:rPr>
          <w:b/>
          <w:sz w:val="20"/>
          <w:szCs w:val="20"/>
        </w:rPr>
      </w:pPr>
      <w:r>
        <w:rPr>
          <w:vertAlign w:val="superscript"/>
        </w:rPr>
        <w:footnoteRef/>
      </w:r>
      <w:r>
        <w:rPr>
          <w:sz w:val="20"/>
          <w:szCs w:val="20"/>
        </w:rPr>
        <w:t xml:space="preserve"> </w:t>
      </w:r>
      <w:r>
        <w:rPr>
          <w:rFonts w:ascii="Raleway" w:eastAsia="Raleway" w:hAnsi="Raleway" w:cs="Raleway"/>
          <w:sz w:val="18"/>
          <w:szCs w:val="18"/>
        </w:rPr>
        <w:t>Banco de la República de Colombia. Inf</w:t>
      </w:r>
      <w:r>
        <w:rPr>
          <w:rFonts w:ascii="Raleway" w:eastAsia="Raleway" w:hAnsi="Raleway" w:cs="Raleway"/>
          <w:sz w:val="18"/>
          <w:szCs w:val="18"/>
        </w:rPr>
        <w:t>orme de Política Monetaria, 2023.</w:t>
      </w:r>
    </w:p>
  </w:footnote>
  <w:footnote w:id="4">
    <w:p w:rsidR="00326BA5" w:rsidRDefault="00F463F1">
      <w:pPr>
        <w:spacing w:line="240" w:lineRule="auto"/>
        <w:rPr>
          <w:sz w:val="20"/>
          <w:szCs w:val="20"/>
        </w:rPr>
      </w:pPr>
      <w:r>
        <w:rPr>
          <w:vertAlign w:val="superscript"/>
        </w:rPr>
        <w:footnoteRef/>
      </w:r>
      <w:r>
        <w:rPr>
          <w:sz w:val="20"/>
          <w:szCs w:val="20"/>
        </w:rPr>
        <w:t xml:space="preserve"> </w:t>
      </w:r>
      <w:r>
        <w:rPr>
          <w:rFonts w:ascii="Raleway" w:eastAsia="Raleway" w:hAnsi="Raleway" w:cs="Raleway"/>
          <w:sz w:val="18"/>
          <w:szCs w:val="18"/>
        </w:rPr>
        <w:t>Frontierview Part of Fiscal Note, Juan Vélez. 21 de marzo de 2024. Tomado de: https://frontierview.com/insights/colombia-is-on-the-verge-of-missing-its-fiscal-rule/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BA5" w:rsidRDefault="00F463F1">
    <w:pPr>
      <w:jc w:val="center"/>
    </w:pPr>
    <w:r>
      <w:rPr>
        <w:noProof/>
        <w:lang w:val="es-CO"/>
      </w:rPr>
      <w:drawing>
        <wp:anchor distT="0" distB="0" distL="0" distR="0" simplePos="0" relativeHeight="251658240" behindDoc="0" locked="0" layoutInCell="1" hidden="0" allowOverlap="1">
          <wp:simplePos x="0" y="0"/>
          <wp:positionH relativeFrom="page">
            <wp:posOffset>2824163</wp:posOffset>
          </wp:positionH>
          <wp:positionV relativeFrom="page">
            <wp:posOffset>419100</wp:posOffset>
          </wp:positionV>
          <wp:extent cx="2120900" cy="851535"/>
          <wp:effectExtent l="0" t="0" r="0" b="0"/>
          <wp:wrapTopAndBottom distT="0" dist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20900" cy="8515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63FDE"/>
    <w:multiLevelType w:val="multilevel"/>
    <w:tmpl w:val="AEE2B8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BE96350"/>
    <w:multiLevelType w:val="multilevel"/>
    <w:tmpl w:val="8508FD2E"/>
    <w:lvl w:ilvl="0">
      <w:start w:val="1"/>
      <w:numFmt w:val="lowerRoman"/>
      <w:lvlText w:val="%1)"/>
      <w:lvlJc w:val="left"/>
      <w:pPr>
        <w:ind w:left="1440" w:hanging="72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2" w15:restartNumberingAfterBreak="0">
    <w:nsid w:val="3F722FB6"/>
    <w:multiLevelType w:val="multilevel"/>
    <w:tmpl w:val="193C630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BEE0B73"/>
    <w:multiLevelType w:val="multilevel"/>
    <w:tmpl w:val="BAE8C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4D01892"/>
    <w:multiLevelType w:val="multilevel"/>
    <w:tmpl w:val="91087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C04043"/>
    <w:multiLevelType w:val="multilevel"/>
    <w:tmpl w:val="FFF2AB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A5"/>
    <w:rsid w:val="00326BA5"/>
    <w:rsid w:val="00D66E63"/>
    <w:rsid w:val="00F463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9AF1"/>
  <w15:docId w15:val="{B9C24703-72AC-4917-9CF6-225C99EA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pPr>
      <w:spacing w:line="240" w:lineRule="auto"/>
    </w:pPr>
    <w:tblPr>
      <w:tblStyleRowBandSize w:val="1"/>
      <w:tblStyleColBandSize w:val="1"/>
      <w:tblCellMar>
        <w:top w:w="0" w:type="dxa"/>
        <w:left w:w="108" w:type="dxa"/>
        <w:bottom w:w="0" w:type="dxa"/>
        <w:right w:w="108"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inhacienda.gov.co/webcenter/ShowProperty?nodeId=%2FConexionContent%2FWCC_CLUSTER-236763%2F%2FidcPrimaryFile&amp;revision=latestreleased" TargetMode="External"/><Relationship Id="rId2" Type="http://schemas.openxmlformats.org/officeDocument/2006/relationships/hyperlink" Target="https://2022.dnp.gov.co/sala-de-prensa/Paginas/crecimiento-de-la-economia-colombiana-en-2013-supero-promedio-latinoamericano.aspx" TargetMode="External"/><Relationship Id="rId1" Type="http://schemas.openxmlformats.org/officeDocument/2006/relationships/hyperlink" Target="https://2022.dnp.gov.co/sala-de-prensa/Paginas/crecimiento-de-la-economia-colombiana-en-2013-supero-promedio-latinoamericano.aspx" TargetMode="External"/><Relationship Id="rId4" Type="http://schemas.openxmlformats.org/officeDocument/2006/relationships/hyperlink" Target="https://www.minhacienda.gov.co/webcenter/ShowProperty?nodeId=%2FConexionContent%2FWCC_CLUSTER-236763%2F%2FidcPrimaryFile&amp;revision=latestreleas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6pHgH1vqgc8/c0s6s8MgMujOw==">CgMxLjAaHwoBMBIaChgICVIUChJ0YWJsZS54Mms1ZnYxcHlybzIyEGtpeC5wMWhsNmJtcDc4ZzUyEGtpeC40YjU2Z3p1ZDFyb3c4AHIhMVNGbnR1dV9zUHk0NmljQmRVajQwUzlCY0dUNTY3RVNH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4849</Words>
  <Characters>26672</Characters>
  <Application>Microsoft Office Word</Application>
  <DocSecurity>0</DocSecurity>
  <Lines>222</Lines>
  <Paragraphs>62</Paragraphs>
  <ScaleCrop>false</ScaleCrop>
  <Company>HP Inc.</Company>
  <LinksUpToDate>false</LinksUpToDate>
  <CharactersWithSpaces>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Zaida Carolina Martinez Suarez</cp:lastModifiedBy>
  <cp:revision>3</cp:revision>
  <dcterms:created xsi:type="dcterms:W3CDTF">2025-08-19T16:14:00Z</dcterms:created>
  <dcterms:modified xsi:type="dcterms:W3CDTF">2025-08-19T16:15:00Z</dcterms:modified>
</cp:coreProperties>
</file>