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693B90" w14:textId="47695697" w:rsidR="00F55FC4" w:rsidRPr="00737712" w:rsidRDefault="00F55FC4" w:rsidP="00737712">
      <w:pPr>
        <w:outlineLvl w:val="0"/>
        <w:rPr>
          <w:rFonts w:ascii="Arial" w:hAnsi="Arial" w:cs="Arial"/>
        </w:rPr>
      </w:pPr>
      <w:bookmarkStart w:id="0" w:name="_Hlk40783105"/>
      <w:r w:rsidRPr="00737712">
        <w:rPr>
          <w:rFonts w:ascii="Arial" w:hAnsi="Arial" w:cs="Arial"/>
        </w:rPr>
        <w:t>Bogotá D.C</w:t>
      </w:r>
      <w:r w:rsidR="00737712">
        <w:rPr>
          <w:rFonts w:ascii="Arial" w:hAnsi="Arial" w:cs="Arial"/>
        </w:rPr>
        <w:t xml:space="preserve">., </w:t>
      </w:r>
      <w:r w:rsidRPr="00737712">
        <w:rPr>
          <w:rFonts w:ascii="Arial" w:hAnsi="Arial" w:cs="Arial"/>
        </w:rPr>
        <w:t>2</w:t>
      </w:r>
      <w:r w:rsidR="00737712">
        <w:rPr>
          <w:rFonts w:ascii="Arial" w:hAnsi="Arial" w:cs="Arial"/>
        </w:rPr>
        <w:t>2</w:t>
      </w:r>
      <w:r w:rsidRPr="00737712">
        <w:rPr>
          <w:rFonts w:ascii="Arial" w:hAnsi="Arial" w:cs="Arial"/>
        </w:rPr>
        <w:t xml:space="preserve"> de julio de 2020</w:t>
      </w:r>
    </w:p>
    <w:p w14:paraId="5C72AB8D" w14:textId="77777777" w:rsidR="00737712" w:rsidRDefault="00737712" w:rsidP="00737712">
      <w:pPr>
        <w:rPr>
          <w:rFonts w:ascii="Arial" w:hAnsi="Arial" w:cs="Arial"/>
        </w:rPr>
      </w:pPr>
    </w:p>
    <w:p w14:paraId="58C7BD41" w14:textId="77777777" w:rsidR="00737712" w:rsidRDefault="00737712" w:rsidP="00737712">
      <w:pPr>
        <w:rPr>
          <w:rFonts w:ascii="Arial" w:hAnsi="Arial" w:cs="Arial"/>
        </w:rPr>
      </w:pPr>
    </w:p>
    <w:p w14:paraId="7C896341" w14:textId="77777777" w:rsidR="00737712" w:rsidRDefault="00737712" w:rsidP="00737712">
      <w:pPr>
        <w:rPr>
          <w:rFonts w:ascii="Arial" w:hAnsi="Arial" w:cs="Arial"/>
        </w:rPr>
      </w:pPr>
    </w:p>
    <w:p w14:paraId="66D14ED2" w14:textId="77777777" w:rsidR="00737712" w:rsidRDefault="00737712" w:rsidP="00737712">
      <w:pPr>
        <w:rPr>
          <w:rFonts w:ascii="Arial" w:hAnsi="Arial" w:cs="Arial"/>
        </w:rPr>
      </w:pPr>
    </w:p>
    <w:p w14:paraId="35209783" w14:textId="3DB1BDF6" w:rsidR="00F55FC4" w:rsidRPr="00737712" w:rsidRDefault="00F55FC4" w:rsidP="00737712">
      <w:pPr>
        <w:rPr>
          <w:rFonts w:ascii="Arial" w:hAnsi="Arial" w:cs="Arial"/>
        </w:rPr>
      </w:pPr>
      <w:r w:rsidRPr="00737712">
        <w:rPr>
          <w:rFonts w:ascii="Arial" w:hAnsi="Arial" w:cs="Arial"/>
        </w:rPr>
        <w:t xml:space="preserve">Honorable Presidente </w:t>
      </w:r>
    </w:p>
    <w:p w14:paraId="3E61578E" w14:textId="77777777" w:rsidR="00F55FC4" w:rsidRPr="00737712" w:rsidRDefault="00F55FC4" w:rsidP="00737712">
      <w:pPr>
        <w:rPr>
          <w:rFonts w:ascii="Arial" w:hAnsi="Arial" w:cs="Arial"/>
          <w:b/>
        </w:rPr>
      </w:pPr>
      <w:r w:rsidRPr="00737712">
        <w:rPr>
          <w:rFonts w:ascii="Arial" w:hAnsi="Arial" w:cs="Arial"/>
          <w:b/>
        </w:rPr>
        <w:t>MESA DIRECTIVA</w:t>
      </w:r>
    </w:p>
    <w:p w14:paraId="04FB40DB" w14:textId="35F3D598" w:rsidR="00737712" w:rsidRDefault="00F55FC4" w:rsidP="00737712">
      <w:pPr>
        <w:rPr>
          <w:rFonts w:ascii="Arial" w:hAnsi="Arial" w:cs="Arial"/>
        </w:rPr>
      </w:pPr>
      <w:r w:rsidRPr="00737712">
        <w:rPr>
          <w:rFonts w:ascii="Arial" w:hAnsi="Arial" w:cs="Arial"/>
        </w:rPr>
        <w:t xml:space="preserve">Cámara de Representantes </w:t>
      </w:r>
    </w:p>
    <w:p w14:paraId="3768B814" w14:textId="0C324FC8" w:rsidR="00F55FC4" w:rsidRPr="00737712" w:rsidRDefault="00737712" w:rsidP="00737712">
      <w:pPr>
        <w:rPr>
          <w:rFonts w:ascii="Arial" w:hAnsi="Arial" w:cs="Arial"/>
          <w:b/>
        </w:rPr>
      </w:pPr>
      <w:r w:rsidRPr="00737712">
        <w:rPr>
          <w:rFonts w:ascii="Arial" w:hAnsi="Arial" w:cs="Arial"/>
          <w:b/>
        </w:rPr>
        <w:t>CONGRESO DE LA REPÚBLICA</w:t>
      </w:r>
    </w:p>
    <w:p w14:paraId="476ABAC5" w14:textId="77777777" w:rsidR="00F55FC4" w:rsidRPr="00737712" w:rsidRDefault="00F55FC4" w:rsidP="00737712">
      <w:pPr>
        <w:rPr>
          <w:rFonts w:ascii="Arial" w:hAnsi="Arial" w:cs="Arial"/>
        </w:rPr>
      </w:pPr>
      <w:r w:rsidRPr="00737712">
        <w:rPr>
          <w:rFonts w:ascii="Arial" w:hAnsi="Arial" w:cs="Arial"/>
        </w:rPr>
        <w:t>Ciudad</w:t>
      </w:r>
    </w:p>
    <w:p w14:paraId="68FAE5F7" w14:textId="77777777" w:rsidR="00F55FC4" w:rsidRPr="00737712" w:rsidRDefault="00F55FC4" w:rsidP="00737712">
      <w:pPr>
        <w:pStyle w:val="NormalWeb"/>
        <w:spacing w:before="0" w:beforeAutospacing="0" w:after="0" w:afterAutospacing="0"/>
        <w:textAlignment w:val="baseline"/>
        <w:rPr>
          <w:rFonts w:ascii="Arial" w:hAnsi="Arial" w:cs="Arial"/>
          <w:b/>
        </w:rPr>
      </w:pPr>
    </w:p>
    <w:p w14:paraId="76F3F648" w14:textId="77777777" w:rsidR="00AE3C53" w:rsidRDefault="00AE3C53" w:rsidP="00737712">
      <w:pPr>
        <w:pStyle w:val="NormalWeb"/>
        <w:spacing w:before="0" w:beforeAutospacing="0" w:after="0" w:afterAutospacing="0"/>
        <w:jc w:val="both"/>
        <w:textAlignment w:val="baseline"/>
        <w:rPr>
          <w:rFonts w:ascii="Arial" w:hAnsi="Arial" w:cs="Arial"/>
          <w:b/>
        </w:rPr>
      </w:pPr>
    </w:p>
    <w:p w14:paraId="79E26FF3" w14:textId="4DA9677D" w:rsidR="00F55FC4" w:rsidRPr="00737712" w:rsidRDefault="00F55FC4" w:rsidP="00737712">
      <w:pPr>
        <w:pStyle w:val="NormalWeb"/>
        <w:spacing w:before="0" w:beforeAutospacing="0" w:after="0" w:afterAutospacing="0"/>
        <w:jc w:val="both"/>
        <w:textAlignment w:val="baseline"/>
        <w:rPr>
          <w:rFonts w:ascii="Arial" w:eastAsiaTheme="minorHAnsi" w:hAnsi="Arial" w:cs="Arial"/>
          <w:b/>
          <w:bCs/>
          <w:i/>
          <w:lang w:eastAsia="en-US"/>
        </w:rPr>
      </w:pPr>
      <w:r w:rsidRPr="00737712">
        <w:rPr>
          <w:rFonts w:ascii="Arial" w:hAnsi="Arial" w:cs="Arial"/>
          <w:b/>
        </w:rPr>
        <w:t>Asunto: Proyecto de Ley No. ___ De 2020</w:t>
      </w:r>
      <w:r w:rsidRPr="00737712">
        <w:rPr>
          <w:rFonts w:ascii="Arial" w:eastAsiaTheme="minorHAnsi" w:hAnsi="Arial" w:cs="Arial"/>
          <w:b/>
          <w:i/>
          <w:lang w:eastAsia="en-US"/>
        </w:rPr>
        <w:t xml:space="preserve"> “Por medio de la cual se reforma el Estatuto Tributario de Colombia y se dictan otras disposiciones”.</w:t>
      </w:r>
    </w:p>
    <w:p w14:paraId="0C1375EF" w14:textId="77777777" w:rsidR="00F55FC4" w:rsidRPr="00737712" w:rsidRDefault="00F55FC4" w:rsidP="00737712">
      <w:pPr>
        <w:pStyle w:val="Normal1"/>
        <w:spacing w:line="240" w:lineRule="auto"/>
        <w:rPr>
          <w:rFonts w:ascii="Arial" w:hAnsi="Arial" w:cs="Arial"/>
        </w:rPr>
      </w:pPr>
      <w:r w:rsidRPr="00737712">
        <w:rPr>
          <w:rFonts w:ascii="Arial" w:hAnsi="Arial" w:cs="Arial"/>
          <w:b/>
        </w:rPr>
        <w:t xml:space="preserve"> </w:t>
      </w:r>
    </w:p>
    <w:p w14:paraId="04C2FBBF" w14:textId="77777777" w:rsidR="00AE3C53" w:rsidRDefault="00AE3C53" w:rsidP="00737712">
      <w:pPr>
        <w:rPr>
          <w:rFonts w:ascii="Arial" w:hAnsi="Arial" w:cs="Arial"/>
        </w:rPr>
      </w:pPr>
    </w:p>
    <w:p w14:paraId="61A017E1" w14:textId="083C1A20" w:rsidR="00F55FC4" w:rsidRPr="00737712" w:rsidRDefault="00F55FC4" w:rsidP="00737712">
      <w:pPr>
        <w:rPr>
          <w:rFonts w:ascii="Arial" w:hAnsi="Arial" w:cs="Arial"/>
        </w:rPr>
      </w:pPr>
      <w:r w:rsidRPr="00737712">
        <w:rPr>
          <w:rFonts w:ascii="Arial" w:hAnsi="Arial" w:cs="Arial"/>
        </w:rPr>
        <w:t>Respetado presidente,</w:t>
      </w:r>
    </w:p>
    <w:p w14:paraId="55C10C92" w14:textId="77777777" w:rsidR="00F55FC4" w:rsidRPr="00737712" w:rsidRDefault="00F55FC4" w:rsidP="00737712">
      <w:pPr>
        <w:rPr>
          <w:rFonts w:ascii="Arial" w:hAnsi="Arial" w:cs="Arial"/>
        </w:rPr>
      </w:pPr>
    </w:p>
    <w:p w14:paraId="0E58C8C4" w14:textId="77777777" w:rsidR="00AE3C53" w:rsidRDefault="00AE3C53" w:rsidP="00737712">
      <w:pPr>
        <w:pStyle w:val="Default"/>
        <w:jc w:val="both"/>
        <w:rPr>
          <w:rFonts w:ascii="Arial" w:eastAsia="Times New Roman" w:hAnsi="Arial" w:cs="Arial"/>
        </w:rPr>
      </w:pPr>
      <w:bookmarkStart w:id="1" w:name="_gjdgxs" w:colFirst="0" w:colLast="0"/>
      <w:bookmarkEnd w:id="1"/>
    </w:p>
    <w:p w14:paraId="6A0C2437" w14:textId="474071C1" w:rsidR="00F55FC4" w:rsidRPr="00737712" w:rsidRDefault="00F55FC4" w:rsidP="00737712">
      <w:pPr>
        <w:pStyle w:val="Default"/>
        <w:jc w:val="both"/>
        <w:rPr>
          <w:rFonts w:ascii="Arial" w:hAnsi="Arial" w:cs="Arial"/>
        </w:rPr>
      </w:pPr>
      <w:r w:rsidRPr="00737712">
        <w:rPr>
          <w:rFonts w:ascii="Arial" w:eastAsia="Times New Roman" w:hAnsi="Arial" w:cs="Arial"/>
        </w:rPr>
        <w:t>En mi condición de Congresista de la Cámara de Representantes de la República de Colombia, radico el presente Proyecto de Ley que desmonta gradualmente el grav</w:t>
      </w:r>
      <w:r w:rsidR="009F57D6">
        <w:rPr>
          <w:rFonts w:ascii="Arial" w:eastAsia="Times New Roman" w:hAnsi="Arial" w:cs="Arial"/>
        </w:rPr>
        <w:t>a</w:t>
      </w:r>
      <w:r w:rsidRPr="00737712">
        <w:rPr>
          <w:rFonts w:ascii="Arial" w:eastAsia="Times New Roman" w:hAnsi="Arial" w:cs="Arial"/>
        </w:rPr>
        <w:t>men a los movimientos financieros.</w:t>
      </w:r>
    </w:p>
    <w:p w14:paraId="6ED63063" w14:textId="77777777" w:rsidR="00F55FC4" w:rsidRPr="00737712" w:rsidRDefault="00F55FC4" w:rsidP="00737712">
      <w:pPr>
        <w:jc w:val="both"/>
        <w:rPr>
          <w:rFonts w:ascii="Arial" w:hAnsi="Arial" w:cs="Arial"/>
          <w:color w:val="FF0000"/>
        </w:rPr>
      </w:pPr>
    </w:p>
    <w:p w14:paraId="2A0B4113" w14:textId="3C684F3B" w:rsidR="00F55FC4" w:rsidRPr="00737712" w:rsidRDefault="00F55FC4" w:rsidP="00737712">
      <w:pPr>
        <w:jc w:val="both"/>
        <w:rPr>
          <w:rFonts w:ascii="Arial" w:hAnsi="Arial" w:cs="Arial"/>
          <w:b/>
          <w:bCs/>
        </w:rPr>
      </w:pPr>
      <w:r w:rsidRPr="00737712">
        <w:rPr>
          <w:rFonts w:ascii="Arial" w:hAnsi="Arial" w:cs="Arial"/>
        </w:rPr>
        <w:t xml:space="preserve">De tal forma, presento a consideración del Congreso de la República este proyecto </w:t>
      </w:r>
      <w:r w:rsidRPr="00737712">
        <w:rPr>
          <w:rFonts w:ascii="Arial" w:hAnsi="Arial" w:cs="Arial"/>
          <w:i/>
        </w:rPr>
        <w:t>“Por medio de la cual se reforma el Estatuto Tributario de Colombia y se dictan otras disposiciones</w:t>
      </w:r>
      <w:r w:rsidRPr="00737712">
        <w:rPr>
          <w:rFonts w:ascii="Arial" w:hAnsi="Arial" w:cs="Arial"/>
        </w:rPr>
        <w:t>”</w:t>
      </w:r>
      <w:r w:rsidRPr="00737712">
        <w:rPr>
          <w:rFonts w:ascii="Arial" w:hAnsi="Arial" w:cs="Arial"/>
          <w:i/>
          <w:color w:val="000000" w:themeColor="text1"/>
        </w:rPr>
        <w:t xml:space="preserve">, </w:t>
      </w:r>
      <w:r w:rsidRPr="00737712">
        <w:rPr>
          <w:rFonts w:ascii="Arial" w:hAnsi="Arial" w:cs="Arial"/>
          <w:iCs/>
          <w:color w:val="000000" w:themeColor="text1"/>
        </w:rPr>
        <w:t>con el fin de iniciar el trámite correspondiente y cumplir con las exigencias dictadas por la Constitución y la ley.</w:t>
      </w:r>
    </w:p>
    <w:p w14:paraId="20539D33" w14:textId="77777777" w:rsidR="00356162" w:rsidRDefault="00356162" w:rsidP="00737712">
      <w:pPr>
        <w:outlineLvl w:val="0"/>
        <w:rPr>
          <w:rFonts w:ascii="Arial" w:hAnsi="Arial" w:cs="Arial"/>
        </w:rPr>
      </w:pPr>
    </w:p>
    <w:p w14:paraId="2036FFEB" w14:textId="0417CE57" w:rsidR="00F55FC4" w:rsidRPr="00737712" w:rsidRDefault="00F55FC4" w:rsidP="00737712">
      <w:pPr>
        <w:outlineLvl w:val="0"/>
        <w:rPr>
          <w:rFonts w:ascii="Arial" w:hAnsi="Arial" w:cs="Arial"/>
        </w:rPr>
      </w:pPr>
      <w:r w:rsidRPr="00737712">
        <w:rPr>
          <w:rFonts w:ascii="Arial" w:hAnsi="Arial" w:cs="Arial"/>
        </w:rPr>
        <w:t xml:space="preserve">Cordialmente, </w:t>
      </w:r>
    </w:p>
    <w:p w14:paraId="7904908B" w14:textId="2C4E8AD8" w:rsidR="00F55FC4" w:rsidRPr="00737712" w:rsidRDefault="00F55FC4" w:rsidP="00737712">
      <w:pPr>
        <w:jc w:val="both"/>
        <w:rPr>
          <w:rFonts w:ascii="Arial" w:hAnsi="Arial" w:cs="Arial"/>
        </w:rPr>
      </w:pPr>
    </w:p>
    <w:p w14:paraId="3F2A0AD9" w14:textId="2D36C66F" w:rsidR="00F55FC4" w:rsidRPr="00737712" w:rsidRDefault="00F55FC4" w:rsidP="00737712">
      <w:pPr>
        <w:jc w:val="both"/>
        <w:rPr>
          <w:rFonts w:ascii="Arial" w:hAnsi="Arial" w:cs="Arial"/>
        </w:rPr>
      </w:pPr>
    </w:p>
    <w:p w14:paraId="0401D850" w14:textId="5C31585C" w:rsidR="00AE3C53" w:rsidRDefault="00AE3C53" w:rsidP="00737712">
      <w:pPr>
        <w:jc w:val="both"/>
        <w:rPr>
          <w:rFonts w:ascii="Arial" w:hAnsi="Arial" w:cs="Arial"/>
        </w:rPr>
      </w:pPr>
      <w:bookmarkStart w:id="2" w:name="_Hlk524336119"/>
      <w:r w:rsidRPr="00737712">
        <w:rPr>
          <w:rFonts w:ascii="Arial" w:hAnsi="Arial" w:cs="Arial"/>
          <w:noProof/>
          <w:lang w:val="es-CO" w:eastAsia="es-CO"/>
        </w:rPr>
        <w:drawing>
          <wp:anchor distT="0" distB="0" distL="114300" distR="114300" simplePos="0" relativeHeight="251658240" behindDoc="1" locked="0" layoutInCell="1" allowOverlap="1" wp14:anchorId="415F39AA" wp14:editId="0E894725">
            <wp:simplePos x="0" y="0"/>
            <wp:positionH relativeFrom="column">
              <wp:posOffset>-405765</wp:posOffset>
            </wp:positionH>
            <wp:positionV relativeFrom="paragraph">
              <wp:posOffset>147955</wp:posOffset>
            </wp:positionV>
            <wp:extent cx="3086531" cy="78115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km.png"/>
                    <pic:cNvPicPr/>
                  </pic:nvPicPr>
                  <pic:blipFill>
                    <a:blip r:embed="rId8">
                      <a:extLst>
                        <a:ext uri="{28A0092B-C50C-407E-A947-70E740481C1C}">
                          <a14:useLocalDpi xmlns:a14="http://schemas.microsoft.com/office/drawing/2010/main" val="0"/>
                        </a:ext>
                      </a:extLst>
                    </a:blip>
                    <a:stretch>
                      <a:fillRect/>
                    </a:stretch>
                  </pic:blipFill>
                  <pic:spPr>
                    <a:xfrm>
                      <a:off x="0" y="0"/>
                      <a:ext cx="3086531" cy="781159"/>
                    </a:xfrm>
                    <a:prstGeom prst="rect">
                      <a:avLst/>
                    </a:prstGeom>
                  </pic:spPr>
                </pic:pic>
              </a:graphicData>
            </a:graphic>
            <wp14:sizeRelH relativeFrom="page">
              <wp14:pctWidth>0</wp14:pctWidth>
            </wp14:sizeRelH>
            <wp14:sizeRelV relativeFrom="page">
              <wp14:pctHeight>0</wp14:pctHeight>
            </wp14:sizeRelV>
          </wp:anchor>
        </w:drawing>
      </w:r>
    </w:p>
    <w:p w14:paraId="4466A75C" w14:textId="77777777" w:rsidR="00AE3C53" w:rsidRDefault="00AE3C53" w:rsidP="00737712">
      <w:pPr>
        <w:jc w:val="both"/>
        <w:rPr>
          <w:rFonts w:ascii="Arial" w:hAnsi="Arial" w:cs="Arial"/>
        </w:rPr>
      </w:pPr>
    </w:p>
    <w:p w14:paraId="7FFF64D1" w14:textId="77777777" w:rsidR="00AE3C53" w:rsidRDefault="00AE3C53" w:rsidP="00737712">
      <w:pPr>
        <w:jc w:val="both"/>
        <w:rPr>
          <w:rFonts w:ascii="Arial" w:hAnsi="Arial" w:cs="Arial"/>
        </w:rPr>
      </w:pPr>
    </w:p>
    <w:p w14:paraId="36DF0FAB" w14:textId="77777777" w:rsidR="00AE3C53" w:rsidRDefault="00AE3C53" w:rsidP="00737712">
      <w:pPr>
        <w:jc w:val="both"/>
        <w:rPr>
          <w:rFonts w:ascii="Arial" w:hAnsi="Arial" w:cs="Arial"/>
        </w:rPr>
      </w:pPr>
    </w:p>
    <w:p w14:paraId="4AEF0577" w14:textId="03CBA755" w:rsidR="00F55FC4" w:rsidRPr="00737712" w:rsidRDefault="00F55FC4" w:rsidP="00737712">
      <w:pPr>
        <w:jc w:val="both"/>
        <w:rPr>
          <w:rFonts w:ascii="Arial" w:hAnsi="Arial" w:cs="Arial"/>
        </w:rPr>
      </w:pPr>
      <w:bookmarkStart w:id="3" w:name="_GoBack"/>
      <w:bookmarkEnd w:id="3"/>
      <w:r w:rsidRPr="00737712">
        <w:rPr>
          <w:rFonts w:ascii="Arial" w:hAnsi="Arial" w:cs="Arial"/>
        </w:rPr>
        <w:t>______________________________</w:t>
      </w:r>
    </w:p>
    <w:p w14:paraId="0C9CCD5D" w14:textId="77777777" w:rsidR="00AE3C53" w:rsidRDefault="00AE3C53" w:rsidP="00737712">
      <w:pPr>
        <w:jc w:val="both"/>
        <w:rPr>
          <w:rFonts w:ascii="Arial" w:hAnsi="Arial" w:cs="Arial"/>
          <w:b/>
        </w:rPr>
      </w:pPr>
    </w:p>
    <w:p w14:paraId="4EB18FE1" w14:textId="4519DF6A" w:rsidR="00F55FC4" w:rsidRPr="00737712" w:rsidRDefault="00F55FC4" w:rsidP="00737712">
      <w:pPr>
        <w:jc w:val="both"/>
        <w:rPr>
          <w:rFonts w:ascii="Arial" w:hAnsi="Arial" w:cs="Arial"/>
          <w:b/>
        </w:rPr>
      </w:pPr>
      <w:r w:rsidRPr="00737712">
        <w:rPr>
          <w:rFonts w:ascii="Arial" w:hAnsi="Arial" w:cs="Arial"/>
          <w:b/>
        </w:rPr>
        <w:t>KATHERINE MIRANDA PEÑA</w:t>
      </w:r>
    </w:p>
    <w:p w14:paraId="0CE988ED" w14:textId="77777777" w:rsidR="00F55FC4" w:rsidRPr="00737712" w:rsidRDefault="00F55FC4" w:rsidP="00737712">
      <w:pPr>
        <w:jc w:val="both"/>
        <w:rPr>
          <w:rFonts w:ascii="Arial" w:hAnsi="Arial" w:cs="Arial"/>
        </w:rPr>
      </w:pPr>
      <w:r w:rsidRPr="00737712">
        <w:rPr>
          <w:rFonts w:ascii="Arial" w:hAnsi="Arial" w:cs="Arial"/>
        </w:rPr>
        <w:t>Representante a la Cámara por Bogotá</w:t>
      </w:r>
    </w:p>
    <w:p w14:paraId="493C111C" w14:textId="073DB243" w:rsidR="00F55FC4" w:rsidRPr="00737712" w:rsidRDefault="00F55FC4" w:rsidP="00737712">
      <w:pPr>
        <w:jc w:val="both"/>
        <w:rPr>
          <w:rFonts w:ascii="Arial" w:hAnsi="Arial" w:cs="Arial"/>
        </w:rPr>
      </w:pPr>
      <w:r w:rsidRPr="00737712">
        <w:rPr>
          <w:rFonts w:ascii="Arial" w:hAnsi="Arial" w:cs="Arial"/>
        </w:rPr>
        <w:t>Partido Alianza Verd</w:t>
      </w:r>
      <w:bookmarkEnd w:id="2"/>
      <w:r w:rsidRPr="00737712">
        <w:rPr>
          <w:rFonts w:ascii="Arial" w:hAnsi="Arial" w:cs="Arial"/>
        </w:rPr>
        <w:t>e</w:t>
      </w:r>
      <w:bookmarkEnd w:id="0"/>
    </w:p>
    <w:p w14:paraId="1851F7A5" w14:textId="77777777" w:rsidR="00D578D2" w:rsidRPr="00737712" w:rsidRDefault="00D578D2" w:rsidP="00737712">
      <w:pPr>
        <w:jc w:val="both"/>
        <w:rPr>
          <w:rStyle w:val="Ninguno"/>
          <w:rFonts w:ascii="Arial" w:hAnsi="Arial" w:cs="Arial"/>
        </w:rPr>
      </w:pPr>
    </w:p>
    <w:p w14:paraId="4F71676C" w14:textId="77777777" w:rsidR="00356162" w:rsidRDefault="00356162" w:rsidP="00737712">
      <w:pPr>
        <w:pStyle w:val="Poromisin"/>
        <w:jc w:val="center"/>
        <w:rPr>
          <w:rStyle w:val="Ninguno"/>
          <w:rFonts w:ascii="Arial" w:hAnsi="Arial" w:cs="Arial"/>
          <w:b/>
          <w:color w:val="000000" w:themeColor="text1"/>
          <w:sz w:val="24"/>
          <w:szCs w:val="24"/>
        </w:rPr>
      </w:pPr>
    </w:p>
    <w:p w14:paraId="364EAB58" w14:textId="77777777" w:rsidR="00356162" w:rsidRDefault="00356162" w:rsidP="00737712">
      <w:pPr>
        <w:pStyle w:val="Poromisin"/>
        <w:jc w:val="center"/>
        <w:rPr>
          <w:rStyle w:val="Ninguno"/>
          <w:rFonts w:ascii="Arial" w:hAnsi="Arial" w:cs="Arial"/>
          <w:b/>
          <w:color w:val="000000" w:themeColor="text1"/>
          <w:sz w:val="24"/>
          <w:szCs w:val="24"/>
        </w:rPr>
      </w:pPr>
    </w:p>
    <w:p w14:paraId="19F82D0B" w14:textId="77777777" w:rsidR="00356162" w:rsidRDefault="00356162" w:rsidP="00737712">
      <w:pPr>
        <w:pStyle w:val="Poromisin"/>
        <w:jc w:val="center"/>
        <w:rPr>
          <w:rStyle w:val="Ninguno"/>
          <w:rFonts w:ascii="Arial" w:hAnsi="Arial" w:cs="Arial"/>
          <w:b/>
          <w:color w:val="000000" w:themeColor="text1"/>
          <w:sz w:val="24"/>
          <w:szCs w:val="24"/>
        </w:rPr>
      </w:pPr>
    </w:p>
    <w:p w14:paraId="75895F55" w14:textId="0F43E04B" w:rsidR="00871332" w:rsidRPr="00737712" w:rsidRDefault="00871332" w:rsidP="00737712">
      <w:pPr>
        <w:pStyle w:val="Poromisin"/>
        <w:jc w:val="center"/>
        <w:rPr>
          <w:rStyle w:val="Ninguno"/>
          <w:rFonts w:ascii="Arial" w:hAnsi="Arial" w:cs="Arial"/>
          <w:b/>
          <w:color w:val="000000" w:themeColor="text1"/>
          <w:sz w:val="24"/>
          <w:szCs w:val="24"/>
        </w:rPr>
      </w:pPr>
      <w:r w:rsidRPr="00737712">
        <w:rPr>
          <w:rStyle w:val="Ninguno"/>
          <w:rFonts w:ascii="Arial" w:hAnsi="Arial" w:cs="Arial"/>
          <w:b/>
          <w:color w:val="000000" w:themeColor="text1"/>
          <w:sz w:val="24"/>
          <w:szCs w:val="24"/>
        </w:rPr>
        <w:lastRenderedPageBreak/>
        <w:t>PROYEC</w:t>
      </w:r>
      <w:r w:rsidR="00AD501B" w:rsidRPr="00737712">
        <w:rPr>
          <w:rStyle w:val="Ninguno"/>
          <w:rFonts w:ascii="Arial" w:hAnsi="Arial" w:cs="Arial"/>
          <w:b/>
          <w:color w:val="000000" w:themeColor="text1"/>
          <w:sz w:val="24"/>
          <w:szCs w:val="24"/>
        </w:rPr>
        <w:t>TO DE LEY NÚMERO _______ DE 2020</w:t>
      </w:r>
      <w:r w:rsidRPr="00737712">
        <w:rPr>
          <w:rStyle w:val="Ninguno"/>
          <w:rFonts w:ascii="Arial" w:hAnsi="Arial" w:cs="Arial"/>
          <w:b/>
          <w:color w:val="000000" w:themeColor="text1"/>
          <w:sz w:val="24"/>
          <w:szCs w:val="24"/>
        </w:rPr>
        <w:t xml:space="preserve"> CÁMARA</w:t>
      </w:r>
    </w:p>
    <w:p w14:paraId="321B32E5" w14:textId="77777777" w:rsidR="00871332" w:rsidRPr="00737712" w:rsidRDefault="00871332" w:rsidP="00737712">
      <w:pPr>
        <w:pStyle w:val="Poromisin"/>
        <w:jc w:val="center"/>
        <w:rPr>
          <w:rFonts w:ascii="Arial" w:hAnsi="Arial" w:cs="Arial"/>
          <w:i/>
          <w:color w:val="000000" w:themeColor="text1"/>
          <w:sz w:val="24"/>
          <w:szCs w:val="24"/>
        </w:rPr>
      </w:pPr>
    </w:p>
    <w:p w14:paraId="587C4E23" w14:textId="6F153053" w:rsidR="00871332" w:rsidRPr="00737712" w:rsidRDefault="00871332" w:rsidP="00737712">
      <w:pPr>
        <w:jc w:val="center"/>
        <w:rPr>
          <w:rFonts w:ascii="Arial" w:hAnsi="Arial" w:cs="Arial"/>
          <w:b/>
          <w:bCs/>
          <w:color w:val="000000" w:themeColor="text1"/>
        </w:rPr>
      </w:pPr>
      <w:bookmarkStart w:id="4" w:name="_Hlk45635407"/>
      <w:r w:rsidRPr="00737712">
        <w:rPr>
          <w:rFonts w:ascii="Arial" w:hAnsi="Arial" w:cs="Arial"/>
          <w:i/>
          <w:color w:val="000000" w:themeColor="text1"/>
        </w:rPr>
        <w:t>“Por medio de la cual se reforma el Estatuto Tributario de Colombia</w:t>
      </w:r>
      <w:r w:rsidR="00F55FC4" w:rsidRPr="00737712">
        <w:rPr>
          <w:rFonts w:ascii="Arial" w:hAnsi="Arial" w:cs="Arial"/>
          <w:i/>
          <w:color w:val="000000" w:themeColor="text1"/>
        </w:rPr>
        <w:t xml:space="preserve"> y se dictan otras disposiciones</w:t>
      </w:r>
      <w:r w:rsidRPr="00737712">
        <w:rPr>
          <w:rFonts w:ascii="Arial" w:hAnsi="Arial" w:cs="Arial"/>
          <w:color w:val="000000" w:themeColor="text1"/>
        </w:rPr>
        <w:t>”</w:t>
      </w:r>
    </w:p>
    <w:bookmarkEnd w:id="4"/>
    <w:p w14:paraId="33CE717A" w14:textId="77777777" w:rsidR="00871332" w:rsidRPr="00737712" w:rsidRDefault="00871332" w:rsidP="00737712">
      <w:pPr>
        <w:pStyle w:val="Poromisin"/>
        <w:jc w:val="both"/>
        <w:rPr>
          <w:rStyle w:val="Ninguno"/>
          <w:rFonts w:ascii="Arial" w:hAnsi="Arial" w:cs="Arial"/>
          <w:color w:val="000000" w:themeColor="text1"/>
          <w:sz w:val="24"/>
          <w:szCs w:val="24"/>
        </w:rPr>
      </w:pPr>
    </w:p>
    <w:p w14:paraId="11E42A38" w14:textId="77777777" w:rsidR="00871332" w:rsidRPr="00737712" w:rsidRDefault="00871332" w:rsidP="00737712">
      <w:pPr>
        <w:pStyle w:val="Poromisin"/>
        <w:jc w:val="center"/>
        <w:rPr>
          <w:rStyle w:val="Ninguno"/>
          <w:rFonts w:ascii="Arial" w:hAnsi="Arial" w:cs="Arial"/>
          <w:color w:val="000000" w:themeColor="text1"/>
          <w:sz w:val="24"/>
          <w:szCs w:val="24"/>
        </w:rPr>
      </w:pPr>
      <w:r w:rsidRPr="00737712">
        <w:rPr>
          <w:rStyle w:val="Ninguno"/>
          <w:rFonts w:ascii="Arial" w:hAnsi="Arial" w:cs="Arial"/>
          <w:color w:val="000000" w:themeColor="text1"/>
          <w:sz w:val="24"/>
          <w:szCs w:val="24"/>
        </w:rPr>
        <w:t>El Congreso de Colombia</w:t>
      </w:r>
    </w:p>
    <w:p w14:paraId="79345219" w14:textId="77777777" w:rsidR="00871332" w:rsidRPr="00737712" w:rsidRDefault="00871332" w:rsidP="00737712">
      <w:pPr>
        <w:pStyle w:val="Poromisin"/>
        <w:jc w:val="center"/>
        <w:rPr>
          <w:rStyle w:val="Ninguno"/>
          <w:rFonts w:ascii="Arial" w:hAnsi="Arial" w:cs="Arial"/>
          <w:color w:val="000000" w:themeColor="text1"/>
          <w:sz w:val="24"/>
          <w:szCs w:val="24"/>
        </w:rPr>
      </w:pPr>
    </w:p>
    <w:p w14:paraId="673E8C48" w14:textId="77777777" w:rsidR="00871332" w:rsidRPr="00737712" w:rsidRDefault="00871332" w:rsidP="00737712">
      <w:pPr>
        <w:pStyle w:val="Poromisin"/>
        <w:jc w:val="center"/>
        <w:rPr>
          <w:rStyle w:val="Ninguno"/>
          <w:rFonts w:ascii="Arial" w:hAnsi="Arial" w:cs="Arial"/>
          <w:color w:val="000000" w:themeColor="text1"/>
          <w:sz w:val="24"/>
          <w:szCs w:val="24"/>
        </w:rPr>
      </w:pPr>
      <w:r w:rsidRPr="00737712">
        <w:rPr>
          <w:rStyle w:val="Ninguno"/>
          <w:rFonts w:ascii="Arial" w:hAnsi="Arial" w:cs="Arial"/>
          <w:color w:val="000000" w:themeColor="text1"/>
          <w:sz w:val="24"/>
          <w:szCs w:val="24"/>
        </w:rPr>
        <w:t>DECRETA:</w:t>
      </w:r>
    </w:p>
    <w:p w14:paraId="65988217" w14:textId="77777777" w:rsidR="00871332" w:rsidRPr="00737712" w:rsidRDefault="00871332" w:rsidP="00737712">
      <w:pPr>
        <w:pStyle w:val="Poromisin"/>
        <w:rPr>
          <w:rStyle w:val="Ninguno"/>
          <w:rFonts w:ascii="Arial" w:hAnsi="Arial" w:cs="Arial"/>
          <w:color w:val="000000" w:themeColor="text1"/>
          <w:sz w:val="24"/>
          <w:szCs w:val="24"/>
        </w:rPr>
      </w:pPr>
    </w:p>
    <w:p w14:paraId="26C3A7B0" w14:textId="221CEA71" w:rsidR="00871332" w:rsidRPr="00737712" w:rsidRDefault="00871332" w:rsidP="00737712">
      <w:pPr>
        <w:pStyle w:val="NormalWeb"/>
        <w:shd w:val="clear" w:color="auto" w:fill="FFFFFF"/>
        <w:spacing w:before="0" w:beforeAutospacing="0" w:after="0" w:afterAutospacing="0"/>
        <w:jc w:val="both"/>
        <w:rPr>
          <w:rStyle w:val="Ninguno"/>
          <w:rFonts w:ascii="Arial" w:hAnsi="Arial" w:cs="Arial"/>
          <w:color w:val="000000" w:themeColor="text1"/>
        </w:rPr>
      </w:pPr>
      <w:r w:rsidRPr="00737712">
        <w:rPr>
          <w:rStyle w:val="Ninguno"/>
          <w:rFonts w:ascii="Arial" w:hAnsi="Arial" w:cs="Arial"/>
          <w:b/>
          <w:color w:val="000000" w:themeColor="text1"/>
        </w:rPr>
        <w:t>ARTÍCULO 1. OBJETO.</w:t>
      </w:r>
      <w:r w:rsidRPr="00737712">
        <w:rPr>
          <w:rStyle w:val="Ninguno"/>
          <w:rFonts w:ascii="Arial" w:hAnsi="Arial" w:cs="Arial"/>
          <w:color w:val="000000" w:themeColor="text1"/>
        </w:rPr>
        <w:t xml:space="preserve"> La presente ley tiene por objeto </w:t>
      </w:r>
      <w:r w:rsidR="00C007B7" w:rsidRPr="00737712">
        <w:rPr>
          <w:rStyle w:val="Ninguno"/>
          <w:rFonts w:ascii="Arial" w:hAnsi="Arial" w:cs="Arial"/>
          <w:color w:val="000000" w:themeColor="text1"/>
        </w:rPr>
        <w:t>desmontar gradualmente</w:t>
      </w:r>
      <w:r w:rsidRPr="00737712">
        <w:rPr>
          <w:rStyle w:val="Ninguno"/>
          <w:rFonts w:ascii="Arial" w:hAnsi="Arial" w:cs="Arial"/>
          <w:color w:val="000000" w:themeColor="text1"/>
        </w:rPr>
        <w:t xml:space="preserve"> los gravámenes en los movimientos financieros</w:t>
      </w:r>
      <w:r w:rsidR="00ED7D1D" w:rsidRPr="00737712">
        <w:rPr>
          <w:rStyle w:val="Ninguno"/>
          <w:rFonts w:ascii="Arial" w:hAnsi="Arial" w:cs="Arial"/>
          <w:color w:val="000000" w:themeColor="text1"/>
        </w:rPr>
        <w:t>.</w:t>
      </w:r>
    </w:p>
    <w:p w14:paraId="3B04E407" w14:textId="77777777" w:rsidR="00871332" w:rsidRPr="00737712" w:rsidRDefault="00871332" w:rsidP="00737712">
      <w:pPr>
        <w:pStyle w:val="NormalWeb"/>
        <w:shd w:val="clear" w:color="auto" w:fill="FFFFFF"/>
        <w:spacing w:before="0" w:beforeAutospacing="0" w:after="0" w:afterAutospacing="0"/>
        <w:jc w:val="both"/>
        <w:rPr>
          <w:rStyle w:val="Ninguno"/>
          <w:rFonts w:ascii="Arial" w:hAnsi="Arial" w:cs="Arial"/>
          <w:i/>
          <w:color w:val="000000" w:themeColor="text1"/>
        </w:rPr>
      </w:pPr>
    </w:p>
    <w:p w14:paraId="45ACB942" w14:textId="77777777" w:rsidR="00871332" w:rsidRPr="00737712" w:rsidRDefault="00871332" w:rsidP="00737712">
      <w:pPr>
        <w:pStyle w:val="NormalWeb"/>
        <w:shd w:val="clear" w:color="auto" w:fill="FFFFFF"/>
        <w:spacing w:before="0" w:beforeAutospacing="0" w:after="0" w:afterAutospacing="0"/>
        <w:jc w:val="both"/>
        <w:rPr>
          <w:rStyle w:val="Ninguno"/>
          <w:rFonts w:ascii="Arial" w:hAnsi="Arial" w:cs="Arial"/>
          <w:color w:val="4B4949"/>
        </w:rPr>
      </w:pPr>
      <w:r w:rsidRPr="00737712">
        <w:rPr>
          <w:rStyle w:val="Ninguno"/>
          <w:rFonts w:ascii="Arial" w:hAnsi="Arial" w:cs="Arial"/>
          <w:b/>
          <w:color w:val="000000" w:themeColor="text1"/>
        </w:rPr>
        <w:t xml:space="preserve">ARTÍCULO 2. </w:t>
      </w:r>
      <w:r w:rsidRPr="00737712">
        <w:rPr>
          <w:rStyle w:val="Ninguno"/>
          <w:rFonts w:ascii="Arial" w:hAnsi="Arial" w:cs="Arial"/>
          <w:color w:val="000000" w:themeColor="text1"/>
        </w:rPr>
        <w:t>Modifíquese el artículo 872 del Estatuto Tributario, el cual quedará así:</w:t>
      </w:r>
    </w:p>
    <w:p w14:paraId="0E4BF537" w14:textId="77777777" w:rsidR="00871332" w:rsidRPr="00737712" w:rsidRDefault="00871332" w:rsidP="00737712">
      <w:pPr>
        <w:pStyle w:val="NormalWeb"/>
        <w:shd w:val="clear" w:color="auto" w:fill="FFFFFF"/>
        <w:spacing w:before="0" w:beforeAutospacing="0" w:after="0" w:afterAutospacing="0"/>
        <w:ind w:left="708"/>
        <w:jc w:val="both"/>
        <w:rPr>
          <w:rStyle w:val="Ninguno"/>
          <w:rFonts w:ascii="Arial" w:hAnsi="Arial" w:cs="Arial"/>
          <w:i/>
          <w:color w:val="000000" w:themeColor="text1"/>
        </w:rPr>
      </w:pPr>
      <w:r w:rsidRPr="00737712">
        <w:rPr>
          <w:rStyle w:val="Ninguno"/>
          <w:rFonts w:ascii="Arial" w:hAnsi="Arial" w:cs="Arial"/>
          <w:i/>
          <w:color w:val="000000" w:themeColor="text1"/>
        </w:rPr>
        <w:t>“Artículo 872. Tarifa del gravamen a los movimientos financieros. La tarifa del gravamen a los movimientos financieros será del cuatro por mil (4x1.000).</w:t>
      </w:r>
    </w:p>
    <w:p w14:paraId="130B0976" w14:textId="77777777" w:rsidR="00871332" w:rsidRPr="00737712" w:rsidRDefault="00871332" w:rsidP="00737712">
      <w:pPr>
        <w:pStyle w:val="NormalWeb"/>
        <w:shd w:val="clear" w:color="auto" w:fill="FFFFFF"/>
        <w:spacing w:before="0" w:beforeAutospacing="0" w:after="0" w:afterAutospacing="0"/>
        <w:ind w:left="708"/>
        <w:jc w:val="both"/>
        <w:rPr>
          <w:rStyle w:val="Ninguno"/>
          <w:rFonts w:ascii="Arial" w:hAnsi="Arial" w:cs="Arial"/>
          <w:i/>
          <w:color w:val="000000" w:themeColor="text1"/>
        </w:rPr>
      </w:pPr>
      <w:r w:rsidRPr="00737712">
        <w:rPr>
          <w:rStyle w:val="Ninguno"/>
          <w:rFonts w:ascii="Arial" w:hAnsi="Arial" w:cs="Arial"/>
          <w:i/>
          <w:color w:val="000000" w:themeColor="text1"/>
        </w:rPr>
        <w:t>La tarifa del impuesto a que se refiere el presente artículo se reducirá de la siguiente manera:</w:t>
      </w:r>
    </w:p>
    <w:p w14:paraId="2976BC79" w14:textId="77777777" w:rsidR="00871332" w:rsidRPr="00737712" w:rsidRDefault="00871332" w:rsidP="00737712">
      <w:pPr>
        <w:pStyle w:val="NormalWeb"/>
        <w:shd w:val="clear" w:color="auto" w:fill="FFFFFF"/>
        <w:spacing w:before="0" w:beforeAutospacing="0" w:after="0" w:afterAutospacing="0"/>
        <w:ind w:left="708"/>
        <w:jc w:val="both"/>
        <w:rPr>
          <w:rStyle w:val="Ninguno"/>
          <w:rFonts w:ascii="Arial" w:hAnsi="Arial" w:cs="Arial"/>
          <w:i/>
          <w:color w:val="000000" w:themeColor="text1"/>
        </w:rPr>
      </w:pPr>
      <w:r w:rsidRPr="00737712">
        <w:rPr>
          <w:rStyle w:val="Ninguno"/>
          <w:rFonts w:ascii="Arial" w:hAnsi="Arial" w:cs="Arial"/>
          <w:i/>
          <w:color w:val="000000" w:themeColor="text1"/>
        </w:rPr>
        <w:t>– Al tres po</w:t>
      </w:r>
      <w:r w:rsidR="00C007B7" w:rsidRPr="00737712">
        <w:rPr>
          <w:rStyle w:val="Ninguno"/>
          <w:rFonts w:ascii="Arial" w:hAnsi="Arial" w:cs="Arial"/>
          <w:i/>
          <w:color w:val="000000" w:themeColor="text1"/>
        </w:rPr>
        <w:t>r mil (3 x 1.000) en el año 2021</w:t>
      </w:r>
      <w:r w:rsidRPr="00737712">
        <w:rPr>
          <w:rStyle w:val="Ninguno"/>
          <w:rFonts w:ascii="Arial" w:hAnsi="Arial" w:cs="Arial"/>
          <w:i/>
          <w:color w:val="000000" w:themeColor="text1"/>
        </w:rPr>
        <w:t>.</w:t>
      </w:r>
    </w:p>
    <w:p w14:paraId="4B29482C" w14:textId="77777777" w:rsidR="00871332" w:rsidRPr="00737712" w:rsidRDefault="00871332" w:rsidP="00737712">
      <w:pPr>
        <w:pStyle w:val="NormalWeb"/>
        <w:shd w:val="clear" w:color="auto" w:fill="FFFFFF"/>
        <w:spacing w:before="0" w:beforeAutospacing="0" w:after="0" w:afterAutospacing="0"/>
        <w:ind w:left="708"/>
        <w:jc w:val="both"/>
        <w:rPr>
          <w:rStyle w:val="Ninguno"/>
          <w:rFonts w:ascii="Arial" w:hAnsi="Arial" w:cs="Arial"/>
          <w:i/>
          <w:color w:val="000000" w:themeColor="text1"/>
        </w:rPr>
      </w:pPr>
      <w:r w:rsidRPr="00737712">
        <w:rPr>
          <w:rStyle w:val="Ninguno"/>
          <w:rFonts w:ascii="Arial" w:hAnsi="Arial" w:cs="Arial"/>
          <w:i/>
          <w:color w:val="000000" w:themeColor="text1"/>
        </w:rPr>
        <w:t>– Al dos po</w:t>
      </w:r>
      <w:r w:rsidR="00C007B7" w:rsidRPr="00737712">
        <w:rPr>
          <w:rStyle w:val="Ninguno"/>
          <w:rFonts w:ascii="Arial" w:hAnsi="Arial" w:cs="Arial"/>
          <w:i/>
          <w:color w:val="000000" w:themeColor="text1"/>
        </w:rPr>
        <w:t>r mil (2 x 1.000) en el año 2022</w:t>
      </w:r>
      <w:r w:rsidRPr="00737712">
        <w:rPr>
          <w:rStyle w:val="Ninguno"/>
          <w:rFonts w:ascii="Arial" w:hAnsi="Arial" w:cs="Arial"/>
          <w:i/>
          <w:color w:val="000000" w:themeColor="text1"/>
        </w:rPr>
        <w:t>.</w:t>
      </w:r>
    </w:p>
    <w:p w14:paraId="09C28E23" w14:textId="1EBDEB76" w:rsidR="00871332" w:rsidRDefault="00871332" w:rsidP="00737712">
      <w:pPr>
        <w:pStyle w:val="NormalWeb"/>
        <w:shd w:val="clear" w:color="auto" w:fill="FFFFFF"/>
        <w:spacing w:before="0" w:beforeAutospacing="0" w:after="0" w:afterAutospacing="0"/>
        <w:ind w:left="708"/>
        <w:jc w:val="both"/>
        <w:rPr>
          <w:rStyle w:val="Ninguno"/>
          <w:rFonts w:ascii="Arial" w:hAnsi="Arial" w:cs="Arial"/>
          <w:i/>
          <w:color w:val="000000" w:themeColor="text1"/>
        </w:rPr>
      </w:pPr>
      <w:r w:rsidRPr="00737712">
        <w:rPr>
          <w:rStyle w:val="Ninguno"/>
          <w:rFonts w:ascii="Arial" w:hAnsi="Arial" w:cs="Arial"/>
          <w:i/>
          <w:color w:val="000000" w:themeColor="text1"/>
        </w:rPr>
        <w:t>– Al uno po</w:t>
      </w:r>
      <w:r w:rsidR="00C007B7" w:rsidRPr="00737712">
        <w:rPr>
          <w:rStyle w:val="Ninguno"/>
          <w:rFonts w:ascii="Arial" w:hAnsi="Arial" w:cs="Arial"/>
          <w:i/>
          <w:color w:val="000000" w:themeColor="text1"/>
        </w:rPr>
        <w:t>r mil (1 x 1.000) en el año 2023</w:t>
      </w:r>
      <w:r w:rsidRPr="00737712">
        <w:rPr>
          <w:rStyle w:val="Ninguno"/>
          <w:rFonts w:ascii="Arial" w:hAnsi="Arial" w:cs="Arial"/>
          <w:i/>
          <w:color w:val="000000" w:themeColor="text1"/>
        </w:rPr>
        <w:t>.</w:t>
      </w:r>
    </w:p>
    <w:p w14:paraId="76FEDA4B" w14:textId="77777777" w:rsidR="006650F2" w:rsidRPr="00737712" w:rsidRDefault="006650F2" w:rsidP="00737712">
      <w:pPr>
        <w:pStyle w:val="NormalWeb"/>
        <w:shd w:val="clear" w:color="auto" w:fill="FFFFFF"/>
        <w:spacing w:before="0" w:beforeAutospacing="0" w:after="0" w:afterAutospacing="0"/>
        <w:ind w:left="708"/>
        <w:jc w:val="both"/>
        <w:rPr>
          <w:rStyle w:val="Ninguno"/>
          <w:rFonts w:ascii="Arial" w:hAnsi="Arial" w:cs="Arial"/>
          <w:i/>
          <w:color w:val="000000" w:themeColor="text1"/>
        </w:rPr>
      </w:pPr>
    </w:p>
    <w:p w14:paraId="07D39981" w14:textId="77777777" w:rsidR="00871332" w:rsidRPr="00737712" w:rsidRDefault="00871332" w:rsidP="00737712">
      <w:pPr>
        <w:pStyle w:val="Poromisin"/>
        <w:jc w:val="both"/>
        <w:rPr>
          <w:rStyle w:val="Ninguno"/>
          <w:rFonts w:ascii="Arial" w:hAnsi="Arial" w:cs="Arial"/>
          <w:color w:val="000000" w:themeColor="text1"/>
          <w:sz w:val="24"/>
          <w:szCs w:val="24"/>
        </w:rPr>
      </w:pPr>
      <w:r w:rsidRPr="00737712">
        <w:rPr>
          <w:rStyle w:val="Ninguno"/>
          <w:rFonts w:ascii="Arial" w:hAnsi="Arial" w:cs="Arial"/>
          <w:b/>
          <w:color w:val="000000" w:themeColor="text1"/>
          <w:sz w:val="24"/>
          <w:szCs w:val="24"/>
        </w:rPr>
        <w:t>ARTÍCULO 3.</w:t>
      </w:r>
      <w:r w:rsidRPr="00737712">
        <w:rPr>
          <w:rStyle w:val="Ninguno"/>
          <w:rFonts w:ascii="Arial" w:hAnsi="Arial" w:cs="Arial"/>
          <w:color w:val="000000" w:themeColor="text1"/>
          <w:sz w:val="24"/>
          <w:szCs w:val="24"/>
        </w:rPr>
        <w:t xml:space="preserve"> Vigencia y Derogatorias. La presente ley rige a partir de su promulgación y deroga las disposiciones que le sean contrarias.</w:t>
      </w:r>
    </w:p>
    <w:p w14:paraId="5BB49399" w14:textId="77777777" w:rsidR="00871332" w:rsidRPr="00737712" w:rsidRDefault="00871332" w:rsidP="00737712">
      <w:pPr>
        <w:pStyle w:val="Poromisin"/>
        <w:jc w:val="both"/>
        <w:rPr>
          <w:rStyle w:val="Ninguno"/>
          <w:rFonts w:ascii="Arial" w:hAnsi="Arial" w:cs="Arial"/>
          <w:color w:val="000000" w:themeColor="text1"/>
          <w:sz w:val="24"/>
          <w:szCs w:val="24"/>
        </w:rPr>
      </w:pPr>
    </w:p>
    <w:p w14:paraId="398F3517" w14:textId="064D1DE4" w:rsidR="00871332" w:rsidRPr="00737712" w:rsidRDefault="00871332" w:rsidP="00737712">
      <w:pPr>
        <w:pStyle w:val="Poromisin"/>
        <w:jc w:val="both"/>
        <w:rPr>
          <w:rFonts w:ascii="Arial" w:hAnsi="Arial" w:cs="Arial"/>
          <w:sz w:val="24"/>
          <w:szCs w:val="24"/>
        </w:rPr>
      </w:pPr>
      <w:r w:rsidRPr="00737712">
        <w:rPr>
          <w:rStyle w:val="Ninguno"/>
          <w:rFonts w:ascii="Arial" w:eastAsia="Times New Roman" w:hAnsi="Arial" w:cs="Arial"/>
          <w:b/>
          <w:color w:val="000000" w:themeColor="text1"/>
          <w:sz w:val="24"/>
          <w:szCs w:val="24"/>
          <w:bdr w:val="none" w:sz="0" w:space="0" w:color="auto"/>
        </w:rPr>
        <w:t>PARÁGRAFO.</w:t>
      </w:r>
      <w:r w:rsidRPr="00737712">
        <w:rPr>
          <w:rStyle w:val="Ninguno"/>
          <w:rFonts w:ascii="Arial" w:eastAsia="Times New Roman" w:hAnsi="Arial" w:cs="Arial"/>
          <w:color w:val="000000" w:themeColor="text1"/>
          <w:sz w:val="24"/>
          <w:szCs w:val="24"/>
          <w:bdr w:val="none" w:sz="0" w:space="0" w:color="auto"/>
        </w:rPr>
        <w:t xml:space="preserve"> A partir del 1o. de enero de 2025 deróguense las disposiciones contenidas en el Libro Sexto del Estatuto Tributario relativo al Gravamen a los Movimientos Financieros.</w:t>
      </w:r>
      <w:r w:rsidRPr="00737712">
        <w:rPr>
          <w:rFonts w:ascii="Arial" w:hAnsi="Arial" w:cs="Arial"/>
          <w:sz w:val="24"/>
          <w:szCs w:val="24"/>
        </w:rPr>
        <w:t xml:space="preserve"> </w:t>
      </w:r>
    </w:p>
    <w:p w14:paraId="3B634E53" w14:textId="45E34672" w:rsidR="00F55FC4" w:rsidRPr="00737712" w:rsidRDefault="00F55FC4" w:rsidP="00737712">
      <w:pPr>
        <w:pStyle w:val="Poromisin"/>
        <w:jc w:val="both"/>
        <w:rPr>
          <w:rFonts w:ascii="Arial" w:hAnsi="Arial" w:cs="Arial"/>
          <w:sz w:val="24"/>
          <w:szCs w:val="24"/>
        </w:rPr>
      </w:pPr>
    </w:p>
    <w:p w14:paraId="0669C4C9" w14:textId="77777777" w:rsidR="00AE3C53" w:rsidRPr="00737712" w:rsidRDefault="00AE3C53" w:rsidP="00737712">
      <w:pPr>
        <w:pStyle w:val="Poromisin"/>
        <w:jc w:val="both"/>
        <w:rPr>
          <w:rFonts w:ascii="Arial" w:hAnsi="Arial" w:cs="Arial"/>
          <w:sz w:val="24"/>
          <w:szCs w:val="24"/>
        </w:rPr>
      </w:pPr>
    </w:p>
    <w:p w14:paraId="286DC062" w14:textId="64604BC0" w:rsidR="00F55FC4" w:rsidRDefault="00F55FC4" w:rsidP="00737712">
      <w:pPr>
        <w:outlineLvl w:val="0"/>
        <w:rPr>
          <w:rFonts w:ascii="Arial" w:hAnsi="Arial" w:cs="Arial"/>
        </w:rPr>
      </w:pPr>
      <w:r w:rsidRPr="00737712">
        <w:rPr>
          <w:rFonts w:ascii="Arial" w:hAnsi="Arial" w:cs="Arial"/>
        </w:rPr>
        <w:t xml:space="preserve">Cordialmente, </w:t>
      </w:r>
    </w:p>
    <w:p w14:paraId="5D46FF2E" w14:textId="77777777" w:rsidR="00AE3C53" w:rsidRDefault="00AE3C53" w:rsidP="00737712">
      <w:pPr>
        <w:outlineLvl w:val="0"/>
        <w:rPr>
          <w:rFonts w:ascii="Arial" w:hAnsi="Arial" w:cs="Arial"/>
        </w:rPr>
      </w:pPr>
    </w:p>
    <w:p w14:paraId="2EA4B2CD" w14:textId="7F6C40E1" w:rsidR="00AE3C53" w:rsidRDefault="00AE3C53" w:rsidP="00737712">
      <w:pPr>
        <w:outlineLvl w:val="0"/>
        <w:rPr>
          <w:rFonts w:ascii="Arial" w:hAnsi="Arial" w:cs="Arial"/>
        </w:rPr>
      </w:pPr>
    </w:p>
    <w:tbl>
      <w:tblPr>
        <w:tblStyle w:val="Tablaconcuadrcula"/>
        <w:tblW w:w="0" w:type="auto"/>
        <w:tblLook w:val="04A0" w:firstRow="1" w:lastRow="0" w:firstColumn="1" w:lastColumn="0" w:noHBand="0" w:noVBand="1"/>
      </w:tblPr>
      <w:tblGrid>
        <w:gridCol w:w="4414"/>
        <w:gridCol w:w="4414"/>
      </w:tblGrid>
      <w:tr w:rsidR="00AE3C53" w:rsidRPr="00737712" w14:paraId="644AFE5D" w14:textId="77777777" w:rsidTr="00636D69">
        <w:tc>
          <w:tcPr>
            <w:tcW w:w="4414" w:type="dxa"/>
          </w:tcPr>
          <w:p w14:paraId="69E579C7" w14:textId="31B5DC26" w:rsidR="00636D69" w:rsidRPr="00737712" w:rsidRDefault="00636D69" w:rsidP="00737712">
            <w:pPr>
              <w:outlineLvl w:val="0"/>
              <w:rPr>
                <w:rFonts w:ascii="Arial" w:hAnsi="Arial" w:cs="Arial"/>
              </w:rPr>
            </w:pPr>
          </w:p>
          <w:p w14:paraId="2B7AC363" w14:textId="28CB5D92" w:rsidR="00636D69" w:rsidRPr="00737712" w:rsidRDefault="00636D69" w:rsidP="00737712">
            <w:pPr>
              <w:outlineLvl w:val="0"/>
              <w:rPr>
                <w:rFonts w:ascii="Arial" w:hAnsi="Arial" w:cs="Arial"/>
              </w:rPr>
            </w:pPr>
            <w:r w:rsidRPr="00737712">
              <w:rPr>
                <w:rFonts w:ascii="Arial" w:hAnsi="Arial" w:cs="Arial"/>
                <w:noProof/>
                <w:lang w:val="es-CO" w:eastAsia="es-CO"/>
              </w:rPr>
              <w:drawing>
                <wp:anchor distT="0" distB="0" distL="114300" distR="114300" simplePos="0" relativeHeight="251664384" behindDoc="1" locked="0" layoutInCell="1" allowOverlap="1" wp14:anchorId="42CE4979" wp14:editId="12DDAB86">
                  <wp:simplePos x="0" y="0"/>
                  <wp:positionH relativeFrom="column">
                    <wp:posOffset>-75565</wp:posOffset>
                  </wp:positionH>
                  <wp:positionV relativeFrom="paragraph">
                    <wp:posOffset>137795</wp:posOffset>
                  </wp:positionV>
                  <wp:extent cx="2409825" cy="609894"/>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km.png"/>
                          <pic:cNvPicPr/>
                        </pic:nvPicPr>
                        <pic:blipFill>
                          <a:blip r:embed="rId8">
                            <a:extLst>
                              <a:ext uri="{28A0092B-C50C-407E-A947-70E740481C1C}">
                                <a14:useLocalDpi xmlns:a14="http://schemas.microsoft.com/office/drawing/2010/main" val="0"/>
                              </a:ext>
                            </a:extLst>
                          </a:blip>
                          <a:stretch>
                            <a:fillRect/>
                          </a:stretch>
                        </pic:blipFill>
                        <pic:spPr>
                          <a:xfrm>
                            <a:off x="0" y="0"/>
                            <a:ext cx="2409825" cy="609894"/>
                          </a:xfrm>
                          <a:prstGeom prst="rect">
                            <a:avLst/>
                          </a:prstGeom>
                        </pic:spPr>
                      </pic:pic>
                    </a:graphicData>
                  </a:graphic>
                  <wp14:sizeRelH relativeFrom="page">
                    <wp14:pctWidth>0</wp14:pctWidth>
                  </wp14:sizeRelH>
                  <wp14:sizeRelV relativeFrom="page">
                    <wp14:pctHeight>0</wp14:pctHeight>
                  </wp14:sizeRelV>
                </wp:anchor>
              </w:drawing>
            </w:r>
          </w:p>
          <w:p w14:paraId="4D0B2026" w14:textId="77777777" w:rsidR="00636D69" w:rsidRPr="00737712" w:rsidRDefault="00636D69" w:rsidP="00737712">
            <w:pPr>
              <w:outlineLvl w:val="0"/>
              <w:rPr>
                <w:rFonts w:ascii="Arial" w:hAnsi="Arial" w:cs="Arial"/>
              </w:rPr>
            </w:pPr>
          </w:p>
          <w:p w14:paraId="79F4329C" w14:textId="77777777" w:rsidR="00AE3C53" w:rsidRDefault="00AE3C53" w:rsidP="00737712">
            <w:pPr>
              <w:outlineLvl w:val="0"/>
              <w:rPr>
                <w:rFonts w:ascii="Arial" w:hAnsi="Arial" w:cs="Arial"/>
              </w:rPr>
            </w:pPr>
          </w:p>
          <w:p w14:paraId="5B9CD38F" w14:textId="77777777" w:rsidR="00AE3C53" w:rsidRDefault="00AE3C53" w:rsidP="00737712">
            <w:pPr>
              <w:outlineLvl w:val="0"/>
              <w:rPr>
                <w:rFonts w:ascii="Arial" w:hAnsi="Arial" w:cs="Arial"/>
              </w:rPr>
            </w:pPr>
          </w:p>
          <w:p w14:paraId="3EDD3EC0" w14:textId="26170162" w:rsidR="00636D69" w:rsidRPr="00737712" w:rsidRDefault="00636D69" w:rsidP="00737712">
            <w:pPr>
              <w:outlineLvl w:val="0"/>
              <w:rPr>
                <w:rFonts w:ascii="Arial" w:hAnsi="Arial" w:cs="Arial"/>
              </w:rPr>
            </w:pPr>
            <w:r w:rsidRPr="00737712">
              <w:rPr>
                <w:rFonts w:ascii="Arial" w:hAnsi="Arial" w:cs="Arial"/>
              </w:rPr>
              <w:t>______________________________</w:t>
            </w:r>
          </w:p>
          <w:p w14:paraId="48BD29A3" w14:textId="77777777" w:rsidR="00636D69" w:rsidRPr="00737712" w:rsidRDefault="00636D69" w:rsidP="00737712">
            <w:pPr>
              <w:outlineLvl w:val="0"/>
              <w:rPr>
                <w:rFonts w:ascii="Arial" w:hAnsi="Arial" w:cs="Arial"/>
              </w:rPr>
            </w:pPr>
            <w:r w:rsidRPr="00737712">
              <w:rPr>
                <w:rFonts w:ascii="Arial" w:hAnsi="Arial" w:cs="Arial"/>
              </w:rPr>
              <w:t>KATHERINE MIRANDA PEÑA</w:t>
            </w:r>
          </w:p>
          <w:p w14:paraId="1BF31C8C" w14:textId="77777777" w:rsidR="00636D69" w:rsidRPr="00737712" w:rsidRDefault="00636D69" w:rsidP="00737712">
            <w:pPr>
              <w:outlineLvl w:val="0"/>
              <w:rPr>
                <w:rFonts w:ascii="Arial" w:hAnsi="Arial" w:cs="Arial"/>
              </w:rPr>
            </w:pPr>
            <w:r w:rsidRPr="00737712">
              <w:rPr>
                <w:rFonts w:ascii="Arial" w:hAnsi="Arial" w:cs="Arial"/>
              </w:rPr>
              <w:t>Representante a la Cámara por Bogotá</w:t>
            </w:r>
          </w:p>
          <w:p w14:paraId="289D4326" w14:textId="589AE187" w:rsidR="00636D69" w:rsidRPr="00737712" w:rsidRDefault="00636D69" w:rsidP="00737712">
            <w:pPr>
              <w:outlineLvl w:val="0"/>
              <w:rPr>
                <w:rFonts w:ascii="Arial" w:hAnsi="Arial" w:cs="Arial"/>
              </w:rPr>
            </w:pPr>
            <w:r w:rsidRPr="00737712">
              <w:rPr>
                <w:rFonts w:ascii="Arial" w:hAnsi="Arial" w:cs="Arial"/>
              </w:rPr>
              <w:t>Partido Alianza Verde</w:t>
            </w:r>
          </w:p>
          <w:p w14:paraId="60CB67B3" w14:textId="237DC852" w:rsidR="00636D69" w:rsidRPr="00737712" w:rsidRDefault="00636D69" w:rsidP="00737712">
            <w:pPr>
              <w:outlineLvl w:val="0"/>
              <w:rPr>
                <w:rFonts w:ascii="Arial" w:hAnsi="Arial" w:cs="Arial"/>
              </w:rPr>
            </w:pPr>
          </w:p>
        </w:tc>
        <w:tc>
          <w:tcPr>
            <w:tcW w:w="4414" w:type="dxa"/>
          </w:tcPr>
          <w:p w14:paraId="060F8657" w14:textId="5A71D4D9" w:rsidR="00D578D2" w:rsidRPr="00737712" w:rsidRDefault="00D578D2" w:rsidP="00737712">
            <w:pPr>
              <w:jc w:val="both"/>
              <w:rPr>
                <w:rStyle w:val="Ninguno"/>
                <w:rFonts w:ascii="Arial" w:hAnsi="Arial" w:cs="Arial"/>
              </w:rPr>
            </w:pPr>
            <w:r w:rsidRPr="00737712">
              <w:rPr>
                <w:rFonts w:ascii="Arial" w:hAnsi="Arial" w:cs="Arial"/>
                <w:noProof/>
                <w:lang w:val="es-CO" w:eastAsia="es-CO"/>
              </w:rPr>
              <w:drawing>
                <wp:anchor distT="0" distB="0" distL="114300" distR="114300" simplePos="0" relativeHeight="251668480" behindDoc="1" locked="0" layoutInCell="1" allowOverlap="1" wp14:anchorId="570DD8F8" wp14:editId="10EF1B07">
                  <wp:simplePos x="0" y="0"/>
                  <wp:positionH relativeFrom="margin">
                    <wp:posOffset>105410</wp:posOffset>
                  </wp:positionH>
                  <wp:positionV relativeFrom="paragraph">
                    <wp:posOffset>62230</wp:posOffset>
                  </wp:positionV>
                  <wp:extent cx="1691134" cy="1276350"/>
                  <wp:effectExtent l="0" t="0" r="4445" b="0"/>
                  <wp:wrapNone/>
                  <wp:docPr id="9" name="Imagen 9" descr="C:\Users\diego.barrera\Downloads\Nuevo doc 2018-10-03 14.49.5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ego.barrera\Downloads\Nuevo doc 2018-10-03 14.49.51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1134"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16504" w14:textId="52266F83" w:rsidR="00D578D2" w:rsidRPr="00737712" w:rsidRDefault="00D578D2" w:rsidP="00737712">
            <w:pPr>
              <w:jc w:val="both"/>
              <w:rPr>
                <w:rStyle w:val="Ninguno"/>
                <w:rFonts w:ascii="Arial" w:hAnsi="Arial" w:cs="Arial"/>
              </w:rPr>
            </w:pPr>
          </w:p>
          <w:p w14:paraId="76AD00C6" w14:textId="5025EFEA" w:rsidR="00D578D2" w:rsidRPr="00737712" w:rsidRDefault="00D578D2" w:rsidP="00737712">
            <w:pPr>
              <w:rPr>
                <w:rFonts w:ascii="Arial" w:hAnsi="Arial" w:cs="Arial"/>
                <w:b/>
                <w:bCs/>
              </w:rPr>
            </w:pPr>
          </w:p>
          <w:p w14:paraId="6603A037" w14:textId="77777777" w:rsidR="00D578D2" w:rsidRPr="00737712" w:rsidRDefault="00D578D2" w:rsidP="00737712">
            <w:pPr>
              <w:rPr>
                <w:rFonts w:ascii="Arial" w:hAnsi="Arial" w:cs="Arial"/>
                <w:b/>
                <w:bCs/>
              </w:rPr>
            </w:pPr>
          </w:p>
          <w:p w14:paraId="34265A96" w14:textId="77777777" w:rsidR="00D578D2" w:rsidRPr="00737712" w:rsidRDefault="00D578D2" w:rsidP="00737712">
            <w:pPr>
              <w:rPr>
                <w:rFonts w:ascii="Arial" w:hAnsi="Arial" w:cs="Arial"/>
                <w:b/>
                <w:bCs/>
              </w:rPr>
            </w:pPr>
          </w:p>
          <w:p w14:paraId="3E6E08F4" w14:textId="77777777" w:rsidR="00D578D2" w:rsidRPr="00737712" w:rsidRDefault="00D578D2" w:rsidP="00737712">
            <w:pPr>
              <w:rPr>
                <w:rFonts w:ascii="Arial" w:eastAsia="Calibri" w:hAnsi="Arial" w:cs="Arial"/>
                <w:b/>
                <w:bCs/>
              </w:rPr>
            </w:pPr>
            <w:r w:rsidRPr="00737712">
              <w:rPr>
                <w:rFonts w:ascii="Arial" w:eastAsia="Calibri" w:hAnsi="Arial" w:cs="Arial"/>
                <w:bCs/>
              </w:rPr>
              <w:t>_________________________</w:t>
            </w:r>
          </w:p>
          <w:p w14:paraId="1E5A5807" w14:textId="77777777" w:rsidR="00D578D2" w:rsidRPr="00AE3C53" w:rsidRDefault="00D578D2" w:rsidP="00AE3C53">
            <w:pPr>
              <w:outlineLvl w:val="0"/>
              <w:rPr>
                <w:rFonts w:ascii="Arial" w:hAnsi="Arial" w:cs="Arial"/>
              </w:rPr>
            </w:pPr>
            <w:r w:rsidRPr="00AE3C53">
              <w:rPr>
                <w:rFonts w:ascii="Arial" w:hAnsi="Arial" w:cs="Arial"/>
              </w:rPr>
              <w:t>FABIO FERNANDO ARROYAVE</w:t>
            </w:r>
          </w:p>
          <w:p w14:paraId="0AEFC0CA" w14:textId="77777777" w:rsidR="00D578D2" w:rsidRPr="00AE3C53" w:rsidRDefault="00D578D2" w:rsidP="00AE3C53">
            <w:pPr>
              <w:outlineLvl w:val="0"/>
              <w:rPr>
                <w:rFonts w:ascii="Arial" w:hAnsi="Arial" w:cs="Arial"/>
              </w:rPr>
            </w:pPr>
            <w:r w:rsidRPr="00AE3C53">
              <w:rPr>
                <w:rFonts w:ascii="Arial" w:hAnsi="Arial" w:cs="Arial"/>
              </w:rPr>
              <w:t xml:space="preserve">Representante Valle del Cauca </w:t>
            </w:r>
          </w:p>
          <w:p w14:paraId="2AC3BA5C" w14:textId="77777777" w:rsidR="00D578D2" w:rsidRPr="00737712" w:rsidRDefault="00D578D2" w:rsidP="00AE3C53">
            <w:pPr>
              <w:outlineLvl w:val="0"/>
              <w:rPr>
                <w:rFonts w:ascii="Arial" w:eastAsia="Calibri" w:hAnsi="Arial" w:cs="Arial"/>
                <w:bCs/>
              </w:rPr>
            </w:pPr>
            <w:r w:rsidRPr="00AE3C53">
              <w:rPr>
                <w:rFonts w:ascii="Arial" w:hAnsi="Arial" w:cs="Arial"/>
              </w:rPr>
              <w:t>Partido Liberal</w:t>
            </w:r>
            <w:r w:rsidRPr="00737712">
              <w:rPr>
                <w:rFonts w:ascii="Arial" w:eastAsia="Calibri" w:hAnsi="Arial" w:cs="Arial"/>
                <w:bCs/>
              </w:rPr>
              <w:tab/>
            </w:r>
          </w:p>
          <w:p w14:paraId="76563563" w14:textId="77777777" w:rsidR="00636D69" w:rsidRPr="00737712" w:rsidRDefault="00636D69" w:rsidP="00737712">
            <w:pPr>
              <w:outlineLvl w:val="0"/>
              <w:rPr>
                <w:rFonts w:ascii="Arial" w:hAnsi="Arial" w:cs="Arial"/>
              </w:rPr>
            </w:pPr>
          </w:p>
        </w:tc>
      </w:tr>
      <w:tr w:rsidR="00AE3C53" w:rsidRPr="00737712" w14:paraId="4E839453" w14:textId="77777777" w:rsidTr="00636D69">
        <w:tc>
          <w:tcPr>
            <w:tcW w:w="4414" w:type="dxa"/>
          </w:tcPr>
          <w:p w14:paraId="6665DEC6" w14:textId="77777777" w:rsidR="00AE3C53" w:rsidRPr="00AE3C53" w:rsidRDefault="00AE3C53" w:rsidP="00AE3C53">
            <w:pPr>
              <w:pBdr>
                <w:bottom w:val="single" w:sz="12" w:space="1" w:color="auto"/>
              </w:pBdr>
              <w:outlineLvl w:val="0"/>
              <w:rPr>
                <w:rFonts w:ascii="Arial" w:hAnsi="Arial" w:cs="Arial"/>
              </w:rPr>
            </w:pPr>
          </w:p>
          <w:p w14:paraId="18F41538" w14:textId="6F74ECB8" w:rsidR="00AE3C53" w:rsidRDefault="00AE3C53" w:rsidP="00AE3C53">
            <w:pPr>
              <w:pBdr>
                <w:bottom w:val="single" w:sz="12" w:space="1" w:color="auto"/>
              </w:pBdr>
              <w:outlineLvl w:val="0"/>
              <w:rPr>
                <w:rFonts w:ascii="Arial" w:hAnsi="Arial" w:cs="Arial"/>
              </w:rPr>
            </w:pPr>
            <w:r w:rsidRPr="00AE3C53">
              <w:rPr>
                <w:rFonts w:ascii="Arial" w:hAnsi="Arial" w:cs="Arial"/>
                <w:noProof/>
                <w:lang w:val="es-CO" w:eastAsia="es-CO"/>
              </w:rPr>
              <w:drawing>
                <wp:inline distT="0" distB="0" distL="0" distR="0" wp14:anchorId="3A3A373C" wp14:editId="32AD689C">
                  <wp:extent cx="1836420" cy="8839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6420" cy="883920"/>
                          </a:xfrm>
                          <a:prstGeom prst="rect">
                            <a:avLst/>
                          </a:prstGeom>
                          <a:noFill/>
                          <a:ln>
                            <a:noFill/>
                          </a:ln>
                        </pic:spPr>
                      </pic:pic>
                    </a:graphicData>
                  </a:graphic>
                </wp:inline>
              </w:drawing>
            </w:r>
          </w:p>
          <w:p w14:paraId="73AA3066" w14:textId="77777777" w:rsidR="00AE3C53" w:rsidRPr="00AE3C53" w:rsidRDefault="00AE3C53" w:rsidP="00AE3C53">
            <w:pPr>
              <w:pBdr>
                <w:bottom w:val="single" w:sz="12" w:space="1" w:color="auto"/>
              </w:pBdr>
              <w:outlineLvl w:val="0"/>
              <w:rPr>
                <w:rFonts w:ascii="Arial" w:hAnsi="Arial" w:cs="Arial"/>
              </w:rPr>
            </w:pPr>
          </w:p>
          <w:p w14:paraId="07754825" w14:textId="77777777" w:rsidR="00AE3C53" w:rsidRPr="00AE3C53" w:rsidRDefault="00AE3C53" w:rsidP="00AE3C53">
            <w:pPr>
              <w:outlineLvl w:val="0"/>
              <w:rPr>
                <w:rFonts w:ascii="Arial" w:hAnsi="Arial" w:cs="Arial"/>
              </w:rPr>
            </w:pPr>
            <w:r w:rsidRPr="00AE3C53">
              <w:rPr>
                <w:rFonts w:ascii="Arial" w:hAnsi="Arial" w:cs="Arial"/>
              </w:rPr>
              <w:t>CARLOS GERMÁN NAVAS TALERO</w:t>
            </w:r>
          </w:p>
          <w:p w14:paraId="395D71B5" w14:textId="77777777" w:rsidR="00AE3C53" w:rsidRPr="00AE3C53" w:rsidRDefault="00AE3C53" w:rsidP="00AE3C53">
            <w:pPr>
              <w:outlineLvl w:val="0"/>
              <w:rPr>
                <w:rFonts w:ascii="Arial" w:hAnsi="Arial" w:cs="Arial"/>
              </w:rPr>
            </w:pPr>
            <w:r w:rsidRPr="00AE3C53">
              <w:rPr>
                <w:rFonts w:ascii="Arial" w:hAnsi="Arial" w:cs="Arial"/>
              </w:rPr>
              <w:t>Representante a la Cámara por Bogotá</w:t>
            </w:r>
          </w:p>
          <w:p w14:paraId="2C0D291A" w14:textId="50E0046B" w:rsidR="00636D69" w:rsidRPr="00737712" w:rsidRDefault="00AE3C53" w:rsidP="00AE3C53">
            <w:pPr>
              <w:outlineLvl w:val="0"/>
              <w:rPr>
                <w:rFonts w:ascii="Arial" w:hAnsi="Arial" w:cs="Arial"/>
              </w:rPr>
            </w:pPr>
            <w:r w:rsidRPr="00AE3C53">
              <w:rPr>
                <w:rFonts w:ascii="Arial" w:hAnsi="Arial" w:cs="Arial"/>
              </w:rPr>
              <w:t>Partido Polo Democrático Alternativo</w:t>
            </w:r>
          </w:p>
        </w:tc>
        <w:tc>
          <w:tcPr>
            <w:tcW w:w="4414" w:type="dxa"/>
          </w:tcPr>
          <w:p w14:paraId="7CD7696C" w14:textId="77777777" w:rsidR="00636D69" w:rsidRDefault="00AE3C53" w:rsidP="00AE3C53">
            <w:pPr>
              <w:pBdr>
                <w:bottom w:val="single" w:sz="12" w:space="1" w:color="auto"/>
              </w:pBdr>
              <w:outlineLvl w:val="0"/>
              <w:rPr>
                <w:rFonts w:ascii="Arial" w:hAnsi="Arial" w:cs="Arial"/>
              </w:rPr>
            </w:pPr>
            <w:r w:rsidRPr="00AE3C53">
              <w:rPr>
                <w:rFonts w:ascii="Arial" w:hAnsi="Arial" w:cs="Arial"/>
                <w:noProof/>
                <w:lang w:val="es-CO" w:eastAsia="es-CO"/>
              </w:rPr>
              <w:drawing>
                <wp:inline distT="0" distB="0" distL="0" distR="0" wp14:anchorId="2F8CC07B" wp14:editId="7E7168B4">
                  <wp:extent cx="1836968" cy="1175385"/>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52639" cy="1185412"/>
                          </a:xfrm>
                          <a:prstGeom prst="rect">
                            <a:avLst/>
                          </a:prstGeom>
                        </pic:spPr>
                      </pic:pic>
                    </a:graphicData>
                  </a:graphic>
                </wp:inline>
              </w:drawing>
            </w:r>
          </w:p>
          <w:p w14:paraId="6EF460DF" w14:textId="291120B7" w:rsidR="00AE3C53" w:rsidRPr="00AE3C53" w:rsidRDefault="00AE3C53" w:rsidP="00AE3C53">
            <w:pPr>
              <w:outlineLvl w:val="0"/>
              <w:rPr>
                <w:rFonts w:ascii="Arial" w:hAnsi="Arial" w:cs="Arial"/>
              </w:rPr>
            </w:pPr>
            <w:r w:rsidRPr="00AE3C53">
              <w:rPr>
                <w:rFonts w:ascii="Arial" w:hAnsi="Arial" w:cs="Arial"/>
              </w:rPr>
              <w:t>ERASMO ZULETA BECHARA</w:t>
            </w:r>
          </w:p>
          <w:p w14:paraId="303548F8" w14:textId="181B24D2" w:rsidR="00AE3C53" w:rsidRPr="00AE3C53" w:rsidRDefault="00AE3C53" w:rsidP="00AE3C53">
            <w:pPr>
              <w:outlineLvl w:val="0"/>
              <w:rPr>
                <w:rFonts w:ascii="Arial" w:hAnsi="Arial" w:cs="Arial"/>
              </w:rPr>
            </w:pPr>
            <w:r w:rsidRPr="00AE3C53">
              <w:rPr>
                <w:rFonts w:ascii="Arial" w:hAnsi="Arial" w:cs="Arial"/>
              </w:rPr>
              <w:t>Representante a la Cámara Córdoba</w:t>
            </w:r>
          </w:p>
          <w:p w14:paraId="0FEE92D4" w14:textId="28F1DA6B" w:rsidR="00AE3C53" w:rsidRPr="00737712" w:rsidRDefault="00AE3C53" w:rsidP="00AE3C53">
            <w:pPr>
              <w:outlineLvl w:val="0"/>
              <w:rPr>
                <w:rFonts w:ascii="Arial" w:hAnsi="Arial" w:cs="Arial"/>
              </w:rPr>
            </w:pPr>
            <w:r w:rsidRPr="00AE3C53">
              <w:rPr>
                <w:rFonts w:ascii="Arial" w:hAnsi="Arial" w:cs="Arial"/>
              </w:rPr>
              <w:t>Partido de la U</w:t>
            </w:r>
          </w:p>
        </w:tc>
      </w:tr>
    </w:tbl>
    <w:p w14:paraId="309A43E3" w14:textId="77777777" w:rsidR="00636D69" w:rsidRPr="00737712" w:rsidRDefault="00636D69" w:rsidP="00737712">
      <w:pPr>
        <w:outlineLvl w:val="0"/>
        <w:rPr>
          <w:rFonts w:ascii="Arial" w:hAnsi="Arial" w:cs="Arial"/>
        </w:rPr>
      </w:pPr>
    </w:p>
    <w:p w14:paraId="157A4878" w14:textId="46A9EC55" w:rsidR="00F55FC4" w:rsidRPr="00737712" w:rsidRDefault="00F55FC4" w:rsidP="00737712">
      <w:pPr>
        <w:jc w:val="both"/>
        <w:rPr>
          <w:rFonts w:ascii="Arial" w:hAnsi="Arial" w:cs="Arial"/>
        </w:rPr>
      </w:pPr>
    </w:p>
    <w:p w14:paraId="55A7FBA5" w14:textId="77777777" w:rsidR="00F55FC4" w:rsidRPr="00737712" w:rsidRDefault="00F55FC4" w:rsidP="00737712">
      <w:pPr>
        <w:pStyle w:val="Poromisin"/>
        <w:jc w:val="both"/>
        <w:rPr>
          <w:rFonts w:ascii="Arial" w:hAnsi="Arial" w:cs="Arial"/>
          <w:sz w:val="24"/>
          <w:szCs w:val="24"/>
        </w:rPr>
      </w:pPr>
    </w:p>
    <w:p w14:paraId="45F48B65" w14:textId="77777777" w:rsidR="00871332" w:rsidRPr="00737712" w:rsidRDefault="00871332" w:rsidP="00737712">
      <w:pPr>
        <w:pBdr>
          <w:top w:val="nil"/>
          <w:left w:val="nil"/>
          <w:bottom w:val="nil"/>
          <w:right w:val="nil"/>
          <w:between w:val="nil"/>
        </w:pBdr>
        <w:jc w:val="center"/>
        <w:rPr>
          <w:rFonts w:ascii="Arial" w:eastAsia="Arial" w:hAnsi="Arial" w:cs="Arial"/>
          <w:b/>
          <w:color w:val="0D0D0D" w:themeColor="text1" w:themeTint="F2"/>
        </w:rPr>
      </w:pPr>
    </w:p>
    <w:p w14:paraId="51948BF0" w14:textId="77777777" w:rsidR="00871332" w:rsidRPr="00737712" w:rsidRDefault="00871332" w:rsidP="00737712">
      <w:pPr>
        <w:pBdr>
          <w:top w:val="nil"/>
          <w:left w:val="nil"/>
          <w:bottom w:val="nil"/>
          <w:right w:val="nil"/>
          <w:between w:val="nil"/>
        </w:pBdr>
        <w:jc w:val="center"/>
        <w:rPr>
          <w:rFonts w:ascii="Arial" w:eastAsia="Arial" w:hAnsi="Arial" w:cs="Arial"/>
          <w:b/>
          <w:color w:val="0D0D0D" w:themeColor="text1" w:themeTint="F2"/>
        </w:rPr>
      </w:pPr>
    </w:p>
    <w:p w14:paraId="4AC965C1" w14:textId="77777777" w:rsidR="00871332" w:rsidRPr="00737712" w:rsidRDefault="00871332" w:rsidP="00737712">
      <w:pPr>
        <w:pBdr>
          <w:top w:val="nil"/>
          <w:left w:val="nil"/>
          <w:bottom w:val="nil"/>
          <w:right w:val="nil"/>
          <w:between w:val="nil"/>
        </w:pBdr>
        <w:jc w:val="center"/>
        <w:rPr>
          <w:rFonts w:ascii="Arial" w:eastAsia="Arial" w:hAnsi="Arial" w:cs="Arial"/>
          <w:b/>
          <w:color w:val="0D0D0D" w:themeColor="text1" w:themeTint="F2"/>
        </w:rPr>
      </w:pPr>
    </w:p>
    <w:p w14:paraId="2B5188B6" w14:textId="77777777" w:rsidR="003650D7" w:rsidRPr="00737712" w:rsidRDefault="003650D7" w:rsidP="00737712">
      <w:pPr>
        <w:pBdr>
          <w:top w:val="nil"/>
          <w:left w:val="nil"/>
          <w:bottom w:val="nil"/>
          <w:right w:val="nil"/>
          <w:between w:val="nil"/>
        </w:pBdr>
        <w:jc w:val="center"/>
        <w:rPr>
          <w:rFonts w:ascii="Arial" w:eastAsia="Arial" w:hAnsi="Arial" w:cs="Arial"/>
          <w:b/>
          <w:color w:val="0D0D0D" w:themeColor="text1" w:themeTint="F2"/>
        </w:rPr>
      </w:pPr>
    </w:p>
    <w:p w14:paraId="71F681A9" w14:textId="77777777" w:rsidR="00871332" w:rsidRPr="00737712" w:rsidRDefault="00871332" w:rsidP="00737712">
      <w:pPr>
        <w:pBdr>
          <w:top w:val="nil"/>
          <w:left w:val="nil"/>
          <w:bottom w:val="nil"/>
          <w:right w:val="nil"/>
          <w:between w:val="nil"/>
        </w:pBdr>
        <w:jc w:val="center"/>
        <w:rPr>
          <w:rFonts w:ascii="Arial" w:eastAsia="Arial" w:hAnsi="Arial" w:cs="Arial"/>
          <w:b/>
          <w:color w:val="0D0D0D" w:themeColor="text1" w:themeTint="F2"/>
        </w:rPr>
      </w:pPr>
    </w:p>
    <w:p w14:paraId="18D91E8B" w14:textId="1E16E237" w:rsidR="00871332" w:rsidRPr="00737712" w:rsidRDefault="00871332" w:rsidP="00737712">
      <w:pPr>
        <w:pBdr>
          <w:top w:val="nil"/>
          <w:left w:val="nil"/>
          <w:bottom w:val="nil"/>
          <w:right w:val="nil"/>
          <w:between w:val="nil"/>
        </w:pBdr>
        <w:jc w:val="center"/>
        <w:rPr>
          <w:rFonts w:ascii="Arial" w:eastAsia="Arial" w:hAnsi="Arial" w:cs="Arial"/>
          <w:b/>
          <w:color w:val="0D0D0D" w:themeColor="text1" w:themeTint="F2"/>
        </w:rPr>
      </w:pPr>
    </w:p>
    <w:p w14:paraId="6EF12980" w14:textId="77777777" w:rsidR="00F55FC4" w:rsidRPr="00737712" w:rsidRDefault="00F55FC4" w:rsidP="00737712">
      <w:pPr>
        <w:pBdr>
          <w:top w:val="nil"/>
          <w:left w:val="nil"/>
          <w:bottom w:val="nil"/>
          <w:right w:val="nil"/>
          <w:between w:val="nil"/>
        </w:pBdr>
        <w:jc w:val="center"/>
        <w:rPr>
          <w:rFonts w:ascii="Arial" w:eastAsia="Arial" w:hAnsi="Arial" w:cs="Arial"/>
          <w:b/>
          <w:color w:val="0D0D0D" w:themeColor="text1" w:themeTint="F2"/>
        </w:rPr>
      </w:pPr>
    </w:p>
    <w:p w14:paraId="5C756E92" w14:textId="77777777" w:rsidR="00ED7D1D" w:rsidRPr="00737712" w:rsidRDefault="00ED7D1D" w:rsidP="00737712">
      <w:pPr>
        <w:pBdr>
          <w:top w:val="nil"/>
          <w:left w:val="nil"/>
          <w:bottom w:val="nil"/>
          <w:right w:val="nil"/>
          <w:between w:val="nil"/>
        </w:pBdr>
        <w:jc w:val="center"/>
        <w:rPr>
          <w:rFonts w:ascii="Arial" w:eastAsia="Arial" w:hAnsi="Arial" w:cs="Arial"/>
          <w:b/>
          <w:color w:val="0D0D0D" w:themeColor="text1" w:themeTint="F2"/>
        </w:rPr>
      </w:pPr>
    </w:p>
    <w:p w14:paraId="201FBA19" w14:textId="77777777" w:rsidR="00871332" w:rsidRPr="00737712" w:rsidRDefault="00871332" w:rsidP="00737712">
      <w:pPr>
        <w:pBdr>
          <w:top w:val="nil"/>
          <w:left w:val="nil"/>
          <w:bottom w:val="nil"/>
          <w:right w:val="nil"/>
          <w:between w:val="nil"/>
        </w:pBdr>
        <w:jc w:val="center"/>
        <w:rPr>
          <w:rFonts w:ascii="Arial" w:eastAsia="Arial" w:hAnsi="Arial" w:cs="Arial"/>
          <w:b/>
          <w:color w:val="0D0D0D" w:themeColor="text1" w:themeTint="F2"/>
        </w:rPr>
      </w:pPr>
    </w:p>
    <w:p w14:paraId="7C330980" w14:textId="34D20551" w:rsidR="00871332" w:rsidRPr="00737712" w:rsidRDefault="00871332" w:rsidP="00737712">
      <w:pPr>
        <w:pBdr>
          <w:top w:val="nil"/>
          <w:left w:val="nil"/>
          <w:bottom w:val="nil"/>
          <w:right w:val="nil"/>
          <w:between w:val="nil"/>
        </w:pBdr>
        <w:jc w:val="center"/>
        <w:rPr>
          <w:rFonts w:ascii="Arial" w:eastAsia="Arial" w:hAnsi="Arial" w:cs="Arial"/>
          <w:b/>
          <w:color w:val="0D0D0D" w:themeColor="text1" w:themeTint="F2"/>
        </w:rPr>
      </w:pPr>
    </w:p>
    <w:p w14:paraId="7822CAF7" w14:textId="69D15E10" w:rsidR="00F55FC4" w:rsidRPr="00737712" w:rsidRDefault="00F55FC4" w:rsidP="00737712">
      <w:pPr>
        <w:pBdr>
          <w:top w:val="nil"/>
          <w:left w:val="nil"/>
          <w:bottom w:val="nil"/>
          <w:right w:val="nil"/>
          <w:between w:val="nil"/>
        </w:pBdr>
        <w:jc w:val="center"/>
        <w:rPr>
          <w:rFonts w:ascii="Arial" w:eastAsia="Arial" w:hAnsi="Arial" w:cs="Arial"/>
          <w:b/>
          <w:color w:val="0D0D0D" w:themeColor="text1" w:themeTint="F2"/>
        </w:rPr>
      </w:pPr>
    </w:p>
    <w:p w14:paraId="2012813A" w14:textId="00F459C1" w:rsidR="00F55FC4" w:rsidRPr="00737712" w:rsidRDefault="00F55FC4" w:rsidP="00737712">
      <w:pPr>
        <w:pBdr>
          <w:top w:val="nil"/>
          <w:left w:val="nil"/>
          <w:bottom w:val="nil"/>
          <w:right w:val="nil"/>
          <w:between w:val="nil"/>
        </w:pBdr>
        <w:jc w:val="center"/>
        <w:rPr>
          <w:rFonts w:ascii="Arial" w:eastAsia="Arial" w:hAnsi="Arial" w:cs="Arial"/>
          <w:b/>
          <w:color w:val="0D0D0D" w:themeColor="text1" w:themeTint="F2"/>
        </w:rPr>
      </w:pPr>
    </w:p>
    <w:p w14:paraId="3923DFC2" w14:textId="304BFA7B" w:rsidR="00F55FC4" w:rsidRPr="00737712" w:rsidRDefault="00F55FC4" w:rsidP="00737712">
      <w:pPr>
        <w:pBdr>
          <w:top w:val="nil"/>
          <w:left w:val="nil"/>
          <w:bottom w:val="nil"/>
          <w:right w:val="nil"/>
          <w:between w:val="nil"/>
        </w:pBdr>
        <w:jc w:val="center"/>
        <w:rPr>
          <w:rFonts w:ascii="Arial" w:eastAsia="Arial" w:hAnsi="Arial" w:cs="Arial"/>
          <w:b/>
          <w:color w:val="0D0D0D" w:themeColor="text1" w:themeTint="F2"/>
        </w:rPr>
      </w:pPr>
    </w:p>
    <w:p w14:paraId="6DD5204A" w14:textId="2444AE65" w:rsidR="00F55FC4" w:rsidRPr="00737712" w:rsidRDefault="00F55FC4" w:rsidP="00737712">
      <w:pPr>
        <w:pBdr>
          <w:top w:val="nil"/>
          <w:left w:val="nil"/>
          <w:bottom w:val="nil"/>
          <w:right w:val="nil"/>
          <w:between w:val="nil"/>
        </w:pBdr>
        <w:jc w:val="center"/>
        <w:rPr>
          <w:rFonts w:ascii="Arial" w:eastAsia="Arial" w:hAnsi="Arial" w:cs="Arial"/>
          <w:b/>
          <w:color w:val="0D0D0D" w:themeColor="text1" w:themeTint="F2"/>
        </w:rPr>
      </w:pPr>
    </w:p>
    <w:p w14:paraId="79E327BD" w14:textId="1A786FB4" w:rsidR="00F55FC4" w:rsidRPr="00737712" w:rsidRDefault="00F55FC4" w:rsidP="00737712">
      <w:pPr>
        <w:pBdr>
          <w:top w:val="nil"/>
          <w:left w:val="nil"/>
          <w:bottom w:val="nil"/>
          <w:right w:val="nil"/>
          <w:between w:val="nil"/>
        </w:pBdr>
        <w:jc w:val="center"/>
        <w:rPr>
          <w:rFonts w:ascii="Arial" w:eastAsia="Arial" w:hAnsi="Arial" w:cs="Arial"/>
          <w:b/>
          <w:color w:val="0D0D0D" w:themeColor="text1" w:themeTint="F2"/>
        </w:rPr>
      </w:pPr>
    </w:p>
    <w:p w14:paraId="1962118D" w14:textId="62481ACC" w:rsidR="00F55FC4" w:rsidRPr="00737712" w:rsidRDefault="00F55FC4" w:rsidP="00737712">
      <w:pPr>
        <w:pBdr>
          <w:top w:val="nil"/>
          <w:left w:val="nil"/>
          <w:bottom w:val="nil"/>
          <w:right w:val="nil"/>
          <w:between w:val="nil"/>
        </w:pBdr>
        <w:jc w:val="center"/>
        <w:rPr>
          <w:rFonts w:ascii="Arial" w:eastAsia="Arial" w:hAnsi="Arial" w:cs="Arial"/>
          <w:b/>
          <w:color w:val="0D0D0D" w:themeColor="text1" w:themeTint="F2"/>
        </w:rPr>
      </w:pPr>
    </w:p>
    <w:p w14:paraId="324F0EC8" w14:textId="77777777" w:rsidR="0083506F" w:rsidRPr="00737712" w:rsidRDefault="0083506F" w:rsidP="00737712">
      <w:pPr>
        <w:pBdr>
          <w:top w:val="nil"/>
          <w:left w:val="nil"/>
          <w:bottom w:val="nil"/>
          <w:right w:val="nil"/>
          <w:between w:val="nil"/>
        </w:pBdr>
        <w:rPr>
          <w:rFonts w:ascii="Arial" w:eastAsia="Arial" w:hAnsi="Arial" w:cs="Arial"/>
          <w:b/>
          <w:color w:val="0D0D0D" w:themeColor="text1" w:themeTint="F2"/>
        </w:rPr>
      </w:pPr>
    </w:p>
    <w:p w14:paraId="42D810A2" w14:textId="77777777" w:rsidR="006650F2" w:rsidRDefault="006650F2" w:rsidP="00737712">
      <w:pPr>
        <w:pBdr>
          <w:top w:val="nil"/>
          <w:left w:val="nil"/>
          <w:bottom w:val="nil"/>
          <w:right w:val="nil"/>
          <w:between w:val="nil"/>
        </w:pBdr>
        <w:jc w:val="center"/>
        <w:rPr>
          <w:rFonts w:ascii="Arial" w:eastAsia="Arial" w:hAnsi="Arial" w:cs="Arial"/>
          <w:b/>
          <w:color w:val="0D0D0D" w:themeColor="text1" w:themeTint="F2"/>
        </w:rPr>
      </w:pPr>
    </w:p>
    <w:p w14:paraId="6A991F4E" w14:textId="77777777" w:rsidR="006650F2" w:rsidRDefault="006650F2" w:rsidP="00737712">
      <w:pPr>
        <w:pBdr>
          <w:top w:val="nil"/>
          <w:left w:val="nil"/>
          <w:bottom w:val="nil"/>
          <w:right w:val="nil"/>
          <w:between w:val="nil"/>
        </w:pBdr>
        <w:jc w:val="center"/>
        <w:rPr>
          <w:rFonts w:ascii="Arial" w:eastAsia="Arial" w:hAnsi="Arial" w:cs="Arial"/>
          <w:b/>
          <w:color w:val="0D0D0D" w:themeColor="text1" w:themeTint="F2"/>
        </w:rPr>
      </w:pPr>
    </w:p>
    <w:p w14:paraId="7B251483" w14:textId="77777777" w:rsidR="006650F2" w:rsidRDefault="006650F2" w:rsidP="00737712">
      <w:pPr>
        <w:pBdr>
          <w:top w:val="nil"/>
          <w:left w:val="nil"/>
          <w:bottom w:val="nil"/>
          <w:right w:val="nil"/>
          <w:between w:val="nil"/>
        </w:pBdr>
        <w:jc w:val="center"/>
        <w:rPr>
          <w:rFonts w:ascii="Arial" w:eastAsia="Arial" w:hAnsi="Arial" w:cs="Arial"/>
          <w:b/>
          <w:color w:val="0D0D0D" w:themeColor="text1" w:themeTint="F2"/>
        </w:rPr>
      </w:pPr>
    </w:p>
    <w:p w14:paraId="463497E1" w14:textId="77777777" w:rsidR="006650F2" w:rsidRDefault="006650F2" w:rsidP="00737712">
      <w:pPr>
        <w:pBdr>
          <w:top w:val="nil"/>
          <w:left w:val="nil"/>
          <w:bottom w:val="nil"/>
          <w:right w:val="nil"/>
          <w:between w:val="nil"/>
        </w:pBdr>
        <w:jc w:val="center"/>
        <w:rPr>
          <w:rFonts w:ascii="Arial" w:eastAsia="Arial" w:hAnsi="Arial" w:cs="Arial"/>
          <w:b/>
          <w:color w:val="0D0D0D" w:themeColor="text1" w:themeTint="F2"/>
        </w:rPr>
      </w:pPr>
    </w:p>
    <w:p w14:paraId="7DBB7991" w14:textId="77777777" w:rsidR="006650F2" w:rsidRDefault="006650F2" w:rsidP="00737712">
      <w:pPr>
        <w:pBdr>
          <w:top w:val="nil"/>
          <w:left w:val="nil"/>
          <w:bottom w:val="nil"/>
          <w:right w:val="nil"/>
          <w:between w:val="nil"/>
        </w:pBdr>
        <w:jc w:val="center"/>
        <w:rPr>
          <w:rFonts w:ascii="Arial" w:eastAsia="Arial" w:hAnsi="Arial" w:cs="Arial"/>
          <w:b/>
          <w:color w:val="0D0D0D" w:themeColor="text1" w:themeTint="F2"/>
        </w:rPr>
      </w:pPr>
    </w:p>
    <w:p w14:paraId="0608FB40" w14:textId="77777777" w:rsidR="006650F2" w:rsidRDefault="006650F2" w:rsidP="00737712">
      <w:pPr>
        <w:pBdr>
          <w:top w:val="nil"/>
          <w:left w:val="nil"/>
          <w:bottom w:val="nil"/>
          <w:right w:val="nil"/>
          <w:between w:val="nil"/>
        </w:pBdr>
        <w:jc w:val="center"/>
        <w:rPr>
          <w:rFonts w:ascii="Arial" w:eastAsia="Arial" w:hAnsi="Arial" w:cs="Arial"/>
          <w:b/>
          <w:color w:val="0D0D0D" w:themeColor="text1" w:themeTint="F2"/>
        </w:rPr>
      </w:pPr>
    </w:p>
    <w:p w14:paraId="64B944D1" w14:textId="77777777" w:rsidR="006650F2" w:rsidRDefault="006650F2" w:rsidP="00737712">
      <w:pPr>
        <w:pBdr>
          <w:top w:val="nil"/>
          <w:left w:val="nil"/>
          <w:bottom w:val="nil"/>
          <w:right w:val="nil"/>
          <w:between w:val="nil"/>
        </w:pBdr>
        <w:jc w:val="center"/>
        <w:rPr>
          <w:rFonts w:ascii="Arial" w:eastAsia="Arial" w:hAnsi="Arial" w:cs="Arial"/>
          <w:b/>
          <w:color w:val="0D0D0D" w:themeColor="text1" w:themeTint="F2"/>
        </w:rPr>
      </w:pPr>
    </w:p>
    <w:p w14:paraId="25E55E77" w14:textId="77777777" w:rsidR="006650F2" w:rsidRDefault="006650F2" w:rsidP="00737712">
      <w:pPr>
        <w:pBdr>
          <w:top w:val="nil"/>
          <w:left w:val="nil"/>
          <w:bottom w:val="nil"/>
          <w:right w:val="nil"/>
          <w:between w:val="nil"/>
        </w:pBdr>
        <w:jc w:val="center"/>
        <w:rPr>
          <w:rFonts w:ascii="Arial" w:eastAsia="Arial" w:hAnsi="Arial" w:cs="Arial"/>
          <w:b/>
          <w:color w:val="0D0D0D" w:themeColor="text1" w:themeTint="F2"/>
        </w:rPr>
      </w:pPr>
    </w:p>
    <w:p w14:paraId="3A811E2C" w14:textId="77777777" w:rsidR="006650F2" w:rsidRDefault="006650F2" w:rsidP="00737712">
      <w:pPr>
        <w:pBdr>
          <w:top w:val="nil"/>
          <w:left w:val="nil"/>
          <w:bottom w:val="nil"/>
          <w:right w:val="nil"/>
          <w:between w:val="nil"/>
        </w:pBdr>
        <w:jc w:val="center"/>
        <w:rPr>
          <w:rFonts w:ascii="Arial" w:eastAsia="Arial" w:hAnsi="Arial" w:cs="Arial"/>
          <w:b/>
          <w:color w:val="0D0D0D" w:themeColor="text1" w:themeTint="F2"/>
        </w:rPr>
      </w:pPr>
    </w:p>
    <w:p w14:paraId="76F0DDAF" w14:textId="77777777" w:rsidR="006650F2" w:rsidRDefault="006650F2" w:rsidP="00737712">
      <w:pPr>
        <w:pBdr>
          <w:top w:val="nil"/>
          <w:left w:val="nil"/>
          <w:bottom w:val="nil"/>
          <w:right w:val="nil"/>
          <w:between w:val="nil"/>
        </w:pBdr>
        <w:jc w:val="center"/>
        <w:rPr>
          <w:rFonts w:ascii="Arial" w:eastAsia="Arial" w:hAnsi="Arial" w:cs="Arial"/>
          <w:b/>
          <w:color w:val="0D0D0D" w:themeColor="text1" w:themeTint="F2"/>
        </w:rPr>
      </w:pPr>
    </w:p>
    <w:p w14:paraId="658B4E00" w14:textId="77777777" w:rsidR="006650F2" w:rsidRDefault="006650F2" w:rsidP="00737712">
      <w:pPr>
        <w:pBdr>
          <w:top w:val="nil"/>
          <w:left w:val="nil"/>
          <w:bottom w:val="nil"/>
          <w:right w:val="nil"/>
          <w:between w:val="nil"/>
        </w:pBdr>
        <w:jc w:val="center"/>
        <w:rPr>
          <w:rFonts w:ascii="Arial" w:eastAsia="Arial" w:hAnsi="Arial" w:cs="Arial"/>
          <w:b/>
          <w:color w:val="0D0D0D" w:themeColor="text1" w:themeTint="F2"/>
        </w:rPr>
      </w:pPr>
    </w:p>
    <w:p w14:paraId="20E68486" w14:textId="77777777" w:rsidR="006650F2" w:rsidRDefault="006650F2" w:rsidP="00737712">
      <w:pPr>
        <w:pBdr>
          <w:top w:val="nil"/>
          <w:left w:val="nil"/>
          <w:bottom w:val="nil"/>
          <w:right w:val="nil"/>
          <w:between w:val="nil"/>
        </w:pBdr>
        <w:jc w:val="center"/>
        <w:rPr>
          <w:rFonts w:ascii="Arial" w:eastAsia="Arial" w:hAnsi="Arial" w:cs="Arial"/>
          <w:b/>
          <w:color w:val="0D0D0D" w:themeColor="text1" w:themeTint="F2"/>
        </w:rPr>
      </w:pPr>
    </w:p>
    <w:p w14:paraId="559B6B00" w14:textId="77777777" w:rsidR="006650F2" w:rsidRDefault="006650F2" w:rsidP="00737712">
      <w:pPr>
        <w:pBdr>
          <w:top w:val="nil"/>
          <w:left w:val="nil"/>
          <w:bottom w:val="nil"/>
          <w:right w:val="nil"/>
          <w:between w:val="nil"/>
        </w:pBdr>
        <w:jc w:val="center"/>
        <w:rPr>
          <w:rFonts w:ascii="Arial" w:eastAsia="Arial" w:hAnsi="Arial" w:cs="Arial"/>
          <w:b/>
          <w:color w:val="0D0D0D" w:themeColor="text1" w:themeTint="F2"/>
        </w:rPr>
      </w:pPr>
    </w:p>
    <w:p w14:paraId="2F460338" w14:textId="77777777" w:rsidR="006650F2" w:rsidRDefault="006650F2" w:rsidP="00134586">
      <w:pPr>
        <w:pBdr>
          <w:top w:val="nil"/>
          <w:left w:val="nil"/>
          <w:bottom w:val="nil"/>
          <w:right w:val="nil"/>
          <w:between w:val="nil"/>
        </w:pBdr>
        <w:rPr>
          <w:rFonts w:ascii="Arial" w:eastAsia="Arial" w:hAnsi="Arial" w:cs="Arial"/>
          <w:b/>
          <w:color w:val="0D0D0D" w:themeColor="text1" w:themeTint="F2"/>
        </w:rPr>
      </w:pPr>
    </w:p>
    <w:p w14:paraId="241900F0" w14:textId="57A9FC6F" w:rsidR="000D51C4" w:rsidRPr="00737712" w:rsidRDefault="000D51C4" w:rsidP="00737712">
      <w:pPr>
        <w:pBdr>
          <w:top w:val="nil"/>
          <w:left w:val="nil"/>
          <w:bottom w:val="nil"/>
          <w:right w:val="nil"/>
          <w:between w:val="nil"/>
        </w:pBdr>
        <w:jc w:val="center"/>
        <w:rPr>
          <w:rFonts w:ascii="Arial" w:eastAsia="Arial" w:hAnsi="Arial" w:cs="Arial"/>
          <w:b/>
          <w:color w:val="0D0D0D" w:themeColor="text1" w:themeTint="F2"/>
        </w:rPr>
      </w:pPr>
      <w:r w:rsidRPr="00737712">
        <w:rPr>
          <w:rFonts w:ascii="Arial" w:eastAsia="Arial" w:hAnsi="Arial" w:cs="Arial"/>
          <w:b/>
          <w:color w:val="0D0D0D" w:themeColor="text1" w:themeTint="F2"/>
        </w:rPr>
        <w:lastRenderedPageBreak/>
        <w:t>PROYECTO DE LEY NÚMERO _______ DE 2020</w:t>
      </w:r>
    </w:p>
    <w:p w14:paraId="1DF6DC82" w14:textId="77777777" w:rsidR="0083506F" w:rsidRPr="00737712" w:rsidRDefault="0083506F" w:rsidP="00737712">
      <w:pPr>
        <w:pBdr>
          <w:top w:val="nil"/>
          <w:left w:val="nil"/>
          <w:bottom w:val="nil"/>
          <w:right w:val="nil"/>
          <w:between w:val="nil"/>
        </w:pBdr>
        <w:jc w:val="center"/>
        <w:rPr>
          <w:rFonts w:ascii="Arial" w:eastAsia="Arial" w:hAnsi="Arial" w:cs="Arial"/>
          <w:color w:val="0D0D0D" w:themeColor="text1" w:themeTint="F2"/>
        </w:rPr>
      </w:pPr>
    </w:p>
    <w:p w14:paraId="6E45B7C6" w14:textId="76CFF9C3" w:rsidR="000D51C4" w:rsidRPr="00737712" w:rsidRDefault="000D51C4" w:rsidP="00737712">
      <w:pPr>
        <w:jc w:val="center"/>
        <w:rPr>
          <w:rFonts w:ascii="Arial" w:eastAsia="Arial" w:hAnsi="Arial" w:cs="Arial"/>
          <w:color w:val="0D0D0D" w:themeColor="text1" w:themeTint="F2"/>
        </w:rPr>
      </w:pPr>
      <w:r w:rsidRPr="00737712">
        <w:rPr>
          <w:rFonts w:ascii="Arial" w:eastAsia="Arial" w:hAnsi="Arial" w:cs="Arial"/>
          <w:i/>
          <w:color w:val="0D0D0D" w:themeColor="text1" w:themeTint="F2"/>
        </w:rPr>
        <w:t xml:space="preserve">“Por </w:t>
      </w:r>
      <w:r w:rsidR="000A1A2A" w:rsidRPr="00737712">
        <w:rPr>
          <w:rFonts w:ascii="Arial" w:eastAsia="Arial" w:hAnsi="Arial" w:cs="Arial"/>
          <w:i/>
          <w:color w:val="0D0D0D" w:themeColor="text1" w:themeTint="F2"/>
        </w:rPr>
        <w:t>medio del cual se reforma el Estatuto Tributario de Colombia</w:t>
      </w:r>
      <w:r w:rsidR="00F55FC4" w:rsidRPr="00737712">
        <w:rPr>
          <w:rFonts w:ascii="Arial" w:eastAsia="Arial" w:hAnsi="Arial" w:cs="Arial"/>
          <w:i/>
          <w:color w:val="0D0D0D" w:themeColor="text1" w:themeTint="F2"/>
        </w:rPr>
        <w:t xml:space="preserve"> y se dictan otras disposiciones</w:t>
      </w:r>
      <w:r w:rsidRPr="00737712">
        <w:rPr>
          <w:rFonts w:ascii="Arial" w:eastAsia="Arial" w:hAnsi="Arial" w:cs="Arial"/>
          <w:i/>
          <w:color w:val="0D0D0D" w:themeColor="text1" w:themeTint="F2"/>
        </w:rPr>
        <w:t>”</w:t>
      </w:r>
    </w:p>
    <w:p w14:paraId="22763681" w14:textId="77777777" w:rsidR="0083506F" w:rsidRPr="00737712" w:rsidRDefault="0083506F" w:rsidP="00737712">
      <w:pPr>
        <w:pBdr>
          <w:top w:val="nil"/>
          <w:left w:val="nil"/>
          <w:bottom w:val="nil"/>
          <w:right w:val="nil"/>
          <w:between w:val="nil"/>
        </w:pBdr>
        <w:rPr>
          <w:rFonts w:ascii="Arial" w:eastAsia="Arial" w:hAnsi="Arial" w:cs="Arial"/>
          <w:b/>
          <w:color w:val="0D0D0D" w:themeColor="text1" w:themeTint="F2"/>
        </w:rPr>
      </w:pPr>
    </w:p>
    <w:p w14:paraId="4E2A1446" w14:textId="320819EA" w:rsidR="001262FC" w:rsidRPr="00737712" w:rsidRDefault="000D51C4" w:rsidP="00737712">
      <w:pPr>
        <w:pBdr>
          <w:top w:val="nil"/>
          <w:left w:val="nil"/>
          <w:bottom w:val="nil"/>
          <w:right w:val="nil"/>
          <w:between w:val="nil"/>
        </w:pBdr>
        <w:jc w:val="center"/>
        <w:rPr>
          <w:rFonts w:ascii="Arial" w:eastAsia="Arial" w:hAnsi="Arial" w:cs="Arial"/>
          <w:b/>
          <w:color w:val="0D0D0D" w:themeColor="text1" w:themeTint="F2"/>
        </w:rPr>
      </w:pPr>
      <w:r w:rsidRPr="00737712">
        <w:rPr>
          <w:rFonts w:ascii="Arial" w:eastAsia="Arial" w:hAnsi="Arial" w:cs="Arial"/>
          <w:b/>
          <w:color w:val="0D0D0D" w:themeColor="text1" w:themeTint="F2"/>
        </w:rPr>
        <w:t>EXPOSICIÓN DE MOTIVOS</w:t>
      </w:r>
    </w:p>
    <w:p w14:paraId="2C15AD16" w14:textId="77777777" w:rsidR="0083506F" w:rsidRPr="00737712" w:rsidRDefault="0083506F" w:rsidP="00737712">
      <w:pPr>
        <w:jc w:val="both"/>
        <w:rPr>
          <w:rFonts w:ascii="Arial" w:hAnsi="Arial" w:cs="Arial"/>
          <w:b/>
        </w:rPr>
      </w:pPr>
    </w:p>
    <w:p w14:paraId="3F58ACF4" w14:textId="77777777" w:rsidR="001262FC" w:rsidRPr="00737712" w:rsidRDefault="001262FC" w:rsidP="00737712">
      <w:pPr>
        <w:jc w:val="both"/>
        <w:rPr>
          <w:rFonts w:ascii="Arial" w:hAnsi="Arial" w:cs="Arial"/>
          <w:b/>
        </w:rPr>
      </w:pPr>
      <w:r w:rsidRPr="00737712">
        <w:rPr>
          <w:rFonts w:ascii="Arial" w:hAnsi="Arial" w:cs="Arial"/>
          <w:b/>
        </w:rPr>
        <w:t xml:space="preserve">ANTECEDENTES </w:t>
      </w:r>
    </w:p>
    <w:p w14:paraId="569DDDA3" w14:textId="77777777" w:rsidR="0083506F" w:rsidRPr="00737712" w:rsidRDefault="0083506F" w:rsidP="00737712">
      <w:pPr>
        <w:jc w:val="both"/>
        <w:rPr>
          <w:rFonts w:ascii="Arial" w:hAnsi="Arial" w:cs="Arial"/>
          <w:b/>
        </w:rPr>
      </w:pPr>
    </w:p>
    <w:p w14:paraId="576D053F" w14:textId="77777777" w:rsidR="001262FC" w:rsidRPr="00737712" w:rsidRDefault="001262FC" w:rsidP="00737712">
      <w:pPr>
        <w:pStyle w:val="Prrafodelista"/>
        <w:numPr>
          <w:ilvl w:val="0"/>
          <w:numId w:val="14"/>
        </w:numPr>
        <w:jc w:val="both"/>
        <w:rPr>
          <w:rFonts w:ascii="Arial" w:hAnsi="Arial" w:cs="Arial"/>
          <w:b/>
        </w:rPr>
      </w:pPr>
      <w:r w:rsidRPr="00737712">
        <w:rPr>
          <w:rFonts w:ascii="Arial" w:hAnsi="Arial" w:cs="Arial"/>
          <w:b/>
        </w:rPr>
        <w:t>Crisis de fines del siglo XX</w:t>
      </w:r>
    </w:p>
    <w:p w14:paraId="0C6F1BCE" w14:textId="77777777" w:rsidR="001262FC" w:rsidRPr="00737712" w:rsidRDefault="001262FC" w:rsidP="00737712">
      <w:pPr>
        <w:jc w:val="both"/>
        <w:rPr>
          <w:rFonts w:ascii="Arial" w:hAnsi="Arial" w:cs="Arial"/>
        </w:rPr>
      </w:pPr>
    </w:p>
    <w:p w14:paraId="60960DCD" w14:textId="616B0047" w:rsidR="001262FC" w:rsidRPr="00737712" w:rsidRDefault="001262FC" w:rsidP="00737712">
      <w:pPr>
        <w:jc w:val="both"/>
        <w:rPr>
          <w:rFonts w:ascii="Arial" w:hAnsi="Arial" w:cs="Arial"/>
        </w:rPr>
      </w:pPr>
      <w:r w:rsidRPr="00737712">
        <w:rPr>
          <w:rFonts w:ascii="Arial" w:hAnsi="Arial" w:cs="Arial"/>
        </w:rPr>
        <w:t>La reversión de los flujos de capital externos provocada por las crisis económicas que enfrentaron diversos países dentro y fuera de</w:t>
      </w:r>
      <w:r w:rsidR="006650F2">
        <w:rPr>
          <w:rFonts w:ascii="Arial" w:hAnsi="Arial" w:cs="Arial"/>
        </w:rPr>
        <w:t xml:space="preserve"> nuestro</w:t>
      </w:r>
      <w:r w:rsidRPr="00737712">
        <w:rPr>
          <w:rFonts w:ascii="Arial" w:hAnsi="Arial" w:cs="Arial"/>
        </w:rPr>
        <w:t xml:space="preserve"> continente (Rusia, Brasil, Argentina, Chile, Ecuador, Tailandia, Indonesia, entre otros) impactó negativamente condiciones internas que hacían vulnerable la economía a nivel nacional, entre ellas</w:t>
      </w:r>
      <w:r w:rsidR="006650F2">
        <w:rPr>
          <w:rFonts w:ascii="Arial" w:hAnsi="Arial" w:cs="Arial"/>
        </w:rPr>
        <w:t>,</w:t>
      </w:r>
      <w:r w:rsidRPr="00737712">
        <w:rPr>
          <w:rFonts w:ascii="Arial" w:hAnsi="Arial" w:cs="Arial"/>
        </w:rPr>
        <w:t xml:space="preserve"> el déficit fiscal creciente generado por un aumento del gasto del </w:t>
      </w:r>
      <w:r w:rsidR="006650F2">
        <w:rPr>
          <w:rFonts w:ascii="Arial" w:hAnsi="Arial" w:cs="Arial"/>
        </w:rPr>
        <w:t>G</w:t>
      </w:r>
      <w:r w:rsidRPr="00737712">
        <w:rPr>
          <w:rFonts w:ascii="Arial" w:hAnsi="Arial" w:cs="Arial"/>
        </w:rPr>
        <w:t>obierno por encima de los ingresos (déficit financiado principalmente por emisiones de deuda interna) y el déficit de cuenta corriente, generado por el proceso de apertura económica de la década de los 90 que provocó</w:t>
      </w:r>
      <w:r w:rsidR="006650F2">
        <w:rPr>
          <w:rFonts w:ascii="Arial" w:hAnsi="Arial" w:cs="Arial"/>
        </w:rPr>
        <w:t>,</w:t>
      </w:r>
      <w:r w:rsidRPr="00737712">
        <w:rPr>
          <w:rFonts w:ascii="Arial" w:hAnsi="Arial" w:cs="Arial"/>
        </w:rPr>
        <w:t xml:space="preserve"> además</w:t>
      </w:r>
      <w:r w:rsidR="006650F2">
        <w:rPr>
          <w:rFonts w:ascii="Arial" w:hAnsi="Arial" w:cs="Arial"/>
        </w:rPr>
        <w:t>,</w:t>
      </w:r>
      <w:r w:rsidRPr="00737712">
        <w:rPr>
          <w:rFonts w:ascii="Arial" w:hAnsi="Arial" w:cs="Arial"/>
        </w:rPr>
        <w:t xml:space="preserve"> el endeudamiento del sector privado que incluso sobrepasó el endeudamiento externo público:</w:t>
      </w:r>
    </w:p>
    <w:p w14:paraId="49428D37" w14:textId="77777777" w:rsidR="00406D73" w:rsidRPr="00737712" w:rsidRDefault="00406D73" w:rsidP="00737712">
      <w:pPr>
        <w:jc w:val="both"/>
        <w:rPr>
          <w:rFonts w:ascii="Arial" w:hAnsi="Arial" w:cs="Arial"/>
        </w:rPr>
      </w:pPr>
    </w:p>
    <w:p w14:paraId="46129EEB" w14:textId="4BFDCB04" w:rsidR="000A1A2A" w:rsidRPr="00737712" w:rsidRDefault="00B709C9" w:rsidP="00737712">
      <w:pPr>
        <w:jc w:val="center"/>
        <w:rPr>
          <w:rFonts w:ascii="Arial" w:hAnsi="Arial" w:cs="Arial"/>
        </w:rPr>
      </w:pPr>
      <w:r w:rsidRPr="00737712">
        <w:rPr>
          <w:rFonts w:ascii="Arial" w:hAnsi="Arial" w:cs="Arial"/>
          <w:noProof/>
          <w:lang w:val="es-CO" w:eastAsia="es-CO"/>
        </w:rPr>
        <w:drawing>
          <wp:inline distT="0" distB="0" distL="0" distR="0" wp14:anchorId="61DA738E" wp14:editId="6E0974EA">
            <wp:extent cx="5554345" cy="3352800"/>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4826" cy="3365163"/>
                    </a:xfrm>
                    <a:prstGeom prst="rect">
                      <a:avLst/>
                    </a:prstGeom>
                  </pic:spPr>
                </pic:pic>
              </a:graphicData>
            </a:graphic>
          </wp:inline>
        </w:drawing>
      </w:r>
    </w:p>
    <w:p w14:paraId="471DE192" w14:textId="176CAC52" w:rsidR="00B709C9" w:rsidRPr="00737712" w:rsidRDefault="00B709C9" w:rsidP="00737712">
      <w:pPr>
        <w:jc w:val="center"/>
        <w:rPr>
          <w:rFonts w:ascii="Arial" w:hAnsi="Arial" w:cs="Arial"/>
          <w:sz w:val="20"/>
          <w:szCs w:val="20"/>
        </w:rPr>
      </w:pPr>
      <w:r w:rsidRPr="00737712">
        <w:rPr>
          <w:rFonts w:ascii="Arial" w:hAnsi="Arial" w:cs="Arial"/>
          <w:sz w:val="20"/>
          <w:szCs w:val="20"/>
        </w:rPr>
        <w:t xml:space="preserve">Fuente: </w:t>
      </w:r>
      <w:r w:rsidR="006E1A4D" w:rsidRPr="00737712">
        <w:rPr>
          <w:rFonts w:ascii="Arial" w:hAnsi="Arial" w:cs="Arial"/>
          <w:sz w:val="20"/>
          <w:szCs w:val="20"/>
        </w:rPr>
        <w:t xml:space="preserve">Historia del Banco de la República: Crisis de 1999 – Repositorio  </w:t>
      </w:r>
    </w:p>
    <w:p w14:paraId="2E0BC3B0" w14:textId="77777777" w:rsidR="00EB469D" w:rsidRPr="00737712" w:rsidRDefault="00EB469D" w:rsidP="00737712">
      <w:pPr>
        <w:jc w:val="center"/>
        <w:rPr>
          <w:rFonts w:ascii="Arial" w:hAnsi="Arial" w:cs="Arial"/>
          <w:sz w:val="20"/>
          <w:szCs w:val="20"/>
        </w:rPr>
      </w:pPr>
    </w:p>
    <w:p w14:paraId="6BFF18DB" w14:textId="77777777" w:rsidR="006650F2" w:rsidRDefault="001262FC" w:rsidP="00737712">
      <w:pPr>
        <w:jc w:val="both"/>
        <w:rPr>
          <w:rFonts w:ascii="Arial" w:hAnsi="Arial" w:cs="Arial"/>
        </w:rPr>
      </w:pPr>
      <w:r w:rsidRPr="00737712">
        <w:rPr>
          <w:rFonts w:ascii="Arial" w:hAnsi="Arial" w:cs="Arial"/>
        </w:rPr>
        <w:t>“</w:t>
      </w:r>
      <w:r w:rsidRPr="00737712">
        <w:rPr>
          <w:rFonts w:ascii="Arial" w:hAnsi="Arial" w:cs="Arial"/>
          <w:i/>
        </w:rPr>
        <w:t xml:space="preserve">En 1999 Colombia sufrió la peor crisis económica desde que se tienen series de crecimiento, que vino acompañada de una crisis financiera y causó un cambio </w:t>
      </w:r>
      <w:r w:rsidRPr="00737712">
        <w:rPr>
          <w:rFonts w:ascii="Arial" w:hAnsi="Arial" w:cs="Arial"/>
          <w:i/>
        </w:rPr>
        <w:lastRenderedPageBreak/>
        <w:t>profundo en la política monetaria y cambiaria en el país. Así se terminaba una década caracterizada por transformaciones importantes en la forma de manejar la economía que fueron introducidas con la promulgación de la Constitución de 1991</w:t>
      </w:r>
      <w:r w:rsidRPr="00737712">
        <w:rPr>
          <w:rFonts w:ascii="Arial" w:hAnsi="Arial" w:cs="Arial"/>
        </w:rPr>
        <w:t>”</w:t>
      </w:r>
      <w:r w:rsidRPr="00737712">
        <w:rPr>
          <w:rStyle w:val="Refdenotaalpie"/>
          <w:rFonts w:ascii="Arial" w:hAnsi="Arial" w:cs="Arial"/>
          <w:bCs/>
        </w:rPr>
        <w:footnoteReference w:id="1"/>
      </w:r>
      <w:r w:rsidRPr="00737712">
        <w:rPr>
          <w:rFonts w:ascii="Arial" w:hAnsi="Arial" w:cs="Arial"/>
        </w:rPr>
        <w:t xml:space="preserve">. </w:t>
      </w:r>
    </w:p>
    <w:p w14:paraId="4EA33D59" w14:textId="77777777" w:rsidR="006650F2" w:rsidRDefault="006650F2" w:rsidP="00737712">
      <w:pPr>
        <w:jc w:val="both"/>
        <w:rPr>
          <w:rFonts w:ascii="Arial" w:hAnsi="Arial" w:cs="Arial"/>
        </w:rPr>
      </w:pPr>
    </w:p>
    <w:p w14:paraId="53677B1B" w14:textId="346981BF" w:rsidR="001262FC" w:rsidRPr="00737712" w:rsidRDefault="001262FC" w:rsidP="00737712">
      <w:pPr>
        <w:jc w:val="both"/>
        <w:rPr>
          <w:rFonts w:ascii="Arial" w:hAnsi="Arial" w:cs="Arial"/>
        </w:rPr>
      </w:pPr>
      <w:r w:rsidRPr="00737712">
        <w:rPr>
          <w:rFonts w:ascii="Arial" w:hAnsi="Arial" w:cs="Arial"/>
        </w:rPr>
        <w:t xml:space="preserve">Durante la década de los 90, a factores como la liberación de las tasas de interés, la reducción en los coeficientes de encaje e inversiones forzosas y la apertura del sector financiero a la inversión extranjera (teniendo en cuenta que antes de la Constitución de 1991, el porcentaje de participación de capitales extranjeros en los bancos era limitado), se sumó un aumento en la representación de los saldos de cartera de los establecimientos de crédito privados respecto al PIB que pasó del 23.5% al 35% entre 1991 y 1997. </w:t>
      </w:r>
    </w:p>
    <w:p w14:paraId="43EA9D90" w14:textId="77777777" w:rsidR="001262FC" w:rsidRPr="00737712" w:rsidRDefault="001262FC" w:rsidP="00737712">
      <w:pPr>
        <w:jc w:val="both"/>
        <w:rPr>
          <w:rFonts w:ascii="Arial" w:hAnsi="Arial" w:cs="Arial"/>
        </w:rPr>
      </w:pPr>
    </w:p>
    <w:p w14:paraId="1AAB8697" w14:textId="4707BB8B" w:rsidR="001262FC" w:rsidRPr="00737712" w:rsidRDefault="001262FC" w:rsidP="00737712">
      <w:pPr>
        <w:jc w:val="both"/>
        <w:rPr>
          <w:rFonts w:ascii="Arial" w:hAnsi="Arial" w:cs="Arial"/>
        </w:rPr>
      </w:pPr>
      <w:r w:rsidRPr="00737712">
        <w:rPr>
          <w:rFonts w:ascii="Arial" w:hAnsi="Arial" w:cs="Arial"/>
        </w:rPr>
        <w:t>Desde 1998 se presentó un ciclo de expansión y contracción del crédito generado</w:t>
      </w:r>
      <w:r w:rsidR="006650F2">
        <w:rPr>
          <w:rFonts w:ascii="Arial" w:hAnsi="Arial" w:cs="Arial"/>
        </w:rPr>
        <w:t>,</w:t>
      </w:r>
      <w:r w:rsidRPr="00737712">
        <w:rPr>
          <w:rFonts w:ascii="Arial" w:hAnsi="Arial" w:cs="Arial"/>
        </w:rPr>
        <w:t xml:space="preserve"> este último, por acciones como la recesión en la actividad productiva y una disminución de la capacidad de los establecimientos de crédito para mantener la oferta por la caída de los depósitos bancarios, el deterioro de los niveles de solvencia de los intermediarios y una recomposición de los activos de dichos establecimientos a favor de inversiones en títulos de deuda pública (esto último generado tanto por el déficit fiscal, como por el interés de reducir la exposición al riesgo de sectores privados afectados por la crisis); además del incremento de las tasas de interés domésticas entre 1998 y 1999 a raíz de la disminución del flujo financiero externo. Antes de la crisis, el auge en el ingreso de capitales extranjeros estuvo directamente relacionado con un proceso de desregulación financiera pero en el período de crisis los índices de represión financiera aumentaron bajo dos figuras: inversiones forzosas y un impuesto a los débitos bancarios.</w:t>
      </w:r>
      <w:r w:rsidRPr="00737712">
        <w:rPr>
          <w:rStyle w:val="Refdenotaalpie"/>
          <w:rFonts w:ascii="Arial" w:hAnsi="Arial" w:cs="Arial"/>
          <w:bCs/>
        </w:rPr>
        <w:footnoteReference w:id="2"/>
      </w:r>
      <w:r w:rsidRPr="00737712">
        <w:rPr>
          <w:rFonts w:ascii="Arial" w:hAnsi="Arial" w:cs="Arial"/>
        </w:rPr>
        <w:t xml:space="preserve">  </w:t>
      </w:r>
    </w:p>
    <w:p w14:paraId="41570A33" w14:textId="77777777" w:rsidR="001262FC" w:rsidRPr="00737712" w:rsidRDefault="001262FC" w:rsidP="00737712">
      <w:pPr>
        <w:jc w:val="both"/>
        <w:rPr>
          <w:rFonts w:ascii="Arial" w:hAnsi="Arial" w:cs="Arial"/>
        </w:rPr>
      </w:pPr>
    </w:p>
    <w:p w14:paraId="432F1AF9" w14:textId="77777777" w:rsidR="001262FC" w:rsidRPr="00737712" w:rsidRDefault="001262FC" w:rsidP="00737712">
      <w:pPr>
        <w:ind w:left="708"/>
        <w:jc w:val="both"/>
        <w:rPr>
          <w:rFonts w:ascii="Arial" w:hAnsi="Arial" w:cs="Arial"/>
        </w:rPr>
      </w:pPr>
      <w:r w:rsidRPr="00737712">
        <w:rPr>
          <w:rFonts w:ascii="Arial" w:hAnsi="Arial" w:cs="Arial"/>
        </w:rPr>
        <w:t>“</w:t>
      </w:r>
      <w:r w:rsidRPr="00737712">
        <w:rPr>
          <w:rFonts w:ascii="Arial" w:hAnsi="Arial" w:cs="Arial"/>
          <w:i/>
        </w:rPr>
        <w:t xml:space="preserve">Utilizando un criterio de política anticíclica, en 1998 el Banco de la República redujo adicionalmente los coeficientes de encaje obligatorio y empezó a remunerarlo. A pesar de ello, la carga regulatoria del sector financiero se vio aumentada fuertemente desde finales de ese mismo año. Por un lado, el gobierno introdujo algunas inversiones forzosas a cargo de los establecimientos de crédito con el propósito de cubrir parcialmente los costos fiscales de la crisis financiera, con lo cual se revirtió, aunque en forma leve, la tendencia descendente que se había observado en el uso de estos instrumentos durante los siete años anteriores. Por otro lado, estableció un impuesto a las transacciones financieras destinado también a cubrir los costos de la crisis, en este caso de la banca pública. Aunque dicho impuesto tuvo inicialmente un carácter temporal, su recaudo fue extendido </w:t>
      </w:r>
      <w:r w:rsidRPr="00737712">
        <w:rPr>
          <w:rFonts w:ascii="Arial" w:hAnsi="Arial" w:cs="Arial"/>
          <w:i/>
        </w:rPr>
        <w:lastRenderedPageBreak/>
        <w:t>posteriormente con propósitos fiscales y la tarifa correspondiente se elevó de un nivel inicial de 2X1000 a 3X1000 en 2001 y a 4X1000 a partir de 2003</w:t>
      </w:r>
      <w:r w:rsidRPr="00737712">
        <w:rPr>
          <w:rFonts w:ascii="Arial" w:hAnsi="Arial" w:cs="Arial"/>
        </w:rPr>
        <w:t>”.</w:t>
      </w:r>
      <w:r w:rsidRPr="00737712">
        <w:rPr>
          <w:rStyle w:val="Refdenotaalpie"/>
          <w:rFonts w:ascii="Arial" w:hAnsi="Arial" w:cs="Arial"/>
          <w:bCs/>
        </w:rPr>
        <w:footnoteReference w:id="3"/>
      </w:r>
    </w:p>
    <w:p w14:paraId="012A9123" w14:textId="77777777" w:rsidR="001262FC" w:rsidRPr="00737712" w:rsidRDefault="001262FC" w:rsidP="00737712">
      <w:pPr>
        <w:jc w:val="both"/>
        <w:rPr>
          <w:rFonts w:ascii="Arial" w:hAnsi="Arial" w:cs="Arial"/>
        </w:rPr>
      </w:pPr>
    </w:p>
    <w:p w14:paraId="590E948D" w14:textId="021DE3EF" w:rsidR="001262FC" w:rsidRPr="00737712" w:rsidRDefault="001262FC" w:rsidP="00737712">
      <w:pPr>
        <w:jc w:val="both"/>
        <w:rPr>
          <w:rFonts w:ascii="Arial" w:hAnsi="Arial" w:cs="Arial"/>
        </w:rPr>
      </w:pPr>
      <w:r w:rsidRPr="00737712">
        <w:rPr>
          <w:rFonts w:ascii="Arial" w:hAnsi="Arial" w:cs="Arial"/>
        </w:rPr>
        <w:t>El Banco de la República</w:t>
      </w:r>
      <w:r w:rsidR="006931E7">
        <w:rPr>
          <w:rFonts w:ascii="Arial" w:hAnsi="Arial" w:cs="Arial"/>
        </w:rPr>
        <w:t xml:space="preserve">, </w:t>
      </w:r>
      <w:r w:rsidRPr="00737712">
        <w:rPr>
          <w:rFonts w:ascii="Arial" w:hAnsi="Arial" w:cs="Arial"/>
        </w:rPr>
        <w:t>atendiendo a las funciones que emanan de la última reforma constitucional</w:t>
      </w:r>
      <w:r w:rsidR="006931E7">
        <w:rPr>
          <w:rFonts w:ascii="Arial" w:hAnsi="Arial" w:cs="Arial"/>
        </w:rPr>
        <w:t xml:space="preserve">, </w:t>
      </w:r>
      <w:r w:rsidRPr="00737712">
        <w:rPr>
          <w:rFonts w:ascii="Arial" w:hAnsi="Arial" w:cs="Arial"/>
        </w:rPr>
        <w:t xml:space="preserve">enfrentó la crisis </w:t>
      </w:r>
      <w:r w:rsidR="006931E7">
        <w:rPr>
          <w:rFonts w:ascii="Arial" w:hAnsi="Arial" w:cs="Arial"/>
        </w:rPr>
        <w:t xml:space="preserve">con </w:t>
      </w:r>
      <w:r w:rsidRPr="00737712">
        <w:rPr>
          <w:rFonts w:ascii="Arial" w:hAnsi="Arial" w:cs="Arial"/>
        </w:rPr>
        <w:t>una defensa de la banda cambiaria (que implicó una disminución en varios períodos de las reservas internacionales y fue eliminada en septiembre de 1999)</w:t>
      </w:r>
      <w:r w:rsidR="006931E7">
        <w:rPr>
          <w:rFonts w:ascii="Arial" w:hAnsi="Arial" w:cs="Arial"/>
        </w:rPr>
        <w:t>,</w:t>
      </w:r>
      <w:r w:rsidRPr="00737712">
        <w:rPr>
          <w:rFonts w:ascii="Arial" w:hAnsi="Arial" w:cs="Arial"/>
        </w:rPr>
        <w:t xml:space="preserve"> </w:t>
      </w:r>
      <w:r w:rsidR="006931E7">
        <w:rPr>
          <w:rFonts w:ascii="Arial" w:hAnsi="Arial" w:cs="Arial"/>
        </w:rPr>
        <w:t xml:space="preserve">con el </w:t>
      </w:r>
      <w:r w:rsidRPr="00737712">
        <w:rPr>
          <w:rFonts w:ascii="Arial" w:hAnsi="Arial" w:cs="Arial"/>
        </w:rPr>
        <w:t xml:space="preserve">aumento de la liquidez disponible en la economía a partir de la disminución del encaje bancario y </w:t>
      </w:r>
      <w:r w:rsidR="006931E7">
        <w:rPr>
          <w:rFonts w:ascii="Arial" w:hAnsi="Arial" w:cs="Arial"/>
        </w:rPr>
        <w:t>con</w:t>
      </w:r>
      <w:r w:rsidRPr="00737712">
        <w:rPr>
          <w:rFonts w:ascii="Arial" w:hAnsi="Arial" w:cs="Arial"/>
        </w:rPr>
        <w:t xml:space="preserve"> préstamos a las entidades de crédito. Paralelo a ello, se han identificado como fallas de la banca central la falta de seguimiento efectivo al sistema financiero que hubiese permitido hacer una mejor evaluación y control del déficit fiscal, así como haber implementado controles de capital, sin desestimar lo que esto representaría para las inversiones extranjeras en el sistema financiero.</w:t>
      </w:r>
      <w:r w:rsidRPr="00737712">
        <w:rPr>
          <w:rStyle w:val="Refdenotaalpie"/>
          <w:rFonts w:ascii="Arial" w:hAnsi="Arial" w:cs="Arial"/>
          <w:bCs/>
        </w:rPr>
        <w:footnoteReference w:id="4"/>
      </w:r>
      <w:r w:rsidRPr="00737712">
        <w:rPr>
          <w:rFonts w:ascii="Arial" w:hAnsi="Arial" w:cs="Arial"/>
        </w:rPr>
        <w:t xml:space="preserve">    </w:t>
      </w:r>
    </w:p>
    <w:p w14:paraId="1F65BED7" w14:textId="77777777" w:rsidR="001262FC" w:rsidRPr="00737712" w:rsidRDefault="001262FC" w:rsidP="00737712">
      <w:pPr>
        <w:jc w:val="both"/>
        <w:rPr>
          <w:rFonts w:ascii="Arial" w:hAnsi="Arial" w:cs="Arial"/>
        </w:rPr>
      </w:pPr>
    </w:p>
    <w:p w14:paraId="1D570657" w14:textId="77777777" w:rsidR="001262FC" w:rsidRPr="00737712" w:rsidRDefault="001262FC" w:rsidP="00737712">
      <w:pPr>
        <w:pStyle w:val="Prrafodelista"/>
        <w:numPr>
          <w:ilvl w:val="0"/>
          <w:numId w:val="14"/>
        </w:numPr>
        <w:jc w:val="both"/>
        <w:rPr>
          <w:rFonts w:ascii="Arial" w:hAnsi="Arial" w:cs="Arial"/>
          <w:b/>
        </w:rPr>
      </w:pPr>
      <w:r w:rsidRPr="00737712">
        <w:rPr>
          <w:rFonts w:ascii="Arial" w:hAnsi="Arial" w:cs="Arial"/>
          <w:b/>
        </w:rPr>
        <w:t>Estado de Emergencia Económica y Social de 1998</w:t>
      </w:r>
    </w:p>
    <w:p w14:paraId="2E9AEEFB" w14:textId="77777777" w:rsidR="001262FC" w:rsidRPr="00737712" w:rsidRDefault="001262FC" w:rsidP="00737712">
      <w:pPr>
        <w:jc w:val="both"/>
        <w:rPr>
          <w:rFonts w:ascii="Arial" w:hAnsi="Arial" w:cs="Arial"/>
        </w:rPr>
      </w:pPr>
    </w:p>
    <w:p w14:paraId="08CECF94" w14:textId="5E4B3E85" w:rsidR="001262FC" w:rsidRPr="00737712" w:rsidRDefault="001262FC" w:rsidP="00737712">
      <w:pPr>
        <w:jc w:val="both"/>
        <w:rPr>
          <w:rFonts w:ascii="Arial" w:hAnsi="Arial" w:cs="Arial"/>
        </w:rPr>
      </w:pPr>
      <w:r w:rsidRPr="00737712">
        <w:rPr>
          <w:rFonts w:ascii="Arial" w:hAnsi="Arial" w:cs="Arial"/>
        </w:rPr>
        <w:t xml:space="preserve">El 16 de noviembre de 1998, el </w:t>
      </w:r>
      <w:r w:rsidR="006931E7">
        <w:rPr>
          <w:rFonts w:ascii="Arial" w:hAnsi="Arial" w:cs="Arial"/>
        </w:rPr>
        <w:t>p</w:t>
      </w:r>
      <w:r w:rsidRPr="00737712">
        <w:rPr>
          <w:rFonts w:ascii="Arial" w:hAnsi="Arial" w:cs="Arial"/>
        </w:rPr>
        <w:t xml:space="preserve">residente de la República Andrés Pastrana Arango, declaró el Estado de Emergencia Económica y Social en todo el territorio nacional mediante el </w:t>
      </w:r>
      <w:r w:rsidR="006931E7">
        <w:rPr>
          <w:rFonts w:ascii="Arial" w:hAnsi="Arial" w:cs="Arial"/>
        </w:rPr>
        <w:t>d</w:t>
      </w:r>
      <w:r w:rsidRPr="00737712">
        <w:rPr>
          <w:rFonts w:ascii="Arial" w:hAnsi="Arial" w:cs="Arial"/>
        </w:rPr>
        <w:t xml:space="preserve">ecreto 2330. </w:t>
      </w:r>
    </w:p>
    <w:p w14:paraId="00FE23AE" w14:textId="77777777" w:rsidR="001262FC" w:rsidRPr="00737712" w:rsidRDefault="001262FC" w:rsidP="00737712">
      <w:pPr>
        <w:jc w:val="both"/>
        <w:rPr>
          <w:rFonts w:ascii="Arial" w:hAnsi="Arial" w:cs="Arial"/>
        </w:rPr>
      </w:pPr>
    </w:p>
    <w:p w14:paraId="30AB858E" w14:textId="1D7468B9" w:rsidR="001262FC" w:rsidRPr="00737712" w:rsidRDefault="001262FC" w:rsidP="00737712">
      <w:pPr>
        <w:jc w:val="both"/>
        <w:rPr>
          <w:rFonts w:ascii="Arial" w:hAnsi="Arial" w:cs="Arial"/>
        </w:rPr>
      </w:pPr>
      <w:r w:rsidRPr="00737712">
        <w:rPr>
          <w:rFonts w:ascii="Arial" w:hAnsi="Arial" w:cs="Arial"/>
        </w:rPr>
        <w:t>Dentro de las causales contenidas en el Considerando del</w:t>
      </w:r>
      <w:r w:rsidR="008A33CA">
        <w:rPr>
          <w:rFonts w:ascii="Arial" w:hAnsi="Arial" w:cs="Arial"/>
        </w:rPr>
        <w:t xml:space="preserve"> decreto mencionado </w:t>
      </w:r>
      <w:r w:rsidRPr="00737712">
        <w:rPr>
          <w:rFonts w:ascii="Arial" w:hAnsi="Arial" w:cs="Arial"/>
        </w:rPr>
        <w:t>a</w:t>
      </w:r>
      <w:r w:rsidR="008A33CA">
        <w:rPr>
          <w:rFonts w:ascii="Arial" w:hAnsi="Arial" w:cs="Arial"/>
        </w:rPr>
        <w:t>rriba</w:t>
      </w:r>
      <w:r w:rsidRPr="00737712">
        <w:rPr>
          <w:rFonts w:ascii="Arial" w:hAnsi="Arial" w:cs="Arial"/>
        </w:rPr>
        <w:t xml:space="preserve"> se encuentra, entre otras, el deterioro de la situación de los establecimientos de crédito que amenaza con perturbar el orden económico y social; el agravamiento de la crisis financiera a nivel internacional que generó una disminución en el flujo neto de capitales externos con graves consecuencias sobre la economía nacional, principalmente sobre el sector financiero; las altas tasas de interés y la desaparición de la demanda por títulos de mediano y largo plazo dada la situación de crisis internacional y las restricciones monetarias que se mantuvieron a nivel interno; la situación que ponía en peligro la estabilidad y permanencia de los establecimientos de crédito dadas las dificultades de garantizar liquidez a los ahorradores y el agotamiento de medidas para contrarrestar los efectos de la crisis por parte de las autoridades económicas entre las cuales se encuentran la reducción de los encajes, la ampliación del suministro de liquidez permanente hacia el sistema financiero por medio del Banco de la República, el fortalecimiento patrimonial del Fondo de Garantías de Instituciones Financieras mediante un mecanismo especial de redescuento por $500 mil millones a través de un acuerdo con el Banco de la República, entre otros. </w:t>
      </w:r>
    </w:p>
    <w:p w14:paraId="3F2F6D08" w14:textId="77777777" w:rsidR="001262FC" w:rsidRPr="00737712" w:rsidRDefault="001262FC" w:rsidP="00737712">
      <w:pPr>
        <w:jc w:val="both"/>
        <w:rPr>
          <w:rFonts w:ascii="Arial" w:hAnsi="Arial" w:cs="Arial"/>
        </w:rPr>
      </w:pPr>
    </w:p>
    <w:p w14:paraId="1976A616" w14:textId="77777777" w:rsidR="001262FC" w:rsidRPr="00737712" w:rsidRDefault="001262FC" w:rsidP="00737712">
      <w:pPr>
        <w:jc w:val="both"/>
        <w:rPr>
          <w:rFonts w:ascii="Arial" w:hAnsi="Arial" w:cs="Arial"/>
        </w:rPr>
      </w:pPr>
      <w:r w:rsidRPr="00737712">
        <w:rPr>
          <w:rFonts w:ascii="Arial" w:hAnsi="Arial" w:cs="Arial"/>
        </w:rPr>
        <w:t>En este contexto y toda vez que el artículo primero del Decreto 2330 establecía: “</w:t>
      </w:r>
      <w:r w:rsidRPr="00737712">
        <w:rPr>
          <w:rFonts w:ascii="Arial" w:hAnsi="Arial" w:cs="Arial"/>
          <w:i/>
        </w:rPr>
        <w:t xml:space="preserve">Declárese el Estado de Emergencia Económica y Social en todo el territorio nacional desde la entrada en vigencia de este decreto hasta las veinticuatro horas </w:t>
      </w:r>
      <w:r w:rsidRPr="00737712">
        <w:rPr>
          <w:rFonts w:ascii="Arial" w:hAnsi="Arial" w:cs="Arial"/>
          <w:i/>
        </w:rPr>
        <w:lastRenderedPageBreak/>
        <w:t>del día dieciséis (16) de noviembre de 1998</w:t>
      </w:r>
      <w:r w:rsidRPr="00737712">
        <w:rPr>
          <w:rFonts w:ascii="Arial" w:hAnsi="Arial" w:cs="Arial"/>
        </w:rPr>
        <w:t>”, el 16 de noviembre del mismo año, desde la presidencia se expidió el Decreto 2331, por medio del cual se dictaron “</w:t>
      </w:r>
      <w:r w:rsidRPr="00737712">
        <w:rPr>
          <w:rFonts w:ascii="Arial" w:hAnsi="Arial" w:cs="Arial"/>
          <w:i/>
        </w:rPr>
        <w:t>medidas</w:t>
      </w:r>
      <w:r w:rsidRPr="00737712">
        <w:rPr>
          <w:rFonts w:ascii="Arial" w:hAnsi="Arial" w:cs="Arial"/>
        </w:rPr>
        <w:t xml:space="preserve"> </w:t>
      </w:r>
      <w:r w:rsidRPr="00737712">
        <w:rPr>
          <w:rFonts w:ascii="Arial" w:hAnsi="Arial" w:cs="Arial"/>
          <w:i/>
        </w:rPr>
        <w:t>tendientes a resolver la situación de los sectores financiero y cooperativo, aliviar la situación de los deudores por créditos de vivienda y de los ahorradores de las entidades cooperativas en liquidación, mediante la creación de mecanismos institucionales y de financiación y la adopción de disposiciones complementarias</w:t>
      </w:r>
      <w:r w:rsidRPr="00737712">
        <w:rPr>
          <w:rFonts w:ascii="Arial" w:hAnsi="Arial" w:cs="Arial"/>
        </w:rPr>
        <w:t xml:space="preserve">”. En su artículo 29, y como parte de esos mecanismos institucionales y de financiación, en el Capítulo V del citado decreto: </w:t>
      </w:r>
      <w:r w:rsidRPr="00737712">
        <w:rPr>
          <w:rFonts w:ascii="Arial" w:hAnsi="Arial" w:cs="Arial"/>
          <w:i/>
        </w:rPr>
        <w:t>De los mecanismos de financiación de las medidas de emergencia</w:t>
      </w:r>
      <w:r w:rsidRPr="00737712">
        <w:rPr>
          <w:rFonts w:ascii="Arial" w:hAnsi="Arial" w:cs="Arial"/>
        </w:rPr>
        <w:t xml:space="preserve">; se señala el siguiente: </w:t>
      </w:r>
    </w:p>
    <w:p w14:paraId="77CE5170" w14:textId="77777777" w:rsidR="001262FC" w:rsidRPr="00737712" w:rsidRDefault="001262FC" w:rsidP="00737712">
      <w:pPr>
        <w:jc w:val="both"/>
        <w:rPr>
          <w:rFonts w:ascii="Arial" w:hAnsi="Arial" w:cs="Arial"/>
        </w:rPr>
      </w:pPr>
    </w:p>
    <w:p w14:paraId="41171F69" w14:textId="77777777" w:rsidR="001262FC" w:rsidRPr="00737712" w:rsidRDefault="001262FC" w:rsidP="00737712">
      <w:pPr>
        <w:pStyle w:val="NormalWeb"/>
        <w:shd w:val="clear" w:color="auto" w:fill="FFFFFF"/>
        <w:spacing w:before="0" w:beforeAutospacing="0" w:after="0" w:afterAutospacing="0"/>
        <w:ind w:left="708"/>
        <w:jc w:val="both"/>
        <w:rPr>
          <w:rFonts w:ascii="Arial" w:hAnsi="Arial" w:cs="Arial"/>
          <w:i/>
        </w:rPr>
      </w:pPr>
      <w:r w:rsidRPr="00737712">
        <w:rPr>
          <w:rFonts w:ascii="Arial" w:hAnsi="Arial" w:cs="Arial"/>
          <w:b/>
          <w:bCs/>
        </w:rPr>
        <w:t>“</w:t>
      </w:r>
      <w:r w:rsidRPr="00737712">
        <w:rPr>
          <w:rFonts w:ascii="Arial" w:hAnsi="Arial" w:cs="Arial"/>
          <w:b/>
          <w:bCs/>
          <w:i/>
        </w:rPr>
        <w:t>ARTÍCULO 29. </w:t>
      </w:r>
      <w:r w:rsidRPr="00737712">
        <w:rPr>
          <w:rFonts w:ascii="Arial" w:hAnsi="Arial" w:cs="Arial"/>
          <w:i/>
        </w:rPr>
        <w:t>Establécese temporalmente, hasta el 31 de diciembre de 1999, una contribución sobre transacciones financieras como un tributo a cargo de los usuarios del sistema financiero y de las entidades que lo conforman, destinado exclusivamente a preservar la estabilidad y la solvencia del sistema, y de esta manera, proteger a los usuarios del mismo en los términos del Decreto 663 de 1993 y de este decreto.</w:t>
      </w:r>
    </w:p>
    <w:p w14:paraId="2F1CE460" w14:textId="77777777" w:rsidR="001262FC" w:rsidRPr="00737712" w:rsidRDefault="001262FC" w:rsidP="00737712">
      <w:pPr>
        <w:pStyle w:val="NormalWeb"/>
        <w:shd w:val="clear" w:color="auto" w:fill="FFFFFF"/>
        <w:spacing w:before="0" w:beforeAutospacing="0" w:after="0" w:afterAutospacing="0"/>
        <w:ind w:left="708"/>
        <w:jc w:val="both"/>
        <w:rPr>
          <w:rFonts w:ascii="Arial" w:hAnsi="Arial" w:cs="Arial"/>
          <w:i/>
        </w:rPr>
      </w:pPr>
    </w:p>
    <w:p w14:paraId="0271F991" w14:textId="77777777" w:rsidR="001262FC" w:rsidRPr="00737712" w:rsidRDefault="001262FC" w:rsidP="00737712">
      <w:pPr>
        <w:pStyle w:val="NormalWeb"/>
        <w:shd w:val="clear" w:color="auto" w:fill="FFFFFF"/>
        <w:spacing w:before="0" w:beforeAutospacing="0" w:after="0" w:afterAutospacing="0"/>
        <w:ind w:left="708"/>
        <w:jc w:val="both"/>
        <w:rPr>
          <w:rFonts w:ascii="Arial" w:hAnsi="Arial" w:cs="Arial"/>
          <w:i/>
        </w:rPr>
      </w:pPr>
      <w:r w:rsidRPr="00737712">
        <w:rPr>
          <w:rFonts w:ascii="Arial" w:hAnsi="Arial" w:cs="Arial"/>
          <w:i/>
        </w:rPr>
        <w:t>Dicha contribución se causará sobre las siguientes operaciones:</w:t>
      </w:r>
    </w:p>
    <w:p w14:paraId="697FD61D" w14:textId="77777777" w:rsidR="001262FC" w:rsidRPr="00737712" w:rsidRDefault="001262FC" w:rsidP="00737712">
      <w:pPr>
        <w:pStyle w:val="NormalWeb"/>
        <w:shd w:val="clear" w:color="auto" w:fill="FFFFFF"/>
        <w:spacing w:before="0" w:beforeAutospacing="0" w:after="0" w:afterAutospacing="0"/>
        <w:ind w:left="708"/>
        <w:jc w:val="both"/>
        <w:rPr>
          <w:rFonts w:ascii="Arial" w:hAnsi="Arial" w:cs="Arial"/>
          <w:i/>
        </w:rPr>
      </w:pPr>
    </w:p>
    <w:p w14:paraId="6845F758" w14:textId="77777777" w:rsidR="001262FC" w:rsidRPr="00737712" w:rsidRDefault="001262FC" w:rsidP="00737712">
      <w:pPr>
        <w:pStyle w:val="NormalWeb"/>
        <w:shd w:val="clear" w:color="auto" w:fill="FFFFFF"/>
        <w:spacing w:before="0" w:beforeAutospacing="0" w:after="0" w:afterAutospacing="0"/>
        <w:ind w:left="708"/>
        <w:jc w:val="both"/>
        <w:rPr>
          <w:rFonts w:ascii="Arial" w:hAnsi="Arial" w:cs="Arial"/>
          <w:i/>
        </w:rPr>
      </w:pPr>
      <w:r w:rsidRPr="00737712">
        <w:rPr>
          <w:rFonts w:ascii="Arial" w:hAnsi="Arial" w:cs="Arial"/>
          <w:i/>
        </w:rPr>
        <w:t>a). Las transacciones que realicen los usuarios de los establecimientos de crédito, mediante las cuales se disponga de recursos depositados en cuentas corrientes o cuentas de ahorros, con excepción de los traslados que se realicen entre cuentas en un establecimiento de crédito cuando ellas pertenezcan a la misma persona;</w:t>
      </w:r>
    </w:p>
    <w:p w14:paraId="5F2ECF85" w14:textId="77777777" w:rsidR="001262FC" w:rsidRPr="00737712" w:rsidRDefault="001262FC" w:rsidP="00737712">
      <w:pPr>
        <w:pStyle w:val="NormalWeb"/>
        <w:shd w:val="clear" w:color="auto" w:fill="FFFFFF"/>
        <w:spacing w:before="0" w:beforeAutospacing="0" w:after="0" w:afterAutospacing="0"/>
        <w:ind w:left="708"/>
        <w:jc w:val="both"/>
        <w:rPr>
          <w:rFonts w:ascii="Arial" w:hAnsi="Arial" w:cs="Arial"/>
          <w:i/>
        </w:rPr>
      </w:pPr>
    </w:p>
    <w:p w14:paraId="21DC1861" w14:textId="77777777" w:rsidR="001262FC" w:rsidRPr="00737712" w:rsidRDefault="001262FC" w:rsidP="00737712">
      <w:pPr>
        <w:pStyle w:val="NormalWeb"/>
        <w:shd w:val="clear" w:color="auto" w:fill="FFFFFF"/>
        <w:spacing w:before="0" w:beforeAutospacing="0" w:after="0" w:afterAutospacing="0"/>
        <w:ind w:left="708"/>
        <w:jc w:val="both"/>
        <w:rPr>
          <w:rFonts w:ascii="Arial" w:hAnsi="Arial" w:cs="Arial"/>
          <w:i/>
        </w:rPr>
      </w:pPr>
      <w:r w:rsidRPr="00737712">
        <w:rPr>
          <w:rFonts w:ascii="Arial" w:hAnsi="Arial" w:cs="Arial"/>
          <w:i/>
        </w:rPr>
        <w:t>b). Los pagos que realicen los establecimientos de crédito mediante abono en cuenta corriente o de ahorros;</w:t>
      </w:r>
    </w:p>
    <w:p w14:paraId="13A00CC5" w14:textId="77777777" w:rsidR="001262FC" w:rsidRPr="00737712" w:rsidRDefault="001262FC" w:rsidP="00737712">
      <w:pPr>
        <w:pStyle w:val="NormalWeb"/>
        <w:shd w:val="clear" w:color="auto" w:fill="FFFFFF"/>
        <w:spacing w:before="0" w:beforeAutospacing="0" w:after="0" w:afterAutospacing="0"/>
        <w:ind w:left="708"/>
        <w:jc w:val="both"/>
        <w:rPr>
          <w:rFonts w:ascii="Arial" w:hAnsi="Arial" w:cs="Arial"/>
          <w:i/>
        </w:rPr>
      </w:pPr>
    </w:p>
    <w:p w14:paraId="7E1698A3" w14:textId="77777777" w:rsidR="001262FC" w:rsidRPr="00737712" w:rsidRDefault="001262FC" w:rsidP="00737712">
      <w:pPr>
        <w:pStyle w:val="NormalWeb"/>
        <w:shd w:val="clear" w:color="auto" w:fill="FFFFFF"/>
        <w:spacing w:before="0" w:beforeAutospacing="0" w:after="0" w:afterAutospacing="0"/>
        <w:ind w:left="708"/>
        <w:jc w:val="both"/>
        <w:rPr>
          <w:rFonts w:ascii="Arial" w:hAnsi="Arial" w:cs="Arial"/>
          <w:i/>
        </w:rPr>
      </w:pPr>
      <w:r w:rsidRPr="00737712">
        <w:rPr>
          <w:rFonts w:ascii="Arial" w:hAnsi="Arial" w:cs="Arial"/>
          <w:i/>
        </w:rPr>
        <w:t>c). La emisión de cheques de gerencia, salvo cuando se expidan con cargo a recursos de la cuenta corriente o de ahorros del ordenante;</w:t>
      </w:r>
    </w:p>
    <w:p w14:paraId="43EA9276" w14:textId="77777777" w:rsidR="001262FC" w:rsidRPr="00737712" w:rsidRDefault="001262FC" w:rsidP="00737712">
      <w:pPr>
        <w:pStyle w:val="NormalWeb"/>
        <w:shd w:val="clear" w:color="auto" w:fill="FFFFFF"/>
        <w:spacing w:before="0" w:beforeAutospacing="0" w:after="0" w:afterAutospacing="0"/>
        <w:ind w:left="708"/>
        <w:jc w:val="both"/>
        <w:rPr>
          <w:rFonts w:ascii="Arial" w:hAnsi="Arial" w:cs="Arial"/>
          <w:i/>
        </w:rPr>
      </w:pPr>
    </w:p>
    <w:p w14:paraId="19018C6A" w14:textId="77777777" w:rsidR="001262FC" w:rsidRPr="00737712" w:rsidRDefault="001262FC" w:rsidP="00737712">
      <w:pPr>
        <w:pStyle w:val="NormalWeb"/>
        <w:shd w:val="clear" w:color="auto" w:fill="FFFFFF"/>
        <w:spacing w:before="0" w:beforeAutospacing="0" w:after="0" w:afterAutospacing="0"/>
        <w:ind w:left="708"/>
        <w:jc w:val="both"/>
        <w:rPr>
          <w:rFonts w:ascii="Arial" w:hAnsi="Arial" w:cs="Arial"/>
          <w:i/>
        </w:rPr>
      </w:pPr>
      <w:r w:rsidRPr="00737712">
        <w:rPr>
          <w:rFonts w:ascii="Arial" w:hAnsi="Arial" w:cs="Arial"/>
          <w:i/>
        </w:rPr>
        <w:t>d). La readquisición de cartera o de títulos que hayan sido enajenados con pacto de recompra y el pago de los créditos interbancarios, con independencia del medio utilizado para su celebración o formalización, con excepción de las operaciones de reporto celebradas con el Banco de la República y el Fondo de Garantías de Instituciones Financieras;</w:t>
      </w:r>
    </w:p>
    <w:p w14:paraId="6B748649" w14:textId="77777777" w:rsidR="001262FC" w:rsidRPr="00737712" w:rsidRDefault="001262FC" w:rsidP="00737712">
      <w:pPr>
        <w:pStyle w:val="NormalWeb"/>
        <w:shd w:val="clear" w:color="auto" w:fill="FFFFFF"/>
        <w:spacing w:before="0" w:beforeAutospacing="0" w:after="0" w:afterAutospacing="0"/>
        <w:ind w:left="708"/>
        <w:jc w:val="both"/>
        <w:rPr>
          <w:rFonts w:ascii="Arial" w:hAnsi="Arial" w:cs="Arial"/>
          <w:i/>
        </w:rPr>
      </w:pPr>
    </w:p>
    <w:p w14:paraId="70509F2B" w14:textId="77777777" w:rsidR="001262FC" w:rsidRPr="00737712" w:rsidRDefault="001262FC" w:rsidP="00737712">
      <w:pPr>
        <w:pStyle w:val="NormalWeb"/>
        <w:shd w:val="clear" w:color="auto" w:fill="FFFFFF"/>
        <w:spacing w:before="0" w:beforeAutospacing="0" w:after="0" w:afterAutospacing="0"/>
        <w:ind w:left="708"/>
        <w:jc w:val="both"/>
        <w:rPr>
          <w:rFonts w:ascii="Arial" w:hAnsi="Arial" w:cs="Arial"/>
          <w:i/>
        </w:rPr>
      </w:pPr>
      <w:r w:rsidRPr="00737712">
        <w:rPr>
          <w:rFonts w:ascii="Arial" w:hAnsi="Arial" w:cs="Arial"/>
          <w:i/>
        </w:rPr>
        <w:t>e). Las transacciones que realicen los usuarios de las cuentas de depósitos en moneda nacional o extranjera abiertas en el Banco de la República mediante las cuales se disponga de recursos depositados en dichas cuentas.</w:t>
      </w:r>
    </w:p>
    <w:p w14:paraId="5FF7302D" w14:textId="77777777" w:rsidR="001262FC" w:rsidRPr="00737712" w:rsidRDefault="001262FC" w:rsidP="00737712">
      <w:pPr>
        <w:pStyle w:val="NormalWeb"/>
        <w:shd w:val="clear" w:color="auto" w:fill="FFFFFF"/>
        <w:spacing w:before="0" w:beforeAutospacing="0" w:after="0" w:afterAutospacing="0"/>
        <w:ind w:left="708"/>
        <w:jc w:val="both"/>
        <w:rPr>
          <w:rFonts w:ascii="Arial" w:hAnsi="Arial" w:cs="Arial"/>
          <w:i/>
        </w:rPr>
      </w:pPr>
    </w:p>
    <w:p w14:paraId="29001C6B" w14:textId="77777777" w:rsidR="001262FC" w:rsidRPr="00737712" w:rsidRDefault="001262FC" w:rsidP="00737712">
      <w:pPr>
        <w:pStyle w:val="NormalWeb"/>
        <w:shd w:val="clear" w:color="auto" w:fill="FFFFFF"/>
        <w:spacing w:before="0" w:beforeAutospacing="0" w:after="0" w:afterAutospacing="0"/>
        <w:ind w:left="708"/>
        <w:jc w:val="both"/>
        <w:rPr>
          <w:rFonts w:ascii="Arial" w:hAnsi="Arial" w:cs="Arial"/>
          <w:i/>
        </w:rPr>
      </w:pPr>
      <w:r w:rsidRPr="00737712">
        <w:rPr>
          <w:rFonts w:ascii="Arial" w:hAnsi="Arial" w:cs="Arial"/>
          <w:b/>
          <w:bCs/>
          <w:i/>
        </w:rPr>
        <w:t>PARÁGRAFO 1º. </w:t>
      </w:r>
      <w:r w:rsidRPr="00737712">
        <w:rPr>
          <w:rFonts w:ascii="Arial" w:hAnsi="Arial" w:cs="Arial"/>
          <w:i/>
        </w:rPr>
        <w:t xml:space="preserve">Para los efectos del literal a) del presente artículo se entiende por transacción toda operación de retiro en efectivo, en cheque, con talonario, con tarjetas débito, por cajero electrónico, mediante puntos de </w:t>
      </w:r>
      <w:r w:rsidRPr="00737712">
        <w:rPr>
          <w:rFonts w:ascii="Arial" w:hAnsi="Arial" w:cs="Arial"/>
          <w:i/>
        </w:rPr>
        <w:lastRenderedPageBreak/>
        <w:t>pago, notas débito o mediante cualquiera otra modalidad que implique la disposición de los recursos depositados en las cuentas corrientes o de ahorro, denominadas en moneda legal o extranjera, o en UPAC-, sea que haya o no suficiente provisión de fondos, excluyendo los cargos en cuenta correspondientes a la prestación de servicios bancarios, tales como comisiones, tarifas, tasas y precios, incluyendo el valor de las chequeras.</w:t>
      </w:r>
    </w:p>
    <w:p w14:paraId="044F0832" w14:textId="77777777" w:rsidR="001262FC" w:rsidRPr="00737712" w:rsidRDefault="001262FC" w:rsidP="00737712">
      <w:pPr>
        <w:pStyle w:val="NormalWeb"/>
        <w:shd w:val="clear" w:color="auto" w:fill="FFFFFF"/>
        <w:spacing w:before="0" w:beforeAutospacing="0" w:after="0" w:afterAutospacing="0"/>
        <w:ind w:left="708"/>
        <w:jc w:val="both"/>
        <w:rPr>
          <w:rFonts w:ascii="Arial" w:hAnsi="Arial" w:cs="Arial"/>
          <w:i/>
        </w:rPr>
      </w:pPr>
    </w:p>
    <w:p w14:paraId="66FA190A" w14:textId="77777777" w:rsidR="001262FC" w:rsidRPr="00737712" w:rsidRDefault="001262FC" w:rsidP="00737712">
      <w:pPr>
        <w:pStyle w:val="NormalWeb"/>
        <w:shd w:val="clear" w:color="auto" w:fill="FFFFFF"/>
        <w:spacing w:before="0" w:beforeAutospacing="0" w:after="0" w:afterAutospacing="0"/>
        <w:ind w:left="708"/>
        <w:jc w:val="both"/>
        <w:rPr>
          <w:rFonts w:ascii="Arial" w:hAnsi="Arial" w:cs="Arial"/>
        </w:rPr>
      </w:pPr>
      <w:r w:rsidRPr="00737712">
        <w:rPr>
          <w:rFonts w:ascii="Arial" w:hAnsi="Arial" w:cs="Arial"/>
          <w:b/>
          <w:bCs/>
          <w:i/>
        </w:rPr>
        <w:t>PARÁGRAFO 2º. </w:t>
      </w:r>
      <w:r w:rsidRPr="00737712">
        <w:rPr>
          <w:rFonts w:ascii="Arial" w:hAnsi="Arial" w:cs="Arial"/>
          <w:i/>
        </w:rPr>
        <w:t>No estarán sujetos a esta contribución los débitos que se efectúen en las cuentas de depósito que mantienen los establecimientos de crédito en el Banco de la República para cubrir sus operaciones de canje en la Cámara de Compensación</w:t>
      </w:r>
      <w:r w:rsidRPr="00737712">
        <w:rPr>
          <w:rFonts w:ascii="Arial" w:hAnsi="Arial" w:cs="Arial"/>
        </w:rPr>
        <w:t>”.</w:t>
      </w:r>
    </w:p>
    <w:p w14:paraId="239F7B49" w14:textId="77777777" w:rsidR="001262FC" w:rsidRPr="00737712" w:rsidRDefault="001262FC" w:rsidP="00737712">
      <w:pPr>
        <w:jc w:val="both"/>
        <w:rPr>
          <w:rFonts w:ascii="Arial" w:hAnsi="Arial" w:cs="Arial"/>
        </w:rPr>
      </w:pPr>
      <w:r w:rsidRPr="00737712">
        <w:rPr>
          <w:rFonts w:ascii="Arial" w:hAnsi="Arial" w:cs="Arial"/>
        </w:rPr>
        <w:t xml:space="preserve"> </w:t>
      </w:r>
    </w:p>
    <w:p w14:paraId="38497384" w14:textId="77777777" w:rsidR="001262FC" w:rsidRPr="00737712" w:rsidRDefault="001262FC" w:rsidP="00737712">
      <w:pPr>
        <w:jc w:val="both"/>
        <w:rPr>
          <w:rFonts w:ascii="Arial" w:hAnsi="Arial" w:cs="Arial"/>
        </w:rPr>
      </w:pPr>
      <w:r w:rsidRPr="00737712">
        <w:rPr>
          <w:rFonts w:ascii="Arial" w:hAnsi="Arial" w:cs="Arial"/>
        </w:rPr>
        <w:t xml:space="preserve">El artículo 30 del mismo decreto, señaló que la tarifa de dicha contribución para lo consignado en los numerales a, b y c, sería del dos por mil y causada sobre el valor total de la operación. Para lo consignado en los numerales d y e, la tarifa sería del uno punto dos por diez mil y causada también sobre el total de la operación. El artículo 31 señalaba quiénes serían los sujetos pasivos de las contribuciones y el artículo 32 señala a los establecimientos de crédito como responsables tanto del recaudo de las contribuciones, como del pago de las mismas al Fondo de Garantías de Instituciones Financieras – FOGAFIN (entidad encargada de administrar y controlar la contribución junto con la Superintendencia Bancaria – art. 35). </w:t>
      </w:r>
    </w:p>
    <w:p w14:paraId="74E15A2E" w14:textId="77777777" w:rsidR="001262FC" w:rsidRPr="00737712" w:rsidRDefault="001262FC" w:rsidP="00737712">
      <w:pPr>
        <w:jc w:val="both"/>
        <w:rPr>
          <w:rFonts w:ascii="Arial" w:hAnsi="Arial" w:cs="Arial"/>
        </w:rPr>
      </w:pPr>
    </w:p>
    <w:p w14:paraId="044D7EA4" w14:textId="77777777" w:rsidR="004E4DCC" w:rsidRPr="00737712" w:rsidRDefault="004E4DCC" w:rsidP="00737712">
      <w:pPr>
        <w:pStyle w:val="Prrafodelista"/>
        <w:numPr>
          <w:ilvl w:val="0"/>
          <w:numId w:val="14"/>
        </w:numPr>
        <w:jc w:val="both"/>
        <w:rPr>
          <w:rFonts w:ascii="Arial" w:hAnsi="Arial" w:cs="Arial"/>
        </w:rPr>
      </w:pPr>
      <w:r w:rsidRPr="00737712">
        <w:rPr>
          <w:rFonts w:ascii="Arial" w:hAnsi="Arial" w:cs="Arial"/>
          <w:b/>
        </w:rPr>
        <w:t>Sentencia C–122199</w:t>
      </w:r>
    </w:p>
    <w:p w14:paraId="2C000AA8" w14:textId="77777777" w:rsidR="004E4DCC" w:rsidRPr="00737712" w:rsidRDefault="004E4DCC" w:rsidP="00737712">
      <w:pPr>
        <w:jc w:val="both"/>
        <w:rPr>
          <w:rFonts w:ascii="Arial" w:hAnsi="Arial" w:cs="Arial"/>
        </w:rPr>
      </w:pPr>
    </w:p>
    <w:p w14:paraId="18A5A7E6" w14:textId="4A5AB2FD" w:rsidR="004E4DCC" w:rsidRPr="00737712" w:rsidRDefault="000005DD" w:rsidP="00737712">
      <w:pPr>
        <w:jc w:val="both"/>
        <w:rPr>
          <w:rFonts w:ascii="Arial" w:hAnsi="Arial" w:cs="Arial"/>
        </w:rPr>
      </w:pPr>
      <w:r w:rsidRPr="00737712">
        <w:rPr>
          <w:rFonts w:ascii="Arial" w:hAnsi="Arial" w:cs="Arial"/>
        </w:rPr>
        <w:t>Mediante este fallo, la Corte Constitucional definió la naturaleza de este gravamen en la de un impuesto por lo que el recaudo entraría a hacer parte de las cuentas de la Tesorería General de la República. Adicionalmente, la Corte extendió el tributo a todas las operaciones interbancarias, eliminó la tarifa preferencial y ordenó que los recursos recaudados solo podrían ser destinados al apoyo de la banca pública, los usuarios de créditos hipotecarios y los ahorradores del sistema operativo, excluyendo así del beneficio a la banca privada.</w:t>
      </w:r>
      <w:r w:rsidR="00CC245A" w:rsidRPr="00737712">
        <w:rPr>
          <w:rStyle w:val="Refdenotaalpie"/>
          <w:rFonts w:ascii="Arial" w:hAnsi="Arial" w:cs="Arial"/>
          <w:bCs/>
        </w:rPr>
        <w:footnoteReference w:id="5"/>
      </w:r>
    </w:p>
    <w:p w14:paraId="149167C2" w14:textId="77777777" w:rsidR="00F55FC4" w:rsidRPr="00737712" w:rsidRDefault="00F55FC4" w:rsidP="00737712">
      <w:pPr>
        <w:jc w:val="both"/>
        <w:rPr>
          <w:rFonts w:ascii="Arial" w:hAnsi="Arial" w:cs="Arial"/>
        </w:rPr>
      </w:pPr>
    </w:p>
    <w:p w14:paraId="2626E65E" w14:textId="77777777" w:rsidR="001262FC" w:rsidRPr="00737712" w:rsidRDefault="001262FC" w:rsidP="00737712">
      <w:pPr>
        <w:pStyle w:val="Prrafodelista"/>
        <w:numPr>
          <w:ilvl w:val="0"/>
          <w:numId w:val="14"/>
        </w:numPr>
        <w:jc w:val="both"/>
        <w:rPr>
          <w:rFonts w:ascii="Arial" w:hAnsi="Arial" w:cs="Arial"/>
          <w:b/>
        </w:rPr>
      </w:pPr>
      <w:r w:rsidRPr="00737712">
        <w:rPr>
          <w:rFonts w:ascii="Arial" w:hAnsi="Arial" w:cs="Arial"/>
          <w:b/>
        </w:rPr>
        <w:t>Estado de Emergencia Económica, Social y Ecológica de 1999</w:t>
      </w:r>
    </w:p>
    <w:p w14:paraId="3D606663" w14:textId="77777777" w:rsidR="001262FC" w:rsidRPr="00737712" w:rsidRDefault="001262FC" w:rsidP="00737712">
      <w:pPr>
        <w:jc w:val="both"/>
        <w:rPr>
          <w:rFonts w:ascii="Arial" w:hAnsi="Arial" w:cs="Arial"/>
        </w:rPr>
      </w:pPr>
    </w:p>
    <w:p w14:paraId="3644AD52" w14:textId="77E2711A" w:rsidR="001262FC" w:rsidRPr="00737712" w:rsidRDefault="001262FC" w:rsidP="00737712">
      <w:pPr>
        <w:jc w:val="both"/>
        <w:rPr>
          <w:rFonts w:ascii="Arial" w:hAnsi="Arial" w:cs="Arial"/>
        </w:rPr>
      </w:pPr>
      <w:r w:rsidRPr="00737712">
        <w:rPr>
          <w:rFonts w:ascii="Arial" w:hAnsi="Arial" w:cs="Arial"/>
        </w:rPr>
        <w:t xml:space="preserve">Teniendo en cuenta el terremoto que tuvo lugar el 25 de enero de 1999 en el municipio de Córdoba, departamento de Quindío, con repercusiones en poblaciones de los departamentos de Caldas, Risaralda, Tolima y Valle del Cauca; el 29 de enero del mismo año mediante Decreto No. 195 del mismo año se declaró el Estado de Emergencia Económica, Social y Ecológica </w:t>
      </w:r>
      <w:r w:rsidRPr="00737712">
        <w:rPr>
          <w:rFonts w:ascii="Arial" w:hAnsi="Arial" w:cs="Arial"/>
          <w:i/>
        </w:rPr>
        <w:t xml:space="preserve"> por razón de grave calamidad pública</w:t>
      </w:r>
      <w:r w:rsidRPr="00737712">
        <w:rPr>
          <w:rFonts w:ascii="Arial" w:hAnsi="Arial" w:cs="Arial"/>
        </w:rPr>
        <w:t xml:space="preserve">. De acuerdo </w:t>
      </w:r>
      <w:r w:rsidR="008A33CA">
        <w:rPr>
          <w:rFonts w:ascii="Arial" w:hAnsi="Arial" w:cs="Arial"/>
        </w:rPr>
        <w:t>con el</w:t>
      </w:r>
      <w:r w:rsidRPr="00737712">
        <w:rPr>
          <w:rFonts w:ascii="Arial" w:hAnsi="Arial" w:cs="Arial"/>
        </w:rPr>
        <w:t xml:space="preserve"> artículo primero de la citada norma, el Estado de Emergencia iría hasta las veinticuatro horas del día 27 de febrero </w:t>
      </w:r>
      <w:r w:rsidRPr="00737712">
        <w:rPr>
          <w:rFonts w:ascii="Arial" w:hAnsi="Arial" w:cs="Arial"/>
          <w:i/>
        </w:rPr>
        <w:t xml:space="preserve">con el fin de conjurar y evitar la </w:t>
      </w:r>
      <w:r w:rsidRPr="00737712">
        <w:rPr>
          <w:rFonts w:ascii="Arial" w:hAnsi="Arial" w:cs="Arial"/>
          <w:i/>
        </w:rPr>
        <w:lastRenderedPageBreak/>
        <w:t>extensión de los efectos de la crisis producida como consecuencia de la calamidad pública a que se refieren los considerandos enunciados</w:t>
      </w:r>
      <w:r w:rsidRPr="00737712">
        <w:rPr>
          <w:rFonts w:ascii="Arial" w:hAnsi="Arial" w:cs="Arial"/>
        </w:rPr>
        <w:t>. En este contexto, el impuesto o contribución sobre las transacciones financieras se extiende hasta finales del año 2000 con ocasión del terremoto que dio lugar a la declaratoria de emergencia.</w:t>
      </w:r>
      <w:r w:rsidRPr="00737712">
        <w:rPr>
          <w:rStyle w:val="Refdenotaalpie"/>
          <w:rFonts w:ascii="Arial" w:hAnsi="Arial" w:cs="Arial"/>
          <w:bCs/>
        </w:rPr>
        <w:footnoteReference w:id="6"/>
      </w:r>
      <w:r w:rsidRPr="00737712">
        <w:rPr>
          <w:rFonts w:ascii="Arial" w:hAnsi="Arial" w:cs="Arial"/>
        </w:rPr>
        <w:t xml:space="preserve"> </w:t>
      </w:r>
    </w:p>
    <w:p w14:paraId="03B9F5F7" w14:textId="77777777" w:rsidR="001262FC" w:rsidRPr="00737712" w:rsidRDefault="001262FC" w:rsidP="00737712">
      <w:pPr>
        <w:jc w:val="both"/>
        <w:rPr>
          <w:rFonts w:ascii="Arial" w:hAnsi="Arial" w:cs="Arial"/>
        </w:rPr>
      </w:pPr>
    </w:p>
    <w:p w14:paraId="101DA9AC" w14:textId="77777777" w:rsidR="001262FC" w:rsidRPr="00737712" w:rsidRDefault="001262FC" w:rsidP="00737712">
      <w:pPr>
        <w:pStyle w:val="Prrafodelista"/>
        <w:numPr>
          <w:ilvl w:val="0"/>
          <w:numId w:val="14"/>
        </w:numPr>
        <w:jc w:val="both"/>
        <w:rPr>
          <w:rFonts w:ascii="Arial" w:hAnsi="Arial" w:cs="Arial"/>
          <w:b/>
        </w:rPr>
      </w:pPr>
      <w:r w:rsidRPr="00737712">
        <w:rPr>
          <w:rFonts w:ascii="Arial" w:hAnsi="Arial" w:cs="Arial"/>
          <w:b/>
        </w:rPr>
        <w:t>Ley 633 de 2000</w:t>
      </w:r>
    </w:p>
    <w:p w14:paraId="5D02F403" w14:textId="77777777" w:rsidR="001262FC" w:rsidRPr="00737712" w:rsidRDefault="001262FC" w:rsidP="00737712">
      <w:pPr>
        <w:jc w:val="both"/>
        <w:rPr>
          <w:rFonts w:ascii="Arial" w:hAnsi="Arial" w:cs="Arial"/>
        </w:rPr>
      </w:pPr>
    </w:p>
    <w:p w14:paraId="555810B3" w14:textId="77777777" w:rsidR="001262FC" w:rsidRPr="00737712" w:rsidRDefault="001262FC" w:rsidP="00737712">
      <w:pPr>
        <w:jc w:val="both"/>
        <w:rPr>
          <w:rFonts w:ascii="Arial" w:hAnsi="Arial" w:cs="Arial"/>
        </w:rPr>
      </w:pPr>
      <w:r w:rsidRPr="00737712">
        <w:rPr>
          <w:rFonts w:ascii="Arial" w:hAnsi="Arial" w:cs="Arial"/>
        </w:rPr>
        <w:t>El 29 de diciembre del 2000 mediante la Ley No. 633 “</w:t>
      </w:r>
      <w:r w:rsidRPr="00737712">
        <w:rPr>
          <w:rFonts w:ascii="Arial" w:hAnsi="Arial" w:cs="Arial"/>
          <w:i/>
        </w:rPr>
        <w:t>Por la cual se expiden normas en materia tributaria, se dictan disposiciones sobre el tratamiento a los fondos obligatorios para la vivienda de interés social y se introducen normas para fortalecer las finanzas de la rama judicial</w:t>
      </w:r>
      <w:r w:rsidRPr="00737712">
        <w:rPr>
          <w:rFonts w:ascii="Arial" w:hAnsi="Arial" w:cs="Arial"/>
        </w:rPr>
        <w:t>”; el Gravamen a los Movimientos Financieros – GMF se adiciona al Estatuto Tributario a través del Libro Sexto – GRAVAMEN A LOS MOVIMIENTOS FINANCIEROS (art. 1), que señala lo siguiente:</w:t>
      </w:r>
    </w:p>
    <w:p w14:paraId="2E85754D" w14:textId="77777777" w:rsidR="001262FC" w:rsidRPr="00737712" w:rsidRDefault="001262FC" w:rsidP="00737712">
      <w:pPr>
        <w:jc w:val="both"/>
        <w:rPr>
          <w:rFonts w:ascii="Arial" w:hAnsi="Arial" w:cs="Arial"/>
        </w:rPr>
      </w:pPr>
    </w:p>
    <w:p w14:paraId="50F1CF62" w14:textId="77777777" w:rsidR="001262FC" w:rsidRPr="00737712" w:rsidRDefault="001262FC" w:rsidP="00737712">
      <w:pPr>
        <w:shd w:val="clear" w:color="auto" w:fill="FFFFFF"/>
        <w:ind w:left="708"/>
        <w:jc w:val="both"/>
        <w:rPr>
          <w:rFonts w:ascii="Arial" w:hAnsi="Arial" w:cs="Arial"/>
          <w:i/>
          <w:lang w:eastAsia="es-CO"/>
        </w:rPr>
      </w:pPr>
      <w:r w:rsidRPr="00737712">
        <w:rPr>
          <w:rFonts w:ascii="Arial" w:hAnsi="Arial" w:cs="Arial"/>
          <w:bCs/>
          <w:lang w:eastAsia="es-CO"/>
        </w:rPr>
        <w:t>“</w:t>
      </w:r>
      <w:r w:rsidRPr="00737712">
        <w:rPr>
          <w:rFonts w:ascii="Arial" w:hAnsi="Arial" w:cs="Arial"/>
          <w:b/>
          <w:bCs/>
          <w:i/>
          <w:lang w:eastAsia="es-CO"/>
        </w:rPr>
        <w:t>ARTÍCULO 870. Gravamen a los Movimientos Financieros, GMF</w:t>
      </w:r>
      <w:r w:rsidRPr="00737712">
        <w:rPr>
          <w:rFonts w:ascii="Arial" w:hAnsi="Arial" w:cs="Arial"/>
          <w:i/>
          <w:lang w:eastAsia="es-CO"/>
        </w:rPr>
        <w:t>. Créase como un nuevo impuesto, a partir del primero (1º) de enero del año 2001, el Gravamen a los Movimientos Financieros, a cargo de los usuarios del sistema financiero y de las entidades que lo conforman.</w:t>
      </w:r>
    </w:p>
    <w:p w14:paraId="67ADB638" w14:textId="77777777" w:rsidR="001262FC" w:rsidRPr="00737712" w:rsidRDefault="001262FC" w:rsidP="00737712">
      <w:pPr>
        <w:shd w:val="clear" w:color="auto" w:fill="FFFFFF"/>
        <w:ind w:left="708"/>
        <w:jc w:val="both"/>
        <w:rPr>
          <w:rFonts w:ascii="Arial" w:hAnsi="Arial" w:cs="Arial"/>
          <w:i/>
          <w:lang w:eastAsia="es-CO"/>
        </w:rPr>
      </w:pPr>
    </w:p>
    <w:p w14:paraId="0E347776" w14:textId="77777777" w:rsidR="001262FC" w:rsidRPr="00737712" w:rsidRDefault="001262FC" w:rsidP="00737712">
      <w:pPr>
        <w:shd w:val="clear" w:color="auto" w:fill="FFFFFF"/>
        <w:ind w:left="708"/>
        <w:jc w:val="both"/>
        <w:rPr>
          <w:rFonts w:ascii="Arial" w:hAnsi="Arial" w:cs="Arial"/>
          <w:i/>
          <w:lang w:eastAsia="es-CO"/>
        </w:rPr>
      </w:pPr>
      <w:r w:rsidRPr="00737712">
        <w:rPr>
          <w:rFonts w:ascii="Arial" w:hAnsi="Arial" w:cs="Arial"/>
          <w:b/>
          <w:bCs/>
          <w:i/>
          <w:lang w:eastAsia="es-CO"/>
        </w:rPr>
        <w:t>ARTÍCULO 871. Hecho Generador del GMF</w:t>
      </w:r>
      <w:r w:rsidRPr="00737712">
        <w:rPr>
          <w:rFonts w:ascii="Arial" w:hAnsi="Arial" w:cs="Arial"/>
          <w:i/>
          <w:lang w:eastAsia="es-CO"/>
        </w:rPr>
        <w:t>. El hecho generador del Gravamen a los Movimientos Financieros lo constituye la realización de las transacciones financieras, mediante las cuales se disponga de recursos depositados en cuentas corrientes o de ahorros, así como en cuentas de depósito en el Banco de la República, y los giros de cheques de gerencia.</w:t>
      </w:r>
    </w:p>
    <w:p w14:paraId="0DD799AD" w14:textId="77777777" w:rsidR="001262FC" w:rsidRPr="00737712" w:rsidRDefault="001262FC" w:rsidP="00737712">
      <w:pPr>
        <w:shd w:val="clear" w:color="auto" w:fill="FFFFFF"/>
        <w:ind w:left="708"/>
        <w:jc w:val="both"/>
        <w:rPr>
          <w:rFonts w:ascii="Arial" w:hAnsi="Arial" w:cs="Arial"/>
          <w:i/>
          <w:lang w:eastAsia="es-CO"/>
        </w:rPr>
      </w:pPr>
    </w:p>
    <w:p w14:paraId="232F30FB" w14:textId="77777777" w:rsidR="001262FC" w:rsidRPr="00737712" w:rsidRDefault="001262FC" w:rsidP="00737712">
      <w:pPr>
        <w:shd w:val="clear" w:color="auto" w:fill="FFFFFF"/>
        <w:ind w:left="708"/>
        <w:jc w:val="both"/>
        <w:rPr>
          <w:rFonts w:ascii="Arial" w:hAnsi="Arial" w:cs="Arial"/>
          <w:i/>
          <w:lang w:eastAsia="es-CO"/>
        </w:rPr>
      </w:pPr>
      <w:r w:rsidRPr="00737712">
        <w:rPr>
          <w:rFonts w:ascii="Arial" w:hAnsi="Arial" w:cs="Arial"/>
          <w:i/>
          <w:lang w:eastAsia="es-CO"/>
        </w:rPr>
        <w:t>En el caso de cheques girados con cargo a los recursos de una cuenta de ahorro perteneciente a un cliente, por un establecimiento de crédito no bancario o por un establecimiento bancario especializado en cartera hipotecaria que no utilice el mecanismo de captación de recursos mediante la cuenta corriente, se considerará que constituyen una sola operación el retiro en virtud del cual se expide el cheque y el pago del mismo.</w:t>
      </w:r>
    </w:p>
    <w:p w14:paraId="6476CA53" w14:textId="77777777" w:rsidR="001262FC" w:rsidRPr="00737712" w:rsidRDefault="001262FC" w:rsidP="00737712">
      <w:pPr>
        <w:shd w:val="clear" w:color="auto" w:fill="FFFFFF"/>
        <w:ind w:left="708"/>
        <w:jc w:val="both"/>
        <w:rPr>
          <w:rFonts w:ascii="Arial" w:hAnsi="Arial" w:cs="Arial"/>
          <w:i/>
          <w:lang w:eastAsia="es-CO"/>
        </w:rPr>
      </w:pPr>
    </w:p>
    <w:p w14:paraId="3C3CB462" w14:textId="77777777" w:rsidR="001262FC" w:rsidRPr="00737712" w:rsidRDefault="001262FC" w:rsidP="00737712">
      <w:pPr>
        <w:shd w:val="clear" w:color="auto" w:fill="FFFFFF"/>
        <w:ind w:left="708"/>
        <w:jc w:val="both"/>
        <w:rPr>
          <w:rFonts w:ascii="Arial" w:hAnsi="Arial" w:cs="Arial"/>
          <w:lang w:eastAsia="es-CO"/>
        </w:rPr>
      </w:pPr>
      <w:r w:rsidRPr="00737712">
        <w:rPr>
          <w:rFonts w:ascii="Arial" w:hAnsi="Arial" w:cs="Arial"/>
          <w:b/>
          <w:bCs/>
          <w:i/>
          <w:lang w:eastAsia="es-CO"/>
        </w:rPr>
        <w:t>PARÁGRAFO</w:t>
      </w:r>
      <w:r w:rsidRPr="00737712">
        <w:rPr>
          <w:rFonts w:ascii="Arial" w:hAnsi="Arial" w:cs="Arial"/>
          <w:i/>
          <w:lang w:eastAsia="es-CO"/>
        </w:rPr>
        <w:t>. Para los efectos del presente artículo, se entiende por transacción financiera toda operación de retiro en efectivo, mediante cheque, con talonario, con tarjeta débito, a través de cajero electrónico, mediante puntos de pago, notas débito o mediante cualquier otra modalidad que implique la disposición de recursos de cuentas de depósito, corrientes o de ahorros, en cualquier tipo de denominación, incluidos los débitos efectuados sobre los depósitos acreditados como "saldos positivos de tarjetas de crédito" y las operaciones mediante las cuales los establecimientos de crédito cancelan el importe de los depósitos a término mediante abono en cuenta</w:t>
      </w:r>
      <w:r w:rsidRPr="00737712">
        <w:rPr>
          <w:rFonts w:ascii="Arial" w:hAnsi="Arial" w:cs="Arial"/>
          <w:lang w:eastAsia="es-CO"/>
        </w:rPr>
        <w:t>”.</w:t>
      </w:r>
    </w:p>
    <w:p w14:paraId="7FE0F275" w14:textId="77777777" w:rsidR="001262FC" w:rsidRPr="00737712" w:rsidRDefault="001262FC" w:rsidP="00737712">
      <w:pPr>
        <w:shd w:val="clear" w:color="auto" w:fill="FFFFFF"/>
        <w:jc w:val="both"/>
        <w:rPr>
          <w:rFonts w:ascii="Arial" w:hAnsi="Arial" w:cs="Arial"/>
          <w:lang w:eastAsia="es-CO"/>
        </w:rPr>
      </w:pPr>
    </w:p>
    <w:p w14:paraId="73C2710E" w14:textId="349A8E94" w:rsidR="001262FC" w:rsidRPr="00737712" w:rsidRDefault="001262FC" w:rsidP="00737712">
      <w:pPr>
        <w:shd w:val="clear" w:color="auto" w:fill="FFFFFF"/>
        <w:jc w:val="both"/>
        <w:rPr>
          <w:rFonts w:ascii="Arial" w:hAnsi="Arial" w:cs="Arial"/>
          <w:lang w:eastAsia="es-CO"/>
        </w:rPr>
      </w:pPr>
      <w:r w:rsidRPr="00737712">
        <w:rPr>
          <w:rFonts w:ascii="Arial" w:hAnsi="Arial" w:cs="Arial"/>
          <w:lang w:eastAsia="es-CO"/>
        </w:rPr>
        <w:t xml:space="preserve">En el artículo 872 del </w:t>
      </w:r>
      <w:r w:rsidR="00D65327">
        <w:rPr>
          <w:rFonts w:ascii="Arial" w:hAnsi="Arial" w:cs="Arial"/>
          <w:lang w:eastAsia="es-CO"/>
        </w:rPr>
        <w:t>l</w:t>
      </w:r>
      <w:r w:rsidRPr="00737712">
        <w:rPr>
          <w:rFonts w:ascii="Arial" w:hAnsi="Arial" w:cs="Arial"/>
          <w:lang w:eastAsia="es-CO"/>
        </w:rPr>
        <w:t xml:space="preserve">ibro </w:t>
      </w:r>
      <w:r w:rsidR="00D65327">
        <w:rPr>
          <w:rFonts w:ascii="Arial" w:hAnsi="Arial" w:cs="Arial"/>
          <w:lang w:eastAsia="es-CO"/>
        </w:rPr>
        <w:t>s</w:t>
      </w:r>
      <w:r w:rsidRPr="00737712">
        <w:rPr>
          <w:rFonts w:ascii="Arial" w:hAnsi="Arial" w:cs="Arial"/>
          <w:lang w:eastAsia="es-CO"/>
        </w:rPr>
        <w:t xml:space="preserve">exto, la </w:t>
      </w:r>
      <w:r w:rsidR="00D65327">
        <w:rPr>
          <w:rFonts w:ascii="Arial" w:hAnsi="Arial" w:cs="Arial"/>
          <w:lang w:eastAsia="es-CO"/>
        </w:rPr>
        <w:t>l</w:t>
      </w:r>
      <w:r w:rsidRPr="00737712">
        <w:rPr>
          <w:rFonts w:ascii="Arial" w:hAnsi="Arial" w:cs="Arial"/>
          <w:lang w:eastAsia="es-CO"/>
        </w:rPr>
        <w:t>ey fija la tarifa de este impuesto en el tres por mil (3x1000) especificando que</w:t>
      </w:r>
      <w:r w:rsidR="00D65327">
        <w:rPr>
          <w:rFonts w:ascii="Arial" w:hAnsi="Arial" w:cs="Arial"/>
          <w:lang w:eastAsia="es-CO"/>
        </w:rPr>
        <w:t>,</w:t>
      </w:r>
      <w:r w:rsidRPr="00737712">
        <w:rPr>
          <w:rFonts w:ascii="Arial" w:hAnsi="Arial" w:cs="Arial"/>
          <w:lang w:eastAsia="es-CO"/>
        </w:rPr>
        <w:t xml:space="preserve"> en ningún caso, este valor será deducible de la renta bruta de los contribuyentes</w:t>
      </w:r>
      <w:r w:rsidR="00D65327">
        <w:rPr>
          <w:rFonts w:ascii="Arial" w:hAnsi="Arial" w:cs="Arial"/>
          <w:lang w:eastAsia="es-CO"/>
        </w:rPr>
        <w:t>,</w:t>
      </w:r>
      <w:r w:rsidRPr="00737712">
        <w:rPr>
          <w:rFonts w:ascii="Arial" w:hAnsi="Arial" w:cs="Arial"/>
          <w:lang w:eastAsia="es-CO"/>
        </w:rPr>
        <w:t xml:space="preserve"> que su causación se hace en el momento en que se produce la disposición de los recursos objeto de la transacción financiera (art. 873) y que la base gravable corresponde al valor total de la transacción mediante la cual se dispone de los recursos (art. 874). La ley señala también los agentes de retención, la administración y las exenciones del GM</w:t>
      </w:r>
      <w:r w:rsidR="005D54E4">
        <w:rPr>
          <w:rFonts w:ascii="Arial" w:hAnsi="Arial" w:cs="Arial"/>
          <w:lang w:eastAsia="es-CO"/>
        </w:rPr>
        <w:t>F</w:t>
      </w:r>
      <w:r w:rsidRPr="00737712">
        <w:rPr>
          <w:rFonts w:ascii="Arial" w:hAnsi="Arial" w:cs="Arial"/>
          <w:lang w:eastAsia="es-CO"/>
        </w:rPr>
        <w:t xml:space="preserve">. </w:t>
      </w:r>
    </w:p>
    <w:p w14:paraId="05781E5A" w14:textId="77777777" w:rsidR="001262FC" w:rsidRPr="00737712" w:rsidRDefault="001262FC" w:rsidP="00737712">
      <w:pPr>
        <w:shd w:val="clear" w:color="auto" w:fill="FFFFFF"/>
        <w:jc w:val="both"/>
        <w:rPr>
          <w:rFonts w:ascii="Arial" w:hAnsi="Arial" w:cs="Arial"/>
          <w:lang w:eastAsia="es-CO"/>
        </w:rPr>
      </w:pPr>
    </w:p>
    <w:p w14:paraId="6C310456" w14:textId="6386FE3C" w:rsidR="001262FC" w:rsidRPr="00737712" w:rsidRDefault="001262FC" w:rsidP="00737712">
      <w:pPr>
        <w:shd w:val="clear" w:color="auto" w:fill="FFFFFF"/>
        <w:jc w:val="both"/>
        <w:rPr>
          <w:rFonts w:ascii="Arial" w:hAnsi="Arial" w:cs="Arial"/>
          <w:lang w:eastAsia="es-CO"/>
        </w:rPr>
      </w:pPr>
      <w:r w:rsidRPr="00737712">
        <w:rPr>
          <w:rFonts w:ascii="Arial" w:hAnsi="Arial" w:cs="Arial"/>
          <w:lang w:eastAsia="es-CO"/>
        </w:rPr>
        <w:t>En lo que respecta a la disposición de los recursos generados del nuevo impuesto, el art. 2 de la Ley 633 de 2000 indica que</w:t>
      </w:r>
      <w:r w:rsidR="005D54E4">
        <w:rPr>
          <w:rFonts w:ascii="Arial" w:hAnsi="Arial" w:cs="Arial"/>
          <w:lang w:eastAsia="es-CO"/>
        </w:rPr>
        <w:t>,</w:t>
      </w:r>
      <w:r w:rsidRPr="00737712">
        <w:rPr>
          <w:rFonts w:ascii="Arial" w:hAnsi="Arial" w:cs="Arial"/>
          <w:lang w:eastAsia="es-CO"/>
        </w:rPr>
        <w:t xml:space="preserve"> tanto el recaudo como los rendimientos del GMF</w:t>
      </w:r>
      <w:r w:rsidR="005D54E4">
        <w:rPr>
          <w:rFonts w:ascii="Arial" w:hAnsi="Arial" w:cs="Arial"/>
          <w:lang w:eastAsia="es-CO"/>
        </w:rPr>
        <w:t>,</w:t>
      </w:r>
      <w:r w:rsidRPr="00737712">
        <w:rPr>
          <w:rFonts w:ascii="Arial" w:hAnsi="Arial" w:cs="Arial"/>
          <w:lang w:eastAsia="es-CO"/>
        </w:rPr>
        <w:t xml:space="preserve"> serán depositados en una cuenta especial de la Dirección del Tesoro Nacional hasta ser apropiados en el Presupuesto General de la Nación en las vigencias fiscales correspondientes a su recaudo y en las subsiguientes y que el Gobierno propondrá al Congreso de la República la incorporación de estos ingresos en la medida en que las necesidades locales lo requieran y hasta agotar su producido.</w:t>
      </w:r>
    </w:p>
    <w:p w14:paraId="2F804670" w14:textId="77777777" w:rsidR="001262FC" w:rsidRPr="00737712" w:rsidRDefault="001262FC" w:rsidP="00737712">
      <w:pPr>
        <w:shd w:val="clear" w:color="auto" w:fill="FFFFFF"/>
        <w:jc w:val="both"/>
        <w:rPr>
          <w:rFonts w:ascii="Arial" w:hAnsi="Arial" w:cs="Arial"/>
          <w:lang w:eastAsia="es-CO"/>
        </w:rPr>
      </w:pPr>
    </w:p>
    <w:p w14:paraId="671AFF71" w14:textId="77777777" w:rsidR="001262FC" w:rsidRPr="00737712" w:rsidRDefault="001262FC" w:rsidP="00737712">
      <w:pPr>
        <w:pStyle w:val="Prrafodelista"/>
        <w:numPr>
          <w:ilvl w:val="0"/>
          <w:numId w:val="14"/>
        </w:numPr>
        <w:shd w:val="clear" w:color="auto" w:fill="FFFFFF"/>
        <w:jc w:val="both"/>
        <w:rPr>
          <w:rFonts w:ascii="Arial" w:hAnsi="Arial" w:cs="Arial"/>
          <w:b/>
          <w:lang w:eastAsia="es-CO"/>
        </w:rPr>
      </w:pPr>
      <w:r w:rsidRPr="00737712">
        <w:rPr>
          <w:rFonts w:ascii="Arial" w:hAnsi="Arial" w:cs="Arial"/>
          <w:b/>
          <w:lang w:eastAsia="es-CO"/>
        </w:rPr>
        <w:t>Ley 863 de 2003</w:t>
      </w:r>
    </w:p>
    <w:p w14:paraId="11C67A34" w14:textId="77777777" w:rsidR="001262FC" w:rsidRPr="00737712" w:rsidRDefault="001262FC" w:rsidP="00737712">
      <w:pPr>
        <w:pStyle w:val="Prrafodelista"/>
        <w:shd w:val="clear" w:color="auto" w:fill="FFFFFF"/>
        <w:jc w:val="both"/>
        <w:rPr>
          <w:rFonts w:ascii="Arial" w:hAnsi="Arial" w:cs="Arial"/>
          <w:lang w:eastAsia="es-CO"/>
        </w:rPr>
      </w:pPr>
    </w:p>
    <w:p w14:paraId="064AE2CD" w14:textId="4CD42AAC" w:rsidR="001262FC" w:rsidRPr="00737712" w:rsidRDefault="001262FC" w:rsidP="00737712">
      <w:pPr>
        <w:shd w:val="clear" w:color="auto" w:fill="FFFFFF"/>
        <w:jc w:val="both"/>
        <w:rPr>
          <w:rFonts w:ascii="Arial" w:hAnsi="Arial" w:cs="Arial"/>
          <w:lang w:eastAsia="es-CO"/>
        </w:rPr>
      </w:pPr>
      <w:r w:rsidRPr="00737712">
        <w:rPr>
          <w:rFonts w:ascii="Arial" w:hAnsi="Arial" w:cs="Arial"/>
          <w:lang w:eastAsia="es-CO"/>
        </w:rPr>
        <w:t>El Capítulo V – GRAVAMEN A LOS MOVIMIENTOS FINANCIEROS de la Ley 863 de 2003, “</w:t>
      </w:r>
      <w:r w:rsidRPr="00737712">
        <w:rPr>
          <w:rFonts w:ascii="Arial" w:hAnsi="Arial" w:cs="Arial"/>
          <w:i/>
          <w:lang w:eastAsia="es-CO"/>
        </w:rPr>
        <w:t>Por la cual se establecen normas tributarias, aduaneras, fiscales y de control para estimular el crecimiento económico y el saneamiento de las finanzas públicas</w:t>
      </w:r>
      <w:r w:rsidRPr="00737712">
        <w:rPr>
          <w:rFonts w:ascii="Arial" w:hAnsi="Arial" w:cs="Arial"/>
          <w:lang w:eastAsia="es-CO"/>
        </w:rPr>
        <w:t>” mediante su artículo 18, establece una nueva tarifa para el GMF por medio de la adición de un parágrafo transitorio al artículo 872 del Estatuto Tributario así: “</w:t>
      </w:r>
      <w:r w:rsidRPr="00737712">
        <w:rPr>
          <w:rFonts w:ascii="Arial" w:hAnsi="Arial" w:cs="Arial"/>
          <w:i/>
          <w:lang w:eastAsia="es-CO"/>
        </w:rPr>
        <w:t>Parágrafo transitorio. Por los años 2004 a 2007 inclusive la Tarifa del Gravamen a los Movimientos Financieros será del cuatro por mil (4x1000)</w:t>
      </w:r>
      <w:r w:rsidRPr="00737712">
        <w:rPr>
          <w:rFonts w:ascii="Arial" w:hAnsi="Arial" w:cs="Arial"/>
          <w:lang w:eastAsia="es-CO"/>
        </w:rPr>
        <w:t xml:space="preserve">”. </w:t>
      </w:r>
    </w:p>
    <w:p w14:paraId="01EB9803" w14:textId="77777777" w:rsidR="003A28C9" w:rsidRPr="00737712" w:rsidRDefault="003A28C9" w:rsidP="00737712">
      <w:pPr>
        <w:shd w:val="clear" w:color="auto" w:fill="FFFFFF"/>
        <w:jc w:val="both"/>
        <w:rPr>
          <w:rFonts w:ascii="Arial" w:hAnsi="Arial" w:cs="Arial"/>
          <w:lang w:eastAsia="es-CO"/>
        </w:rPr>
      </w:pPr>
    </w:p>
    <w:p w14:paraId="46334DC8" w14:textId="77777777" w:rsidR="001262FC" w:rsidRPr="00737712" w:rsidRDefault="001262FC" w:rsidP="00737712">
      <w:pPr>
        <w:pStyle w:val="Prrafodelista"/>
        <w:numPr>
          <w:ilvl w:val="0"/>
          <w:numId w:val="14"/>
        </w:numPr>
        <w:shd w:val="clear" w:color="auto" w:fill="FFFFFF"/>
        <w:jc w:val="both"/>
        <w:rPr>
          <w:rFonts w:ascii="Arial" w:hAnsi="Arial" w:cs="Arial"/>
          <w:b/>
          <w:lang w:eastAsia="es-CO"/>
        </w:rPr>
      </w:pPr>
      <w:r w:rsidRPr="00737712">
        <w:rPr>
          <w:rFonts w:ascii="Arial" w:hAnsi="Arial" w:cs="Arial"/>
          <w:b/>
          <w:lang w:eastAsia="es-CO"/>
        </w:rPr>
        <w:t>Ley 1111 de 2006</w:t>
      </w:r>
    </w:p>
    <w:p w14:paraId="7F94E9A4" w14:textId="77777777" w:rsidR="006E1A4D" w:rsidRPr="00737712" w:rsidRDefault="006E1A4D" w:rsidP="00737712">
      <w:pPr>
        <w:pStyle w:val="Prrafodelista"/>
        <w:shd w:val="clear" w:color="auto" w:fill="FFFFFF"/>
        <w:jc w:val="both"/>
        <w:rPr>
          <w:rFonts w:ascii="Arial" w:hAnsi="Arial" w:cs="Arial"/>
          <w:b/>
          <w:lang w:eastAsia="es-CO"/>
        </w:rPr>
      </w:pPr>
    </w:p>
    <w:p w14:paraId="393BCF52" w14:textId="77777777" w:rsidR="001262FC" w:rsidRPr="00737712" w:rsidRDefault="001262FC" w:rsidP="00737712">
      <w:pPr>
        <w:shd w:val="clear" w:color="auto" w:fill="FFFFFF"/>
        <w:jc w:val="both"/>
        <w:rPr>
          <w:rFonts w:ascii="Arial" w:hAnsi="Arial" w:cs="Arial"/>
          <w:lang w:eastAsia="es-CO"/>
        </w:rPr>
      </w:pPr>
      <w:r w:rsidRPr="00737712">
        <w:rPr>
          <w:rFonts w:ascii="Arial" w:hAnsi="Arial" w:cs="Arial"/>
          <w:lang w:eastAsia="es-CO"/>
        </w:rPr>
        <w:t>Mediante el artículo 41 (Capítulo IV – GRAVAMEN A LOS MOVIMIENTOS FINANCIEROS) de esta Ley “</w:t>
      </w:r>
      <w:r w:rsidRPr="00737712">
        <w:rPr>
          <w:rFonts w:ascii="Arial" w:hAnsi="Arial" w:cs="Arial"/>
          <w:i/>
          <w:lang w:eastAsia="es-CO"/>
        </w:rPr>
        <w:t>Por la cual se modifica el estatuto tributario de los impuestos administrados por la Dirección de Impuestos y Aduanas Nacionales</w:t>
      </w:r>
      <w:r w:rsidRPr="00737712">
        <w:rPr>
          <w:rFonts w:ascii="Arial" w:hAnsi="Arial" w:cs="Arial"/>
          <w:lang w:eastAsia="es-CO"/>
        </w:rPr>
        <w:t>”; la tarifa del 4x1000 pasa de ser transitoria a ser fijada de manera permanente, a través de una modificación del artículo 872 del Estatuto Tributario así: “</w:t>
      </w:r>
      <w:r w:rsidRPr="00737712">
        <w:rPr>
          <w:rFonts w:ascii="Arial" w:hAnsi="Arial" w:cs="Arial"/>
          <w:i/>
          <w:lang w:eastAsia="es-CO"/>
        </w:rPr>
        <w:t>Artículo 872. Tarifa del Gravamen a los Movimientos Financieros. La tarifa del Gravamen a los Movimientos Financieros será del cuatro por mil (4x1000)</w:t>
      </w:r>
      <w:r w:rsidRPr="00737712">
        <w:rPr>
          <w:rFonts w:ascii="Arial" w:hAnsi="Arial" w:cs="Arial"/>
          <w:lang w:eastAsia="es-CO"/>
        </w:rPr>
        <w:t xml:space="preserve">”. </w:t>
      </w:r>
    </w:p>
    <w:p w14:paraId="468D4937" w14:textId="77777777" w:rsidR="000A1A2A" w:rsidRPr="00737712" w:rsidRDefault="000A1A2A" w:rsidP="00737712">
      <w:pPr>
        <w:shd w:val="clear" w:color="auto" w:fill="FFFFFF"/>
        <w:jc w:val="both"/>
        <w:rPr>
          <w:rFonts w:ascii="Arial" w:hAnsi="Arial" w:cs="Arial"/>
          <w:lang w:eastAsia="es-CO"/>
        </w:rPr>
      </w:pPr>
    </w:p>
    <w:p w14:paraId="353EA74F" w14:textId="77777777" w:rsidR="001262FC" w:rsidRPr="00737712" w:rsidRDefault="001262FC" w:rsidP="00737712">
      <w:pPr>
        <w:pStyle w:val="Prrafodelista"/>
        <w:numPr>
          <w:ilvl w:val="0"/>
          <w:numId w:val="14"/>
        </w:numPr>
        <w:shd w:val="clear" w:color="auto" w:fill="FFFFFF"/>
        <w:jc w:val="both"/>
        <w:rPr>
          <w:rFonts w:ascii="Arial" w:hAnsi="Arial" w:cs="Arial"/>
          <w:b/>
          <w:lang w:eastAsia="es-CO"/>
        </w:rPr>
      </w:pPr>
      <w:r w:rsidRPr="00737712">
        <w:rPr>
          <w:rFonts w:ascii="Arial" w:hAnsi="Arial" w:cs="Arial"/>
          <w:b/>
          <w:lang w:eastAsia="es-CO"/>
        </w:rPr>
        <w:t>Propuesta para el desmonte gradual del GMF</w:t>
      </w:r>
    </w:p>
    <w:p w14:paraId="3FA563DB" w14:textId="77777777" w:rsidR="000A1A2A" w:rsidRPr="00737712" w:rsidRDefault="000A1A2A" w:rsidP="00737712">
      <w:pPr>
        <w:pStyle w:val="Prrafodelista"/>
        <w:shd w:val="clear" w:color="auto" w:fill="FFFFFF"/>
        <w:jc w:val="both"/>
        <w:rPr>
          <w:rFonts w:ascii="Arial" w:hAnsi="Arial" w:cs="Arial"/>
          <w:b/>
          <w:lang w:eastAsia="es-CO"/>
        </w:rPr>
      </w:pPr>
    </w:p>
    <w:p w14:paraId="46F4A073" w14:textId="78404806" w:rsidR="001262FC" w:rsidRPr="00737712" w:rsidRDefault="001262FC" w:rsidP="00737712">
      <w:pPr>
        <w:shd w:val="clear" w:color="auto" w:fill="FFFFFF"/>
        <w:jc w:val="both"/>
        <w:rPr>
          <w:rFonts w:ascii="Arial" w:hAnsi="Arial" w:cs="Arial"/>
          <w:lang w:eastAsia="es-CO"/>
        </w:rPr>
      </w:pPr>
      <w:r w:rsidRPr="00737712">
        <w:rPr>
          <w:rFonts w:ascii="Arial" w:hAnsi="Arial" w:cs="Arial"/>
          <w:lang w:eastAsia="es-CO"/>
        </w:rPr>
        <w:t xml:space="preserve">En 2010, el </w:t>
      </w:r>
      <w:r w:rsidR="00227327">
        <w:rPr>
          <w:rFonts w:ascii="Arial" w:hAnsi="Arial" w:cs="Arial"/>
          <w:lang w:eastAsia="es-CO"/>
        </w:rPr>
        <w:t>G</w:t>
      </w:r>
      <w:r w:rsidRPr="00737712">
        <w:rPr>
          <w:rFonts w:ascii="Arial" w:hAnsi="Arial" w:cs="Arial"/>
          <w:lang w:eastAsia="es-CO"/>
        </w:rPr>
        <w:t xml:space="preserve">obierno nacional socializó la propuesta de desmontar el impuesto a las transacciones financieras (que tenía ya una tarifa fija del 4x1000) disminuyendo un punto porcentual cada dos años. El desmonte se llevaría a partir del año 2011 hasta el 2018 cuando desaparecería. Desde el sector financiero, Asobancaria </w:t>
      </w:r>
      <w:r w:rsidRPr="00737712">
        <w:rPr>
          <w:rFonts w:ascii="Arial" w:hAnsi="Arial" w:cs="Arial"/>
          <w:lang w:eastAsia="es-CO"/>
        </w:rPr>
        <w:lastRenderedPageBreak/>
        <w:t>manifestó que este impuesto había representado un retroceso significativo en el uso del efectivo, además de haber frenado el crecimiento de la economía y la profundización bancaria, en un país con muy baja penetración del sistema financiero en la población (para este período, se estimaba que sólo el 60% de la población adulta tenía acceso al sistema financier</w:t>
      </w:r>
      <w:r w:rsidR="00FE112A">
        <w:rPr>
          <w:rFonts w:ascii="Arial" w:hAnsi="Arial" w:cs="Arial"/>
          <w:lang w:eastAsia="es-CO"/>
        </w:rPr>
        <w:t xml:space="preserve">o, </w:t>
      </w:r>
      <w:r w:rsidRPr="00737712">
        <w:rPr>
          <w:rFonts w:ascii="Arial" w:hAnsi="Arial" w:cs="Arial"/>
          <w:lang w:eastAsia="es-CO"/>
        </w:rPr>
        <w:t>mientras en países como Chile este sector representaba el 70% del PIB, en Colombia llegaba al 30%) en este contexto, desde la presidencia de la Asociación Nacional de Instituciones Financieras – ANIF el 4x1000 fue calificado como un impuesto antitécnico y desde la academia, se propuso sustituirlo por un impuesto a la renta progresivo, teniendo en cuenta que el recaudo anual se venía estimando alrededor de los tres billones de pesos.</w:t>
      </w:r>
      <w:r w:rsidRPr="00737712">
        <w:rPr>
          <w:rStyle w:val="Refdenotaalpie"/>
          <w:rFonts w:ascii="Arial" w:hAnsi="Arial" w:cs="Arial"/>
          <w:bCs/>
        </w:rPr>
        <w:footnoteReference w:id="7"/>
      </w:r>
      <w:r w:rsidRPr="00737712">
        <w:rPr>
          <w:rFonts w:ascii="Arial" w:hAnsi="Arial" w:cs="Arial"/>
          <w:lang w:eastAsia="es-CO"/>
        </w:rPr>
        <w:t xml:space="preserve"> </w:t>
      </w:r>
    </w:p>
    <w:p w14:paraId="31BC3817" w14:textId="77777777" w:rsidR="001262FC" w:rsidRPr="00737712" w:rsidRDefault="001262FC" w:rsidP="00737712">
      <w:pPr>
        <w:shd w:val="clear" w:color="auto" w:fill="FFFFFF"/>
        <w:jc w:val="both"/>
        <w:rPr>
          <w:rFonts w:ascii="Arial" w:hAnsi="Arial" w:cs="Arial"/>
          <w:lang w:eastAsia="es-CO"/>
        </w:rPr>
      </w:pPr>
    </w:p>
    <w:p w14:paraId="1CC09BCE" w14:textId="1EE87542" w:rsidR="007F05DE" w:rsidRPr="00737712" w:rsidRDefault="007F05DE" w:rsidP="00737712">
      <w:pPr>
        <w:shd w:val="clear" w:color="auto" w:fill="FFFFFF"/>
        <w:jc w:val="both"/>
        <w:rPr>
          <w:rFonts w:ascii="Arial" w:hAnsi="Arial" w:cs="Arial"/>
          <w:lang w:eastAsia="es-CO"/>
        </w:rPr>
      </w:pPr>
      <w:r w:rsidRPr="00737712">
        <w:rPr>
          <w:rFonts w:ascii="Arial" w:hAnsi="Arial" w:cs="Arial"/>
          <w:lang w:eastAsia="es-CO"/>
        </w:rPr>
        <w:t>En 2013 el</w:t>
      </w:r>
      <w:r w:rsidR="001262FC" w:rsidRPr="00737712">
        <w:rPr>
          <w:rFonts w:ascii="Arial" w:hAnsi="Arial" w:cs="Arial"/>
          <w:lang w:eastAsia="es-CO"/>
        </w:rPr>
        <w:t xml:space="preserve"> Ministro de Hacienda y Crédito Públ</w:t>
      </w:r>
      <w:r w:rsidRPr="00737712">
        <w:rPr>
          <w:rFonts w:ascii="Arial" w:hAnsi="Arial" w:cs="Arial"/>
          <w:lang w:eastAsia="es-CO"/>
        </w:rPr>
        <w:t>ico</w:t>
      </w:r>
      <w:r w:rsidR="00FE112A">
        <w:rPr>
          <w:rFonts w:ascii="Arial" w:hAnsi="Arial" w:cs="Arial"/>
          <w:lang w:eastAsia="es-CO"/>
        </w:rPr>
        <w:t>,</w:t>
      </w:r>
      <w:r w:rsidRPr="00737712">
        <w:rPr>
          <w:rFonts w:ascii="Arial" w:hAnsi="Arial" w:cs="Arial"/>
          <w:lang w:eastAsia="es-CO"/>
        </w:rPr>
        <w:t xml:space="preserve"> Mauricio Cárdenas, radicó un</w:t>
      </w:r>
      <w:r w:rsidR="001262FC" w:rsidRPr="00737712">
        <w:rPr>
          <w:rFonts w:ascii="Arial" w:hAnsi="Arial" w:cs="Arial"/>
          <w:lang w:eastAsia="es-CO"/>
        </w:rPr>
        <w:t xml:space="preserve"> Proyecto de Ley (aprobado en diciembre del mismo año) que proponía extender por un año el desmonte gradual del GMF (que contemplaba la disminución de un punto porcentual cada dos años, iniciando en 2015 con una tarifa del 2x1000; pasando al 1x1000 entre 2016 y 2017 hasta el 0x1000 en 2018), bajo el argumento de apoyar con estos recursos el Pacto Nacional Agropecuario y avanzar en la transformación de este sector.</w:t>
      </w:r>
      <w:r w:rsidR="001262FC" w:rsidRPr="00737712">
        <w:rPr>
          <w:rStyle w:val="Refdenotaalpie"/>
          <w:rFonts w:ascii="Arial" w:hAnsi="Arial" w:cs="Arial"/>
          <w:bCs/>
        </w:rPr>
        <w:footnoteReference w:id="8"/>
      </w:r>
      <w:r w:rsidR="001262FC" w:rsidRPr="00737712">
        <w:rPr>
          <w:rFonts w:ascii="Arial" w:hAnsi="Arial" w:cs="Arial"/>
          <w:lang w:eastAsia="es-CO"/>
        </w:rPr>
        <w:t xml:space="preserve"> Además de considerar que este sería uno de los impuestos de más fácil recaudo y de menor evasión.</w:t>
      </w:r>
      <w:r w:rsidR="001262FC" w:rsidRPr="00737712">
        <w:rPr>
          <w:rStyle w:val="Refdenotaalpie"/>
          <w:rFonts w:ascii="Arial" w:hAnsi="Arial" w:cs="Arial"/>
          <w:bCs/>
        </w:rPr>
        <w:footnoteReference w:id="9"/>
      </w:r>
      <w:r w:rsidR="001262FC" w:rsidRPr="00737712">
        <w:rPr>
          <w:rFonts w:ascii="Arial" w:hAnsi="Arial" w:cs="Arial"/>
          <w:lang w:eastAsia="es-CO"/>
        </w:rPr>
        <w:t xml:space="preserve"> </w:t>
      </w:r>
    </w:p>
    <w:p w14:paraId="38EC6369" w14:textId="77777777" w:rsidR="006E1A4D" w:rsidRPr="00737712" w:rsidRDefault="006E1A4D" w:rsidP="00737712">
      <w:pPr>
        <w:shd w:val="clear" w:color="auto" w:fill="FFFFFF"/>
        <w:jc w:val="both"/>
        <w:rPr>
          <w:rFonts w:ascii="Arial" w:hAnsi="Arial" w:cs="Arial"/>
          <w:lang w:eastAsia="es-CO"/>
        </w:rPr>
      </w:pPr>
    </w:p>
    <w:p w14:paraId="2425F253" w14:textId="77777777" w:rsidR="00846696" w:rsidRPr="00737712" w:rsidRDefault="00846696" w:rsidP="00737712">
      <w:pPr>
        <w:pStyle w:val="Prrafodelista"/>
        <w:numPr>
          <w:ilvl w:val="0"/>
          <w:numId w:val="14"/>
        </w:numPr>
        <w:shd w:val="clear" w:color="auto" w:fill="FFFFFF"/>
        <w:jc w:val="both"/>
        <w:rPr>
          <w:rFonts w:ascii="Arial" w:hAnsi="Arial" w:cs="Arial"/>
          <w:lang w:eastAsia="es-CO"/>
        </w:rPr>
      </w:pPr>
      <w:r w:rsidRPr="00737712">
        <w:rPr>
          <w:rFonts w:ascii="Arial" w:hAnsi="Arial" w:cs="Arial"/>
          <w:b/>
          <w:lang w:eastAsia="es-CO"/>
        </w:rPr>
        <w:t>Ley 1694 de 2013</w:t>
      </w:r>
    </w:p>
    <w:p w14:paraId="5ECE0E60" w14:textId="77777777" w:rsidR="00846696" w:rsidRPr="00737712" w:rsidRDefault="00846696" w:rsidP="00737712">
      <w:pPr>
        <w:shd w:val="clear" w:color="auto" w:fill="FFFFFF"/>
        <w:jc w:val="both"/>
        <w:rPr>
          <w:rFonts w:ascii="Arial" w:hAnsi="Arial" w:cs="Arial"/>
          <w:lang w:eastAsia="es-CO"/>
        </w:rPr>
      </w:pPr>
    </w:p>
    <w:p w14:paraId="220A69DE" w14:textId="77777777" w:rsidR="00F6034A" w:rsidRPr="00737712" w:rsidRDefault="00F6034A" w:rsidP="00737712">
      <w:pPr>
        <w:shd w:val="clear" w:color="auto" w:fill="FFFFFF"/>
        <w:jc w:val="both"/>
        <w:rPr>
          <w:rFonts w:ascii="Arial" w:hAnsi="Arial" w:cs="Arial"/>
          <w:lang w:eastAsia="es-CO"/>
        </w:rPr>
      </w:pPr>
      <w:r w:rsidRPr="00737712">
        <w:rPr>
          <w:rFonts w:ascii="Arial" w:hAnsi="Arial" w:cs="Arial"/>
          <w:lang w:eastAsia="es-CO"/>
        </w:rPr>
        <w:t>Mediante esta Ley “</w:t>
      </w:r>
      <w:r w:rsidRPr="00737712">
        <w:rPr>
          <w:rFonts w:ascii="Arial" w:hAnsi="Arial" w:cs="Arial"/>
          <w:i/>
          <w:lang w:eastAsia="es-CO"/>
        </w:rPr>
        <w:t>Por la cual se modifica el Estatuto Tributario y se dictan otras disposiciones</w:t>
      </w:r>
      <w:r w:rsidRPr="00737712">
        <w:rPr>
          <w:rFonts w:ascii="Arial" w:hAnsi="Arial" w:cs="Arial"/>
          <w:lang w:eastAsia="es-CO"/>
        </w:rPr>
        <w:t>”, se materializa el desmonte del impuesto a las transacciones financieras creado desde 1998 y con una tarifa fija permanente del 4x1000 a partir del 2006. El artículo primero de esta ley, propuso la modificación del artículo 872 del Estatuto Tributario de la siguiente manera:</w:t>
      </w:r>
    </w:p>
    <w:p w14:paraId="048C4032" w14:textId="77777777" w:rsidR="00F6034A" w:rsidRPr="00737712" w:rsidRDefault="00F6034A" w:rsidP="00737712">
      <w:pPr>
        <w:shd w:val="clear" w:color="auto" w:fill="FFFFFF"/>
        <w:jc w:val="both"/>
        <w:rPr>
          <w:rFonts w:ascii="Arial" w:hAnsi="Arial" w:cs="Arial"/>
          <w:lang w:eastAsia="es-CO"/>
        </w:rPr>
      </w:pPr>
    </w:p>
    <w:p w14:paraId="138769C6" w14:textId="77777777" w:rsidR="00F6034A" w:rsidRPr="00737712" w:rsidRDefault="00F6034A" w:rsidP="00737712">
      <w:pPr>
        <w:pStyle w:val="NormalWeb"/>
        <w:shd w:val="clear" w:color="auto" w:fill="FFFFFF"/>
        <w:spacing w:before="0" w:beforeAutospacing="0" w:after="0" w:afterAutospacing="0"/>
        <w:ind w:left="708"/>
        <w:jc w:val="both"/>
        <w:rPr>
          <w:rFonts w:ascii="Arial" w:hAnsi="Arial" w:cs="Arial"/>
          <w:i/>
          <w:lang w:val="es-CO"/>
        </w:rPr>
      </w:pPr>
      <w:r w:rsidRPr="00737712">
        <w:rPr>
          <w:rFonts w:ascii="Arial" w:hAnsi="Arial" w:cs="Arial"/>
          <w:bCs/>
        </w:rPr>
        <w:t>“</w:t>
      </w:r>
      <w:r w:rsidRPr="00737712">
        <w:rPr>
          <w:rFonts w:ascii="Arial" w:hAnsi="Arial" w:cs="Arial"/>
          <w:b/>
          <w:bCs/>
          <w:i/>
        </w:rPr>
        <w:t>ARTÍCULO</w:t>
      </w:r>
      <w:bookmarkStart w:id="5" w:name="1"/>
      <w:r w:rsidRPr="00737712">
        <w:rPr>
          <w:rFonts w:ascii="Arial" w:hAnsi="Arial" w:cs="Arial"/>
          <w:b/>
          <w:bCs/>
          <w:i/>
        </w:rPr>
        <w:t> </w:t>
      </w:r>
      <w:bookmarkEnd w:id="5"/>
      <w:r w:rsidRPr="00737712">
        <w:rPr>
          <w:rFonts w:ascii="Arial" w:hAnsi="Arial" w:cs="Arial"/>
          <w:b/>
          <w:bCs/>
          <w:i/>
        </w:rPr>
        <w:t> 1º.</w:t>
      </w:r>
      <w:r w:rsidRPr="00737712">
        <w:rPr>
          <w:rFonts w:ascii="Arial" w:hAnsi="Arial" w:cs="Arial"/>
          <w:i/>
        </w:rPr>
        <w:t> Modifíquese el artículo </w:t>
      </w:r>
      <w:hyperlink r:id="rId13" w:anchor="872" w:history="1">
        <w:r w:rsidRPr="00737712">
          <w:rPr>
            <w:rStyle w:val="Hipervnculo"/>
            <w:rFonts w:ascii="Arial" w:hAnsi="Arial" w:cs="Arial"/>
            <w:i/>
            <w:color w:val="auto"/>
            <w:u w:val="none"/>
          </w:rPr>
          <w:t>872</w:t>
        </w:r>
      </w:hyperlink>
      <w:r w:rsidRPr="00737712">
        <w:rPr>
          <w:rFonts w:ascii="Arial" w:hAnsi="Arial" w:cs="Arial"/>
          <w:i/>
        </w:rPr>
        <w:t> del Estatuto Tributario, el cual quedará así:</w:t>
      </w:r>
    </w:p>
    <w:p w14:paraId="4CF19FD4" w14:textId="77777777" w:rsidR="00F6034A" w:rsidRPr="00737712" w:rsidRDefault="00F6034A" w:rsidP="00737712">
      <w:pPr>
        <w:pStyle w:val="NormalWeb"/>
        <w:shd w:val="clear" w:color="auto" w:fill="FFFFFF"/>
        <w:spacing w:before="0" w:beforeAutospacing="0" w:after="0" w:afterAutospacing="0"/>
        <w:ind w:left="708"/>
        <w:jc w:val="both"/>
        <w:rPr>
          <w:rFonts w:ascii="Arial" w:hAnsi="Arial" w:cs="Arial"/>
          <w:i/>
        </w:rPr>
      </w:pPr>
      <w:r w:rsidRPr="00737712">
        <w:rPr>
          <w:rFonts w:ascii="Arial" w:hAnsi="Arial" w:cs="Arial"/>
          <w:i/>
        </w:rPr>
        <w:t> </w:t>
      </w:r>
    </w:p>
    <w:p w14:paraId="6C8D6C1E" w14:textId="77777777" w:rsidR="00F6034A" w:rsidRPr="00737712" w:rsidRDefault="00F6034A" w:rsidP="00737712">
      <w:pPr>
        <w:pStyle w:val="NormalWeb"/>
        <w:shd w:val="clear" w:color="auto" w:fill="FFFFFF"/>
        <w:spacing w:before="0" w:beforeAutospacing="0" w:after="0" w:afterAutospacing="0"/>
        <w:ind w:left="708"/>
        <w:jc w:val="both"/>
        <w:rPr>
          <w:rFonts w:ascii="Arial" w:hAnsi="Arial" w:cs="Arial"/>
          <w:i/>
        </w:rPr>
      </w:pPr>
      <w:r w:rsidRPr="00737712">
        <w:rPr>
          <w:rFonts w:ascii="Arial" w:hAnsi="Arial" w:cs="Arial"/>
          <w:i/>
        </w:rPr>
        <w:t>“</w:t>
      </w:r>
      <w:r w:rsidRPr="00737712">
        <w:rPr>
          <w:rFonts w:ascii="Arial" w:hAnsi="Arial" w:cs="Arial"/>
          <w:b/>
          <w:bCs/>
          <w:i/>
        </w:rPr>
        <w:t>ARTÍCULO</w:t>
      </w:r>
      <w:bookmarkStart w:id="6" w:name="872"/>
      <w:r w:rsidRPr="00737712">
        <w:rPr>
          <w:rFonts w:ascii="Arial" w:hAnsi="Arial" w:cs="Arial"/>
          <w:b/>
          <w:bCs/>
          <w:i/>
        </w:rPr>
        <w:t> </w:t>
      </w:r>
      <w:bookmarkEnd w:id="6"/>
      <w:r w:rsidRPr="00737712">
        <w:rPr>
          <w:rFonts w:ascii="Arial" w:hAnsi="Arial" w:cs="Arial"/>
          <w:b/>
          <w:bCs/>
          <w:i/>
        </w:rPr>
        <w:t> 872. </w:t>
      </w:r>
      <w:r w:rsidRPr="00737712">
        <w:rPr>
          <w:rFonts w:ascii="Arial" w:hAnsi="Arial" w:cs="Arial"/>
          <w:b/>
          <w:bCs/>
          <w:i/>
          <w:iCs/>
        </w:rPr>
        <w:t>Tarifa del gravamen a los movimientos financieros.</w:t>
      </w:r>
      <w:r w:rsidRPr="00737712">
        <w:rPr>
          <w:rFonts w:ascii="Arial" w:hAnsi="Arial" w:cs="Arial"/>
          <w:i/>
        </w:rPr>
        <w:t> La tarifa del gravamen a los movimientos financieros será del cuatro por mil (4 x 1.000).</w:t>
      </w:r>
    </w:p>
    <w:p w14:paraId="0879AE84" w14:textId="77777777" w:rsidR="00F6034A" w:rsidRPr="00737712" w:rsidRDefault="00F6034A" w:rsidP="00737712">
      <w:pPr>
        <w:pStyle w:val="NormalWeb"/>
        <w:shd w:val="clear" w:color="auto" w:fill="FFFFFF"/>
        <w:spacing w:before="0" w:beforeAutospacing="0" w:after="0" w:afterAutospacing="0"/>
        <w:ind w:left="708"/>
        <w:jc w:val="both"/>
        <w:rPr>
          <w:rFonts w:ascii="Arial" w:hAnsi="Arial" w:cs="Arial"/>
          <w:i/>
        </w:rPr>
      </w:pPr>
      <w:r w:rsidRPr="00737712">
        <w:rPr>
          <w:rFonts w:ascii="Arial" w:hAnsi="Arial" w:cs="Arial"/>
          <w:i/>
        </w:rPr>
        <w:t> </w:t>
      </w:r>
    </w:p>
    <w:p w14:paraId="3F28BBEB" w14:textId="77777777" w:rsidR="00F6034A" w:rsidRPr="00737712" w:rsidRDefault="00F6034A" w:rsidP="00737712">
      <w:pPr>
        <w:pStyle w:val="NormalWeb"/>
        <w:shd w:val="clear" w:color="auto" w:fill="FFFFFF"/>
        <w:spacing w:before="0" w:beforeAutospacing="0" w:after="0" w:afterAutospacing="0"/>
        <w:ind w:left="708"/>
        <w:jc w:val="both"/>
        <w:rPr>
          <w:rFonts w:ascii="Arial" w:hAnsi="Arial" w:cs="Arial"/>
          <w:i/>
        </w:rPr>
      </w:pPr>
      <w:r w:rsidRPr="00737712">
        <w:rPr>
          <w:rFonts w:ascii="Arial" w:hAnsi="Arial" w:cs="Arial"/>
          <w:i/>
        </w:rPr>
        <w:lastRenderedPageBreak/>
        <w:t>La tarifa del impuesto a que se refiere el presente artículo se reducirá de la siguiente manera:</w:t>
      </w:r>
    </w:p>
    <w:p w14:paraId="18BE0888" w14:textId="77777777" w:rsidR="00F6034A" w:rsidRPr="00737712" w:rsidRDefault="00F6034A" w:rsidP="00737712">
      <w:pPr>
        <w:pStyle w:val="NormalWeb"/>
        <w:shd w:val="clear" w:color="auto" w:fill="FFFFFF"/>
        <w:spacing w:before="0" w:beforeAutospacing="0" w:after="0" w:afterAutospacing="0"/>
        <w:ind w:left="708"/>
        <w:jc w:val="both"/>
        <w:rPr>
          <w:rFonts w:ascii="Arial" w:hAnsi="Arial" w:cs="Arial"/>
          <w:i/>
        </w:rPr>
      </w:pPr>
      <w:r w:rsidRPr="00737712">
        <w:rPr>
          <w:rFonts w:ascii="Arial" w:hAnsi="Arial" w:cs="Arial"/>
          <w:i/>
        </w:rPr>
        <w:t> </w:t>
      </w:r>
    </w:p>
    <w:p w14:paraId="4D59FAEF" w14:textId="77777777" w:rsidR="00F6034A" w:rsidRPr="00737712" w:rsidRDefault="00F6034A" w:rsidP="00737712">
      <w:pPr>
        <w:pStyle w:val="NormalWeb"/>
        <w:shd w:val="clear" w:color="auto" w:fill="FFFFFF"/>
        <w:spacing w:before="0" w:beforeAutospacing="0" w:after="0" w:afterAutospacing="0"/>
        <w:ind w:left="708"/>
        <w:jc w:val="both"/>
        <w:rPr>
          <w:rFonts w:ascii="Arial" w:hAnsi="Arial" w:cs="Arial"/>
          <w:i/>
        </w:rPr>
      </w:pPr>
      <w:r w:rsidRPr="00737712">
        <w:rPr>
          <w:rFonts w:ascii="Arial" w:hAnsi="Arial" w:cs="Arial"/>
          <w:i/>
        </w:rPr>
        <w:t>* Al dos por mil (2 x 1.000) en el año 2015.</w:t>
      </w:r>
    </w:p>
    <w:p w14:paraId="0FFC7F24" w14:textId="77777777" w:rsidR="00F6034A" w:rsidRPr="00737712" w:rsidRDefault="00F6034A" w:rsidP="00737712">
      <w:pPr>
        <w:pStyle w:val="NormalWeb"/>
        <w:shd w:val="clear" w:color="auto" w:fill="FFFFFF"/>
        <w:spacing w:before="0" w:beforeAutospacing="0" w:after="0" w:afterAutospacing="0"/>
        <w:ind w:left="708"/>
        <w:jc w:val="both"/>
        <w:rPr>
          <w:rFonts w:ascii="Arial" w:hAnsi="Arial" w:cs="Arial"/>
          <w:i/>
        </w:rPr>
      </w:pPr>
      <w:r w:rsidRPr="00737712">
        <w:rPr>
          <w:rFonts w:ascii="Arial" w:hAnsi="Arial" w:cs="Arial"/>
          <w:i/>
        </w:rPr>
        <w:t>* Al uno por mil (l x 1.000) en los años 2016 y 2017.</w:t>
      </w:r>
    </w:p>
    <w:p w14:paraId="64A63329" w14:textId="77777777" w:rsidR="00F6034A" w:rsidRPr="00737712" w:rsidRDefault="00F6034A" w:rsidP="00737712">
      <w:pPr>
        <w:pStyle w:val="western"/>
        <w:shd w:val="clear" w:color="auto" w:fill="FFFFFF"/>
        <w:spacing w:before="0" w:beforeAutospacing="0" w:after="0" w:afterAutospacing="0"/>
        <w:ind w:left="708"/>
        <w:jc w:val="both"/>
        <w:rPr>
          <w:rFonts w:ascii="Arial" w:hAnsi="Arial" w:cs="Arial"/>
          <w:i/>
        </w:rPr>
      </w:pPr>
      <w:r w:rsidRPr="00737712">
        <w:rPr>
          <w:rFonts w:ascii="Arial" w:hAnsi="Arial" w:cs="Arial"/>
          <w:i/>
        </w:rPr>
        <w:t>* Al cero por mil (0 x l .000) en los años 2018 y siguientes.</w:t>
      </w:r>
    </w:p>
    <w:p w14:paraId="570596BE" w14:textId="77777777" w:rsidR="00F6034A" w:rsidRPr="00737712" w:rsidRDefault="00F6034A" w:rsidP="00737712">
      <w:pPr>
        <w:pStyle w:val="western"/>
        <w:shd w:val="clear" w:color="auto" w:fill="FFFFFF"/>
        <w:spacing w:before="0" w:beforeAutospacing="0" w:after="0" w:afterAutospacing="0"/>
        <w:ind w:left="708"/>
        <w:jc w:val="both"/>
        <w:rPr>
          <w:rFonts w:ascii="Arial" w:hAnsi="Arial" w:cs="Arial"/>
          <w:i/>
        </w:rPr>
      </w:pPr>
      <w:r w:rsidRPr="00737712">
        <w:rPr>
          <w:rFonts w:ascii="Arial" w:hAnsi="Arial" w:cs="Arial"/>
          <w:i/>
        </w:rPr>
        <w:t> </w:t>
      </w:r>
    </w:p>
    <w:p w14:paraId="0C74D19D" w14:textId="77777777" w:rsidR="00414D1A" w:rsidRPr="00737712" w:rsidRDefault="00F6034A" w:rsidP="00737712">
      <w:pPr>
        <w:pStyle w:val="NormalWeb"/>
        <w:shd w:val="clear" w:color="auto" w:fill="FFFFFF"/>
        <w:spacing w:before="0" w:beforeAutospacing="0" w:after="0" w:afterAutospacing="0"/>
        <w:ind w:left="708"/>
        <w:jc w:val="both"/>
        <w:rPr>
          <w:rFonts w:ascii="Arial" w:hAnsi="Arial" w:cs="Arial"/>
        </w:rPr>
      </w:pPr>
      <w:r w:rsidRPr="00737712">
        <w:rPr>
          <w:rFonts w:ascii="Arial" w:hAnsi="Arial" w:cs="Arial"/>
          <w:b/>
          <w:bCs/>
          <w:i/>
        </w:rPr>
        <w:t>PARÁGRAFO.</w:t>
      </w:r>
      <w:r w:rsidRPr="00737712">
        <w:rPr>
          <w:rFonts w:ascii="Arial" w:hAnsi="Arial" w:cs="Arial"/>
          <w:i/>
        </w:rPr>
        <w:t> A partir del 1º de enero de 2018 deróguense las disposiciones contenidas en el Libro Sexto del Estatuto Tributario, relativo al Gravamen a los Movimientos Financieros</w:t>
      </w:r>
      <w:r w:rsidRPr="00737712">
        <w:rPr>
          <w:rFonts w:ascii="Arial" w:hAnsi="Arial" w:cs="Arial"/>
        </w:rPr>
        <w:t xml:space="preserve">”. </w:t>
      </w:r>
    </w:p>
    <w:p w14:paraId="789A3EA9" w14:textId="77777777" w:rsidR="00F6034A" w:rsidRPr="00737712" w:rsidRDefault="00F6034A" w:rsidP="00737712">
      <w:pPr>
        <w:shd w:val="clear" w:color="auto" w:fill="FFFFFF"/>
        <w:jc w:val="both"/>
        <w:rPr>
          <w:rFonts w:ascii="Arial" w:hAnsi="Arial" w:cs="Arial"/>
          <w:lang w:eastAsia="es-CO"/>
        </w:rPr>
      </w:pPr>
    </w:p>
    <w:p w14:paraId="5062D64D" w14:textId="77777777" w:rsidR="00846696" w:rsidRPr="00737712" w:rsidRDefault="00846696" w:rsidP="00737712">
      <w:pPr>
        <w:pStyle w:val="Prrafodelista"/>
        <w:numPr>
          <w:ilvl w:val="0"/>
          <w:numId w:val="14"/>
        </w:numPr>
        <w:shd w:val="clear" w:color="auto" w:fill="FFFFFF"/>
        <w:jc w:val="both"/>
        <w:rPr>
          <w:rFonts w:ascii="Arial" w:hAnsi="Arial" w:cs="Arial"/>
          <w:lang w:eastAsia="es-CO"/>
        </w:rPr>
      </w:pPr>
      <w:r w:rsidRPr="00737712">
        <w:rPr>
          <w:rFonts w:ascii="Arial" w:hAnsi="Arial" w:cs="Arial"/>
          <w:b/>
          <w:lang w:eastAsia="es-CO"/>
        </w:rPr>
        <w:t>Ley 1739 de 2014</w:t>
      </w:r>
    </w:p>
    <w:p w14:paraId="7AC41A04" w14:textId="77777777" w:rsidR="00414D1A" w:rsidRPr="00737712" w:rsidRDefault="00414D1A" w:rsidP="00737712">
      <w:pPr>
        <w:shd w:val="clear" w:color="auto" w:fill="FFFFFF"/>
        <w:jc w:val="both"/>
        <w:rPr>
          <w:rFonts w:ascii="Arial" w:hAnsi="Arial" w:cs="Arial"/>
          <w:lang w:eastAsia="es-CO"/>
        </w:rPr>
      </w:pPr>
    </w:p>
    <w:p w14:paraId="502707AF" w14:textId="77777777" w:rsidR="00E80766" w:rsidRPr="00737712" w:rsidRDefault="00414D1A" w:rsidP="00737712">
      <w:pPr>
        <w:shd w:val="clear" w:color="auto" w:fill="FFFFFF"/>
        <w:jc w:val="both"/>
        <w:rPr>
          <w:rFonts w:ascii="Arial" w:hAnsi="Arial" w:cs="Arial"/>
          <w:lang w:eastAsia="es-CO"/>
        </w:rPr>
      </w:pPr>
      <w:r w:rsidRPr="00737712">
        <w:rPr>
          <w:rFonts w:ascii="Arial" w:hAnsi="Arial" w:cs="Arial"/>
          <w:lang w:eastAsia="es-CO"/>
        </w:rPr>
        <w:t xml:space="preserve">Teniendo en cuenta la modificación propuesta en la Ley 1694 de 2013, </w:t>
      </w:r>
      <w:r w:rsidR="00620ADA" w:rsidRPr="00737712">
        <w:rPr>
          <w:rFonts w:ascii="Arial" w:hAnsi="Arial" w:cs="Arial"/>
          <w:lang w:eastAsia="es-CO"/>
        </w:rPr>
        <w:t>mediante el art. 45</w:t>
      </w:r>
      <w:r w:rsidRPr="00737712">
        <w:rPr>
          <w:rFonts w:ascii="Arial" w:hAnsi="Arial" w:cs="Arial"/>
          <w:lang w:eastAsia="es-CO"/>
        </w:rPr>
        <w:t xml:space="preserve"> </w:t>
      </w:r>
      <w:r w:rsidR="00620ADA" w:rsidRPr="00737712">
        <w:rPr>
          <w:rFonts w:ascii="Arial" w:hAnsi="Arial" w:cs="Arial"/>
          <w:lang w:eastAsia="es-CO"/>
        </w:rPr>
        <w:t xml:space="preserve">esta ley </w:t>
      </w:r>
      <w:r w:rsidRPr="00737712">
        <w:rPr>
          <w:rFonts w:ascii="Arial" w:hAnsi="Arial" w:cs="Arial"/>
          <w:lang w:eastAsia="es-CO"/>
        </w:rPr>
        <w:t>extiende el desmonte del impuesto a las transacciones financieras</w:t>
      </w:r>
      <w:r w:rsidR="00620ADA" w:rsidRPr="00737712">
        <w:rPr>
          <w:rFonts w:ascii="Arial" w:hAnsi="Arial" w:cs="Arial"/>
          <w:lang w:eastAsia="es-CO"/>
        </w:rPr>
        <w:t xml:space="preserve"> así:</w:t>
      </w:r>
    </w:p>
    <w:p w14:paraId="045EA4B6" w14:textId="77777777" w:rsidR="007F05DE" w:rsidRPr="00737712" w:rsidRDefault="007F05DE" w:rsidP="00737712">
      <w:pPr>
        <w:shd w:val="clear" w:color="auto" w:fill="FFFFFF"/>
        <w:jc w:val="both"/>
        <w:rPr>
          <w:rFonts w:ascii="Arial" w:hAnsi="Arial" w:cs="Arial"/>
          <w:lang w:eastAsia="es-CO"/>
        </w:rPr>
      </w:pPr>
    </w:p>
    <w:p w14:paraId="3DE18F51" w14:textId="77777777" w:rsidR="007F05DE" w:rsidRPr="00737712" w:rsidRDefault="007F05DE" w:rsidP="00737712">
      <w:pPr>
        <w:shd w:val="clear" w:color="auto" w:fill="FFFFFF"/>
        <w:ind w:left="708"/>
        <w:jc w:val="both"/>
        <w:rPr>
          <w:rFonts w:ascii="Arial" w:hAnsi="Arial" w:cs="Arial"/>
          <w:i/>
        </w:rPr>
      </w:pPr>
      <w:r w:rsidRPr="00737712">
        <w:rPr>
          <w:rFonts w:ascii="Arial" w:hAnsi="Arial" w:cs="Arial"/>
        </w:rPr>
        <w:t>“</w:t>
      </w:r>
      <w:r w:rsidRPr="00737712">
        <w:rPr>
          <w:rFonts w:ascii="Arial" w:hAnsi="Arial" w:cs="Arial"/>
          <w:b/>
          <w:i/>
        </w:rPr>
        <w:t>ARTÍCULO 45°</w:t>
      </w:r>
      <w:r w:rsidRPr="00737712">
        <w:rPr>
          <w:rFonts w:ascii="Arial" w:hAnsi="Arial" w:cs="Arial"/>
          <w:i/>
        </w:rPr>
        <w:t xml:space="preserve">. Modifíquese el Artículo 872 del Estatuto Tributario, el cual quedará así: </w:t>
      </w:r>
    </w:p>
    <w:p w14:paraId="1143EEEB" w14:textId="77777777" w:rsidR="007F05DE" w:rsidRPr="00737712" w:rsidRDefault="007F05DE" w:rsidP="00737712">
      <w:pPr>
        <w:shd w:val="clear" w:color="auto" w:fill="FFFFFF"/>
        <w:ind w:left="708"/>
        <w:jc w:val="both"/>
        <w:rPr>
          <w:rFonts w:ascii="Arial" w:hAnsi="Arial" w:cs="Arial"/>
          <w:i/>
        </w:rPr>
      </w:pPr>
      <w:r w:rsidRPr="00737712">
        <w:rPr>
          <w:rFonts w:ascii="Arial" w:hAnsi="Arial" w:cs="Arial"/>
          <w:b/>
          <w:i/>
        </w:rPr>
        <w:t>Artículo 872</w:t>
      </w:r>
      <w:r w:rsidRPr="00737712">
        <w:rPr>
          <w:rFonts w:ascii="Arial" w:hAnsi="Arial" w:cs="Arial"/>
          <w:i/>
        </w:rPr>
        <w:t xml:space="preserve">. Tarifa del gravamen a los movimientos financieros. La tarifa del gravamen a los movimientos financieros será del cuatro por mil (4x1.000). </w:t>
      </w:r>
    </w:p>
    <w:p w14:paraId="763174B3" w14:textId="77777777" w:rsidR="007F05DE" w:rsidRPr="00737712" w:rsidRDefault="007F05DE" w:rsidP="00737712">
      <w:pPr>
        <w:shd w:val="clear" w:color="auto" w:fill="FFFFFF"/>
        <w:ind w:left="708"/>
        <w:jc w:val="both"/>
        <w:rPr>
          <w:rFonts w:ascii="Arial" w:hAnsi="Arial" w:cs="Arial"/>
          <w:i/>
        </w:rPr>
      </w:pPr>
    </w:p>
    <w:p w14:paraId="6256F43B" w14:textId="77777777" w:rsidR="007F05DE" w:rsidRPr="00737712" w:rsidRDefault="007F05DE" w:rsidP="00737712">
      <w:pPr>
        <w:shd w:val="clear" w:color="auto" w:fill="FFFFFF"/>
        <w:ind w:left="708"/>
        <w:jc w:val="both"/>
        <w:rPr>
          <w:rFonts w:ascii="Arial" w:hAnsi="Arial" w:cs="Arial"/>
          <w:i/>
        </w:rPr>
      </w:pPr>
      <w:r w:rsidRPr="00737712">
        <w:rPr>
          <w:rFonts w:ascii="Arial" w:hAnsi="Arial" w:cs="Arial"/>
          <w:i/>
        </w:rPr>
        <w:t>La tarifa del impuesto a que se refiere el presente artículo se reducirá de la siguiente manera:</w:t>
      </w:r>
    </w:p>
    <w:p w14:paraId="3CE4695B" w14:textId="77777777" w:rsidR="007F05DE" w:rsidRPr="00737712" w:rsidRDefault="007F05DE" w:rsidP="00737712">
      <w:pPr>
        <w:shd w:val="clear" w:color="auto" w:fill="FFFFFF"/>
        <w:ind w:left="708"/>
        <w:jc w:val="both"/>
        <w:rPr>
          <w:rFonts w:ascii="Arial" w:hAnsi="Arial" w:cs="Arial"/>
          <w:i/>
        </w:rPr>
      </w:pPr>
    </w:p>
    <w:p w14:paraId="21AA8D72" w14:textId="77777777" w:rsidR="007F05DE" w:rsidRPr="00737712" w:rsidRDefault="007F05DE" w:rsidP="00737712">
      <w:pPr>
        <w:shd w:val="clear" w:color="auto" w:fill="FFFFFF"/>
        <w:ind w:left="708"/>
        <w:jc w:val="both"/>
        <w:rPr>
          <w:rFonts w:ascii="Arial" w:hAnsi="Arial" w:cs="Arial"/>
          <w:i/>
        </w:rPr>
      </w:pPr>
      <w:r w:rsidRPr="00737712">
        <w:rPr>
          <w:rFonts w:ascii="Arial" w:hAnsi="Arial" w:cs="Arial"/>
          <w:i/>
        </w:rPr>
        <w:t xml:space="preserve">- Al tres por mil (3 x 1.000) en el año 2019. </w:t>
      </w:r>
    </w:p>
    <w:p w14:paraId="27010989" w14:textId="77777777" w:rsidR="007F05DE" w:rsidRPr="00737712" w:rsidRDefault="007F05DE" w:rsidP="00737712">
      <w:pPr>
        <w:shd w:val="clear" w:color="auto" w:fill="FFFFFF"/>
        <w:ind w:left="708"/>
        <w:jc w:val="both"/>
        <w:rPr>
          <w:rFonts w:ascii="Arial" w:hAnsi="Arial" w:cs="Arial"/>
          <w:i/>
        </w:rPr>
      </w:pPr>
      <w:r w:rsidRPr="00737712">
        <w:rPr>
          <w:rFonts w:ascii="Arial" w:hAnsi="Arial" w:cs="Arial"/>
          <w:i/>
        </w:rPr>
        <w:t xml:space="preserve">-Al dos por mil (2 x 1.000) en el año 2020. </w:t>
      </w:r>
    </w:p>
    <w:p w14:paraId="6DD78C4E" w14:textId="77777777" w:rsidR="007F05DE" w:rsidRPr="00737712" w:rsidRDefault="007F05DE" w:rsidP="00737712">
      <w:pPr>
        <w:shd w:val="clear" w:color="auto" w:fill="FFFFFF"/>
        <w:ind w:left="708"/>
        <w:jc w:val="both"/>
        <w:rPr>
          <w:rFonts w:ascii="Arial" w:hAnsi="Arial" w:cs="Arial"/>
          <w:i/>
        </w:rPr>
      </w:pPr>
      <w:r w:rsidRPr="00737712">
        <w:rPr>
          <w:rFonts w:ascii="Arial" w:hAnsi="Arial" w:cs="Arial"/>
          <w:i/>
        </w:rPr>
        <w:t xml:space="preserve">- Al uno por mil (1 x 1.000) en el año 2021. </w:t>
      </w:r>
    </w:p>
    <w:p w14:paraId="012E8DBE" w14:textId="77777777" w:rsidR="007F05DE" w:rsidRPr="00737712" w:rsidRDefault="007F05DE" w:rsidP="00737712">
      <w:pPr>
        <w:shd w:val="clear" w:color="auto" w:fill="FFFFFF"/>
        <w:ind w:left="708"/>
        <w:jc w:val="both"/>
        <w:rPr>
          <w:rFonts w:ascii="Arial" w:hAnsi="Arial" w:cs="Arial"/>
          <w:i/>
        </w:rPr>
      </w:pPr>
    </w:p>
    <w:p w14:paraId="720059CF" w14:textId="77777777" w:rsidR="003650D7" w:rsidRPr="00737712" w:rsidRDefault="007F05DE" w:rsidP="00737712">
      <w:pPr>
        <w:shd w:val="clear" w:color="auto" w:fill="FFFFFF"/>
        <w:ind w:left="708"/>
        <w:jc w:val="both"/>
        <w:rPr>
          <w:rFonts w:ascii="Arial" w:hAnsi="Arial" w:cs="Arial"/>
          <w:lang w:eastAsia="es-CO"/>
        </w:rPr>
      </w:pPr>
      <w:r w:rsidRPr="00737712">
        <w:rPr>
          <w:rFonts w:ascii="Arial" w:hAnsi="Arial" w:cs="Arial"/>
          <w:b/>
          <w:i/>
        </w:rPr>
        <w:t>Parágrafo</w:t>
      </w:r>
      <w:r w:rsidRPr="00737712">
        <w:rPr>
          <w:rFonts w:ascii="Arial" w:hAnsi="Arial" w:cs="Arial"/>
          <w:i/>
        </w:rPr>
        <w:t>. A partir del 1 de enero de 2022 deróguense las disposiciones contenidas en el Libro Sexto del Estatuto Tributario relativo al Gravamen a los Movimientos Financieros</w:t>
      </w:r>
      <w:r w:rsidRPr="00737712">
        <w:rPr>
          <w:rFonts w:ascii="Arial" w:hAnsi="Arial" w:cs="Arial"/>
        </w:rPr>
        <w:t>”.</w:t>
      </w:r>
    </w:p>
    <w:p w14:paraId="1282455A" w14:textId="77777777" w:rsidR="00414D1A" w:rsidRPr="00737712" w:rsidRDefault="00414D1A" w:rsidP="00737712">
      <w:pPr>
        <w:shd w:val="clear" w:color="auto" w:fill="FFFFFF"/>
        <w:jc w:val="both"/>
        <w:rPr>
          <w:rFonts w:ascii="Arial" w:hAnsi="Arial" w:cs="Arial"/>
          <w:lang w:eastAsia="es-CO"/>
        </w:rPr>
      </w:pPr>
    </w:p>
    <w:p w14:paraId="2AAB42F9" w14:textId="77777777" w:rsidR="001262FC" w:rsidRPr="00737712" w:rsidRDefault="007F05DE" w:rsidP="00737712">
      <w:pPr>
        <w:shd w:val="clear" w:color="auto" w:fill="FFFFFF"/>
        <w:jc w:val="both"/>
        <w:rPr>
          <w:rFonts w:ascii="Arial" w:hAnsi="Arial" w:cs="Arial"/>
          <w:lang w:eastAsia="es-CO"/>
        </w:rPr>
      </w:pPr>
      <w:r w:rsidRPr="00737712">
        <w:rPr>
          <w:rFonts w:ascii="Arial" w:hAnsi="Arial" w:cs="Arial"/>
          <w:lang w:eastAsia="es-CO"/>
        </w:rPr>
        <w:t>En la actualidad y con la más reciente reforma tributaria, “</w:t>
      </w:r>
      <w:r w:rsidRPr="00737712">
        <w:rPr>
          <w:rFonts w:ascii="Arial" w:hAnsi="Arial" w:cs="Arial"/>
          <w:i/>
          <w:lang w:eastAsia="es-CO"/>
        </w:rPr>
        <w:t>se estipulo que el tributo se mantendría en 2018, a partir del próximo año iniciaría su desmonte gradual, hasta llegar a su desaparición total en el 2022</w:t>
      </w:r>
      <w:r w:rsidRPr="00737712">
        <w:rPr>
          <w:rFonts w:ascii="Arial" w:hAnsi="Arial" w:cs="Arial"/>
          <w:lang w:eastAsia="es-CO"/>
        </w:rPr>
        <w:t>”.</w:t>
      </w:r>
      <w:r w:rsidRPr="00737712">
        <w:rPr>
          <w:rStyle w:val="Refdenotaalpie"/>
          <w:rFonts w:ascii="Arial" w:hAnsi="Arial" w:cs="Arial"/>
          <w:bCs/>
        </w:rPr>
        <w:footnoteReference w:id="10"/>
      </w:r>
      <w:r w:rsidR="00F36CED" w:rsidRPr="00737712">
        <w:rPr>
          <w:rFonts w:ascii="Arial" w:hAnsi="Arial" w:cs="Arial"/>
          <w:lang w:eastAsia="es-CO"/>
        </w:rPr>
        <w:t xml:space="preserve"> </w:t>
      </w:r>
      <w:r w:rsidR="001262FC" w:rsidRPr="00737712">
        <w:rPr>
          <w:rFonts w:ascii="Arial" w:hAnsi="Arial" w:cs="Arial"/>
          <w:lang w:eastAsia="es-CO"/>
        </w:rPr>
        <w:t>A continuación, se presentan dos imágenes correspondientes a la evolución del impuesto a las transacciones financieras en Colombia y el comportamiento en el recaudo del mismo:</w:t>
      </w:r>
    </w:p>
    <w:p w14:paraId="0735038E" w14:textId="77777777" w:rsidR="000A1A2A" w:rsidRPr="00737712" w:rsidRDefault="000A1A2A" w:rsidP="00737712">
      <w:pPr>
        <w:jc w:val="both"/>
        <w:rPr>
          <w:rFonts w:ascii="Arial" w:hAnsi="Arial" w:cs="Arial"/>
          <w:lang w:eastAsia="es-CO"/>
        </w:rPr>
      </w:pPr>
    </w:p>
    <w:p w14:paraId="17D621CD" w14:textId="77777777" w:rsidR="001262FC" w:rsidRPr="00737712" w:rsidRDefault="001262FC" w:rsidP="00737712">
      <w:pPr>
        <w:jc w:val="both"/>
        <w:rPr>
          <w:rFonts w:ascii="Arial" w:hAnsi="Arial" w:cs="Arial"/>
          <w:b/>
          <w:lang w:eastAsia="es-CO"/>
        </w:rPr>
      </w:pPr>
      <w:r w:rsidRPr="00737712">
        <w:rPr>
          <w:rFonts w:ascii="Arial" w:hAnsi="Arial" w:cs="Arial"/>
          <w:b/>
          <w:lang w:eastAsia="es-CO"/>
        </w:rPr>
        <w:t>EVOLUCIÓN DEL IMPUESTO A LAS TRANSACCIONES FINANCIERAS</w:t>
      </w:r>
    </w:p>
    <w:p w14:paraId="0CDB6654" w14:textId="77777777" w:rsidR="001262FC" w:rsidRPr="00737712" w:rsidRDefault="001262FC" w:rsidP="00737712">
      <w:pPr>
        <w:jc w:val="both"/>
        <w:rPr>
          <w:rFonts w:ascii="Arial" w:hAnsi="Arial" w:cs="Arial"/>
          <w:b/>
          <w:lang w:eastAsia="es-CO"/>
        </w:rPr>
      </w:pPr>
    </w:p>
    <w:p w14:paraId="57F16879" w14:textId="77777777" w:rsidR="001262FC" w:rsidRPr="00737712" w:rsidRDefault="001262FC" w:rsidP="00737712">
      <w:pPr>
        <w:pStyle w:val="Prrafodelista"/>
        <w:numPr>
          <w:ilvl w:val="0"/>
          <w:numId w:val="14"/>
        </w:numPr>
        <w:jc w:val="both"/>
        <w:rPr>
          <w:rFonts w:ascii="Arial" w:hAnsi="Arial" w:cs="Arial"/>
          <w:b/>
          <w:lang w:eastAsia="es-CO"/>
        </w:rPr>
      </w:pPr>
      <w:r w:rsidRPr="00737712">
        <w:rPr>
          <w:rFonts w:ascii="Arial" w:hAnsi="Arial" w:cs="Arial"/>
          <w:b/>
          <w:lang w:eastAsia="es-CO"/>
        </w:rPr>
        <w:lastRenderedPageBreak/>
        <w:t xml:space="preserve">Histórico </w:t>
      </w:r>
    </w:p>
    <w:p w14:paraId="6341E07E" w14:textId="77777777" w:rsidR="001262FC" w:rsidRPr="00737712" w:rsidRDefault="001262FC" w:rsidP="00737712">
      <w:pPr>
        <w:jc w:val="both"/>
        <w:rPr>
          <w:rFonts w:ascii="Arial" w:hAnsi="Arial" w:cs="Arial"/>
        </w:rPr>
      </w:pPr>
    </w:p>
    <w:p w14:paraId="1EE7F876" w14:textId="2CEE976F" w:rsidR="00406D73" w:rsidRPr="00737712" w:rsidRDefault="00406D73" w:rsidP="00737712">
      <w:pPr>
        <w:jc w:val="center"/>
        <w:rPr>
          <w:rFonts w:ascii="Arial" w:hAnsi="Arial" w:cs="Arial"/>
        </w:rPr>
      </w:pPr>
      <w:r w:rsidRPr="00737712">
        <w:rPr>
          <w:rFonts w:ascii="Arial" w:hAnsi="Arial" w:cs="Arial"/>
          <w:noProof/>
          <w:lang w:val="es-CO" w:eastAsia="es-CO"/>
        </w:rPr>
        <w:drawing>
          <wp:inline distT="0" distB="0" distL="0" distR="0" wp14:anchorId="61BFF28D" wp14:editId="6BFD18BC">
            <wp:extent cx="5905051" cy="4105275"/>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76" t="10867" r="30244" b="5816"/>
                    <a:stretch/>
                  </pic:blipFill>
                  <pic:spPr bwMode="auto">
                    <a:xfrm>
                      <a:off x="0" y="0"/>
                      <a:ext cx="5917835" cy="4114163"/>
                    </a:xfrm>
                    <a:prstGeom prst="rect">
                      <a:avLst/>
                    </a:prstGeom>
                    <a:ln>
                      <a:noFill/>
                    </a:ln>
                    <a:extLst>
                      <a:ext uri="{53640926-AAD7-44D8-BBD7-CCE9431645EC}">
                        <a14:shadowObscured xmlns:a14="http://schemas.microsoft.com/office/drawing/2010/main"/>
                      </a:ext>
                    </a:extLst>
                  </pic:spPr>
                </pic:pic>
              </a:graphicData>
            </a:graphic>
          </wp:inline>
        </w:drawing>
      </w:r>
    </w:p>
    <w:p w14:paraId="5E91502B" w14:textId="77777777" w:rsidR="009234B8" w:rsidRPr="00737712" w:rsidRDefault="001262FC" w:rsidP="00737712">
      <w:pPr>
        <w:jc w:val="center"/>
        <w:rPr>
          <w:rFonts w:ascii="Arial" w:hAnsi="Arial" w:cs="Arial"/>
          <w:sz w:val="20"/>
          <w:szCs w:val="20"/>
        </w:rPr>
      </w:pPr>
      <w:r w:rsidRPr="00737712">
        <w:rPr>
          <w:rFonts w:ascii="Arial" w:hAnsi="Arial" w:cs="Arial"/>
          <w:sz w:val="20"/>
          <w:szCs w:val="20"/>
        </w:rPr>
        <w:t>Fuente: Diario La República. Disponible en: https://www.larepublica.co/finanzas/asi-ha-ha-sido-la-evolucion-del-4x1000-en-20-anos-y-las-propuestas-que-estan-en-la-mesa-2758394</w:t>
      </w:r>
    </w:p>
    <w:p w14:paraId="051A1CFA" w14:textId="77777777" w:rsidR="00B709C9" w:rsidRPr="00737712" w:rsidRDefault="00B709C9" w:rsidP="00737712">
      <w:pPr>
        <w:jc w:val="center"/>
        <w:rPr>
          <w:rFonts w:ascii="Arial" w:hAnsi="Arial" w:cs="Arial"/>
          <w:sz w:val="20"/>
          <w:szCs w:val="20"/>
        </w:rPr>
      </w:pPr>
    </w:p>
    <w:p w14:paraId="07BD6C3F" w14:textId="77777777" w:rsidR="001262FC" w:rsidRPr="00737712" w:rsidRDefault="00ED7D1D" w:rsidP="00737712">
      <w:pPr>
        <w:pStyle w:val="Prrafodelista"/>
        <w:numPr>
          <w:ilvl w:val="0"/>
          <w:numId w:val="14"/>
        </w:numPr>
        <w:jc w:val="both"/>
        <w:rPr>
          <w:rFonts w:ascii="Arial" w:hAnsi="Arial" w:cs="Arial"/>
        </w:rPr>
      </w:pPr>
      <w:r w:rsidRPr="00737712">
        <w:rPr>
          <w:rFonts w:ascii="Arial" w:hAnsi="Arial" w:cs="Arial"/>
          <w:b/>
        </w:rPr>
        <w:t>Impacto fiscal del proyecto</w:t>
      </w:r>
    </w:p>
    <w:p w14:paraId="08EE7293" w14:textId="77777777" w:rsidR="00756D12" w:rsidRPr="00737712" w:rsidRDefault="00756D12" w:rsidP="00737712">
      <w:pPr>
        <w:pStyle w:val="Prrafodelista"/>
        <w:jc w:val="both"/>
        <w:rPr>
          <w:rFonts w:ascii="Arial" w:hAnsi="Arial" w:cs="Arial"/>
        </w:rPr>
      </w:pPr>
    </w:p>
    <w:p w14:paraId="3EAE2208" w14:textId="5BF31255" w:rsidR="001262FC" w:rsidRPr="00737712" w:rsidRDefault="00406D73" w:rsidP="00134586">
      <w:pPr>
        <w:jc w:val="center"/>
        <w:rPr>
          <w:rFonts w:ascii="Arial" w:hAnsi="Arial" w:cs="Arial"/>
        </w:rPr>
      </w:pPr>
      <w:r w:rsidRPr="00737712">
        <w:rPr>
          <w:rFonts w:ascii="Arial" w:hAnsi="Arial" w:cs="Arial"/>
          <w:noProof/>
          <w:lang w:val="es-CO" w:eastAsia="es-CO"/>
        </w:rPr>
        <w:drawing>
          <wp:inline distT="0" distB="0" distL="0" distR="0" wp14:anchorId="171339E6" wp14:editId="0BB17EF6">
            <wp:extent cx="4677410" cy="2245512"/>
            <wp:effectExtent l="0" t="0" r="889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85" t="14490" r="7671" b="9136"/>
                    <a:stretch/>
                  </pic:blipFill>
                  <pic:spPr bwMode="auto">
                    <a:xfrm>
                      <a:off x="0" y="0"/>
                      <a:ext cx="4736842" cy="2274044"/>
                    </a:xfrm>
                    <a:prstGeom prst="rect">
                      <a:avLst/>
                    </a:prstGeom>
                    <a:ln>
                      <a:noFill/>
                    </a:ln>
                    <a:extLst>
                      <a:ext uri="{53640926-AAD7-44D8-BBD7-CCE9431645EC}">
                        <a14:shadowObscured xmlns:a14="http://schemas.microsoft.com/office/drawing/2010/main"/>
                      </a:ext>
                    </a:extLst>
                  </pic:spPr>
                </pic:pic>
              </a:graphicData>
            </a:graphic>
          </wp:inline>
        </w:drawing>
      </w:r>
    </w:p>
    <w:p w14:paraId="0616F95F" w14:textId="33605831" w:rsidR="001262FC" w:rsidRPr="00134586" w:rsidRDefault="001262FC" w:rsidP="00134586">
      <w:pPr>
        <w:jc w:val="center"/>
        <w:rPr>
          <w:rFonts w:ascii="Arial" w:hAnsi="Arial" w:cs="Arial"/>
          <w:sz w:val="20"/>
          <w:szCs w:val="20"/>
        </w:rPr>
      </w:pPr>
      <w:r w:rsidRPr="00737712">
        <w:rPr>
          <w:rFonts w:ascii="Arial" w:hAnsi="Arial" w:cs="Arial"/>
          <w:sz w:val="20"/>
          <w:szCs w:val="20"/>
        </w:rPr>
        <w:t>Fuente: Diario La República. Disponible en: https://www.larepublica.co/finanzas/asi-ha-ha-sido-la-evolucion-del-4x1000-en-20-anos-y-las-propuestas-que-estan-en-la-mesa-2758394</w:t>
      </w:r>
    </w:p>
    <w:p w14:paraId="7EC29EF7" w14:textId="77777777" w:rsidR="006E1A4D" w:rsidRPr="00737712" w:rsidRDefault="006E1A4D" w:rsidP="00737712">
      <w:pPr>
        <w:shd w:val="clear" w:color="auto" w:fill="FFFFFF"/>
        <w:jc w:val="both"/>
        <w:rPr>
          <w:rFonts w:ascii="Arial" w:hAnsi="Arial" w:cs="Arial"/>
          <w:b/>
          <w:lang w:eastAsia="es-CO"/>
        </w:rPr>
      </w:pPr>
      <w:r w:rsidRPr="00737712">
        <w:rPr>
          <w:rFonts w:ascii="Arial" w:hAnsi="Arial" w:cs="Arial"/>
          <w:b/>
          <w:lang w:eastAsia="es-CO"/>
        </w:rPr>
        <w:lastRenderedPageBreak/>
        <w:t>CONSIDERACIONES ACERCA DE LA IMPLEMENTACIÓN DEL GMF</w:t>
      </w:r>
    </w:p>
    <w:p w14:paraId="72DC0BEE" w14:textId="77777777" w:rsidR="006E1A4D" w:rsidRPr="00737712" w:rsidRDefault="006E1A4D" w:rsidP="00737712">
      <w:pPr>
        <w:jc w:val="both"/>
        <w:rPr>
          <w:rFonts w:ascii="Arial" w:hAnsi="Arial" w:cs="Arial"/>
        </w:rPr>
      </w:pPr>
    </w:p>
    <w:p w14:paraId="3A6966DD" w14:textId="56E737D9" w:rsidR="001262FC" w:rsidRPr="00737712" w:rsidRDefault="001262FC" w:rsidP="00737712">
      <w:pPr>
        <w:jc w:val="both"/>
        <w:rPr>
          <w:rFonts w:ascii="Arial" w:hAnsi="Arial" w:cs="Arial"/>
        </w:rPr>
      </w:pPr>
      <w:r w:rsidRPr="00737712">
        <w:rPr>
          <w:rFonts w:ascii="Arial" w:hAnsi="Arial" w:cs="Arial"/>
        </w:rPr>
        <w:t xml:space="preserve">Desde la teoría, los criterios de eficiencia y equidad son parte fundamental en la hoja de ruta que guía las decisiones en materia tributaria a través de sistemas progresivos o regresivos para la distribución de la renta. En este sentido, respecto al impuesto a las transacciones financieras se han debatido diversas posturas ya sea a favor de su permanencia con una tasa fija (como sucede desde hace varios años en Colombia) o a favor de un desmonte progresivo hasta su desaparición teniendo en cuenta los dos conceptos anteriormente mencionados. </w:t>
      </w:r>
    </w:p>
    <w:p w14:paraId="789BEC59" w14:textId="77777777" w:rsidR="001262FC" w:rsidRPr="00737712" w:rsidRDefault="001262FC" w:rsidP="00737712">
      <w:pPr>
        <w:jc w:val="both"/>
        <w:rPr>
          <w:rFonts w:ascii="Arial" w:hAnsi="Arial" w:cs="Arial"/>
        </w:rPr>
      </w:pPr>
    </w:p>
    <w:p w14:paraId="10C6F7CA" w14:textId="178877CA" w:rsidR="001262FC" w:rsidRPr="00737712" w:rsidRDefault="001262FC" w:rsidP="00737712">
      <w:pPr>
        <w:jc w:val="both"/>
        <w:rPr>
          <w:rFonts w:ascii="Arial" w:hAnsi="Arial" w:cs="Arial"/>
        </w:rPr>
      </w:pPr>
      <w:r w:rsidRPr="00737712">
        <w:rPr>
          <w:rFonts w:ascii="Arial" w:hAnsi="Arial" w:cs="Arial"/>
        </w:rPr>
        <w:t xml:space="preserve">Tal como se mencionaba anteriormente, en noviembre de 1998 y dadas las facultades que otorga al gobierno la Constitución de 1991 en situaciones de crisis económica, se creó “una contribución sin precedentes” en la historia fiscal del país; consistía pues en el gravamen a las transacciones financieras (retiros de cuentas corrientes y de ahorros, entre otras) con una tasa del 2x1000. En un primer momento, el tributo se extendería hasta finales de 1999, tiempo en el cual se estimaba podrían corregirse los problemas del sector financiero (liquidez) que llevaron a la declaratoria de la crisis; sin embargo, situaciones como el terremoto </w:t>
      </w:r>
      <w:r w:rsidR="00FE112A">
        <w:rPr>
          <w:rFonts w:ascii="Arial" w:hAnsi="Arial" w:cs="Arial"/>
        </w:rPr>
        <w:t>en el</w:t>
      </w:r>
      <w:r w:rsidRPr="00737712">
        <w:rPr>
          <w:rFonts w:ascii="Arial" w:hAnsi="Arial" w:cs="Arial"/>
        </w:rPr>
        <w:t xml:space="preserve"> eje cafetero provocaron su extensión hasta que dicho impuesto empiez</w:t>
      </w:r>
      <w:r w:rsidR="00FE112A">
        <w:rPr>
          <w:rFonts w:ascii="Arial" w:hAnsi="Arial" w:cs="Arial"/>
        </w:rPr>
        <w:t>ó</w:t>
      </w:r>
      <w:r w:rsidRPr="00737712">
        <w:rPr>
          <w:rFonts w:ascii="Arial" w:hAnsi="Arial" w:cs="Arial"/>
        </w:rPr>
        <w:t xml:space="preserve"> a dibujarse como “pieza fundamental” en la estructura tributaria (teniendo en cuenta que ya se contemplaba dentro de la reforma tributaria que el ejecutivo presentó al Congreso en </w:t>
      </w:r>
      <w:r w:rsidR="00FE112A">
        <w:rPr>
          <w:rFonts w:ascii="Arial" w:hAnsi="Arial" w:cs="Arial"/>
        </w:rPr>
        <w:t xml:space="preserve">el </w:t>
      </w:r>
      <w:r w:rsidRPr="00737712">
        <w:rPr>
          <w:rFonts w:ascii="Arial" w:hAnsi="Arial" w:cs="Arial"/>
        </w:rPr>
        <w:t>2000), principalmente por los niveles de recaudo que había generado en un momento en que las necesidades de recursos fiscales interactuaban con la imposibilidad de hacer ajustes significativos al gasto público .</w:t>
      </w:r>
      <w:r w:rsidRPr="00737712">
        <w:rPr>
          <w:rStyle w:val="Refdenotaalpie"/>
          <w:rFonts w:ascii="Arial" w:hAnsi="Arial" w:cs="Arial"/>
          <w:bCs/>
        </w:rPr>
        <w:footnoteReference w:id="11"/>
      </w:r>
    </w:p>
    <w:p w14:paraId="3C1CB1C3" w14:textId="77777777" w:rsidR="001262FC" w:rsidRPr="00737712" w:rsidRDefault="001262FC" w:rsidP="00737712">
      <w:pPr>
        <w:jc w:val="both"/>
        <w:rPr>
          <w:rFonts w:ascii="Arial" w:hAnsi="Arial" w:cs="Arial"/>
        </w:rPr>
      </w:pPr>
    </w:p>
    <w:p w14:paraId="33DC5437" w14:textId="10B1A681" w:rsidR="001262FC" w:rsidRPr="00737712" w:rsidRDefault="001262FC" w:rsidP="00737712">
      <w:pPr>
        <w:jc w:val="both"/>
        <w:rPr>
          <w:rFonts w:ascii="Arial" w:hAnsi="Arial" w:cs="Arial"/>
        </w:rPr>
      </w:pPr>
      <w:r w:rsidRPr="00737712">
        <w:rPr>
          <w:rFonts w:ascii="Arial" w:hAnsi="Arial" w:cs="Arial"/>
        </w:rPr>
        <w:t>Algunas de las posturas alrededor del establecimiento y la implementación de este tipo de tributo, son aquellas que señalan problemas de eficiencia relacionados con el incremento en los costos de uso del capital</w:t>
      </w:r>
      <w:r w:rsidR="00FE112A">
        <w:rPr>
          <w:rFonts w:ascii="Arial" w:hAnsi="Arial" w:cs="Arial"/>
        </w:rPr>
        <w:t>,</w:t>
      </w:r>
      <w:r w:rsidRPr="00737712">
        <w:rPr>
          <w:rFonts w:ascii="Arial" w:hAnsi="Arial" w:cs="Arial"/>
        </w:rPr>
        <w:t xml:space="preserve"> con la alteración en la estructura de financiamiento de las empresas</w:t>
      </w:r>
      <w:r w:rsidR="00FE112A">
        <w:rPr>
          <w:rFonts w:ascii="Arial" w:hAnsi="Arial" w:cs="Arial"/>
        </w:rPr>
        <w:t>, con</w:t>
      </w:r>
      <w:r w:rsidRPr="00737712">
        <w:rPr>
          <w:rFonts w:ascii="Arial" w:hAnsi="Arial" w:cs="Arial"/>
        </w:rPr>
        <w:t xml:space="preserve"> un desestímulo en las operaciones financieras de corto plazo y </w:t>
      </w:r>
      <w:r w:rsidR="00FE112A">
        <w:rPr>
          <w:rFonts w:ascii="Arial" w:hAnsi="Arial" w:cs="Arial"/>
        </w:rPr>
        <w:t xml:space="preserve">con </w:t>
      </w:r>
      <w:r w:rsidRPr="00737712">
        <w:rPr>
          <w:rFonts w:ascii="Arial" w:hAnsi="Arial" w:cs="Arial"/>
        </w:rPr>
        <w:t xml:space="preserve">una reducción en la rentabilidad efectiva de los recursos depositados en las cuentas corrientes y de ahorros que impacta directamente en el desestímulo antes nombrado, generando preferencias por otro tipo de mecanismos no gravados con este impuesto. </w:t>
      </w:r>
      <w:r w:rsidR="00FE112A">
        <w:rPr>
          <w:rFonts w:ascii="Arial" w:hAnsi="Arial" w:cs="Arial"/>
        </w:rPr>
        <w:t>S</w:t>
      </w:r>
      <w:r w:rsidRPr="00737712">
        <w:rPr>
          <w:rFonts w:ascii="Arial" w:hAnsi="Arial" w:cs="Arial"/>
        </w:rPr>
        <w:t>e ha señalado</w:t>
      </w:r>
      <w:r w:rsidR="00FE112A">
        <w:rPr>
          <w:rFonts w:ascii="Arial" w:hAnsi="Arial" w:cs="Arial"/>
        </w:rPr>
        <w:t xml:space="preserve"> benéfica,</w:t>
      </w:r>
      <w:r w:rsidRPr="00737712">
        <w:rPr>
          <w:rFonts w:ascii="Arial" w:hAnsi="Arial" w:cs="Arial"/>
        </w:rPr>
        <w:t xml:space="preserve"> la eficacia del tributo </w:t>
      </w:r>
      <w:r w:rsidR="00FE112A">
        <w:rPr>
          <w:rFonts w:ascii="Arial" w:hAnsi="Arial" w:cs="Arial"/>
        </w:rPr>
        <w:t>por ser</w:t>
      </w:r>
      <w:r w:rsidRPr="00737712">
        <w:rPr>
          <w:rFonts w:ascii="Arial" w:hAnsi="Arial" w:cs="Arial"/>
        </w:rPr>
        <w:t xml:space="preserve"> “fuente potencial de rentas fiscales y como mecanismo efectivo para reducir el exceso de volatilidad de los mercados financieros”.</w:t>
      </w:r>
      <w:r w:rsidRPr="00737712">
        <w:rPr>
          <w:rStyle w:val="Refdenotaalpie"/>
          <w:rFonts w:ascii="Arial" w:hAnsi="Arial" w:cs="Arial"/>
          <w:bCs/>
        </w:rPr>
        <w:footnoteReference w:id="12"/>
      </w:r>
      <w:r w:rsidR="005C52E6" w:rsidRPr="00737712">
        <w:rPr>
          <w:rFonts w:ascii="Arial" w:hAnsi="Arial" w:cs="Arial"/>
        </w:rPr>
        <w:t xml:space="preserve"> </w:t>
      </w:r>
      <w:r w:rsidRPr="00737712">
        <w:rPr>
          <w:rFonts w:ascii="Arial" w:hAnsi="Arial" w:cs="Arial"/>
        </w:rPr>
        <w:t>Tal como se mencionó en los antecedentes, en la última reforma tributaria se propuso nuevamente un desmonte de este impuesto iniciando en el año 2018 y finalizando en el 2022 con su desaparición. Sin embargo</w:t>
      </w:r>
      <w:r w:rsidR="00FE112A">
        <w:rPr>
          <w:rFonts w:ascii="Arial" w:hAnsi="Arial" w:cs="Arial"/>
        </w:rPr>
        <w:t xml:space="preserve">, </w:t>
      </w:r>
      <w:r w:rsidRPr="00737712">
        <w:rPr>
          <w:rFonts w:ascii="Arial" w:hAnsi="Arial" w:cs="Arial"/>
        </w:rPr>
        <w:t>además de algunos de los beneficios antes señalados,</w:t>
      </w:r>
      <w:r w:rsidR="00134586">
        <w:rPr>
          <w:rFonts w:ascii="Arial" w:hAnsi="Arial" w:cs="Arial"/>
        </w:rPr>
        <w:t xml:space="preserve"> </w:t>
      </w:r>
      <w:r w:rsidRPr="00737712">
        <w:rPr>
          <w:rFonts w:ascii="Arial" w:hAnsi="Arial" w:cs="Arial"/>
        </w:rPr>
        <w:lastRenderedPageBreak/>
        <w:t>para el 2018 se calculó una participación de cerca del 5% del recaudo total lo que hace difícil pensar en un desmonte total del mismo.</w:t>
      </w:r>
      <w:r w:rsidRPr="00737712">
        <w:rPr>
          <w:rStyle w:val="Refdenotaalpie"/>
          <w:rFonts w:ascii="Arial" w:hAnsi="Arial" w:cs="Arial"/>
          <w:bCs/>
        </w:rPr>
        <w:footnoteReference w:id="13"/>
      </w:r>
      <w:r w:rsidRPr="00737712">
        <w:rPr>
          <w:rFonts w:ascii="Arial" w:hAnsi="Arial" w:cs="Arial"/>
        </w:rPr>
        <w:t xml:space="preserve"> </w:t>
      </w:r>
    </w:p>
    <w:p w14:paraId="26979BAC" w14:textId="77777777" w:rsidR="001262FC" w:rsidRPr="00737712" w:rsidRDefault="001262FC" w:rsidP="00737712">
      <w:pPr>
        <w:jc w:val="both"/>
        <w:rPr>
          <w:rFonts w:ascii="Arial" w:hAnsi="Arial" w:cs="Arial"/>
        </w:rPr>
      </w:pPr>
    </w:p>
    <w:p w14:paraId="213BD939" w14:textId="2849FBBF" w:rsidR="001262FC" w:rsidRPr="00737712" w:rsidRDefault="001262FC" w:rsidP="00737712">
      <w:pPr>
        <w:jc w:val="both"/>
        <w:rPr>
          <w:rFonts w:ascii="Arial" w:hAnsi="Arial" w:cs="Arial"/>
        </w:rPr>
      </w:pPr>
      <w:r w:rsidRPr="00737712">
        <w:rPr>
          <w:rFonts w:ascii="Arial" w:hAnsi="Arial" w:cs="Arial"/>
        </w:rPr>
        <w:t xml:space="preserve">Una de las dificultades que ha representado este impuesto para el sector financiero, es que se percibe como un obstáculo para aumentar la bancarización a nivel nacional. </w:t>
      </w:r>
      <w:r w:rsidR="00600A32" w:rsidRPr="00737712">
        <w:rPr>
          <w:rFonts w:ascii="Arial" w:hAnsi="Arial" w:cs="Arial"/>
        </w:rPr>
        <w:t>En varios de los informes y estudios que se han realizado sobre esta materia, dentro de las medidas que se contemplan para aumentar los porcentajes de bancarización ha estado presente el desmonte progresivo del impuesto a las transacciones financieras, teniendo en cuenta que el proceso de bancarización desestimula el uso del efectivo permitiendo a su vez aumentar el reconocimiento fiscal de costos y deducciones, pasivos e impuestos descontables</w:t>
      </w:r>
      <w:r w:rsidR="008C20C9" w:rsidRPr="00737712">
        <w:rPr>
          <w:rFonts w:ascii="Arial" w:hAnsi="Arial" w:cs="Arial"/>
        </w:rPr>
        <w:t>.</w:t>
      </w:r>
      <w:r w:rsidR="008C20C9" w:rsidRPr="00737712">
        <w:rPr>
          <w:rStyle w:val="Refdenotaalpie"/>
          <w:rFonts w:ascii="Arial" w:hAnsi="Arial" w:cs="Arial"/>
          <w:bCs/>
        </w:rPr>
        <w:footnoteReference w:id="14"/>
      </w:r>
      <w:r w:rsidR="005C52E6" w:rsidRPr="00737712">
        <w:rPr>
          <w:rFonts w:ascii="Arial" w:hAnsi="Arial" w:cs="Arial"/>
        </w:rPr>
        <w:t xml:space="preserve"> Al respecto, cabe mencionar que entre 2008 y 2014 el porcentaje de población adulta bancarizada pasó del 56% al 73%; sin embargo, solo el 53% de los bancarizados</w:t>
      </w:r>
      <w:r w:rsidR="00134586">
        <w:rPr>
          <w:rFonts w:ascii="Arial" w:hAnsi="Arial" w:cs="Arial"/>
        </w:rPr>
        <w:t xml:space="preserve"> </w:t>
      </w:r>
      <w:r w:rsidR="005C52E6" w:rsidRPr="00737712">
        <w:rPr>
          <w:rFonts w:ascii="Arial" w:hAnsi="Arial" w:cs="Arial"/>
        </w:rPr>
        <w:t>hace uso de sus productos financieros.</w:t>
      </w:r>
      <w:r w:rsidR="005C52E6" w:rsidRPr="00737712">
        <w:rPr>
          <w:rStyle w:val="Refdenotaalpie"/>
          <w:rFonts w:ascii="Arial" w:hAnsi="Arial" w:cs="Arial"/>
          <w:bCs/>
        </w:rPr>
        <w:footnoteReference w:id="15"/>
      </w:r>
      <w:r w:rsidR="005C52E6" w:rsidRPr="00737712">
        <w:rPr>
          <w:rFonts w:ascii="Arial" w:hAnsi="Arial" w:cs="Arial"/>
        </w:rPr>
        <w:t xml:space="preserve"> En septiembre de 2019, la cifra de adultos bancarizados fue de 29 millones, es decir, el 83,3% de la población adulta del país.</w:t>
      </w:r>
      <w:r w:rsidR="005C52E6" w:rsidRPr="00737712">
        <w:rPr>
          <w:rStyle w:val="Refdenotaalpie"/>
          <w:rFonts w:ascii="Arial" w:hAnsi="Arial" w:cs="Arial"/>
          <w:bCs/>
        </w:rPr>
        <w:footnoteReference w:id="16"/>
      </w:r>
      <w:r w:rsidR="005C52E6" w:rsidRPr="00737712">
        <w:rPr>
          <w:rFonts w:ascii="Arial" w:hAnsi="Arial" w:cs="Arial"/>
        </w:rPr>
        <w:t xml:space="preserve"> </w:t>
      </w:r>
    </w:p>
    <w:p w14:paraId="10091AFB" w14:textId="77777777" w:rsidR="005C52E6" w:rsidRPr="00737712" w:rsidRDefault="005C52E6" w:rsidP="00737712">
      <w:pPr>
        <w:jc w:val="both"/>
        <w:rPr>
          <w:rFonts w:ascii="Arial" w:hAnsi="Arial" w:cs="Arial"/>
        </w:rPr>
      </w:pPr>
    </w:p>
    <w:p w14:paraId="485CB64C" w14:textId="77777777" w:rsidR="001262FC" w:rsidRPr="00737712" w:rsidRDefault="00756D12" w:rsidP="00737712">
      <w:pPr>
        <w:pStyle w:val="Prrafodelista"/>
        <w:numPr>
          <w:ilvl w:val="0"/>
          <w:numId w:val="14"/>
        </w:numPr>
        <w:jc w:val="both"/>
        <w:rPr>
          <w:rFonts w:ascii="Arial" w:hAnsi="Arial" w:cs="Arial"/>
        </w:rPr>
      </w:pPr>
      <w:r w:rsidRPr="00737712">
        <w:rPr>
          <w:rFonts w:ascii="Arial" w:hAnsi="Arial" w:cs="Arial"/>
          <w:b/>
        </w:rPr>
        <w:t>Colombia respecto a la implementación del impuesto a las transacciones financieras en otros países del continente</w:t>
      </w:r>
    </w:p>
    <w:p w14:paraId="27CA5468" w14:textId="77777777" w:rsidR="001262FC" w:rsidRPr="00737712" w:rsidRDefault="001262FC" w:rsidP="00737712">
      <w:pPr>
        <w:jc w:val="both"/>
        <w:rPr>
          <w:rFonts w:ascii="Arial" w:hAnsi="Arial" w:cs="Arial"/>
        </w:rPr>
      </w:pPr>
    </w:p>
    <w:p w14:paraId="1814E89C" w14:textId="22731555" w:rsidR="000F261B" w:rsidRPr="00737712" w:rsidRDefault="001262FC" w:rsidP="00737712">
      <w:pPr>
        <w:jc w:val="both"/>
        <w:rPr>
          <w:rFonts w:ascii="Arial" w:hAnsi="Arial" w:cs="Arial"/>
        </w:rPr>
      </w:pPr>
      <w:r w:rsidRPr="00737712">
        <w:rPr>
          <w:rFonts w:ascii="Arial" w:hAnsi="Arial" w:cs="Arial"/>
        </w:rPr>
        <w:t xml:space="preserve">De acuerdo </w:t>
      </w:r>
      <w:r w:rsidR="00062D58">
        <w:rPr>
          <w:rFonts w:ascii="Arial" w:hAnsi="Arial" w:cs="Arial"/>
        </w:rPr>
        <w:t>con el</w:t>
      </w:r>
      <w:r w:rsidRPr="00737712">
        <w:rPr>
          <w:rFonts w:ascii="Arial" w:hAnsi="Arial" w:cs="Arial"/>
        </w:rPr>
        <w:t xml:space="preserve"> estudio de Lozano y Ramos citado ante</w:t>
      </w:r>
      <w:r w:rsidR="00062D58">
        <w:rPr>
          <w:rFonts w:ascii="Arial" w:hAnsi="Arial" w:cs="Arial"/>
        </w:rPr>
        <w:t>s</w:t>
      </w:r>
      <w:r w:rsidRPr="00737712">
        <w:rPr>
          <w:rFonts w:ascii="Arial" w:hAnsi="Arial" w:cs="Arial"/>
        </w:rPr>
        <w:t xml:space="preserve">, hacia el año 2000, en varios países de América Latina el impuesto a las transacciones financieras fue adoptado de diversas formas orientadas principalmente a controlar los movimientos de capitales especulativos y generar nuevas rentas fiscales. </w:t>
      </w:r>
      <w:r w:rsidR="00E72342" w:rsidRPr="00737712">
        <w:rPr>
          <w:rFonts w:ascii="Arial" w:hAnsi="Arial" w:cs="Arial"/>
        </w:rPr>
        <w:t>U</w:t>
      </w:r>
      <w:r w:rsidR="00704175" w:rsidRPr="00737712">
        <w:rPr>
          <w:rFonts w:ascii="Arial" w:hAnsi="Arial" w:cs="Arial"/>
        </w:rPr>
        <w:t>n estudio publicado por la Comisión Económica para América Latina</w:t>
      </w:r>
      <w:r w:rsidR="00F73983" w:rsidRPr="00737712">
        <w:rPr>
          <w:rFonts w:ascii="Arial" w:hAnsi="Arial" w:cs="Arial"/>
        </w:rPr>
        <w:t xml:space="preserve"> y el Caribe</w:t>
      </w:r>
      <w:r w:rsidR="00704175" w:rsidRPr="00737712">
        <w:rPr>
          <w:rFonts w:ascii="Arial" w:hAnsi="Arial" w:cs="Arial"/>
        </w:rPr>
        <w:t xml:space="preserve"> – CEPAL en junio de 2012, </w:t>
      </w:r>
      <w:r w:rsidR="00E72342" w:rsidRPr="00737712">
        <w:rPr>
          <w:rFonts w:ascii="Arial" w:hAnsi="Arial" w:cs="Arial"/>
        </w:rPr>
        <w:t xml:space="preserve">clasifica, </w:t>
      </w:r>
      <w:r w:rsidR="00704175" w:rsidRPr="00737712">
        <w:rPr>
          <w:rFonts w:ascii="Arial" w:hAnsi="Arial" w:cs="Arial"/>
        </w:rPr>
        <w:t>entre los tipos de impuestos a las transacciones financieras</w:t>
      </w:r>
      <w:r w:rsidR="00E72342" w:rsidRPr="00737712">
        <w:rPr>
          <w:rFonts w:ascii="Arial" w:hAnsi="Arial" w:cs="Arial"/>
        </w:rPr>
        <w:t xml:space="preserve">, los siguientes: </w:t>
      </w:r>
      <w:r w:rsidR="00704175" w:rsidRPr="00737712">
        <w:rPr>
          <w:rFonts w:ascii="Arial" w:hAnsi="Arial" w:cs="Arial"/>
        </w:rPr>
        <w:t>el Impuesto al Débito/Crédito Bancario (IDB); el Impuesto a las Transacciones de Valores (ITV); y el Impuesto a las Transacciones de Divisas (ITD), siendo el más utilizado en el continente el Impue</w:t>
      </w:r>
      <w:r w:rsidR="004E1885" w:rsidRPr="00737712">
        <w:rPr>
          <w:rFonts w:ascii="Arial" w:hAnsi="Arial" w:cs="Arial"/>
        </w:rPr>
        <w:t xml:space="preserve">sto al Débito/Crédito Bancario cuya base son los retiros y/o depósitos de cuentas bancarias y el propósito la recaudación de ingresos fiscales. </w:t>
      </w:r>
      <w:r w:rsidR="000F261B" w:rsidRPr="00737712">
        <w:rPr>
          <w:rFonts w:ascii="Arial" w:hAnsi="Arial" w:cs="Arial"/>
        </w:rPr>
        <w:t xml:space="preserve">Respecto al mismo, </w:t>
      </w:r>
      <w:r w:rsidR="00E72342" w:rsidRPr="00737712">
        <w:rPr>
          <w:rFonts w:ascii="Arial" w:hAnsi="Arial" w:cs="Arial"/>
        </w:rPr>
        <w:t>el estudio destaca</w:t>
      </w:r>
      <w:r w:rsidR="000F261B" w:rsidRPr="00737712">
        <w:rPr>
          <w:rFonts w:ascii="Arial" w:hAnsi="Arial" w:cs="Arial"/>
        </w:rPr>
        <w:t xml:space="preserve"> las siguientes características:</w:t>
      </w:r>
    </w:p>
    <w:p w14:paraId="752C5F71" w14:textId="77777777" w:rsidR="000F261B" w:rsidRPr="00737712" w:rsidRDefault="000F261B" w:rsidP="00737712">
      <w:pPr>
        <w:jc w:val="both"/>
        <w:rPr>
          <w:rFonts w:ascii="Arial" w:hAnsi="Arial" w:cs="Arial"/>
        </w:rPr>
      </w:pPr>
    </w:p>
    <w:p w14:paraId="425669C9" w14:textId="77777777" w:rsidR="000F261B" w:rsidRPr="00737712" w:rsidRDefault="000F261B" w:rsidP="00737712">
      <w:pPr>
        <w:pStyle w:val="Prrafodelista"/>
        <w:numPr>
          <w:ilvl w:val="0"/>
          <w:numId w:val="14"/>
        </w:numPr>
        <w:jc w:val="both"/>
        <w:rPr>
          <w:rFonts w:ascii="Arial" w:hAnsi="Arial" w:cs="Arial"/>
        </w:rPr>
      </w:pPr>
      <w:r w:rsidRPr="00737712">
        <w:rPr>
          <w:rFonts w:ascii="Arial" w:hAnsi="Arial" w:cs="Arial"/>
        </w:rPr>
        <w:lastRenderedPageBreak/>
        <w:t xml:space="preserve">Había sido implementado en varios países de América Latina y Asia como una medida </w:t>
      </w:r>
      <w:r w:rsidRPr="00062D58">
        <w:rPr>
          <w:rFonts w:ascii="Arial" w:hAnsi="Arial" w:cs="Arial"/>
        </w:rPr>
        <w:t xml:space="preserve">temporal </w:t>
      </w:r>
      <w:r w:rsidRPr="00737712">
        <w:rPr>
          <w:rFonts w:ascii="Arial" w:hAnsi="Arial" w:cs="Arial"/>
        </w:rPr>
        <w:t>para aliviar las crisis financieras pero que con el tiempo se transformó en un impuesto permanente (caso Colombia)</w:t>
      </w:r>
    </w:p>
    <w:p w14:paraId="0825280D" w14:textId="77777777" w:rsidR="006A1358" w:rsidRPr="00737712" w:rsidRDefault="006A1358" w:rsidP="00737712">
      <w:pPr>
        <w:pStyle w:val="Prrafodelista"/>
        <w:jc w:val="both"/>
        <w:rPr>
          <w:rFonts w:ascii="Arial" w:hAnsi="Arial" w:cs="Arial"/>
        </w:rPr>
      </w:pPr>
    </w:p>
    <w:p w14:paraId="147E4102" w14:textId="77777777" w:rsidR="000F261B" w:rsidRPr="00737712" w:rsidRDefault="000F261B" w:rsidP="00737712">
      <w:pPr>
        <w:pStyle w:val="Prrafodelista"/>
        <w:numPr>
          <w:ilvl w:val="0"/>
          <w:numId w:val="14"/>
        </w:numPr>
        <w:jc w:val="both"/>
        <w:rPr>
          <w:rFonts w:ascii="Arial" w:hAnsi="Arial" w:cs="Arial"/>
        </w:rPr>
      </w:pPr>
      <w:r w:rsidRPr="00737712">
        <w:rPr>
          <w:rFonts w:ascii="Arial" w:hAnsi="Arial" w:cs="Arial"/>
        </w:rPr>
        <w:t>Las tasas fijadas se habrían mantenido entre el 0.25% y el 3% (teniendo en cuenta que en algunos países se han aplicado exenciones o tasas preferenciales para transacciones hechas por cierto tipo de instituciones ya sea gubernamentales, bancas centrales, entre otras</w:t>
      </w:r>
    </w:p>
    <w:p w14:paraId="4A90ABBD" w14:textId="77777777" w:rsidR="006A1358" w:rsidRPr="00737712" w:rsidRDefault="006A1358" w:rsidP="00737712">
      <w:pPr>
        <w:jc w:val="both"/>
        <w:rPr>
          <w:rFonts w:ascii="Arial" w:hAnsi="Arial" w:cs="Arial"/>
        </w:rPr>
      </w:pPr>
    </w:p>
    <w:p w14:paraId="2B194C7A" w14:textId="77777777" w:rsidR="000F261B" w:rsidRPr="00737712" w:rsidRDefault="000F261B" w:rsidP="00737712">
      <w:pPr>
        <w:pStyle w:val="Prrafodelista"/>
        <w:numPr>
          <w:ilvl w:val="0"/>
          <w:numId w:val="14"/>
        </w:numPr>
        <w:jc w:val="both"/>
        <w:rPr>
          <w:rFonts w:ascii="Arial" w:hAnsi="Arial" w:cs="Arial"/>
        </w:rPr>
      </w:pPr>
      <w:r w:rsidRPr="00737712">
        <w:rPr>
          <w:rFonts w:ascii="Arial" w:hAnsi="Arial" w:cs="Arial"/>
        </w:rPr>
        <w:t xml:space="preserve">La base impositiva ha sido mayoritariamente sobre el débito (retiro) de cheques, cuentas corriente y de ahorros, así como al retiro de préstamos </w:t>
      </w:r>
    </w:p>
    <w:p w14:paraId="04979D7F" w14:textId="77777777" w:rsidR="006A1358" w:rsidRPr="00737712" w:rsidRDefault="006A1358" w:rsidP="00737712">
      <w:pPr>
        <w:jc w:val="both"/>
        <w:rPr>
          <w:rFonts w:ascii="Arial" w:hAnsi="Arial" w:cs="Arial"/>
        </w:rPr>
      </w:pPr>
    </w:p>
    <w:p w14:paraId="4781B4F4" w14:textId="77777777" w:rsidR="000F261B" w:rsidRPr="00737712" w:rsidRDefault="000F261B" w:rsidP="00737712">
      <w:pPr>
        <w:pStyle w:val="Prrafodelista"/>
        <w:numPr>
          <w:ilvl w:val="0"/>
          <w:numId w:val="14"/>
        </w:numPr>
        <w:jc w:val="both"/>
        <w:rPr>
          <w:rFonts w:ascii="Arial" w:hAnsi="Arial" w:cs="Arial"/>
        </w:rPr>
      </w:pPr>
      <w:r w:rsidRPr="00737712">
        <w:rPr>
          <w:rFonts w:ascii="Arial" w:hAnsi="Arial" w:cs="Arial"/>
        </w:rPr>
        <w:t>El recaudo generado de este tipo de impuesto varía de un país a otro, pero generalmente ha sido del orden del 1% del PIB</w:t>
      </w:r>
    </w:p>
    <w:p w14:paraId="5607C7BC" w14:textId="77777777" w:rsidR="00CD2B84" w:rsidRPr="00737712" w:rsidRDefault="00CD2B84" w:rsidP="00737712">
      <w:pPr>
        <w:jc w:val="both"/>
        <w:rPr>
          <w:rFonts w:ascii="Arial" w:hAnsi="Arial" w:cs="Arial"/>
        </w:rPr>
      </w:pPr>
    </w:p>
    <w:p w14:paraId="03866200" w14:textId="548FE47E" w:rsidR="005974CF" w:rsidRDefault="00E72342" w:rsidP="00737712">
      <w:pPr>
        <w:jc w:val="both"/>
        <w:rPr>
          <w:rFonts w:ascii="Arial" w:hAnsi="Arial" w:cs="Arial"/>
        </w:rPr>
      </w:pPr>
      <w:r w:rsidRPr="00737712">
        <w:rPr>
          <w:rFonts w:ascii="Arial" w:hAnsi="Arial" w:cs="Arial"/>
        </w:rPr>
        <w:t>C</w:t>
      </w:r>
      <w:r w:rsidR="005974CF" w:rsidRPr="00737712">
        <w:rPr>
          <w:rFonts w:ascii="Arial" w:hAnsi="Arial" w:cs="Arial"/>
        </w:rPr>
        <w:t xml:space="preserve">omo parte de los efectos adversos de este tipo de impuestos, </w:t>
      </w:r>
      <w:r w:rsidR="00596E1D" w:rsidRPr="00737712">
        <w:rPr>
          <w:rFonts w:ascii="Arial" w:hAnsi="Arial" w:cs="Arial"/>
        </w:rPr>
        <w:t xml:space="preserve">el informe señala </w:t>
      </w:r>
      <w:r w:rsidR="005974CF" w:rsidRPr="00737712">
        <w:rPr>
          <w:rFonts w:ascii="Arial" w:hAnsi="Arial" w:cs="Arial"/>
        </w:rPr>
        <w:t>que se puede incrementar la tenencia de efectivo en tanto sería una manera de evitar su pago, al tiempo que hay una disminución en el uso de d</w:t>
      </w:r>
      <w:r w:rsidR="0042769E" w:rsidRPr="00737712">
        <w:rPr>
          <w:rFonts w:ascii="Arial" w:hAnsi="Arial" w:cs="Arial"/>
        </w:rPr>
        <w:t>epósitos bancarios; que dada la elasticidad de la base (retiros y/o depósitos) con respecto a las tasas del impuesto (que tienden a ser altas) hay un incentivo para la desintermediación y como resultado de esta, una disminución de la productividad del impuesto (ingresos como porcentaje del PIB). También señala un posible debilitamiento del sistema financiero (con un crecimiento paralelo de sectores informales) y que la productividad de este tributo depende de la tasa utilizada, en la medida que a tasas más altas es mayor el incentivo para la evasión.</w:t>
      </w:r>
      <w:r w:rsidR="0042769E" w:rsidRPr="00737712">
        <w:rPr>
          <w:rStyle w:val="Refdenotaalpie"/>
          <w:rFonts w:ascii="Arial" w:hAnsi="Arial" w:cs="Arial"/>
          <w:bCs/>
        </w:rPr>
        <w:footnoteReference w:id="17"/>
      </w:r>
      <w:r w:rsidR="00596E1D" w:rsidRPr="00737712">
        <w:rPr>
          <w:rFonts w:ascii="Arial" w:hAnsi="Arial" w:cs="Arial"/>
        </w:rPr>
        <w:t xml:space="preserve"> Al respecto cabe mencionar que Colombia, además de ser uno de los países en donde este tributo pasó a ser permanente de manera más rápida, también e</w:t>
      </w:r>
      <w:r w:rsidR="006A1358" w:rsidRPr="00737712">
        <w:rPr>
          <w:rFonts w:ascii="Arial" w:hAnsi="Arial" w:cs="Arial"/>
        </w:rPr>
        <w:t xml:space="preserve">s un país con la tarifa más alta. </w:t>
      </w:r>
    </w:p>
    <w:p w14:paraId="2F3D989B" w14:textId="3BEA26E1" w:rsidR="00134586" w:rsidRDefault="00134586" w:rsidP="00737712">
      <w:pPr>
        <w:jc w:val="both"/>
        <w:rPr>
          <w:rFonts w:ascii="Arial" w:hAnsi="Arial" w:cs="Arial"/>
        </w:rPr>
      </w:pPr>
    </w:p>
    <w:p w14:paraId="294E0D5C" w14:textId="77777777" w:rsidR="00134586" w:rsidRDefault="00134586" w:rsidP="00134586">
      <w:pPr>
        <w:outlineLvl w:val="0"/>
        <w:rPr>
          <w:rFonts w:ascii="Arial" w:hAnsi="Arial" w:cs="Arial"/>
        </w:rPr>
      </w:pPr>
      <w:r w:rsidRPr="00737712">
        <w:rPr>
          <w:rFonts w:ascii="Arial" w:hAnsi="Arial" w:cs="Arial"/>
        </w:rPr>
        <w:t xml:space="preserve">Cordialmente, </w:t>
      </w:r>
    </w:p>
    <w:p w14:paraId="25D7CA8B" w14:textId="77777777" w:rsidR="00134586" w:rsidRDefault="00134586" w:rsidP="00134586">
      <w:pPr>
        <w:outlineLvl w:val="0"/>
        <w:rPr>
          <w:rFonts w:ascii="Arial" w:hAnsi="Arial" w:cs="Arial"/>
        </w:rPr>
      </w:pPr>
    </w:p>
    <w:tbl>
      <w:tblPr>
        <w:tblStyle w:val="Tablaconcuadrcula"/>
        <w:tblW w:w="0" w:type="auto"/>
        <w:tblLook w:val="04A0" w:firstRow="1" w:lastRow="0" w:firstColumn="1" w:lastColumn="0" w:noHBand="0" w:noVBand="1"/>
      </w:tblPr>
      <w:tblGrid>
        <w:gridCol w:w="4414"/>
        <w:gridCol w:w="4414"/>
      </w:tblGrid>
      <w:tr w:rsidR="00134586" w:rsidRPr="00737712" w14:paraId="7B7385F6" w14:textId="77777777" w:rsidTr="00171CA5">
        <w:tc>
          <w:tcPr>
            <w:tcW w:w="4414" w:type="dxa"/>
          </w:tcPr>
          <w:p w14:paraId="628203AC" w14:textId="77777777" w:rsidR="00134586" w:rsidRPr="00737712" w:rsidRDefault="00134586" w:rsidP="00171CA5">
            <w:pPr>
              <w:outlineLvl w:val="0"/>
              <w:rPr>
                <w:rFonts w:ascii="Arial" w:hAnsi="Arial" w:cs="Arial"/>
              </w:rPr>
            </w:pPr>
          </w:p>
          <w:p w14:paraId="30D3BAC5" w14:textId="77777777" w:rsidR="00134586" w:rsidRPr="00737712" w:rsidRDefault="00134586" w:rsidP="00171CA5">
            <w:pPr>
              <w:outlineLvl w:val="0"/>
              <w:rPr>
                <w:rFonts w:ascii="Arial" w:hAnsi="Arial" w:cs="Arial"/>
              </w:rPr>
            </w:pPr>
            <w:r w:rsidRPr="00737712">
              <w:rPr>
                <w:rFonts w:ascii="Arial" w:hAnsi="Arial" w:cs="Arial"/>
                <w:noProof/>
                <w:lang w:val="es-CO" w:eastAsia="es-CO"/>
              </w:rPr>
              <w:drawing>
                <wp:anchor distT="0" distB="0" distL="114300" distR="114300" simplePos="0" relativeHeight="251670528" behindDoc="1" locked="0" layoutInCell="1" allowOverlap="1" wp14:anchorId="261F24C8" wp14:editId="13D2D2B8">
                  <wp:simplePos x="0" y="0"/>
                  <wp:positionH relativeFrom="column">
                    <wp:posOffset>-75565</wp:posOffset>
                  </wp:positionH>
                  <wp:positionV relativeFrom="paragraph">
                    <wp:posOffset>137795</wp:posOffset>
                  </wp:positionV>
                  <wp:extent cx="2409825" cy="609894"/>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km.png"/>
                          <pic:cNvPicPr/>
                        </pic:nvPicPr>
                        <pic:blipFill>
                          <a:blip r:embed="rId8">
                            <a:extLst>
                              <a:ext uri="{28A0092B-C50C-407E-A947-70E740481C1C}">
                                <a14:useLocalDpi xmlns:a14="http://schemas.microsoft.com/office/drawing/2010/main" val="0"/>
                              </a:ext>
                            </a:extLst>
                          </a:blip>
                          <a:stretch>
                            <a:fillRect/>
                          </a:stretch>
                        </pic:blipFill>
                        <pic:spPr>
                          <a:xfrm>
                            <a:off x="0" y="0"/>
                            <a:ext cx="2409825" cy="609894"/>
                          </a:xfrm>
                          <a:prstGeom prst="rect">
                            <a:avLst/>
                          </a:prstGeom>
                        </pic:spPr>
                      </pic:pic>
                    </a:graphicData>
                  </a:graphic>
                  <wp14:sizeRelH relativeFrom="page">
                    <wp14:pctWidth>0</wp14:pctWidth>
                  </wp14:sizeRelH>
                  <wp14:sizeRelV relativeFrom="page">
                    <wp14:pctHeight>0</wp14:pctHeight>
                  </wp14:sizeRelV>
                </wp:anchor>
              </w:drawing>
            </w:r>
          </w:p>
          <w:p w14:paraId="45B0F6E0" w14:textId="77777777" w:rsidR="00134586" w:rsidRPr="00737712" w:rsidRDefault="00134586" w:rsidP="00171CA5">
            <w:pPr>
              <w:outlineLvl w:val="0"/>
              <w:rPr>
                <w:rFonts w:ascii="Arial" w:hAnsi="Arial" w:cs="Arial"/>
              </w:rPr>
            </w:pPr>
          </w:p>
          <w:p w14:paraId="30FBCB03" w14:textId="77777777" w:rsidR="00134586" w:rsidRDefault="00134586" w:rsidP="00171CA5">
            <w:pPr>
              <w:outlineLvl w:val="0"/>
              <w:rPr>
                <w:rFonts w:ascii="Arial" w:hAnsi="Arial" w:cs="Arial"/>
              </w:rPr>
            </w:pPr>
          </w:p>
          <w:p w14:paraId="46A8118C" w14:textId="77777777" w:rsidR="00134586" w:rsidRDefault="00134586" w:rsidP="00171CA5">
            <w:pPr>
              <w:outlineLvl w:val="0"/>
              <w:rPr>
                <w:rFonts w:ascii="Arial" w:hAnsi="Arial" w:cs="Arial"/>
              </w:rPr>
            </w:pPr>
          </w:p>
          <w:p w14:paraId="38B6116F" w14:textId="77777777" w:rsidR="00134586" w:rsidRPr="00737712" w:rsidRDefault="00134586" w:rsidP="00171CA5">
            <w:pPr>
              <w:outlineLvl w:val="0"/>
              <w:rPr>
                <w:rFonts w:ascii="Arial" w:hAnsi="Arial" w:cs="Arial"/>
              </w:rPr>
            </w:pPr>
            <w:r w:rsidRPr="00737712">
              <w:rPr>
                <w:rFonts w:ascii="Arial" w:hAnsi="Arial" w:cs="Arial"/>
              </w:rPr>
              <w:t>______________________________</w:t>
            </w:r>
          </w:p>
          <w:p w14:paraId="3BC7A68B" w14:textId="77777777" w:rsidR="00134586" w:rsidRPr="00737712" w:rsidRDefault="00134586" w:rsidP="00171CA5">
            <w:pPr>
              <w:outlineLvl w:val="0"/>
              <w:rPr>
                <w:rFonts w:ascii="Arial" w:hAnsi="Arial" w:cs="Arial"/>
              </w:rPr>
            </w:pPr>
            <w:r w:rsidRPr="00737712">
              <w:rPr>
                <w:rFonts w:ascii="Arial" w:hAnsi="Arial" w:cs="Arial"/>
              </w:rPr>
              <w:t>KATHERINE MIRANDA PEÑA</w:t>
            </w:r>
          </w:p>
          <w:p w14:paraId="754CE674" w14:textId="77777777" w:rsidR="00134586" w:rsidRPr="00737712" w:rsidRDefault="00134586" w:rsidP="00171CA5">
            <w:pPr>
              <w:outlineLvl w:val="0"/>
              <w:rPr>
                <w:rFonts w:ascii="Arial" w:hAnsi="Arial" w:cs="Arial"/>
              </w:rPr>
            </w:pPr>
            <w:r w:rsidRPr="00737712">
              <w:rPr>
                <w:rFonts w:ascii="Arial" w:hAnsi="Arial" w:cs="Arial"/>
              </w:rPr>
              <w:t>Representante a la Cámara por Bogotá</w:t>
            </w:r>
          </w:p>
          <w:p w14:paraId="2231E6AE" w14:textId="77777777" w:rsidR="00134586" w:rsidRPr="00737712" w:rsidRDefault="00134586" w:rsidP="00171CA5">
            <w:pPr>
              <w:outlineLvl w:val="0"/>
              <w:rPr>
                <w:rFonts w:ascii="Arial" w:hAnsi="Arial" w:cs="Arial"/>
              </w:rPr>
            </w:pPr>
            <w:r w:rsidRPr="00737712">
              <w:rPr>
                <w:rFonts w:ascii="Arial" w:hAnsi="Arial" w:cs="Arial"/>
              </w:rPr>
              <w:t>Partido Alianza Verde</w:t>
            </w:r>
          </w:p>
          <w:p w14:paraId="6F6B6279" w14:textId="77777777" w:rsidR="00134586" w:rsidRPr="00737712" w:rsidRDefault="00134586" w:rsidP="00171CA5">
            <w:pPr>
              <w:outlineLvl w:val="0"/>
              <w:rPr>
                <w:rFonts w:ascii="Arial" w:hAnsi="Arial" w:cs="Arial"/>
              </w:rPr>
            </w:pPr>
          </w:p>
        </w:tc>
        <w:tc>
          <w:tcPr>
            <w:tcW w:w="4414" w:type="dxa"/>
          </w:tcPr>
          <w:p w14:paraId="05AD9DD1" w14:textId="77777777" w:rsidR="00134586" w:rsidRPr="00737712" w:rsidRDefault="00134586" w:rsidP="00171CA5">
            <w:pPr>
              <w:jc w:val="both"/>
              <w:rPr>
                <w:rStyle w:val="Ninguno"/>
                <w:rFonts w:ascii="Arial" w:hAnsi="Arial" w:cs="Arial"/>
              </w:rPr>
            </w:pPr>
            <w:r w:rsidRPr="00737712">
              <w:rPr>
                <w:rFonts w:ascii="Arial" w:hAnsi="Arial" w:cs="Arial"/>
                <w:noProof/>
                <w:lang w:val="es-CO" w:eastAsia="es-CO"/>
              </w:rPr>
              <w:drawing>
                <wp:anchor distT="0" distB="0" distL="114300" distR="114300" simplePos="0" relativeHeight="251671552" behindDoc="1" locked="0" layoutInCell="1" allowOverlap="1" wp14:anchorId="19EA89F4" wp14:editId="55BB1674">
                  <wp:simplePos x="0" y="0"/>
                  <wp:positionH relativeFrom="margin">
                    <wp:posOffset>105410</wp:posOffset>
                  </wp:positionH>
                  <wp:positionV relativeFrom="paragraph">
                    <wp:posOffset>62230</wp:posOffset>
                  </wp:positionV>
                  <wp:extent cx="1691134" cy="1276350"/>
                  <wp:effectExtent l="0" t="0" r="4445" b="0"/>
                  <wp:wrapNone/>
                  <wp:docPr id="17" name="Imagen 17" descr="C:\Users\diego.barrera\Downloads\Nuevo doc 2018-10-03 14.49.5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ego.barrera\Downloads\Nuevo doc 2018-10-03 14.49.51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1134"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C1717" w14:textId="77777777" w:rsidR="00134586" w:rsidRPr="00737712" w:rsidRDefault="00134586" w:rsidP="00171CA5">
            <w:pPr>
              <w:jc w:val="both"/>
              <w:rPr>
                <w:rStyle w:val="Ninguno"/>
                <w:rFonts w:ascii="Arial" w:hAnsi="Arial" w:cs="Arial"/>
              </w:rPr>
            </w:pPr>
          </w:p>
          <w:p w14:paraId="495EC816" w14:textId="77777777" w:rsidR="00134586" w:rsidRPr="00737712" w:rsidRDefault="00134586" w:rsidP="00171CA5">
            <w:pPr>
              <w:rPr>
                <w:rFonts w:ascii="Arial" w:hAnsi="Arial" w:cs="Arial"/>
                <w:b/>
                <w:bCs/>
              </w:rPr>
            </w:pPr>
          </w:p>
          <w:p w14:paraId="542EE236" w14:textId="77777777" w:rsidR="00134586" w:rsidRPr="00737712" w:rsidRDefault="00134586" w:rsidP="00171CA5">
            <w:pPr>
              <w:rPr>
                <w:rFonts w:ascii="Arial" w:hAnsi="Arial" w:cs="Arial"/>
                <w:b/>
                <w:bCs/>
              </w:rPr>
            </w:pPr>
          </w:p>
          <w:p w14:paraId="25A912E0" w14:textId="77777777" w:rsidR="00134586" w:rsidRPr="00737712" w:rsidRDefault="00134586" w:rsidP="00171CA5">
            <w:pPr>
              <w:rPr>
                <w:rFonts w:ascii="Arial" w:hAnsi="Arial" w:cs="Arial"/>
                <w:b/>
                <w:bCs/>
              </w:rPr>
            </w:pPr>
          </w:p>
          <w:p w14:paraId="6245EC5F" w14:textId="77777777" w:rsidR="00134586" w:rsidRPr="00737712" w:rsidRDefault="00134586" w:rsidP="00171CA5">
            <w:pPr>
              <w:rPr>
                <w:rFonts w:ascii="Arial" w:eastAsia="Calibri" w:hAnsi="Arial" w:cs="Arial"/>
                <w:b/>
                <w:bCs/>
              </w:rPr>
            </w:pPr>
            <w:r w:rsidRPr="00737712">
              <w:rPr>
                <w:rFonts w:ascii="Arial" w:eastAsia="Calibri" w:hAnsi="Arial" w:cs="Arial"/>
                <w:bCs/>
              </w:rPr>
              <w:t>_________________________</w:t>
            </w:r>
          </w:p>
          <w:p w14:paraId="2F89DFEA" w14:textId="77777777" w:rsidR="00134586" w:rsidRPr="00AE3C53" w:rsidRDefault="00134586" w:rsidP="00171CA5">
            <w:pPr>
              <w:outlineLvl w:val="0"/>
              <w:rPr>
                <w:rFonts w:ascii="Arial" w:hAnsi="Arial" w:cs="Arial"/>
              </w:rPr>
            </w:pPr>
            <w:r w:rsidRPr="00AE3C53">
              <w:rPr>
                <w:rFonts w:ascii="Arial" w:hAnsi="Arial" w:cs="Arial"/>
              </w:rPr>
              <w:t>FABIO FERNANDO ARROYAVE</w:t>
            </w:r>
          </w:p>
          <w:p w14:paraId="575FE0F5" w14:textId="77777777" w:rsidR="00134586" w:rsidRPr="00AE3C53" w:rsidRDefault="00134586" w:rsidP="00171CA5">
            <w:pPr>
              <w:outlineLvl w:val="0"/>
              <w:rPr>
                <w:rFonts w:ascii="Arial" w:hAnsi="Arial" w:cs="Arial"/>
              </w:rPr>
            </w:pPr>
            <w:r w:rsidRPr="00AE3C53">
              <w:rPr>
                <w:rFonts w:ascii="Arial" w:hAnsi="Arial" w:cs="Arial"/>
              </w:rPr>
              <w:t xml:space="preserve">Representante Valle del Cauca </w:t>
            </w:r>
          </w:p>
          <w:p w14:paraId="144605C0" w14:textId="77777777" w:rsidR="00134586" w:rsidRPr="00737712" w:rsidRDefault="00134586" w:rsidP="00171CA5">
            <w:pPr>
              <w:outlineLvl w:val="0"/>
              <w:rPr>
                <w:rFonts w:ascii="Arial" w:eastAsia="Calibri" w:hAnsi="Arial" w:cs="Arial"/>
                <w:bCs/>
              </w:rPr>
            </w:pPr>
            <w:r w:rsidRPr="00AE3C53">
              <w:rPr>
                <w:rFonts w:ascii="Arial" w:hAnsi="Arial" w:cs="Arial"/>
              </w:rPr>
              <w:t>Partido Liberal</w:t>
            </w:r>
            <w:r w:rsidRPr="00737712">
              <w:rPr>
                <w:rFonts w:ascii="Arial" w:eastAsia="Calibri" w:hAnsi="Arial" w:cs="Arial"/>
                <w:bCs/>
              </w:rPr>
              <w:tab/>
            </w:r>
          </w:p>
          <w:p w14:paraId="5D575C0F" w14:textId="77777777" w:rsidR="00134586" w:rsidRPr="00737712" w:rsidRDefault="00134586" w:rsidP="00171CA5">
            <w:pPr>
              <w:outlineLvl w:val="0"/>
              <w:rPr>
                <w:rFonts w:ascii="Arial" w:hAnsi="Arial" w:cs="Arial"/>
              </w:rPr>
            </w:pPr>
          </w:p>
        </w:tc>
      </w:tr>
      <w:tr w:rsidR="00134586" w:rsidRPr="00737712" w14:paraId="1A787151" w14:textId="77777777" w:rsidTr="00171CA5">
        <w:tc>
          <w:tcPr>
            <w:tcW w:w="4414" w:type="dxa"/>
          </w:tcPr>
          <w:p w14:paraId="19E71865" w14:textId="77777777" w:rsidR="00134586" w:rsidRPr="00AE3C53" w:rsidRDefault="00134586" w:rsidP="00171CA5">
            <w:pPr>
              <w:pBdr>
                <w:bottom w:val="single" w:sz="12" w:space="1" w:color="auto"/>
              </w:pBdr>
              <w:outlineLvl w:val="0"/>
              <w:rPr>
                <w:rFonts w:ascii="Arial" w:hAnsi="Arial" w:cs="Arial"/>
              </w:rPr>
            </w:pPr>
          </w:p>
          <w:p w14:paraId="519F8F11" w14:textId="77777777" w:rsidR="00134586" w:rsidRDefault="00134586" w:rsidP="00171CA5">
            <w:pPr>
              <w:pBdr>
                <w:bottom w:val="single" w:sz="12" w:space="1" w:color="auto"/>
              </w:pBdr>
              <w:outlineLvl w:val="0"/>
              <w:rPr>
                <w:rFonts w:ascii="Arial" w:hAnsi="Arial" w:cs="Arial"/>
              </w:rPr>
            </w:pPr>
            <w:r w:rsidRPr="00AE3C53">
              <w:rPr>
                <w:rFonts w:ascii="Arial" w:hAnsi="Arial" w:cs="Arial"/>
                <w:noProof/>
                <w:lang w:val="es-CO" w:eastAsia="es-CO"/>
              </w:rPr>
              <w:drawing>
                <wp:inline distT="0" distB="0" distL="0" distR="0" wp14:anchorId="05593E8E" wp14:editId="4BC17BF7">
                  <wp:extent cx="1836420" cy="88392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6420" cy="883920"/>
                          </a:xfrm>
                          <a:prstGeom prst="rect">
                            <a:avLst/>
                          </a:prstGeom>
                          <a:noFill/>
                          <a:ln>
                            <a:noFill/>
                          </a:ln>
                        </pic:spPr>
                      </pic:pic>
                    </a:graphicData>
                  </a:graphic>
                </wp:inline>
              </w:drawing>
            </w:r>
          </w:p>
          <w:p w14:paraId="714057BD" w14:textId="77777777" w:rsidR="00134586" w:rsidRPr="00AE3C53" w:rsidRDefault="00134586" w:rsidP="00171CA5">
            <w:pPr>
              <w:pBdr>
                <w:bottom w:val="single" w:sz="12" w:space="1" w:color="auto"/>
              </w:pBdr>
              <w:outlineLvl w:val="0"/>
              <w:rPr>
                <w:rFonts w:ascii="Arial" w:hAnsi="Arial" w:cs="Arial"/>
              </w:rPr>
            </w:pPr>
          </w:p>
          <w:p w14:paraId="4C72E253" w14:textId="77777777" w:rsidR="00134586" w:rsidRPr="00AE3C53" w:rsidRDefault="00134586" w:rsidP="00171CA5">
            <w:pPr>
              <w:outlineLvl w:val="0"/>
              <w:rPr>
                <w:rFonts w:ascii="Arial" w:hAnsi="Arial" w:cs="Arial"/>
              </w:rPr>
            </w:pPr>
            <w:r w:rsidRPr="00AE3C53">
              <w:rPr>
                <w:rFonts w:ascii="Arial" w:hAnsi="Arial" w:cs="Arial"/>
              </w:rPr>
              <w:t>CARLOS GERMÁN NAVAS TALERO</w:t>
            </w:r>
          </w:p>
          <w:p w14:paraId="6E615CF2" w14:textId="77777777" w:rsidR="00134586" w:rsidRPr="00AE3C53" w:rsidRDefault="00134586" w:rsidP="00171CA5">
            <w:pPr>
              <w:outlineLvl w:val="0"/>
              <w:rPr>
                <w:rFonts w:ascii="Arial" w:hAnsi="Arial" w:cs="Arial"/>
              </w:rPr>
            </w:pPr>
            <w:r w:rsidRPr="00AE3C53">
              <w:rPr>
                <w:rFonts w:ascii="Arial" w:hAnsi="Arial" w:cs="Arial"/>
              </w:rPr>
              <w:t>Representante a la Cámara por Bogotá</w:t>
            </w:r>
          </w:p>
          <w:p w14:paraId="2837A51B" w14:textId="77777777" w:rsidR="00134586" w:rsidRPr="00737712" w:rsidRDefault="00134586" w:rsidP="00171CA5">
            <w:pPr>
              <w:outlineLvl w:val="0"/>
              <w:rPr>
                <w:rFonts w:ascii="Arial" w:hAnsi="Arial" w:cs="Arial"/>
              </w:rPr>
            </w:pPr>
            <w:r w:rsidRPr="00AE3C53">
              <w:rPr>
                <w:rFonts w:ascii="Arial" w:hAnsi="Arial" w:cs="Arial"/>
              </w:rPr>
              <w:t>Partido Polo Democrático Alternativo</w:t>
            </w:r>
          </w:p>
        </w:tc>
        <w:tc>
          <w:tcPr>
            <w:tcW w:w="4414" w:type="dxa"/>
          </w:tcPr>
          <w:p w14:paraId="79C5B394" w14:textId="77777777" w:rsidR="00134586" w:rsidRDefault="00134586" w:rsidP="00171CA5">
            <w:pPr>
              <w:pBdr>
                <w:bottom w:val="single" w:sz="12" w:space="1" w:color="auto"/>
              </w:pBdr>
              <w:outlineLvl w:val="0"/>
              <w:rPr>
                <w:rFonts w:ascii="Arial" w:hAnsi="Arial" w:cs="Arial"/>
              </w:rPr>
            </w:pPr>
            <w:r w:rsidRPr="00AE3C53">
              <w:rPr>
                <w:rFonts w:ascii="Arial" w:hAnsi="Arial" w:cs="Arial"/>
                <w:noProof/>
                <w:lang w:val="es-CO" w:eastAsia="es-CO"/>
              </w:rPr>
              <w:drawing>
                <wp:inline distT="0" distB="0" distL="0" distR="0" wp14:anchorId="58BD9D47" wp14:editId="7D4791DE">
                  <wp:extent cx="1836968" cy="1175385"/>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52639" cy="1185412"/>
                          </a:xfrm>
                          <a:prstGeom prst="rect">
                            <a:avLst/>
                          </a:prstGeom>
                        </pic:spPr>
                      </pic:pic>
                    </a:graphicData>
                  </a:graphic>
                </wp:inline>
              </w:drawing>
            </w:r>
          </w:p>
          <w:p w14:paraId="30872C81" w14:textId="77777777" w:rsidR="00134586" w:rsidRPr="00AE3C53" w:rsidRDefault="00134586" w:rsidP="00171CA5">
            <w:pPr>
              <w:outlineLvl w:val="0"/>
              <w:rPr>
                <w:rFonts w:ascii="Arial" w:hAnsi="Arial" w:cs="Arial"/>
              </w:rPr>
            </w:pPr>
            <w:r w:rsidRPr="00AE3C53">
              <w:rPr>
                <w:rFonts w:ascii="Arial" w:hAnsi="Arial" w:cs="Arial"/>
              </w:rPr>
              <w:t>ERASMO ZULETA BECHARA</w:t>
            </w:r>
          </w:p>
          <w:p w14:paraId="4CC30E87" w14:textId="77777777" w:rsidR="00134586" w:rsidRPr="00AE3C53" w:rsidRDefault="00134586" w:rsidP="00171CA5">
            <w:pPr>
              <w:outlineLvl w:val="0"/>
              <w:rPr>
                <w:rFonts w:ascii="Arial" w:hAnsi="Arial" w:cs="Arial"/>
              </w:rPr>
            </w:pPr>
            <w:r w:rsidRPr="00AE3C53">
              <w:rPr>
                <w:rFonts w:ascii="Arial" w:hAnsi="Arial" w:cs="Arial"/>
              </w:rPr>
              <w:t>Representante a la Cámara Córdoba</w:t>
            </w:r>
          </w:p>
          <w:p w14:paraId="72113DB0" w14:textId="77777777" w:rsidR="00134586" w:rsidRPr="00737712" w:rsidRDefault="00134586" w:rsidP="00171CA5">
            <w:pPr>
              <w:outlineLvl w:val="0"/>
              <w:rPr>
                <w:rFonts w:ascii="Arial" w:hAnsi="Arial" w:cs="Arial"/>
              </w:rPr>
            </w:pPr>
            <w:r w:rsidRPr="00AE3C53">
              <w:rPr>
                <w:rFonts w:ascii="Arial" w:hAnsi="Arial" w:cs="Arial"/>
              </w:rPr>
              <w:t>Partido de la U</w:t>
            </w:r>
          </w:p>
        </w:tc>
      </w:tr>
    </w:tbl>
    <w:p w14:paraId="5A2B6008" w14:textId="4D100ACB" w:rsidR="00F55FC4" w:rsidRPr="00737712" w:rsidRDefault="00F55FC4" w:rsidP="00737712">
      <w:pPr>
        <w:jc w:val="both"/>
        <w:rPr>
          <w:rFonts w:ascii="Arial" w:hAnsi="Arial" w:cs="Arial"/>
        </w:rPr>
      </w:pPr>
    </w:p>
    <w:p w14:paraId="6F1253D6" w14:textId="3E06929B" w:rsidR="008062F0" w:rsidRPr="00737712" w:rsidRDefault="004806B0" w:rsidP="00737712">
      <w:pPr>
        <w:jc w:val="both"/>
        <w:rPr>
          <w:rFonts w:ascii="Arial" w:hAnsi="Arial" w:cs="Arial"/>
          <w:b/>
        </w:rPr>
      </w:pPr>
      <w:r w:rsidRPr="00737712">
        <w:rPr>
          <w:rFonts w:ascii="Arial" w:hAnsi="Arial" w:cs="Arial"/>
          <w:b/>
        </w:rPr>
        <w:t>BIBLIOGRAFÍA</w:t>
      </w:r>
    </w:p>
    <w:p w14:paraId="2D272251" w14:textId="77777777" w:rsidR="008062F0" w:rsidRPr="00737712" w:rsidRDefault="008062F0" w:rsidP="00737712">
      <w:pPr>
        <w:jc w:val="both"/>
        <w:rPr>
          <w:rFonts w:ascii="Arial" w:hAnsi="Arial" w:cs="Arial"/>
          <w:b/>
        </w:rPr>
      </w:pPr>
    </w:p>
    <w:p w14:paraId="3FD02EC9" w14:textId="46F7625C" w:rsidR="008062F0" w:rsidRPr="00737712" w:rsidRDefault="008062F0" w:rsidP="00737712">
      <w:pPr>
        <w:jc w:val="both"/>
        <w:rPr>
          <w:rFonts w:ascii="Arial" w:hAnsi="Arial" w:cs="Arial"/>
        </w:rPr>
      </w:pPr>
      <w:r w:rsidRPr="00737712">
        <w:rPr>
          <w:rFonts w:ascii="Arial" w:hAnsi="Arial" w:cs="Arial"/>
          <w:b/>
        </w:rPr>
        <w:t>Documentos digitales</w:t>
      </w:r>
    </w:p>
    <w:p w14:paraId="2806BE1F" w14:textId="77777777" w:rsidR="004806B0" w:rsidRPr="00737712" w:rsidRDefault="004806B0" w:rsidP="00737712">
      <w:pPr>
        <w:jc w:val="both"/>
        <w:rPr>
          <w:rFonts w:ascii="Arial" w:hAnsi="Arial" w:cs="Arial"/>
        </w:rPr>
      </w:pPr>
    </w:p>
    <w:p w14:paraId="25B87B83" w14:textId="7B092BCE" w:rsidR="004806B0" w:rsidRPr="00737712" w:rsidRDefault="004806B0" w:rsidP="00737712">
      <w:pPr>
        <w:pStyle w:val="Prrafodelista"/>
        <w:numPr>
          <w:ilvl w:val="0"/>
          <w:numId w:val="15"/>
        </w:numPr>
        <w:rPr>
          <w:rFonts w:ascii="Arial" w:hAnsi="Arial" w:cs="Arial"/>
        </w:rPr>
      </w:pPr>
      <w:r w:rsidRPr="00737712">
        <w:rPr>
          <w:rFonts w:ascii="Arial" w:hAnsi="Arial" w:cs="Arial"/>
        </w:rPr>
        <w:t>Pérez Reina, David. “Historia del Banco de la República. Crisis de 1999”. Documento disponible en https://repositorio.banrep.gov.co/bitstream/handle/20.500.12134/7004/10.%20Historia%20del%20Banco%20de%20la%20Rep%C3%BAblica.%20Crisis%20de%201999.pdf?sequence=1&amp;isAllowed=y</w:t>
      </w:r>
    </w:p>
    <w:p w14:paraId="5EB6BCF1" w14:textId="4C1DB532" w:rsidR="004806B0" w:rsidRPr="00737712" w:rsidRDefault="004806B0" w:rsidP="00737712">
      <w:pPr>
        <w:pStyle w:val="Prrafodelista"/>
        <w:numPr>
          <w:ilvl w:val="0"/>
          <w:numId w:val="15"/>
        </w:numPr>
        <w:rPr>
          <w:rFonts w:ascii="Arial" w:hAnsi="Arial" w:cs="Arial"/>
        </w:rPr>
      </w:pPr>
      <w:r w:rsidRPr="00737712">
        <w:rPr>
          <w:rFonts w:ascii="Arial" w:hAnsi="Arial" w:cs="Arial"/>
        </w:rPr>
        <w:t>Villar Gómez, Leonardo. Salamanca Rojas, David. Murcia Pabón, Andrés. “Crédito, represión financiera y flujos de capitales en Colombia: 1974 – 2003”. Publicado en Revista Desarrollo y Sociedad No. 55. Universidad de los Andes, 2005. Documento disponible en https://www.banrep.gov.co/docum/ftp/borra322.pdf</w:t>
      </w:r>
    </w:p>
    <w:p w14:paraId="55C785C8" w14:textId="0DEEE150" w:rsidR="004806B0" w:rsidRPr="00737712" w:rsidRDefault="0043732E" w:rsidP="00737712">
      <w:pPr>
        <w:pStyle w:val="Prrafodelista"/>
        <w:numPr>
          <w:ilvl w:val="0"/>
          <w:numId w:val="15"/>
        </w:numPr>
        <w:rPr>
          <w:rFonts w:ascii="Arial" w:hAnsi="Arial" w:cs="Arial"/>
        </w:rPr>
      </w:pPr>
      <w:r w:rsidRPr="00737712">
        <w:rPr>
          <w:rFonts w:ascii="Arial" w:hAnsi="Arial" w:cs="Arial"/>
        </w:rPr>
        <w:t>Lozano, Ignacio. Ramos, Jorge. “Análisis sobre la incidencia del impuesto del 2x1000 a las transacciones financieras”. Documento disponible en https://www.banrep.gov.co/docum/ftp/borra143.pdf</w:t>
      </w:r>
    </w:p>
    <w:p w14:paraId="3927DA82" w14:textId="55DE85A2" w:rsidR="00301937" w:rsidRPr="00737712" w:rsidRDefault="00301937" w:rsidP="00737712">
      <w:pPr>
        <w:pStyle w:val="Prrafodelista"/>
        <w:numPr>
          <w:ilvl w:val="0"/>
          <w:numId w:val="15"/>
        </w:numPr>
        <w:rPr>
          <w:rFonts w:ascii="Arial" w:hAnsi="Arial" w:cs="Arial"/>
        </w:rPr>
      </w:pPr>
      <w:r w:rsidRPr="00737712">
        <w:rPr>
          <w:rFonts w:ascii="Arial" w:hAnsi="Arial" w:cs="Arial"/>
          <w:lang w:val="es-CO"/>
        </w:rPr>
        <w:t xml:space="preserve">Moreno Serrano, Sandra. “Incentivos fiscales a la bancarización en Latinoamérica”, 2015. Revista Instituto Colombiano de Derecho Tributario – ICDT. Documento disponible en </w:t>
      </w:r>
      <w:r w:rsidRPr="00737712">
        <w:rPr>
          <w:rFonts w:ascii="Arial" w:hAnsi="Arial" w:cs="Arial"/>
        </w:rPr>
        <w:t xml:space="preserve">https://www.icdt.co/publicaciones/revistas/revista72/PUB_ICDT_ART_MORENOSERRANOSandraPatricia_Incentivosfiscalesa%20labancarizacionenLatinoamerica_RevistaICDT72_Bogota_15..pdf </w:t>
      </w:r>
    </w:p>
    <w:p w14:paraId="1B853BEA" w14:textId="77777777" w:rsidR="008062F0" w:rsidRPr="00737712" w:rsidRDefault="008062F0" w:rsidP="00737712">
      <w:pPr>
        <w:rPr>
          <w:rFonts w:ascii="Arial" w:hAnsi="Arial" w:cs="Arial"/>
        </w:rPr>
      </w:pPr>
    </w:p>
    <w:p w14:paraId="2DF5F102" w14:textId="168A83DB" w:rsidR="008062F0" w:rsidRPr="00737712" w:rsidRDefault="008062F0" w:rsidP="00737712">
      <w:pPr>
        <w:rPr>
          <w:rFonts w:ascii="Arial" w:hAnsi="Arial" w:cs="Arial"/>
          <w:b/>
        </w:rPr>
      </w:pPr>
      <w:r w:rsidRPr="00737712">
        <w:rPr>
          <w:rFonts w:ascii="Arial" w:hAnsi="Arial" w:cs="Arial"/>
          <w:b/>
        </w:rPr>
        <w:t>Revistas digitales</w:t>
      </w:r>
    </w:p>
    <w:p w14:paraId="5AF11DD5" w14:textId="77777777" w:rsidR="008062F0" w:rsidRPr="00737712" w:rsidRDefault="008062F0" w:rsidP="00737712">
      <w:pPr>
        <w:rPr>
          <w:rFonts w:ascii="Arial" w:hAnsi="Arial" w:cs="Arial"/>
          <w:b/>
        </w:rPr>
      </w:pPr>
    </w:p>
    <w:p w14:paraId="6D1BA1BA" w14:textId="3439A5D6" w:rsidR="007A1BC4" w:rsidRPr="00737712" w:rsidRDefault="007A1BC4" w:rsidP="00737712">
      <w:pPr>
        <w:pStyle w:val="Prrafodelista"/>
        <w:numPr>
          <w:ilvl w:val="0"/>
          <w:numId w:val="15"/>
        </w:numPr>
        <w:rPr>
          <w:rFonts w:ascii="Arial" w:hAnsi="Arial" w:cs="Arial"/>
        </w:rPr>
      </w:pPr>
      <w:r w:rsidRPr="00737712">
        <w:rPr>
          <w:rFonts w:ascii="Arial" w:hAnsi="Arial" w:cs="Arial"/>
          <w:lang w:val="es-CO"/>
        </w:rPr>
        <w:t xml:space="preserve">Revista Portafolio. “El cuatro por mil moriría en el 2018: Gobierno propondrá que el impuesto se reduzca un punto cada dos años”, agosto de 2010. Documento disponible en </w:t>
      </w:r>
      <w:r w:rsidRPr="00737712">
        <w:rPr>
          <w:rFonts w:ascii="Arial" w:hAnsi="Arial" w:cs="Arial"/>
        </w:rPr>
        <w:t>https://www.portafolio.co/economia/finanzas/cuatro-mil-moriria-2018-gobierno-propondra-impuesto-reduzca-punto-dos-anos-341758</w:t>
      </w:r>
    </w:p>
    <w:p w14:paraId="1E8D4C7C" w14:textId="647C1A43" w:rsidR="007A1BC4" w:rsidRPr="00737712" w:rsidRDefault="007A1BC4" w:rsidP="00737712">
      <w:pPr>
        <w:pStyle w:val="Prrafodelista"/>
        <w:numPr>
          <w:ilvl w:val="0"/>
          <w:numId w:val="15"/>
        </w:numPr>
        <w:rPr>
          <w:rFonts w:ascii="Arial" w:hAnsi="Arial" w:cs="Arial"/>
        </w:rPr>
      </w:pPr>
      <w:r w:rsidRPr="00737712">
        <w:rPr>
          <w:rFonts w:ascii="Arial" w:hAnsi="Arial" w:cs="Arial"/>
          <w:lang w:val="es-CO"/>
        </w:rPr>
        <w:lastRenderedPageBreak/>
        <w:t xml:space="preserve">Revista Dinero. “¿Larga vida al 4x1000?, febrero de2013. Documento disponible en </w:t>
      </w:r>
      <w:r w:rsidRPr="00737712">
        <w:rPr>
          <w:rFonts w:ascii="Arial" w:hAnsi="Arial" w:cs="Arial"/>
        </w:rPr>
        <w:t>https://www.dinero.com/pais/articulo/radicado-proyecto-ley-para-extender-4x1000/185329</w:t>
      </w:r>
    </w:p>
    <w:p w14:paraId="0808737B" w14:textId="78D75D58" w:rsidR="007A1BC4" w:rsidRPr="00737712" w:rsidRDefault="007A1BC4" w:rsidP="00737712">
      <w:pPr>
        <w:pStyle w:val="Prrafodelista"/>
        <w:numPr>
          <w:ilvl w:val="0"/>
          <w:numId w:val="15"/>
        </w:numPr>
        <w:rPr>
          <w:rFonts w:ascii="Arial" w:hAnsi="Arial" w:cs="Arial"/>
        </w:rPr>
      </w:pPr>
      <w:r w:rsidRPr="00737712">
        <w:rPr>
          <w:rFonts w:ascii="Arial" w:hAnsi="Arial" w:cs="Arial"/>
          <w:lang w:val="es-CO"/>
        </w:rPr>
        <w:t xml:space="preserve">Revista Dinero. “Gobierno aplazaría desmonte del 4x1000”, diciembre de 2010. Documento disponible en </w:t>
      </w:r>
      <w:r w:rsidRPr="00737712">
        <w:rPr>
          <w:rFonts w:ascii="Arial" w:hAnsi="Arial" w:cs="Arial"/>
        </w:rPr>
        <w:t>https://www.dinero.com/pais/articulo/gobierno-aplazaria-desmonte-del-4x1000/109615</w:t>
      </w:r>
    </w:p>
    <w:p w14:paraId="7924E6CF" w14:textId="4B767107" w:rsidR="007A1BC4" w:rsidRPr="00737712" w:rsidRDefault="007A1BC4" w:rsidP="00737712">
      <w:pPr>
        <w:pStyle w:val="Prrafodelista"/>
        <w:numPr>
          <w:ilvl w:val="0"/>
          <w:numId w:val="15"/>
        </w:numPr>
        <w:rPr>
          <w:rFonts w:ascii="Arial" w:hAnsi="Arial" w:cs="Arial"/>
        </w:rPr>
      </w:pPr>
      <w:r w:rsidRPr="00737712">
        <w:rPr>
          <w:rFonts w:ascii="Arial" w:hAnsi="Arial" w:cs="Arial"/>
          <w:lang w:val="es-CO"/>
        </w:rPr>
        <w:t xml:space="preserve">Diario La República. “Conozca cómo ha sido la evolución del impuesto del 4x1000 en 20 años”, agosto de 2018. Documento disponible en </w:t>
      </w:r>
      <w:r w:rsidRPr="00737712">
        <w:rPr>
          <w:rFonts w:ascii="Arial" w:hAnsi="Arial" w:cs="Arial"/>
        </w:rPr>
        <w:t>https://www.larepublica.co/finanzas/asi-ha-ha-sido-la-evolucion-del-4x1000-en-20-anos-y-las-propuestas-que-estan-en-la-mesa-2758394</w:t>
      </w:r>
    </w:p>
    <w:p w14:paraId="29D8EE4C" w14:textId="4F535E50" w:rsidR="007A1BC4" w:rsidRPr="00737712" w:rsidRDefault="008062F0" w:rsidP="00737712">
      <w:pPr>
        <w:pStyle w:val="Textonotapie"/>
        <w:numPr>
          <w:ilvl w:val="0"/>
          <w:numId w:val="15"/>
        </w:numPr>
        <w:rPr>
          <w:rFonts w:ascii="Arial" w:hAnsi="Arial" w:cs="Arial"/>
          <w:sz w:val="24"/>
          <w:szCs w:val="24"/>
        </w:rPr>
      </w:pPr>
      <w:r w:rsidRPr="00737712">
        <w:rPr>
          <w:rFonts w:ascii="Arial" w:hAnsi="Arial" w:cs="Arial"/>
          <w:sz w:val="24"/>
          <w:szCs w:val="24"/>
          <w:lang w:val="es-CO"/>
        </w:rPr>
        <w:t xml:space="preserve">Revista Dinero. “Colombia difícilmente tendrá bancarización total en 2020”. Abril de 2015. Documento disponible en </w:t>
      </w:r>
      <w:r w:rsidRPr="00737712">
        <w:rPr>
          <w:rFonts w:ascii="Arial" w:hAnsi="Arial" w:cs="Arial"/>
          <w:sz w:val="24"/>
          <w:szCs w:val="24"/>
        </w:rPr>
        <w:t>https://www.dinero.com/inversionistas/articulo/como-sera-bancarizacion-colombia-2020/207769</w:t>
      </w:r>
    </w:p>
    <w:p w14:paraId="007A5E06" w14:textId="61E3FFB8" w:rsidR="006142C6" w:rsidRPr="00AE3C53" w:rsidRDefault="008062F0" w:rsidP="00AE3C53">
      <w:pPr>
        <w:pStyle w:val="Textonotapie"/>
        <w:numPr>
          <w:ilvl w:val="0"/>
          <w:numId w:val="15"/>
        </w:numPr>
        <w:rPr>
          <w:rFonts w:ascii="Arial" w:hAnsi="Arial" w:cs="Arial"/>
          <w:sz w:val="24"/>
          <w:szCs w:val="24"/>
        </w:rPr>
      </w:pPr>
      <w:r w:rsidRPr="00737712">
        <w:rPr>
          <w:rFonts w:ascii="Arial" w:hAnsi="Arial" w:cs="Arial"/>
          <w:sz w:val="24"/>
          <w:szCs w:val="24"/>
          <w:lang w:val="es-CO"/>
        </w:rPr>
        <w:t xml:space="preserve">Revista Portafolio. “el 83,3% de la población adulta tiene al menos un producto financiero”. Enero de 2020. Documento disponible en </w:t>
      </w:r>
      <w:r w:rsidRPr="00737712">
        <w:rPr>
          <w:rFonts w:ascii="Arial" w:hAnsi="Arial" w:cs="Arial"/>
          <w:sz w:val="24"/>
          <w:szCs w:val="24"/>
        </w:rPr>
        <w:t>https://www.portafolio.co/economia/el-83-3-de-la-poblacion-adulta-tiene-al-menos-un-producto-financiero-537077</w:t>
      </w:r>
    </w:p>
    <w:p w14:paraId="0868B4CB" w14:textId="3BBF279F" w:rsidR="00F55FC4" w:rsidRPr="00737712" w:rsidRDefault="00F55FC4" w:rsidP="00737712">
      <w:pPr>
        <w:jc w:val="both"/>
        <w:rPr>
          <w:rFonts w:ascii="Arial" w:hAnsi="Arial" w:cs="Arial"/>
        </w:rPr>
      </w:pPr>
    </w:p>
    <w:sectPr w:rsidR="00F55FC4" w:rsidRPr="00737712" w:rsidSect="00C225F1">
      <w:headerReference w:type="default" r:id="rId16"/>
      <w:footerReference w:type="default" r:id="rId17"/>
      <w:pgSz w:w="12240" w:h="15840" w:code="1"/>
      <w:pgMar w:top="1417"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1C69B9" w14:textId="77777777" w:rsidR="00C2038F" w:rsidRDefault="00C2038F" w:rsidP="00351326">
      <w:r>
        <w:separator/>
      </w:r>
    </w:p>
  </w:endnote>
  <w:endnote w:type="continuationSeparator" w:id="0">
    <w:p w14:paraId="25101173" w14:textId="77777777" w:rsidR="00C2038F" w:rsidRDefault="00C2038F" w:rsidP="00351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attrocento San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F7860" w14:textId="1AAA57A0" w:rsidR="00351326" w:rsidRDefault="008911CF" w:rsidP="00351326">
    <w:pPr>
      <w:pStyle w:val="Piedepgina"/>
      <w:ind w:firstLine="708"/>
    </w:pPr>
    <w:r>
      <w:rPr>
        <w:noProof/>
        <w:lang w:val="es-CO" w:eastAsia="es-CO"/>
      </w:rPr>
      <w:drawing>
        <wp:anchor distT="0" distB="0" distL="114300" distR="114300" simplePos="0" relativeHeight="251659264" behindDoc="1" locked="0" layoutInCell="1" allowOverlap="1" wp14:anchorId="22218746" wp14:editId="7B4F54C7">
          <wp:simplePos x="0" y="0"/>
          <wp:positionH relativeFrom="page">
            <wp:align>right</wp:align>
          </wp:positionH>
          <wp:positionV relativeFrom="paragraph">
            <wp:posOffset>-739140</wp:posOffset>
          </wp:positionV>
          <wp:extent cx="7928610" cy="891510"/>
          <wp:effectExtent l="0" t="0" r="0" b="444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membrete-katherine.png"/>
                  <pic:cNvPicPr/>
                </pic:nvPicPr>
                <pic:blipFill rotWithShape="1">
                  <a:blip r:embed="rId1" cstate="print">
                    <a:extLst>
                      <a:ext uri="{28A0092B-C50C-407E-A947-70E740481C1C}">
                        <a14:useLocalDpi xmlns:a14="http://schemas.microsoft.com/office/drawing/2010/main" val="0"/>
                      </a:ext>
                    </a:extLst>
                  </a:blip>
                  <a:srcRect t="86297"/>
                  <a:stretch/>
                </pic:blipFill>
                <pic:spPr bwMode="auto">
                  <a:xfrm>
                    <a:off x="0" y="0"/>
                    <a:ext cx="7928610" cy="891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DDE3B5" w14:textId="77777777" w:rsidR="00C2038F" w:rsidRDefault="00C2038F" w:rsidP="00351326">
      <w:r>
        <w:separator/>
      </w:r>
    </w:p>
  </w:footnote>
  <w:footnote w:type="continuationSeparator" w:id="0">
    <w:p w14:paraId="740B61C6" w14:textId="77777777" w:rsidR="00C2038F" w:rsidRDefault="00C2038F" w:rsidP="00351326">
      <w:r>
        <w:continuationSeparator/>
      </w:r>
    </w:p>
  </w:footnote>
  <w:footnote w:id="1">
    <w:p w14:paraId="2D745A05" w14:textId="77777777" w:rsidR="001262FC" w:rsidRPr="00A06C2C" w:rsidRDefault="001262FC" w:rsidP="001262FC">
      <w:pPr>
        <w:pStyle w:val="Textonotapie"/>
        <w:jc w:val="both"/>
      </w:pPr>
      <w:r w:rsidRPr="00A06C2C">
        <w:rPr>
          <w:rStyle w:val="Refdenotaalpie"/>
        </w:rPr>
        <w:footnoteRef/>
      </w:r>
      <w:r w:rsidRPr="00A06C2C">
        <w:rPr>
          <w:lang w:val="es-CO"/>
        </w:rPr>
        <w:t xml:space="preserve"> Pérez Reina, David. </w:t>
      </w:r>
      <w:r w:rsidRPr="00A06C2C">
        <w:rPr>
          <w:i/>
          <w:lang w:val="es-CO"/>
        </w:rPr>
        <w:t>Historia del Banco de la República. Crisis de 1999</w:t>
      </w:r>
      <w:r w:rsidRPr="00A06C2C">
        <w:rPr>
          <w:lang w:val="es-CO"/>
        </w:rPr>
        <w:t>. Pág. 439</w:t>
      </w:r>
    </w:p>
  </w:footnote>
  <w:footnote w:id="2">
    <w:p w14:paraId="63AE31E1" w14:textId="15B648DE" w:rsidR="001262FC" w:rsidRPr="00A06C2C" w:rsidRDefault="001262FC" w:rsidP="001262FC">
      <w:pPr>
        <w:pStyle w:val="Textonotapie"/>
        <w:jc w:val="both"/>
      </w:pPr>
      <w:r w:rsidRPr="00A06C2C">
        <w:rPr>
          <w:rStyle w:val="Refdenotaalpie"/>
        </w:rPr>
        <w:footnoteRef/>
      </w:r>
      <w:r w:rsidR="004806B0">
        <w:rPr>
          <w:lang w:val="es-CO"/>
        </w:rPr>
        <w:t xml:space="preserve"> Villar</w:t>
      </w:r>
      <w:r w:rsidRPr="00A06C2C">
        <w:rPr>
          <w:lang w:val="es-CO"/>
        </w:rPr>
        <w:t xml:space="preserve"> Gómez, Leonardo. Salamanca Rojas, David. Murcia Pabón, Andrés. </w:t>
      </w:r>
      <w:r w:rsidRPr="00A06C2C">
        <w:rPr>
          <w:i/>
          <w:lang w:val="es-CO"/>
        </w:rPr>
        <w:t>Crédito, represión financiera y flujos de capitales en Colombia: 1974 – 2003</w:t>
      </w:r>
      <w:r w:rsidRPr="00A06C2C">
        <w:rPr>
          <w:lang w:val="es-CO"/>
        </w:rPr>
        <w:t xml:space="preserve">. Pág. 2 – 3 </w:t>
      </w:r>
    </w:p>
  </w:footnote>
  <w:footnote w:id="3">
    <w:p w14:paraId="2CBC6A31" w14:textId="26708B10" w:rsidR="001262FC" w:rsidRPr="00A06C2C" w:rsidRDefault="001262FC" w:rsidP="001262FC">
      <w:pPr>
        <w:pStyle w:val="Textonotapie"/>
        <w:jc w:val="both"/>
      </w:pPr>
      <w:r w:rsidRPr="00A06C2C">
        <w:rPr>
          <w:rStyle w:val="Refdenotaalpie"/>
        </w:rPr>
        <w:footnoteRef/>
      </w:r>
      <w:r w:rsidR="004806B0">
        <w:rPr>
          <w:lang w:val="es-CO"/>
        </w:rPr>
        <w:t xml:space="preserve"> Villar</w:t>
      </w:r>
      <w:r w:rsidRPr="00A06C2C">
        <w:rPr>
          <w:lang w:val="es-CO"/>
        </w:rPr>
        <w:t xml:space="preserve"> </w:t>
      </w:r>
      <w:r>
        <w:rPr>
          <w:lang w:val="es-CO"/>
        </w:rPr>
        <w:t>Gómez. Salamanca Rojas. Murcia Pabón</w:t>
      </w:r>
      <w:r w:rsidRPr="00A06C2C">
        <w:rPr>
          <w:lang w:val="es-CO"/>
        </w:rPr>
        <w:t xml:space="preserve">. </w:t>
      </w:r>
      <w:r w:rsidRPr="00A06C2C">
        <w:rPr>
          <w:i/>
          <w:lang w:val="es-CO"/>
        </w:rPr>
        <w:t>Crédito, represión financiera y flujos de capitales en Colombia: 1974 – 2003</w:t>
      </w:r>
      <w:r w:rsidRPr="00A06C2C">
        <w:rPr>
          <w:lang w:val="es-CO"/>
        </w:rPr>
        <w:t>. Pág. 10</w:t>
      </w:r>
    </w:p>
  </w:footnote>
  <w:footnote w:id="4">
    <w:p w14:paraId="5342B164" w14:textId="77777777" w:rsidR="001262FC" w:rsidRPr="00A06C2C" w:rsidRDefault="001262FC" w:rsidP="001262FC">
      <w:pPr>
        <w:pStyle w:val="Textonotapie"/>
        <w:jc w:val="both"/>
      </w:pPr>
      <w:r w:rsidRPr="00A06C2C">
        <w:rPr>
          <w:rStyle w:val="Refdenotaalpie"/>
        </w:rPr>
        <w:footnoteRef/>
      </w:r>
      <w:r w:rsidRPr="00A06C2C">
        <w:rPr>
          <w:lang w:val="es-CO"/>
        </w:rPr>
        <w:t xml:space="preserve"> Pérez Reina. </w:t>
      </w:r>
      <w:r w:rsidRPr="00A06C2C">
        <w:rPr>
          <w:i/>
          <w:lang w:val="es-CO"/>
        </w:rPr>
        <w:t>Historia del Banco de la República. Crisis de 1999</w:t>
      </w:r>
      <w:r w:rsidRPr="00A06C2C">
        <w:rPr>
          <w:lang w:val="es-CO"/>
        </w:rPr>
        <w:t>. Pág. 440 – 457</w:t>
      </w:r>
    </w:p>
  </w:footnote>
  <w:footnote w:id="5">
    <w:p w14:paraId="409C3021" w14:textId="77777777" w:rsidR="00CC245A" w:rsidRPr="00C5169B" w:rsidRDefault="00CC245A" w:rsidP="00CC245A">
      <w:pPr>
        <w:pStyle w:val="Textonotapie"/>
        <w:jc w:val="both"/>
      </w:pPr>
      <w:r w:rsidRPr="00A06C2C">
        <w:rPr>
          <w:rStyle w:val="Refdenotaalpie"/>
        </w:rPr>
        <w:footnoteRef/>
      </w:r>
      <w:r w:rsidRPr="00A06C2C">
        <w:rPr>
          <w:lang w:val="es-CO"/>
        </w:rPr>
        <w:t xml:space="preserve"> </w:t>
      </w:r>
      <w:r>
        <w:rPr>
          <w:lang w:val="es-CO"/>
        </w:rPr>
        <w:t xml:space="preserve">Lozano, Ignacio. Ramos, Jorge. </w:t>
      </w:r>
      <w:r>
        <w:rPr>
          <w:i/>
          <w:lang w:val="es-CO"/>
        </w:rPr>
        <w:t>Análisis sobre la incidencia del impuesto del 2x1000 a las transacciones financieras</w:t>
      </w:r>
      <w:r>
        <w:rPr>
          <w:lang w:val="es-CO"/>
        </w:rPr>
        <w:t>. Pág. 5</w:t>
      </w:r>
    </w:p>
  </w:footnote>
  <w:footnote w:id="6">
    <w:p w14:paraId="42EF43EB" w14:textId="77777777" w:rsidR="001262FC" w:rsidRPr="00C5169B" w:rsidRDefault="001262FC" w:rsidP="001262FC">
      <w:pPr>
        <w:pStyle w:val="Textonotapie"/>
        <w:jc w:val="both"/>
      </w:pPr>
      <w:r w:rsidRPr="00A06C2C">
        <w:rPr>
          <w:rStyle w:val="Refdenotaalpie"/>
        </w:rPr>
        <w:footnoteRef/>
      </w:r>
      <w:r w:rsidRPr="00A06C2C">
        <w:rPr>
          <w:lang w:val="es-CO"/>
        </w:rPr>
        <w:t xml:space="preserve"> </w:t>
      </w:r>
      <w:r w:rsidR="00CC245A">
        <w:rPr>
          <w:lang w:val="es-CO"/>
        </w:rPr>
        <w:t>Lozano. Ramos</w:t>
      </w:r>
      <w:r>
        <w:rPr>
          <w:lang w:val="es-CO"/>
        </w:rPr>
        <w:t xml:space="preserve">. </w:t>
      </w:r>
      <w:r>
        <w:rPr>
          <w:i/>
          <w:lang w:val="es-CO"/>
        </w:rPr>
        <w:t>Análisis sobre la incidencia del impuesto del 2x1000 a las transacciones financieras</w:t>
      </w:r>
      <w:r>
        <w:rPr>
          <w:lang w:val="es-CO"/>
        </w:rPr>
        <w:t>. Pág. 1</w:t>
      </w:r>
    </w:p>
  </w:footnote>
  <w:footnote w:id="7">
    <w:p w14:paraId="700D77B8" w14:textId="77777777" w:rsidR="001262FC" w:rsidRPr="00C5169B" w:rsidRDefault="001262FC" w:rsidP="001262FC">
      <w:pPr>
        <w:pStyle w:val="Textonotapie"/>
      </w:pPr>
      <w:r w:rsidRPr="00A06C2C">
        <w:rPr>
          <w:rStyle w:val="Refdenotaalpie"/>
        </w:rPr>
        <w:footnoteRef/>
      </w:r>
      <w:r w:rsidRPr="00A06C2C">
        <w:rPr>
          <w:lang w:val="es-CO"/>
        </w:rPr>
        <w:t xml:space="preserve"> </w:t>
      </w:r>
      <w:r>
        <w:rPr>
          <w:lang w:val="es-CO"/>
        </w:rPr>
        <w:t xml:space="preserve">Revista Portafolio. “El cuatro por mil moriría en el 2018: Gobierno propondrá que el impuesto se reduzca un punto cada dos años”, agosto </w:t>
      </w:r>
      <w:r w:rsidRPr="00281C47">
        <w:rPr>
          <w:lang w:val="es-CO"/>
        </w:rPr>
        <w:t xml:space="preserve">de 2010. Documento disponible en </w:t>
      </w:r>
      <w:r w:rsidRPr="00281C47">
        <w:t>https://www.portafolio.co/economia/finanzas/cuatro-mil-moriria-2018-gobierno-propondra-impuesto-reduzca-punto-dos-anos-341758</w:t>
      </w:r>
    </w:p>
  </w:footnote>
  <w:footnote w:id="8">
    <w:p w14:paraId="4FB6B685" w14:textId="77777777" w:rsidR="001262FC" w:rsidRPr="00C5169B" w:rsidRDefault="001262FC" w:rsidP="001262FC">
      <w:pPr>
        <w:pStyle w:val="Textonotapie"/>
      </w:pPr>
      <w:r w:rsidRPr="00A06C2C">
        <w:rPr>
          <w:rStyle w:val="Refdenotaalpie"/>
        </w:rPr>
        <w:footnoteRef/>
      </w:r>
      <w:r w:rsidRPr="00A06C2C">
        <w:rPr>
          <w:lang w:val="es-CO"/>
        </w:rPr>
        <w:t xml:space="preserve"> </w:t>
      </w:r>
      <w:r>
        <w:rPr>
          <w:lang w:val="es-CO"/>
        </w:rPr>
        <w:t xml:space="preserve">Revista Dinero. “¿Larga vida al 4x1000?, </w:t>
      </w:r>
      <w:r w:rsidRPr="00BF28A9">
        <w:rPr>
          <w:lang w:val="es-CO"/>
        </w:rPr>
        <w:t xml:space="preserve">febrero de2013. Documento disponible en </w:t>
      </w:r>
      <w:r w:rsidRPr="00BF28A9">
        <w:t>https://www.dinero.com/pais/articulo/radicado-proyecto-ley-para-extender-4x1000/185329</w:t>
      </w:r>
    </w:p>
  </w:footnote>
  <w:footnote w:id="9">
    <w:p w14:paraId="2F84DCB7" w14:textId="77777777" w:rsidR="001262FC" w:rsidRPr="00C5169B" w:rsidRDefault="001262FC" w:rsidP="001262FC">
      <w:pPr>
        <w:pStyle w:val="Textonotapie"/>
        <w:jc w:val="both"/>
      </w:pPr>
      <w:r w:rsidRPr="00A06C2C">
        <w:rPr>
          <w:rStyle w:val="Refdenotaalpie"/>
        </w:rPr>
        <w:footnoteRef/>
      </w:r>
      <w:r w:rsidRPr="00A06C2C">
        <w:rPr>
          <w:lang w:val="es-CO"/>
        </w:rPr>
        <w:t xml:space="preserve"> </w:t>
      </w:r>
      <w:r>
        <w:rPr>
          <w:lang w:val="es-CO"/>
        </w:rPr>
        <w:t>Revista Dinero. “Gobierno aplazaría desmonte del 4x1000”, diciembre de 2010. Docum</w:t>
      </w:r>
      <w:r w:rsidRPr="00672F2E">
        <w:rPr>
          <w:lang w:val="es-CO"/>
        </w:rPr>
        <w:t xml:space="preserve">ento disponible en </w:t>
      </w:r>
      <w:r w:rsidRPr="00672F2E">
        <w:t>https://www.dinero.com/pais/articulo/gobierno-aplazaria-desmonte-del-4x1000/109615</w:t>
      </w:r>
    </w:p>
  </w:footnote>
  <w:footnote w:id="10">
    <w:p w14:paraId="17142E80" w14:textId="77777777" w:rsidR="007F05DE" w:rsidRPr="00C5169B" w:rsidRDefault="007F05DE" w:rsidP="007F05DE">
      <w:pPr>
        <w:pStyle w:val="Textonotapie"/>
        <w:jc w:val="both"/>
      </w:pPr>
      <w:r w:rsidRPr="00A06C2C">
        <w:rPr>
          <w:rStyle w:val="Refdenotaalpie"/>
        </w:rPr>
        <w:footnoteRef/>
      </w:r>
      <w:r w:rsidRPr="00A06C2C">
        <w:rPr>
          <w:lang w:val="es-CO"/>
        </w:rPr>
        <w:t xml:space="preserve"> </w:t>
      </w:r>
      <w:r>
        <w:rPr>
          <w:lang w:val="es-CO"/>
        </w:rPr>
        <w:t xml:space="preserve">Diario La República. “Conozca cómo ha sido la evolución del impuesto </w:t>
      </w:r>
      <w:r w:rsidRPr="00206074">
        <w:rPr>
          <w:lang w:val="es-CO"/>
        </w:rPr>
        <w:t xml:space="preserve">del 4x1000 en 20 años”, agosto de 2018. Documento disponible en </w:t>
      </w:r>
      <w:r w:rsidRPr="00206074">
        <w:t>https://www.larepublica.co/finanzas/asi-ha-ha-sido-la-evolucion-del-4x1000-en-20-anos-y-las-propuestas-que-estan-en-la-mesa-2758394</w:t>
      </w:r>
    </w:p>
  </w:footnote>
  <w:footnote w:id="11">
    <w:p w14:paraId="7C48AC0E" w14:textId="77777777" w:rsidR="001262FC" w:rsidRPr="00C5169B" w:rsidRDefault="001262FC" w:rsidP="001262FC">
      <w:pPr>
        <w:pStyle w:val="Textonotapie"/>
        <w:jc w:val="both"/>
      </w:pPr>
      <w:r w:rsidRPr="00A06C2C">
        <w:rPr>
          <w:rStyle w:val="Refdenotaalpie"/>
        </w:rPr>
        <w:footnoteRef/>
      </w:r>
      <w:r w:rsidRPr="00A06C2C">
        <w:rPr>
          <w:lang w:val="es-CO"/>
        </w:rPr>
        <w:t xml:space="preserve"> </w:t>
      </w:r>
      <w:r>
        <w:rPr>
          <w:lang w:val="es-CO"/>
        </w:rPr>
        <w:t xml:space="preserve">Lozano. Ramos. </w:t>
      </w:r>
      <w:r>
        <w:rPr>
          <w:i/>
          <w:lang w:val="es-CO"/>
        </w:rPr>
        <w:t>Análisis sobre la incidencia del impuesto del 2x1000 a las transacciones financieras</w:t>
      </w:r>
      <w:r>
        <w:rPr>
          <w:lang w:val="es-CO"/>
        </w:rPr>
        <w:t>. Pág. 1</w:t>
      </w:r>
    </w:p>
  </w:footnote>
  <w:footnote w:id="12">
    <w:p w14:paraId="0AFD80D6" w14:textId="77777777" w:rsidR="001262FC" w:rsidRPr="00C5169B" w:rsidRDefault="001262FC" w:rsidP="001262FC">
      <w:pPr>
        <w:pStyle w:val="Textonotapie"/>
        <w:jc w:val="both"/>
      </w:pPr>
      <w:r w:rsidRPr="00A06C2C">
        <w:rPr>
          <w:rStyle w:val="Refdenotaalpie"/>
        </w:rPr>
        <w:footnoteRef/>
      </w:r>
      <w:r w:rsidRPr="00A06C2C">
        <w:rPr>
          <w:lang w:val="es-CO"/>
        </w:rPr>
        <w:t xml:space="preserve"> </w:t>
      </w:r>
      <w:r>
        <w:rPr>
          <w:lang w:val="es-CO"/>
        </w:rPr>
        <w:t xml:space="preserve">Lozano. Ramos. </w:t>
      </w:r>
      <w:r>
        <w:rPr>
          <w:i/>
          <w:lang w:val="es-CO"/>
        </w:rPr>
        <w:t>Análisis sobre la incidencia del impuesto del 2x1000 a las transacciones financieras</w:t>
      </w:r>
      <w:r>
        <w:rPr>
          <w:lang w:val="es-CO"/>
        </w:rPr>
        <w:t xml:space="preserve">. Pág. 3 – 4 </w:t>
      </w:r>
    </w:p>
  </w:footnote>
  <w:footnote w:id="13">
    <w:p w14:paraId="3A444D03" w14:textId="77777777" w:rsidR="001262FC" w:rsidRPr="00C5169B" w:rsidRDefault="001262FC" w:rsidP="001262FC">
      <w:pPr>
        <w:pStyle w:val="Textonotapie"/>
        <w:jc w:val="both"/>
      </w:pPr>
      <w:r w:rsidRPr="00A06C2C">
        <w:rPr>
          <w:rStyle w:val="Refdenotaalpie"/>
        </w:rPr>
        <w:footnoteRef/>
      </w:r>
      <w:r w:rsidRPr="00A06C2C">
        <w:rPr>
          <w:lang w:val="es-CO"/>
        </w:rPr>
        <w:t xml:space="preserve"> </w:t>
      </w:r>
      <w:r>
        <w:rPr>
          <w:lang w:val="es-CO"/>
        </w:rPr>
        <w:t xml:space="preserve">Diario La República. “Conozca cómo ha sido la evolución del impuesto </w:t>
      </w:r>
      <w:r w:rsidRPr="00206074">
        <w:rPr>
          <w:lang w:val="es-CO"/>
        </w:rPr>
        <w:t xml:space="preserve">del 4x1000 en 20 años”, agosto de 2018. Documento disponible en </w:t>
      </w:r>
      <w:r w:rsidRPr="00206074">
        <w:t>https://www.larepublica.co/finanzas/asi-ha-ha-sido-la-evolucion-del-4x1000-en-20-anos-y-las-propuestas-que-estan-en-la-mesa-2758394</w:t>
      </w:r>
    </w:p>
  </w:footnote>
  <w:footnote w:id="14">
    <w:p w14:paraId="694B3990" w14:textId="77777777" w:rsidR="008C20C9" w:rsidRPr="00C5169B" w:rsidRDefault="008C20C9" w:rsidP="008C20C9">
      <w:pPr>
        <w:pStyle w:val="Textonotapie"/>
      </w:pPr>
      <w:r w:rsidRPr="00A06C2C">
        <w:rPr>
          <w:rStyle w:val="Refdenotaalpie"/>
        </w:rPr>
        <w:footnoteRef/>
      </w:r>
      <w:r w:rsidRPr="00A06C2C">
        <w:rPr>
          <w:lang w:val="es-CO"/>
        </w:rPr>
        <w:t xml:space="preserve"> </w:t>
      </w:r>
      <w:r>
        <w:rPr>
          <w:lang w:val="es-CO"/>
        </w:rPr>
        <w:t xml:space="preserve">Moreno Serrano, Sandra. “Incentivos fiscales a la bancarización en Latinoamérica”, 2015. Revista Instituto Colombiano de Derecho Tributario – ICDT. Documento disponible en </w:t>
      </w:r>
      <w:r w:rsidRPr="008C20C9">
        <w:t>https://www.icdt.co/publicaciones/revistas/revista72/PUB_ICDT_ART_MORENOSERRANOSandraPatricia_Incentivosfiscalesa%20labancarizacionenLatinoamerica_RevistaICDT72_Bogota_15..pdf</w:t>
      </w:r>
    </w:p>
  </w:footnote>
  <w:footnote w:id="15">
    <w:p w14:paraId="05EC427A" w14:textId="4DD86287" w:rsidR="005C52E6" w:rsidRPr="008062F0" w:rsidRDefault="005C52E6" w:rsidP="008062F0">
      <w:pPr>
        <w:pStyle w:val="Textonotapie"/>
      </w:pPr>
      <w:r w:rsidRPr="00A06C2C">
        <w:rPr>
          <w:rStyle w:val="Refdenotaalpie"/>
        </w:rPr>
        <w:footnoteRef/>
      </w:r>
      <w:r w:rsidRPr="00A06C2C">
        <w:rPr>
          <w:lang w:val="es-CO"/>
        </w:rPr>
        <w:t xml:space="preserve"> </w:t>
      </w:r>
      <w:r>
        <w:rPr>
          <w:lang w:val="es-CO"/>
        </w:rPr>
        <w:t>Revista Dinero. “Colombia difícilmente tendrá bancarización</w:t>
      </w:r>
      <w:r w:rsidR="008062F0">
        <w:rPr>
          <w:lang w:val="es-CO"/>
        </w:rPr>
        <w:t xml:space="preserve"> total en 2020”. Abril de 2015. Documento disponible en </w:t>
      </w:r>
      <w:r w:rsidR="008062F0" w:rsidRPr="008062F0">
        <w:t>https://www.dinero.com/inversionistas/articulo/como-sera-bancarizacion-colombia-2020/207769</w:t>
      </w:r>
    </w:p>
  </w:footnote>
  <w:footnote w:id="16">
    <w:p w14:paraId="53BEEAC8" w14:textId="59DCAA7D" w:rsidR="005C52E6" w:rsidRPr="005C52E6" w:rsidRDefault="005C52E6" w:rsidP="005C52E6">
      <w:pPr>
        <w:pStyle w:val="Textonotapie"/>
        <w:jc w:val="both"/>
        <w:rPr>
          <w:i/>
        </w:rPr>
      </w:pPr>
      <w:r w:rsidRPr="00A06C2C">
        <w:rPr>
          <w:rStyle w:val="Refdenotaalpie"/>
        </w:rPr>
        <w:footnoteRef/>
      </w:r>
      <w:r w:rsidRPr="00A06C2C">
        <w:rPr>
          <w:lang w:val="es-CO"/>
        </w:rPr>
        <w:t xml:space="preserve"> </w:t>
      </w:r>
      <w:r>
        <w:rPr>
          <w:lang w:val="es-CO"/>
        </w:rPr>
        <w:t>Revista Portafolio. “el 83,3% de la población adulta tiene al menos un prod</w:t>
      </w:r>
      <w:r w:rsidR="008062F0">
        <w:rPr>
          <w:lang w:val="es-CO"/>
        </w:rPr>
        <w:t xml:space="preserve">ucto financiero”. Enero de 2020. Documento disponible en </w:t>
      </w:r>
      <w:r w:rsidR="008062F0" w:rsidRPr="008062F0">
        <w:t>https://www.portafolio.co/economia/el-83-3-de-la-poblacion-adulta-tiene-al-menos-un-producto-financiero-537077</w:t>
      </w:r>
    </w:p>
  </w:footnote>
  <w:footnote w:id="17">
    <w:p w14:paraId="5E41D7CA" w14:textId="77777777" w:rsidR="0042769E" w:rsidRPr="00C5169B" w:rsidRDefault="0042769E" w:rsidP="0042769E">
      <w:pPr>
        <w:pStyle w:val="Textonotapie"/>
        <w:jc w:val="both"/>
      </w:pPr>
      <w:r w:rsidRPr="00A06C2C">
        <w:rPr>
          <w:rStyle w:val="Refdenotaalpie"/>
        </w:rPr>
        <w:footnoteRef/>
      </w:r>
      <w:r w:rsidRPr="00A06C2C">
        <w:rPr>
          <w:lang w:val="es-CO"/>
        </w:rPr>
        <w:t xml:space="preserve"> </w:t>
      </w:r>
      <w:r w:rsidR="00AD133E">
        <w:rPr>
          <w:lang w:val="es-CO"/>
        </w:rPr>
        <w:t xml:space="preserve">Rojas Suárez, Liliana. “La experiencia del impuesto a las Transacciones Financieras en América Latina: temas y lecciones”, 2012. Publicado en Comisión Económica para América Latina </w:t>
      </w:r>
      <w:r w:rsidR="00F73983">
        <w:rPr>
          <w:lang w:val="es-CO"/>
        </w:rPr>
        <w:t xml:space="preserve">y el Caribe </w:t>
      </w:r>
      <w:r w:rsidR="00AD133E">
        <w:rPr>
          <w:lang w:val="es-CO"/>
        </w:rPr>
        <w:t xml:space="preserve">– CEPAL. Documento disponible en </w:t>
      </w:r>
      <w:r w:rsidR="00AD133E" w:rsidRPr="00AD133E">
        <w:t>https://www.cepal.org/sites/default/files/news/files/liliana_rojas-suarez_adi_2012_sesion_2.pdf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01B9C" w14:textId="1F9E01EA" w:rsidR="00351326" w:rsidRDefault="00AE3C53">
    <w:pPr>
      <w:pStyle w:val="Encabezado"/>
    </w:pPr>
    <w:r>
      <w:rPr>
        <w:noProof/>
        <w:lang w:val="es-CO" w:eastAsia="es-CO"/>
      </w:rPr>
      <w:drawing>
        <wp:anchor distT="0" distB="0" distL="114300" distR="114300" simplePos="0" relativeHeight="251660288" behindDoc="1" locked="0" layoutInCell="1" allowOverlap="1" wp14:anchorId="670EFBB7" wp14:editId="1B134777">
          <wp:simplePos x="0" y="0"/>
          <wp:positionH relativeFrom="column">
            <wp:posOffset>4383405</wp:posOffset>
          </wp:positionH>
          <wp:positionV relativeFrom="paragraph">
            <wp:posOffset>-203200</wp:posOffset>
          </wp:positionV>
          <wp:extent cx="1338580" cy="866775"/>
          <wp:effectExtent l="0" t="0" r="0" b="9525"/>
          <wp:wrapTight wrapText="bothSides">
            <wp:wrapPolygon edited="0">
              <wp:start x="307" y="0"/>
              <wp:lineTo x="0" y="20888"/>
              <wp:lineTo x="615" y="21363"/>
              <wp:lineTo x="7685" y="21363"/>
              <wp:lineTo x="8915" y="21363"/>
              <wp:lineTo x="17522" y="21363"/>
              <wp:lineTo x="19059" y="20413"/>
              <wp:lineTo x="18444" y="11868"/>
              <wp:lineTo x="16907" y="7596"/>
              <wp:lineTo x="18751" y="1899"/>
              <wp:lineTo x="18444" y="0"/>
              <wp:lineTo x="307"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858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O" w:eastAsia="es-CO"/>
      </w:rPr>
      <w:drawing>
        <wp:anchor distT="0" distB="0" distL="114300" distR="114300" simplePos="0" relativeHeight="251658240" behindDoc="1" locked="0" layoutInCell="1" allowOverlap="1" wp14:anchorId="5DDB91A9" wp14:editId="7773045D">
          <wp:simplePos x="0" y="0"/>
          <wp:positionH relativeFrom="page">
            <wp:align>left</wp:align>
          </wp:positionH>
          <wp:positionV relativeFrom="paragraph">
            <wp:posOffset>-456565</wp:posOffset>
          </wp:positionV>
          <wp:extent cx="5626735" cy="1181100"/>
          <wp:effectExtent l="0" t="0" r="0" b="0"/>
          <wp:wrapTight wrapText="bothSides">
            <wp:wrapPolygon edited="0">
              <wp:start x="0" y="0"/>
              <wp:lineTo x="0" y="21252"/>
              <wp:lineTo x="21500" y="21252"/>
              <wp:lineTo x="21500"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membrete-katherine.png"/>
                  <pic:cNvPicPr/>
                </pic:nvPicPr>
                <pic:blipFill rotWithShape="1">
                  <a:blip r:embed="rId2" cstate="print">
                    <a:extLst>
                      <a:ext uri="{28A0092B-C50C-407E-A947-70E740481C1C}">
                        <a14:useLocalDpi xmlns:a14="http://schemas.microsoft.com/office/drawing/2010/main" val="0"/>
                      </a:ext>
                    </a:extLst>
                  </a:blip>
                  <a:srcRect b="83767"/>
                  <a:stretch/>
                </pic:blipFill>
                <pic:spPr bwMode="auto">
                  <a:xfrm>
                    <a:off x="0" y="0"/>
                    <a:ext cx="5629373" cy="1181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A3A07"/>
    <w:multiLevelType w:val="multilevel"/>
    <w:tmpl w:val="9AF679EC"/>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4053BA"/>
    <w:multiLevelType w:val="hybridMultilevel"/>
    <w:tmpl w:val="5EDC96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5A40BAB"/>
    <w:multiLevelType w:val="hybridMultilevel"/>
    <w:tmpl w:val="A5183C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102186"/>
    <w:multiLevelType w:val="multilevel"/>
    <w:tmpl w:val="4A806432"/>
    <w:lvl w:ilvl="0">
      <w:start w:val="1"/>
      <w:numFmt w:val="decimal"/>
      <w:lvlText w:val="%1."/>
      <w:lvlJc w:val="left"/>
      <w:pPr>
        <w:ind w:left="720" w:hanging="360"/>
      </w:pPr>
      <w:rPr>
        <w:rFonts w:ascii="Quattrocento Sans" w:eastAsia="Quattrocento Sans" w:hAnsi="Quattrocento Sans" w:cs="Quattrocento Sans"/>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CD7539B"/>
    <w:multiLevelType w:val="multilevel"/>
    <w:tmpl w:val="4A806432"/>
    <w:lvl w:ilvl="0">
      <w:start w:val="1"/>
      <w:numFmt w:val="decimal"/>
      <w:lvlText w:val="%1."/>
      <w:lvlJc w:val="left"/>
      <w:pPr>
        <w:ind w:left="720" w:hanging="360"/>
      </w:pPr>
      <w:rPr>
        <w:rFonts w:ascii="Quattrocento Sans" w:eastAsia="Quattrocento Sans" w:hAnsi="Quattrocento Sans" w:cs="Quattrocento Sans"/>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DC56F1A"/>
    <w:multiLevelType w:val="hybridMultilevel"/>
    <w:tmpl w:val="34DE77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51321FC"/>
    <w:multiLevelType w:val="hybridMultilevel"/>
    <w:tmpl w:val="D94A7D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7A65DCF"/>
    <w:multiLevelType w:val="hybridMultilevel"/>
    <w:tmpl w:val="50B81F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1665B29"/>
    <w:multiLevelType w:val="hybridMultilevel"/>
    <w:tmpl w:val="0214F2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1890ED3"/>
    <w:multiLevelType w:val="hybridMultilevel"/>
    <w:tmpl w:val="C5F289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06E6F38"/>
    <w:multiLevelType w:val="hybridMultilevel"/>
    <w:tmpl w:val="BD526D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B984E3A"/>
    <w:multiLevelType w:val="multilevel"/>
    <w:tmpl w:val="9AF679EC"/>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DCE1ED4"/>
    <w:multiLevelType w:val="hybridMultilevel"/>
    <w:tmpl w:val="CA442E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7044063"/>
    <w:multiLevelType w:val="hybridMultilevel"/>
    <w:tmpl w:val="90B610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B886CF5"/>
    <w:multiLevelType w:val="hybridMultilevel"/>
    <w:tmpl w:val="453A58AC"/>
    <w:lvl w:ilvl="0" w:tplc="A904A9F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9"/>
  </w:num>
  <w:num w:numId="2">
    <w:abstractNumId w:val="11"/>
  </w:num>
  <w:num w:numId="3">
    <w:abstractNumId w:val="0"/>
  </w:num>
  <w:num w:numId="4">
    <w:abstractNumId w:val="1"/>
  </w:num>
  <w:num w:numId="5">
    <w:abstractNumId w:val="4"/>
  </w:num>
  <w:num w:numId="6">
    <w:abstractNumId w:val="14"/>
  </w:num>
  <w:num w:numId="7">
    <w:abstractNumId w:val="13"/>
  </w:num>
  <w:num w:numId="8">
    <w:abstractNumId w:val="10"/>
  </w:num>
  <w:num w:numId="9">
    <w:abstractNumId w:val="6"/>
  </w:num>
  <w:num w:numId="10">
    <w:abstractNumId w:val="12"/>
  </w:num>
  <w:num w:numId="11">
    <w:abstractNumId w:val="2"/>
  </w:num>
  <w:num w:numId="12">
    <w:abstractNumId w:val="5"/>
  </w:num>
  <w:num w:numId="13">
    <w:abstractNumId w:val="3"/>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326"/>
    <w:rsid w:val="000005DD"/>
    <w:rsid w:val="000477D1"/>
    <w:rsid w:val="00050B33"/>
    <w:rsid w:val="00062D58"/>
    <w:rsid w:val="000A1A2A"/>
    <w:rsid w:val="000C5BB9"/>
    <w:rsid w:val="000D51C4"/>
    <w:rsid w:val="000E2F50"/>
    <w:rsid w:val="000F0FC4"/>
    <w:rsid w:val="000F261B"/>
    <w:rsid w:val="001262FC"/>
    <w:rsid w:val="00134586"/>
    <w:rsid w:val="0018662A"/>
    <w:rsid w:val="001E4A6A"/>
    <w:rsid w:val="00200DD0"/>
    <w:rsid w:val="00206971"/>
    <w:rsid w:val="00214325"/>
    <w:rsid w:val="00227327"/>
    <w:rsid w:val="00297520"/>
    <w:rsid w:val="00301937"/>
    <w:rsid w:val="00312392"/>
    <w:rsid w:val="003505B5"/>
    <w:rsid w:val="00351326"/>
    <w:rsid w:val="0035318A"/>
    <w:rsid w:val="00353FA1"/>
    <w:rsid w:val="00356162"/>
    <w:rsid w:val="003650D7"/>
    <w:rsid w:val="003A0478"/>
    <w:rsid w:val="003A28C9"/>
    <w:rsid w:val="003C3369"/>
    <w:rsid w:val="0040623F"/>
    <w:rsid w:val="00406D73"/>
    <w:rsid w:val="00414D1A"/>
    <w:rsid w:val="00427609"/>
    <w:rsid w:val="0042769E"/>
    <w:rsid w:val="0043732E"/>
    <w:rsid w:val="00440AA5"/>
    <w:rsid w:val="00443E7E"/>
    <w:rsid w:val="004746B9"/>
    <w:rsid w:val="004806B0"/>
    <w:rsid w:val="004B1966"/>
    <w:rsid w:val="004B4DA6"/>
    <w:rsid w:val="004B6DC9"/>
    <w:rsid w:val="004D2539"/>
    <w:rsid w:val="004E1885"/>
    <w:rsid w:val="004E4DCC"/>
    <w:rsid w:val="005066C4"/>
    <w:rsid w:val="00510850"/>
    <w:rsid w:val="0051635A"/>
    <w:rsid w:val="00542151"/>
    <w:rsid w:val="005444F9"/>
    <w:rsid w:val="00567C9F"/>
    <w:rsid w:val="00594535"/>
    <w:rsid w:val="00596E1D"/>
    <w:rsid w:val="005974CF"/>
    <w:rsid w:val="005C52E6"/>
    <w:rsid w:val="005D2A3F"/>
    <w:rsid w:val="005D54E4"/>
    <w:rsid w:val="00600A32"/>
    <w:rsid w:val="006142C6"/>
    <w:rsid w:val="00620ADA"/>
    <w:rsid w:val="006307B3"/>
    <w:rsid w:val="006344FF"/>
    <w:rsid w:val="00636D69"/>
    <w:rsid w:val="006650F2"/>
    <w:rsid w:val="006931E7"/>
    <w:rsid w:val="006A1358"/>
    <w:rsid w:val="006D548D"/>
    <w:rsid w:val="006E0468"/>
    <w:rsid w:val="006E1A4D"/>
    <w:rsid w:val="006E7FB6"/>
    <w:rsid w:val="006F07CF"/>
    <w:rsid w:val="006F3D09"/>
    <w:rsid w:val="00704175"/>
    <w:rsid w:val="007054B9"/>
    <w:rsid w:val="00706FF7"/>
    <w:rsid w:val="00737712"/>
    <w:rsid w:val="00756D12"/>
    <w:rsid w:val="00782246"/>
    <w:rsid w:val="007A1BC4"/>
    <w:rsid w:val="007F05DE"/>
    <w:rsid w:val="007F43C5"/>
    <w:rsid w:val="008062F0"/>
    <w:rsid w:val="0083506F"/>
    <w:rsid w:val="00841BED"/>
    <w:rsid w:val="0084237B"/>
    <w:rsid w:val="00846696"/>
    <w:rsid w:val="00855A09"/>
    <w:rsid w:val="00871332"/>
    <w:rsid w:val="008911CF"/>
    <w:rsid w:val="008A33CA"/>
    <w:rsid w:val="008C20C9"/>
    <w:rsid w:val="009234B8"/>
    <w:rsid w:val="00980F7A"/>
    <w:rsid w:val="009F57D6"/>
    <w:rsid w:val="00A05551"/>
    <w:rsid w:val="00A60739"/>
    <w:rsid w:val="00AA0E94"/>
    <w:rsid w:val="00AA3374"/>
    <w:rsid w:val="00AD0028"/>
    <w:rsid w:val="00AD133E"/>
    <w:rsid w:val="00AD501B"/>
    <w:rsid w:val="00AE3C53"/>
    <w:rsid w:val="00AE58E9"/>
    <w:rsid w:val="00B3211E"/>
    <w:rsid w:val="00B5487B"/>
    <w:rsid w:val="00B709C9"/>
    <w:rsid w:val="00C007B7"/>
    <w:rsid w:val="00C2038F"/>
    <w:rsid w:val="00C225F1"/>
    <w:rsid w:val="00C25E55"/>
    <w:rsid w:val="00C3175E"/>
    <w:rsid w:val="00CC245A"/>
    <w:rsid w:val="00CD2B84"/>
    <w:rsid w:val="00D578D2"/>
    <w:rsid w:val="00D65327"/>
    <w:rsid w:val="00DB6803"/>
    <w:rsid w:val="00DC1B4C"/>
    <w:rsid w:val="00DF10AD"/>
    <w:rsid w:val="00E12FA3"/>
    <w:rsid w:val="00E51256"/>
    <w:rsid w:val="00E62866"/>
    <w:rsid w:val="00E72342"/>
    <w:rsid w:val="00E80766"/>
    <w:rsid w:val="00E947DB"/>
    <w:rsid w:val="00EA1B35"/>
    <w:rsid w:val="00EB469D"/>
    <w:rsid w:val="00ED7D1D"/>
    <w:rsid w:val="00EF5179"/>
    <w:rsid w:val="00F24CD8"/>
    <w:rsid w:val="00F36CED"/>
    <w:rsid w:val="00F46FA8"/>
    <w:rsid w:val="00F513AA"/>
    <w:rsid w:val="00F55FC4"/>
    <w:rsid w:val="00F6034A"/>
    <w:rsid w:val="00F73983"/>
    <w:rsid w:val="00F85F12"/>
    <w:rsid w:val="00FA2F3B"/>
    <w:rsid w:val="00FB0D71"/>
    <w:rsid w:val="00FB2818"/>
    <w:rsid w:val="00FD54ED"/>
    <w:rsid w:val="00FE112A"/>
    <w:rsid w:val="00FF504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446301"/>
  <w15:chartTrackingRefBased/>
  <w15:docId w15:val="{FCC83D3C-5741-47D4-973B-7D1BA1397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D54ED"/>
    <w:pPr>
      <w:spacing w:after="0" w:line="240" w:lineRule="auto"/>
    </w:pPr>
    <w:rPr>
      <w:rFonts w:ascii="Times New Roman" w:eastAsia="Times New Roman" w:hAnsi="Times New Roman" w:cs="Times New Roman"/>
      <w:sz w:val="24"/>
      <w:szCs w:val="24"/>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1326"/>
    <w:pPr>
      <w:tabs>
        <w:tab w:val="center" w:pos="4419"/>
        <w:tab w:val="right" w:pos="8838"/>
      </w:tabs>
    </w:pPr>
  </w:style>
  <w:style w:type="character" w:customStyle="1" w:styleId="EncabezadoCar">
    <w:name w:val="Encabezado Car"/>
    <w:basedOn w:val="Fuentedeprrafopredeter"/>
    <w:link w:val="Encabezado"/>
    <w:uiPriority w:val="99"/>
    <w:rsid w:val="00351326"/>
  </w:style>
  <w:style w:type="paragraph" w:styleId="Piedepgina">
    <w:name w:val="footer"/>
    <w:basedOn w:val="Normal"/>
    <w:link w:val="PiedepginaCar"/>
    <w:uiPriority w:val="99"/>
    <w:unhideWhenUsed/>
    <w:rsid w:val="00351326"/>
    <w:pPr>
      <w:tabs>
        <w:tab w:val="center" w:pos="4419"/>
        <w:tab w:val="right" w:pos="8838"/>
      </w:tabs>
    </w:pPr>
  </w:style>
  <w:style w:type="character" w:customStyle="1" w:styleId="PiedepginaCar">
    <w:name w:val="Pie de página Car"/>
    <w:basedOn w:val="Fuentedeprrafopredeter"/>
    <w:link w:val="Piedepgina"/>
    <w:uiPriority w:val="99"/>
    <w:rsid w:val="00351326"/>
  </w:style>
  <w:style w:type="paragraph" w:styleId="Textodeglobo">
    <w:name w:val="Balloon Text"/>
    <w:basedOn w:val="Normal"/>
    <w:link w:val="TextodegloboCar"/>
    <w:uiPriority w:val="99"/>
    <w:semiHidden/>
    <w:unhideWhenUsed/>
    <w:rsid w:val="0035132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1326"/>
    <w:rPr>
      <w:rFonts w:ascii="Segoe UI" w:hAnsi="Segoe UI" w:cs="Segoe UI"/>
      <w:sz w:val="18"/>
      <w:szCs w:val="18"/>
    </w:rPr>
  </w:style>
  <w:style w:type="paragraph" w:styleId="Prrafodelista">
    <w:name w:val="List Paragraph"/>
    <w:aliases w:val="Ha,Resume Title"/>
    <w:basedOn w:val="Normal"/>
    <w:link w:val="PrrafodelistaCar"/>
    <w:uiPriority w:val="34"/>
    <w:qFormat/>
    <w:rsid w:val="003A0478"/>
    <w:pPr>
      <w:ind w:left="720"/>
      <w:contextualSpacing/>
    </w:pPr>
  </w:style>
  <w:style w:type="character" w:styleId="Textoennegrita">
    <w:name w:val="Strong"/>
    <w:basedOn w:val="Fuentedeprrafopredeter"/>
    <w:uiPriority w:val="22"/>
    <w:qFormat/>
    <w:rsid w:val="003A0478"/>
    <w:rPr>
      <w:b/>
      <w:bCs/>
    </w:rPr>
  </w:style>
  <w:style w:type="paragraph" w:styleId="NormalWeb">
    <w:name w:val="Normal (Web)"/>
    <w:basedOn w:val="Normal"/>
    <w:link w:val="NormalWebCar"/>
    <w:uiPriority w:val="99"/>
    <w:unhideWhenUsed/>
    <w:rsid w:val="00A60739"/>
    <w:pPr>
      <w:spacing w:before="100" w:beforeAutospacing="1" w:after="100" w:afterAutospacing="1"/>
    </w:pPr>
    <w:rPr>
      <w:lang w:eastAsia="es-CO"/>
    </w:rPr>
  </w:style>
  <w:style w:type="paragraph" w:customStyle="1" w:styleId="Poromisin">
    <w:name w:val="Por omisión"/>
    <w:rsid w:val="004B4DA6"/>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es-CO"/>
    </w:rPr>
  </w:style>
  <w:style w:type="character" w:customStyle="1" w:styleId="Ninguno">
    <w:name w:val="Ninguno"/>
    <w:rsid w:val="004B4DA6"/>
  </w:style>
  <w:style w:type="paragraph" w:styleId="Textonotapie">
    <w:name w:val="footnote text"/>
    <w:aliases w:val="ft,Texto nota pie_mujer,Footnote Text Char Car,Nota a pie/Bibliog,texto de nota al pie,Footnote Text Char Car Car Car,Footnote Text Char Car Car,Texto nota pie Car1, Car1 Car Car, Car1 Car2,Texto nota pie Car11,Car1,Texto nota pie Car Car"/>
    <w:basedOn w:val="Normal"/>
    <w:link w:val="TextonotapieCar"/>
    <w:unhideWhenUsed/>
    <w:rsid w:val="00C25E55"/>
    <w:rPr>
      <w:sz w:val="20"/>
      <w:szCs w:val="20"/>
    </w:rPr>
  </w:style>
  <w:style w:type="character" w:customStyle="1" w:styleId="TextonotapieCar">
    <w:name w:val="Texto nota pie Car"/>
    <w:aliases w:val="ft Car,Texto nota pie_mujer Car,Footnote Text Char Car Car1,Nota a pie/Bibliog Car,texto de nota al pie Car,Footnote Text Char Car Car Car Car,Footnote Text Char Car Car Car1,Texto nota pie Car1 Car, Car1 Car Car Car, Car1 Car2 Car"/>
    <w:basedOn w:val="Fuentedeprrafopredeter"/>
    <w:link w:val="Textonotapie"/>
    <w:rsid w:val="00C25E55"/>
    <w:rPr>
      <w:rFonts w:ascii="Times New Roman" w:eastAsia="Times New Roman" w:hAnsi="Times New Roman" w:cs="Times New Roman"/>
      <w:sz w:val="20"/>
      <w:szCs w:val="20"/>
      <w:lang w:val="es-ES" w:eastAsia="es-ES_tradnl"/>
    </w:rPr>
  </w:style>
  <w:style w:type="character" w:styleId="Refdenotaalpie">
    <w:name w:val="footnote reference"/>
    <w:aliases w:val="Ref. de nota al pie2,Nota de pie,referencia nota al pie,Texto de nota al pie,Ref,de nota al pie"/>
    <w:basedOn w:val="Fuentedeprrafopredeter"/>
    <w:unhideWhenUsed/>
    <w:rsid w:val="00C25E55"/>
    <w:rPr>
      <w:vertAlign w:val="superscript"/>
    </w:rPr>
  </w:style>
  <w:style w:type="character" w:styleId="Hipervnculo">
    <w:name w:val="Hyperlink"/>
    <w:basedOn w:val="Fuentedeprrafopredeter"/>
    <w:uiPriority w:val="99"/>
    <w:unhideWhenUsed/>
    <w:rsid w:val="00C25E55"/>
    <w:rPr>
      <w:color w:val="0000FF"/>
      <w:u w:val="single"/>
    </w:rPr>
  </w:style>
  <w:style w:type="character" w:customStyle="1" w:styleId="PrrafodelistaCar">
    <w:name w:val="Párrafo de lista Car"/>
    <w:aliases w:val="Ha Car,Resume Title Car"/>
    <w:link w:val="Prrafodelista"/>
    <w:uiPriority w:val="34"/>
    <w:rsid w:val="00E947DB"/>
    <w:rPr>
      <w:rFonts w:ascii="Times New Roman" w:eastAsia="Times New Roman" w:hAnsi="Times New Roman" w:cs="Times New Roman"/>
      <w:sz w:val="24"/>
      <w:szCs w:val="24"/>
      <w:lang w:val="es-ES" w:eastAsia="es-ES_tradnl"/>
    </w:rPr>
  </w:style>
  <w:style w:type="character" w:customStyle="1" w:styleId="highlighted">
    <w:name w:val="highlighted"/>
    <w:basedOn w:val="Fuentedeprrafopredeter"/>
    <w:rsid w:val="000D51C4"/>
  </w:style>
  <w:style w:type="character" w:customStyle="1" w:styleId="NormalWebCar">
    <w:name w:val="Normal (Web) Car"/>
    <w:link w:val="NormalWeb"/>
    <w:uiPriority w:val="99"/>
    <w:locked/>
    <w:rsid w:val="000A1A2A"/>
    <w:rPr>
      <w:rFonts w:ascii="Times New Roman" w:eastAsia="Times New Roman" w:hAnsi="Times New Roman" w:cs="Times New Roman"/>
      <w:sz w:val="24"/>
      <w:szCs w:val="24"/>
      <w:lang w:val="es-ES" w:eastAsia="es-CO"/>
    </w:rPr>
  </w:style>
  <w:style w:type="paragraph" w:customStyle="1" w:styleId="western">
    <w:name w:val="western"/>
    <w:basedOn w:val="Normal"/>
    <w:rsid w:val="00F6034A"/>
    <w:pPr>
      <w:spacing w:before="100" w:beforeAutospacing="1" w:after="100" w:afterAutospacing="1"/>
    </w:pPr>
    <w:rPr>
      <w:lang w:val="es-CO" w:eastAsia="es-CO"/>
    </w:rPr>
  </w:style>
  <w:style w:type="paragraph" w:customStyle="1" w:styleId="Default">
    <w:name w:val="Default"/>
    <w:rsid w:val="00F55FC4"/>
    <w:pPr>
      <w:autoSpaceDE w:val="0"/>
      <w:autoSpaceDN w:val="0"/>
      <w:adjustRightInd w:val="0"/>
      <w:spacing w:after="0" w:line="240" w:lineRule="auto"/>
    </w:pPr>
    <w:rPr>
      <w:rFonts w:ascii="Calibri" w:hAnsi="Calibri" w:cs="Calibri"/>
      <w:color w:val="000000"/>
      <w:sz w:val="24"/>
      <w:szCs w:val="24"/>
    </w:rPr>
  </w:style>
  <w:style w:type="paragraph" w:customStyle="1" w:styleId="Normal1">
    <w:name w:val="Normal1"/>
    <w:rsid w:val="00F55FC4"/>
    <w:pPr>
      <w:spacing w:after="0" w:line="276" w:lineRule="auto"/>
      <w:jc w:val="both"/>
    </w:pPr>
    <w:rPr>
      <w:rFonts w:ascii="Times" w:eastAsia="Times" w:hAnsi="Times" w:cs="Times"/>
      <w:color w:val="000000"/>
      <w:sz w:val="24"/>
      <w:szCs w:val="24"/>
      <w:lang w:val="es-ES_tradnl" w:eastAsia="ja-JP"/>
    </w:rPr>
  </w:style>
  <w:style w:type="table" w:styleId="Tablaconcuadrcula">
    <w:name w:val="Table Grid"/>
    <w:basedOn w:val="Tablanormal"/>
    <w:uiPriority w:val="39"/>
    <w:rsid w:val="00567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834153">
      <w:bodyDiv w:val="1"/>
      <w:marLeft w:val="0"/>
      <w:marRight w:val="0"/>
      <w:marTop w:val="0"/>
      <w:marBottom w:val="0"/>
      <w:divBdr>
        <w:top w:val="none" w:sz="0" w:space="0" w:color="auto"/>
        <w:left w:val="none" w:sz="0" w:space="0" w:color="auto"/>
        <w:bottom w:val="none" w:sz="0" w:space="0" w:color="auto"/>
        <w:right w:val="none" w:sz="0" w:space="0" w:color="auto"/>
      </w:divBdr>
      <w:divsChild>
        <w:div w:id="96826336">
          <w:marLeft w:val="0"/>
          <w:marRight w:val="0"/>
          <w:marTop w:val="0"/>
          <w:marBottom w:val="0"/>
          <w:divBdr>
            <w:top w:val="none" w:sz="0" w:space="0" w:color="auto"/>
            <w:left w:val="none" w:sz="0" w:space="0" w:color="auto"/>
            <w:bottom w:val="none" w:sz="0" w:space="0" w:color="auto"/>
            <w:right w:val="none" w:sz="0" w:space="0" w:color="auto"/>
          </w:divBdr>
        </w:div>
        <w:div w:id="281353138">
          <w:marLeft w:val="0"/>
          <w:marRight w:val="0"/>
          <w:marTop w:val="0"/>
          <w:marBottom w:val="0"/>
          <w:divBdr>
            <w:top w:val="none" w:sz="0" w:space="0" w:color="auto"/>
            <w:left w:val="none" w:sz="0" w:space="0" w:color="auto"/>
            <w:bottom w:val="none" w:sz="0" w:space="0" w:color="auto"/>
            <w:right w:val="none" w:sz="0" w:space="0" w:color="auto"/>
          </w:divBdr>
        </w:div>
        <w:div w:id="518009553">
          <w:marLeft w:val="0"/>
          <w:marRight w:val="0"/>
          <w:marTop w:val="0"/>
          <w:marBottom w:val="0"/>
          <w:divBdr>
            <w:top w:val="none" w:sz="0" w:space="0" w:color="auto"/>
            <w:left w:val="none" w:sz="0" w:space="0" w:color="auto"/>
            <w:bottom w:val="none" w:sz="0" w:space="0" w:color="auto"/>
            <w:right w:val="none" w:sz="0" w:space="0" w:color="auto"/>
          </w:divBdr>
        </w:div>
        <w:div w:id="645403173">
          <w:marLeft w:val="0"/>
          <w:marRight w:val="0"/>
          <w:marTop w:val="0"/>
          <w:marBottom w:val="0"/>
          <w:divBdr>
            <w:top w:val="none" w:sz="0" w:space="0" w:color="auto"/>
            <w:left w:val="none" w:sz="0" w:space="0" w:color="auto"/>
            <w:bottom w:val="none" w:sz="0" w:space="0" w:color="auto"/>
            <w:right w:val="none" w:sz="0" w:space="0" w:color="auto"/>
          </w:divBdr>
        </w:div>
        <w:div w:id="656811278">
          <w:marLeft w:val="0"/>
          <w:marRight w:val="0"/>
          <w:marTop w:val="0"/>
          <w:marBottom w:val="0"/>
          <w:divBdr>
            <w:top w:val="none" w:sz="0" w:space="0" w:color="auto"/>
            <w:left w:val="none" w:sz="0" w:space="0" w:color="auto"/>
            <w:bottom w:val="none" w:sz="0" w:space="0" w:color="auto"/>
            <w:right w:val="none" w:sz="0" w:space="0" w:color="auto"/>
          </w:divBdr>
        </w:div>
        <w:div w:id="2110588222">
          <w:marLeft w:val="0"/>
          <w:marRight w:val="0"/>
          <w:marTop w:val="0"/>
          <w:marBottom w:val="0"/>
          <w:divBdr>
            <w:top w:val="none" w:sz="0" w:space="0" w:color="auto"/>
            <w:left w:val="none" w:sz="0" w:space="0" w:color="auto"/>
            <w:bottom w:val="none" w:sz="0" w:space="0" w:color="auto"/>
            <w:right w:val="none" w:sz="0" w:space="0" w:color="auto"/>
          </w:divBdr>
        </w:div>
      </w:divsChild>
    </w:div>
    <w:div w:id="378361508">
      <w:bodyDiv w:val="1"/>
      <w:marLeft w:val="0"/>
      <w:marRight w:val="0"/>
      <w:marTop w:val="0"/>
      <w:marBottom w:val="0"/>
      <w:divBdr>
        <w:top w:val="none" w:sz="0" w:space="0" w:color="auto"/>
        <w:left w:val="none" w:sz="0" w:space="0" w:color="auto"/>
        <w:bottom w:val="none" w:sz="0" w:space="0" w:color="auto"/>
        <w:right w:val="none" w:sz="0" w:space="0" w:color="auto"/>
      </w:divBdr>
    </w:div>
    <w:div w:id="781191269">
      <w:bodyDiv w:val="1"/>
      <w:marLeft w:val="0"/>
      <w:marRight w:val="0"/>
      <w:marTop w:val="0"/>
      <w:marBottom w:val="0"/>
      <w:divBdr>
        <w:top w:val="none" w:sz="0" w:space="0" w:color="auto"/>
        <w:left w:val="none" w:sz="0" w:space="0" w:color="auto"/>
        <w:bottom w:val="none" w:sz="0" w:space="0" w:color="auto"/>
        <w:right w:val="none" w:sz="0" w:space="0" w:color="auto"/>
      </w:divBdr>
    </w:div>
    <w:div w:id="888346813">
      <w:bodyDiv w:val="1"/>
      <w:marLeft w:val="0"/>
      <w:marRight w:val="0"/>
      <w:marTop w:val="0"/>
      <w:marBottom w:val="0"/>
      <w:divBdr>
        <w:top w:val="none" w:sz="0" w:space="0" w:color="auto"/>
        <w:left w:val="none" w:sz="0" w:space="0" w:color="auto"/>
        <w:bottom w:val="none" w:sz="0" w:space="0" w:color="auto"/>
        <w:right w:val="none" w:sz="0" w:space="0" w:color="auto"/>
      </w:divBdr>
    </w:div>
    <w:div w:id="1100486186">
      <w:bodyDiv w:val="1"/>
      <w:marLeft w:val="0"/>
      <w:marRight w:val="0"/>
      <w:marTop w:val="0"/>
      <w:marBottom w:val="0"/>
      <w:divBdr>
        <w:top w:val="none" w:sz="0" w:space="0" w:color="auto"/>
        <w:left w:val="none" w:sz="0" w:space="0" w:color="auto"/>
        <w:bottom w:val="none" w:sz="0" w:space="0" w:color="auto"/>
        <w:right w:val="none" w:sz="0" w:space="0" w:color="auto"/>
      </w:divBdr>
      <w:divsChild>
        <w:div w:id="82379222">
          <w:marLeft w:val="0"/>
          <w:marRight w:val="0"/>
          <w:marTop w:val="0"/>
          <w:marBottom w:val="0"/>
          <w:divBdr>
            <w:top w:val="none" w:sz="0" w:space="0" w:color="auto"/>
            <w:left w:val="none" w:sz="0" w:space="0" w:color="auto"/>
            <w:bottom w:val="none" w:sz="0" w:space="0" w:color="auto"/>
            <w:right w:val="none" w:sz="0" w:space="0" w:color="auto"/>
          </w:divBdr>
        </w:div>
        <w:div w:id="152335424">
          <w:marLeft w:val="0"/>
          <w:marRight w:val="0"/>
          <w:marTop w:val="0"/>
          <w:marBottom w:val="0"/>
          <w:divBdr>
            <w:top w:val="none" w:sz="0" w:space="0" w:color="auto"/>
            <w:left w:val="none" w:sz="0" w:space="0" w:color="auto"/>
            <w:bottom w:val="none" w:sz="0" w:space="0" w:color="auto"/>
            <w:right w:val="none" w:sz="0" w:space="0" w:color="auto"/>
          </w:divBdr>
        </w:div>
        <w:div w:id="176776293">
          <w:marLeft w:val="0"/>
          <w:marRight w:val="0"/>
          <w:marTop w:val="0"/>
          <w:marBottom w:val="0"/>
          <w:divBdr>
            <w:top w:val="none" w:sz="0" w:space="0" w:color="auto"/>
            <w:left w:val="none" w:sz="0" w:space="0" w:color="auto"/>
            <w:bottom w:val="none" w:sz="0" w:space="0" w:color="auto"/>
            <w:right w:val="none" w:sz="0" w:space="0" w:color="auto"/>
          </w:divBdr>
        </w:div>
        <w:div w:id="458302925">
          <w:marLeft w:val="0"/>
          <w:marRight w:val="0"/>
          <w:marTop w:val="0"/>
          <w:marBottom w:val="0"/>
          <w:divBdr>
            <w:top w:val="none" w:sz="0" w:space="0" w:color="auto"/>
            <w:left w:val="none" w:sz="0" w:space="0" w:color="auto"/>
            <w:bottom w:val="none" w:sz="0" w:space="0" w:color="auto"/>
            <w:right w:val="none" w:sz="0" w:space="0" w:color="auto"/>
          </w:divBdr>
        </w:div>
        <w:div w:id="632833632">
          <w:marLeft w:val="0"/>
          <w:marRight w:val="0"/>
          <w:marTop w:val="0"/>
          <w:marBottom w:val="0"/>
          <w:divBdr>
            <w:top w:val="none" w:sz="0" w:space="0" w:color="auto"/>
            <w:left w:val="none" w:sz="0" w:space="0" w:color="auto"/>
            <w:bottom w:val="none" w:sz="0" w:space="0" w:color="auto"/>
            <w:right w:val="none" w:sz="0" w:space="0" w:color="auto"/>
          </w:divBdr>
        </w:div>
        <w:div w:id="668946094">
          <w:marLeft w:val="0"/>
          <w:marRight w:val="0"/>
          <w:marTop w:val="0"/>
          <w:marBottom w:val="0"/>
          <w:divBdr>
            <w:top w:val="none" w:sz="0" w:space="0" w:color="auto"/>
            <w:left w:val="none" w:sz="0" w:space="0" w:color="auto"/>
            <w:bottom w:val="none" w:sz="0" w:space="0" w:color="auto"/>
            <w:right w:val="none" w:sz="0" w:space="0" w:color="auto"/>
          </w:divBdr>
        </w:div>
        <w:div w:id="842597436">
          <w:marLeft w:val="0"/>
          <w:marRight w:val="0"/>
          <w:marTop w:val="0"/>
          <w:marBottom w:val="0"/>
          <w:divBdr>
            <w:top w:val="none" w:sz="0" w:space="0" w:color="auto"/>
            <w:left w:val="none" w:sz="0" w:space="0" w:color="auto"/>
            <w:bottom w:val="none" w:sz="0" w:space="0" w:color="auto"/>
            <w:right w:val="none" w:sz="0" w:space="0" w:color="auto"/>
          </w:divBdr>
        </w:div>
        <w:div w:id="851147853">
          <w:marLeft w:val="0"/>
          <w:marRight w:val="0"/>
          <w:marTop w:val="0"/>
          <w:marBottom w:val="0"/>
          <w:divBdr>
            <w:top w:val="none" w:sz="0" w:space="0" w:color="auto"/>
            <w:left w:val="none" w:sz="0" w:space="0" w:color="auto"/>
            <w:bottom w:val="none" w:sz="0" w:space="0" w:color="auto"/>
            <w:right w:val="none" w:sz="0" w:space="0" w:color="auto"/>
          </w:divBdr>
        </w:div>
        <w:div w:id="1192574176">
          <w:marLeft w:val="0"/>
          <w:marRight w:val="0"/>
          <w:marTop w:val="0"/>
          <w:marBottom w:val="0"/>
          <w:divBdr>
            <w:top w:val="none" w:sz="0" w:space="0" w:color="auto"/>
            <w:left w:val="none" w:sz="0" w:space="0" w:color="auto"/>
            <w:bottom w:val="none" w:sz="0" w:space="0" w:color="auto"/>
            <w:right w:val="none" w:sz="0" w:space="0" w:color="auto"/>
          </w:divBdr>
        </w:div>
        <w:div w:id="1286347151">
          <w:marLeft w:val="0"/>
          <w:marRight w:val="0"/>
          <w:marTop w:val="0"/>
          <w:marBottom w:val="0"/>
          <w:divBdr>
            <w:top w:val="none" w:sz="0" w:space="0" w:color="auto"/>
            <w:left w:val="none" w:sz="0" w:space="0" w:color="auto"/>
            <w:bottom w:val="none" w:sz="0" w:space="0" w:color="auto"/>
            <w:right w:val="none" w:sz="0" w:space="0" w:color="auto"/>
          </w:divBdr>
        </w:div>
        <w:div w:id="1317222896">
          <w:marLeft w:val="0"/>
          <w:marRight w:val="0"/>
          <w:marTop w:val="0"/>
          <w:marBottom w:val="0"/>
          <w:divBdr>
            <w:top w:val="none" w:sz="0" w:space="0" w:color="auto"/>
            <w:left w:val="none" w:sz="0" w:space="0" w:color="auto"/>
            <w:bottom w:val="none" w:sz="0" w:space="0" w:color="auto"/>
            <w:right w:val="none" w:sz="0" w:space="0" w:color="auto"/>
          </w:divBdr>
        </w:div>
        <w:div w:id="1722825816">
          <w:marLeft w:val="0"/>
          <w:marRight w:val="0"/>
          <w:marTop w:val="0"/>
          <w:marBottom w:val="0"/>
          <w:divBdr>
            <w:top w:val="none" w:sz="0" w:space="0" w:color="auto"/>
            <w:left w:val="none" w:sz="0" w:space="0" w:color="auto"/>
            <w:bottom w:val="none" w:sz="0" w:space="0" w:color="auto"/>
            <w:right w:val="none" w:sz="0" w:space="0" w:color="auto"/>
          </w:divBdr>
        </w:div>
        <w:div w:id="1787701752">
          <w:marLeft w:val="0"/>
          <w:marRight w:val="0"/>
          <w:marTop w:val="0"/>
          <w:marBottom w:val="0"/>
          <w:divBdr>
            <w:top w:val="none" w:sz="0" w:space="0" w:color="auto"/>
            <w:left w:val="none" w:sz="0" w:space="0" w:color="auto"/>
            <w:bottom w:val="none" w:sz="0" w:space="0" w:color="auto"/>
            <w:right w:val="none" w:sz="0" w:space="0" w:color="auto"/>
          </w:divBdr>
        </w:div>
        <w:div w:id="2039235307">
          <w:marLeft w:val="0"/>
          <w:marRight w:val="0"/>
          <w:marTop w:val="0"/>
          <w:marBottom w:val="0"/>
          <w:divBdr>
            <w:top w:val="none" w:sz="0" w:space="0" w:color="auto"/>
            <w:left w:val="none" w:sz="0" w:space="0" w:color="auto"/>
            <w:bottom w:val="none" w:sz="0" w:space="0" w:color="auto"/>
            <w:right w:val="none" w:sz="0" w:space="0" w:color="auto"/>
          </w:divBdr>
        </w:div>
        <w:div w:id="2075154005">
          <w:marLeft w:val="0"/>
          <w:marRight w:val="0"/>
          <w:marTop w:val="0"/>
          <w:marBottom w:val="0"/>
          <w:divBdr>
            <w:top w:val="none" w:sz="0" w:space="0" w:color="auto"/>
            <w:left w:val="none" w:sz="0" w:space="0" w:color="auto"/>
            <w:bottom w:val="none" w:sz="0" w:space="0" w:color="auto"/>
            <w:right w:val="none" w:sz="0" w:space="0" w:color="auto"/>
          </w:divBdr>
        </w:div>
      </w:divsChild>
    </w:div>
    <w:div w:id="1743793727">
      <w:bodyDiv w:val="1"/>
      <w:marLeft w:val="0"/>
      <w:marRight w:val="0"/>
      <w:marTop w:val="0"/>
      <w:marBottom w:val="0"/>
      <w:divBdr>
        <w:top w:val="none" w:sz="0" w:space="0" w:color="auto"/>
        <w:left w:val="none" w:sz="0" w:space="0" w:color="auto"/>
        <w:bottom w:val="none" w:sz="0" w:space="0" w:color="auto"/>
        <w:right w:val="none" w:sz="0" w:space="0" w:color="auto"/>
      </w:divBdr>
    </w:div>
    <w:div w:id="181417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uncionpublica.gov.co/eva/gestornormativo/norma.php?i=653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7E1DE-0AA3-490C-9411-CF7C46CD5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5118</Words>
  <Characters>28151</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luisa.vargas</dc:creator>
  <cp:keywords/>
  <dc:description/>
  <cp:lastModifiedBy>camilo acuna</cp:lastModifiedBy>
  <cp:revision>2</cp:revision>
  <cp:lastPrinted>2018-10-03T16:41:00Z</cp:lastPrinted>
  <dcterms:created xsi:type="dcterms:W3CDTF">2020-07-23T17:41:00Z</dcterms:created>
  <dcterms:modified xsi:type="dcterms:W3CDTF">2020-07-23T17:41:00Z</dcterms:modified>
</cp:coreProperties>
</file>