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CD5D5" w14:textId="77777777" w:rsidR="00914A24" w:rsidRPr="00F3416B" w:rsidRDefault="00914A24" w:rsidP="00914A24">
      <w:pPr>
        <w:jc w:val="right"/>
        <w:rPr>
          <w:rFonts w:ascii="Arial" w:eastAsia="Bookman Old Style" w:hAnsi="Arial" w:cs="Arial"/>
          <w:b/>
          <w:sz w:val="24"/>
          <w:szCs w:val="24"/>
        </w:rPr>
      </w:pPr>
      <w:r w:rsidRPr="00F3416B">
        <w:rPr>
          <w:rFonts w:ascii="Arial" w:eastAsia="Bookman Old Style" w:hAnsi="Arial" w:cs="Arial"/>
          <w:b/>
          <w:sz w:val="24"/>
          <w:szCs w:val="24"/>
        </w:rPr>
        <w:t>Bogotá D.C., 15 de diciembre de 2022</w:t>
      </w:r>
    </w:p>
    <w:p w14:paraId="66A4082B" w14:textId="77777777" w:rsidR="00914A24" w:rsidRPr="00F3416B" w:rsidRDefault="00914A24" w:rsidP="00914A24">
      <w:pPr>
        <w:rPr>
          <w:rFonts w:ascii="Arial" w:eastAsia="Bookman Old Style" w:hAnsi="Arial" w:cs="Arial"/>
          <w:b/>
          <w:sz w:val="24"/>
          <w:szCs w:val="24"/>
        </w:rPr>
      </w:pPr>
    </w:p>
    <w:p w14:paraId="3DDA57E0" w14:textId="77777777" w:rsidR="00914A24" w:rsidRPr="00F3416B" w:rsidRDefault="00914A24" w:rsidP="00914A24">
      <w:pPr>
        <w:rPr>
          <w:rFonts w:ascii="Arial" w:eastAsia="Bookman Old Style" w:hAnsi="Arial" w:cs="Arial"/>
          <w:sz w:val="24"/>
          <w:szCs w:val="24"/>
        </w:rPr>
      </w:pPr>
    </w:p>
    <w:p w14:paraId="7C6A08AF" w14:textId="77777777" w:rsidR="00914A24" w:rsidRPr="00F3416B" w:rsidRDefault="00914A24" w:rsidP="00914A24">
      <w:pPr>
        <w:rPr>
          <w:rFonts w:ascii="Arial" w:eastAsia="Bookman Old Style" w:hAnsi="Arial" w:cs="Arial"/>
          <w:sz w:val="24"/>
          <w:szCs w:val="24"/>
        </w:rPr>
      </w:pPr>
    </w:p>
    <w:p w14:paraId="0ADC1963" w14:textId="77777777" w:rsidR="00914A24" w:rsidRDefault="00914A24" w:rsidP="00914A24">
      <w:pPr>
        <w:pStyle w:val="Sinespaciado"/>
        <w:spacing w:line="276" w:lineRule="auto"/>
        <w:rPr>
          <w:rFonts w:ascii="Arial" w:hAnsi="Arial" w:cs="Arial"/>
          <w:sz w:val="24"/>
          <w:szCs w:val="24"/>
        </w:rPr>
      </w:pPr>
      <w:r>
        <w:rPr>
          <w:rFonts w:ascii="Arial" w:hAnsi="Arial" w:cs="Arial"/>
          <w:sz w:val="24"/>
          <w:szCs w:val="24"/>
        </w:rPr>
        <w:t>Doctor:</w:t>
      </w:r>
    </w:p>
    <w:p w14:paraId="38C6AF86" w14:textId="77777777" w:rsidR="00914A24" w:rsidRPr="00D058AA" w:rsidRDefault="00914A24" w:rsidP="00914A24">
      <w:pPr>
        <w:pStyle w:val="Sinespaciado"/>
        <w:spacing w:line="276" w:lineRule="auto"/>
        <w:rPr>
          <w:rFonts w:ascii="Arial" w:hAnsi="Arial" w:cs="Arial"/>
          <w:b/>
          <w:bCs/>
          <w:sz w:val="24"/>
          <w:szCs w:val="24"/>
        </w:rPr>
      </w:pPr>
      <w:r w:rsidRPr="00D058AA">
        <w:rPr>
          <w:rFonts w:ascii="Arial" w:hAnsi="Arial" w:cs="Arial"/>
          <w:b/>
          <w:bCs/>
          <w:sz w:val="24"/>
          <w:szCs w:val="24"/>
        </w:rPr>
        <w:t>JAIME LUIS LACOUTURE PEÑALOZA</w:t>
      </w:r>
    </w:p>
    <w:p w14:paraId="3948893D" w14:textId="77777777" w:rsidR="00914A24" w:rsidRDefault="00914A24" w:rsidP="00914A24">
      <w:pPr>
        <w:pStyle w:val="Sinespaciado"/>
        <w:spacing w:line="276" w:lineRule="auto"/>
        <w:rPr>
          <w:rFonts w:ascii="Arial" w:hAnsi="Arial" w:cs="Arial"/>
          <w:sz w:val="24"/>
          <w:szCs w:val="24"/>
        </w:rPr>
      </w:pPr>
      <w:r>
        <w:rPr>
          <w:rFonts w:ascii="Arial" w:hAnsi="Arial" w:cs="Arial"/>
          <w:sz w:val="24"/>
          <w:szCs w:val="24"/>
        </w:rPr>
        <w:t xml:space="preserve">Secretario General </w:t>
      </w:r>
    </w:p>
    <w:p w14:paraId="2EC5AFAB" w14:textId="77777777" w:rsidR="00914A24" w:rsidRPr="006A2CAA" w:rsidRDefault="00914A24" w:rsidP="00914A24">
      <w:pPr>
        <w:pStyle w:val="Sinespaciado"/>
        <w:spacing w:line="276" w:lineRule="auto"/>
        <w:rPr>
          <w:rFonts w:ascii="Arial" w:hAnsi="Arial" w:cs="Arial"/>
          <w:sz w:val="24"/>
          <w:szCs w:val="24"/>
        </w:rPr>
      </w:pPr>
      <w:r>
        <w:rPr>
          <w:rFonts w:ascii="Arial" w:hAnsi="Arial" w:cs="Arial"/>
          <w:sz w:val="24"/>
          <w:szCs w:val="24"/>
        </w:rPr>
        <w:t xml:space="preserve">Honorable </w:t>
      </w:r>
      <w:r w:rsidRPr="006A2CAA">
        <w:rPr>
          <w:rFonts w:ascii="Arial" w:hAnsi="Arial" w:cs="Arial"/>
          <w:sz w:val="24"/>
          <w:szCs w:val="24"/>
        </w:rPr>
        <w:t>Cámara de Representantes</w:t>
      </w:r>
    </w:p>
    <w:p w14:paraId="70F10A09" w14:textId="77777777" w:rsidR="00914A24" w:rsidRPr="006A2CAA" w:rsidRDefault="00914A24" w:rsidP="00914A24">
      <w:pPr>
        <w:pStyle w:val="Sinespaciado"/>
        <w:spacing w:line="276" w:lineRule="auto"/>
        <w:rPr>
          <w:rFonts w:ascii="Arial" w:hAnsi="Arial" w:cs="Arial"/>
          <w:b/>
          <w:sz w:val="24"/>
          <w:szCs w:val="24"/>
        </w:rPr>
      </w:pPr>
      <w:r w:rsidRPr="006A2CAA">
        <w:rPr>
          <w:rFonts w:ascii="Arial" w:hAnsi="Arial" w:cs="Arial"/>
          <w:sz w:val="24"/>
          <w:szCs w:val="24"/>
        </w:rPr>
        <w:t>Ciudad</w:t>
      </w:r>
    </w:p>
    <w:p w14:paraId="6A1AF015" w14:textId="77777777" w:rsidR="00914A24" w:rsidRPr="00F3416B" w:rsidRDefault="00914A24" w:rsidP="00914A24">
      <w:pPr>
        <w:rPr>
          <w:rFonts w:ascii="Arial" w:eastAsia="Bookman Old Style" w:hAnsi="Arial" w:cs="Arial"/>
          <w:b/>
          <w:sz w:val="24"/>
          <w:szCs w:val="24"/>
        </w:rPr>
      </w:pPr>
    </w:p>
    <w:p w14:paraId="2679365D" w14:textId="77777777" w:rsidR="00914A24" w:rsidRPr="00F3416B" w:rsidRDefault="00914A24" w:rsidP="00914A24">
      <w:pPr>
        <w:rPr>
          <w:rFonts w:ascii="Arial" w:eastAsia="Bookman Old Style" w:hAnsi="Arial" w:cs="Arial"/>
          <w:b/>
          <w:sz w:val="24"/>
          <w:szCs w:val="24"/>
        </w:rPr>
      </w:pPr>
    </w:p>
    <w:p w14:paraId="1327545F" w14:textId="77777777" w:rsidR="00914A24" w:rsidRPr="00F3416B" w:rsidRDefault="00914A24" w:rsidP="00914A24">
      <w:pPr>
        <w:rPr>
          <w:rFonts w:ascii="Arial" w:eastAsia="Bookman Old Style" w:hAnsi="Arial" w:cs="Arial"/>
          <w:b/>
          <w:sz w:val="24"/>
          <w:szCs w:val="24"/>
        </w:rPr>
      </w:pPr>
    </w:p>
    <w:p w14:paraId="66DC7808" w14:textId="77777777" w:rsidR="00914A24" w:rsidRPr="00F3416B" w:rsidRDefault="00914A24" w:rsidP="00914A24">
      <w:pPr>
        <w:jc w:val="right"/>
        <w:rPr>
          <w:rFonts w:ascii="Arial" w:eastAsia="Bookman Old Style" w:hAnsi="Arial" w:cs="Arial"/>
          <w:b/>
          <w:sz w:val="24"/>
          <w:szCs w:val="24"/>
        </w:rPr>
      </w:pPr>
      <w:r w:rsidRPr="00F3416B">
        <w:rPr>
          <w:rFonts w:ascii="Arial" w:eastAsia="Bookman Old Style" w:hAnsi="Arial" w:cs="Arial"/>
          <w:b/>
          <w:sz w:val="24"/>
          <w:szCs w:val="24"/>
        </w:rPr>
        <w:t>REF: RADICACIÓN PROYECTO DE LEY</w:t>
      </w:r>
    </w:p>
    <w:p w14:paraId="32F5BB99" w14:textId="77777777" w:rsidR="00914A24" w:rsidRPr="00F3416B" w:rsidRDefault="00914A24" w:rsidP="00914A24">
      <w:pPr>
        <w:jc w:val="right"/>
        <w:rPr>
          <w:rFonts w:ascii="Arial" w:eastAsia="Bookman Old Style" w:hAnsi="Arial" w:cs="Arial"/>
          <w:b/>
          <w:sz w:val="24"/>
          <w:szCs w:val="24"/>
        </w:rPr>
      </w:pPr>
    </w:p>
    <w:p w14:paraId="182ABD9E" w14:textId="77777777" w:rsidR="00914A24" w:rsidRPr="00F3416B" w:rsidRDefault="00914A24" w:rsidP="00914A24">
      <w:pPr>
        <w:rPr>
          <w:rFonts w:ascii="Arial" w:eastAsia="Bookman Old Style" w:hAnsi="Arial" w:cs="Arial"/>
          <w:b/>
          <w:sz w:val="24"/>
          <w:szCs w:val="24"/>
        </w:rPr>
      </w:pPr>
    </w:p>
    <w:p w14:paraId="3AB9127E" w14:textId="77777777" w:rsidR="00914A24" w:rsidRPr="00F3416B" w:rsidRDefault="00914A24" w:rsidP="00914A24">
      <w:pPr>
        <w:jc w:val="both"/>
        <w:rPr>
          <w:rFonts w:ascii="Arial" w:eastAsia="Bookman Old Style" w:hAnsi="Arial" w:cs="Arial"/>
          <w:sz w:val="24"/>
          <w:szCs w:val="24"/>
        </w:rPr>
      </w:pPr>
      <w:r w:rsidRPr="00F3416B">
        <w:rPr>
          <w:rFonts w:ascii="Arial" w:eastAsia="Bookman Old Style" w:hAnsi="Arial" w:cs="Arial"/>
          <w:sz w:val="24"/>
          <w:szCs w:val="24"/>
        </w:rPr>
        <w:t xml:space="preserve">En </w:t>
      </w:r>
      <w:r>
        <w:rPr>
          <w:rFonts w:ascii="Arial" w:eastAsia="Bookman Old Style" w:hAnsi="Arial" w:cs="Arial"/>
          <w:sz w:val="24"/>
          <w:szCs w:val="24"/>
        </w:rPr>
        <w:t>mi</w:t>
      </w:r>
      <w:r w:rsidRPr="00F3416B">
        <w:rPr>
          <w:rFonts w:ascii="Arial" w:eastAsia="Bookman Old Style" w:hAnsi="Arial" w:cs="Arial"/>
          <w:sz w:val="24"/>
          <w:szCs w:val="24"/>
        </w:rPr>
        <w:t xml:space="preserve"> condición de miembro del Congreso de la República y en uso del derecho consagrado en el artículo 150 de la Constitución Política de Colombia, por su digno conducto </w:t>
      </w:r>
      <w:r>
        <w:rPr>
          <w:rFonts w:ascii="Arial" w:eastAsia="Bookman Old Style" w:hAnsi="Arial" w:cs="Arial"/>
          <w:sz w:val="24"/>
          <w:szCs w:val="24"/>
        </w:rPr>
        <w:t>me</w:t>
      </w:r>
      <w:r w:rsidRPr="00F3416B">
        <w:rPr>
          <w:rFonts w:ascii="Arial" w:eastAsia="Bookman Old Style" w:hAnsi="Arial" w:cs="Arial"/>
          <w:sz w:val="24"/>
          <w:szCs w:val="24"/>
        </w:rPr>
        <w:t xml:space="preserve"> permi</w:t>
      </w:r>
      <w:r>
        <w:rPr>
          <w:rFonts w:ascii="Arial" w:eastAsia="Bookman Old Style" w:hAnsi="Arial" w:cs="Arial"/>
          <w:sz w:val="24"/>
          <w:szCs w:val="24"/>
        </w:rPr>
        <w:t>to</w:t>
      </w:r>
      <w:r w:rsidRPr="00F3416B">
        <w:rPr>
          <w:rFonts w:ascii="Arial" w:eastAsia="Bookman Old Style" w:hAnsi="Arial" w:cs="Arial"/>
          <w:sz w:val="24"/>
          <w:szCs w:val="24"/>
        </w:rPr>
        <w:t xml:space="preserve"> poner a consideración de la Honorable Cámara de Representantes el siguiente proyecto de ley “Por el cual se modifican los artículos 2 y 5 de la ley 963 de 2005”. </w:t>
      </w:r>
      <w:r w:rsidRPr="00F3416B">
        <w:rPr>
          <w:rFonts w:ascii="Arial" w:eastAsia="Bookman Old Style" w:hAnsi="Arial" w:cs="Arial"/>
          <w:b/>
          <w:sz w:val="24"/>
          <w:szCs w:val="24"/>
        </w:rPr>
        <w:t>(Estabilidad Jurídica)</w:t>
      </w:r>
    </w:p>
    <w:p w14:paraId="6907392C" w14:textId="77777777" w:rsidR="00914A24" w:rsidRPr="00F3416B" w:rsidRDefault="00914A24" w:rsidP="00914A24">
      <w:pPr>
        <w:jc w:val="both"/>
        <w:rPr>
          <w:rFonts w:ascii="Arial" w:eastAsia="Bookman Old Style" w:hAnsi="Arial" w:cs="Arial"/>
          <w:sz w:val="24"/>
          <w:szCs w:val="24"/>
        </w:rPr>
      </w:pPr>
    </w:p>
    <w:p w14:paraId="55293F2D" w14:textId="77777777" w:rsidR="00914A24" w:rsidRPr="00F3416B" w:rsidRDefault="00914A24" w:rsidP="00914A24">
      <w:pPr>
        <w:jc w:val="both"/>
        <w:rPr>
          <w:rFonts w:ascii="Arial" w:eastAsia="Bookman Old Style" w:hAnsi="Arial" w:cs="Arial"/>
          <w:sz w:val="24"/>
          <w:szCs w:val="24"/>
        </w:rPr>
      </w:pPr>
      <w:r w:rsidRPr="00F3416B">
        <w:rPr>
          <w:rFonts w:ascii="Arial" w:eastAsia="Bookman Old Style" w:hAnsi="Arial" w:cs="Arial"/>
          <w:sz w:val="24"/>
          <w:szCs w:val="24"/>
        </w:rPr>
        <w:t xml:space="preserve">Cordialmente, </w:t>
      </w:r>
    </w:p>
    <w:p w14:paraId="2A69744B" w14:textId="77777777" w:rsidR="00914A24" w:rsidRPr="00F3416B" w:rsidRDefault="00914A24" w:rsidP="00914A24">
      <w:pPr>
        <w:jc w:val="both"/>
        <w:rPr>
          <w:rFonts w:ascii="Arial" w:eastAsia="Bookman Old Style" w:hAnsi="Arial" w:cs="Arial"/>
          <w:sz w:val="24"/>
          <w:szCs w:val="24"/>
        </w:rPr>
      </w:pPr>
    </w:p>
    <w:p w14:paraId="2A9F3E02" w14:textId="77777777" w:rsidR="00914A24" w:rsidRPr="00F3416B" w:rsidRDefault="00914A24" w:rsidP="00914A24">
      <w:pPr>
        <w:tabs>
          <w:tab w:val="right" w:pos="8838"/>
        </w:tabs>
        <w:rPr>
          <w:rFonts w:ascii="Arial" w:eastAsia="Bookman Old Style" w:hAnsi="Arial" w:cs="Arial"/>
          <w:b/>
          <w:sz w:val="24"/>
          <w:szCs w:val="24"/>
        </w:rPr>
      </w:pPr>
    </w:p>
    <w:p w14:paraId="3A1AA79F" w14:textId="77777777" w:rsidR="00914A24" w:rsidRPr="00F3416B" w:rsidRDefault="00914A24" w:rsidP="00914A24">
      <w:pPr>
        <w:tabs>
          <w:tab w:val="right" w:pos="8838"/>
        </w:tabs>
        <w:jc w:val="center"/>
        <w:rPr>
          <w:rFonts w:ascii="Arial" w:eastAsia="Bookman Old Style" w:hAnsi="Arial" w:cs="Arial"/>
          <w:b/>
          <w:sz w:val="24"/>
          <w:szCs w:val="24"/>
        </w:rPr>
      </w:pPr>
    </w:p>
    <w:p w14:paraId="2B9D50E2" w14:textId="77777777" w:rsidR="00914A24" w:rsidRPr="00F3416B" w:rsidRDefault="00914A24" w:rsidP="00914A24">
      <w:pPr>
        <w:tabs>
          <w:tab w:val="right" w:pos="8838"/>
        </w:tabs>
        <w:jc w:val="center"/>
        <w:rPr>
          <w:rFonts w:ascii="Arial" w:eastAsia="Bookman Old Style" w:hAnsi="Arial" w:cs="Arial"/>
          <w:b/>
          <w:sz w:val="24"/>
          <w:szCs w:val="24"/>
        </w:rPr>
      </w:pPr>
      <w:r w:rsidRPr="00F3416B">
        <w:rPr>
          <w:rFonts w:ascii="Arial" w:eastAsia="Bookman Old Style" w:hAnsi="Arial" w:cs="Arial"/>
          <w:b/>
          <w:sz w:val="24"/>
          <w:szCs w:val="24"/>
        </w:rPr>
        <w:t>EDINSON VLADIMIR OLAYA MANCIPE</w:t>
      </w:r>
    </w:p>
    <w:p w14:paraId="4D34CAF0" w14:textId="77777777" w:rsidR="00914A24" w:rsidRPr="00F3416B" w:rsidRDefault="00914A24" w:rsidP="00914A24">
      <w:pPr>
        <w:tabs>
          <w:tab w:val="right" w:pos="8838"/>
        </w:tabs>
        <w:jc w:val="center"/>
        <w:rPr>
          <w:rFonts w:ascii="Arial" w:eastAsia="Bookman Old Style" w:hAnsi="Arial" w:cs="Arial"/>
          <w:sz w:val="24"/>
          <w:szCs w:val="24"/>
        </w:rPr>
      </w:pPr>
      <w:r w:rsidRPr="00F3416B">
        <w:rPr>
          <w:rFonts w:ascii="Arial" w:eastAsia="Bookman Old Style" w:hAnsi="Arial" w:cs="Arial"/>
          <w:sz w:val="24"/>
          <w:szCs w:val="24"/>
        </w:rPr>
        <w:t>Representante a la Cámara por Casanare</w:t>
      </w:r>
    </w:p>
    <w:p w14:paraId="7D5A350C" w14:textId="77777777" w:rsidR="00914A24" w:rsidRPr="00F3416B" w:rsidRDefault="00914A24" w:rsidP="00914A24">
      <w:pPr>
        <w:jc w:val="center"/>
        <w:rPr>
          <w:rFonts w:ascii="Arial" w:eastAsia="Bookman Old Style" w:hAnsi="Arial" w:cs="Arial"/>
          <w:sz w:val="24"/>
          <w:szCs w:val="24"/>
        </w:rPr>
      </w:pPr>
      <w:r w:rsidRPr="00F3416B">
        <w:rPr>
          <w:rFonts w:ascii="Arial" w:eastAsia="Bookman Old Style" w:hAnsi="Arial" w:cs="Arial"/>
          <w:sz w:val="24"/>
          <w:szCs w:val="24"/>
        </w:rPr>
        <w:t>Partido Centro Democrático</w:t>
      </w:r>
    </w:p>
    <w:p w14:paraId="08B201BA" w14:textId="77777777" w:rsidR="00914A24" w:rsidRPr="00F3416B" w:rsidRDefault="00914A24" w:rsidP="00914A24">
      <w:pPr>
        <w:rPr>
          <w:rFonts w:ascii="Arial" w:eastAsia="Bookman Old Style" w:hAnsi="Arial" w:cs="Arial"/>
          <w:b/>
          <w:sz w:val="24"/>
          <w:szCs w:val="24"/>
        </w:rPr>
      </w:pPr>
    </w:p>
    <w:p w14:paraId="2FF8F37E" w14:textId="77777777" w:rsidR="00914A24" w:rsidRPr="00F3416B" w:rsidRDefault="00914A24" w:rsidP="00914A24">
      <w:pPr>
        <w:jc w:val="center"/>
        <w:rPr>
          <w:rFonts w:ascii="Arial" w:eastAsia="Bookman Old Style" w:hAnsi="Arial" w:cs="Arial"/>
          <w:b/>
          <w:sz w:val="24"/>
          <w:szCs w:val="24"/>
        </w:rPr>
      </w:pPr>
      <w:r w:rsidRPr="00F3416B">
        <w:rPr>
          <w:rFonts w:ascii="Arial" w:eastAsia="Bookman Old Style" w:hAnsi="Arial" w:cs="Arial"/>
          <w:b/>
          <w:sz w:val="24"/>
          <w:szCs w:val="24"/>
        </w:rPr>
        <w:t>PROYECTO DE LEY</w:t>
      </w:r>
    </w:p>
    <w:p w14:paraId="7CA20814" w14:textId="77777777" w:rsidR="00914A24" w:rsidRPr="00F3416B" w:rsidRDefault="00914A24" w:rsidP="00914A24">
      <w:pPr>
        <w:jc w:val="center"/>
        <w:rPr>
          <w:rFonts w:ascii="Arial" w:eastAsia="Bookman Old Style" w:hAnsi="Arial" w:cs="Arial"/>
          <w:b/>
          <w:sz w:val="24"/>
          <w:szCs w:val="24"/>
        </w:rPr>
      </w:pPr>
    </w:p>
    <w:p w14:paraId="6F1CE943" w14:textId="77777777" w:rsidR="00914A24" w:rsidRPr="00F3416B" w:rsidRDefault="00914A24" w:rsidP="00914A24">
      <w:pPr>
        <w:jc w:val="center"/>
        <w:rPr>
          <w:rFonts w:ascii="Arial" w:eastAsia="Bookman Old Style" w:hAnsi="Arial" w:cs="Arial"/>
          <w:sz w:val="24"/>
          <w:szCs w:val="24"/>
        </w:rPr>
      </w:pPr>
      <w:r w:rsidRPr="00F3416B">
        <w:rPr>
          <w:rFonts w:ascii="Arial" w:eastAsia="Bookman Old Style" w:hAnsi="Arial" w:cs="Arial"/>
          <w:sz w:val="24"/>
          <w:szCs w:val="24"/>
        </w:rPr>
        <w:lastRenderedPageBreak/>
        <w:t>“Por el cual se modifican los artículos 2 y 5</w:t>
      </w:r>
    </w:p>
    <w:p w14:paraId="432DB53D" w14:textId="77777777" w:rsidR="00914A24" w:rsidRPr="00F3416B" w:rsidRDefault="00914A24" w:rsidP="00914A24">
      <w:pPr>
        <w:jc w:val="center"/>
        <w:rPr>
          <w:rFonts w:ascii="Arial" w:eastAsia="Bookman Old Style" w:hAnsi="Arial" w:cs="Arial"/>
          <w:sz w:val="24"/>
          <w:szCs w:val="24"/>
        </w:rPr>
      </w:pPr>
      <w:r w:rsidRPr="00F3416B">
        <w:rPr>
          <w:rFonts w:ascii="Arial" w:eastAsia="Bookman Old Style" w:hAnsi="Arial" w:cs="Arial"/>
          <w:sz w:val="24"/>
          <w:szCs w:val="24"/>
        </w:rPr>
        <w:t>de la ley 963 de 2005”</w:t>
      </w:r>
    </w:p>
    <w:p w14:paraId="4B8EAF6A" w14:textId="77777777" w:rsidR="00914A24" w:rsidRPr="00F3416B" w:rsidRDefault="00914A24" w:rsidP="00914A24">
      <w:pPr>
        <w:jc w:val="center"/>
        <w:rPr>
          <w:rFonts w:ascii="Arial" w:eastAsia="Bookman Old Style" w:hAnsi="Arial" w:cs="Arial"/>
          <w:b/>
          <w:sz w:val="24"/>
          <w:szCs w:val="24"/>
        </w:rPr>
      </w:pPr>
    </w:p>
    <w:p w14:paraId="3BEC4F92" w14:textId="77777777" w:rsidR="00914A24" w:rsidRPr="00F3416B" w:rsidRDefault="00914A24" w:rsidP="00914A24">
      <w:pPr>
        <w:rPr>
          <w:rFonts w:ascii="Arial" w:eastAsia="Bookman Old Style" w:hAnsi="Arial" w:cs="Arial"/>
          <w:b/>
          <w:sz w:val="24"/>
          <w:szCs w:val="24"/>
        </w:rPr>
      </w:pPr>
    </w:p>
    <w:p w14:paraId="73B57A9D" w14:textId="77777777" w:rsidR="00914A24" w:rsidRPr="00F3416B" w:rsidRDefault="00914A24" w:rsidP="00914A24">
      <w:pPr>
        <w:jc w:val="center"/>
        <w:rPr>
          <w:rFonts w:ascii="Arial" w:eastAsia="Bookman Old Style" w:hAnsi="Arial" w:cs="Arial"/>
          <w:b/>
          <w:sz w:val="24"/>
          <w:szCs w:val="24"/>
        </w:rPr>
      </w:pPr>
    </w:p>
    <w:p w14:paraId="142DCC6D" w14:textId="77777777" w:rsidR="00914A24" w:rsidRPr="00F3416B" w:rsidRDefault="00914A24" w:rsidP="00914A24">
      <w:pPr>
        <w:jc w:val="center"/>
        <w:rPr>
          <w:rFonts w:ascii="Arial" w:eastAsia="Bookman Old Style" w:hAnsi="Arial" w:cs="Arial"/>
          <w:b/>
          <w:color w:val="000000"/>
          <w:sz w:val="24"/>
          <w:szCs w:val="24"/>
        </w:rPr>
      </w:pPr>
      <w:r w:rsidRPr="00F3416B">
        <w:rPr>
          <w:rFonts w:ascii="Arial" w:eastAsia="Bookman Old Style" w:hAnsi="Arial" w:cs="Arial"/>
          <w:b/>
          <w:color w:val="000000"/>
          <w:sz w:val="24"/>
          <w:szCs w:val="24"/>
        </w:rPr>
        <w:t xml:space="preserve">EL CONGRESO DE LA REPÚBLICA </w:t>
      </w:r>
    </w:p>
    <w:p w14:paraId="3C0840F3" w14:textId="77777777" w:rsidR="00914A24" w:rsidRPr="00F3416B" w:rsidRDefault="00914A24" w:rsidP="00914A24">
      <w:pPr>
        <w:jc w:val="center"/>
        <w:rPr>
          <w:rFonts w:ascii="Arial" w:eastAsia="Bookman Old Style" w:hAnsi="Arial" w:cs="Arial"/>
          <w:b/>
          <w:color w:val="000000"/>
          <w:sz w:val="24"/>
          <w:szCs w:val="24"/>
        </w:rPr>
      </w:pPr>
    </w:p>
    <w:p w14:paraId="23B06B78" w14:textId="77777777" w:rsidR="00914A24" w:rsidRPr="00F3416B" w:rsidRDefault="00914A24" w:rsidP="00914A24">
      <w:pPr>
        <w:jc w:val="center"/>
        <w:rPr>
          <w:rFonts w:ascii="Arial" w:eastAsia="Bookman Old Style" w:hAnsi="Arial" w:cs="Arial"/>
          <w:b/>
          <w:color w:val="000000"/>
          <w:sz w:val="24"/>
          <w:szCs w:val="24"/>
        </w:rPr>
      </w:pPr>
      <w:r w:rsidRPr="00F3416B">
        <w:rPr>
          <w:rFonts w:ascii="Arial" w:eastAsia="Bookman Old Style" w:hAnsi="Arial" w:cs="Arial"/>
          <w:b/>
          <w:color w:val="000000"/>
          <w:sz w:val="24"/>
          <w:szCs w:val="24"/>
        </w:rPr>
        <w:t>DECRETA:</w:t>
      </w:r>
    </w:p>
    <w:p w14:paraId="42178F1E" w14:textId="77777777" w:rsidR="00914A24" w:rsidRPr="00F3416B" w:rsidRDefault="00914A24" w:rsidP="00914A24">
      <w:pPr>
        <w:jc w:val="both"/>
        <w:rPr>
          <w:rFonts w:ascii="Arial" w:eastAsia="Bookman Old Style" w:hAnsi="Arial" w:cs="Arial"/>
          <w:b/>
          <w:sz w:val="24"/>
          <w:szCs w:val="24"/>
        </w:rPr>
      </w:pPr>
    </w:p>
    <w:p w14:paraId="1CDA5867" w14:textId="77777777" w:rsidR="00914A24" w:rsidRPr="00F3416B" w:rsidRDefault="00914A24" w:rsidP="00914A24">
      <w:pPr>
        <w:jc w:val="both"/>
        <w:rPr>
          <w:rFonts w:ascii="Arial" w:eastAsia="Bookman Old Style" w:hAnsi="Arial" w:cs="Arial"/>
          <w:b/>
          <w:sz w:val="24"/>
          <w:szCs w:val="24"/>
        </w:rPr>
      </w:pPr>
    </w:p>
    <w:p w14:paraId="7F7E2D79" w14:textId="77777777" w:rsidR="00914A24" w:rsidRPr="00F3416B" w:rsidRDefault="00914A24" w:rsidP="00914A24">
      <w:pPr>
        <w:jc w:val="both"/>
        <w:rPr>
          <w:rFonts w:ascii="Arial" w:eastAsia="Bookman Old Style" w:hAnsi="Arial" w:cs="Arial"/>
          <w:b/>
          <w:sz w:val="24"/>
          <w:szCs w:val="24"/>
        </w:rPr>
      </w:pPr>
    </w:p>
    <w:p w14:paraId="26A374CB" w14:textId="77777777" w:rsidR="00914A24" w:rsidRPr="00F3416B" w:rsidRDefault="00914A24" w:rsidP="00914A24">
      <w:pPr>
        <w:jc w:val="both"/>
        <w:rPr>
          <w:rFonts w:ascii="Arial" w:eastAsia="Bookman Old Style" w:hAnsi="Arial" w:cs="Arial"/>
          <w:b/>
          <w:sz w:val="24"/>
          <w:szCs w:val="24"/>
        </w:rPr>
      </w:pPr>
      <w:r w:rsidRPr="00F3416B">
        <w:rPr>
          <w:rFonts w:ascii="Arial" w:eastAsia="Bookman Old Style" w:hAnsi="Arial" w:cs="Arial"/>
          <w:b/>
          <w:sz w:val="24"/>
          <w:szCs w:val="24"/>
        </w:rPr>
        <w:t xml:space="preserve">Artículo 1°. </w:t>
      </w:r>
      <w:r w:rsidRPr="00F3416B">
        <w:rPr>
          <w:rFonts w:ascii="Arial" w:eastAsia="Bookman Old Style" w:hAnsi="Arial" w:cs="Arial"/>
          <w:sz w:val="24"/>
          <w:szCs w:val="24"/>
        </w:rPr>
        <w:t>Modifíquese el artículo 2 de la ley 963 de 2005 el cual quedará, así:</w:t>
      </w:r>
    </w:p>
    <w:p w14:paraId="67C450B5" w14:textId="77777777" w:rsidR="00914A24" w:rsidRPr="00F3416B" w:rsidRDefault="00914A24" w:rsidP="00914A24">
      <w:pPr>
        <w:ind w:right="333"/>
        <w:jc w:val="both"/>
        <w:rPr>
          <w:rFonts w:ascii="Arial" w:eastAsia="Bookman Old Style" w:hAnsi="Arial" w:cs="Arial"/>
          <w:b/>
          <w:color w:val="000000"/>
          <w:sz w:val="24"/>
          <w:szCs w:val="24"/>
        </w:rPr>
      </w:pPr>
    </w:p>
    <w:p w14:paraId="71591C19" w14:textId="77777777" w:rsidR="00914A24" w:rsidRPr="00F3416B" w:rsidRDefault="00914A24" w:rsidP="00914A24">
      <w:pPr>
        <w:jc w:val="both"/>
        <w:rPr>
          <w:rFonts w:ascii="Arial" w:hAnsi="Arial" w:cs="Arial"/>
          <w:sz w:val="24"/>
          <w:szCs w:val="24"/>
          <w:lang w:eastAsia="es-ES_tradnl"/>
        </w:rPr>
      </w:pPr>
      <w:r w:rsidRPr="00F3416B">
        <w:rPr>
          <w:rFonts w:ascii="Arial" w:hAnsi="Arial" w:cs="Arial"/>
          <w:b/>
          <w:bCs/>
          <w:color w:val="333333"/>
          <w:sz w:val="24"/>
          <w:szCs w:val="24"/>
          <w:shd w:val="clear" w:color="auto" w:fill="FFFFFF"/>
        </w:rPr>
        <w:t>Artículo 2°. </w:t>
      </w:r>
      <w:r w:rsidRPr="00F3416B">
        <w:rPr>
          <w:rFonts w:ascii="Arial" w:hAnsi="Arial" w:cs="Arial"/>
          <w:i/>
          <w:iCs/>
          <w:color w:val="333333"/>
          <w:sz w:val="24"/>
          <w:szCs w:val="24"/>
          <w:shd w:val="clear" w:color="auto" w:fill="FFFFFF"/>
        </w:rPr>
        <w:t>Inversionistas nacionales y extranjeros. </w:t>
      </w:r>
      <w:r w:rsidRPr="00F3416B">
        <w:rPr>
          <w:rFonts w:ascii="Arial" w:hAnsi="Arial" w:cs="Arial"/>
          <w:color w:val="333333"/>
          <w:sz w:val="24"/>
          <w:szCs w:val="24"/>
          <w:shd w:val="clear" w:color="auto" w:fill="FFFFFF"/>
        </w:rPr>
        <w:t xml:space="preserve">Podrán ser parte en los contratos de estabilidad jurídica los inversionistas nacionales y extranjeros, sean ellos personas naturales o jurídicas, así como los consorcios, que realicen inversiones nuevas o amplíen las existentes en el territorio nacional, por un monto igual o superior a la suma de </w:t>
      </w:r>
      <w:r w:rsidRPr="00F3416B">
        <w:rPr>
          <w:rFonts w:ascii="Arial" w:hAnsi="Arial" w:cs="Arial"/>
          <w:b/>
          <w:color w:val="333333"/>
          <w:sz w:val="24"/>
          <w:szCs w:val="24"/>
          <w:shd w:val="clear" w:color="auto" w:fill="FFFFFF"/>
        </w:rPr>
        <w:t>cinco mil</w:t>
      </w:r>
      <w:r w:rsidRPr="00F3416B">
        <w:rPr>
          <w:rFonts w:ascii="Arial" w:hAnsi="Arial" w:cs="Arial"/>
          <w:color w:val="333333"/>
          <w:sz w:val="24"/>
          <w:szCs w:val="24"/>
          <w:shd w:val="clear" w:color="auto" w:fill="FFFFFF"/>
        </w:rPr>
        <w:t xml:space="preserve"> salarios mínimos legales mensuales vigentes (</w:t>
      </w:r>
      <w:r w:rsidRPr="00F3416B">
        <w:rPr>
          <w:rFonts w:ascii="Arial" w:hAnsi="Arial" w:cs="Arial"/>
          <w:b/>
          <w:color w:val="333333"/>
          <w:sz w:val="24"/>
          <w:szCs w:val="24"/>
          <w:shd w:val="clear" w:color="auto" w:fill="FFFFFF"/>
        </w:rPr>
        <w:t>5000</w:t>
      </w:r>
      <w:r w:rsidRPr="00F3416B">
        <w:rPr>
          <w:rFonts w:ascii="Arial" w:hAnsi="Arial" w:cs="Arial"/>
          <w:color w:val="333333"/>
          <w:sz w:val="24"/>
          <w:szCs w:val="24"/>
          <w:shd w:val="clear" w:color="auto" w:fill="FFFFFF"/>
        </w:rPr>
        <w:t xml:space="preserve"> smlmv), para desarrollar las siguientes actividades: turísticas, industriales, </w:t>
      </w:r>
      <w:r w:rsidRPr="00F3416B">
        <w:rPr>
          <w:rFonts w:ascii="Arial" w:hAnsi="Arial" w:cs="Arial"/>
          <w:b/>
          <w:color w:val="333333"/>
          <w:sz w:val="24"/>
          <w:szCs w:val="24"/>
          <w:shd w:val="clear" w:color="auto" w:fill="FFFFFF"/>
        </w:rPr>
        <w:t>tecnológicas</w:t>
      </w:r>
      <w:r w:rsidRPr="00F3416B">
        <w:rPr>
          <w:rFonts w:ascii="Arial" w:hAnsi="Arial" w:cs="Arial"/>
          <w:color w:val="333333"/>
          <w:sz w:val="24"/>
          <w:szCs w:val="24"/>
          <w:shd w:val="clear" w:color="auto" w:fill="FFFFFF"/>
        </w:rPr>
        <w:t xml:space="preserve">, agrícolas, de exportación agroforestales </w:t>
      </w:r>
      <w:r w:rsidRPr="00F3416B">
        <w:rPr>
          <w:rFonts w:ascii="Arial" w:hAnsi="Arial" w:cs="Arial"/>
          <w:b/>
          <w:color w:val="333333"/>
          <w:sz w:val="24"/>
          <w:szCs w:val="24"/>
          <w:shd w:val="clear" w:color="auto" w:fill="FFFFFF"/>
        </w:rPr>
        <w:t>y de productos terminados</w:t>
      </w:r>
      <w:r w:rsidRPr="00F3416B">
        <w:rPr>
          <w:rFonts w:ascii="Arial" w:hAnsi="Arial" w:cs="Arial"/>
          <w:color w:val="333333"/>
          <w:sz w:val="24"/>
          <w:szCs w:val="24"/>
          <w:shd w:val="clear" w:color="auto" w:fill="FFFFFF"/>
        </w:rPr>
        <w:t xml:space="preserve">, mineras </w:t>
      </w:r>
      <w:r w:rsidRPr="00F3416B">
        <w:rPr>
          <w:rFonts w:ascii="Arial" w:hAnsi="Arial" w:cs="Arial"/>
          <w:b/>
          <w:color w:val="333333"/>
          <w:sz w:val="24"/>
          <w:szCs w:val="24"/>
          <w:shd w:val="clear" w:color="auto" w:fill="FFFFFF"/>
        </w:rPr>
        <w:t>y carboníferas</w:t>
      </w:r>
      <w:r w:rsidRPr="00F3416B">
        <w:rPr>
          <w:rFonts w:ascii="Arial" w:hAnsi="Arial" w:cs="Arial"/>
          <w:color w:val="333333"/>
          <w:sz w:val="24"/>
          <w:szCs w:val="24"/>
          <w:shd w:val="clear" w:color="auto" w:fill="FFFFFF"/>
        </w:rPr>
        <w:t xml:space="preserve">, de zonas procesadoras de exportación; zonas libres comerciales y de petróleo, telecomunicaciones, construcciones, desarrollos portuarios y férreos, de generación de energía eléctrica </w:t>
      </w:r>
      <w:r w:rsidRPr="00F3416B">
        <w:rPr>
          <w:rFonts w:ascii="Arial" w:hAnsi="Arial" w:cs="Arial"/>
          <w:b/>
          <w:color w:val="333333"/>
          <w:sz w:val="24"/>
          <w:szCs w:val="24"/>
          <w:shd w:val="clear" w:color="auto" w:fill="FFFFFF"/>
        </w:rPr>
        <w:t>-procurando generar condiciones especiales favorables a las energías eólica</w:t>
      </w:r>
      <w:r w:rsidRPr="00F3416B">
        <w:rPr>
          <w:rFonts w:ascii="Arial" w:hAnsi="Arial" w:cs="Arial"/>
          <w:color w:val="333333"/>
          <w:sz w:val="24"/>
          <w:szCs w:val="24"/>
          <w:shd w:val="clear" w:color="auto" w:fill="FFFFFF"/>
        </w:rPr>
        <w:t xml:space="preserve">, </w:t>
      </w:r>
      <w:r w:rsidRPr="00F3416B">
        <w:rPr>
          <w:rFonts w:ascii="Arial" w:hAnsi="Arial" w:cs="Arial"/>
          <w:b/>
          <w:color w:val="333333"/>
          <w:sz w:val="24"/>
          <w:szCs w:val="24"/>
          <w:shd w:val="clear" w:color="auto" w:fill="FFFFFF"/>
        </w:rPr>
        <w:t>hidráulica o hidroeléctrica</w:t>
      </w:r>
      <w:r w:rsidRPr="00F3416B">
        <w:rPr>
          <w:rFonts w:ascii="Arial" w:hAnsi="Arial" w:cs="Arial"/>
          <w:color w:val="333333"/>
          <w:sz w:val="24"/>
          <w:szCs w:val="24"/>
          <w:shd w:val="clear" w:color="auto" w:fill="FFFFFF"/>
        </w:rPr>
        <w:t xml:space="preserve">, </w:t>
      </w:r>
      <w:r w:rsidRPr="00F3416B">
        <w:rPr>
          <w:rFonts w:ascii="Arial" w:hAnsi="Arial" w:cs="Arial"/>
          <w:b/>
          <w:color w:val="333333"/>
          <w:sz w:val="24"/>
          <w:szCs w:val="24"/>
          <w:shd w:val="clear" w:color="auto" w:fill="FFFFFF"/>
        </w:rPr>
        <w:t>solar, geotérmica, de biomasa y biogás, mareomotriz, al igual que las provenientes de bioetanol y biodiésel-</w:t>
      </w:r>
      <w:r w:rsidRPr="00F3416B">
        <w:rPr>
          <w:rFonts w:ascii="Arial" w:hAnsi="Arial" w:cs="Arial"/>
          <w:color w:val="333333"/>
          <w:sz w:val="24"/>
          <w:szCs w:val="24"/>
          <w:shd w:val="clear" w:color="auto" w:fill="FFFFFF"/>
        </w:rPr>
        <w:t>, proyectos de irrigación y uso eficiente de recursos hídricos y toda actividad que apruebe el Comité de que trata el artículo 4° literal b). Se excluyen las inversiones extranjeras de portafolio.</w:t>
      </w:r>
    </w:p>
    <w:p w14:paraId="0297DDF4" w14:textId="77777777" w:rsidR="00914A24" w:rsidRPr="00F3416B" w:rsidRDefault="00914A24" w:rsidP="00914A24">
      <w:pPr>
        <w:jc w:val="both"/>
        <w:rPr>
          <w:rFonts w:ascii="Arial" w:hAnsi="Arial" w:cs="Arial"/>
          <w:sz w:val="24"/>
          <w:szCs w:val="24"/>
          <w:lang w:eastAsia="es-ES_tradnl"/>
        </w:rPr>
      </w:pPr>
    </w:p>
    <w:p w14:paraId="172A784A" w14:textId="77777777" w:rsidR="00914A24" w:rsidRPr="00F3416B" w:rsidRDefault="00914A24" w:rsidP="00914A24">
      <w:pPr>
        <w:jc w:val="both"/>
        <w:rPr>
          <w:rFonts w:ascii="Arial" w:eastAsia="Bookman Old Style" w:hAnsi="Arial" w:cs="Arial"/>
          <w:sz w:val="24"/>
          <w:szCs w:val="24"/>
        </w:rPr>
      </w:pPr>
      <w:r w:rsidRPr="00F3416B">
        <w:rPr>
          <w:rFonts w:ascii="Arial" w:eastAsia="Bookman Old Style" w:hAnsi="Arial" w:cs="Arial"/>
          <w:b/>
          <w:sz w:val="24"/>
          <w:szCs w:val="24"/>
        </w:rPr>
        <w:t xml:space="preserve">Artículo 2°. </w:t>
      </w:r>
      <w:r w:rsidRPr="00F3416B">
        <w:rPr>
          <w:rFonts w:ascii="Arial" w:eastAsia="Bookman Old Style" w:hAnsi="Arial" w:cs="Arial"/>
          <w:sz w:val="24"/>
          <w:szCs w:val="24"/>
        </w:rPr>
        <w:t>Modifíquese el artículo 5 de la ley 963 de 2005 el cual quedará, así:</w:t>
      </w:r>
    </w:p>
    <w:p w14:paraId="53556D86" w14:textId="77777777" w:rsidR="00914A24" w:rsidRPr="00F3416B" w:rsidRDefault="00914A24" w:rsidP="00914A24">
      <w:pPr>
        <w:jc w:val="both"/>
        <w:rPr>
          <w:rFonts w:ascii="Arial" w:eastAsia="Bookman Old Style" w:hAnsi="Arial" w:cs="Arial"/>
          <w:sz w:val="24"/>
          <w:szCs w:val="24"/>
        </w:rPr>
      </w:pPr>
    </w:p>
    <w:p w14:paraId="0F5798D5" w14:textId="77777777" w:rsidR="00914A24" w:rsidRPr="00F3416B" w:rsidRDefault="00914A24" w:rsidP="00914A24">
      <w:pPr>
        <w:pStyle w:val="NormalWeb"/>
        <w:shd w:val="clear" w:color="auto" w:fill="FFFFFF"/>
        <w:spacing w:before="0" w:beforeAutospacing="0"/>
        <w:jc w:val="both"/>
        <w:rPr>
          <w:rFonts w:ascii="Arial" w:hAnsi="Arial" w:cs="Arial"/>
          <w:color w:val="000000" w:themeColor="text1"/>
          <w:lang w:eastAsia="es-ES_tradnl"/>
        </w:rPr>
      </w:pPr>
      <w:proofErr w:type="gramStart"/>
      <w:r w:rsidRPr="00F3416B">
        <w:rPr>
          <w:rFonts w:ascii="Arial" w:hAnsi="Arial" w:cs="Arial"/>
          <w:b/>
          <w:bCs/>
          <w:color w:val="000000" w:themeColor="text1"/>
        </w:rPr>
        <w:t>Artículo </w:t>
      </w:r>
      <w:bookmarkStart w:id="0" w:name="5"/>
      <w:r w:rsidRPr="00F3416B">
        <w:rPr>
          <w:rFonts w:ascii="Arial" w:hAnsi="Arial" w:cs="Arial"/>
          <w:b/>
          <w:bCs/>
          <w:color w:val="000000" w:themeColor="text1"/>
        </w:rPr>
        <w:t> </w:t>
      </w:r>
      <w:bookmarkEnd w:id="0"/>
      <w:r w:rsidRPr="00F3416B">
        <w:rPr>
          <w:rFonts w:ascii="Arial" w:hAnsi="Arial" w:cs="Arial"/>
          <w:b/>
          <w:bCs/>
          <w:color w:val="000000" w:themeColor="text1"/>
        </w:rPr>
        <w:t>5</w:t>
      </w:r>
      <w:proofErr w:type="gramEnd"/>
      <w:r w:rsidRPr="00F3416B">
        <w:rPr>
          <w:rFonts w:ascii="Arial" w:hAnsi="Arial" w:cs="Arial"/>
          <w:b/>
          <w:bCs/>
          <w:color w:val="000000" w:themeColor="text1"/>
        </w:rPr>
        <w:t>°. </w:t>
      </w:r>
      <w:r w:rsidRPr="00F3416B">
        <w:rPr>
          <w:rStyle w:val="nfasis"/>
          <w:rFonts w:ascii="Arial" w:hAnsi="Arial" w:cs="Arial"/>
          <w:color w:val="000000" w:themeColor="text1"/>
        </w:rPr>
        <w:t>Prima en los contratos de estabilidad jurídica.</w:t>
      </w:r>
      <w:r w:rsidRPr="00F3416B">
        <w:rPr>
          <w:rFonts w:ascii="Arial" w:hAnsi="Arial" w:cs="Arial"/>
          <w:color w:val="000000" w:themeColor="text1"/>
        </w:rPr>
        <w:t> </w:t>
      </w:r>
      <w:hyperlink r:id="rId8" w:anchor="48" w:history="1">
        <w:r w:rsidRPr="00F3416B">
          <w:rPr>
            <w:rStyle w:val="Hipervnculo"/>
            <w:rFonts w:ascii="Arial" w:hAnsi="Arial" w:cs="Arial"/>
            <w:color w:val="000000" w:themeColor="text1"/>
          </w:rPr>
          <w:t>Modificado por el art. 48, Ley 1450 de 2011</w:t>
        </w:r>
      </w:hyperlink>
      <w:r w:rsidRPr="00F3416B">
        <w:rPr>
          <w:rFonts w:ascii="Arial" w:hAnsi="Arial" w:cs="Arial"/>
          <w:color w:val="000000" w:themeColor="text1"/>
        </w:rPr>
        <w:t xml:space="preserve">. El inversionista que suscriba un contrato de estabilidad jurídica </w:t>
      </w:r>
      <w:r w:rsidRPr="00F3416B">
        <w:rPr>
          <w:rFonts w:ascii="Arial" w:hAnsi="Arial" w:cs="Arial"/>
          <w:color w:val="000000" w:themeColor="text1"/>
        </w:rPr>
        <w:lastRenderedPageBreak/>
        <w:t xml:space="preserve">pagará a favor de la Nación -Ministerio de Hacienda y Crédito Público- una prima igual al </w:t>
      </w:r>
      <w:r w:rsidRPr="00F3416B">
        <w:rPr>
          <w:rFonts w:ascii="Arial" w:hAnsi="Arial" w:cs="Arial"/>
          <w:b/>
          <w:color w:val="000000" w:themeColor="text1"/>
        </w:rPr>
        <w:t xml:space="preserve">cero punto cinco por ciento (0.5%) </w:t>
      </w:r>
      <w:r w:rsidRPr="00F3416B">
        <w:rPr>
          <w:rFonts w:ascii="Arial" w:hAnsi="Arial" w:cs="Arial"/>
          <w:color w:val="000000" w:themeColor="text1"/>
        </w:rPr>
        <w:t>del valor de la inversión que se realice en cada año.</w:t>
      </w:r>
    </w:p>
    <w:p w14:paraId="2E8ECD1E" w14:textId="77777777" w:rsidR="00914A24" w:rsidRPr="00F3416B" w:rsidRDefault="00914A24" w:rsidP="00914A24">
      <w:pPr>
        <w:pStyle w:val="NormalWeb"/>
        <w:shd w:val="clear" w:color="auto" w:fill="FFFFFF"/>
        <w:spacing w:before="0" w:beforeAutospacing="0"/>
        <w:jc w:val="both"/>
        <w:rPr>
          <w:rFonts w:ascii="Arial" w:hAnsi="Arial" w:cs="Arial"/>
          <w:color w:val="000000" w:themeColor="text1"/>
        </w:rPr>
      </w:pPr>
      <w:r w:rsidRPr="00F3416B">
        <w:rPr>
          <w:rFonts w:ascii="Arial" w:hAnsi="Arial" w:cs="Arial"/>
          <w:color w:val="000000" w:themeColor="text1"/>
        </w:rPr>
        <w:t>Si por la naturaleza de la inversión, esta contempla un período improductivo, el monto de la prima durante dicho período será de</w:t>
      </w:r>
      <w:r>
        <w:rPr>
          <w:rFonts w:ascii="Arial" w:hAnsi="Arial" w:cs="Arial"/>
          <w:color w:val="000000" w:themeColor="text1"/>
        </w:rPr>
        <w:t>l</w:t>
      </w:r>
      <w:r w:rsidRPr="00F3416B">
        <w:rPr>
          <w:rFonts w:ascii="Arial" w:hAnsi="Arial" w:cs="Arial"/>
          <w:color w:val="000000" w:themeColor="text1"/>
        </w:rPr>
        <w:t xml:space="preserve"> </w:t>
      </w:r>
      <w:r w:rsidRPr="00F3416B">
        <w:rPr>
          <w:rFonts w:ascii="Arial" w:hAnsi="Arial" w:cs="Arial"/>
          <w:b/>
          <w:color w:val="000000" w:themeColor="text1"/>
        </w:rPr>
        <w:t>cero por ciento (0%)</w:t>
      </w:r>
      <w:r w:rsidRPr="00F3416B">
        <w:rPr>
          <w:rFonts w:ascii="Arial" w:hAnsi="Arial" w:cs="Arial"/>
          <w:color w:val="000000" w:themeColor="text1"/>
        </w:rPr>
        <w:t xml:space="preserve"> del valor de la inversión que se realice en cada año.</w:t>
      </w:r>
    </w:p>
    <w:p w14:paraId="375FB20B" w14:textId="77777777" w:rsidR="00914A24" w:rsidRPr="00F3416B" w:rsidRDefault="00914A24" w:rsidP="00914A24">
      <w:pPr>
        <w:jc w:val="both"/>
        <w:rPr>
          <w:rFonts w:ascii="Arial" w:eastAsia="Bookman Old Style" w:hAnsi="Arial" w:cs="Arial"/>
          <w:b/>
          <w:i/>
          <w:color w:val="000000"/>
          <w:sz w:val="24"/>
          <w:szCs w:val="24"/>
        </w:rPr>
      </w:pPr>
    </w:p>
    <w:p w14:paraId="6D3E2809" w14:textId="77777777" w:rsidR="00914A24" w:rsidRPr="00F3416B" w:rsidRDefault="00914A24" w:rsidP="00914A24">
      <w:pPr>
        <w:jc w:val="both"/>
        <w:rPr>
          <w:rFonts w:ascii="Arial" w:eastAsia="Bookman Old Style" w:hAnsi="Arial" w:cs="Arial"/>
          <w:color w:val="000000"/>
          <w:sz w:val="24"/>
          <w:szCs w:val="24"/>
        </w:rPr>
      </w:pPr>
      <w:r w:rsidRPr="00F3416B">
        <w:rPr>
          <w:rFonts w:ascii="Arial" w:eastAsia="Bookman Old Style" w:hAnsi="Arial" w:cs="Arial"/>
          <w:b/>
          <w:color w:val="000000"/>
          <w:sz w:val="24"/>
          <w:szCs w:val="24"/>
        </w:rPr>
        <w:t>Artículo 3°: Vigencia.</w:t>
      </w:r>
      <w:r w:rsidRPr="00F3416B">
        <w:rPr>
          <w:rFonts w:ascii="Arial" w:eastAsia="Bookman Old Style" w:hAnsi="Arial" w:cs="Arial"/>
          <w:color w:val="000000"/>
          <w:sz w:val="24"/>
          <w:szCs w:val="24"/>
        </w:rPr>
        <w:t xml:space="preserve"> La presente ley se rige a partir de su promulgación. </w:t>
      </w:r>
    </w:p>
    <w:p w14:paraId="0492CB86" w14:textId="77777777" w:rsidR="00914A24" w:rsidRPr="00F3416B" w:rsidRDefault="00914A24" w:rsidP="00914A24">
      <w:pPr>
        <w:rPr>
          <w:rFonts w:ascii="Arial" w:eastAsia="Bookman Old Style" w:hAnsi="Arial" w:cs="Arial"/>
          <w:b/>
          <w:color w:val="000000"/>
          <w:sz w:val="24"/>
          <w:szCs w:val="24"/>
        </w:rPr>
      </w:pPr>
    </w:p>
    <w:p w14:paraId="0E9676AD" w14:textId="77777777" w:rsidR="00914A24" w:rsidRPr="00F3416B" w:rsidRDefault="00914A24" w:rsidP="00914A24">
      <w:pPr>
        <w:rPr>
          <w:rFonts w:ascii="Arial" w:eastAsia="Bookman Old Style" w:hAnsi="Arial" w:cs="Arial"/>
          <w:b/>
          <w:color w:val="000000"/>
          <w:sz w:val="24"/>
          <w:szCs w:val="24"/>
        </w:rPr>
      </w:pPr>
    </w:p>
    <w:p w14:paraId="3D5377A8" w14:textId="77777777" w:rsidR="00914A24" w:rsidRPr="00F3416B" w:rsidRDefault="00914A24" w:rsidP="00914A24">
      <w:pPr>
        <w:jc w:val="both"/>
        <w:rPr>
          <w:rFonts w:ascii="Arial" w:eastAsia="Bookman Old Style" w:hAnsi="Arial" w:cs="Arial"/>
          <w:sz w:val="24"/>
          <w:szCs w:val="24"/>
        </w:rPr>
      </w:pPr>
      <w:r w:rsidRPr="00F3416B">
        <w:rPr>
          <w:rFonts w:ascii="Arial" w:eastAsia="Bookman Old Style" w:hAnsi="Arial" w:cs="Arial"/>
          <w:sz w:val="24"/>
          <w:szCs w:val="24"/>
        </w:rPr>
        <w:t>Cordialmente,</w:t>
      </w:r>
    </w:p>
    <w:p w14:paraId="46223356" w14:textId="77777777" w:rsidR="00914A24" w:rsidRPr="00F3416B" w:rsidRDefault="00914A24" w:rsidP="00914A24">
      <w:pPr>
        <w:jc w:val="both"/>
        <w:rPr>
          <w:rFonts w:ascii="Arial" w:eastAsia="Bookman Old Style" w:hAnsi="Arial" w:cs="Arial"/>
          <w:sz w:val="24"/>
          <w:szCs w:val="24"/>
        </w:rPr>
      </w:pPr>
    </w:p>
    <w:p w14:paraId="291832C6" w14:textId="77777777" w:rsidR="00914A24" w:rsidRPr="00F3416B" w:rsidRDefault="00914A24" w:rsidP="00914A24">
      <w:pPr>
        <w:jc w:val="both"/>
        <w:rPr>
          <w:rFonts w:ascii="Arial" w:eastAsia="Bookman Old Style" w:hAnsi="Arial" w:cs="Arial"/>
          <w:sz w:val="24"/>
          <w:szCs w:val="24"/>
        </w:rPr>
      </w:pPr>
    </w:p>
    <w:p w14:paraId="2060A92D" w14:textId="77777777" w:rsidR="00914A24" w:rsidRPr="00F3416B" w:rsidRDefault="00914A24" w:rsidP="00914A24">
      <w:pPr>
        <w:tabs>
          <w:tab w:val="right" w:pos="8838"/>
        </w:tabs>
        <w:jc w:val="center"/>
        <w:rPr>
          <w:rFonts w:ascii="Arial" w:eastAsia="Bookman Old Style" w:hAnsi="Arial" w:cs="Arial"/>
          <w:b/>
          <w:sz w:val="24"/>
          <w:szCs w:val="24"/>
        </w:rPr>
      </w:pPr>
    </w:p>
    <w:p w14:paraId="3746F59F" w14:textId="77777777" w:rsidR="00914A24" w:rsidRPr="00F3416B" w:rsidRDefault="00914A24" w:rsidP="00914A24">
      <w:pPr>
        <w:tabs>
          <w:tab w:val="right" w:pos="8838"/>
        </w:tabs>
        <w:jc w:val="center"/>
        <w:rPr>
          <w:rFonts w:ascii="Arial" w:eastAsia="Bookman Old Style" w:hAnsi="Arial" w:cs="Arial"/>
          <w:b/>
          <w:sz w:val="24"/>
          <w:szCs w:val="24"/>
        </w:rPr>
      </w:pPr>
    </w:p>
    <w:p w14:paraId="3849992C" w14:textId="77777777" w:rsidR="00914A24" w:rsidRPr="00F3416B" w:rsidRDefault="00914A24" w:rsidP="00914A24">
      <w:pPr>
        <w:tabs>
          <w:tab w:val="right" w:pos="8838"/>
        </w:tabs>
        <w:jc w:val="center"/>
        <w:rPr>
          <w:rFonts w:ascii="Arial" w:eastAsia="Bookman Old Style" w:hAnsi="Arial" w:cs="Arial"/>
          <w:b/>
          <w:sz w:val="24"/>
          <w:szCs w:val="24"/>
        </w:rPr>
      </w:pPr>
    </w:p>
    <w:p w14:paraId="7A86009A" w14:textId="77777777" w:rsidR="00914A24" w:rsidRPr="00F3416B" w:rsidRDefault="00914A24" w:rsidP="00914A24">
      <w:pPr>
        <w:tabs>
          <w:tab w:val="right" w:pos="8838"/>
        </w:tabs>
        <w:jc w:val="center"/>
        <w:rPr>
          <w:rFonts w:ascii="Arial" w:eastAsia="Bookman Old Style" w:hAnsi="Arial" w:cs="Arial"/>
          <w:b/>
          <w:sz w:val="24"/>
          <w:szCs w:val="24"/>
        </w:rPr>
      </w:pPr>
      <w:r w:rsidRPr="00F3416B">
        <w:rPr>
          <w:rFonts w:ascii="Arial" w:eastAsia="Bookman Old Style" w:hAnsi="Arial" w:cs="Arial"/>
          <w:b/>
          <w:sz w:val="24"/>
          <w:szCs w:val="24"/>
        </w:rPr>
        <w:t>EDINSON VLADIMIR OLAYA MANCIPE</w:t>
      </w:r>
    </w:p>
    <w:p w14:paraId="01D20910" w14:textId="77777777" w:rsidR="00914A24" w:rsidRPr="00F3416B" w:rsidRDefault="00914A24" w:rsidP="00914A24">
      <w:pPr>
        <w:tabs>
          <w:tab w:val="right" w:pos="8838"/>
        </w:tabs>
        <w:jc w:val="center"/>
        <w:rPr>
          <w:rFonts w:ascii="Arial" w:eastAsia="Bookman Old Style" w:hAnsi="Arial" w:cs="Arial"/>
          <w:sz w:val="24"/>
          <w:szCs w:val="24"/>
        </w:rPr>
      </w:pPr>
      <w:r w:rsidRPr="00F3416B">
        <w:rPr>
          <w:rFonts w:ascii="Arial" w:eastAsia="Bookman Old Style" w:hAnsi="Arial" w:cs="Arial"/>
          <w:sz w:val="24"/>
          <w:szCs w:val="24"/>
        </w:rPr>
        <w:t>Representante a la Cámara por Casanare</w:t>
      </w:r>
    </w:p>
    <w:p w14:paraId="71B25AB0" w14:textId="77777777" w:rsidR="00914A24" w:rsidRPr="00F3416B" w:rsidRDefault="00914A24" w:rsidP="00914A24">
      <w:pPr>
        <w:jc w:val="center"/>
        <w:rPr>
          <w:rFonts w:ascii="Arial" w:eastAsia="Bookman Old Style" w:hAnsi="Arial" w:cs="Arial"/>
          <w:sz w:val="24"/>
          <w:szCs w:val="24"/>
        </w:rPr>
      </w:pPr>
      <w:r w:rsidRPr="00F3416B">
        <w:rPr>
          <w:rFonts w:ascii="Arial" w:eastAsia="Bookman Old Style" w:hAnsi="Arial" w:cs="Arial"/>
          <w:sz w:val="24"/>
          <w:szCs w:val="24"/>
        </w:rPr>
        <w:t>Partido Centro Democrático</w:t>
      </w:r>
    </w:p>
    <w:p w14:paraId="624E14C3" w14:textId="77777777" w:rsidR="00914A24" w:rsidRPr="00F3416B" w:rsidRDefault="00914A24" w:rsidP="00914A24">
      <w:pPr>
        <w:rPr>
          <w:rFonts w:ascii="Arial" w:eastAsia="Bookman Old Style" w:hAnsi="Arial" w:cs="Arial"/>
          <w:b/>
          <w:sz w:val="24"/>
          <w:szCs w:val="24"/>
        </w:rPr>
      </w:pPr>
    </w:p>
    <w:p w14:paraId="687F734D" w14:textId="77777777" w:rsidR="00914A24" w:rsidRPr="00F3416B" w:rsidRDefault="00914A24" w:rsidP="00914A24">
      <w:pPr>
        <w:rPr>
          <w:rFonts w:ascii="Arial" w:eastAsia="Bookman Old Style" w:hAnsi="Arial" w:cs="Arial"/>
          <w:b/>
          <w:sz w:val="24"/>
          <w:szCs w:val="24"/>
        </w:rPr>
      </w:pPr>
    </w:p>
    <w:p w14:paraId="7C77317A" w14:textId="77777777" w:rsidR="00914A24" w:rsidRPr="00F3416B" w:rsidRDefault="00914A24" w:rsidP="00914A24">
      <w:pPr>
        <w:pBdr>
          <w:top w:val="nil"/>
          <w:left w:val="nil"/>
          <w:bottom w:val="single" w:sz="4" w:space="1" w:color="000000"/>
          <w:right w:val="nil"/>
          <w:between w:val="nil"/>
        </w:pBdr>
        <w:tabs>
          <w:tab w:val="left" w:pos="8055"/>
        </w:tabs>
        <w:rPr>
          <w:rFonts w:ascii="Arial" w:eastAsia="Bookman Old Style" w:hAnsi="Arial" w:cs="Arial"/>
          <w:b/>
          <w:color w:val="000000"/>
          <w:sz w:val="24"/>
          <w:szCs w:val="24"/>
        </w:rPr>
      </w:pPr>
    </w:p>
    <w:p w14:paraId="03B213BA" w14:textId="0486BC82" w:rsidR="00914A24" w:rsidRDefault="00914A24" w:rsidP="00914A24">
      <w:pPr>
        <w:pBdr>
          <w:top w:val="nil"/>
          <w:left w:val="nil"/>
          <w:bottom w:val="single" w:sz="4" w:space="1" w:color="000000"/>
          <w:right w:val="nil"/>
          <w:between w:val="nil"/>
        </w:pBdr>
        <w:tabs>
          <w:tab w:val="left" w:pos="8055"/>
        </w:tabs>
        <w:rPr>
          <w:rFonts w:ascii="Arial" w:eastAsia="Bookman Old Style" w:hAnsi="Arial" w:cs="Arial"/>
          <w:b/>
          <w:color w:val="000000"/>
          <w:sz w:val="24"/>
          <w:szCs w:val="24"/>
        </w:rPr>
      </w:pPr>
    </w:p>
    <w:p w14:paraId="3FFA6C51" w14:textId="051A35E6" w:rsidR="00E83FFF" w:rsidRDefault="00E83FFF" w:rsidP="00914A24">
      <w:pPr>
        <w:pBdr>
          <w:top w:val="nil"/>
          <w:left w:val="nil"/>
          <w:bottom w:val="single" w:sz="4" w:space="1" w:color="000000"/>
          <w:right w:val="nil"/>
          <w:between w:val="nil"/>
        </w:pBdr>
        <w:tabs>
          <w:tab w:val="left" w:pos="8055"/>
        </w:tabs>
        <w:rPr>
          <w:rFonts w:ascii="Arial" w:eastAsia="Bookman Old Style" w:hAnsi="Arial" w:cs="Arial"/>
          <w:b/>
          <w:color w:val="000000"/>
          <w:sz w:val="24"/>
          <w:szCs w:val="24"/>
        </w:rPr>
      </w:pPr>
    </w:p>
    <w:p w14:paraId="59925D32" w14:textId="5F0E1A2F" w:rsidR="00E83FFF" w:rsidRDefault="00E83FFF" w:rsidP="00914A24">
      <w:pPr>
        <w:pBdr>
          <w:top w:val="nil"/>
          <w:left w:val="nil"/>
          <w:bottom w:val="single" w:sz="4" w:space="1" w:color="000000"/>
          <w:right w:val="nil"/>
          <w:between w:val="nil"/>
        </w:pBdr>
        <w:tabs>
          <w:tab w:val="left" w:pos="8055"/>
        </w:tabs>
        <w:rPr>
          <w:rFonts w:ascii="Arial" w:eastAsia="Bookman Old Style" w:hAnsi="Arial" w:cs="Arial"/>
          <w:b/>
          <w:color w:val="000000"/>
          <w:sz w:val="24"/>
          <w:szCs w:val="24"/>
        </w:rPr>
      </w:pPr>
    </w:p>
    <w:p w14:paraId="3B0F60CE" w14:textId="58018F9C" w:rsidR="00E83FFF" w:rsidRDefault="00E83FFF" w:rsidP="00914A24">
      <w:pPr>
        <w:pBdr>
          <w:top w:val="nil"/>
          <w:left w:val="nil"/>
          <w:bottom w:val="single" w:sz="4" w:space="1" w:color="000000"/>
          <w:right w:val="nil"/>
          <w:between w:val="nil"/>
        </w:pBdr>
        <w:tabs>
          <w:tab w:val="left" w:pos="8055"/>
        </w:tabs>
        <w:rPr>
          <w:rFonts w:ascii="Arial" w:eastAsia="Bookman Old Style" w:hAnsi="Arial" w:cs="Arial"/>
          <w:b/>
          <w:color w:val="000000"/>
          <w:sz w:val="24"/>
          <w:szCs w:val="24"/>
        </w:rPr>
      </w:pPr>
    </w:p>
    <w:p w14:paraId="4EEF262B" w14:textId="77777777" w:rsidR="00E83FFF" w:rsidRPr="00F3416B" w:rsidRDefault="00E83FFF" w:rsidP="00914A24">
      <w:pPr>
        <w:pBdr>
          <w:top w:val="nil"/>
          <w:left w:val="nil"/>
          <w:bottom w:val="single" w:sz="4" w:space="1" w:color="000000"/>
          <w:right w:val="nil"/>
          <w:between w:val="nil"/>
        </w:pBdr>
        <w:tabs>
          <w:tab w:val="left" w:pos="8055"/>
        </w:tabs>
        <w:rPr>
          <w:rFonts w:ascii="Arial" w:eastAsia="Bookman Old Style" w:hAnsi="Arial" w:cs="Arial"/>
          <w:b/>
          <w:color w:val="000000"/>
          <w:sz w:val="24"/>
          <w:szCs w:val="24"/>
        </w:rPr>
      </w:pPr>
    </w:p>
    <w:p w14:paraId="61AB8A87" w14:textId="77777777" w:rsidR="00914A24" w:rsidRPr="00F3416B" w:rsidRDefault="00914A24" w:rsidP="00914A24">
      <w:pPr>
        <w:pBdr>
          <w:top w:val="nil"/>
          <w:left w:val="nil"/>
          <w:bottom w:val="single" w:sz="4" w:space="1" w:color="000000"/>
          <w:right w:val="nil"/>
          <w:between w:val="nil"/>
        </w:pBdr>
        <w:tabs>
          <w:tab w:val="left" w:pos="8055"/>
        </w:tabs>
        <w:rPr>
          <w:rFonts w:ascii="Arial" w:eastAsia="Bookman Old Style" w:hAnsi="Arial" w:cs="Arial"/>
          <w:b/>
          <w:color w:val="000000"/>
          <w:sz w:val="24"/>
          <w:szCs w:val="24"/>
        </w:rPr>
      </w:pPr>
    </w:p>
    <w:p w14:paraId="0CEE5395" w14:textId="77777777" w:rsidR="00914A24" w:rsidRPr="00F3416B" w:rsidRDefault="00914A24" w:rsidP="00914A24">
      <w:pPr>
        <w:pBdr>
          <w:top w:val="nil"/>
          <w:left w:val="nil"/>
          <w:bottom w:val="single" w:sz="4" w:space="1" w:color="000000"/>
          <w:right w:val="nil"/>
          <w:between w:val="nil"/>
        </w:pBdr>
        <w:tabs>
          <w:tab w:val="left" w:pos="8055"/>
        </w:tabs>
        <w:rPr>
          <w:rFonts w:ascii="Arial" w:eastAsia="Bookman Old Style" w:hAnsi="Arial" w:cs="Arial"/>
          <w:b/>
          <w:color w:val="000000"/>
          <w:sz w:val="24"/>
          <w:szCs w:val="24"/>
        </w:rPr>
      </w:pPr>
    </w:p>
    <w:p w14:paraId="2E093C3E" w14:textId="77777777" w:rsidR="00914A24" w:rsidRPr="00F3416B" w:rsidRDefault="00914A24" w:rsidP="00914A24">
      <w:pPr>
        <w:pBdr>
          <w:top w:val="nil"/>
          <w:left w:val="nil"/>
          <w:bottom w:val="single" w:sz="4" w:space="1" w:color="000000"/>
          <w:right w:val="nil"/>
          <w:between w:val="nil"/>
        </w:pBdr>
        <w:tabs>
          <w:tab w:val="left" w:pos="8055"/>
        </w:tabs>
        <w:jc w:val="center"/>
        <w:rPr>
          <w:rFonts w:ascii="Arial" w:eastAsia="Bookman Old Style" w:hAnsi="Arial" w:cs="Arial"/>
          <w:b/>
          <w:color w:val="000000"/>
          <w:sz w:val="24"/>
          <w:szCs w:val="24"/>
        </w:rPr>
      </w:pPr>
      <w:r w:rsidRPr="00F3416B">
        <w:rPr>
          <w:rFonts w:ascii="Arial" w:eastAsia="Bookman Old Style" w:hAnsi="Arial" w:cs="Arial"/>
          <w:b/>
          <w:color w:val="000000"/>
          <w:sz w:val="24"/>
          <w:szCs w:val="24"/>
        </w:rPr>
        <w:lastRenderedPageBreak/>
        <w:t>EXPOSICION DE MOTIVOS.</w:t>
      </w:r>
    </w:p>
    <w:p w14:paraId="3358EA72" w14:textId="77777777" w:rsidR="00914A24" w:rsidRPr="00F3416B" w:rsidRDefault="00914A24" w:rsidP="00914A24">
      <w:pPr>
        <w:pBdr>
          <w:top w:val="nil"/>
          <w:left w:val="nil"/>
          <w:bottom w:val="nil"/>
          <w:right w:val="nil"/>
          <w:between w:val="nil"/>
        </w:pBdr>
        <w:tabs>
          <w:tab w:val="left" w:pos="8055"/>
        </w:tabs>
        <w:jc w:val="center"/>
        <w:rPr>
          <w:rFonts w:ascii="Arial" w:eastAsia="Bookman Old Style" w:hAnsi="Arial" w:cs="Arial"/>
          <w:b/>
          <w:color w:val="000000"/>
          <w:sz w:val="24"/>
          <w:szCs w:val="24"/>
        </w:rPr>
      </w:pPr>
    </w:p>
    <w:p w14:paraId="7526DBAC" w14:textId="77777777" w:rsidR="00914A24" w:rsidRPr="00F3416B" w:rsidRDefault="00914A24" w:rsidP="00914A24">
      <w:pPr>
        <w:pBdr>
          <w:top w:val="nil"/>
          <w:left w:val="nil"/>
          <w:bottom w:val="nil"/>
          <w:right w:val="nil"/>
          <w:between w:val="nil"/>
        </w:pBdr>
        <w:tabs>
          <w:tab w:val="left" w:pos="8055"/>
        </w:tabs>
        <w:jc w:val="right"/>
        <w:rPr>
          <w:rFonts w:ascii="Arial" w:eastAsia="Bookman Old Style" w:hAnsi="Arial" w:cs="Arial"/>
          <w:color w:val="000000"/>
          <w:sz w:val="24"/>
          <w:szCs w:val="24"/>
        </w:rPr>
      </w:pPr>
      <w:r w:rsidRPr="00F3416B">
        <w:rPr>
          <w:rFonts w:ascii="Arial" w:eastAsia="Bookman Old Style" w:hAnsi="Arial" w:cs="Arial"/>
          <w:color w:val="000000"/>
          <w:sz w:val="24"/>
          <w:szCs w:val="24"/>
        </w:rPr>
        <w:t xml:space="preserve">      </w:t>
      </w:r>
    </w:p>
    <w:p w14:paraId="6EC64187" w14:textId="77777777" w:rsidR="00914A24" w:rsidRPr="00F3416B" w:rsidRDefault="00914A24" w:rsidP="00914A24">
      <w:pPr>
        <w:pBdr>
          <w:top w:val="nil"/>
          <w:left w:val="nil"/>
          <w:bottom w:val="nil"/>
          <w:right w:val="nil"/>
          <w:between w:val="nil"/>
        </w:pBdr>
        <w:tabs>
          <w:tab w:val="left" w:pos="8055"/>
        </w:tabs>
        <w:jc w:val="right"/>
        <w:rPr>
          <w:rFonts w:ascii="Arial" w:eastAsia="Bookman Old Style" w:hAnsi="Arial" w:cs="Arial"/>
          <w:i/>
          <w:color w:val="000000"/>
          <w:sz w:val="24"/>
          <w:szCs w:val="24"/>
        </w:rPr>
      </w:pPr>
      <w:r w:rsidRPr="00F3416B">
        <w:rPr>
          <w:rFonts w:ascii="Arial" w:eastAsia="Bookman Old Style" w:hAnsi="Arial" w:cs="Arial"/>
          <w:i/>
          <w:color w:val="000000"/>
          <w:sz w:val="24"/>
          <w:szCs w:val="24"/>
        </w:rPr>
        <w:t>“La ley es la seguridad del pueblo, la seguridad de cada uno de los gobernados y la seguridad de cada uno de los gobernantes”</w:t>
      </w:r>
    </w:p>
    <w:p w14:paraId="46CCD58C" w14:textId="77777777" w:rsidR="00914A24" w:rsidRPr="00F3416B" w:rsidRDefault="00914A24" w:rsidP="00914A24">
      <w:pPr>
        <w:pBdr>
          <w:top w:val="nil"/>
          <w:left w:val="nil"/>
          <w:bottom w:val="nil"/>
          <w:right w:val="nil"/>
          <w:between w:val="nil"/>
        </w:pBdr>
        <w:tabs>
          <w:tab w:val="left" w:pos="8055"/>
        </w:tabs>
        <w:jc w:val="right"/>
        <w:rPr>
          <w:rFonts w:ascii="Arial" w:eastAsia="Bookman Old Style" w:hAnsi="Arial" w:cs="Arial"/>
          <w:b/>
          <w:i/>
          <w:color w:val="000000"/>
          <w:sz w:val="24"/>
          <w:szCs w:val="24"/>
        </w:rPr>
      </w:pPr>
      <w:r w:rsidRPr="00F3416B">
        <w:rPr>
          <w:rFonts w:ascii="Arial" w:eastAsia="Bookman Old Style" w:hAnsi="Arial" w:cs="Arial"/>
          <w:i/>
          <w:color w:val="000000"/>
          <w:sz w:val="24"/>
          <w:szCs w:val="24"/>
        </w:rPr>
        <w:t xml:space="preserve">(Edmund </w:t>
      </w:r>
      <w:proofErr w:type="spellStart"/>
      <w:r w:rsidRPr="00F3416B">
        <w:rPr>
          <w:rFonts w:ascii="Arial" w:eastAsia="Bookman Old Style" w:hAnsi="Arial" w:cs="Arial"/>
          <w:i/>
          <w:color w:val="000000"/>
          <w:sz w:val="24"/>
          <w:szCs w:val="24"/>
        </w:rPr>
        <w:t>Burke</w:t>
      </w:r>
      <w:proofErr w:type="spellEnd"/>
      <w:r w:rsidRPr="00F3416B">
        <w:rPr>
          <w:rFonts w:ascii="Arial" w:eastAsia="Bookman Old Style" w:hAnsi="Arial" w:cs="Arial"/>
          <w:i/>
          <w:color w:val="000000"/>
          <w:sz w:val="24"/>
          <w:szCs w:val="24"/>
        </w:rPr>
        <w:t>)</w:t>
      </w:r>
    </w:p>
    <w:p w14:paraId="3B293F4A" w14:textId="77777777" w:rsidR="00914A24" w:rsidRPr="00F3416B" w:rsidRDefault="00914A24" w:rsidP="00914A24">
      <w:pPr>
        <w:pBdr>
          <w:top w:val="nil"/>
          <w:left w:val="nil"/>
          <w:bottom w:val="nil"/>
          <w:right w:val="nil"/>
          <w:between w:val="nil"/>
        </w:pBdr>
        <w:jc w:val="both"/>
        <w:rPr>
          <w:rFonts w:ascii="Arial" w:eastAsia="Bookman Old Style" w:hAnsi="Arial" w:cs="Arial"/>
          <w:b/>
          <w:color w:val="000000"/>
          <w:sz w:val="24"/>
          <w:szCs w:val="24"/>
        </w:rPr>
      </w:pPr>
      <w:bookmarkStart w:id="1" w:name="bookmark=id.gjdgxs" w:colFirst="0" w:colLast="0"/>
      <w:bookmarkEnd w:id="1"/>
    </w:p>
    <w:p w14:paraId="386DD525" w14:textId="77777777" w:rsidR="00914A24" w:rsidRPr="00F3416B" w:rsidRDefault="00914A24" w:rsidP="00914A24">
      <w:pPr>
        <w:jc w:val="both"/>
        <w:rPr>
          <w:rFonts w:ascii="Arial" w:eastAsia="Bookman Old Style" w:hAnsi="Arial" w:cs="Arial"/>
          <w:color w:val="000000"/>
          <w:sz w:val="24"/>
          <w:szCs w:val="24"/>
        </w:rPr>
      </w:pPr>
    </w:p>
    <w:p w14:paraId="6896CF6B" w14:textId="77777777" w:rsidR="00914A24" w:rsidRPr="00F3416B" w:rsidRDefault="00914A24" w:rsidP="00914A24">
      <w:pPr>
        <w:jc w:val="both"/>
        <w:rPr>
          <w:rFonts w:ascii="Arial" w:eastAsia="Bookman Old Style" w:hAnsi="Arial" w:cs="Arial"/>
          <w:color w:val="000000"/>
          <w:sz w:val="24"/>
          <w:szCs w:val="24"/>
        </w:rPr>
      </w:pPr>
    </w:p>
    <w:p w14:paraId="7CA03A0C" w14:textId="77777777" w:rsidR="00914A24" w:rsidRPr="00F3416B" w:rsidRDefault="00914A24" w:rsidP="00914A24">
      <w:pPr>
        <w:jc w:val="both"/>
        <w:rPr>
          <w:rFonts w:ascii="Arial" w:eastAsia="Bookman Old Style" w:hAnsi="Arial" w:cs="Arial"/>
          <w:color w:val="000000"/>
          <w:sz w:val="24"/>
          <w:szCs w:val="24"/>
        </w:rPr>
      </w:pPr>
      <w:r w:rsidRPr="00F3416B">
        <w:rPr>
          <w:rFonts w:ascii="Arial" w:eastAsia="Bookman Old Style" w:hAnsi="Arial" w:cs="Arial"/>
          <w:color w:val="000000"/>
          <w:sz w:val="24"/>
          <w:szCs w:val="24"/>
        </w:rPr>
        <w:t>El mundo entero en la actualidad se enfrenta a unas circunstancias económicas que devienen en una inflación generalizada, particularmente por los efectos post-</w:t>
      </w:r>
      <w:proofErr w:type="spellStart"/>
      <w:r w:rsidRPr="00F3416B">
        <w:rPr>
          <w:rFonts w:ascii="Arial" w:eastAsia="Bookman Old Style" w:hAnsi="Arial" w:cs="Arial"/>
          <w:color w:val="000000"/>
          <w:sz w:val="24"/>
          <w:szCs w:val="24"/>
        </w:rPr>
        <w:t>Covid</w:t>
      </w:r>
      <w:proofErr w:type="spellEnd"/>
      <w:r w:rsidRPr="00F3416B">
        <w:rPr>
          <w:rFonts w:ascii="Arial" w:eastAsia="Bookman Old Style" w:hAnsi="Arial" w:cs="Arial"/>
          <w:color w:val="000000"/>
          <w:sz w:val="24"/>
          <w:szCs w:val="24"/>
        </w:rPr>
        <w:t xml:space="preserve"> y la invasión de Rusia a Ucrania, afectando los mercados globales, regionales y locales.</w:t>
      </w:r>
    </w:p>
    <w:p w14:paraId="29DFDA11" w14:textId="77777777" w:rsidR="00914A24" w:rsidRPr="00F3416B" w:rsidRDefault="00914A24" w:rsidP="00914A24">
      <w:pPr>
        <w:jc w:val="both"/>
        <w:rPr>
          <w:rFonts w:ascii="Arial" w:eastAsia="Bookman Old Style" w:hAnsi="Arial" w:cs="Arial"/>
          <w:color w:val="000000"/>
          <w:sz w:val="24"/>
          <w:szCs w:val="24"/>
        </w:rPr>
      </w:pPr>
      <w:r w:rsidRPr="00F3416B">
        <w:rPr>
          <w:rFonts w:ascii="Arial" w:eastAsia="Bookman Old Style" w:hAnsi="Arial" w:cs="Arial"/>
          <w:color w:val="000000"/>
          <w:sz w:val="24"/>
          <w:szCs w:val="24"/>
        </w:rPr>
        <w:t>De tener una inflación global del 4.7% se estima, según el Fondo Monetario Internacional, que este año llegará a ser de 8.8% y que, si bien en el 2023 se espera un declive en la misma, no bajaría del 6.5%. Por otro lado el crecimiento global también viene en términos, si bien no negativos, sí de decrecimiento considerable por tanto pasamos de un 6% en el 2021, a un 3.2% en el año en curso y se espera llegar a 2.7% en el 2023.</w:t>
      </w:r>
      <w:r w:rsidRPr="00F3416B">
        <w:rPr>
          <w:rStyle w:val="Refdenotaalpie"/>
          <w:rFonts w:ascii="Arial" w:eastAsia="Bookman Old Style" w:hAnsi="Arial" w:cs="Arial"/>
          <w:color w:val="000000"/>
          <w:sz w:val="24"/>
          <w:szCs w:val="24"/>
        </w:rPr>
        <w:footnoteReference w:id="1"/>
      </w:r>
      <w:r w:rsidRPr="00F3416B">
        <w:rPr>
          <w:rFonts w:ascii="Arial" w:eastAsia="Bookman Old Style" w:hAnsi="Arial" w:cs="Arial"/>
          <w:color w:val="000000"/>
          <w:sz w:val="24"/>
          <w:szCs w:val="24"/>
        </w:rPr>
        <w:t xml:space="preserve"> Bajo esa premisa, es claro que los números en materia económica tienden a ser desalentadores y, por consiguiente, los países en vía de desarrollo son los que más se verán afectados por dichas circunstancias.</w:t>
      </w:r>
    </w:p>
    <w:p w14:paraId="0BBD93D3" w14:textId="77777777" w:rsidR="00914A24" w:rsidRPr="00F3416B" w:rsidRDefault="00914A24" w:rsidP="00914A24">
      <w:pPr>
        <w:jc w:val="both"/>
        <w:rPr>
          <w:rFonts w:ascii="Arial" w:eastAsia="Bookman Old Style" w:hAnsi="Arial" w:cs="Arial"/>
          <w:color w:val="000000"/>
          <w:sz w:val="24"/>
          <w:szCs w:val="24"/>
        </w:rPr>
      </w:pPr>
    </w:p>
    <w:p w14:paraId="02DCAA5F" w14:textId="77777777" w:rsidR="00914A24" w:rsidRPr="00F3416B" w:rsidRDefault="00914A24" w:rsidP="00914A24">
      <w:pPr>
        <w:jc w:val="both"/>
        <w:rPr>
          <w:rFonts w:ascii="Arial" w:eastAsia="Bookman Old Style" w:hAnsi="Arial" w:cs="Arial"/>
          <w:color w:val="000000"/>
          <w:sz w:val="24"/>
          <w:szCs w:val="24"/>
        </w:rPr>
      </w:pPr>
    </w:p>
    <w:p w14:paraId="6680B223" w14:textId="77777777" w:rsidR="00914A24" w:rsidRPr="00F3416B" w:rsidRDefault="00914A24" w:rsidP="00914A24">
      <w:pPr>
        <w:jc w:val="both"/>
        <w:rPr>
          <w:rFonts w:ascii="Arial" w:hAnsi="Arial" w:cs="Arial"/>
          <w:color w:val="202124"/>
          <w:sz w:val="24"/>
          <w:szCs w:val="24"/>
          <w:shd w:val="clear" w:color="auto" w:fill="FFFFFF"/>
        </w:rPr>
      </w:pPr>
      <w:r w:rsidRPr="00F3416B">
        <w:rPr>
          <w:rFonts w:ascii="Arial" w:eastAsia="Bookman Old Style" w:hAnsi="Arial" w:cs="Arial"/>
          <w:color w:val="000000"/>
          <w:sz w:val="24"/>
          <w:szCs w:val="24"/>
        </w:rPr>
        <w:t>Por otro lado, en lo que concierne a nuestro país particularmente, es menester aclarar que “</w:t>
      </w:r>
      <w:r w:rsidRPr="00F3416B">
        <w:rPr>
          <w:rFonts w:ascii="Arial" w:hAnsi="Arial" w:cs="Arial"/>
          <w:color w:val="202124"/>
          <w:sz w:val="24"/>
          <w:szCs w:val="24"/>
          <w:shd w:val="clear" w:color="auto" w:fill="FFFFFF"/>
        </w:rPr>
        <w:t>La tasa de variación </w:t>
      </w:r>
      <w:r w:rsidRPr="00F3416B">
        <w:rPr>
          <w:rFonts w:ascii="Arial" w:hAnsi="Arial" w:cs="Arial"/>
          <w:b/>
          <w:bCs/>
          <w:color w:val="202124"/>
          <w:sz w:val="24"/>
          <w:szCs w:val="24"/>
          <w:shd w:val="clear" w:color="auto" w:fill="FFFFFF"/>
        </w:rPr>
        <w:t>anual</w:t>
      </w:r>
      <w:r w:rsidRPr="00F3416B">
        <w:rPr>
          <w:rFonts w:ascii="Arial" w:hAnsi="Arial" w:cs="Arial"/>
          <w:color w:val="202124"/>
          <w:sz w:val="24"/>
          <w:szCs w:val="24"/>
          <w:shd w:val="clear" w:color="auto" w:fill="FFFFFF"/>
        </w:rPr>
        <w:t> del IPC en </w:t>
      </w:r>
      <w:r w:rsidRPr="00F3416B">
        <w:rPr>
          <w:rFonts w:ascii="Arial" w:hAnsi="Arial" w:cs="Arial"/>
          <w:b/>
          <w:bCs/>
          <w:color w:val="202124"/>
          <w:sz w:val="24"/>
          <w:szCs w:val="24"/>
          <w:shd w:val="clear" w:color="auto" w:fill="FFFFFF"/>
        </w:rPr>
        <w:t>Colombia</w:t>
      </w:r>
      <w:r w:rsidRPr="00F3416B">
        <w:rPr>
          <w:rFonts w:ascii="Arial" w:hAnsi="Arial" w:cs="Arial"/>
          <w:color w:val="202124"/>
          <w:sz w:val="24"/>
          <w:szCs w:val="24"/>
          <w:shd w:val="clear" w:color="auto" w:fill="FFFFFF"/>
        </w:rPr>
        <w:t> en septiembre de </w:t>
      </w:r>
      <w:r w:rsidRPr="00F3416B">
        <w:rPr>
          <w:rFonts w:ascii="Arial" w:hAnsi="Arial" w:cs="Arial"/>
          <w:b/>
          <w:bCs/>
          <w:color w:val="202124"/>
          <w:sz w:val="24"/>
          <w:szCs w:val="24"/>
          <w:shd w:val="clear" w:color="auto" w:fill="FFFFFF"/>
        </w:rPr>
        <w:t>2022</w:t>
      </w:r>
      <w:r w:rsidRPr="00F3416B">
        <w:rPr>
          <w:rFonts w:ascii="Arial" w:hAnsi="Arial" w:cs="Arial"/>
          <w:color w:val="202124"/>
          <w:sz w:val="24"/>
          <w:szCs w:val="24"/>
          <w:shd w:val="clear" w:color="auto" w:fill="FFFFFF"/>
        </w:rPr>
        <w:t xml:space="preserve"> ha sido del 11,4%, 6 décimas superior a la del mes anterior. La </w:t>
      </w:r>
      <w:r w:rsidRPr="00F3416B">
        <w:rPr>
          <w:rFonts w:ascii="Arial" w:hAnsi="Arial" w:cs="Arial"/>
          <w:color w:val="202124"/>
          <w:sz w:val="24"/>
          <w:szCs w:val="24"/>
          <w:shd w:val="clear" w:color="auto" w:fill="FFFFFF"/>
        </w:rPr>
        <w:lastRenderedPageBreak/>
        <w:t>variación </w:t>
      </w:r>
      <w:r w:rsidRPr="00F3416B">
        <w:rPr>
          <w:rFonts w:ascii="Arial" w:hAnsi="Arial" w:cs="Arial"/>
          <w:b/>
          <w:bCs/>
          <w:color w:val="202124"/>
          <w:sz w:val="24"/>
          <w:szCs w:val="24"/>
          <w:shd w:val="clear" w:color="auto" w:fill="FFFFFF"/>
        </w:rPr>
        <w:t>mensual</w:t>
      </w:r>
      <w:r w:rsidRPr="00F3416B">
        <w:rPr>
          <w:rFonts w:ascii="Arial" w:hAnsi="Arial" w:cs="Arial"/>
          <w:color w:val="202124"/>
          <w:sz w:val="24"/>
          <w:szCs w:val="24"/>
          <w:shd w:val="clear" w:color="auto" w:fill="FFFFFF"/>
        </w:rPr>
        <w:t> del IPC (Índice de Precios al Consumo) ha sido del 0,9%, de forma </w:t>
      </w:r>
      <w:r w:rsidRPr="00F3416B">
        <w:rPr>
          <w:rFonts w:ascii="Arial" w:hAnsi="Arial" w:cs="Arial"/>
          <w:b/>
          <w:bCs/>
          <w:color w:val="202124"/>
          <w:sz w:val="24"/>
          <w:szCs w:val="24"/>
          <w:shd w:val="clear" w:color="auto" w:fill="FFFFFF"/>
        </w:rPr>
        <w:t>que</w:t>
      </w:r>
      <w:r w:rsidRPr="00F3416B">
        <w:rPr>
          <w:rFonts w:ascii="Arial" w:hAnsi="Arial" w:cs="Arial"/>
          <w:color w:val="202124"/>
          <w:sz w:val="24"/>
          <w:szCs w:val="24"/>
          <w:shd w:val="clear" w:color="auto" w:fill="FFFFFF"/>
        </w:rPr>
        <w:t> la </w:t>
      </w:r>
      <w:r w:rsidRPr="00F3416B">
        <w:rPr>
          <w:rFonts w:ascii="Arial" w:hAnsi="Arial" w:cs="Arial"/>
          <w:b/>
          <w:bCs/>
          <w:color w:val="202124"/>
          <w:sz w:val="24"/>
          <w:szCs w:val="24"/>
          <w:shd w:val="clear" w:color="auto" w:fill="FFFFFF"/>
        </w:rPr>
        <w:t>inflación acumulada</w:t>
      </w:r>
      <w:r w:rsidRPr="00F3416B">
        <w:rPr>
          <w:rFonts w:ascii="Arial" w:hAnsi="Arial" w:cs="Arial"/>
          <w:color w:val="202124"/>
          <w:sz w:val="24"/>
          <w:szCs w:val="24"/>
          <w:shd w:val="clear" w:color="auto" w:fill="FFFFFF"/>
        </w:rPr>
        <w:t> en </w:t>
      </w:r>
      <w:r w:rsidRPr="00F3416B">
        <w:rPr>
          <w:rFonts w:ascii="Arial" w:hAnsi="Arial" w:cs="Arial"/>
          <w:b/>
          <w:bCs/>
          <w:color w:val="202124"/>
          <w:sz w:val="24"/>
          <w:szCs w:val="24"/>
          <w:shd w:val="clear" w:color="auto" w:fill="FFFFFF"/>
        </w:rPr>
        <w:t>2022</w:t>
      </w:r>
      <w:r w:rsidRPr="00F3416B">
        <w:rPr>
          <w:rFonts w:ascii="Arial" w:hAnsi="Arial" w:cs="Arial"/>
          <w:color w:val="202124"/>
          <w:sz w:val="24"/>
          <w:szCs w:val="24"/>
          <w:shd w:val="clear" w:color="auto" w:fill="FFFFFF"/>
        </w:rPr>
        <w:t> es del 10,1%.”</w:t>
      </w:r>
      <w:r w:rsidRPr="00F3416B">
        <w:rPr>
          <w:rStyle w:val="Refdenotaalpie"/>
          <w:rFonts w:ascii="Arial" w:hAnsi="Arial" w:cs="Arial"/>
          <w:color w:val="202124"/>
          <w:sz w:val="24"/>
          <w:szCs w:val="24"/>
          <w:shd w:val="clear" w:color="auto" w:fill="FFFFFF"/>
        </w:rPr>
        <w:footnoteReference w:id="2"/>
      </w:r>
      <w:r w:rsidRPr="00F3416B">
        <w:rPr>
          <w:rFonts w:ascii="Arial" w:hAnsi="Arial" w:cs="Arial"/>
          <w:color w:val="202124"/>
          <w:sz w:val="24"/>
          <w:szCs w:val="24"/>
          <w:shd w:val="clear" w:color="auto" w:fill="FFFFFF"/>
        </w:rPr>
        <w:t>. Nuevamente, nos enfrentamos a unos registros que son clara y abiertamente negativos para el desarrollo económico y social de nuestra nación.</w:t>
      </w:r>
    </w:p>
    <w:p w14:paraId="723EC853" w14:textId="77777777" w:rsidR="00914A24" w:rsidRPr="00F3416B" w:rsidRDefault="00914A24" w:rsidP="00914A24">
      <w:pPr>
        <w:jc w:val="both"/>
        <w:rPr>
          <w:rFonts w:ascii="Arial" w:hAnsi="Arial" w:cs="Arial"/>
          <w:sz w:val="24"/>
          <w:szCs w:val="24"/>
          <w:lang w:eastAsia="es-ES_tradnl"/>
        </w:rPr>
      </w:pPr>
    </w:p>
    <w:p w14:paraId="6D98004D" w14:textId="77777777" w:rsidR="00914A24" w:rsidRPr="00F3416B" w:rsidRDefault="00914A24" w:rsidP="00914A24">
      <w:pPr>
        <w:jc w:val="both"/>
        <w:rPr>
          <w:rFonts w:ascii="Arial" w:hAnsi="Arial" w:cs="Arial"/>
          <w:sz w:val="24"/>
          <w:szCs w:val="24"/>
          <w:lang w:eastAsia="es-ES_tradnl"/>
        </w:rPr>
      </w:pPr>
      <w:r w:rsidRPr="00F3416B">
        <w:rPr>
          <w:rFonts w:ascii="Arial" w:hAnsi="Arial" w:cs="Arial"/>
          <w:noProof/>
          <w:sz w:val="24"/>
          <w:szCs w:val="24"/>
          <w:lang w:eastAsia="es-ES_tradnl"/>
        </w:rPr>
        <w:drawing>
          <wp:inline distT="0" distB="0" distL="0" distR="0" wp14:anchorId="706E5AA1" wp14:editId="5497BA43">
            <wp:extent cx="4762500" cy="3454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png"/>
                    <pic:cNvPicPr/>
                  </pic:nvPicPr>
                  <pic:blipFill>
                    <a:blip r:embed="rId9">
                      <a:extLst>
                        <a:ext uri="{28A0092B-C50C-407E-A947-70E740481C1C}">
                          <a14:useLocalDpi xmlns:a14="http://schemas.microsoft.com/office/drawing/2010/main" val="0"/>
                        </a:ext>
                      </a:extLst>
                    </a:blip>
                    <a:stretch>
                      <a:fillRect/>
                    </a:stretch>
                  </pic:blipFill>
                  <pic:spPr>
                    <a:xfrm>
                      <a:off x="0" y="0"/>
                      <a:ext cx="4762500" cy="3454400"/>
                    </a:xfrm>
                    <a:prstGeom prst="rect">
                      <a:avLst/>
                    </a:prstGeom>
                  </pic:spPr>
                </pic:pic>
              </a:graphicData>
            </a:graphic>
          </wp:inline>
        </w:drawing>
      </w:r>
    </w:p>
    <w:p w14:paraId="7B507664" w14:textId="77777777" w:rsidR="00914A24" w:rsidRPr="00F3416B" w:rsidRDefault="00914A24" w:rsidP="00914A24">
      <w:pPr>
        <w:jc w:val="both"/>
        <w:rPr>
          <w:rFonts w:ascii="Arial" w:eastAsia="Bookman Old Style" w:hAnsi="Arial" w:cs="Arial"/>
          <w:color w:val="000000"/>
          <w:sz w:val="24"/>
          <w:szCs w:val="24"/>
        </w:rPr>
      </w:pPr>
      <w:r w:rsidRPr="00F3416B">
        <w:rPr>
          <w:rFonts w:ascii="Arial" w:eastAsia="Bookman Old Style" w:hAnsi="Arial" w:cs="Arial"/>
          <w:color w:val="000000"/>
          <w:sz w:val="24"/>
          <w:szCs w:val="24"/>
        </w:rPr>
        <w:t>*Este cuadro denota como la inflación y, particularmente la inflación de alimentos ha venido aumentando considerablemente en los últimos 2 años (dato hasta febrero del presente año)</w:t>
      </w:r>
    </w:p>
    <w:p w14:paraId="58DAD43C" w14:textId="77777777" w:rsidR="00914A24" w:rsidRPr="00F3416B" w:rsidRDefault="00914A24" w:rsidP="00914A24">
      <w:pPr>
        <w:jc w:val="both"/>
        <w:rPr>
          <w:rFonts w:ascii="Arial" w:eastAsia="Bookman Old Style" w:hAnsi="Arial" w:cs="Arial"/>
          <w:color w:val="000000"/>
          <w:sz w:val="24"/>
          <w:szCs w:val="24"/>
        </w:rPr>
      </w:pPr>
    </w:p>
    <w:p w14:paraId="5E0CF004" w14:textId="77777777" w:rsidR="00914A24" w:rsidRPr="00F3416B" w:rsidRDefault="00914A24" w:rsidP="00914A24">
      <w:pPr>
        <w:jc w:val="both"/>
        <w:rPr>
          <w:rFonts w:ascii="Arial" w:eastAsia="Bookman Old Style" w:hAnsi="Arial" w:cs="Arial"/>
          <w:color w:val="000000"/>
          <w:sz w:val="24"/>
          <w:szCs w:val="24"/>
        </w:rPr>
      </w:pPr>
      <w:r w:rsidRPr="00F3416B">
        <w:rPr>
          <w:rFonts w:ascii="Arial" w:eastAsia="Bookman Old Style" w:hAnsi="Arial" w:cs="Arial"/>
          <w:color w:val="000000"/>
          <w:sz w:val="24"/>
          <w:szCs w:val="24"/>
        </w:rPr>
        <w:t>Los factores anteriormente mencionados</w:t>
      </w:r>
      <w:r>
        <w:rPr>
          <w:rFonts w:ascii="Arial" w:eastAsia="Bookman Old Style" w:hAnsi="Arial" w:cs="Arial"/>
          <w:color w:val="000000"/>
          <w:sz w:val="24"/>
          <w:szCs w:val="24"/>
        </w:rPr>
        <w:t xml:space="preserve"> sumados a la</w:t>
      </w:r>
      <w:r w:rsidRPr="00F3416B">
        <w:rPr>
          <w:rFonts w:ascii="Arial" w:eastAsia="Bookman Old Style" w:hAnsi="Arial" w:cs="Arial"/>
          <w:color w:val="000000"/>
          <w:sz w:val="24"/>
          <w:szCs w:val="24"/>
        </w:rPr>
        <w:t xml:space="preserve"> </w:t>
      </w:r>
      <w:proofErr w:type="gramStart"/>
      <w:r w:rsidRPr="00F3416B">
        <w:rPr>
          <w:rFonts w:ascii="Arial" w:eastAsia="Bookman Old Style" w:hAnsi="Arial" w:cs="Arial"/>
          <w:color w:val="000000"/>
          <w:sz w:val="24"/>
          <w:szCs w:val="24"/>
        </w:rPr>
        <w:t xml:space="preserve">devaluación </w:t>
      </w:r>
      <w:r>
        <w:rPr>
          <w:rFonts w:ascii="Arial" w:eastAsia="Bookman Old Style" w:hAnsi="Arial" w:cs="Arial"/>
          <w:color w:val="000000"/>
          <w:sz w:val="24"/>
          <w:szCs w:val="24"/>
        </w:rPr>
        <w:t xml:space="preserve"> que</w:t>
      </w:r>
      <w:proofErr w:type="gramEnd"/>
      <w:r>
        <w:rPr>
          <w:rFonts w:ascii="Arial" w:eastAsia="Bookman Old Style" w:hAnsi="Arial" w:cs="Arial"/>
          <w:color w:val="000000"/>
          <w:sz w:val="24"/>
          <w:szCs w:val="24"/>
        </w:rPr>
        <w:t xml:space="preserve"> </w:t>
      </w:r>
      <w:r w:rsidRPr="00F3416B">
        <w:rPr>
          <w:rFonts w:ascii="Arial" w:eastAsia="Bookman Old Style" w:hAnsi="Arial" w:cs="Arial"/>
          <w:color w:val="000000"/>
          <w:sz w:val="24"/>
          <w:szCs w:val="24"/>
        </w:rPr>
        <w:t>ya rompió</w:t>
      </w:r>
      <w:r>
        <w:rPr>
          <w:rFonts w:ascii="Arial" w:eastAsia="Bookman Old Style" w:hAnsi="Arial" w:cs="Arial"/>
          <w:color w:val="000000"/>
          <w:sz w:val="24"/>
          <w:szCs w:val="24"/>
        </w:rPr>
        <w:t>, el 1 de noviembre,</w:t>
      </w:r>
      <w:r w:rsidRPr="00F3416B">
        <w:rPr>
          <w:rFonts w:ascii="Arial" w:eastAsia="Bookman Old Style" w:hAnsi="Arial" w:cs="Arial"/>
          <w:color w:val="000000"/>
          <w:sz w:val="24"/>
          <w:szCs w:val="24"/>
        </w:rPr>
        <w:t xml:space="preserve"> la barrera de los $5.000 COP llegando a un máximo histórico</w:t>
      </w:r>
      <w:r>
        <w:rPr>
          <w:rFonts w:ascii="Arial" w:eastAsia="Bookman Old Style" w:hAnsi="Arial" w:cs="Arial"/>
          <w:color w:val="000000"/>
          <w:sz w:val="24"/>
          <w:szCs w:val="24"/>
        </w:rPr>
        <w:t>, hace urgente el mensaje de tranquilidad al sector industrial, comercial y productivo del país.</w:t>
      </w:r>
    </w:p>
    <w:p w14:paraId="3160AAB6" w14:textId="77777777" w:rsidR="00914A24" w:rsidRPr="00F3416B" w:rsidRDefault="00914A24" w:rsidP="00914A24">
      <w:pPr>
        <w:jc w:val="both"/>
        <w:rPr>
          <w:rFonts w:ascii="Arial" w:eastAsia="Bookman Old Style" w:hAnsi="Arial" w:cs="Arial"/>
          <w:color w:val="000000"/>
          <w:sz w:val="24"/>
          <w:szCs w:val="24"/>
        </w:rPr>
      </w:pPr>
    </w:p>
    <w:p w14:paraId="6481D91D" w14:textId="77777777" w:rsidR="00914A24" w:rsidRPr="00F3416B" w:rsidRDefault="00914A24" w:rsidP="00914A24">
      <w:pPr>
        <w:jc w:val="both"/>
        <w:rPr>
          <w:rFonts w:ascii="Arial" w:eastAsia="Bookman Old Style" w:hAnsi="Arial" w:cs="Arial"/>
          <w:color w:val="000000"/>
          <w:sz w:val="24"/>
          <w:szCs w:val="24"/>
        </w:rPr>
      </w:pPr>
      <w:r w:rsidRPr="00F3416B">
        <w:rPr>
          <w:rFonts w:ascii="Arial" w:eastAsia="Bookman Old Style" w:hAnsi="Arial" w:cs="Arial"/>
          <w:color w:val="000000"/>
          <w:sz w:val="24"/>
          <w:szCs w:val="24"/>
        </w:rPr>
        <w:t>Con el panorama negativo al que nos estamos enfrentando, es menester hacer un llamado positivo a la inversión nacional y/o extranjera en Colombia a través de normas favorables que, de tal forma beneficien al sector productivo, cual es el motor económico de la nación.</w:t>
      </w:r>
    </w:p>
    <w:p w14:paraId="647314EF" w14:textId="77777777" w:rsidR="00914A24" w:rsidRPr="00F3416B" w:rsidRDefault="00914A24" w:rsidP="00914A24">
      <w:pPr>
        <w:jc w:val="both"/>
        <w:rPr>
          <w:rFonts w:ascii="Arial" w:eastAsia="Bookman Old Style" w:hAnsi="Arial" w:cs="Arial"/>
          <w:color w:val="000000"/>
          <w:sz w:val="24"/>
          <w:szCs w:val="24"/>
        </w:rPr>
      </w:pPr>
    </w:p>
    <w:p w14:paraId="2DF70824" w14:textId="77777777" w:rsidR="00914A24" w:rsidRPr="00F3416B" w:rsidRDefault="00914A24" w:rsidP="00914A24">
      <w:pPr>
        <w:jc w:val="both"/>
        <w:rPr>
          <w:rFonts w:ascii="Arial" w:eastAsia="Bookman Old Style" w:hAnsi="Arial" w:cs="Arial"/>
          <w:color w:val="000000"/>
          <w:sz w:val="24"/>
          <w:szCs w:val="24"/>
        </w:rPr>
      </w:pPr>
      <w:r w:rsidRPr="00F3416B">
        <w:rPr>
          <w:rFonts w:ascii="Arial" w:eastAsia="Bookman Old Style" w:hAnsi="Arial" w:cs="Arial"/>
          <w:color w:val="000000"/>
          <w:sz w:val="24"/>
          <w:szCs w:val="24"/>
        </w:rPr>
        <w:t xml:space="preserve">Es por esto que se hace necesario desarrollar un grupo normativo y jurídico que genere unos incentivos legales y económicos para que los diferentes inversionistas privados encuentren motivos ya sea para continuar sus operaciones en el país o para atraer nuevas inversiones. </w:t>
      </w:r>
    </w:p>
    <w:p w14:paraId="79001575" w14:textId="77777777" w:rsidR="00914A24" w:rsidRPr="00F3416B" w:rsidRDefault="00914A24" w:rsidP="00914A24">
      <w:pPr>
        <w:jc w:val="both"/>
        <w:rPr>
          <w:rFonts w:ascii="Arial" w:eastAsia="Bookman Old Style" w:hAnsi="Arial" w:cs="Arial"/>
          <w:color w:val="000000"/>
          <w:sz w:val="24"/>
          <w:szCs w:val="24"/>
        </w:rPr>
      </w:pPr>
      <w:r w:rsidRPr="00F3416B">
        <w:rPr>
          <w:rFonts w:ascii="Arial" w:eastAsia="Bookman Old Style" w:hAnsi="Arial" w:cs="Arial"/>
          <w:color w:val="000000"/>
          <w:sz w:val="24"/>
          <w:szCs w:val="24"/>
        </w:rPr>
        <w:t xml:space="preserve">En primera medida, bajar el umbral económico para que más inversionistas quieran participar de estos contratos es fundamental. Para el 2005, año en que nace la ley, $7500 smlmv, equivalían a $1’318.397 USD (con un smlmv de $408.000 COP y el dólar a $2.321 COP) mientras que hoy, dicha cifra equivale a $1´804.185 USD (con un smlmv de $1’000.000 COP y el dólar a un promedio anual de $4.157 COP) por lo que, incluso sin contar la inflación, denota que el monto para poder acceder a este tipo de contratos es considerablemente más alto que hace 17 años. En ese sentido, si </w:t>
      </w:r>
      <w:r>
        <w:rPr>
          <w:rFonts w:ascii="Arial" w:eastAsia="Bookman Old Style" w:hAnsi="Arial" w:cs="Arial"/>
          <w:color w:val="000000"/>
          <w:sz w:val="24"/>
          <w:szCs w:val="24"/>
        </w:rPr>
        <w:t>se bajara</w:t>
      </w:r>
      <w:r w:rsidRPr="00F3416B">
        <w:rPr>
          <w:rFonts w:ascii="Arial" w:eastAsia="Bookman Old Style" w:hAnsi="Arial" w:cs="Arial"/>
          <w:color w:val="000000"/>
          <w:sz w:val="24"/>
          <w:szCs w:val="24"/>
        </w:rPr>
        <w:t xml:space="preserve"> el umbral a 5000 smlmv, significaría, $1.202.790 USD, ergo, un poco más bajo que en el 2005 pero más acorde a la realidad económica y monetaria de la actualidad.</w:t>
      </w:r>
    </w:p>
    <w:p w14:paraId="1344152E" w14:textId="77777777" w:rsidR="00914A24" w:rsidRPr="00F3416B" w:rsidRDefault="00914A24" w:rsidP="00914A24">
      <w:pPr>
        <w:jc w:val="both"/>
        <w:rPr>
          <w:rFonts w:ascii="Arial" w:eastAsia="Bookman Old Style" w:hAnsi="Arial" w:cs="Arial"/>
          <w:color w:val="000000"/>
          <w:sz w:val="24"/>
          <w:szCs w:val="24"/>
        </w:rPr>
      </w:pPr>
    </w:p>
    <w:p w14:paraId="35ED39F0" w14:textId="77777777" w:rsidR="00914A24" w:rsidRPr="00F3416B" w:rsidRDefault="00914A24" w:rsidP="00914A24">
      <w:pPr>
        <w:jc w:val="both"/>
        <w:rPr>
          <w:rFonts w:ascii="Arial" w:eastAsia="Bookman Old Style" w:hAnsi="Arial" w:cs="Arial"/>
          <w:color w:val="000000"/>
          <w:sz w:val="24"/>
          <w:szCs w:val="24"/>
        </w:rPr>
      </w:pPr>
      <w:r w:rsidRPr="00F3416B">
        <w:rPr>
          <w:rFonts w:ascii="Arial" w:eastAsia="Bookman Old Style" w:hAnsi="Arial" w:cs="Arial"/>
          <w:color w:val="000000"/>
          <w:sz w:val="24"/>
          <w:szCs w:val="24"/>
        </w:rPr>
        <w:t>Por otro lado, dadas las perspectivas financieras y los objetivos de desarrollo social y económico del país, se hace menester que agreguemos a este articulado las categorías de tecnología, productos terminados y carboníferas. En muchos casos, las interpretaciones exegéticas que se desarrollan sobre las normas hace</w:t>
      </w:r>
      <w:r>
        <w:rPr>
          <w:rFonts w:ascii="Arial" w:eastAsia="Bookman Old Style" w:hAnsi="Arial" w:cs="Arial"/>
          <w:color w:val="000000"/>
          <w:sz w:val="24"/>
          <w:szCs w:val="24"/>
        </w:rPr>
        <w:t>n</w:t>
      </w:r>
      <w:r w:rsidRPr="00F3416B">
        <w:rPr>
          <w:rFonts w:ascii="Arial" w:eastAsia="Bookman Old Style" w:hAnsi="Arial" w:cs="Arial"/>
          <w:color w:val="000000"/>
          <w:sz w:val="24"/>
          <w:szCs w:val="24"/>
        </w:rPr>
        <w:t xml:space="preserve"> clara la necesidad de ser imperativos en cuanto a lo diáfano de la normativa. No esperar, bajo esa premisa, que sus inclusiones se hagan por motivos netamente interpretativos.</w:t>
      </w:r>
    </w:p>
    <w:p w14:paraId="68D476D0" w14:textId="77777777" w:rsidR="00914A24" w:rsidRPr="00F3416B" w:rsidRDefault="00914A24" w:rsidP="00914A24">
      <w:pPr>
        <w:jc w:val="both"/>
        <w:rPr>
          <w:rFonts w:ascii="Arial" w:eastAsia="Bookman Old Style" w:hAnsi="Arial" w:cs="Arial"/>
          <w:color w:val="000000"/>
          <w:sz w:val="24"/>
          <w:szCs w:val="24"/>
        </w:rPr>
      </w:pPr>
      <w:r w:rsidRPr="00F3416B">
        <w:rPr>
          <w:rFonts w:ascii="Arial" w:eastAsia="Bookman Old Style" w:hAnsi="Arial" w:cs="Arial"/>
          <w:color w:val="000000"/>
          <w:sz w:val="24"/>
          <w:szCs w:val="24"/>
        </w:rPr>
        <w:t>Además de esto, y dada la realidad nacional y mundial, es claro que, de igual forma, se tiene que, de forma expresa, enumerar los grupos de producción de energías renovables y/o limpias para que, dichas categorías, gocen, conforme a lo estipule el leg</w:t>
      </w:r>
      <w:r>
        <w:rPr>
          <w:rFonts w:ascii="Arial" w:eastAsia="Bookman Old Style" w:hAnsi="Arial" w:cs="Arial"/>
          <w:color w:val="000000"/>
          <w:sz w:val="24"/>
          <w:szCs w:val="24"/>
        </w:rPr>
        <w:t>i</w:t>
      </w:r>
      <w:r w:rsidRPr="00F3416B">
        <w:rPr>
          <w:rFonts w:ascii="Arial" w:eastAsia="Bookman Old Style" w:hAnsi="Arial" w:cs="Arial"/>
          <w:color w:val="000000"/>
          <w:sz w:val="24"/>
          <w:szCs w:val="24"/>
        </w:rPr>
        <w:t>slador, de otras categorías especiales respecto de los contratos de estabilidad jurídica.</w:t>
      </w:r>
    </w:p>
    <w:p w14:paraId="39DF0678" w14:textId="77777777" w:rsidR="00914A24" w:rsidRPr="00F3416B" w:rsidRDefault="00914A24" w:rsidP="00914A24">
      <w:pPr>
        <w:jc w:val="both"/>
        <w:rPr>
          <w:rFonts w:ascii="Arial" w:eastAsia="Bookman Old Style" w:hAnsi="Arial" w:cs="Arial"/>
          <w:color w:val="000000"/>
          <w:sz w:val="24"/>
          <w:szCs w:val="24"/>
        </w:rPr>
      </w:pPr>
    </w:p>
    <w:p w14:paraId="3C07FB91" w14:textId="77777777" w:rsidR="00914A24" w:rsidRPr="00F3416B" w:rsidRDefault="00914A24" w:rsidP="00914A24">
      <w:pPr>
        <w:jc w:val="both"/>
        <w:rPr>
          <w:rFonts w:ascii="Arial" w:eastAsia="Bookman Old Style" w:hAnsi="Arial" w:cs="Arial"/>
          <w:color w:val="000000"/>
          <w:sz w:val="24"/>
          <w:szCs w:val="24"/>
        </w:rPr>
      </w:pPr>
      <w:r w:rsidRPr="00F3416B">
        <w:rPr>
          <w:rFonts w:ascii="Arial" w:eastAsia="Bookman Old Style" w:hAnsi="Arial" w:cs="Arial"/>
          <w:color w:val="000000"/>
          <w:sz w:val="24"/>
          <w:szCs w:val="24"/>
        </w:rPr>
        <w:t xml:space="preserve">De igual forma, y haciendo énfasis en la realidad económica mundial y nacional, es claro que debe haber incentivos financieros para las empresas. Actualmente el mundo se ve afectado por una guerra y estamos en una etapa de </w:t>
      </w:r>
      <w:proofErr w:type="spellStart"/>
      <w:r w:rsidRPr="00F3416B">
        <w:rPr>
          <w:rFonts w:ascii="Arial" w:eastAsia="Bookman Old Style" w:hAnsi="Arial" w:cs="Arial"/>
          <w:color w:val="000000"/>
          <w:sz w:val="24"/>
          <w:szCs w:val="24"/>
        </w:rPr>
        <w:t>pos</w:t>
      </w:r>
      <w:r>
        <w:rPr>
          <w:rFonts w:ascii="Arial" w:eastAsia="Bookman Old Style" w:hAnsi="Arial" w:cs="Arial"/>
          <w:color w:val="000000"/>
          <w:sz w:val="24"/>
          <w:szCs w:val="24"/>
        </w:rPr>
        <w:t>t-</w:t>
      </w:r>
      <w:r w:rsidRPr="00F3416B">
        <w:rPr>
          <w:rFonts w:ascii="Arial" w:eastAsia="Bookman Old Style" w:hAnsi="Arial" w:cs="Arial"/>
          <w:color w:val="000000"/>
          <w:sz w:val="24"/>
          <w:szCs w:val="24"/>
        </w:rPr>
        <w:t>pandemia</w:t>
      </w:r>
      <w:proofErr w:type="spellEnd"/>
      <w:r w:rsidRPr="00F3416B">
        <w:rPr>
          <w:rFonts w:ascii="Arial" w:eastAsia="Bookman Old Style" w:hAnsi="Arial" w:cs="Arial"/>
          <w:color w:val="000000"/>
          <w:sz w:val="24"/>
          <w:szCs w:val="24"/>
        </w:rPr>
        <w:t xml:space="preserve"> que afecta a la mayoría de la población global. Por esto, la prima que pague la empresa debe ser reducida al 0,5% y, además, en los periodos improductivos se les debe proteger a través del no pago de impuestos. Una vez, por supuesto, se supere dicho periodo, las empresas pagarán la prima correspondiente al 0,5%.</w:t>
      </w:r>
    </w:p>
    <w:p w14:paraId="194AB894" w14:textId="77777777" w:rsidR="00914A24" w:rsidRPr="00F3416B" w:rsidRDefault="00914A24" w:rsidP="00914A24">
      <w:pPr>
        <w:jc w:val="both"/>
        <w:rPr>
          <w:rFonts w:ascii="Arial" w:eastAsia="Bookman Old Style" w:hAnsi="Arial" w:cs="Arial"/>
          <w:color w:val="000000"/>
          <w:sz w:val="24"/>
          <w:szCs w:val="24"/>
        </w:rPr>
      </w:pPr>
    </w:p>
    <w:p w14:paraId="6297C381" w14:textId="77777777" w:rsidR="00914A24" w:rsidRPr="00F3416B" w:rsidRDefault="00914A24" w:rsidP="00914A24">
      <w:pPr>
        <w:jc w:val="both"/>
        <w:rPr>
          <w:rFonts w:ascii="Arial" w:eastAsia="Bookman Old Style" w:hAnsi="Arial" w:cs="Arial"/>
          <w:color w:val="000000"/>
          <w:sz w:val="24"/>
          <w:szCs w:val="24"/>
        </w:rPr>
      </w:pPr>
      <w:r w:rsidRPr="00F3416B">
        <w:rPr>
          <w:rFonts w:ascii="Arial" w:eastAsia="Bookman Old Style" w:hAnsi="Arial" w:cs="Arial"/>
          <w:color w:val="000000"/>
          <w:sz w:val="24"/>
          <w:szCs w:val="24"/>
        </w:rPr>
        <w:t>Cordialmente,</w:t>
      </w:r>
    </w:p>
    <w:p w14:paraId="73341F7A" w14:textId="77777777" w:rsidR="00914A24" w:rsidRPr="00F3416B" w:rsidRDefault="00914A24" w:rsidP="00914A24">
      <w:pPr>
        <w:jc w:val="both"/>
        <w:rPr>
          <w:rFonts w:ascii="Arial" w:eastAsia="Bookman Old Style" w:hAnsi="Arial" w:cs="Arial"/>
          <w:color w:val="000000"/>
          <w:sz w:val="24"/>
          <w:szCs w:val="24"/>
        </w:rPr>
      </w:pPr>
    </w:p>
    <w:p w14:paraId="31A86F93" w14:textId="77777777" w:rsidR="00914A24" w:rsidRPr="00F3416B" w:rsidRDefault="00914A24" w:rsidP="00914A24">
      <w:pPr>
        <w:jc w:val="both"/>
        <w:rPr>
          <w:rFonts w:ascii="Arial" w:eastAsia="Bookman Old Style" w:hAnsi="Arial" w:cs="Arial"/>
          <w:color w:val="000000"/>
          <w:sz w:val="24"/>
          <w:szCs w:val="24"/>
        </w:rPr>
      </w:pPr>
    </w:p>
    <w:p w14:paraId="25CD35BE" w14:textId="77777777" w:rsidR="00914A24" w:rsidRPr="00F3416B" w:rsidRDefault="00914A24" w:rsidP="00914A24">
      <w:pPr>
        <w:jc w:val="both"/>
        <w:rPr>
          <w:rFonts w:ascii="Arial" w:eastAsia="Bookman Old Style" w:hAnsi="Arial" w:cs="Arial"/>
          <w:color w:val="000000"/>
          <w:sz w:val="24"/>
          <w:szCs w:val="24"/>
        </w:rPr>
      </w:pPr>
    </w:p>
    <w:p w14:paraId="4C937D9C" w14:textId="77777777" w:rsidR="00914A24" w:rsidRPr="00F3416B" w:rsidRDefault="00914A24" w:rsidP="00914A24">
      <w:pPr>
        <w:jc w:val="both"/>
        <w:rPr>
          <w:rFonts w:ascii="Arial" w:eastAsia="Bookman Old Style" w:hAnsi="Arial" w:cs="Arial"/>
          <w:color w:val="000000"/>
          <w:sz w:val="24"/>
          <w:szCs w:val="24"/>
        </w:rPr>
      </w:pPr>
      <w:bookmarkStart w:id="2" w:name="_GoBack"/>
      <w:bookmarkEnd w:id="2"/>
    </w:p>
    <w:p w14:paraId="51469D5E" w14:textId="77777777" w:rsidR="00914A24" w:rsidRPr="00F3416B" w:rsidRDefault="00914A24" w:rsidP="00914A24">
      <w:pPr>
        <w:tabs>
          <w:tab w:val="right" w:pos="8838"/>
        </w:tabs>
        <w:jc w:val="center"/>
        <w:rPr>
          <w:rFonts w:ascii="Arial" w:eastAsia="Bookman Old Style" w:hAnsi="Arial" w:cs="Arial"/>
          <w:b/>
          <w:sz w:val="24"/>
          <w:szCs w:val="24"/>
        </w:rPr>
      </w:pPr>
    </w:p>
    <w:p w14:paraId="1D0FF4DE" w14:textId="77777777" w:rsidR="00914A24" w:rsidRPr="00F3416B" w:rsidRDefault="00914A24" w:rsidP="00914A24">
      <w:pPr>
        <w:tabs>
          <w:tab w:val="right" w:pos="8838"/>
        </w:tabs>
        <w:jc w:val="center"/>
        <w:rPr>
          <w:rFonts w:ascii="Arial" w:eastAsia="Bookman Old Style" w:hAnsi="Arial" w:cs="Arial"/>
          <w:b/>
          <w:sz w:val="24"/>
          <w:szCs w:val="24"/>
        </w:rPr>
      </w:pPr>
      <w:r w:rsidRPr="00F3416B">
        <w:rPr>
          <w:rFonts w:ascii="Arial" w:eastAsia="Bookman Old Style" w:hAnsi="Arial" w:cs="Arial"/>
          <w:b/>
          <w:sz w:val="24"/>
          <w:szCs w:val="24"/>
        </w:rPr>
        <w:t>EDINSON VLADIMIR OLAYA MANCIPE</w:t>
      </w:r>
    </w:p>
    <w:p w14:paraId="0831BAB3" w14:textId="77777777" w:rsidR="00914A24" w:rsidRPr="00F3416B" w:rsidRDefault="00914A24" w:rsidP="00914A24">
      <w:pPr>
        <w:tabs>
          <w:tab w:val="right" w:pos="8838"/>
        </w:tabs>
        <w:jc w:val="center"/>
        <w:rPr>
          <w:rFonts w:ascii="Arial" w:eastAsia="Bookman Old Style" w:hAnsi="Arial" w:cs="Arial"/>
          <w:sz w:val="24"/>
          <w:szCs w:val="24"/>
        </w:rPr>
      </w:pPr>
      <w:r w:rsidRPr="00F3416B">
        <w:rPr>
          <w:rFonts w:ascii="Arial" w:eastAsia="Bookman Old Style" w:hAnsi="Arial" w:cs="Arial"/>
          <w:sz w:val="24"/>
          <w:szCs w:val="24"/>
        </w:rPr>
        <w:t>Representante a la Cámara por Casanare</w:t>
      </w:r>
    </w:p>
    <w:p w14:paraId="76D41487" w14:textId="77777777" w:rsidR="00914A24" w:rsidRPr="00F3416B" w:rsidRDefault="00914A24" w:rsidP="00914A24">
      <w:pPr>
        <w:jc w:val="center"/>
        <w:rPr>
          <w:rFonts w:ascii="Arial" w:eastAsia="Bookman Old Style" w:hAnsi="Arial" w:cs="Arial"/>
          <w:sz w:val="24"/>
          <w:szCs w:val="24"/>
        </w:rPr>
      </w:pPr>
      <w:r w:rsidRPr="00F3416B">
        <w:rPr>
          <w:rFonts w:ascii="Arial" w:eastAsia="Bookman Old Style" w:hAnsi="Arial" w:cs="Arial"/>
          <w:sz w:val="24"/>
          <w:szCs w:val="24"/>
        </w:rPr>
        <w:t>Partido Centro Democrático</w:t>
      </w:r>
    </w:p>
    <w:p w14:paraId="41248564" w14:textId="77777777" w:rsidR="00914A24" w:rsidRPr="00F3416B" w:rsidRDefault="00914A24" w:rsidP="00914A24">
      <w:pPr>
        <w:jc w:val="center"/>
        <w:rPr>
          <w:rFonts w:ascii="Arial" w:hAnsi="Arial" w:cs="Arial"/>
          <w:sz w:val="24"/>
          <w:szCs w:val="24"/>
        </w:rPr>
      </w:pPr>
    </w:p>
    <w:p w14:paraId="311E1B08" w14:textId="77777777" w:rsidR="00914A24" w:rsidRPr="00F3416B" w:rsidRDefault="00914A24" w:rsidP="00914A24">
      <w:pPr>
        <w:jc w:val="center"/>
        <w:rPr>
          <w:rFonts w:ascii="Arial" w:hAnsi="Arial" w:cs="Arial"/>
          <w:sz w:val="24"/>
          <w:szCs w:val="24"/>
        </w:rPr>
      </w:pPr>
    </w:p>
    <w:p w14:paraId="6AFFC33E" w14:textId="77777777" w:rsidR="00914A24" w:rsidRDefault="00914A24" w:rsidP="00914A24">
      <w:pPr>
        <w:jc w:val="center"/>
        <w:rPr>
          <w:rFonts w:ascii="Arial" w:hAnsi="Arial" w:cs="Arial"/>
          <w:sz w:val="24"/>
          <w:szCs w:val="24"/>
        </w:rPr>
      </w:pPr>
    </w:p>
    <w:p w14:paraId="70F20A58" w14:textId="77777777" w:rsidR="00914A24" w:rsidRDefault="00914A24" w:rsidP="00914A24">
      <w:pPr>
        <w:jc w:val="center"/>
        <w:rPr>
          <w:rFonts w:ascii="Arial" w:hAnsi="Arial" w:cs="Arial"/>
          <w:sz w:val="24"/>
          <w:szCs w:val="24"/>
        </w:rPr>
      </w:pPr>
    </w:p>
    <w:p w14:paraId="1083D6AC" w14:textId="77777777" w:rsidR="00914A24" w:rsidRDefault="00914A24" w:rsidP="00914A24">
      <w:pPr>
        <w:jc w:val="center"/>
        <w:rPr>
          <w:rFonts w:ascii="Arial" w:hAnsi="Arial" w:cs="Arial"/>
          <w:sz w:val="24"/>
          <w:szCs w:val="24"/>
        </w:rPr>
      </w:pPr>
    </w:p>
    <w:p w14:paraId="2CCF2BF9" w14:textId="77777777" w:rsidR="00914A24" w:rsidRDefault="00914A24" w:rsidP="00914A24">
      <w:pPr>
        <w:jc w:val="center"/>
        <w:rPr>
          <w:rFonts w:ascii="Arial" w:hAnsi="Arial" w:cs="Arial"/>
          <w:sz w:val="24"/>
          <w:szCs w:val="24"/>
        </w:rPr>
      </w:pPr>
    </w:p>
    <w:p w14:paraId="22D6BEBC" w14:textId="479818EF" w:rsidR="00914A24" w:rsidRDefault="00914A24" w:rsidP="00914A24">
      <w:pPr>
        <w:jc w:val="center"/>
        <w:rPr>
          <w:rFonts w:ascii="Arial" w:hAnsi="Arial" w:cs="Arial"/>
          <w:sz w:val="24"/>
          <w:szCs w:val="24"/>
        </w:rPr>
      </w:pPr>
    </w:p>
    <w:p w14:paraId="31017672" w14:textId="2029C34A" w:rsidR="00E83FFF" w:rsidRDefault="00E83FFF" w:rsidP="00914A24">
      <w:pPr>
        <w:jc w:val="center"/>
        <w:rPr>
          <w:rFonts w:ascii="Arial" w:hAnsi="Arial" w:cs="Arial"/>
          <w:sz w:val="24"/>
          <w:szCs w:val="24"/>
        </w:rPr>
      </w:pPr>
    </w:p>
    <w:p w14:paraId="7D35B97B" w14:textId="1119AE74" w:rsidR="00E83FFF" w:rsidRDefault="00E83FFF" w:rsidP="00914A24">
      <w:pPr>
        <w:jc w:val="center"/>
        <w:rPr>
          <w:rFonts w:ascii="Arial" w:hAnsi="Arial" w:cs="Arial"/>
          <w:sz w:val="24"/>
          <w:szCs w:val="24"/>
        </w:rPr>
      </w:pPr>
    </w:p>
    <w:p w14:paraId="21465AE7" w14:textId="231A23B1" w:rsidR="00E83FFF" w:rsidRDefault="00E83FFF" w:rsidP="00914A24">
      <w:pPr>
        <w:jc w:val="center"/>
        <w:rPr>
          <w:rFonts w:ascii="Arial" w:hAnsi="Arial" w:cs="Arial"/>
          <w:sz w:val="24"/>
          <w:szCs w:val="24"/>
        </w:rPr>
      </w:pPr>
    </w:p>
    <w:p w14:paraId="3CD7F3A0" w14:textId="43AA0F0D" w:rsidR="00E83FFF" w:rsidRDefault="00E83FFF" w:rsidP="00914A24">
      <w:pPr>
        <w:jc w:val="center"/>
        <w:rPr>
          <w:rFonts w:ascii="Arial" w:hAnsi="Arial" w:cs="Arial"/>
          <w:sz w:val="24"/>
          <w:szCs w:val="24"/>
        </w:rPr>
      </w:pPr>
    </w:p>
    <w:p w14:paraId="6E103BF6" w14:textId="7FD94F30" w:rsidR="00E83FFF" w:rsidRDefault="00E83FFF" w:rsidP="00914A24">
      <w:pPr>
        <w:jc w:val="center"/>
        <w:rPr>
          <w:rFonts w:ascii="Arial" w:hAnsi="Arial" w:cs="Arial"/>
          <w:sz w:val="24"/>
          <w:szCs w:val="24"/>
        </w:rPr>
      </w:pPr>
    </w:p>
    <w:p w14:paraId="4EBFEA55" w14:textId="338DAF7F" w:rsidR="00E83FFF" w:rsidRDefault="00E83FFF" w:rsidP="00914A24">
      <w:pPr>
        <w:jc w:val="center"/>
        <w:rPr>
          <w:rFonts w:ascii="Arial" w:hAnsi="Arial" w:cs="Arial"/>
          <w:sz w:val="24"/>
          <w:szCs w:val="24"/>
        </w:rPr>
      </w:pPr>
    </w:p>
    <w:p w14:paraId="5D927533" w14:textId="56A70C1A" w:rsidR="00E83FFF" w:rsidRDefault="00E83FFF" w:rsidP="00914A24">
      <w:pPr>
        <w:jc w:val="center"/>
        <w:rPr>
          <w:rFonts w:ascii="Arial" w:hAnsi="Arial" w:cs="Arial"/>
          <w:sz w:val="24"/>
          <w:szCs w:val="24"/>
        </w:rPr>
      </w:pPr>
    </w:p>
    <w:p w14:paraId="618834D5" w14:textId="415FC517" w:rsidR="00E83FFF" w:rsidRDefault="00E83FFF" w:rsidP="00914A24">
      <w:pPr>
        <w:jc w:val="center"/>
        <w:rPr>
          <w:rFonts w:ascii="Arial" w:hAnsi="Arial" w:cs="Arial"/>
          <w:sz w:val="24"/>
          <w:szCs w:val="24"/>
        </w:rPr>
      </w:pPr>
    </w:p>
    <w:p w14:paraId="1218EAE9" w14:textId="60F8A12B" w:rsidR="00E83FFF" w:rsidRDefault="00E83FFF" w:rsidP="00914A24">
      <w:pPr>
        <w:jc w:val="center"/>
        <w:rPr>
          <w:rFonts w:ascii="Arial" w:hAnsi="Arial" w:cs="Arial"/>
          <w:sz w:val="24"/>
          <w:szCs w:val="24"/>
        </w:rPr>
      </w:pPr>
    </w:p>
    <w:p w14:paraId="3D4BD520" w14:textId="77777777" w:rsidR="00E83FFF" w:rsidRDefault="00E83FFF" w:rsidP="00914A24">
      <w:pPr>
        <w:jc w:val="center"/>
        <w:rPr>
          <w:rFonts w:ascii="Arial" w:hAnsi="Arial" w:cs="Arial"/>
          <w:sz w:val="24"/>
          <w:szCs w:val="24"/>
        </w:rPr>
      </w:pPr>
    </w:p>
    <w:p w14:paraId="235FEC85" w14:textId="77777777" w:rsidR="00914A24" w:rsidRDefault="00914A24" w:rsidP="00914A24">
      <w:pPr>
        <w:jc w:val="center"/>
        <w:rPr>
          <w:rFonts w:ascii="Arial" w:hAnsi="Arial" w:cs="Arial"/>
          <w:sz w:val="24"/>
          <w:szCs w:val="24"/>
        </w:rPr>
      </w:pPr>
    </w:p>
    <w:p w14:paraId="320162F7" w14:textId="77777777" w:rsidR="00914A24" w:rsidRPr="00F3416B" w:rsidRDefault="00914A24" w:rsidP="00914A24">
      <w:pPr>
        <w:jc w:val="center"/>
        <w:rPr>
          <w:rFonts w:ascii="Arial" w:hAnsi="Arial" w:cs="Arial"/>
          <w:sz w:val="24"/>
          <w:szCs w:val="24"/>
        </w:rPr>
      </w:pPr>
    </w:p>
    <w:p w14:paraId="7A3E5D7E" w14:textId="77777777" w:rsidR="00914A24" w:rsidRPr="00F3416B" w:rsidRDefault="00914A24" w:rsidP="00914A24">
      <w:pPr>
        <w:jc w:val="center"/>
        <w:rPr>
          <w:rFonts w:ascii="Arial" w:hAnsi="Arial" w:cs="Arial"/>
          <w:sz w:val="24"/>
          <w:szCs w:val="24"/>
        </w:rPr>
      </w:pPr>
    </w:p>
    <w:p w14:paraId="45959AB7" w14:textId="77777777" w:rsidR="00914A24" w:rsidRPr="00F3416B" w:rsidRDefault="00914A24" w:rsidP="00914A24">
      <w:pPr>
        <w:rPr>
          <w:rFonts w:ascii="Arial" w:hAnsi="Arial" w:cs="Arial"/>
          <w:sz w:val="24"/>
          <w:szCs w:val="24"/>
        </w:rPr>
      </w:pPr>
    </w:p>
    <w:p w14:paraId="175D46B5" w14:textId="77777777" w:rsidR="00914A24" w:rsidRPr="00F3416B" w:rsidRDefault="00914A24" w:rsidP="00914A24">
      <w:pPr>
        <w:spacing w:line="276" w:lineRule="auto"/>
        <w:jc w:val="both"/>
        <w:rPr>
          <w:rFonts w:ascii="Arial" w:hAnsi="Arial" w:cs="Arial"/>
          <w:b/>
          <w:bCs/>
          <w:sz w:val="24"/>
          <w:szCs w:val="24"/>
        </w:rPr>
      </w:pPr>
      <w:r w:rsidRPr="00F3416B">
        <w:rPr>
          <w:rFonts w:ascii="Arial" w:hAnsi="Arial" w:cs="Arial"/>
          <w:b/>
          <w:bCs/>
          <w:sz w:val="24"/>
          <w:szCs w:val="24"/>
        </w:rPr>
        <w:t xml:space="preserve">PROYECTO DE LEY NO. ____ 2022 – CÁMARA </w:t>
      </w:r>
      <w:r w:rsidRPr="00F3416B">
        <w:rPr>
          <w:rFonts w:ascii="Arial" w:hAnsi="Arial" w:cs="Arial"/>
          <w:color w:val="333333"/>
          <w:sz w:val="24"/>
          <w:szCs w:val="24"/>
          <w:shd w:val="clear" w:color="auto" w:fill="FFFFFF"/>
        </w:rPr>
        <w:t>“</w:t>
      </w:r>
      <w:r w:rsidRPr="00F3416B">
        <w:rPr>
          <w:rFonts w:ascii="Arial" w:eastAsia="Bookman Old Style" w:hAnsi="Arial" w:cs="Arial"/>
          <w:sz w:val="24"/>
          <w:szCs w:val="24"/>
        </w:rPr>
        <w:t>POR MEDIO DEL CUAL SE MODIFICAN LOS ARTÍCULOS 2 Y 5 DE LA LEY 963 DE 2005”</w:t>
      </w:r>
      <w:r w:rsidRPr="00F3416B">
        <w:rPr>
          <w:rFonts w:ascii="Arial" w:hAnsi="Arial" w:cs="Arial"/>
          <w:color w:val="333333"/>
          <w:sz w:val="24"/>
          <w:szCs w:val="24"/>
          <w:shd w:val="clear" w:color="auto" w:fill="FFFFFF"/>
        </w:rPr>
        <w:t xml:space="preserve">”. </w:t>
      </w:r>
    </w:p>
    <w:p w14:paraId="539FEEEC" w14:textId="3D84682F" w:rsidR="00A80078" w:rsidRPr="00914A24" w:rsidRDefault="00A80078" w:rsidP="00914A24"/>
    <w:sectPr w:rsidR="00A80078" w:rsidRPr="00914A2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BFCE5" w14:textId="77777777" w:rsidR="0070291A" w:rsidRDefault="0070291A" w:rsidP="00D81DA2">
      <w:pPr>
        <w:spacing w:after="0" w:line="240" w:lineRule="auto"/>
      </w:pPr>
      <w:r>
        <w:separator/>
      </w:r>
    </w:p>
  </w:endnote>
  <w:endnote w:type="continuationSeparator" w:id="0">
    <w:p w14:paraId="0CD63A35" w14:textId="77777777" w:rsidR="0070291A" w:rsidRDefault="0070291A" w:rsidP="00D8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1212D" w14:textId="542448A4" w:rsidR="00D81DA2" w:rsidRDefault="00D81DA2">
    <w:pPr>
      <w:tabs>
        <w:tab w:val="center" w:pos="4550"/>
        <w:tab w:val="left" w:pos="5818"/>
      </w:tabs>
      <w:ind w:right="260"/>
      <w:jc w:val="right"/>
      <w:rPr>
        <w:color w:val="222A35" w:themeColor="text2" w:themeShade="80"/>
        <w:sz w:val="24"/>
        <w:szCs w:val="24"/>
      </w:rPr>
    </w:pPr>
    <w:r>
      <w:rPr>
        <w:noProof/>
        <w:color w:val="8496B0" w:themeColor="text2" w:themeTint="99"/>
        <w:spacing w:val="60"/>
        <w:sz w:val="24"/>
        <w:szCs w:val="24"/>
        <w:lang w:val="en-US"/>
      </w:rPr>
      <w:drawing>
        <wp:anchor distT="0" distB="0" distL="114300" distR="114300" simplePos="0" relativeHeight="251661312" behindDoc="1" locked="0" layoutInCell="1" allowOverlap="1" wp14:anchorId="20B04BFE" wp14:editId="00351865">
          <wp:simplePos x="0" y="0"/>
          <wp:positionH relativeFrom="margin">
            <wp:align>center</wp:align>
          </wp:positionH>
          <wp:positionV relativeFrom="paragraph">
            <wp:posOffset>-1270</wp:posOffset>
          </wp:positionV>
          <wp:extent cx="6414462" cy="91186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6414462" cy="911860"/>
                  </a:xfrm>
                  <a:prstGeom prst="rect">
                    <a:avLst/>
                  </a:prstGeom>
                </pic:spPr>
              </pic:pic>
            </a:graphicData>
          </a:graphic>
          <wp14:sizeRelH relativeFrom="margin">
            <wp14:pctWidth>0</wp14:pctWidth>
          </wp14:sizeRelH>
          <wp14:sizeRelV relativeFrom="margin">
            <wp14:pctHeight>0</wp14:pctHeight>
          </wp14:sizeRelV>
        </wp:anchor>
      </w:drawing>
    </w: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0F6ABD" w:rsidRPr="000F6ABD">
      <w:rPr>
        <w:noProof/>
        <w:color w:val="323E4F" w:themeColor="text2" w:themeShade="BF"/>
        <w:sz w:val="24"/>
        <w:szCs w:val="24"/>
        <w:lang w:val="es-ES"/>
      </w:rPr>
      <w:t>5</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0F6ABD" w:rsidRPr="000F6ABD">
      <w:rPr>
        <w:noProof/>
        <w:color w:val="323E4F" w:themeColor="text2" w:themeShade="BF"/>
        <w:sz w:val="24"/>
        <w:szCs w:val="24"/>
        <w:lang w:val="es-ES"/>
      </w:rPr>
      <w:t>6</w:t>
    </w:r>
    <w:r>
      <w:rPr>
        <w:color w:val="323E4F" w:themeColor="text2" w:themeShade="BF"/>
        <w:sz w:val="24"/>
        <w:szCs w:val="24"/>
      </w:rPr>
      <w:fldChar w:fldCharType="end"/>
    </w:r>
  </w:p>
  <w:p w14:paraId="5E376A14" w14:textId="77DCE9C5" w:rsidR="00D81DA2" w:rsidRDefault="00D81DA2" w:rsidP="003E4D1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D3116" w14:textId="77777777" w:rsidR="0070291A" w:rsidRDefault="0070291A" w:rsidP="00D81DA2">
      <w:pPr>
        <w:spacing w:after="0" w:line="240" w:lineRule="auto"/>
      </w:pPr>
      <w:r>
        <w:separator/>
      </w:r>
    </w:p>
  </w:footnote>
  <w:footnote w:type="continuationSeparator" w:id="0">
    <w:p w14:paraId="02D142A4" w14:textId="77777777" w:rsidR="0070291A" w:rsidRDefault="0070291A" w:rsidP="00D81DA2">
      <w:pPr>
        <w:spacing w:after="0" w:line="240" w:lineRule="auto"/>
      </w:pPr>
      <w:r>
        <w:continuationSeparator/>
      </w:r>
    </w:p>
  </w:footnote>
  <w:footnote w:id="1">
    <w:p w14:paraId="5BD18C35" w14:textId="77777777" w:rsidR="00914A24" w:rsidRPr="00AD77C5" w:rsidRDefault="00914A24" w:rsidP="00914A24">
      <w:pPr>
        <w:pStyle w:val="NormalWeb"/>
        <w:shd w:val="clear" w:color="auto" w:fill="FFFFFF"/>
        <w:spacing w:before="0" w:beforeAutospacing="0" w:after="0" w:afterAutospacing="0"/>
        <w:jc w:val="both"/>
        <w:rPr>
          <w:rFonts w:ascii="Bookman Old Style" w:hAnsi="Bookman Old Style"/>
          <w:color w:val="000000"/>
          <w:sz w:val="16"/>
          <w:szCs w:val="16"/>
          <w:lang w:val="en-US" w:eastAsia="es-ES_tradnl"/>
        </w:rPr>
      </w:pPr>
      <w:r w:rsidRPr="00AD77C5">
        <w:rPr>
          <w:rStyle w:val="Refdenotaalpie"/>
          <w:rFonts w:ascii="Bookman Old Style" w:hAnsi="Bookman Old Style"/>
          <w:sz w:val="16"/>
          <w:szCs w:val="16"/>
        </w:rPr>
        <w:footnoteRef/>
      </w:r>
      <w:r w:rsidRPr="00AD77C5">
        <w:rPr>
          <w:rFonts w:ascii="Bookman Old Style" w:hAnsi="Bookman Old Style"/>
          <w:sz w:val="16"/>
          <w:szCs w:val="16"/>
          <w:lang w:val="en-US"/>
        </w:rPr>
        <w:t xml:space="preserve"> WORLD ECONOMIC OUTLOOK, Countering the Cost-of-Living Crisis. </w:t>
      </w:r>
      <w:r w:rsidRPr="00AD77C5">
        <w:rPr>
          <w:rFonts w:ascii="Bookman Old Style" w:hAnsi="Bookman Old Style"/>
          <w:i/>
          <w:sz w:val="16"/>
          <w:szCs w:val="16"/>
          <w:lang w:val="en-US"/>
        </w:rPr>
        <w:t xml:space="preserve">International Monetary Fund, 2022 OCT. </w:t>
      </w:r>
      <w:proofErr w:type="spellStart"/>
      <w:r w:rsidRPr="00AD77C5">
        <w:rPr>
          <w:rFonts w:ascii="Bookman Old Style" w:hAnsi="Bookman Old Style"/>
          <w:sz w:val="16"/>
          <w:szCs w:val="16"/>
          <w:lang w:val="en-US"/>
        </w:rPr>
        <w:t>Tomado</w:t>
      </w:r>
      <w:proofErr w:type="spellEnd"/>
      <w:r w:rsidRPr="00AD77C5">
        <w:rPr>
          <w:rFonts w:ascii="Bookman Old Style" w:hAnsi="Bookman Old Style"/>
          <w:sz w:val="16"/>
          <w:szCs w:val="16"/>
          <w:lang w:val="en-US"/>
        </w:rPr>
        <w:t xml:space="preserve"> de la </w:t>
      </w:r>
      <w:proofErr w:type="spellStart"/>
      <w:r w:rsidRPr="00AD77C5">
        <w:rPr>
          <w:rFonts w:ascii="Bookman Old Style" w:hAnsi="Bookman Old Style"/>
          <w:sz w:val="16"/>
          <w:szCs w:val="16"/>
          <w:lang w:val="en-US"/>
        </w:rPr>
        <w:t>página</w:t>
      </w:r>
      <w:proofErr w:type="spellEnd"/>
      <w:r w:rsidRPr="00AD77C5">
        <w:rPr>
          <w:rFonts w:ascii="Bookman Old Style" w:hAnsi="Bookman Old Style"/>
          <w:sz w:val="16"/>
          <w:szCs w:val="16"/>
          <w:lang w:val="en-US"/>
        </w:rPr>
        <w:t xml:space="preserve"> </w:t>
      </w:r>
      <w:r w:rsidRPr="00AD77C5">
        <w:rPr>
          <w:rFonts w:ascii="Bookman Old Style" w:hAnsi="Bookman Old Style"/>
          <w:i/>
          <w:sz w:val="16"/>
          <w:szCs w:val="16"/>
          <w:lang w:val="en-US"/>
        </w:rPr>
        <w:t>https://www.imf.org/en/Publications/WEO/Issues/2022/10/11/world-economic-outlook-october-2022</w:t>
      </w:r>
      <w:r w:rsidRPr="00AD77C5">
        <w:rPr>
          <w:rFonts w:ascii="Bookman Old Style" w:hAnsi="Bookman Old Style"/>
          <w:sz w:val="16"/>
          <w:szCs w:val="16"/>
          <w:lang w:val="en-US"/>
        </w:rPr>
        <w:t xml:space="preserve"> </w:t>
      </w:r>
      <w:r w:rsidRPr="00AD77C5">
        <w:rPr>
          <w:rFonts w:ascii="Bookman Old Style" w:hAnsi="Bookman Old Style"/>
          <w:i/>
          <w:sz w:val="16"/>
          <w:szCs w:val="16"/>
          <w:lang w:val="en-US"/>
        </w:rPr>
        <w:t>“</w:t>
      </w:r>
      <w:r w:rsidRPr="00AD77C5">
        <w:rPr>
          <w:rFonts w:ascii="Bookman Old Style" w:hAnsi="Bookman Old Style"/>
          <w:color w:val="000000"/>
          <w:sz w:val="16"/>
          <w:szCs w:val="16"/>
          <w:lang w:val="en-US"/>
        </w:rPr>
        <w:t>Global economic activity is experiencing a broad-based and sharper-than-expected slowdown, with inflation higher than seen in several decades. The cost-of-living crisis, tightening financial conditions in most regions, Russia’s invasion of Ukraine, and the lingering COVID-19 pandemic all weigh heavily on the outlook. Global growth is forecast to slow from 6.0 percent in 2021 to 3.2 percent in 2022 and 2.7 percent in 2023. This is the weakest growth profile since 2001 except for the global financial crisis and the acute phase of the COVID-19 pandemic.</w:t>
      </w:r>
    </w:p>
    <w:p w14:paraId="10FCAE5D" w14:textId="77777777" w:rsidR="00914A24" w:rsidRPr="00AD77C5" w:rsidRDefault="00914A24" w:rsidP="00914A24">
      <w:pPr>
        <w:pStyle w:val="NormalWeb"/>
        <w:shd w:val="clear" w:color="auto" w:fill="FFFFFF"/>
        <w:spacing w:before="0" w:beforeAutospacing="0" w:after="0" w:afterAutospacing="0"/>
        <w:jc w:val="both"/>
        <w:rPr>
          <w:rFonts w:ascii="Bookman Old Style" w:hAnsi="Bookman Old Style"/>
          <w:color w:val="000000"/>
          <w:sz w:val="16"/>
          <w:szCs w:val="16"/>
          <w:lang w:val="en-US"/>
        </w:rPr>
      </w:pPr>
      <w:r w:rsidRPr="00AD77C5">
        <w:rPr>
          <w:rFonts w:ascii="Bookman Old Style" w:hAnsi="Bookman Old Style"/>
          <w:color w:val="000000"/>
          <w:sz w:val="16"/>
          <w:szCs w:val="16"/>
          <w:lang w:val="en-US"/>
        </w:rPr>
        <w:t>Global inflation is forecast to rise from 4.7 percent in 2021 to 8.8 percent in 2022 but to decline to 6.5 percent in 2023 and to 4.1 percent by 2024. Monetary policy should stay the course to restore price stability, and fiscal policy should aim to alleviate the cost-of-living pressures while maintaining a sufficiently tight stance aligned with monetary policy. Structural reforms can further support the fight against inflation by improving productivity and easing supply constraints, while multilateral cooperation is necessary for fast-tracking the green energy transition and preventing fragmentation.”</w:t>
      </w:r>
    </w:p>
    <w:p w14:paraId="48B9E8D9" w14:textId="77777777" w:rsidR="00914A24" w:rsidRPr="00351A96" w:rsidRDefault="00914A24" w:rsidP="00914A24">
      <w:pPr>
        <w:pStyle w:val="Textonotapie"/>
        <w:rPr>
          <w:i/>
          <w:lang w:val="en-US"/>
        </w:rPr>
      </w:pPr>
    </w:p>
  </w:footnote>
  <w:footnote w:id="2">
    <w:p w14:paraId="1F26961D" w14:textId="77777777" w:rsidR="00914A24" w:rsidRDefault="00914A24" w:rsidP="00914A24">
      <w:pPr>
        <w:pStyle w:val="Textonotapie"/>
      </w:pPr>
      <w:r>
        <w:rPr>
          <w:rStyle w:val="Refdenotaalpie"/>
        </w:rPr>
        <w:footnoteRef/>
      </w:r>
      <w:r>
        <w:t xml:space="preserve"> Tomado de </w:t>
      </w:r>
      <w:r w:rsidRPr="00BE01C3">
        <w:t>https://datosmacro.expansion.com/ipc-paises/colombia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D2CD7" w14:textId="19F215BD" w:rsidR="00D81DA2" w:rsidRDefault="003E4D13">
    <w:pPr>
      <w:pStyle w:val="Encabezado"/>
    </w:pPr>
    <w:r>
      <w:rPr>
        <w:noProof/>
        <w:lang w:val="en-US"/>
      </w:rPr>
      <w:drawing>
        <wp:anchor distT="0" distB="0" distL="114300" distR="114300" simplePos="0" relativeHeight="251659264" behindDoc="1" locked="0" layoutInCell="1" allowOverlap="1" wp14:anchorId="10155EEC" wp14:editId="7F5F62CD">
          <wp:simplePos x="0" y="0"/>
          <wp:positionH relativeFrom="page">
            <wp:align>right</wp:align>
          </wp:positionH>
          <wp:positionV relativeFrom="paragraph">
            <wp:posOffset>-449580</wp:posOffset>
          </wp:positionV>
          <wp:extent cx="7762875" cy="10045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62875" cy="10046073"/>
                  </a:xfrm>
                  <a:prstGeom prst="rect">
                    <a:avLst/>
                  </a:prstGeom>
                </pic:spPr>
              </pic:pic>
            </a:graphicData>
          </a:graphic>
          <wp14:sizeRelH relativeFrom="margin">
            <wp14:pctWidth>0</wp14:pctWidth>
          </wp14:sizeRelH>
          <wp14:sizeRelV relativeFrom="margin">
            <wp14:pctHeight>0</wp14:pctHeight>
          </wp14:sizeRelV>
        </wp:anchor>
      </w:drawing>
    </w:r>
    <w:r w:rsidR="00D81DA2">
      <w:rPr>
        <w:noProof/>
        <w:lang w:val="en-US"/>
      </w:rPr>
      <w:drawing>
        <wp:anchor distT="0" distB="0" distL="114300" distR="114300" simplePos="0" relativeHeight="251660288" behindDoc="1" locked="0" layoutInCell="1" allowOverlap="1" wp14:anchorId="4F274029" wp14:editId="41A20324">
          <wp:simplePos x="0" y="0"/>
          <wp:positionH relativeFrom="page">
            <wp:posOffset>-153681</wp:posOffset>
          </wp:positionH>
          <wp:positionV relativeFrom="paragraph">
            <wp:posOffset>-449580</wp:posOffset>
          </wp:positionV>
          <wp:extent cx="7906396" cy="11239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7986891" cy="11353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47082"/>
    <w:multiLevelType w:val="hybridMultilevel"/>
    <w:tmpl w:val="8A4E5FE8"/>
    <w:lvl w:ilvl="0" w:tplc="E77636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1DB59FF"/>
    <w:multiLevelType w:val="hybridMultilevel"/>
    <w:tmpl w:val="61F43A14"/>
    <w:lvl w:ilvl="0" w:tplc="4C92F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E9E0258"/>
    <w:multiLevelType w:val="hybridMultilevel"/>
    <w:tmpl w:val="46581E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007008A"/>
    <w:multiLevelType w:val="hybridMultilevel"/>
    <w:tmpl w:val="607A9D9C"/>
    <w:lvl w:ilvl="0" w:tplc="0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32"/>
    <w:rsid w:val="00033913"/>
    <w:rsid w:val="0008087C"/>
    <w:rsid w:val="000819AC"/>
    <w:rsid w:val="0008614B"/>
    <w:rsid w:val="000D02A2"/>
    <w:rsid w:val="000F6ABD"/>
    <w:rsid w:val="000F7EAB"/>
    <w:rsid w:val="0021034E"/>
    <w:rsid w:val="00215533"/>
    <w:rsid w:val="00274F9C"/>
    <w:rsid w:val="002922F0"/>
    <w:rsid w:val="0031122C"/>
    <w:rsid w:val="003145C7"/>
    <w:rsid w:val="003E4D13"/>
    <w:rsid w:val="00427991"/>
    <w:rsid w:val="00435B6D"/>
    <w:rsid w:val="004B167A"/>
    <w:rsid w:val="004B29B9"/>
    <w:rsid w:val="004C5F8B"/>
    <w:rsid w:val="004C640A"/>
    <w:rsid w:val="0051780A"/>
    <w:rsid w:val="00567596"/>
    <w:rsid w:val="0062164F"/>
    <w:rsid w:val="00652339"/>
    <w:rsid w:val="0070291A"/>
    <w:rsid w:val="00703953"/>
    <w:rsid w:val="00727741"/>
    <w:rsid w:val="007723BB"/>
    <w:rsid w:val="007E1086"/>
    <w:rsid w:val="008053BC"/>
    <w:rsid w:val="00824B7A"/>
    <w:rsid w:val="0084332B"/>
    <w:rsid w:val="008828F6"/>
    <w:rsid w:val="0088482E"/>
    <w:rsid w:val="00893CF2"/>
    <w:rsid w:val="008E5E02"/>
    <w:rsid w:val="00907A32"/>
    <w:rsid w:val="00914A24"/>
    <w:rsid w:val="00955959"/>
    <w:rsid w:val="0096041F"/>
    <w:rsid w:val="009B6E29"/>
    <w:rsid w:val="00A56884"/>
    <w:rsid w:val="00A80078"/>
    <w:rsid w:val="00AA1CC5"/>
    <w:rsid w:val="00AA4A34"/>
    <w:rsid w:val="00AB2006"/>
    <w:rsid w:val="00BE298F"/>
    <w:rsid w:val="00BE3BAD"/>
    <w:rsid w:val="00C04869"/>
    <w:rsid w:val="00C24231"/>
    <w:rsid w:val="00C77C55"/>
    <w:rsid w:val="00CC2246"/>
    <w:rsid w:val="00CF0AE8"/>
    <w:rsid w:val="00CF7072"/>
    <w:rsid w:val="00D16992"/>
    <w:rsid w:val="00D81DA2"/>
    <w:rsid w:val="00D824AF"/>
    <w:rsid w:val="00D942C7"/>
    <w:rsid w:val="00DC1DA8"/>
    <w:rsid w:val="00E2298E"/>
    <w:rsid w:val="00E717E0"/>
    <w:rsid w:val="00E83FFF"/>
    <w:rsid w:val="00E946F8"/>
    <w:rsid w:val="00F4455F"/>
    <w:rsid w:val="00F56CE2"/>
    <w:rsid w:val="00F63293"/>
    <w:rsid w:val="00F6783F"/>
    <w:rsid w:val="00F700F8"/>
    <w:rsid w:val="00F7197C"/>
    <w:rsid w:val="00F822BC"/>
    <w:rsid w:val="00F90FE6"/>
    <w:rsid w:val="00FC2484"/>
    <w:rsid w:val="00FE72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DEE6C"/>
  <w15:chartTrackingRefBased/>
  <w15:docId w15:val="{54AE65DB-C71E-45E3-9E24-53F05541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A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1D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1DA2"/>
  </w:style>
  <w:style w:type="paragraph" w:styleId="Piedepgina">
    <w:name w:val="footer"/>
    <w:basedOn w:val="Normal"/>
    <w:link w:val="PiedepginaCar"/>
    <w:uiPriority w:val="99"/>
    <w:unhideWhenUsed/>
    <w:rsid w:val="00D81D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1DA2"/>
  </w:style>
  <w:style w:type="character" w:styleId="Hipervnculo">
    <w:name w:val="Hyperlink"/>
    <w:basedOn w:val="Fuentedeprrafopredeter"/>
    <w:uiPriority w:val="99"/>
    <w:unhideWhenUsed/>
    <w:rsid w:val="0062164F"/>
    <w:rPr>
      <w:color w:val="0563C1" w:themeColor="hyperlink"/>
      <w:u w:val="single"/>
    </w:rPr>
  </w:style>
  <w:style w:type="paragraph" w:styleId="Sinespaciado">
    <w:name w:val="No Spacing"/>
    <w:uiPriority w:val="1"/>
    <w:qFormat/>
    <w:rsid w:val="0062164F"/>
    <w:pPr>
      <w:spacing w:after="0" w:line="240" w:lineRule="auto"/>
    </w:pPr>
  </w:style>
  <w:style w:type="character" w:customStyle="1" w:styleId="Mencinsinresolver1">
    <w:name w:val="Mención sin resolver1"/>
    <w:basedOn w:val="Fuentedeprrafopredeter"/>
    <w:uiPriority w:val="99"/>
    <w:semiHidden/>
    <w:unhideWhenUsed/>
    <w:rsid w:val="00893CF2"/>
    <w:rPr>
      <w:color w:val="605E5C"/>
      <w:shd w:val="clear" w:color="auto" w:fill="E1DFDD"/>
    </w:rPr>
  </w:style>
  <w:style w:type="paragraph" w:styleId="Prrafodelista">
    <w:name w:val="List Paragraph"/>
    <w:basedOn w:val="Normal"/>
    <w:uiPriority w:val="34"/>
    <w:qFormat/>
    <w:rsid w:val="00274F9C"/>
    <w:pPr>
      <w:spacing w:after="0" w:line="240" w:lineRule="auto"/>
      <w:ind w:left="720"/>
      <w:contextualSpacing/>
    </w:pPr>
    <w:rPr>
      <w:sz w:val="24"/>
      <w:szCs w:val="24"/>
      <w:lang w:val="es-ES"/>
    </w:rPr>
  </w:style>
  <w:style w:type="paragraph" w:styleId="Textonotapie">
    <w:name w:val="footnote text"/>
    <w:aliases w:val="MI NOTA PIE DE PÁGINA (TEXTO),Car,ft"/>
    <w:basedOn w:val="Normal"/>
    <w:link w:val="TextonotapieCar"/>
    <w:uiPriority w:val="99"/>
    <w:unhideWhenUsed/>
    <w:qFormat/>
    <w:rsid w:val="00274F9C"/>
    <w:pPr>
      <w:spacing w:after="0" w:line="240" w:lineRule="auto"/>
    </w:pPr>
    <w:rPr>
      <w:sz w:val="20"/>
      <w:szCs w:val="20"/>
    </w:rPr>
  </w:style>
  <w:style w:type="character" w:customStyle="1" w:styleId="TextonotapieCar">
    <w:name w:val="Texto nota pie Car"/>
    <w:aliases w:val="MI NOTA PIE DE PÁGINA (TEXTO) Car,Car Car,ft Car"/>
    <w:basedOn w:val="Fuentedeprrafopredeter"/>
    <w:link w:val="Textonotapie"/>
    <w:uiPriority w:val="99"/>
    <w:rsid w:val="00274F9C"/>
    <w:rPr>
      <w:sz w:val="20"/>
      <w:szCs w:val="20"/>
    </w:rPr>
  </w:style>
  <w:style w:type="character" w:styleId="Refdenotaalpie">
    <w:name w:val="footnote reference"/>
    <w:aliases w:val="Texto de nota al pie,Ref. de nota al pie 2,Appel note de bas de page,Footnotes refss,Footnote number,referencia nota al pie,BVI fnr,f,4_G,16 Point,Superscript 6 Point,Texto nota al pie,Pie de Página,FC,Texto de nota al pi,Pie de Pàgi"/>
    <w:basedOn w:val="Fuentedeprrafopredeter"/>
    <w:uiPriority w:val="99"/>
    <w:unhideWhenUsed/>
    <w:qFormat/>
    <w:rsid w:val="00274F9C"/>
    <w:rPr>
      <w:vertAlign w:val="superscript"/>
    </w:rPr>
  </w:style>
  <w:style w:type="character" w:styleId="Textoennegrita">
    <w:name w:val="Strong"/>
    <w:basedOn w:val="Fuentedeprrafopredeter"/>
    <w:uiPriority w:val="22"/>
    <w:qFormat/>
    <w:rsid w:val="00DC1DA8"/>
    <w:rPr>
      <w:b/>
      <w:bCs/>
    </w:rPr>
  </w:style>
  <w:style w:type="character" w:styleId="nfasis">
    <w:name w:val="Emphasis"/>
    <w:basedOn w:val="Fuentedeprrafopredeter"/>
    <w:uiPriority w:val="20"/>
    <w:qFormat/>
    <w:rsid w:val="00914A24"/>
    <w:rPr>
      <w:i/>
      <w:iCs/>
    </w:rPr>
  </w:style>
  <w:style w:type="paragraph" w:styleId="NormalWeb">
    <w:name w:val="Normal (Web)"/>
    <w:basedOn w:val="Normal"/>
    <w:uiPriority w:val="99"/>
    <w:unhideWhenUsed/>
    <w:rsid w:val="00914A2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31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421A5-85A1-4C75-B76F-CFC5FC44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1224</Words>
  <Characters>6732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Jaiver Rojas</dc:creator>
  <cp:keywords/>
  <dc:description/>
  <cp:lastModifiedBy>Edison Vladimir Olaya Mancipe</cp:lastModifiedBy>
  <cp:revision>3</cp:revision>
  <dcterms:created xsi:type="dcterms:W3CDTF">2022-12-15T20:00:00Z</dcterms:created>
  <dcterms:modified xsi:type="dcterms:W3CDTF">2022-12-15T20:03:00Z</dcterms:modified>
</cp:coreProperties>
</file>