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2CD" w:rsidRDefault="009352CD" w:rsidP="007E526A">
      <w:pPr>
        <w:jc w:val="both"/>
        <w:rPr>
          <w:rFonts w:ascii="Arial" w:hAnsi="Arial" w:cs="Arial"/>
          <w:sz w:val="24"/>
          <w:szCs w:val="24"/>
        </w:rPr>
      </w:pPr>
      <w:bookmarkStart w:id="0" w:name="_GoBack"/>
      <w:bookmarkEnd w:id="0"/>
    </w:p>
    <w:p w:rsidR="007E526A" w:rsidRPr="00C4684C" w:rsidRDefault="007E526A" w:rsidP="007E526A">
      <w:pPr>
        <w:jc w:val="both"/>
        <w:rPr>
          <w:rFonts w:ascii="Arial" w:hAnsi="Arial" w:cs="Arial"/>
          <w:sz w:val="24"/>
          <w:szCs w:val="24"/>
        </w:rPr>
      </w:pPr>
      <w:r w:rsidRPr="00C4684C">
        <w:rPr>
          <w:rFonts w:ascii="Arial" w:hAnsi="Arial" w:cs="Arial"/>
          <w:sz w:val="24"/>
          <w:szCs w:val="24"/>
        </w:rPr>
        <w:t>Bogotá D.C., Agosto</w:t>
      </w:r>
      <w:r w:rsidR="00D24CB1">
        <w:rPr>
          <w:rFonts w:ascii="Arial" w:hAnsi="Arial" w:cs="Arial"/>
          <w:sz w:val="24"/>
          <w:szCs w:val="24"/>
        </w:rPr>
        <w:t xml:space="preserve"> </w:t>
      </w:r>
      <w:r w:rsidRPr="00C4684C">
        <w:rPr>
          <w:rFonts w:ascii="Arial" w:hAnsi="Arial" w:cs="Arial"/>
          <w:sz w:val="24"/>
          <w:szCs w:val="24"/>
        </w:rPr>
        <w:t xml:space="preserve"> de 2016</w:t>
      </w:r>
    </w:p>
    <w:p w:rsidR="007E526A" w:rsidRDefault="007E526A" w:rsidP="007E526A">
      <w:pPr>
        <w:jc w:val="both"/>
        <w:rPr>
          <w:rFonts w:ascii="Arial" w:hAnsi="Arial" w:cs="Arial"/>
          <w:sz w:val="24"/>
          <w:szCs w:val="24"/>
        </w:rPr>
      </w:pPr>
    </w:p>
    <w:p w:rsidR="00CE3AA6" w:rsidRPr="00C4684C" w:rsidRDefault="00CE3AA6" w:rsidP="007E526A">
      <w:pPr>
        <w:jc w:val="both"/>
        <w:rPr>
          <w:rFonts w:ascii="Arial" w:hAnsi="Arial" w:cs="Arial"/>
          <w:sz w:val="24"/>
          <w:szCs w:val="24"/>
        </w:rPr>
      </w:pPr>
    </w:p>
    <w:p w:rsidR="007E526A" w:rsidRPr="00C4684C" w:rsidRDefault="007E526A" w:rsidP="007E526A">
      <w:pPr>
        <w:spacing w:after="0" w:line="240" w:lineRule="auto"/>
        <w:rPr>
          <w:rFonts w:ascii="Arial" w:hAnsi="Arial" w:cs="Arial"/>
          <w:sz w:val="24"/>
          <w:szCs w:val="24"/>
        </w:rPr>
      </w:pPr>
      <w:r w:rsidRPr="00C4684C">
        <w:rPr>
          <w:rFonts w:ascii="Arial" w:hAnsi="Arial" w:cs="Arial"/>
          <w:sz w:val="24"/>
          <w:szCs w:val="24"/>
        </w:rPr>
        <w:t>Doctor</w:t>
      </w:r>
    </w:p>
    <w:p w:rsidR="007E526A" w:rsidRPr="00C4684C" w:rsidRDefault="00732777" w:rsidP="007E526A">
      <w:pPr>
        <w:tabs>
          <w:tab w:val="left" w:pos="4536"/>
          <w:tab w:val="left" w:pos="4820"/>
        </w:tabs>
        <w:spacing w:after="0" w:line="240" w:lineRule="auto"/>
        <w:rPr>
          <w:rFonts w:ascii="Arial" w:hAnsi="Arial" w:cs="Arial"/>
          <w:b/>
          <w:sz w:val="24"/>
          <w:szCs w:val="24"/>
        </w:rPr>
      </w:pPr>
      <w:r>
        <w:rPr>
          <w:rFonts w:ascii="Arial" w:hAnsi="Arial" w:cs="Arial"/>
          <w:b/>
          <w:sz w:val="24"/>
          <w:szCs w:val="24"/>
        </w:rPr>
        <w:t>JORGE HUMBERTO MANTILLA SERRANO</w:t>
      </w:r>
    </w:p>
    <w:p w:rsidR="007E526A" w:rsidRPr="00C4684C" w:rsidRDefault="007E526A" w:rsidP="007E526A">
      <w:pPr>
        <w:spacing w:after="0" w:line="240" w:lineRule="auto"/>
        <w:rPr>
          <w:rFonts w:ascii="Arial" w:hAnsi="Arial" w:cs="Arial"/>
          <w:sz w:val="24"/>
          <w:szCs w:val="24"/>
        </w:rPr>
      </w:pPr>
      <w:r w:rsidRPr="00C4684C">
        <w:rPr>
          <w:rFonts w:ascii="Arial" w:hAnsi="Arial" w:cs="Arial"/>
          <w:sz w:val="24"/>
          <w:szCs w:val="24"/>
        </w:rPr>
        <w:t>Secretario General</w:t>
      </w:r>
    </w:p>
    <w:p w:rsidR="007E526A" w:rsidRPr="00C4684C" w:rsidRDefault="00732777" w:rsidP="007E526A">
      <w:pPr>
        <w:spacing w:after="0" w:line="240" w:lineRule="auto"/>
        <w:rPr>
          <w:rFonts w:ascii="Arial" w:hAnsi="Arial" w:cs="Arial"/>
          <w:sz w:val="24"/>
          <w:szCs w:val="24"/>
        </w:rPr>
      </w:pPr>
      <w:r>
        <w:rPr>
          <w:rFonts w:ascii="Arial" w:hAnsi="Arial" w:cs="Arial"/>
          <w:sz w:val="24"/>
          <w:szCs w:val="24"/>
        </w:rPr>
        <w:t>Cámara de Representantes</w:t>
      </w:r>
    </w:p>
    <w:p w:rsidR="007E526A" w:rsidRPr="00C4684C" w:rsidRDefault="007E526A" w:rsidP="007E526A">
      <w:pPr>
        <w:spacing w:after="0" w:line="240" w:lineRule="auto"/>
        <w:rPr>
          <w:rFonts w:ascii="Arial" w:hAnsi="Arial" w:cs="Arial"/>
          <w:sz w:val="24"/>
          <w:szCs w:val="24"/>
        </w:rPr>
      </w:pPr>
      <w:r w:rsidRPr="00C4684C">
        <w:rPr>
          <w:rFonts w:ascii="Arial" w:hAnsi="Arial" w:cs="Arial"/>
          <w:sz w:val="24"/>
          <w:szCs w:val="24"/>
        </w:rPr>
        <w:t>Ciudad</w:t>
      </w:r>
    </w:p>
    <w:p w:rsidR="007E526A" w:rsidRPr="00C4684C" w:rsidRDefault="007E526A" w:rsidP="007E526A">
      <w:pPr>
        <w:tabs>
          <w:tab w:val="left" w:pos="4253"/>
        </w:tabs>
        <w:spacing w:after="0" w:line="240" w:lineRule="auto"/>
        <w:rPr>
          <w:rFonts w:ascii="Arial" w:hAnsi="Arial" w:cs="Arial"/>
          <w:sz w:val="24"/>
          <w:szCs w:val="24"/>
        </w:rPr>
      </w:pPr>
      <w:r w:rsidRPr="00C4684C">
        <w:rPr>
          <w:rFonts w:ascii="Arial" w:hAnsi="Arial" w:cs="Arial"/>
          <w:sz w:val="24"/>
          <w:szCs w:val="24"/>
        </w:rPr>
        <w:t xml:space="preserve">                                            </w:t>
      </w:r>
    </w:p>
    <w:p w:rsidR="007E526A" w:rsidRPr="00C4684C" w:rsidRDefault="007E526A" w:rsidP="007E526A">
      <w:pPr>
        <w:spacing w:after="0" w:line="240" w:lineRule="atLeast"/>
        <w:jc w:val="both"/>
        <w:rPr>
          <w:rFonts w:ascii="Arial" w:hAnsi="Arial" w:cs="Arial"/>
          <w:sz w:val="24"/>
          <w:szCs w:val="24"/>
        </w:rPr>
      </w:pPr>
    </w:p>
    <w:p w:rsidR="007E526A" w:rsidRPr="00C4684C" w:rsidRDefault="007E526A" w:rsidP="007E526A">
      <w:pPr>
        <w:spacing w:after="0" w:line="240" w:lineRule="atLeast"/>
        <w:jc w:val="both"/>
        <w:rPr>
          <w:rFonts w:ascii="Arial" w:hAnsi="Arial" w:cs="Arial"/>
          <w:sz w:val="24"/>
          <w:szCs w:val="24"/>
        </w:rPr>
      </w:pPr>
    </w:p>
    <w:p w:rsidR="007E526A" w:rsidRPr="007E526A" w:rsidRDefault="007E526A" w:rsidP="007E526A">
      <w:pPr>
        <w:rPr>
          <w:rFonts w:cstheme="minorHAnsi"/>
          <w:b/>
          <w:sz w:val="24"/>
          <w:szCs w:val="24"/>
        </w:rPr>
      </w:pPr>
      <w:r w:rsidRPr="00C4684C">
        <w:rPr>
          <w:rFonts w:ascii="Arial" w:hAnsi="Arial" w:cs="Arial"/>
          <w:sz w:val="24"/>
          <w:szCs w:val="24"/>
        </w:rPr>
        <w:t>Asunto:</w:t>
      </w:r>
      <w:r w:rsidRPr="00C4684C">
        <w:rPr>
          <w:rFonts w:cstheme="minorHAnsi"/>
          <w:b/>
          <w:sz w:val="24"/>
          <w:szCs w:val="24"/>
        </w:rPr>
        <w:t xml:space="preserve"> </w:t>
      </w:r>
      <w:r w:rsidRPr="007E526A">
        <w:rPr>
          <w:rFonts w:cstheme="minorHAnsi"/>
          <w:b/>
          <w:sz w:val="24"/>
          <w:szCs w:val="24"/>
        </w:rPr>
        <w:t>Proyecto de Ley No             “Por medio de la cual se modifica la Ley 426 de 1.998”</w:t>
      </w:r>
    </w:p>
    <w:p w:rsidR="007E526A" w:rsidRPr="00C4684C" w:rsidRDefault="007E526A" w:rsidP="007E526A">
      <w:pPr>
        <w:spacing w:after="0" w:line="240" w:lineRule="auto"/>
        <w:jc w:val="right"/>
        <w:rPr>
          <w:rFonts w:ascii="Arial" w:hAnsi="Arial" w:cs="Arial"/>
          <w:sz w:val="24"/>
          <w:szCs w:val="24"/>
        </w:rPr>
      </w:pPr>
      <w:r w:rsidRPr="00C4684C">
        <w:rPr>
          <w:rFonts w:ascii="Arial" w:eastAsia="Times New Roman" w:hAnsi="Arial" w:cs="Arial"/>
          <w:sz w:val="24"/>
          <w:szCs w:val="24"/>
          <w:lang w:eastAsia="es-CO"/>
        </w:rPr>
        <w:t xml:space="preserve">     </w:t>
      </w:r>
    </w:p>
    <w:p w:rsidR="007E526A" w:rsidRPr="00C4684C" w:rsidRDefault="007E526A" w:rsidP="007E526A">
      <w:pPr>
        <w:tabs>
          <w:tab w:val="left" w:pos="5835"/>
        </w:tabs>
        <w:spacing w:after="0" w:line="240" w:lineRule="auto"/>
        <w:rPr>
          <w:rFonts w:ascii="Arial" w:hAnsi="Arial" w:cs="Arial"/>
          <w:sz w:val="24"/>
          <w:szCs w:val="24"/>
        </w:rPr>
      </w:pPr>
      <w:r w:rsidRPr="00C4684C">
        <w:rPr>
          <w:rFonts w:ascii="Arial" w:hAnsi="Arial" w:cs="Arial"/>
          <w:sz w:val="24"/>
          <w:szCs w:val="24"/>
        </w:rPr>
        <w:tab/>
      </w:r>
    </w:p>
    <w:p w:rsidR="007E526A" w:rsidRPr="00C4684C" w:rsidRDefault="007E526A" w:rsidP="007E526A">
      <w:pPr>
        <w:spacing w:after="0" w:line="240" w:lineRule="auto"/>
        <w:rPr>
          <w:rFonts w:ascii="Arial" w:hAnsi="Arial" w:cs="Arial"/>
          <w:sz w:val="24"/>
          <w:szCs w:val="24"/>
        </w:rPr>
      </w:pPr>
      <w:r w:rsidRPr="00C4684C">
        <w:rPr>
          <w:rFonts w:ascii="Arial" w:hAnsi="Arial" w:cs="Arial"/>
          <w:sz w:val="24"/>
          <w:szCs w:val="24"/>
        </w:rPr>
        <w:t>Respetado Secretario:</w:t>
      </w:r>
    </w:p>
    <w:p w:rsidR="007E526A" w:rsidRPr="00C4684C" w:rsidRDefault="007E526A" w:rsidP="007E526A">
      <w:pPr>
        <w:spacing w:after="0" w:line="240" w:lineRule="auto"/>
        <w:rPr>
          <w:rFonts w:ascii="Arial" w:hAnsi="Arial" w:cs="Arial"/>
          <w:sz w:val="24"/>
          <w:szCs w:val="24"/>
        </w:rPr>
      </w:pPr>
    </w:p>
    <w:p w:rsidR="007E526A" w:rsidRPr="00C4684C" w:rsidRDefault="007E526A" w:rsidP="007E526A">
      <w:pPr>
        <w:spacing w:after="0" w:line="240" w:lineRule="auto"/>
        <w:rPr>
          <w:rFonts w:ascii="Arial" w:hAnsi="Arial" w:cs="Arial"/>
          <w:sz w:val="24"/>
          <w:szCs w:val="24"/>
        </w:rPr>
      </w:pPr>
    </w:p>
    <w:p w:rsidR="007E526A" w:rsidRPr="00C4684C" w:rsidRDefault="009F53A1" w:rsidP="007E526A">
      <w:pPr>
        <w:spacing w:after="0" w:line="240" w:lineRule="auto"/>
        <w:jc w:val="both"/>
        <w:rPr>
          <w:rFonts w:ascii="Arial" w:hAnsi="Arial" w:cs="Arial"/>
          <w:sz w:val="24"/>
          <w:szCs w:val="24"/>
        </w:rPr>
      </w:pPr>
      <w:r>
        <w:rPr>
          <w:rFonts w:ascii="Arial" w:hAnsi="Arial" w:cs="Arial"/>
          <w:sz w:val="24"/>
          <w:szCs w:val="24"/>
        </w:rPr>
        <w:t>En uso de nuestras</w:t>
      </w:r>
      <w:r w:rsidR="007E526A" w:rsidRPr="00C4684C">
        <w:rPr>
          <w:rFonts w:ascii="Arial" w:hAnsi="Arial" w:cs="Arial"/>
          <w:sz w:val="24"/>
          <w:szCs w:val="24"/>
        </w:rPr>
        <w:t xml:space="preserve"> facultades como senador</w:t>
      </w:r>
      <w:r>
        <w:rPr>
          <w:rFonts w:ascii="Arial" w:hAnsi="Arial" w:cs="Arial"/>
          <w:sz w:val="24"/>
          <w:szCs w:val="24"/>
        </w:rPr>
        <w:t>es nos</w:t>
      </w:r>
      <w:r w:rsidR="007E526A" w:rsidRPr="00C4684C">
        <w:rPr>
          <w:rFonts w:ascii="Arial" w:hAnsi="Arial" w:cs="Arial"/>
          <w:sz w:val="24"/>
          <w:szCs w:val="24"/>
        </w:rPr>
        <w:t xml:space="preserve"> </w:t>
      </w:r>
      <w:r>
        <w:rPr>
          <w:rFonts w:ascii="Arial" w:hAnsi="Arial" w:cs="Arial"/>
          <w:sz w:val="24"/>
          <w:szCs w:val="24"/>
        </w:rPr>
        <w:t>permitimos</w:t>
      </w:r>
      <w:r w:rsidR="007E526A" w:rsidRPr="00C4684C">
        <w:rPr>
          <w:rFonts w:ascii="Arial" w:hAnsi="Arial" w:cs="Arial"/>
          <w:sz w:val="24"/>
          <w:szCs w:val="24"/>
        </w:rPr>
        <w:t xml:space="preserve"> presentar al Congreso de la República el </w:t>
      </w:r>
      <w:r w:rsidR="00FD2D5B" w:rsidRPr="007E526A">
        <w:rPr>
          <w:rFonts w:cstheme="minorHAnsi"/>
          <w:b/>
          <w:sz w:val="24"/>
          <w:szCs w:val="24"/>
        </w:rPr>
        <w:t>Proyecto de Ley No             “Por medio de la cual se modifica la Ley 426 de 1.998”</w:t>
      </w:r>
    </w:p>
    <w:p w:rsidR="00FD2D5B" w:rsidRDefault="00FD2D5B" w:rsidP="007E526A">
      <w:pPr>
        <w:spacing w:after="0" w:line="240" w:lineRule="auto"/>
        <w:jc w:val="both"/>
        <w:rPr>
          <w:rFonts w:ascii="Arial" w:hAnsi="Arial" w:cs="Arial"/>
          <w:sz w:val="24"/>
          <w:szCs w:val="24"/>
        </w:rPr>
      </w:pPr>
    </w:p>
    <w:p w:rsidR="007E526A" w:rsidRPr="00C4684C" w:rsidRDefault="007E526A" w:rsidP="007E526A">
      <w:pPr>
        <w:spacing w:after="0" w:line="240" w:lineRule="auto"/>
        <w:jc w:val="both"/>
        <w:rPr>
          <w:rFonts w:ascii="Arial" w:hAnsi="Arial" w:cs="Arial"/>
          <w:sz w:val="24"/>
          <w:szCs w:val="24"/>
        </w:rPr>
      </w:pPr>
      <w:r w:rsidRPr="00C4684C">
        <w:rPr>
          <w:rFonts w:ascii="Arial" w:hAnsi="Arial" w:cs="Arial"/>
          <w:sz w:val="24"/>
          <w:szCs w:val="24"/>
        </w:rPr>
        <w:t>Cordialmente,</w:t>
      </w:r>
    </w:p>
    <w:p w:rsidR="007E526A" w:rsidRDefault="007E526A" w:rsidP="007E526A">
      <w:pPr>
        <w:spacing w:after="0" w:line="240" w:lineRule="auto"/>
        <w:jc w:val="both"/>
        <w:rPr>
          <w:rFonts w:ascii="Arial" w:hAnsi="Arial" w:cs="Arial"/>
          <w:sz w:val="24"/>
          <w:szCs w:val="24"/>
        </w:rPr>
      </w:pPr>
    </w:p>
    <w:p w:rsidR="00CE3AA6" w:rsidRDefault="00CE3AA6" w:rsidP="007E526A">
      <w:pPr>
        <w:spacing w:after="0" w:line="240" w:lineRule="auto"/>
        <w:jc w:val="both"/>
        <w:rPr>
          <w:rFonts w:ascii="Arial" w:hAnsi="Arial" w:cs="Arial"/>
          <w:sz w:val="24"/>
          <w:szCs w:val="24"/>
        </w:rPr>
      </w:pPr>
    </w:p>
    <w:p w:rsidR="009352CD" w:rsidRDefault="009352CD" w:rsidP="007E526A">
      <w:pPr>
        <w:spacing w:after="0" w:line="240" w:lineRule="auto"/>
        <w:jc w:val="both"/>
        <w:rPr>
          <w:rFonts w:ascii="Arial" w:hAnsi="Arial" w:cs="Arial"/>
          <w:sz w:val="24"/>
          <w:szCs w:val="24"/>
        </w:rPr>
      </w:pPr>
    </w:p>
    <w:p w:rsidR="009352CD" w:rsidRDefault="009352CD" w:rsidP="007E526A">
      <w:pPr>
        <w:spacing w:after="0" w:line="240" w:lineRule="auto"/>
        <w:jc w:val="both"/>
        <w:rPr>
          <w:rFonts w:ascii="Arial" w:hAnsi="Arial" w:cs="Arial"/>
          <w:sz w:val="24"/>
          <w:szCs w:val="24"/>
        </w:rPr>
      </w:pPr>
    </w:p>
    <w:p w:rsidR="00CE3AA6" w:rsidRDefault="00CE3AA6" w:rsidP="007E526A">
      <w:pPr>
        <w:spacing w:after="0" w:line="240" w:lineRule="auto"/>
        <w:jc w:val="both"/>
        <w:rPr>
          <w:rFonts w:ascii="Arial" w:hAnsi="Arial" w:cs="Arial"/>
          <w:sz w:val="24"/>
          <w:szCs w:val="24"/>
        </w:rPr>
      </w:pPr>
    </w:p>
    <w:p w:rsidR="00C269C2" w:rsidRPr="00C4684C" w:rsidRDefault="00C269C2" w:rsidP="007E526A">
      <w:pPr>
        <w:spacing w:after="0" w:line="240" w:lineRule="auto"/>
        <w:jc w:val="both"/>
        <w:rPr>
          <w:rFonts w:ascii="Arial" w:hAnsi="Arial" w:cs="Arial"/>
          <w:sz w:val="24"/>
          <w:szCs w:val="24"/>
        </w:rPr>
      </w:pPr>
    </w:p>
    <w:p w:rsidR="00C269C2" w:rsidRPr="007E526A" w:rsidRDefault="00C269C2" w:rsidP="00C269C2">
      <w:pPr>
        <w:spacing w:after="0" w:line="240" w:lineRule="auto"/>
        <w:jc w:val="both"/>
        <w:rPr>
          <w:rFonts w:cstheme="minorHAnsi"/>
          <w:b/>
          <w:sz w:val="24"/>
          <w:szCs w:val="24"/>
        </w:rPr>
      </w:pPr>
      <w:r w:rsidRPr="007E526A">
        <w:rPr>
          <w:rFonts w:cstheme="minorHAnsi"/>
          <w:b/>
          <w:sz w:val="24"/>
          <w:szCs w:val="24"/>
        </w:rPr>
        <w:t xml:space="preserve">CARLOS FELIPE MEJIA </w:t>
      </w:r>
      <w:proofErr w:type="spellStart"/>
      <w:r w:rsidRPr="007E526A">
        <w:rPr>
          <w:rFonts w:cstheme="minorHAnsi"/>
          <w:b/>
          <w:sz w:val="24"/>
          <w:szCs w:val="24"/>
        </w:rPr>
        <w:t>MEJIA</w:t>
      </w:r>
      <w:proofErr w:type="spellEnd"/>
      <w:r w:rsidRPr="009F53A1">
        <w:rPr>
          <w:rFonts w:cstheme="minorHAnsi"/>
          <w:b/>
          <w:sz w:val="24"/>
          <w:szCs w:val="24"/>
        </w:rPr>
        <w:t xml:space="preserve">          </w:t>
      </w:r>
      <w:r w:rsidRPr="007E526A">
        <w:rPr>
          <w:rFonts w:cstheme="minorHAnsi"/>
          <w:b/>
          <w:sz w:val="24"/>
          <w:szCs w:val="24"/>
        </w:rPr>
        <w:t>MAURICIO LIZCANO ARANGO</w:t>
      </w:r>
      <w:r w:rsidR="009F53A1">
        <w:rPr>
          <w:rFonts w:cstheme="minorHAnsi"/>
          <w:b/>
          <w:sz w:val="24"/>
          <w:szCs w:val="24"/>
        </w:rPr>
        <w:t xml:space="preserve">   </w:t>
      </w:r>
      <w:r w:rsidRPr="009F53A1">
        <w:rPr>
          <w:rFonts w:cstheme="minorHAnsi"/>
          <w:b/>
          <w:sz w:val="24"/>
          <w:szCs w:val="24"/>
        </w:rPr>
        <w:t xml:space="preserve">   </w:t>
      </w:r>
      <w:r w:rsidRPr="007E526A">
        <w:rPr>
          <w:rFonts w:cstheme="minorHAnsi"/>
          <w:b/>
          <w:sz w:val="24"/>
          <w:szCs w:val="24"/>
        </w:rPr>
        <w:t>LUIS EMILIO SIERRA GRAJALES</w:t>
      </w:r>
    </w:p>
    <w:p w:rsidR="00C269C2" w:rsidRPr="007E526A" w:rsidRDefault="00C269C2" w:rsidP="00C269C2">
      <w:pPr>
        <w:spacing w:after="0" w:line="240" w:lineRule="auto"/>
        <w:jc w:val="both"/>
        <w:rPr>
          <w:rFonts w:cstheme="minorHAnsi"/>
          <w:sz w:val="24"/>
          <w:szCs w:val="24"/>
        </w:rPr>
      </w:pP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w:t>
      </w:r>
      <w:r w:rsidRPr="007E526A">
        <w:rPr>
          <w:rFonts w:cstheme="minorHAnsi"/>
          <w:sz w:val="24"/>
          <w:szCs w:val="24"/>
        </w:rPr>
        <w:t>Senador de la República</w:t>
      </w:r>
    </w:p>
    <w:p w:rsidR="00C269C2" w:rsidRDefault="00C269C2" w:rsidP="00C269C2">
      <w:pPr>
        <w:spacing w:after="0" w:line="240" w:lineRule="auto"/>
        <w:jc w:val="both"/>
        <w:rPr>
          <w:rFonts w:cstheme="minorHAnsi"/>
          <w:sz w:val="24"/>
          <w:szCs w:val="24"/>
        </w:rPr>
      </w:pPr>
    </w:p>
    <w:p w:rsidR="009352CD" w:rsidRDefault="009352CD" w:rsidP="00C269C2">
      <w:pPr>
        <w:spacing w:after="0" w:line="240" w:lineRule="auto"/>
        <w:jc w:val="both"/>
        <w:rPr>
          <w:rFonts w:cstheme="minorHAnsi"/>
          <w:sz w:val="24"/>
          <w:szCs w:val="24"/>
        </w:rPr>
      </w:pPr>
    </w:p>
    <w:p w:rsidR="009352CD" w:rsidRDefault="009352CD" w:rsidP="00C269C2">
      <w:pPr>
        <w:spacing w:after="0" w:line="240" w:lineRule="auto"/>
        <w:jc w:val="both"/>
        <w:rPr>
          <w:rFonts w:cstheme="minorHAnsi"/>
          <w:sz w:val="24"/>
          <w:szCs w:val="24"/>
        </w:rPr>
      </w:pPr>
    </w:p>
    <w:p w:rsidR="009352CD" w:rsidRDefault="009352CD" w:rsidP="00C269C2">
      <w:pPr>
        <w:spacing w:after="0" w:line="240" w:lineRule="auto"/>
        <w:jc w:val="both"/>
        <w:rPr>
          <w:rFonts w:cstheme="minorHAnsi"/>
          <w:sz w:val="24"/>
          <w:szCs w:val="24"/>
        </w:rPr>
      </w:pPr>
    </w:p>
    <w:p w:rsidR="009352CD" w:rsidRDefault="009352CD" w:rsidP="00C269C2">
      <w:pPr>
        <w:spacing w:after="0" w:line="240" w:lineRule="auto"/>
        <w:jc w:val="both"/>
        <w:rPr>
          <w:rFonts w:cstheme="minorHAnsi"/>
          <w:sz w:val="24"/>
          <w:szCs w:val="24"/>
        </w:rPr>
      </w:pPr>
    </w:p>
    <w:p w:rsidR="009352CD" w:rsidRDefault="009352CD" w:rsidP="00C269C2">
      <w:pPr>
        <w:spacing w:after="0" w:line="240" w:lineRule="auto"/>
        <w:jc w:val="both"/>
        <w:rPr>
          <w:rFonts w:cstheme="minorHAnsi"/>
          <w:sz w:val="24"/>
          <w:szCs w:val="24"/>
        </w:rPr>
      </w:pPr>
    </w:p>
    <w:p w:rsidR="009352CD" w:rsidRPr="007E526A" w:rsidRDefault="009352CD" w:rsidP="00C269C2">
      <w:pPr>
        <w:spacing w:after="0" w:line="240" w:lineRule="auto"/>
        <w:jc w:val="both"/>
        <w:rPr>
          <w:rFonts w:cstheme="minorHAnsi"/>
          <w:sz w:val="24"/>
          <w:szCs w:val="24"/>
        </w:rPr>
      </w:pPr>
    </w:p>
    <w:p w:rsidR="009352CD" w:rsidRDefault="009352CD" w:rsidP="009352CD">
      <w:pPr>
        <w:spacing w:after="0" w:line="240" w:lineRule="auto"/>
        <w:jc w:val="both"/>
        <w:rPr>
          <w:rFonts w:cs="Arial"/>
          <w:b/>
          <w:sz w:val="24"/>
          <w:szCs w:val="24"/>
        </w:rPr>
      </w:pPr>
      <w:r w:rsidRPr="009352CD">
        <w:rPr>
          <w:rFonts w:cs="Arial"/>
          <w:b/>
          <w:sz w:val="24"/>
          <w:szCs w:val="24"/>
        </w:rPr>
        <w:t>LUIS FERNANDO DUQUE GARCIA</w:t>
      </w:r>
      <w:r>
        <w:rPr>
          <w:rFonts w:cs="Arial"/>
          <w:b/>
          <w:sz w:val="24"/>
          <w:szCs w:val="24"/>
        </w:rPr>
        <w:t xml:space="preserve">                          JUAN CARLOS RESTREPO ESCOBAR </w:t>
      </w:r>
    </w:p>
    <w:p w:rsidR="009352CD" w:rsidRPr="007E526A" w:rsidRDefault="009352CD" w:rsidP="009352CD">
      <w:pPr>
        <w:spacing w:after="0" w:line="240" w:lineRule="auto"/>
        <w:jc w:val="both"/>
        <w:rPr>
          <w:rFonts w:cstheme="minorHAnsi"/>
          <w:sz w:val="24"/>
          <w:szCs w:val="24"/>
        </w:rPr>
      </w:pP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w:t>
      </w:r>
    </w:p>
    <w:p w:rsidR="009352CD" w:rsidRDefault="009352CD" w:rsidP="007E526A">
      <w:pPr>
        <w:jc w:val="both"/>
        <w:rPr>
          <w:rFonts w:cs="Arial"/>
          <w:b/>
          <w:sz w:val="24"/>
          <w:szCs w:val="24"/>
        </w:rPr>
      </w:pPr>
    </w:p>
    <w:p w:rsidR="009352CD" w:rsidRDefault="009352CD" w:rsidP="007E526A">
      <w:pPr>
        <w:jc w:val="both"/>
        <w:rPr>
          <w:rFonts w:cs="Arial"/>
          <w:b/>
          <w:sz w:val="24"/>
          <w:szCs w:val="24"/>
        </w:rPr>
      </w:pPr>
    </w:p>
    <w:p w:rsidR="009352CD" w:rsidRDefault="009352CD" w:rsidP="007E526A">
      <w:pPr>
        <w:jc w:val="both"/>
        <w:rPr>
          <w:rFonts w:cs="Arial"/>
          <w:b/>
          <w:sz w:val="24"/>
          <w:szCs w:val="24"/>
        </w:rPr>
      </w:pPr>
    </w:p>
    <w:p w:rsidR="009352CD" w:rsidRDefault="009352CD" w:rsidP="009352CD">
      <w:pPr>
        <w:spacing w:after="0" w:line="240" w:lineRule="auto"/>
        <w:jc w:val="both"/>
        <w:rPr>
          <w:rFonts w:cs="Arial"/>
          <w:b/>
          <w:sz w:val="24"/>
          <w:szCs w:val="24"/>
        </w:rPr>
      </w:pPr>
      <w:r>
        <w:rPr>
          <w:rFonts w:cs="Arial"/>
          <w:b/>
          <w:sz w:val="24"/>
          <w:szCs w:val="24"/>
        </w:rPr>
        <w:t xml:space="preserve">CARLOS ENRIQUE SOTO JARAMILLO                    JUAN SAMY MERHEG MARUN      </w:t>
      </w:r>
    </w:p>
    <w:p w:rsidR="009352CD" w:rsidRPr="007E526A" w:rsidRDefault="009352CD" w:rsidP="009352CD">
      <w:pPr>
        <w:spacing w:after="0" w:line="240" w:lineRule="auto"/>
        <w:jc w:val="both"/>
        <w:rPr>
          <w:rFonts w:cstheme="minorHAnsi"/>
          <w:sz w:val="24"/>
          <w:szCs w:val="24"/>
        </w:rPr>
      </w:pP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Senador de la República                                             </w:t>
      </w:r>
    </w:p>
    <w:p w:rsidR="009352CD" w:rsidRDefault="009352CD" w:rsidP="009352CD">
      <w:pPr>
        <w:spacing w:after="0" w:line="240" w:lineRule="auto"/>
        <w:jc w:val="both"/>
        <w:rPr>
          <w:rFonts w:cstheme="minorHAnsi"/>
          <w:sz w:val="24"/>
          <w:szCs w:val="24"/>
        </w:rPr>
      </w:pPr>
    </w:p>
    <w:p w:rsidR="009352CD" w:rsidRDefault="009352CD" w:rsidP="009352CD">
      <w:pPr>
        <w:jc w:val="both"/>
        <w:rPr>
          <w:rFonts w:cs="Arial"/>
          <w:b/>
          <w:sz w:val="24"/>
          <w:szCs w:val="24"/>
        </w:rPr>
      </w:pPr>
    </w:p>
    <w:p w:rsidR="00FD2D5B" w:rsidRPr="009352CD" w:rsidRDefault="009352CD" w:rsidP="009352CD">
      <w:pPr>
        <w:jc w:val="both"/>
        <w:rPr>
          <w:rFonts w:cs="Arial"/>
          <w:b/>
          <w:sz w:val="24"/>
          <w:szCs w:val="24"/>
        </w:rPr>
      </w:pPr>
      <w:r>
        <w:rPr>
          <w:rFonts w:cs="Arial"/>
          <w:b/>
          <w:sz w:val="24"/>
          <w:szCs w:val="24"/>
        </w:rPr>
        <w:t xml:space="preserve"> </w:t>
      </w:r>
    </w:p>
    <w:p w:rsidR="009352CD" w:rsidRDefault="009352CD" w:rsidP="007E526A">
      <w:pPr>
        <w:jc w:val="both"/>
        <w:rPr>
          <w:rFonts w:ascii="Arial" w:hAnsi="Arial" w:cs="Arial"/>
          <w:sz w:val="24"/>
          <w:szCs w:val="24"/>
        </w:rPr>
      </w:pPr>
    </w:p>
    <w:p w:rsidR="007E526A" w:rsidRPr="00C4684C" w:rsidRDefault="00502FDE" w:rsidP="007E526A">
      <w:pPr>
        <w:jc w:val="both"/>
        <w:rPr>
          <w:rFonts w:ascii="Arial" w:hAnsi="Arial" w:cs="Arial"/>
          <w:sz w:val="24"/>
          <w:szCs w:val="24"/>
        </w:rPr>
      </w:pPr>
      <w:r>
        <w:rPr>
          <w:rFonts w:ascii="Arial" w:hAnsi="Arial" w:cs="Arial"/>
          <w:sz w:val="24"/>
          <w:szCs w:val="24"/>
        </w:rPr>
        <w:t>Adjuntamos</w:t>
      </w:r>
      <w:r w:rsidR="007E526A" w:rsidRPr="00C4684C">
        <w:rPr>
          <w:rFonts w:ascii="Arial" w:hAnsi="Arial" w:cs="Arial"/>
          <w:sz w:val="24"/>
          <w:szCs w:val="24"/>
        </w:rPr>
        <w:t>: Original, tres copias y archivo digital</w:t>
      </w:r>
    </w:p>
    <w:p w:rsidR="007E526A" w:rsidRPr="00C4684C" w:rsidRDefault="007E526A" w:rsidP="007E526A">
      <w:pPr>
        <w:jc w:val="center"/>
        <w:rPr>
          <w:rFonts w:cstheme="minorHAnsi"/>
          <w:b/>
          <w:sz w:val="24"/>
          <w:szCs w:val="24"/>
        </w:rPr>
      </w:pPr>
    </w:p>
    <w:p w:rsidR="007E526A" w:rsidRPr="00C4684C" w:rsidRDefault="007E526A" w:rsidP="007E526A">
      <w:pPr>
        <w:jc w:val="center"/>
        <w:rPr>
          <w:rFonts w:cstheme="minorHAnsi"/>
          <w:b/>
          <w:sz w:val="24"/>
          <w:szCs w:val="24"/>
        </w:rPr>
      </w:pPr>
    </w:p>
    <w:p w:rsidR="009352CD" w:rsidRDefault="009352CD" w:rsidP="007E526A">
      <w:pPr>
        <w:jc w:val="center"/>
        <w:rPr>
          <w:rFonts w:cstheme="minorHAnsi"/>
          <w:b/>
          <w:sz w:val="24"/>
          <w:szCs w:val="24"/>
        </w:rPr>
      </w:pPr>
    </w:p>
    <w:p w:rsidR="009352CD" w:rsidRDefault="009352CD" w:rsidP="007E526A">
      <w:pPr>
        <w:jc w:val="center"/>
        <w:rPr>
          <w:rFonts w:cstheme="minorHAnsi"/>
          <w:b/>
          <w:sz w:val="24"/>
          <w:szCs w:val="24"/>
        </w:rPr>
      </w:pPr>
    </w:p>
    <w:p w:rsidR="009352CD" w:rsidRDefault="009352CD" w:rsidP="007E526A">
      <w:pPr>
        <w:jc w:val="center"/>
        <w:rPr>
          <w:rFonts w:cstheme="minorHAnsi"/>
          <w:b/>
          <w:sz w:val="24"/>
          <w:szCs w:val="24"/>
        </w:rPr>
      </w:pPr>
    </w:p>
    <w:p w:rsidR="009352CD" w:rsidRDefault="009352CD" w:rsidP="007E526A">
      <w:pPr>
        <w:jc w:val="center"/>
        <w:rPr>
          <w:rFonts w:cstheme="minorHAnsi"/>
          <w:b/>
          <w:sz w:val="24"/>
          <w:szCs w:val="24"/>
        </w:rPr>
      </w:pPr>
    </w:p>
    <w:p w:rsidR="009352CD" w:rsidRDefault="009352CD" w:rsidP="007E526A">
      <w:pPr>
        <w:jc w:val="center"/>
        <w:rPr>
          <w:rFonts w:cstheme="minorHAnsi"/>
          <w:b/>
          <w:sz w:val="24"/>
          <w:szCs w:val="24"/>
        </w:rPr>
      </w:pPr>
    </w:p>
    <w:p w:rsidR="009352CD" w:rsidRDefault="009352CD" w:rsidP="007E526A">
      <w:pPr>
        <w:jc w:val="center"/>
        <w:rPr>
          <w:rFonts w:cstheme="minorHAnsi"/>
          <w:b/>
          <w:sz w:val="24"/>
          <w:szCs w:val="24"/>
        </w:rPr>
      </w:pPr>
    </w:p>
    <w:p w:rsidR="009352CD" w:rsidRDefault="009352CD" w:rsidP="009352CD">
      <w:pPr>
        <w:rPr>
          <w:rFonts w:cstheme="minorHAnsi"/>
          <w:b/>
          <w:sz w:val="24"/>
          <w:szCs w:val="24"/>
        </w:rPr>
      </w:pPr>
    </w:p>
    <w:p w:rsidR="007E526A" w:rsidRPr="007E526A" w:rsidRDefault="007E526A" w:rsidP="009352CD">
      <w:pPr>
        <w:jc w:val="center"/>
        <w:rPr>
          <w:rFonts w:cstheme="minorHAnsi"/>
          <w:b/>
          <w:sz w:val="24"/>
          <w:szCs w:val="24"/>
        </w:rPr>
      </w:pPr>
      <w:r w:rsidRPr="007E526A">
        <w:rPr>
          <w:rFonts w:cstheme="minorHAnsi"/>
          <w:b/>
          <w:sz w:val="24"/>
          <w:szCs w:val="24"/>
        </w:rPr>
        <w:lastRenderedPageBreak/>
        <w:t>Proyecto de Ley No             “Por medio de la cual se modifica la Ley 426 de 1.998”</w:t>
      </w:r>
    </w:p>
    <w:p w:rsidR="007E526A" w:rsidRPr="007E526A" w:rsidRDefault="007E526A" w:rsidP="007E526A">
      <w:pPr>
        <w:ind w:left="2124" w:firstLine="708"/>
        <w:rPr>
          <w:rFonts w:cstheme="minorHAnsi"/>
          <w:b/>
          <w:sz w:val="24"/>
          <w:szCs w:val="24"/>
        </w:rPr>
      </w:pPr>
      <w:r w:rsidRPr="007E526A">
        <w:rPr>
          <w:rFonts w:cstheme="minorHAnsi"/>
          <w:b/>
          <w:sz w:val="24"/>
          <w:szCs w:val="24"/>
        </w:rPr>
        <w:t>EL CONGRESO DE COLOMBIA</w:t>
      </w:r>
    </w:p>
    <w:p w:rsidR="007E526A" w:rsidRPr="007E526A" w:rsidRDefault="007E526A" w:rsidP="007E526A">
      <w:pPr>
        <w:ind w:left="2832" w:firstLine="708"/>
        <w:rPr>
          <w:rFonts w:cstheme="minorHAnsi"/>
          <w:b/>
          <w:sz w:val="24"/>
          <w:szCs w:val="24"/>
        </w:rPr>
      </w:pPr>
      <w:r w:rsidRPr="007E526A">
        <w:rPr>
          <w:rFonts w:cstheme="minorHAnsi"/>
          <w:b/>
          <w:sz w:val="24"/>
          <w:szCs w:val="24"/>
        </w:rPr>
        <w:t>DECRETA:</w:t>
      </w:r>
    </w:p>
    <w:p w:rsidR="007E526A" w:rsidRPr="007E526A" w:rsidRDefault="007E526A" w:rsidP="007E526A">
      <w:pPr>
        <w:jc w:val="both"/>
        <w:rPr>
          <w:rFonts w:cstheme="minorHAnsi"/>
          <w:sz w:val="24"/>
          <w:szCs w:val="24"/>
        </w:rPr>
      </w:pPr>
      <w:r w:rsidRPr="007E526A">
        <w:rPr>
          <w:rFonts w:cstheme="minorHAnsi"/>
          <w:b/>
          <w:sz w:val="24"/>
          <w:szCs w:val="24"/>
        </w:rPr>
        <w:t xml:space="preserve">Artículo 1°: </w:t>
      </w:r>
      <w:r w:rsidRPr="007E526A">
        <w:rPr>
          <w:rFonts w:cstheme="minorHAnsi"/>
          <w:sz w:val="24"/>
          <w:szCs w:val="24"/>
        </w:rPr>
        <w:t>Modificar el artículo 6° de la Ley 426 de 1998 el cual quedarás así:</w:t>
      </w:r>
    </w:p>
    <w:p w:rsidR="007E526A" w:rsidRPr="007E526A" w:rsidRDefault="007E526A" w:rsidP="007E526A">
      <w:pPr>
        <w:ind w:left="567"/>
        <w:jc w:val="both"/>
        <w:rPr>
          <w:rFonts w:cstheme="minorHAnsi"/>
          <w:sz w:val="24"/>
          <w:szCs w:val="24"/>
        </w:rPr>
      </w:pPr>
      <w:r w:rsidRPr="007E526A">
        <w:rPr>
          <w:rFonts w:cstheme="minorHAnsi"/>
          <w:sz w:val="24"/>
          <w:szCs w:val="24"/>
        </w:rPr>
        <w:t>“</w:t>
      </w:r>
      <w:r w:rsidRPr="007E526A">
        <w:rPr>
          <w:rFonts w:cstheme="minorHAnsi"/>
          <w:b/>
          <w:sz w:val="24"/>
          <w:szCs w:val="24"/>
        </w:rPr>
        <w:t>Artículo 6°:</w:t>
      </w:r>
      <w:r w:rsidRPr="007E526A">
        <w:rPr>
          <w:rFonts w:cstheme="minorHAnsi"/>
          <w:sz w:val="24"/>
          <w:szCs w:val="24"/>
        </w:rPr>
        <w:t xml:space="preserve"> La emisión de la estampilla cuya creación se autoriza, será hasta por la suma de trecientos mil millones de pesos ($300.000.000.000).</w:t>
      </w:r>
    </w:p>
    <w:p w:rsidR="007E526A" w:rsidRPr="007E526A" w:rsidRDefault="007E526A" w:rsidP="007E526A">
      <w:pPr>
        <w:ind w:left="567"/>
        <w:jc w:val="both"/>
        <w:rPr>
          <w:rFonts w:cstheme="minorHAnsi"/>
          <w:sz w:val="24"/>
          <w:szCs w:val="24"/>
        </w:rPr>
      </w:pPr>
      <w:r w:rsidRPr="007E526A">
        <w:rPr>
          <w:rFonts w:cstheme="minorHAnsi"/>
          <w:b/>
          <w:sz w:val="24"/>
          <w:szCs w:val="24"/>
        </w:rPr>
        <w:t>PARÁGRAFO:</w:t>
      </w:r>
      <w:r w:rsidRPr="007E526A">
        <w:rPr>
          <w:rFonts w:cstheme="minorHAnsi"/>
          <w:sz w:val="24"/>
          <w:szCs w:val="24"/>
        </w:rPr>
        <w:t xml:space="preserve"> Cumplido el monto establecido en el artículo 1°., expirará </w:t>
      </w:r>
      <w:r w:rsidR="00C269C2">
        <w:rPr>
          <w:rFonts w:cstheme="minorHAnsi"/>
          <w:sz w:val="24"/>
          <w:szCs w:val="24"/>
        </w:rPr>
        <w:t>la finalidad de la presente ley</w:t>
      </w:r>
      <w:r w:rsidRPr="007E526A">
        <w:rPr>
          <w:rFonts w:cstheme="minorHAnsi"/>
          <w:sz w:val="24"/>
          <w:szCs w:val="24"/>
        </w:rPr>
        <w:t>.</w:t>
      </w:r>
    </w:p>
    <w:p w:rsidR="007E526A" w:rsidRPr="007E526A" w:rsidRDefault="007E526A" w:rsidP="007E526A">
      <w:pPr>
        <w:jc w:val="both"/>
        <w:rPr>
          <w:rFonts w:cstheme="minorHAnsi"/>
          <w:sz w:val="24"/>
          <w:szCs w:val="24"/>
        </w:rPr>
      </w:pPr>
      <w:r w:rsidRPr="007E526A">
        <w:rPr>
          <w:rFonts w:cstheme="minorHAnsi"/>
          <w:b/>
          <w:sz w:val="24"/>
          <w:szCs w:val="24"/>
        </w:rPr>
        <w:t xml:space="preserve">Artículo 2°: </w:t>
      </w:r>
      <w:r w:rsidRPr="007E526A">
        <w:rPr>
          <w:rFonts w:cstheme="minorHAnsi"/>
          <w:sz w:val="24"/>
          <w:szCs w:val="24"/>
        </w:rPr>
        <w:t>La presente ley rige a partir de la fecha de su promulgación y deroga las disposiciones que le sean contrarias.</w:t>
      </w:r>
    </w:p>
    <w:p w:rsidR="007E526A" w:rsidRDefault="007E526A" w:rsidP="007E526A">
      <w:pPr>
        <w:jc w:val="both"/>
        <w:rPr>
          <w:rFonts w:cstheme="minorHAnsi"/>
          <w:sz w:val="24"/>
          <w:szCs w:val="24"/>
        </w:rPr>
      </w:pPr>
    </w:p>
    <w:p w:rsidR="00502FDE" w:rsidRPr="007E526A" w:rsidRDefault="00502FDE" w:rsidP="007E526A">
      <w:pPr>
        <w:jc w:val="both"/>
        <w:rPr>
          <w:rFonts w:cstheme="minorHAnsi"/>
          <w:sz w:val="24"/>
          <w:szCs w:val="24"/>
        </w:rPr>
      </w:pPr>
    </w:p>
    <w:p w:rsidR="00C269C2" w:rsidRPr="007E526A" w:rsidRDefault="00C269C2" w:rsidP="00C269C2">
      <w:pPr>
        <w:spacing w:after="0" w:line="240" w:lineRule="auto"/>
        <w:jc w:val="both"/>
        <w:rPr>
          <w:rFonts w:cstheme="minorHAnsi"/>
          <w:b/>
          <w:sz w:val="24"/>
          <w:szCs w:val="24"/>
        </w:rPr>
      </w:pPr>
      <w:r w:rsidRPr="007E526A">
        <w:rPr>
          <w:rFonts w:cstheme="minorHAnsi"/>
          <w:b/>
          <w:sz w:val="24"/>
          <w:szCs w:val="24"/>
        </w:rPr>
        <w:t xml:space="preserve">CARLOS FELIPE MEJIA </w:t>
      </w:r>
      <w:proofErr w:type="spellStart"/>
      <w:r w:rsidRPr="007E526A">
        <w:rPr>
          <w:rFonts w:cstheme="minorHAnsi"/>
          <w:b/>
          <w:sz w:val="24"/>
          <w:szCs w:val="24"/>
        </w:rPr>
        <w:t>MEJIA</w:t>
      </w:r>
      <w:proofErr w:type="spellEnd"/>
      <w:r w:rsidRPr="00FD2D5B">
        <w:rPr>
          <w:rFonts w:cstheme="minorHAnsi"/>
          <w:b/>
          <w:sz w:val="24"/>
          <w:szCs w:val="24"/>
        </w:rPr>
        <w:t xml:space="preserve">          </w:t>
      </w:r>
      <w:r w:rsidRPr="007E526A">
        <w:rPr>
          <w:rFonts w:cstheme="minorHAnsi"/>
          <w:b/>
          <w:sz w:val="24"/>
          <w:szCs w:val="24"/>
        </w:rPr>
        <w:t>MAURICIO LIZCANO ARANGO</w:t>
      </w:r>
      <w:r w:rsidR="00FD2D5B">
        <w:rPr>
          <w:rFonts w:cstheme="minorHAnsi"/>
          <w:b/>
          <w:sz w:val="24"/>
          <w:szCs w:val="24"/>
        </w:rPr>
        <w:t xml:space="preserve">  </w:t>
      </w:r>
      <w:r w:rsidRPr="00FD2D5B">
        <w:rPr>
          <w:rFonts w:cstheme="minorHAnsi"/>
          <w:b/>
          <w:sz w:val="24"/>
          <w:szCs w:val="24"/>
        </w:rPr>
        <w:t xml:space="preserve">   </w:t>
      </w:r>
      <w:r w:rsidRPr="007E526A">
        <w:rPr>
          <w:rFonts w:cstheme="minorHAnsi"/>
          <w:b/>
          <w:sz w:val="24"/>
          <w:szCs w:val="24"/>
        </w:rPr>
        <w:t>LUIS EMILIO SIERRA GRAJALES</w:t>
      </w:r>
    </w:p>
    <w:p w:rsidR="00C269C2" w:rsidRPr="007E526A" w:rsidRDefault="00C269C2" w:rsidP="00C269C2">
      <w:pPr>
        <w:spacing w:after="0" w:line="240" w:lineRule="auto"/>
        <w:jc w:val="both"/>
        <w:rPr>
          <w:rFonts w:cstheme="minorHAnsi"/>
          <w:sz w:val="24"/>
          <w:szCs w:val="24"/>
        </w:rPr>
      </w:pP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w:t>
      </w:r>
      <w:r w:rsidRPr="007E526A">
        <w:rPr>
          <w:rFonts w:cstheme="minorHAnsi"/>
          <w:sz w:val="24"/>
          <w:szCs w:val="24"/>
        </w:rPr>
        <w:t>Senador de la República</w:t>
      </w:r>
    </w:p>
    <w:p w:rsidR="00C269C2" w:rsidRPr="007E526A" w:rsidRDefault="00C269C2" w:rsidP="00C269C2">
      <w:pPr>
        <w:spacing w:after="0" w:line="240" w:lineRule="auto"/>
        <w:jc w:val="both"/>
        <w:rPr>
          <w:rFonts w:cstheme="minorHAnsi"/>
          <w:sz w:val="24"/>
          <w:szCs w:val="24"/>
        </w:rPr>
      </w:pPr>
    </w:p>
    <w:p w:rsidR="007E526A" w:rsidRPr="007E526A" w:rsidRDefault="007E526A" w:rsidP="007E526A">
      <w:pPr>
        <w:spacing w:after="0" w:line="240" w:lineRule="auto"/>
        <w:jc w:val="both"/>
        <w:rPr>
          <w:rFonts w:cstheme="minorHAnsi"/>
          <w:b/>
          <w:sz w:val="24"/>
          <w:szCs w:val="24"/>
        </w:rPr>
      </w:pPr>
    </w:p>
    <w:p w:rsidR="007E526A" w:rsidRDefault="007E526A" w:rsidP="007E526A">
      <w:pPr>
        <w:spacing w:after="0" w:line="240" w:lineRule="auto"/>
        <w:jc w:val="both"/>
        <w:rPr>
          <w:rFonts w:cstheme="minorHAnsi"/>
          <w:sz w:val="24"/>
          <w:szCs w:val="24"/>
        </w:rPr>
      </w:pPr>
    </w:p>
    <w:p w:rsidR="00502FDE" w:rsidRPr="007E526A" w:rsidRDefault="00502FDE" w:rsidP="007E526A">
      <w:pPr>
        <w:spacing w:after="0" w:line="240" w:lineRule="auto"/>
        <w:jc w:val="both"/>
        <w:rPr>
          <w:rFonts w:cstheme="minorHAnsi"/>
          <w:sz w:val="24"/>
          <w:szCs w:val="24"/>
        </w:rPr>
      </w:pPr>
    </w:p>
    <w:p w:rsidR="007E526A" w:rsidRPr="007E526A" w:rsidRDefault="007E526A" w:rsidP="007E526A">
      <w:pPr>
        <w:spacing w:after="0" w:line="240" w:lineRule="auto"/>
        <w:jc w:val="both"/>
        <w:rPr>
          <w:rFonts w:cstheme="minorHAnsi"/>
          <w:sz w:val="24"/>
          <w:szCs w:val="24"/>
        </w:rPr>
      </w:pPr>
    </w:p>
    <w:p w:rsidR="009352CD" w:rsidRDefault="009352CD" w:rsidP="009352CD">
      <w:pPr>
        <w:spacing w:after="0" w:line="240" w:lineRule="auto"/>
        <w:jc w:val="both"/>
        <w:rPr>
          <w:rFonts w:cs="Arial"/>
          <w:b/>
          <w:sz w:val="24"/>
          <w:szCs w:val="24"/>
        </w:rPr>
      </w:pPr>
      <w:r w:rsidRPr="009352CD">
        <w:rPr>
          <w:rFonts w:cs="Arial"/>
          <w:b/>
          <w:sz w:val="24"/>
          <w:szCs w:val="24"/>
        </w:rPr>
        <w:t>LUIS FERNANDO DUQUE GARCIA</w:t>
      </w:r>
      <w:r>
        <w:rPr>
          <w:rFonts w:cs="Arial"/>
          <w:b/>
          <w:sz w:val="24"/>
          <w:szCs w:val="24"/>
        </w:rPr>
        <w:t xml:space="preserve">                                                       JUAN CARLOS RESTREPO ESCOBAR </w:t>
      </w:r>
    </w:p>
    <w:p w:rsidR="009352CD" w:rsidRPr="007E526A" w:rsidRDefault="009352CD" w:rsidP="009352CD">
      <w:pPr>
        <w:spacing w:after="0" w:line="240" w:lineRule="auto"/>
        <w:jc w:val="both"/>
        <w:rPr>
          <w:rFonts w:cstheme="minorHAnsi"/>
          <w:sz w:val="24"/>
          <w:szCs w:val="24"/>
        </w:rPr>
      </w:pP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w:t>
      </w:r>
    </w:p>
    <w:p w:rsidR="009352CD" w:rsidRDefault="009352CD" w:rsidP="0003632B">
      <w:pPr>
        <w:spacing w:after="0" w:line="240" w:lineRule="auto"/>
        <w:jc w:val="both"/>
        <w:rPr>
          <w:rFonts w:cstheme="minorHAnsi"/>
          <w:sz w:val="24"/>
          <w:szCs w:val="24"/>
        </w:rPr>
      </w:pPr>
    </w:p>
    <w:p w:rsidR="00502FDE" w:rsidRDefault="00502FDE" w:rsidP="0003632B">
      <w:pPr>
        <w:spacing w:after="0" w:line="240" w:lineRule="auto"/>
        <w:jc w:val="both"/>
        <w:rPr>
          <w:rFonts w:cstheme="minorHAnsi"/>
          <w:sz w:val="24"/>
          <w:szCs w:val="24"/>
        </w:rPr>
      </w:pPr>
    </w:p>
    <w:p w:rsidR="00502FDE" w:rsidRDefault="00502FDE" w:rsidP="0003632B">
      <w:pPr>
        <w:spacing w:after="0" w:line="240" w:lineRule="auto"/>
        <w:jc w:val="both"/>
        <w:rPr>
          <w:rFonts w:cstheme="minorHAnsi"/>
          <w:sz w:val="24"/>
          <w:szCs w:val="24"/>
        </w:rPr>
      </w:pPr>
    </w:p>
    <w:p w:rsidR="00502FDE" w:rsidRDefault="00502FDE" w:rsidP="0003632B">
      <w:pPr>
        <w:spacing w:after="0" w:line="240" w:lineRule="auto"/>
        <w:jc w:val="both"/>
        <w:rPr>
          <w:rFonts w:cstheme="minorHAnsi"/>
          <w:sz w:val="24"/>
          <w:szCs w:val="24"/>
        </w:rPr>
      </w:pPr>
    </w:p>
    <w:p w:rsidR="009352CD" w:rsidRDefault="009352CD" w:rsidP="0003632B">
      <w:pPr>
        <w:spacing w:after="0" w:line="240" w:lineRule="auto"/>
        <w:jc w:val="both"/>
        <w:rPr>
          <w:rFonts w:cstheme="minorHAnsi"/>
          <w:sz w:val="24"/>
          <w:szCs w:val="24"/>
        </w:rPr>
      </w:pPr>
    </w:p>
    <w:p w:rsidR="009352CD" w:rsidRDefault="009352CD" w:rsidP="009352CD">
      <w:pPr>
        <w:spacing w:after="0" w:line="240" w:lineRule="auto"/>
        <w:jc w:val="both"/>
        <w:rPr>
          <w:rFonts w:cs="Arial"/>
          <w:b/>
          <w:sz w:val="24"/>
          <w:szCs w:val="24"/>
        </w:rPr>
      </w:pPr>
      <w:r>
        <w:rPr>
          <w:rFonts w:cs="Arial"/>
          <w:b/>
          <w:sz w:val="24"/>
          <w:szCs w:val="24"/>
        </w:rPr>
        <w:t xml:space="preserve">CARLOS ENRIQUE SOTO JARAMILLO                                                         JUAN SAMY MERHEG MARUN      </w:t>
      </w:r>
    </w:p>
    <w:p w:rsidR="009352CD" w:rsidRDefault="009352CD" w:rsidP="009352CD">
      <w:pPr>
        <w:spacing w:after="0" w:line="240" w:lineRule="auto"/>
        <w:jc w:val="both"/>
        <w:rPr>
          <w:rFonts w:cstheme="minorHAnsi"/>
          <w:sz w:val="24"/>
          <w:szCs w:val="24"/>
        </w:rPr>
      </w:pP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w:t>
      </w:r>
      <w:r w:rsidR="00502FDE">
        <w:rPr>
          <w:rFonts w:cstheme="minorHAnsi"/>
          <w:sz w:val="24"/>
          <w:szCs w:val="24"/>
        </w:rPr>
        <w:t xml:space="preserve">                                         </w:t>
      </w:r>
      <w:r>
        <w:rPr>
          <w:rFonts w:cstheme="minorHAnsi"/>
          <w:sz w:val="24"/>
          <w:szCs w:val="24"/>
        </w:rPr>
        <w:t xml:space="preserve">Senador de la República                                             </w:t>
      </w:r>
    </w:p>
    <w:p w:rsidR="009352CD" w:rsidRDefault="009352CD" w:rsidP="0003632B">
      <w:pPr>
        <w:spacing w:after="0" w:line="240" w:lineRule="auto"/>
        <w:jc w:val="both"/>
        <w:rPr>
          <w:rFonts w:cstheme="minorHAnsi"/>
          <w:sz w:val="24"/>
          <w:szCs w:val="24"/>
        </w:rPr>
      </w:pPr>
    </w:p>
    <w:p w:rsidR="009352CD" w:rsidRPr="00C4684C" w:rsidRDefault="009352CD" w:rsidP="0003632B">
      <w:pPr>
        <w:spacing w:after="0" w:line="240" w:lineRule="auto"/>
        <w:jc w:val="both"/>
        <w:rPr>
          <w:rFonts w:cstheme="minorHAnsi"/>
          <w:b/>
          <w:sz w:val="24"/>
          <w:szCs w:val="24"/>
        </w:rPr>
      </w:pPr>
    </w:p>
    <w:p w:rsidR="007E526A" w:rsidRPr="00C4684C" w:rsidRDefault="007E526A" w:rsidP="007E526A">
      <w:pPr>
        <w:spacing w:after="0" w:line="240" w:lineRule="auto"/>
        <w:ind w:left="2124" w:firstLine="708"/>
        <w:jc w:val="both"/>
        <w:rPr>
          <w:rFonts w:cstheme="minorHAnsi"/>
          <w:b/>
          <w:sz w:val="24"/>
          <w:szCs w:val="24"/>
        </w:rPr>
      </w:pPr>
    </w:p>
    <w:p w:rsidR="0003632B" w:rsidRDefault="007E526A" w:rsidP="007D4B23">
      <w:pPr>
        <w:spacing w:after="0" w:line="240" w:lineRule="auto"/>
        <w:ind w:left="2124" w:firstLine="708"/>
        <w:rPr>
          <w:rFonts w:cstheme="minorHAnsi"/>
          <w:b/>
          <w:sz w:val="24"/>
          <w:szCs w:val="24"/>
        </w:rPr>
      </w:pPr>
      <w:r w:rsidRPr="007E526A">
        <w:rPr>
          <w:rFonts w:cstheme="minorHAnsi"/>
          <w:b/>
          <w:sz w:val="24"/>
          <w:szCs w:val="24"/>
        </w:rPr>
        <w:t>EXPOSICION DE MOTIVOS</w:t>
      </w:r>
    </w:p>
    <w:p w:rsidR="007D4B23" w:rsidRDefault="007D4B23" w:rsidP="007D4B23">
      <w:pPr>
        <w:spacing w:after="0" w:line="240" w:lineRule="auto"/>
        <w:ind w:left="2124" w:firstLine="708"/>
        <w:rPr>
          <w:rFonts w:cstheme="minorHAnsi"/>
          <w:b/>
          <w:sz w:val="24"/>
          <w:szCs w:val="24"/>
        </w:rPr>
      </w:pPr>
    </w:p>
    <w:p w:rsidR="007E526A" w:rsidRPr="007E526A" w:rsidRDefault="0003632B" w:rsidP="0003632B">
      <w:pPr>
        <w:jc w:val="center"/>
        <w:rPr>
          <w:rFonts w:cstheme="minorHAnsi"/>
          <w:b/>
          <w:sz w:val="24"/>
          <w:szCs w:val="24"/>
        </w:rPr>
      </w:pPr>
      <w:r w:rsidRPr="007E526A">
        <w:rPr>
          <w:rFonts w:cstheme="minorHAnsi"/>
          <w:b/>
          <w:sz w:val="24"/>
          <w:szCs w:val="24"/>
        </w:rPr>
        <w:t>Proyecto de Ley No             “Por medio de la cual se modifica la Ley 426 de 1.998”</w:t>
      </w:r>
    </w:p>
    <w:p w:rsidR="007E526A" w:rsidRPr="007E526A" w:rsidRDefault="007E526A" w:rsidP="007E526A">
      <w:pPr>
        <w:spacing w:after="0" w:line="240" w:lineRule="auto"/>
        <w:jc w:val="both"/>
        <w:rPr>
          <w:rFonts w:cstheme="minorHAnsi"/>
          <w:sz w:val="24"/>
          <w:szCs w:val="24"/>
        </w:rPr>
      </w:pPr>
    </w:p>
    <w:p w:rsidR="007E526A" w:rsidRPr="007E526A" w:rsidRDefault="007E526A" w:rsidP="007E526A">
      <w:pPr>
        <w:spacing w:after="0" w:line="240" w:lineRule="auto"/>
        <w:jc w:val="both"/>
        <w:rPr>
          <w:rFonts w:cstheme="minorHAnsi"/>
          <w:sz w:val="24"/>
          <w:szCs w:val="24"/>
        </w:rPr>
      </w:pPr>
      <w:r w:rsidRPr="007E526A">
        <w:rPr>
          <w:rFonts w:cstheme="minorHAnsi"/>
          <w:sz w:val="24"/>
          <w:szCs w:val="24"/>
        </w:rPr>
        <w:t>El 13 de Enero de 1.998 se expidió la Ley No 426 de 1998, la cual autoriza a las Asambleas Departamentales de Caldas y de Risaralda, para que ordenen la emisión de la Estampilla "Universidad de Caldas y Universidad Nacional sede Manizales y a la Universidad Tecnológica de Pereira”, cuyo producto se destinará para la inversión y mantenimiento en la planta física, escenarios deportivos, instrumentos musicales, dotación, compra y mantenimiento de equipos requeridos y necesarios para desarrollar en estas Universidades nuevas tecnologías en las áreas de: Biotecnología, nuevos materiales, microelectrónica, informática, sistema de información, comunicaciones, robótica, dotación de bibliotecas, laboratorios, educación a distancia y demás elementos y bienes de infraestructura que requieran estos centros de educación superior.</w:t>
      </w:r>
    </w:p>
    <w:p w:rsidR="007E526A" w:rsidRPr="007E526A" w:rsidRDefault="007E526A" w:rsidP="007E526A">
      <w:pPr>
        <w:spacing w:after="0" w:line="240" w:lineRule="auto"/>
        <w:jc w:val="both"/>
        <w:rPr>
          <w:rFonts w:cstheme="minorHAnsi"/>
          <w:sz w:val="24"/>
          <w:szCs w:val="24"/>
        </w:rPr>
      </w:pPr>
    </w:p>
    <w:p w:rsidR="007E526A" w:rsidRPr="007E526A" w:rsidRDefault="007E526A" w:rsidP="007E526A">
      <w:pPr>
        <w:spacing w:after="0" w:line="240" w:lineRule="auto"/>
        <w:jc w:val="both"/>
        <w:rPr>
          <w:rFonts w:cstheme="minorHAnsi"/>
          <w:sz w:val="24"/>
          <w:szCs w:val="24"/>
        </w:rPr>
      </w:pPr>
      <w:r w:rsidRPr="007E526A">
        <w:rPr>
          <w:rFonts w:cstheme="minorHAnsi"/>
          <w:sz w:val="24"/>
          <w:szCs w:val="24"/>
        </w:rPr>
        <w:t>Esta ley ha permitido importantes avances en el desarrollo de estas universidades, en el proceso de formación de sus estudiantes , en elementos y bienes de infraestructura, ampliación y adecuación de sedes, en dotación tecnológica, de bibliotecas, laboratorios, desarrollo de educación a distancia</w:t>
      </w:r>
      <w:proofErr w:type="gramStart"/>
      <w:r w:rsidRPr="007E526A">
        <w:rPr>
          <w:rFonts w:cstheme="minorHAnsi"/>
          <w:sz w:val="24"/>
          <w:szCs w:val="24"/>
        </w:rPr>
        <w:t>,,</w:t>
      </w:r>
      <w:proofErr w:type="gramEnd"/>
      <w:r w:rsidRPr="007E526A">
        <w:rPr>
          <w:rFonts w:cstheme="minorHAnsi"/>
          <w:sz w:val="24"/>
          <w:szCs w:val="24"/>
        </w:rPr>
        <w:t xml:space="preserve"> en biotecnología, microelectrónica, informática, sistemas de información, comunicaciones, robótica, así como el apoyo y fomento proyectos de investigación y de desarrollo académico. </w:t>
      </w:r>
    </w:p>
    <w:p w:rsidR="007E526A" w:rsidRPr="007E526A" w:rsidRDefault="007E526A" w:rsidP="007E526A">
      <w:pPr>
        <w:spacing w:after="0" w:line="240" w:lineRule="auto"/>
        <w:jc w:val="both"/>
        <w:rPr>
          <w:rFonts w:cstheme="minorHAnsi"/>
          <w:sz w:val="24"/>
          <w:szCs w:val="24"/>
        </w:rPr>
      </w:pPr>
    </w:p>
    <w:p w:rsidR="007E526A" w:rsidRPr="007E526A" w:rsidRDefault="007E526A" w:rsidP="007E526A">
      <w:pPr>
        <w:spacing w:after="0" w:line="240" w:lineRule="auto"/>
        <w:jc w:val="both"/>
        <w:rPr>
          <w:rFonts w:cstheme="minorHAnsi"/>
          <w:sz w:val="24"/>
          <w:szCs w:val="24"/>
        </w:rPr>
      </w:pPr>
      <w:r w:rsidRPr="007E526A">
        <w:rPr>
          <w:rFonts w:cstheme="minorHAnsi"/>
          <w:sz w:val="24"/>
          <w:szCs w:val="24"/>
        </w:rPr>
        <w:t>Como demostración, a continuación se presenta un resumen detallado de la forma en que la</w:t>
      </w:r>
      <w:r w:rsidR="002308B2">
        <w:rPr>
          <w:rFonts w:cstheme="minorHAnsi"/>
          <w:sz w:val="24"/>
          <w:szCs w:val="24"/>
        </w:rPr>
        <w:t>s</w:t>
      </w:r>
      <w:r w:rsidRPr="007E526A">
        <w:rPr>
          <w:rFonts w:cstheme="minorHAnsi"/>
          <w:sz w:val="24"/>
          <w:szCs w:val="24"/>
        </w:rPr>
        <w:t xml:space="preserve"> Universidad</w:t>
      </w:r>
      <w:r w:rsidR="002308B2">
        <w:rPr>
          <w:rFonts w:cstheme="minorHAnsi"/>
          <w:sz w:val="24"/>
          <w:szCs w:val="24"/>
        </w:rPr>
        <w:t>es</w:t>
      </w:r>
      <w:r w:rsidRPr="007E526A">
        <w:rPr>
          <w:rFonts w:cstheme="minorHAnsi"/>
          <w:sz w:val="24"/>
          <w:szCs w:val="24"/>
        </w:rPr>
        <w:t xml:space="preserve"> ha</w:t>
      </w:r>
      <w:r w:rsidR="002308B2">
        <w:rPr>
          <w:rFonts w:cstheme="minorHAnsi"/>
          <w:sz w:val="24"/>
          <w:szCs w:val="24"/>
        </w:rPr>
        <w:t>n</w:t>
      </w:r>
      <w:r w:rsidRPr="007E526A">
        <w:rPr>
          <w:rFonts w:cstheme="minorHAnsi"/>
          <w:sz w:val="24"/>
          <w:szCs w:val="24"/>
        </w:rPr>
        <w:t xml:space="preserve"> adelantado las inversiones producto de esta ley y los logros correspondientes. </w:t>
      </w:r>
    </w:p>
    <w:p w:rsidR="007E526A" w:rsidRPr="007E526A" w:rsidRDefault="007E526A" w:rsidP="007E526A">
      <w:pPr>
        <w:spacing w:after="0" w:line="240" w:lineRule="auto"/>
        <w:jc w:val="both"/>
        <w:rPr>
          <w:rFonts w:cstheme="minorHAnsi"/>
          <w:sz w:val="24"/>
          <w:szCs w:val="24"/>
        </w:rPr>
      </w:pPr>
    </w:p>
    <w:p w:rsidR="00C4684C" w:rsidRPr="00C4684C" w:rsidRDefault="00C4684C" w:rsidP="00660659">
      <w:pPr>
        <w:spacing w:after="160"/>
        <w:jc w:val="center"/>
        <w:rPr>
          <w:rFonts w:ascii="Arial" w:hAnsi="Arial" w:cs="Arial"/>
          <w:b/>
          <w:sz w:val="24"/>
          <w:szCs w:val="24"/>
        </w:rPr>
      </w:pPr>
    </w:p>
    <w:p w:rsidR="00C4684C" w:rsidRPr="00C4684C" w:rsidRDefault="00C4684C" w:rsidP="00660659">
      <w:pPr>
        <w:spacing w:after="160"/>
        <w:jc w:val="center"/>
        <w:rPr>
          <w:rFonts w:ascii="Arial" w:hAnsi="Arial" w:cs="Arial"/>
          <w:b/>
          <w:sz w:val="24"/>
          <w:szCs w:val="24"/>
        </w:rPr>
      </w:pPr>
    </w:p>
    <w:p w:rsidR="00C4684C" w:rsidRPr="00C4684C" w:rsidRDefault="00C4684C" w:rsidP="00660659">
      <w:pPr>
        <w:spacing w:after="160"/>
        <w:jc w:val="center"/>
        <w:rPr>
          <w:rFonts w:ascii="Arial" w:hAnsi="Arial" w:cs="Arial"/>
          <w:b/>
          <w:sz w:val="24"/>
          <w:szCs w:val="24"/>
        </w:rPr>
      </w:pPr>
    </w:p>
    <w:p w:rsidR="007D4B23" w:rsidRDefault="007D4B23" w:rsidP="007D4B23">
      <w:pPr>
        <w:spacing w:after="160" w:line="259" w:lineRule="auto"/>
        <w:rPr>
          <w:rFonts w:ascii="Arial" w:hAnsi="Arial" w:cs="Arial"/>
          <w:b/>
          <w:sz w:val="24"/>
          <w:szCs w:val="24"/>
        </w:rPr>
      </w:pPr>
    </w:p>
    <w:p w:rsidR="00CE3AA6" w:rsidRDefault="00CE3AA6" w:rsidP="007D4B23">
      <w:pPr>
        <w:spacing w:after="160" w:line="259" w:lineRule="auto"/>
        <w:rPr>
          <w:b/>
          <w:noProof/>
          <w:sz w:val="24"/>
          <w:szCs w:val="24"/>
          <w:lang w:val="es-ES" w:eastAsia="es-ES"/>
        </w:rPr>
      </w:pPr>
    </w:p>
    <w:p w:rsidR="00502FDE" w:rsidRDefault="00D37E45" w:rsidP="007D4B23">
      <w:pPr>
        <w:spacing w:after="160" w:line="259" w:lineRule="auto"/>
        <w:rPr>
          <w:b/>
          <w:noProof/>
          <w:sz w:val="28"/>
          <w:szCs w:val="28"/>
          <w:lang w:val="es-ES" w:eastAsia="es-ES"/>
        </w:rPr>
      </w:pPr>
      <w:r w:rsidRPr="00033FBC">
        <w:rPr>
          <w:b/>
          <w:noProof/>
          <w:sz w:val="28"/>
          <w:szCs w:val="28"/>
          <w:lang w:val="es-ES" w:eastAsia="es-ES"/>
        </w:rPr>
        <w:lastRenderedPageBreak/>
        <w:t xml:space="preserve">      </w:t>
      </w:r>
    </w:p>
    <w:p w:rsidR="007D4B23" w:rsidRPr="007D4B23" w:rsidRDefault="007D4B23" w:rsidP="007D4B23">
      <w:pPr>
        <w:spacing w:after="160" w:line="259" w:lineRule="auto"/>
        <w:rPr>
          <w:b/>
          <w:noProof/>
          <w:sz w:val="28"/>
          <w:szCs w:val="28"/>
          <w:lang w:val="es-ES" w:eastAsia="es-ES"/>
        </w:rPr>
      </w:pPr>
      <w:r w:rsidRPr="007D4B23">
        <w:rPr>
          <w:b/>
          <w:noProof/>
          <w:sz w:val="28"/>
          <w:szCs w:val="28"/>
          <w:lang w:val="es-ES" w:eastAsia="es-ES"/>
        </w:rPr>
        <w:t>UNIVERSIDAD DE CALDAS</w:t>
      </w:r>
    </w:p>
    <w:p w:rsidR="00D37E45" w:rsidRPr="00D37E45" w:rsidRDefault="00D37E45" w:rsidP="00D37E45">
      <w:pPr>
        <w:spacing w:after="160" w:line="259" w:lineRule="auto"/>
        <w:rPr>
          <w:b/>
          <w:noProof/>
          <w:lang w:val="es-ES" w:eastAsia="es-ES"/>
        </w:rPr>
      </w:pPr>
      <w:r>
        <w:rPr>
          <w:noProof/>
          <w:lang w:val="es-ES" w:eastAsia="es-ES"/>
        </w:rPr>
        <w:t xml:space="preserve">      </w:t>
      </w:r>
      <w:r w:rsidRPr="00D37E45">
        <w:rPr>
          <w:b/>
          <w:noProof/>
          <w:lang w:val="es-ES" w:eastAsia="es-ES"/>
        </w:rPr>
        <w:t>Recursos estampilla</w:t>
      </w:r>
      <w:r w:rsidR="00033FBC">
        <w:rPr>
          <w:b/>
          <w:noProof/>
          <w:lang w:val="es-ES" w:eastAsia="es-ES"/>
        </w:rPr>
        <w:t xml:space="preserve">                                                                     PRESUPUESTO</w:t>
      </w:r>
    </w:p>
    <w:p w:rsidR="00D37E45" w:rsidRPr="00D37E45" w:rsidRDefault="00D37E45" w:rsidP="00D37E45">
      <w:pPr>
        <w:spacing w:after="160" w:line="259" w:lineRule="auto"/>
        <w:rPr>
          <w:b/>
          <w:noProof/>
          <w:lang w:val="es-ES" w:eastAsia="es-ES"/>
        </w:rPr>
      </w:pPr>
      <w:r>
        <w:rPr>
          <w:b/>
          <w:noProof/>
          <w:lang w:val="es-ES" w:eastAsia="es-ES"/>
        </w:rPr>
        <w:t xml:space="preserve">      </w:t>
      </w:r>
      <w:r w:rsidRPr="00D37E45">
        <w:rPr>
          <w:b/>
          <w:noProof/>
          <w:lang w:val="es-ES" w:eastAsia="es-ES"/>
        </w:rPr>
        <w:t xml:space="preserve">Recaudo histórico 1998- 2016    </w:t>
      </w:r>
      <w:r>
        <w:rPr>
          <w:b/>
          <w:noProof/>
          <w:lang w:val="es-ES" w:eastAsia="es-ES"/>
        </w:rPr>
        <w:t xml:space="preserve">                                            </w:t>
      </w:r>
      <w:r w:rsidRPr="00D37E45">
        <w:rPr>
          <w:b/>
          <w:noProof/>
          <w:lang w:val="es-ES" w:eastAsia="es-ES"/>
        </w:rPr>
        <w:t xml:space="preserve">   Valores en Miles de Pesos</w:t>
      </w:r>
    </w:p>
    <w:p w:rsidR="00D37E45" w:rsidRPr="00033FBC" w:rsidRDefault="00D37E45" w:rsidP="00D37E45">
      <w:pPr>
        <w:spacing w:after="160" w:line="259" w:lineRule="auto"/>
        <w:rPr>
          <w:b/>
          <w:noProof/>
          <w:lang w:val="es-ES" w:eastAsia="es-ES"/>
        </w:rPr>
      </w:pPr>
    </w:p>
    <w:p w:rsidR="00D37E45" w:rsidRPr="00033FBC" w:rsidRDefault="00D37E45" w:rsidP="00D37E45">
      <w:pPr>
        <w:spacing w:after="160" w:line="259" w:lineRule="auto"/>
        <w:rPr>
          <w:b/>
          <w:noProof/>
          <w:lang w:val="es-ES" w:eastAsia="es-ES"/>
        </w:rPr>
      </w:pPr>
      <w:r w:rsidRPr="00033FBC">
        <w:rPr>
          <w:b/>
          <w:noProof/>
          <w:lang w:val="es-ES" w:eastAsia="es-ES"/>
        </w:rPr>
        <w:drawing>
          <wp:inline distT="0" distB="0" distL="0" distR="0" wp14:anchorId="03DC2122" wp14:editId="2EEFD258">
            <wp:extent cx="5779517" cy="52407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040" cy="5242121"/>
                    </a:xfrm>
                    <a:prstGeom prst="rect">
                      <a:avLst/>
                    </a:prstGeom>
                    <a:noFill/>
                  </pic:spPr>
                </pic:pic>
              </a:graphicData>
            </a:graphic>
          </wp:inline>
        </w:drawing>
      </w:r>
      <w:r w:rsidRPr="00033FBC">
        <w:rPr>
          <w:b/>
          <w:noProof/>
          <w:lang w:val="es-ES" w:eastAsia="es-ES"/>
        </w:rPr>
        <mc:AlternateContent>
          <mc:Choice Requires="wps">
            <w:drawing>
              <wp:anchor distT="0" distB="0" distL="114300" distR="114300" simplePos="0" relativeHeight="251660288" behindDoc="0" locked="0" layoutInCell="1" allowOverlap="1" wp14:anchorId="333C60A3" wp14:editId="2E542A47">
                <wp:simplePos x="0" y="0"/>
                <wp:positionH relativeFrom="column">
                  <wp:posOffset>784860</wp:posOffset>
                </wp:positionH>
                <wp:positionV relativeFrom="paragraph">
                  <wp:posOffset>200660</wp:posOffset>
                </wp:positionV>
                <wp:extent cx="2701925" cy="47625"/>
                <wp:effectExtent l="0" t="0" r="0" b="9525"/>
                <wp:wrapNone/>
                <wp:docPr id="1536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019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E45" w:rsidRPr="00BA2831" w:rsidRDefault="00D37E45" w:rsidP="00D37E45">
                            <w:pPr>
                              <w:pStyle w:val="NormalWeb"/>
                              <w:spacing w:after="0" w:line="216" w:lineRule="auto"/>
                              <w:textAlignment w:val="baseline"/>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61.8pt;margin-top:15.8pt;width:212.75pt;height:3.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" filled="f" stroked="f">
                <v:textbox>
                  <w:txbxContent>
                    <w:p w:rsidR="00D37E45" w:rsidRPr="00BA2831" w:rsidRDefault="00D37E45" w:rsidP="00D37E45">
                      <w:pPr>
                        <w:pStyle w:val="NormalWeb"/>
                        <w:spacing w:after="0" w:line="216" w:lineRule="auto"/>
                        <w:textAlignment w:val="baseline"/>
                      </w:pPr>
                    </w:p>
                  </w:txbxContent>
                </v:textbox>
              </v:rect>
            </w:pict>
          </mc:Fallback>
        </mc:AlternateContent>
      </w:r>
    </w:p>
    <w:p w:rsidR="00D37E45" w:rsidRPr="00D37E45" w:rsidRDefault="00D37E45" w:rsidP="00D37E45">
      <w:pPr>
        <w:spacing w:after="160" w:line="259" w:lineRule="auto"/>
        <w:rPr>
          <w:b/>
          <w:noProof/>
          <w:lang w:val="es-ES" w:eastAsia="es-ES"/>
        </w:rPr>
      </w:pPr>
      <w:r w:rsidRPr="00D37E45">
        <w:rPr>
          <w:b/>
          <w:noProof/>
          <w:lang w:val="es-ES" w:eastAsia="es-ES"/>
        </w:rPr>
        <w:lastRenderedPageBreak/>
        <mc:AlternateContent>
          <mc:Choice Requires="wps">
            <w:drawing>
              <wp:anchor distT="0" distB="0" distL="114300" distR="114300" simplePos="0" relativeHeight="251659264" behindDoc="0" locked="0" layoutInCell="1" allowOverlap="1" wp14:anchorId="7A689418" wp14:editId="19064D57">
                <wp:simplePos x="0" y="0"/>
                <wp:positionH relativeFrom="column">
                  <wp:posOffset>3780752</wp:posOffset>
                </wp:positionH>
                <wp:positionV relativeFrom="paragraph">
                  <wp:posOffset>37361</wp:posOffset>
                </wp:positionV>
                <wp:extent cx="2080895" cy="45719"/>
                <wp:effectExtent l="0" t="19050" r="0" b="12065"/>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8089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E45" w:rsidRPr="00BA2831" w:rsidRDefault="00D37E45" w:rsidP="00D37E45">
                            <w:pPr>
                              <w:pStyle w:val="NormalWeb"/>
                              <w:spacing w:after="0" w:line="192" w:lineRule="auto"/>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22" o:spid="_x0000_s1027" style="position:absolute;margin-left:297.7pt;margin-top:2.95pt;width:163.8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" filled="f" stroked="f">
                <v:textbox>
                  <w:txbxContent>
                    <w:p w:rsidR="00D37E45" w:rsidRPr="00BA2831" w:rsidRDefault="00D37E45" w:rsidP="00D37E45">
                      <w:pPr>
                        <w:pStyle w:val="NormalWeb"/>
                        <w:spacing w:after="0" w:line="192" w:lineRule="auto"/>
                      </w:pPr>
                    </w:p>
                  </w:txbxContent>
                </v:textbox>
              </v:rect>
            </w:pict>
          </mc:Fallback>
        </mc:AlternateContent>
      </w:r>
      <w:r>
        <w:rPr>
          <w:b/>
          <w:noProof/>
          <w:lang w:val="es-ES" w:eastAsia="es-ES"/>
        </w:rPr>
        <w:t xml:space="preserve">          </w:t>
      </w:r>
      <w:r w:rsidRPr="00D37E45">
        <w:rPr>
          <w:b/>
          <w:noProof/>
          <w:lang w:val="es-ES" w:eastAsia="es-ES"/>
        </w:rPr>
        <w:t>RECURSOS ESTAMPILLA</w:t>
      </w:r>
      <w:r>
        <w:rPr>
          <w:b/>
          <w:noProof/>
          <w:lang w:val="es-ES" w:eastAsia="es-ES"/>
        </w:rPr>
        <w:t xml:space="preserve">                                                       PRESUPUESTO</w:t>
      </w:r>
    </w:p>
    <w:p w:rsidR="00D37E45" w:rsidRPr="00D37E45" w:rsidRDefault="00D37E45" w:rsidP="00D37E45">
      <w:pPr>
        <w:spacing w:after="160" w:line="259" w:lineRule="auto"/>
        <w:rPr>
          <w:b/>
          <w:noProof/>
          <w:lang w:val="es-ES" w:eastAsia="es-ES"/>
        </w:rPr>
      </w:pPr>
      <w:r>
        <w:rPr>
          <w:b/>
          <w:noProof/>
          <w:lang w:val="es-ES" w:eastAsia="es-ES"/>
        </w:rPr>
        <w:t xml:space="preserve">          </w:t>
      </w:r>
      <w:r w:rsidRPr="00D37E45">
        <w:rPr>
          <w:b/>
          <w:noProof/>
          <w:lang w:val="es-ES" w:eastAsia="es-ES"/>
        </w:rPr>
        <w:t>INVERSION</w:t>
      </w:r>
      <w:r>
        <w:rPr>
          <w:b/>
          <w:noProof/>
          <w:lang w:val="es-ES" w:eastAsia="es-ES"/>
        </w:rPr>
        <w:t xml:space="preserve">                                                                              Valores en Miles de Pesos</w:t>
      </w:r>
    </w:p>
    <w:p w:rsidR="007D4B23" w:rsidRPr="00D37E45" w:rsidRDefault="00D37E45" w:rsidP="00D37E45">
      <w:pPr>
        <w:spacing w:after="160" w:line="259" w:lineRule="auto"/>
        <w:rPr>
          <w:noProof/>
          <w:lang w:val="es-ES" w:eastAsia="es-ES"/>
        </w:rPr>
      </w:pPr>
      <w:r w:rsidRPr="00D37E45">
        <w:rPr>
          <w:noProof/>
          <w:lang w:val="es-ES" w:eastAsia="es-ES"/>
        </w:rPr>
        <w:drawing>
          <wp:inline distT="0" distB="0" distL="0" distR="0" wp14:anchorId="5BD2CEAF" wp14:editId="414FF301">
            <wp:extent cx="5602406" cy="5261212"/>
            <wp:effectExtent l="95250" t="304800" r="113030" b="35877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37E45" w:rsidRDefault="00D37E45" w:rsidP="00033FBC">
      <w:pPr>
        <w:spacing w:after="160"/>
        <w:rPr>
          <w:rFonts w:ascii="Arial" w:hAnsi="Arial" w:cs="Arial"/>
          <w:b/>
          <w:sz w:val="24"/>
        </w:rPr>
      </w:pPr>
    </w:p>
    <w:p w:rsidR="00D37E45" w:rsidRPr="00D37E45" w:rsidRDefault="00D37E45" w:rsidP="007D4B23">
      <w:pPr>
        <w:spacing w:after="160"/>
        <w:jc w:val="center"/>
        <w:rPr>
          <w:rFonts w:ascii="Arial" w:hAnsi="Arial" w:cs="Arial"/>
          <w:b/>
          <w:sz w:val="24"/>
        </w:rPr>
      </w:pPr>
    </w:p>
    <w:p w:rsidR="007D4B23" w:rsidRPr="007D4B23" w:rsidRDefault="007D4B23" w:rsidP="007D4B23">
      <w:pPr>
        <w:spacing w:after="160"/>
        <w:jc w:val="center"/>
        <w:rPr>
          <w:rFonts w:ascii="Arial" w:hAnsi="Arial" w:cs="Arial"/>
          <w:b/>
          <w:sz w:val="24"/>
        </w:rPr>
      </w:pPr>
      <w:r w:rsidRPr="007D4B23">
        <w:rPr>
          <w:rFonts w:ascii="Arial" w:hAnsi="Arial" w:cs="Arial"/>
          <w:b/>
          <w:sz w:val="24"/>
        </w:rPr>
        <w:t>UNIVERSIDAD NACIONAL DE COLOMBIA SEDE MANIZALES</w:t>
      </w:r>
    </w:p>
    <w:p w:rsidR="007D4B23" w:rsidRPr="007D4B23" w:rsidRDefault="007D4B23" w:rsidP="007D4B23">
      <w:pPr>
        <w:spacing w:after="160"/>
        <w:jc w:val="center"/>
        <w:rPr>
          <w:rFonts w:ascii="Arial" w:hAnsi="Arial" w:cs="Arial"/>
          <w:b/>
          <w:sz w:val="24"/>
        </w:rPr>
      </w:pPr>
    </w:p>
    <w:p w:rsidR="007D4B23" w:rsidRPr="007D4B23" w:rsidRDefault="007D4B23" w:rsidP="007D4B23">
      <w:pPr>
        <w:spacing w:after="160"/>
        <w:jc w:val="center"/>
        <w:rPr>
          <w:rFonts w:ascii="Arial" w:hAnsi="Arial" w:cs="Arial"/>
          <w:b/>
          <w:sz w:val="24"/>
        </w:rPr>
      </w:pPr>
      <w:r w:rsidRPr="007D4B23">
        <w:rPr>
          <w:rFonts w:ascii="Arial" w:hAnsi="Arial" w:cs="Arial"/>
          <w:b/>
          <w:sz w:val="24"/>
        </w:rPr>
        <w:t>Tabla N°1. Recaudo por Concepto de Estampilla (1998-2015)</w:t>
      </w:r>
    </w:p>
    <w:tbl>
      <w:tblPr>
        <w:tblW w:w="9980" w:type="dxa"/>
        <w:jc w:val="center"/>
        <w:tblCellMar>
          <w:left w:w="0" w:type="dxa"/>
          <w:right w:w="0" w:type="dxa"/>
        </w:tblCellMar>
        <w:tblLook w:val="0600" w:firstRow="0" w:lastRow="0" w:firstColumn="0" w:lastColumn="0" w:noHBand="1" w:noVBand="1"/>
      </w:tblPr>
      <w:tblGrid>
        <w:gridCol w:w="1580"/>
        <w:gridCol w:w="2840"/>
        <w:gridCol w:w="2840"/>
        <w:gridCol w:w="2720"/>
      </w:tblGrid>
      <w:tr w:rsidR="007D4B23" w:rsidRPr="007D4B23" w:rsidTr="00405E9B">
        <w:trPr>
          <w:trHeight w:val="300"/>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10253F"/>
            <w:tcMar>
              <w:top w:w="15" w:type="dxa"/>
              <w:left w:w="15" w:type="dxa"/>
              <w:bottom w:w="0" w:type="dxa"/>
              <w:right w:w="15" w:type="dxa"/>
            </w:tcMar>
            <w:vAlign w:val="bottom"/>
            <w:hideMark/>
          </w:tcPr>
          <w:p w:rsidR="007D4B23" w:rsidRPr="007D4B23" w:rsidRDefault="007D4B23" w:rsidP="007D4B23">
            <w:pPr>
              <w:spacing w:after="0" w:line="240" w:lineRule="auto"/>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VIGENCIA</w:t>
            </w:r>
          </w:p>
        </w:tc>
        <w:tc>
          <w:tcPr>
            <w:tcW w:w="2840" w:type="dxa"/>
            <w:tcBorders>
              <w:top w:val="single" w:sz="8" w:space="0" w:color="000000"/>
              <w:left w:val="single" w:sz="8" w:space="0" w:color="000000"/>
              <w:bottom w:val="single" w:sz="8" w:space="0" w:color="000000"/>
              <w:right w:val="single" w:sz="8" w:space="0" w:color="000000"/>
            </w:tcBorders>
            <w:shd w:val="clear" w:color="auto" w:fill="10253F"/>
            <w:tcMar>
              <w:top w:w="15" w:type="dxa"/>
              <w:left w:w="15" w:type="dxa"/>
              <w:bottom w:w="0" w:type="dxa"/>
              <w:right w:w="15" w:type="dxa"/>
            </w:tcMar>
            <w:vAlign w:val="center"/>
            <w:hideMark/>
          </w:tcPr>
          <w:p w:rsidR="007D4B23" w:rsidRPr="007D4B23" w:rsidRDefault="007D4B23" w:rsidP="007D4B23">
            <w:pPr>
              <w:spacing w:after="0" w:line="240" w:lineRule="auto"/>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DEPARTAMENTAL</w:t>
            </w:r>
          </w:p>
        </w:tc>
        <w:tc>
          <w:tcPr>
            <w:tcW w:w="2840" w:type="dxa"/>
            <w:tcBorders>
              <w:top w:val="single" w:sz="8" w:space="0" w:color="000000"/>
              <w:left w:val="single" w:sz="8" w:space="0" w:color="000000"/>
              <w:bottom w:val="single" w:sz="8" w:space="0" w:color="000000"/>
              <w:right w:val="single" w:sz="8" w:space="0" w:color="000000"/>
            </w:tcBorders>
            <w:shd w:val="clear" w:color="auto" w:fill="10253F"/>
            <w:tcMar>
              <w:top w:w="15" w:type="dxa"/>
              <w:left w:w="15" w:type="dxa"/>
              <w:bottom w:w="0" w:type="dxa"/>
              <w:right w:w="15" w:type="dxa"/>
            </w:tcMar>
            <w:vAlign w:val="center"/>
            <w:hideMark/>
          </w:tcPr>
          <w:p w:rsidR="007D4B23" w:rsidRPr="007D4B23" w:rsidRDefault="007D4B23" w:rsidP="007D4B23">
            <w:pPr>
              <w:spacing w:after="0" w:line="240" w:lineRule="auto"/>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MUNICIPAL</w:t>
            </w:r>
          </w:p>
        </w:tc>
        <w:tc>
          <w:tcPr>
            <w:tcW w:w="2720" w:type="dxa"/>
            <w:tcBorders>
              <w:top w:val="single" w:sz="8" w:space="0" w:color="000000"/>
              <w:left w:val="single" w:sz="8" w:space="0" w:color="000000"/>
              <w:bottom w:val="single" w:sz="8" w:space="0" w:color="000000"/>
              <w:right w:val="single" w:sz="8" w:space="0" w:color="000000"/>
            </w:tcBorders>
            <w:shd w:val="clear" w:color="auto" w:fill="10253F"/>
            <w:tcMar>
              <w:top w:w="15" w:type="dxa"/>
              <w:left w:w="15" w:type="dxa"/>
              <w:bottom w:w="0" w:type="dxa"/>
              <w:right w:w="15" w:type="dxa"/>
            </w:tcMar>
            <w:vAlign w:val="center"/>
            <w:hideMark/>
          </w:tcPr>
          <w:p w:rsidR="007D4B23" w:rsidRPr="007D4B23" w:rsidRDefault="007D4B23" w:rsidP="007D4B23">
            <w:pPr>
              <w:spacing w:after="0" w:line="240" w:lineRule="auto"/>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TOTAL (Corriente)</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1998</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37.134.230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37.134.230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1999</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475.155.664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359.776.662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834.932.326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2000</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412.061.507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155.309.771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567.371.278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2001</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424.955.887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179.082.542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604.038.429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2002</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397.478.672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267.804.130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665.282.802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2003</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463.883.101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166.981.890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630.864.991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2004</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746.723.646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155.484.492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902.208.138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2005</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516.635.634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273.375.464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790.011.098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2006</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1.369.528.460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325.715.233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1.695.243.693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2007</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1.017.484.193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537.606.520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1.555.090.713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2008</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2.579.707.942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868.764.761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3.448.472.703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2009</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2.577.004.384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953.504.300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3.530.508.684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2010</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4.337.538.093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1.283.246.818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5.620.784.911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2011</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2.865.786.173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1.120.976.004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3.986.762.177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2012</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2.404.315.283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1.197.665.563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3.601.980.846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2013</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118.452.764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1.899.423.648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2.017.876.412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2014</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1.389.529.798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1.436.935.079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2.826.464.877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2015</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1.047.433.981 </w:t>
            </w:r>
          </w:p>
        </w:tc>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1.202.226.568 </w:t>
            </w:r>
          </w:p>
        </w:tc>
        <w:tc>
          <w:tcPr>
            <w:tcW w:w="2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sz w:val="24"/>
                <w:szCs w:val="24"/>
                <w:lang w:val="es-ES" w:eastAsia="es-ES"/>
              </w:rPr>
            </w:pPr>
            <w:r w:rsidRPr="007D4B23">
              <w:rPr>
                <w:rFonts w:ascii="Arial" w:eastAsia="Times New Roman" w:hAnsi="Arial" w:cs="Arial"/>
                <w:sz w:val="24"/>
                <w:szCs w:val="24"/>
                <w:lang w:val="es-ES" w:eastAsia="es-ES"/>
              </w:rPr>
              <w:t xml:space="preserve"> $        2.249.660.549 </w:t>
            </w:r>
          </w:p>
        </w:tc>
      </w:tr>
      <w:tr w:rsidR="007D4B23" w:rsidRPr="007D4B23" w:rsidTr="00405E9B">
        <w:trPr>
          <w:trHeight w:val="285"/>
          <w:jc w:val="center"/>
        </w:trPr>
        <w:tc>
          <w:tcPr>
            <w:tcW w:w="15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bottom"/>
            <w:hideMark/>
          </w:tcPr>
          <w:p w:rsidR="007D4B23" w:rsidRPr="007D4B23" w:rsidRDefault="007D4B23" w:rsidP="007D4B23">
            <w:pPr>
              <w:spacing w:after="0" w:line="240" w:lineRule="auto"/>
              <w:jc w:val="center"/>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TOTAL</w:t>
            </w:r>
          </w:p>
        </w:tc>
        <w:tc>
          <w:tcPr>
            <w:tcW w:w="28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 xml:space="preserve"> $      23.180.809.412 </w:t>
            </w:r>
          </w:p>
        </w:tc>
        <w:tc>
          <w:tcPr>
            <w:tcW w:w="28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 xml:space="preserve"> $      12.383.879.445 </w:t>
            </w:r>
          </w:p>
        </w:tc>
        <w:tc>
          <w:tcPr>
            <w:tcW w:w="27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bottom"/>
            <w:hideMark/>
          </w:tcPr>
          <w:p w:rsidR="007D4B23" w:rsidRPr="007D4B23" w:rsidRDefault="007D4B23" w:rsidP="007D4B23">
            <w:pPr>
              <w:spacing w:after="0" w:line="240" w:lineRule="auto"/>
              <w:jc w:val="right"/>
              <w:rPr>
                <w:rFonts w:ascii="Arial" w:eastAsia="Times New Roman" w:hAnsi="Arial" w:cs="Arial"/>
                <w:b/>
                <w:sz w:val="24"/>
                <w:szCs w:val="24"/>
                <w:lang w:val="es-ES" w:eastAsia="es-ES"/>
              </w:rPr>
            </w:pPr>
            <w:r w:rsidRPr="007D4B23">
              <w:rPr>
                <w:rFonts w:ascii="Arial" w:eastAsia="Times New Roman" w:hAnsi="Arial" w:cs="Arial"/>
                <w:b/>
                <w:sz w:val="24"/>
                <w:szCs w:val="24"/>
                <w:lang w:val="es-ES" w:eastAsia="es-ES"/>
              </w:rPr>
              <w:t xml:space="preserve"> $      35.564.688.857 </w:t>
            </w:r>
          </w:p>
        </w:tc>
      </w:tr>
    </w:tbl>
    <w:p w:rsidR="007D4B23" w:rsidRPr="007D4B23" w:rsidRDefault="007D4B23" w:rsidP="007D4B23">
      <w:pPr>
        <w:spacing w:after="160"/>
        <w:jc w:val="center"/>
        <w:rPr>
          <w:rFonts w:ascii="Arial" w:hAnsi="Arial" w:cs="Arial"/>
          <w:sz w:val="18"/>
          <w:szCs w:val="18"/>
        </w:rPr>
      </w:pPr>
      <w:r w:rsidRPr="007D4B23">
        <w:rPr>
          <w:rFonts w:ascii="Arial" w:hAnsi="Arial" w:cs="Arial"/>
          <w:sz w:val="18"/>
          <w:szCs w:val="18"/>
        </w:rPr>
        <w:t>Fuente: Dirección Administrativa/Sección Financiera</w:t>
      </w:r>
    </w:p>
    <w:p w:rsidR="007D4B23" w:rsidRPr="007D4B23" w:rsidRDefault="007D4B23" w:rsidP="007D4B23">
      <w:pPr>
        <w:spacing w:after="160"/>
        <w:jc w:val="center"/>
        <w:rPr>
          <w:rFonts w:ascii="Arial" w:hAnsi="Arial" w:cs="Arial"/>
          <w:b/>
          <w:sz w:val="24"/>
        </w:rPr>
      </w:pPr>
      <w:r w:rsidRPr="007D4B23">
        <w:rPr>
          <w:rFonts w:ascii="Arial" w:hAnsi="Arial" w:cs="Arial"/>
          <w:b/>
          <w:sz w:val="24"/>
        </w:rPr>
        <w:t>Gráfica N°1. Recaudo por Concepto de Estampilla (1998-2015)</w:t>
      </w:r>
    </w:p>
    <w:p w:rsidR="007D4B23" w:rsidRPr="007D4B23" w:rsidRDefault="007D4B23" w:rsidP="007D4B23">
      <w:pPr>
        <w:spacing w:after="160"/>
        <w:jc w:val="both"/>
        <w:rPr>
          <w:rFonts w:ascii="Arial" w:hAnsi="Arial" w:cs="Arial"/>
        </w:rPr>
      </w:pPr>
      <w:r w:rsidRPr="007D4B23">
        <w:rPr>
          <w:rFonts w:ascii="Arial" w:hAnsi="Arial" w:cs="Arial"/>
          <w:noProof/>
          <w:lang w:val="es-ES" w:eastAsia="es-ES"/>
        </w:rPr>
        <w:lastRenderedPageBreak/>
        <w:drawing>
          <wp:inline distT="0" distB="0" distL="0" distR="0" wp14:anchorId="090C8800" wp14:editId="40CA22F8">
            <wp:extent cx="5612130" cy="3198495"/>
            <wp:effectExtent l="0" t="0" r="7620" b="19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4B23" w:rsidRPr="007D4B23" w:rsidRDefault="007D4B23" w:rsidP="007D4B23">
      <w:pPr>
        <w:spacing w:after="0" w:line="240" w:lineRule="auto"/>
        <w:jc w:val="center"/>
        <w:rPr>
          <w:rFonts w:ascii="Arial" w:eastAsia="Times New Roman" w:hAnsi="Arial" w:cs="Arial"/>
          <w:sz w:val="18"/>
          <w:szCs w:val="18"/>
          <w:lang w:val="es-ES" w:eastAsia="es-ES"/>
        </w:rPr>
      </w:pPr>
      <w:r w:rsidRPr="007D4B23">
        <w:rPr>
          <w:rFonts w:ascii="Arial" w:eastAsia="Times New Roman" w:hAnsi="Arial" w:cs="Arial"/>
          <w:sz w:val="18"/>
          <w:szCs w:val="18"/>
          <w:lang w:val="es-ES" w:eastAsia="es-ES"/>
        </w:rPr>
        <w:t>Fuente: Dirección Administrativa/Sección Financiera</w:t>
      </w:r>
    </w:p>
    <w:p w:rsidR="007D4B23" w:rsidRPr="007D4B23" w:rsidRDefault="007D4B23" w:rsidP="007D4B23">
      <w:pPr>
        <w:spacing w:after="0" w:line="240" w:lineRule="auto"/>
        <w:jc w:val="center"/>
        <w:rPr>
          <w:rFonts w:ascii="Arial" w:eastAsia="Times New Roman" w:hAnsi="Arial" w:cs="Arial"/>
          <w:sz w:val="18"/>
          <w:szCs w:val="18"/>
          <w:lang w:val="es-ES" w:eastAsia="es-ES"/>
        </w:rPr>
      </w:pPr>
      <w:r w:rsidRPr="007D4B23">
        <w:rPr>
          <w:rFonts w:ascii="Arial" w:eastAsia="Times New Roman" w:hAnsi="Arial" w:cs="Arial"/>
          <w:sz w:val="18"/>
          <w:szCs w:val="18"/>
          <w:lang w:val="es-ES" w:eastAsia="es-ES"/>
        </w:rPr>
        <w:t>Nota: El recaudo de Estampilla ha sido objeto de cambios en su porcentaje así:</w:t>
      </w:r>
    </w:p>
    <w:p w:rsidR="007D4B23" w:rsidRPr="007D4B23" w:rsidRDefault="007D4B23" w:rsidP="007D4B23">
      <w:pPr>
        <w:spacing w:after="0" w:line="240" w:lineRule="auto"/>
        <w:jc w:val="center"/>
        <w:rPr>
          <w:rFonts w:ascii="Arial" w:eastAsia="Times New Roman" w:hAnsi="Arial" w:cs="Arial"/>
          <w:bCs/>
          <w:sz w:val="18"/>
          <w:szCs w:val="18"/>
          <w:lang w:val="es-ES" w:eastAsia="es-ES"/>
        </w:rPr>
      </w:pPr>
      <w:r w:rsidRPr="007D4B23">
        <w:rPr>
          <w:rFonts w:ascii="Arial" w:eastAsia="Times New Roman" w:hAnsi="Arial" w:cs="Arial"/>
          <w:bCs/>
          <w:sz w:val="18"/>
          <w:szCs w:val="18"/>
          <w:lang w:val="es-ES" w:eastAsia="es-ES"/>
        </w:rPr>
        <w:t>Hasta junio de 2011: 1.5%</w:t>
      </w:r>
    </w:p>
    <w:p w:rsidR="007D4B23" w:rsidRPr="007D4B23" w:rsidRDefault="007D4B23" w:rsidP="007D4B23">
      <w:pPr>
        <w:spacing w:after="0" w:line="240" w:lineRule="auto"/>
        <w:jc w:val="center"/>
        <w:rPr>
          <w:rFonts w:ascii="Arial" w:eastAsia="Times New Roman" w:hAnsi="Arial" w:cs="Arial"/>
          <w:bCs/>
          <w:sz w:val="18"/>
          <w:szCs w:val="18"/>
          <w:lang w:val="es-ES" w:eastAsia="es-ES"/>
        </w:rPr>
      </w:pPr>
      <w:r w:rsidRPr="007D4B23">
        <w:rPr>
          <w:rFonts w:ascii="Arial" w:eastAsia="Times New Roman" w:hAnsi="Arial" w:cs="Arial"/>
          <w:bCs/>
          <w:sz w:val="18"/>
          <w:szCs w:val="18"/>
          <w:lang w:val="es-ES" w:eastAsia="es-ES"/>
        </w:rPr>
        <w:t>Desde julio de 2011 hasta julio de 2012: 2%</w:t>
      </w:r>
    </w:p>
    <w:p w:rsidR="007D4B23" w:rsidRPr="007D4B23" w:rsidRDefault="007D4B23" w:rsidP="007D4B23">
      <w:pPr>
        <w:spacing w:after="0" w:line="240" w:lineRule="auto"/>
        <w:jc w:val="center"/>
        <w:rPr>
          <w:rFonts w:ascii="Arial" w:eastAsia="Times New Roman" w:hAnsi="Arial" w:cs="Arial"/>
          <w:bCs/>
          <w:sz w:val="18"/>
          <w:szCs w:val="18"/>
          <w:lang w:val="es-ES" w:eastAsia="es-ES"/>
        </w:rPr>
      </w:pPr>
      <w:r w:rsidRPr="007D4B23">
        <w:rPr>
          <w:rFonts w:ascii="Arial" w:eastAsia="Times New Roman" w:hAnsi="Arial" w:cs="Arial"/>
          <w:bCs/>
          <w:sz w:val="18"/>
          <w:szCs w:val="18"/>
          <w:lang w:val="es-ES" w:eastAsia="es-ES"/>
        </w:rPr>
        <w:t>Desde agosto de 2012 a la fecha: 1%</w:t>
      </w:r>
    </w:p>
    <w:p w:rsidR="007D4B23" w:rsidRDefault="007D4B23" w:rsidP="007D4B23">
      <w:pPr>
        <w:spacing w:after="160"/>
        <w:jc w:val="both"/>
        <w:rPr>
          <w:rFonts w:ascii="Arial" w:hAnsi="Arial" w:cs="Arial"/>
          <w:sz w:val="24"/>
          <w:szCs w:val="24"/>
        </w:rPr>
      </w:pPr>
    </w:p>
    <w:p w:rsidR="007D4B23" w:rsidRPr="007D4B23" w:rsidRDefault="007D4B23" w:rsidP="007D4B23">
      <w:pPr>
        <w:spacing w:after="160"/>
        <w:jc w:val="both"/>
        <w:rPr>
          <w:rFonts w:ascii="Arial" w:hAnsi="Arial" w:cs="Arial"/>
          <w:sz w:val="24"/>
          <w:szCs w:val="24"/>
        </w:rPr>
      </w:pPr>
      <w:r w:rsidRPr="007D4B23">
        <w:rPr>
          <w:rFonts w:ascii="Arial" w:hAnsi="Arial" w:cs="Arial"/>
          <w:sz w:val="24"/>
          <w:szCs w:val="24"/>
        </w:rPr>
        <w:t>La tabla N°2 evidencia el porcentaje de participación que ha tenido la estampilla en el plan de inversión de la Sede en un acumulado de periodo de 12 años, observando durante este tiempo un porcentaje acumulado en su participación de 29,2.</w:t>
      </w:r>
    </w:p>
    <w:p w:rsidR="007D4B23" w:rsidRDefault="007D4B23" w:rsidP="007D4B23">
      <w:pPr>
        <w:spacing w:after="160" w:line="259" w:lineRule="auto"/>
        <w:rPr>
          <w:b/>
          <w:sz w:val="24"/>
          <w:szCs w:val="24"/>
        </w:rPr>
      </w:pPr>
    </w:p>
    <w:p w:rsidR="007D4B23" w:rsidRDefault="007D4B23" w:rsidP="007D4B23">
      <w:pPr>
        <w:spacing w:after="160" w:line="259" w:lineRule="auto"/>
        <w:rPr>
          <w:b/>
          <w:sz w:val="24"/>
          <w:szCs w:val="24"/>
        </w:rPr>
      </w:pPr>
    </w:p>
    <w:p w:rsidR="007D4B23" w:rsidRDefault="007D4B23" w:rsidP="007D4B23">
      <w:pPr>
        <w:spacing w:after="160" w:line="259" w:lineRule="auto"/>
        <w:rPr>
          <w:b/>
          <w:sz w:val="24"/>
          <w:szCs w:val="24"/>
        </w:rPr>
      </w:pPr>
    </w:p>
    <w:p w:rsidR="007D4B23" w:rsidRDefault="007D4B23" w:rsidP="007D4B23">
      <w:pPr>
        <w:spacing w:after="160" w:line="259" w:lineRule="auto"/>
        <w:rPr>
          <w:b/>
          <w:sz w:val="24"/>
          <w:szCs w:val="24"/>
        </w:rPr>
      </w:pPr>
    </w:p>
    <w:p w:rsidR="007D4B23" w:rsidRDefault="007D4B23" w:rsidP="007D4B23">
      <w:pPr>
        <w:spacing w:after="160" w:line="259" w:lineRule="auto"/>
        <w:rPr>
          <w:b/>
          <w:sz w:val="24"/>
          <w:szCs w:val="24"/>
        </w:rPr>
      </w:pPr>
    </w:p>
    <w:p w:rsidR="007D4B23" w:rsidRDefault="007D4B23" w:rsidP="007D4B23">
      <w:pPr>
        <w:spacing w:after="160" w:line="259" w:lineRule="auto"/>
        <w:rPr>
          <w:b/>
          <w:sz w:val="24"/>
          <w:szCs w:val="24"/>
        </w:rPr>
      </w:pPr>
    </w:p>
    <w:p w:rsidR="007D4B23" w:rsidRDefault="007D4B23" w:rsidP="007D4B23">
      <w:pPr>
        <w:spacing w:after="160" w:line="259" w:lineRule="auto"/>
        <w:rPr>
          <w:b/>
          <w:sz w:val="24"/>
          <w:szCs w:val="24"/>
        </w:rPr>
      </w:pPr>
    </w:p>
    <w:p w:rsidR="007D4B23" w:rsidRDefault="007D4B23" w:rsidP="007D4B23">
      <w:pPr>
        <w:spacing w:after="160" w:line="259" w:lineRule="auto"/>
        <w:rPr>
          <w:b/>
          <w:sz w:val="24"/>
          <w:szCs w:val="24"/>
        </w:rPr>
      </w:pPr>
      <w:r w:rsidRPr="007D4B23">
        <w:rPr>
          <w:b/>
          <w:sz w:val="24"/>
          <w:szCs w:val="24"/>
        </w:rPr>
        <w:t>UNIVERSIDAD TECNOLOGICA DE PEREIRA</w:t>
      </w:r>
    </w:p>
    <w:p w:rsidR="00024B8A" w:rsidRPr="007D4B23" w:rsidRDefault="00024B8A" w:rsidP="007D4B23">
      <w:pPr>
        <w:spacing w:after="160" w:line="259" w:lineRule="auto"/>
        <w:rPr>
          <w:b/>
          <w:sz w:val="24"/>
          <w:szCs w:val="24"/>
        </w:rPr>
      </w:pPr>
    </w:p>
    <w:p w:rsidR="007D4B23" w:rsidRPr="007D4B23" w:rsidRDefault="007D4B23" w:rsidP="007D4B23">
      <w:pPr>
        <w:autoSpaceDE w:val="0"/>
        <w:autoSpaceDN w:val="0"/>
        <w:adjustRightInd w:val="0"/>
        <w:spacing w:after="0"/>
        <w:jc w:val="center"/>
        <w:rPr>
          <w:rFonts w:ascii="Times New Roman" w:hAnsi="Times New Roman" w:cs="Times New Roman"/>
          <w:b/>
          <w:bCs/>
          <w:color w:val="000000"/>
          <w:szCs w:val="24"/>
          <w:lang w:val="es-ES"/>
        </w:rPr>
      </w:pPr>
      <w:r w:rsidRPr="007D4B23">
        <w:rPr>
          <w:rFonts w:ascii="Times New Roman" w:hAnsi="Times New Roman" w:cs="Times New Roman"/>
          <w:b/>
          <w:bCs/>
          <w:color w:val="000000"/>
          <w:szCs w:val="24"/>
          <w:lang w:val="es-ES"/>
        </w:rPr>
        <w:t>RECAUDOS DE LA ESTAMPILLA PRO UTP</w:t>
      </w:r>
    </w:p>
    <w:p w:rsidR="007D4B23" w:rsidRDefault="007D4B23" w:rsidP="007D4B23">
      <w:pPr>
        <w:jc w:val="center"/>
      </w:pPr>
      <w:r w:rsidRPr="007D4B23">
        <w:rPr>
          <w:noProof/>
          <w:lang w:val="es-ES" w:eastAsia="es-ES"/>
        </w:rPr>
        <w:drawing>
          <wp:inline distT="0" distB="0" distL="0" distR="0" wp14:anchorId="25AC5C10" wp14:editId="60548EBA">
            <wp:extent cx="5419725" cy="52387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9725" cy="5238750"/>
                    </a:xfrm>
                    <a:prstGeom prst="rect">
                      <a:avLst/>
                    </a:prstGeom>
                    <a:noFill/>
                    <a:ln>
                      <a:noFill/>
                    </a:ln>
                  </pic:spPr>
                </pic:pic>
              </a:graphicData>
            </a:graphic>
          </wp:inline>
        </w:drawing>
      </w:r>
    </w:p>
    <w:p w:rsidR="00502FDE" w:rsidRPr="007D4B23" w:rsidRDefault="00502FDE" w:rsidP="007D4B23">
      <w:pPr>
        <w:jc w:val="center"/>
      </w:pPr>
    </w:p>
    <w:p w:rsidR="007D4B23" w:rsidRPr="007D4B23" w:rsidRDefault="007D4B23" w:rsidP="007D4B23">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7D4B23">
        <w:rPr>
          <w:u w:val="single"/>
          <w:lang w:val="es-ES"/>
        </w:rPr>
        <w:lastRenderedPageBreak/>
        <w:t>PLAN DE INVERSIONES UTP CON RECURSOS DE LA ESTAMPILLA</w:t>
      </w:r>
    </w:p>
    <w:p w:rsidR="007D4B23" w:rsidRPr="007D4B23" w:rsidRDefault="007D4B23" w:rsidP="007D4B23">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jc w:val="both"/>
      </w:pPr>
      <w:r w:rsidRPr="007D4B23">
        <w:t>Nuevas tecnologías en las áreas de: Biotecnología, nuevos materiales, microelectrónica, informática, sistema de información, comunicaciones, robótica</w:t>
      </w:r>
    </w:p>
    <w:p w:rsidR="007D4B23" w:rsidRPr="007D4B23" w:rsidRDefault="007D4B23" w:rsidP="007D4B23">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jc w:val="both"/>
      </w:pPr>
      <w:r w:rsidRPr="007D4B23">
        <w:rPr>
          <w:lang w:val="es-ES"/>
        </w:rPr>
        <w:t xml:space="preserve">Inversión y Mantenimiento de la Planta Física </w:t>
      </w:r>
    </w:p>
    <w:p w:rsidR="007D4B23" w:rsidRPr="007D4B23" w:rsidRDefault="007D4B23" w:rsidP="007D4B23">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jc w:val="both"/>
      </w:pPr>
      <w:r w:rsidRPr="007D4B23">
        <w:rPr>
          <w:lang w:val="es-ES"/>
        </w:rPr>
        <w:t xml:space="preserve">Dotación, compra y mantenimiento de equipos para nuevas tecnologías </w:t>
      </w:r>
    </w:p>
    <w:p w:rsidR="007D4B23" w:rsidRPr="007D4B23" w:rsidRDefault="007D4B23" w:rsidP="007D4B23">
      <w:pPr>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jc w:val="both"/>
      </w:pPr>
      <w:r w:rsidRPr="007D4B23">
        <w:rPr>
          <w:lang w:val="es-ES"/>
        </w:rPr>
        <w:t xml:space="preserve">Dotación de Bibliotecas, laboratorios, educación a distancia y demás elementos y bienes de infraestructura </w:t>
      </w:r>
    </w:p>
    <w:p w:rsidR="007D4B23" w:rsidRPr="007D4B23" w:rsidRDefault="007D4B23" w:rsidP="007D4B23">
      <w:pPr>
        <w:spacing w:after="160" w:line="259" w:lineRule="auto"/>
      </w:pPr>
    </w:p>
    <w:p w:rsidR="00C4684C" w:rsidRPr="00C4684C" w:rsidRDefault="00C4684C" w:rsidP="00660659">
      <w:pPr>
        <w:spacing w:after="160"/>
        <w:jc w:val="center"/>
        <w:rPr>
          <w:rFonts w:ascii="Arial" w:hAnsi="Arial" w:cs="Arial"/>
          <w:b/>
          <w:sz w:val="24"/>
          <w:szCs w:val="24"/>
        </w:rPr>
      </w:pPr>
    </w:p>
    <w:p w:rsidR="007E526A" w:rsidRPr="007E526A" w:rsidRDefault="007E526A" w:rsidP="007E526A">
      <w:pPr>
        <w:spacing w:after="0" w:line="240" w:lineRule="auto"/>
        <w:jc w:val="both"/>
        <w:rPr>
          <w:rFonts w:cstheme="minorHAnsi"/>
          <w:sz w:val="24"/>
          <w:szCs w:val="24"/>
        </w:rPr>
      </w:pPr>
      <w:r w:rsidRPr="007E526A">
        <w:rPr>
          <w:rFonts w:cstheme="minorHAnsi"/>
          <w:sz w:val="24"/>
          <w:szCs w:val="24"/>
        </w:rPr>
        <w:t xml:space="preserve">La ley 426 de 1998 condiciona la emisión de la estampilla hasta lograr un valor de cincuenta mil millones de pesos y a un plazo de 20 años. </w:t>
      </w:r>
    </w:p>
    <w:p w:rsidR="007E526A" w:rsidRPr="007E526A" w:rsidRDefault="007E526A" w:rsidP="007E526A">
      <w:pPr>
        <w:spacing w:after="0" w:line="240" w:lineRule="auto"/>
        <w:jc w:val="both"/>
        <w:rPr>
          <w:rFonts w:cstheme="minorHAnsi"/>
          <w:sz w:val="24"/>
          <w:szCs w:val="24"/>
        </w:rPr>
      </w:pPr>
    </w:p>
    <w:p w:rsidR="007E526A" w:rsidRPr="007E526A" w:rsidRDefault="007E526A" w:rsidP="007E526A">
      <w:pPr>
        <w:spacing w:after="0" w:line="240" w:lineRule="auto"/>
        <w:jc w:val="both"/>
        <w:rPr>
          <w:rFonts w:cstheme="minorHAnsi"/>
          <w:sz w:val="24"/>
          <w:szCs w:val="24"/>
        </w:rPr>
      </w:pPr>
      <w:r w:rsidRPr="007E526A">
        <w:rPr>
          <w:rFonts w:cstheme="minorHAnsi"/>
          <w:sz w:val="24"/>
          <w:szCs w:val="24"/>
        </w:rPr>
        <w:t xml:space="preserve">Considerando que este valor se alcanzará antes del 2.018 cuando se cumplen los 20 años de la ley, y que estos procesos de desarrollo de las universidades no pueden ser suspendidos ni verse estancados y ante el evidente buen resultado de la ley, se propone al Congreso autorizar para que la estampilla se mantenga en el tiempo hasta alcanzar recursos para invertir en estos centros académicos por valor de trescientos mil millones de pesos. </w:t>
      </w:r>
    </w:p>
    <w:p w:rsidR="007E526A" w:rsidRPr="007E526A" w:rsidRDefault="007E526A" w:rsidP="007E526A">
      <w:pPr>
        <w:spacing w:after="0" w:line="240" w:lineRule="auto"/>
        <w:jc w:val="both"/>
        <w:rPr>
          <w:rFonts w:cstheme="minorHAnsi"/>
          <w:sz w:val="24"/>
          <w:szCs w:val="24"/>
        </w:rPr>
      </w:pPr>
    </w:p>
    <w:p w:rsidR="007E526A" w:rsidRPr="007E526A" w:rsidRDefault="007E526A" w:rsidP="007E526A">
      <w:pPr>
        <w:spacing w:after="0"/>
        <w:jc w:val="both"/>
        <w:rPr>
          <w:rFonts w:eastAsia="Times New Roman"/>
          <w:bCs/>
          <w:sz w:val="24"/>
          <w:szCs w:val="24"/>
          <w:lang w:val="es-ES_tradnl" w:eastAsia="es-ES"/>
        </w:rPr>
      </w:pPr>
      <w:r w:rsidRPr="007E526A">
        <w:rPr>
          <w:rFonts w:eastAsia="Times New Roman"/>
          <w:bCs/>
          <w:sz w:val="24"/>
          <w:szCs w:val="24"/>
          <w:lang w:val="es-ES_tradnl" w:eastAsia="es-ES"/>
        </w:rPr>
        <w:t>El impacto de la ampliación de la Ley 426 de 1998, se verá reflejado en:</w:t>
      </w:r>
    </w:p>
    <w:p w:rsidR="007E526A" w:rsidRPr="007E526A" w:rsidRDefault="007E526A" w:rsidP="007E526A">
      <w:pPr>
        <w:spacing w:after="0"/>
        <w:jc w:val="both"/>
        <w:rPr>
          <w:rFonts w:eastAsia="Times New Roman"/>
          <w:bCs/>
          <w:sz w:val="24"/>
          <w:szCs w:val="24"/>
          <w:lang w:val="es-ES_tradnl" w:eastAsia="es-ES"/>
        </w:rPr>
      </w:pPr>
    </w:p>
    <w:p w:rsidR="005812F1" w:rsidRPr="007E526A" w:rsidRDefault="005812F1" w:rsidP="005812F1">
      <w:pPr>
        <w:numPr>
          <w:ilvl w:val="0"/>
          <w:numId w:val="5"/>
        </w:numPr>
        <w:spacing w:after="0"/>
        <w:contextualSpacing/>
        <w:jc w:val="both"/>
        <w:rPr>
          <w:rFonts w:eastAsia="Times New Roman"/>
          <w:b/>
          <w:bCs/>
          <w:sz w:val="24"/>
          <w:szCs w:val="24"/>
          <w:lang w:val="es-ES_tradnl" w:eastAsia="es-ES"/>
        </w:rPr>
      </w:pPr>
      <w:r w:rsidRPr="007E526A">
        <w:rPr>
          <w:rFonts w:eastAsia="Times New Roman"/>
          <w:b/>
          <w:bCs/>
          <w:sz w:val="24"/>
          <w:szCs w:val="24"/>
          <w:lang w:val="es-ES_tradnl" w:eastAsia="es-ES"/>
        </w:rPr>
        <w:t>Ampliación de cobertura y servicios universitarios en los territorios</w:t>
      </w:r>
    </w:p>
    <w:p w:rsidR="005812F1" w:rsidRPr="007E526A" w:rsidRDefault="005812F1" w:rsidP="005812F1">
      <w:pPr>
        <w:spacing w:after="0"/>
        <w:jc w:val="both"/>
        <w:rPr>
          <w:rFonts w:eastAsia="Times New Roman"/>
          <w:b/>
          <w:bCs/>
          <w:sz w:val="24"/>
          <w:szCs w:val="24"/>
          <w:lang w:val="es-ES_tradnl" w:eastAsia="es-ES"/>
        </w:rPr>
      </w:pPr>
    </w:p>
    <w:p w:rsidR="005812F1" w:rsidRPr="007E526A" w:rsidRDefault="005812F1" w:rsidP="005812F1">
      <w:pPr>
        <w:spacing w:after="0"/>
        <w:jc w:val="both"/>
        <w:rPr>
          <w:rFonts w:eastAsia="Times New Roman"/>
          <w:bCs/>
          <w:sz w:val="24"/>
          <w:szCs w:val="24"/>
          <w:lang w:val="es-ES_tradnl" w:eastAsia="es-ES"/>
        </w:rPr>
      </w:pPr>
      <w:r w:rsidRPr="007E526A">
        <w:rPr>
          <w:rFonts w:eastAsia="Times New Roman"/>
          <w:bCs/>
          <w:sz w:val="24"/>
          <w:szCs w:val="24"/>
          <w:lang w:val="es-ES_tradnl" w:eastAsia="es-ES"/>
        </w:rPr>
        <w:t>Mientras en los países de la OCDE la Cobertura en Educación Superior es de 67,1%, en Colombia apenas se alcanza 37,1% en cobertura bruta, es decir, incluyendo en dicha proporción a personas que están fuera del rango de edad regular para cursar estudios universitarios. Con este desempeño, el país está aún lejos de otros de la región como Chile, que tiene coberturas históricas por encima de 50%, o Argentina y Venezuela, cuyas tasas de cobertura superan los 60 puntos porcentuales.</w:t>
      </w:r>
    </w:p>
    <w:p w:rsidR="005812F1" w:rsidRPr="007E526A" w:rsidRDefault="005812F1" w:rsidP="005812F1">
      <w:pPr>
        <w:spacing w:after="0"/>
        <w:jc w:val="both"/>
        <w:rPr>
          <w:rFonts w:eastAsia="Times New Roman"/>
          <w:bCs/>
          <w:sz w:val="24"/>
          <w:szCs w:val="24"/>
          <w:lang w:val="es-ES_tradnl" w:eastAsia="es-ES"/>
        </w:rPr>
      </w:pPr>
    </w:p>
    <w:p w:rsidR="005812F1" w:rsidRPr="007E526A" w:rsidRDefault="005812F1" w:rsidP="005812F1">
      <w:pPr>
        <w:spacing w:after="0"/>
        <w:jc w:val="both"/>
        <w:rPr>
          <w:rFonts w:eastAsia="Times New Roman"/>
          <w:bCs/>
          <w:sz w:val="24"/>
          <w:szCs w:val="24"/>
          <w:lang w:val="es-ES_tradnl" w:eastAsia="es-ES"/>
        </w:rPr>
      </w:pPr>
      <w:r w:rsidRPr="007E526A">
        <w:rPr>
          <w:rFonts w:eastAsia="Times New Roman"/>
          <w:bCs/>
          <w:sz w:val="24"/>
          <w:szCs w:val="24"/>
          <w:lang w:val="es-ES_tradnl" w:eastAsia="es-ES"/>
        </w:rPr>
        <w:lastRenderedPageBreak/>
        <w:t xml:space="preserve">Esta baja cobertura es aún más preocupante cuando se considera la distribución en cuanto a orígenes de la población universitaria en Colombia. Bogotá cuenta con tasas de matrícula de 73,7%, muy por encima del promedio nacional y al nivel de países como Noruega y Suecia. Santander y Quindío también superan el promedio, con 48% y 50% respectivamente, y departamentos tan grandes y complejos como Antioquia, pese a tales complejidades, alcanza coberturas de 40,9% en promedio. </w:t>
      </w:r>
      <w:r w:rsidR="001F1AA4">
        <w:rPr>
          <w:rFonts w:eastAsia="Times New Roman"/>
          <w:bCs/>
          <w:sz w:val="24"/>
          <w:szCs w:val="24"/>
          <w:lang w:val="es-ES_tradnl" w:eastAsia="es-ES"/>
        </w:rPr>
        <w:t xml:space="preserve"> El eje cafetero</w:t>
      </w:r>
      <w:r w:rsidRPr="007E526A">
        <w:rPr>
          <w:rFonts w:eastAsia="Times New Roman"/>
          <w:bCs/>
          <w:sz w:val="24"/>
          <w:szCs w:val="24"/>
          <w:lang w:val="es-ES_tradnl" w:eastAsia="es-ES"/>
        </w:rPr>
        <w:t>, por el contrario, apenas alcanza 35% en sus tasas de matrícula bruta en Educación Superior, por debajo del promedio nacional.</w:t>
      </w:r>
    </w:p>
    <w:p w:rsidR="005812F1" w:rsidRPr="007E526A" w:rsidRDefault="005812F1" w:rsidP="005812F1">
      <w:pPr>
        <w:spacing w:after="0"/>
        <w:jc w:val="both"/>
        <w:rPr>
          <w:rFonts w:eastAsia="Times New Roman"/>
          <w:bCs/>
          <w:sz w:val="24"/>
          <w:szCs w:val="24"/>
          <w:lang w:val="es-ES_tradnl" w:eastAsia="es-ES"/>
        </w:rPr>
      </w:pPr>
    </w:p>
    <w:p w:rsidR="005812F1" w:rsidRPr="007E526A" w:rsidRDefault="005812F1" w:rsidP="005812F1">
      <w:pPr>
        <w:spacing w:after="0"/>
        <w:jc w:val="both"/>
        <w:rPr>
          <w:rFonts w:cs="Times"/>
          <w:sz w:val="24"/>
          <w:szCs w:val="24"/>
        </w:rPr>
      </w:pPr>
      <w:r w:rsidRPr="007E526A">
        <w:rPr>
          <w:rFonts w:eastAsia="Times New Roman"/>
          <w:bCs/>
          <w:sz w:val="24"/>
          <w:szCs w:val="24"/>
          <w:lang w:val="es-ES_tradnl" w:eastAsia="es-ES"/>
        </w:rPr>
        <w:t xml:space="preserve">No puede desconocerse que hay esfuerzos relevantes y progresos evidentes en la cobertura en Educación Superior en los últimos 10 años, especialmente en programas Técnicos y Tecnológicos. </w:t>
      </w:r>
      <w:r w:rsidRPr="007E526A">
        <w:rPr>
          <w:rFonts w:cs="Calibri"/>
          <w:sz w:val="24"/>
          <w:szCs w:val="24"/>
        </w:rPr>
        <w:t>Sin embargo, estos logros en la cobertura significan retos para el país, pues la calidad, la pertinencia y la inclusión implican el mejoramiento de la permanencia y la graduación de estos nuevos estudiantes</w:t>
      </w:r>
      <w:r w:rsidRPr="00C4684C">
        <w:rPr>
          <w:rFonts w:cs="Calibri"/>
          <w:sz w:val="24"/>
          <w:szCs w:val="24"/>
          <w:vertAlign w:val="superscript"/>
        </w:rPr>
        <w:footnoteReference w:id="1"/>
      </w:r>
      <w:r w:rsidRPr="007E526A">
        <w:rPr>
          <w:rFonts w:cs="Calibri"/>
          <w:sz w:val="24"/>
          <w:szCs w:val="24"/>
        </w:rPr>
        <w:t xml:space="preserve">, aspectos en los que aún se tienen grandes rezagos. Se ha estimado que en Colombia </w:t>
      </w:r>
      <w:r w:rsidRPr="007E526A">
        <w:rPr>
          <w:rFonts w:cs="Times"/>
          <w:sz w:val="24"/>
          <w:szCs w:val="24"/>
        </w:rPr>
        <w:t>la tasa de deserción anual en Educación Superior es de 10,3%, cifra superior a la del Reino Unido (8,6%) e inferior a la de Brasil (18%) y Estados Unidos (18.3%).</w:t>
      </w:r>
    </w:p>
    <w:p w:rsidR="005812F1" w:rsidRPr="007E526A" w:rsidRDefault="005812F1" w:rsidP="005812F1">
      <w:pPr>
        <w:spacing w:after="0"/>
        <w:jc w:val="both"/>
        <w:rPr>
          <w:rFonts w:cs="Times"/>
          <w:sz w:val="24"/>
          <w:szCs w:val="24"/>
        </w:rPr>
      </w:pPr>
    </w:p>
    <w:p w:rsidR="005812F1" w:rsidRPr="007E526A" w:rsidRDefault="005812F1" w:rsidP="005812F1">
      <w:pPr>
        <w:spacing w:after="0"/>
        <w:jc w:val="both"/>
        <w:rPr>
          <w:rFonts w:cs="Times"/>
          <w:sz w:val="24"/>
          <w:szCs w:val="24"/>
        </w:rPr>
      </w:pPr>
      <w:r w:rsidRPr="007E526A">
        <w:rPr>
          <w:rFonts w:cs="Times"/>
          <w:sz w:val="24"/>
          <w:szCs w:val="24"/>
        </w:rPr>
        <w:t>Sin duda, tanto en los miles de jóvenes que no logran acceder a la Educación Superior, como en la proporción de quienes desertan anualmente, es especialmente significativa la población originaria de zonas rurales o de municipios distintos de las capitales departamentales. Dicha situación ha tratado de ser atendida por diversas políticas y programas gubernamentales, como los Centros Regionales de Educación Superior –CERES-, que desde el año 2003 han desplegado acciones a través de alianzas entre Instituciones de Educación Superior y Entes Territoriales que pretenden llevar la oferta formativa superior a los municipios donde no existen sedes universitarias. Sin embargo, algunas evaluaciones a la estrategia de los CERES señalan, entre otras limitaciones, las siguientes:</w:t>
      </w:r>
    </w:p>
    <w:p w:rsidR="005812F1" w:rsidRPr="007E526A" w:rsidRDefault="005812F1" w:rsidP="005812F1">
      <w:pPr>
        <w:spacing w:after="0"/>
        <w:jc w:val="both"/>
        <w:rPr>
          <w:rFonts w:cs="Times"/>
          <w:sz w:val="24"/>
          <w:szCs w:val="24"/>
        </w:rPr>
      </w:pPr>
    </w:p>
    <w:p w:rsidR="005812F1" w:rsidRPr="007E526A" w:rsidRDefault="005812F1" w:rsidP="005812F1">
      <w:pPr>
        <w:numPr>
          <w:ilvl w:val="0"/>
          <w:numId w:val="6"/>
        </w:numPr>
        <w:spacing w:after="0"/>
        <w:contextualSpacing/>
        <w:jc w:val="both"/>
        <w:rPr>
          <w:sz w:val="24"/>
          <w:szCs w:val="24"/>
        </w:rPr>
      </w:pPr>
      <w:r w:rsidRPr="007E526A">
        <w:rPr>
          <w:sz w:val="24"/>
          <w:szCs w:val="24"/>
        </w:rPr>
        <w:t xml:space="preserve">Los CERES cuentan con pocos recursos y utilizan generalmente tecnología obsoleta para la enseñanza. </w:t>
      </w:r>
    </w:p>
    <w:p w:rsidR="005812F1" w:rsidRPr="007E526A" w:rsidRDefault="005812F1" w:rsidP="005812F1">
      <w:pPr>
        <w:numPr>
          <w:ilvl w:val="0"/>
          <w:numId w:val="6"/>
        </w:numPr>
        <w:spacing w:after="0"/>
        <w:contextualSpacing/>
        <w:jc w:val="both"/>
        <w:rPr>
          <w:rFonts w:cs="Times"/>
          <w:sz w:val="24"/>
          <w:szCs w:val="24"/>
        </w:rPr>
      </w:pPr>
      <w:r w:rsidRPr="007E526A">
        <w:rPr>
          <w:sz w:val="24"/>
          <w:szCs w:val="24"/>
        </w:rPr>
        <w:lastRenderedPageBreak/>
        <w:t>Debido a que muchos de los CERES se encuentran adscritos a IES públicas en los que el personal tiene menos incentivos que en IES privadas para cambiar o adaptarse a los nuevos enfoques de la educación basada en las competencias.</w:t>
      </w:r>
    </w:p>
    <w:p w:rsidR="005812F1" w:rsidRPr="007E526A" w:rsidRDefault="005812F1" w:rsidP="005812F1">
      <w:pPr>
        <w:numPr>
          <w:ilvl w:val="0"/>
          <w:numId w:val="6"/>
        </w:numPr>
        <w:spacing w:after="0"/>
        <w:contextualSpacing/>
        <w:jc w:val="both"/>
        <w:rPr>
          <w:rFonts w:cs="Times"/>
          <w:sz w:val="24"/>
          <w:szCs w:val="24"/>
        </w:rPr>
      </w:pPr>
      <w:r w:rsidRPr="007E526A">
        <w:rPr>
          <w:sz w:val="24"/>
          <w:szCs w:val="24"/>
        </w:rPr>
        <w:t xml:space="preserve">Los créditos académicos obtenidos en los programas de CERES sufren la ausencia de un programa nacional para el reconocimiento de créditos. </w:t>
      </w:r>
    </w:p>
    <w:p w:rsidR="005812F1" w:rsidRPr="007E526A" w:rsidRDefault="005812F1" w:rsidP="005812F1">
      <w:pPr>
        <w:spacing w:after="0"/>
        <w:jc w:val="both"/>
        <w:rPr>
          <w:rFonts w:eastAsia="Times New Roman"/>
          <w:bCs/>
          <w:sz w:val="24"/>
          <w:szCs w:val="24"/>
          <w:lang w:val="es-ES_tradnl" w:eastAsia="es-ES"/>
        </w:rPr>
      </w:pPr>
    </w:p>
    <w:p w:rsidR="005812F1" w:rsidRPr="007E526A" w:rsidRDefault="005812F1" w:rsidP="005812F1">
      <w:pPr>
        <w:spacing w:after="0"/>
        <w:jc w:val="both"/>
        <w:rPr>
          <w:rFonts w:eastAsia="Times New Roman"/>
          <w:bCs/>
          <w:sz w:val="24"/>
          <w:szCs w:val="24"/>
          <w:lang w:val="es-ES_tradnl" w:eastAsia="es-ES"/>
        </w:rPr>
      </w:pPr>
    </w:p>
    <w:p w:rsidR="005812F1" w:rsidRPr="007E526A" w:rsidRDefault="005812F1" w:rsidP="005812F1">
      <w:pPr>
        <w:spacing w:after="0"/>
        <w:jc w:val="both"/>
        <w:rPr>
          <w:rFonts w:eastAsia="Times New Roman"/>
          <w:bCs/>
          <w:sz w:val="24"/>
          <w:szCs w:val="24"/>
          <w:lang w:val="es-ES_tradnl" w:eastAsia="es-ES"/>
        </w:rPr>
      </w:pPr>
      <w:r w:rsidRPr="007E526A">
        <w:rPr>
          <w:rFonts w:eastAsia="Times New Roman"/>
          <w:bCs/>
          <w:sz w:val="24"/>
          <w:szCs w:val="24"/>
          <w:lang w:val="es-ES_tradnl" w:eastAsia="es-ES"/>
        </w:rPr>
        <w:t xml:space="preserve">Finalmente, en la línea de lo expresado anteriormente, es importante recalcar que la presencia de las Universidades en las ciudades es un factor determinante para el desarrollo de los procesos sociales, productivos y culturales, mucho más allá de la contribución en el incremento de tasas de cobertura y logro educativo. Con el incremento de recursos recaudados por Estampilla se podrán fortalecer verdaderas sedes universitarias en territorios del Centro-Occidente colombiano, que constituirán a su vez verdaderos focos de desarrollo en materia de formación de talento humano, generación de centros de pensamiento territorial, desarrollo de investigación aplicada al servicio de los sectores productivos territoriales y espacios para la valorización de la identidad cultural de dichos territorios. </w:t>
      </w:r>
    </w:p>
    <w:p w:rsidR="005812F1" w:rsidRPr="007E526A" w:rsidRDefault="005812F1" w:rsidP="005812F1">
      <w:pPr>
        <w:spacing w:after="0"/>
        <w:jc w:val="both"/>
        <w:rPr>
          <w:rFonts w:eastAsia="Times New Roman"/>
          <w:bCs/>
          <w:sz w:val="24"/>
          <w:szCs w:val="24"/>
          <w:lang w:val="es-ES_tradnl" w:eastAsia="es-ES"/>
        </w:rPr>
      </w:pPr>
    </w:p>
    <w:p w:rsidR="005812F1" w:rsidRPr="007E526A" w:rsidRDefault="005812F1" w:rsidP="005812F1">
      <w:pPr>
        <w:spacing w:after="0"/>
        <w:jc w:val="both"/>
        <w:rPr>
          <w:rFonts w:eastAsia="Times New Roman"/>
          <w:bCs/>
          <w:sz w:val="24"/>
          <w:szCs w:val="24"/>
          <w:lang w:val="es-ES_tradnl" w:eastAsia="es-ES"/>
        </w:rPr>
      </w:pPr>
    </w:p>
    <w:p w:rsidR="005812F1" w:rsidRPr="007E526A" w:rsidRDefault="005812F1" w:rsidP="005812F1">
      <w:pPr>
        <w:numPr>
          <w:ilvl w:val="0"/>
          <w:numId w:val="5"/>
        </w:numPr>
        <w:spacing w:after="0"/>
        <w:contextualSpacing/>
        <w:jc w:val="both"/>
        <w:rPr>
          <w:rFonts w:eastAsia="Times New Roman"/>
          <w:b/>
          <w:bCs/>
          <w:sz w:val="24"/>
          <w:szCs w:val="24"/>
          <w:lang w:val="es-ES_tradnl" w:eastAsia="es-ES"/>
        </w:rPr>
      </w:pPr>
      <w:r w:rsidRPr="007E526A">
        <w:rPr>
          <w:rFonts w:eastAsia="Times New Roman"/>
          <w:b/>
          <w:bCs/>
          <w:sz w:val="24"/>
          <w:szCs w:val="24"/>
          <w:lang w:val="es-ES_tradnl" w:eastAsia="es-ES"/>
        </w:rPr>
        <w:t>Desarrollo de infraestructura para la innovación y el desarrollo científico, en las sedes centrales y en los territorios</w:t>
      </w:r>
    </w:p>
    <w:p w:rsidR="005812F1" w:rsidRPr="007E526A" w:rsidRDefault="005812F1" w:rsidP="005812F1">
      <w:pPr>
        <w:spacing w:after="0"/>
        <w:jc w:val="both"/>
        <w:rPr>
          <w:rFonts w:eastAsia="Times New Roman"/>
          <w:b/>
          <w:bCs/>
          <w:sz w:val="24"/>
          <w:szCs w:val="24"/>
          <w:lang w:val="es-ES_tradnl" w:eastAsia="es-ES"/>
        </w:rPr>
      </w:pPr>
    </w:p>
    <w:p w:rsidR="005812F1" w:rsidRPr="007E526A" w:rsidRDefault="005812F1" w:rsidP="005812F1">
      <w:pPr>
        <w:spacing w:after="0"/>
        <w:jc w:val="both"/>
        <w:rPr>
          <w:sz w:val="24"/>
          <w:szCs w:val="24"/>
          <w:lang w:val="es-ES_tradnl" w:eastAsia="es-ES"/>
        </w:rPr>
      </w:pPr>
      <w:r w:rsidRPr="007E526A">
        <w:rPr>
          <w:sz w:val="24"/>
          <w:szCs w:val="24"/>
          <w:lang w:val="es-ES_tradnl" w:eastAsia="es-ES"/>
        </w:rPr>
        <w:t>No obstante se reconoce que el crecimiento económico de un país tiene estrecha relación con el desarrollo de sus sistemas de investigación e innovación científica y tecnológica, los avances en esta materia en Colombia aún están lejos del escenario deseable. No solo es aún precaria la inversión, como proporción del PIB que se asigna a investigación y desarrollo, sino que además persisten las distancias entre los centros de desarrollo científico y los sectores y actores que demandan dicho desarrollo, y se amplían las brechas entre quienes pueden acceder a formación de alto nivel e información derivada de investigaciones de alto nivel, y quienes no tienen acceso a las innovaciones que mejorarían sus sistemas económicos y sociales.</w:t>
      </w:r>
    </w:p>
    <w:p w:rsidR="005812F1" w:rsidRPr="007E526A" w:rsidRDefault="005812F1" w:rsidP="005812F1">
      <w:pPr>
        <w:spacing w:after="0"/>
        <w:jc w:val="both"/>
        <w:rPr>
          <w:sz w:val="24"/>
          <w:szCs w:val="24"/>
          <w:lang w:val="es-ES_tradnl" w:eastAsia="es-ES"/>
        </w:rPr>
      </w:pPr>
    </w:p>
    <w:p w:rsidR="005812F1" w:rsidRPr="007E526A" w:rsidRDefault="005812F1" w:rsidP="005812F1">
      <w:pPr>
        <w:spacing w:after="0"/>
        <w:jc w:val="both"/>
        <w:rPr>
          <w:rFonts w:eastAsia="Times New Roman"/>
          <w:bCs/>
          <w:sz w:val="24"/>
          <w:szCs w:val="24"/>
          <w:lang w:val="es-ES_tradnl" w:eastAsia="es-ES"/>
        </w:rPr>
      </w:pPr>
      <w:r w:rsidRPr="007E526A">
        <w:rPr>
          <w:sz w:val="24"/>
          <w:szCs w:val="24"/>
          <w:lang w:val="es-ES_tradnl" w:eastAsia="es-ES"/>
        </w:rPr>
        <w:t xml:space="preserve">Aún en cifras absolutas y generalizando para el territorio nacional, la producción y divulgación de nuevo conocimiento sigue siendo un aspecto a fortalecer. Mientras en Argentina y Chile los </w:t>
      </w:r>
      <w:r w:rsidRPr="007E526A">
        <w:rPr>
          <w:sz w:val="24"/>
          <w:szCs w:val="24"/>
          <w:lang w:val="es-ES_tradnl" w:eastAsia="es-ES"/>
        </w:rPr>
        <w:lastRenderedPageBreak/>
        <w:t xml:space="preserve">investigadores producen nuevo conocimiento y publican sus hallazgos a tasas superiores a los 2 mil artículos científicos por millón de habitantes, en Colombia esa tasa apenas alcanza los </w:t>
      </w:r>
      <w:r w:rsidRPr="007E526A">
        <w:rPr>
          <w:rFonts w:eastAsia="Times New Roman"/>
          <w:bCs/>
          <w:sz w:val="24"/>
          <w:szCs w:val="24"/>
          <w:lang w:val="es-ES_tradnl" w:eastAsia="es-ES"/>
        </w:rPr>
        <w:t>473 artículos por millón de habitantes. Esa misma tasa es de 1.708 para Brasil, 1.325 México y 615 para Venezuela. Tanto la producción de nuevo conocimiento y la divulgación de artículos científicos, como la formación de Doctores, son aspectos claves para el desarrollo científico del país, que deben ser financiados con otras fuentes diferentes a recursos como los de Estampilla. Sin embargo, recursos de esta naturaleza son esenciales para el desarrollo de laboratorios y centros de investigación, adquisición de bases de datos, y consecución de garantías para el desarrollo investigativo que por un lado demandan los diversos sectores, pero que además es un campo de restricción para los investigadores que hacen parte de las Universidades de provincia.</w:t>
      </w:r>
    </w:p>
    <w:p w:rsidR="005812F1" w:rsidRPr="007E526A" w:rsidRDefault="005812F1" w:rsidP="005812F1">
      <w:pPr>
        <w:spacing w:after="0"/>
        <w:jc w:val="both"/>
        <w:rPr>
          <w:rFonts w:eastAsia="Times New Roman"/>
          <w:bCs/>
          <w:sz w:val="24"/>
          <w:szCs w:val="24"/>
          <w:lang w:val="es-ES_tradnl" w:eastAsia="es-ES"/>
        </w:rPr>
      </w:pPr>
    </w:p>
    <w:p w:rsidR="005812F1" w:rsidRPr="007E526A" w:rsidRDefault="005812F1" w:rsidP="005812F1">
      <w:pPr>
        <w:spacing w:after="0"/>
        <w:jc w:val="both"/>
        <w:rPr>
          <w:rFonts w:eastAsia="Times New Roman"/>
          <w:bCs/>
          <w:sz w:val="24"/>
          <w:szCs w:val="24"/>
          <w:lang w:val="es-ES_tradnl" w:eastAsia="es-ES"/>
        </w:rPr>
      </w:pPr>
      <w:r w:rsidRPr="007E526A">
        <w:rPr>
          <w:rFonts w:eastAsia="Times New Roman"/>
          <w:bCs/>
          <w:sz w:val="24"/>
          <w:szCs w:val="24"/>
          <w:lang w:val="es-ES_tradnl" w:eastAsia="es-ES"/>
        </w:rPr>
        <w:t>Contando con la dotación en recursos naturales del departamento de Caldas</w:t>
      </w:r>
      <w:r>
        <w:rPr>
          <w:rFonts w:eastAsia="Times New Roman"/>
          <w:bCs/>
          <w:sz w:val="24"/>
          <w:szCs w:val="24"/>
          <w:lang w:val="es-ES_tradnl" w:eastAsia="es-ES"/>
        </w:rPr>
        <w:t xml:space="preserve"> y de Risaralda</w:t>
      </w:r>
      <w:r w:rsidRPr="007E526A">
        <w:rPr>
          <w:rFonts w:eastAsia="Times New Roman"/>
          <w:bCs/>
          <w:sz w:val="24"/>
          <w:szCs w:val="24"/>
          <w:lang w:val="es-ES_tradnl" w:eastAsia="es-ES"/>
        </w:rPr>
        <w:t xml:space="preserve">, la asignación de recursos de inversión para la investigación y la innovación es un elemento estratégico para el desarrollo de procesos de </w:t>
      </w:r>
      <w:proofErr w:type="spellStart"/>
      <w:r w:rsidRPr="007E526A">
        <w:rPr>
          <w:rFonts w:eastAsia="Times New Roman"/>
          <w:bCs/>
          <w:sz w:val="24"/>
          <w:szCs w:val="24"/>
          <w:lang w:val="es-ES_tradnl" w:eastAsia="es-ES"/>
        </w:rPr>
        <w:t>bioprospección</w:t>
      </w:r>
      <w:proofErr w:type="spellEnd"/>
      <w:r w:rsidRPr="007E526A">
        <w:rPr>
          <w:rFonts w:eastAsia="Times New Roman"/>
          <w:bCs/>
          <w:sz w:val="24"/>
          <w:szCs w:val="24"/>
          <w:lang w:val="es-ES_tradnl" w:eastAsia="es-ES"/>
        </w:rPr>
        <w:t xml:space="preserve"> y biotecnología, el mejoramiento en la gestión del recurso hídrico para la región y el país, la innovación en modelos de generación de energía (geotérmica, por ejemplo), entre otros aspectos que pueden fortalecer y otorgar mayor competitividad a los sistemas productivos actuales, y más allá de ello ampliar los escenarios de gestión económica para el territorio.</w:t>
      </w:r>
    </w:p>
    <w:p w:rsidR="005812F1" w:rsidRPr="007E526A" w:rsidRDefault="005812F1" w:rsidP="005812F1">
      <w:pPr>
        <w:spacing w:after="0"/>
        <w:jc w:val="both"/>
        <w:rPr>
          <w:rFonts w:eastAsia="Times New Roman"/>
          <w:bCs/>
          <w:sz w:val="24"/>
          <w:szCs w:val="24"/>
          <w:lang w:val="es-ES_tradnl" w:eastAsia="es-ES"/>
        </w:rPr>
      </w:pPr>
    </w:p>
    <w:p w:rsidR="005812F1" w:rsidRPr="007E526A" w:rsidRDefault="005812F1" w:rsidP="005812F1">
      <w:pPr>
        <w:spacing w:after="0"/>
        <w:jc w:val="both"/>
        <w:rPr>
          <w:rFonts w:eastAsia="Times New Roman"/>
          <w:b/>
          <w:bCs/>
          <w:sz w:val="24"/>
          <w:szCs w:val="24"/>
          <w:lang w:val="es-ES_tradnl" w:eastAsia="es-ES"/>
        </w:rPr>
      </w:pPr>
    </w:p>
    <w:p w:rsidR="005812F1" w:rsidRPr="007E526A" w:rsidRDefault="005812F1" w:rsidP="005812F1">
      <w:pPr>
        <w:numPr>
          <w:ilvl w:val="0"/>
          <w:numId w:val="5"/>
        </w:numPr>
        <w:spacing w:after="0"/>
        <w:contextualSpacing/>
        <w:jc w:val="both"/>
        <w:rPr>
          <w:rFonts w:eastAsia="Times New Roman"/>
          <w:b/>
          <w:bCs/>
          <w:sz w:val="24"/>
          <w:szCs w:val="24"/>
          <w:lang w:val="es-ES_tradnl" w:eastAsia="es-ES"/>
        </w:rPr>
      </w:pPr>
      <w:r w:rsidRPr="007E526A">
        <w:rPr>
          <w:rFonts w:eastAsia="Times New Roman"/>
          <w:b/>
          <w:bCs/>
          <w:sz w:val="24"/>
          <w:szCs w:val="24"/>
          <w:lang w:val="es-ES_tradnl" w:eastAsia="es-ES"/>
        </w:rPr>
        <w:t>Desarrollo de industrias culturales y creativas</w:t>
      </w:r>
    </w:p>
    <w:p w:rsidR="005812F1" w:rsidRPr="007E526A" w:rsidRDefault="005812F1" w:rsidP="005812F1">
      <w:pPr>
        <w:spacing w:after="0"/>
        <w:jc w:val="both"/>
        <w:rPr>
          <w:rFonts w:eastAsia="Times New Roman"/>
          <w:bCs/>
          <w:sz w:val="24"/>
          <w:szCs w:val="24"/>
          <w:lang w:val="es-ES_tradnl" w:eastAsia="es-ES"/>
        </w:rPr>
      </w:pPr>
    </w:p>
    <w:p w:rsidR="005812F1" w:rsidRPr="007E526A" w:rsidRDefault="005812F1" w:rsidP="005812F1">
      <w:pPr>
        <w:spacing w:after="0"/>
        <w:jc w:val="both"/>
        <w:rPr>
          <w:rFonts w:eastAsia="Times New Roman"/>
          <w:bCs/>
          <w:sz w:val="24"/>
          <w:szCs w:val="24"/>
          <w:lang w:val="es-ES_tradnl" w:eastAsia="es-ES"/>
        </w:rPr>
      </w:pPr>
      <w:r w:rsidRPr="007E526A">
        <w:rPr>
          <w:rFonts w:eastAsia="Times New Roman"/>
          <w:bCs/>
          <w:sz w:val="24"/>
          <w:szCs w:val="24"/>
          <w:lang w:val="es-ES_tradnl" w:eastAsia="es-ES"/>
        </w:rPr>
        <w:t xml:space="preserve">El documento </w:t>
      </w:r>
      <w:proofErr w:type="spellStart"/>
      <w:r w:rsidRPr="007E526A">
        <w:rPr>
          <w:rFonts w:eastAsia="Times New Roman"/>
          <w:bCs/>
          <w:sz w:val="24"/>
          <w:szCs w:val="24"/>
          <w:lang w:val="es-ES_tradnl" w:eastAsia="es-ES"/>
        </w:rPr>
        <w:t>Conpes</w:t>
      </w:r>
      <w:proofErr w:type="spellEnd"/>
      <w:r w:rsidRPr="007E526A">
        <w:rPr>
          <w:rFonts w:eastAsia="Times New Roman"/>
          <w:bCs/>
          <w:sz w:val="24"/>
          <w:szCs w:val="24"/>
          <w:lang w:val="es-ES_tradnl" w:eastAsia="es-ES"/>
        </w:rPr>
        <w:t xml:space="preserve"> 3803, que consagra la Política para la preservación del Paisaje Cultural Cafetero de Colombia, señala específicamente el carácter estratégico del Clúster de Industrias Culturales y Creativas liderado por la</w:t>
      </w:r>
      <w:r>
        <w:rPr>
          <w:rFonts w:eastAsia="Times New Roman"/>
          <w:bCs/>
          <w:sz w:val="24"/>
          <w:szCs w:val="24"/>
          <w:lang w:val="es-ES_tradnl" w:eastAsia="es-ES"/>
        </w:rPr>
        <w:t>s</w:t>
      </w:r>
      <w:r w:rsidRPr="007E526A">
        <w:rPr>
          <w:rFonts w:eastAsia="Times New Roman"/>
          <w:bCs/>
          <w:sz w:val="24"/>
          <w:szCs w:val="24"/>
          <w:lang w:val="es-ES_tradnl" w:eastAsia="es-ES"/>
        </w:rPr>
        <w:t xml:space="preserve"> Universidad</w:t>
      </w:r>
      <w:r>
        <w:rPr>
          <w:rFonts w:eastAsia="Times New Roman"/>
          <w:bCs/>
          <w:sz w:val="24"/>
          <w:szCs w:val="24"/>
          <w:lang w:val="es-ES_tradnl" w:eastAsia="es-ES"/>
        </w:rPr>
        <w:t>es</w:t>
      </w:r>
      <w:r w:rsidRPr="007E526A">
        <w:rPr>
          <w:rFonts w:eastAsia="Times New Roman"/>
          <w:bCs/>
          <w:sz w:val="24"/>
          <w:szCs w:val="24"/>
          <w:lang w:val="es-ES_tradnl" w:eastAsia="es-ES"/>
        </w:rPr>
        <w:t xml:space="preserve"> de Caldas,</w:t>
      </w:r>
      <w:r>
        <w:rPr>
          <w:rFonts w:eastAsia="Times New Roman"/>
          <w:bCs/>
          <w:sz w:val="24"/>
          <w:szCs w:val="24"/>
          <w:lang w:val="es-ES_tradnl" w:eastAsia="es-ES"/>
        </w:rPr>
        <w:t xml:space="preserve"> Nacional con sede en Manizales y la Tecnológica de Pereira, </w:t>
      </w:r>
      <w:r w:rsidRPr="007E526A">
        <w:rPr>
          <w:rFonts w:eastAsia="Times New Roman"/>
          <w:bCs/>
          <w:sz w:val="24"/>
          <w:szCs w:val="24"/>
          <w:lang w:val="es-ES_tradnl" w:eastAsia="es-ES"/>
        </w:rPr>
        <w:t>establece la prioridad de apoyar dicha iniciativa, con el fin de fortalecer los procesos de creación, producción y comercialización de contenidos culturales de la región. Como apuesta estratégica, la</w:t>
      </w:r>
      <w:r>
        <w:rPr>
          <w:rFonts w:eastAsia="Times New Roman"/>
          <w:bCs/>
          <w:sz w:val="24"/>
          <w:szCs w:val="24"/>
          <w:lang w:val="es-ES_tradnl" w:eastAsia="es-ES"/>
        </w:rPr>
        <w:t>s</w:t>
      </w:r>
      <w:r w:rsidRPr="007E526A">
        <w:rPr>
          <w:rFonts w:eastAsia="Times New Roman"/>
          <w:bCs/>
          <w:sz w:val="24"/>
          <w:szCs w:val="24"/>
          <w:lang w:val="es-ES_tradnl" w:eastAsia="es-ES"/>
        </w:rPr>
        <w:t xml:space="preserve"> </w:t>
      </w:r>
      <w:r>
        <w:rPr>
          <w:rFonts w:eastAsia="Times New Roman"/>
          <w:bCs/>
          <w:sz w:val="24"/>
          <w:szCs w:val="24"/>
          <w:lang w:val="es-ES_tradnl" w:eastAsia="es-ES"/>
        </w:rPr>
        <w:t>u</w:t>
      </w:r>
      <w:r w:rsidRPr="007E526A">
        <w:rPr>
          <w:rFonts w:eastAsia="Times New Roman"/>
          <w:bCs/>
          <w:sz w:val="24"/>
          <w:szCs w:val="24"/>
          <w:lang w:val="es-ES_tradnl" w:eastAsia="es-ES"/>
        </w:rPr>
        <w:t>niversidad</w:t>
      </w:r>
      <w:r>
        <w:rPr>
          <w:rFonts w:eastAsia="Times New Roman"/>
          <w:bCs/>
          <w:sz w:val="24"/>
          <w:szCs w:val="24"/>
          <w:lang w:val="es-ES_tradnl" w:eastAsia="es-ES"/>
        </w:rPr>
        <w:t xml:space="preserve">es beneficiadas con este proyecto contribuirán </w:t>
      </w:r>
      <w:r w:rsidRPr="007E526A">
        <w:rPr>
          <w:rFonts w:eastAsia="Times New Roman"/>
          <w:bCs/>
          <w:sz w:val="24"/>
          <w:szCs w:val="24"/>
          <w:lang w:val="es-ES_tradnl" w:eastAsia="es-ES"/>
        </w:rPr>
        <w:t>con la proyección de los valores artísticos regionales como en la consolidación de industrias culturales y creativas, que vienen ganado espacio estratégico en la economía nacional, regional y global.</w:t>
      </w:r>
    </w:p>
    <w:p w:rsidR="005812F1" w:rsidRPr="007E526A" w:rsidRDefault="005812F1" w:rsidP="005812F1">
      <w:pPr>
        <w:spacing w:after="0"/>
        <w:jc w:val="both"/>
        <w:rPr>
          <w:rFonts w:eastAsia="Times New Roman"/>
          <w:bCs/>
          <w:sz w:val="24"/>
          <w:szCs w:val="24"/>
          <w:lang w:val="es-ES_tradnl" w:eastAsia="es-ES"/>
        </w:rPr>
      </w:pPr>
    </w:p>
    <w:p w:rsidR="005812F1" w:rsidRPr="007E526A" w:rsidRDefault="005812F1" w:rsidP="005812F1">
      <w:pPr>
        <w:spacing w:after="0"/>
        <w:jc w:val="both"/>
        <w:rPr>
          <w:rFonts w:eastAsia="Times New Roman"/>
          <w:bCs/>
          <w:sz w:val="24"/>
          <w:szCs w:val="24"/>
          <w:lang w:val="es-ES_tradnl" w:eastAsia="es-ES"/>
        </w:rPr>
      </w:pPr>
      <w:r w:rsidRPr="007E526A">
        <w:rPr>
          <w:rFonts w:eastAsia="Times New Roman"/>
          <w:bCs/>
          <w:sz w:val="24"/>
          <w:szCs w:val="24"/>
          <w:lang w:val="es-ES_tradnl" w:eastAsia="es-ES"/>
        </w:rPr>
        <w:lastRenderedPageBreak/>
        <w:t xml:space="preserve">Hoy día, el desarrollo de las industrias culturales ha permitido que las expresiones </w:t>
      </w:r>
      <w:proofErr w:type="spellStart"/>
      <w:r w:rsidRPr="007E526A">
        <w:rPr>
          <w:rFonts w:eastAsia="Times New Roman"/>
          <w:bCs/>
          <w:sz w:val="24"/>
          <w:szCs w:val="24"/>
          <w:lang w:val="es-ES_tradnl" w:eastAsia="es-ES"/>
        </w:rPr>
        <w:t>identitarias</w:t>
      </w:r>
      <w:proofErr w:type="spellEnd"/>
      <w:r w:rsidRPr="007E526A">
        <w:rPr>
          <w:rFonts w:eastAsia="Times New Roman"/>
          <w:bCs/>
          <w:sz w:val="24"/>
          <w:szCs w:val="24"/>
          <w:lang w:val="es-ES_tradnl" w:eastAsia="es-ES"/>
        </w:rPr>
        <w:t xml:space="preserve"> de los territorios no solo se preserven, como un importante valor patrimonial, sino que además dinamizan la economía gracias a sus vínculos con la industria turística, la gastronomía, la industria digital y diversas expresiones de lo que se ha denominado “Economía Creativa”</w:t>
      </w:r>
      <w:r>
        <w:rPr>
          <w:rFonts w:eastAsia="Times New Roman"/>
          <w:bCs/>
          <w:sz w:val="24"/>
          <w:szCs w:val="24"/>
          <w:lang w:val="es-ES_tradnl" w:eastAsia="es-ES"/>
        </w:rPr>
        <w:t>.</w:t>
      </w:r>
      <w:r w:rsidRPr="007E526A">
        <w:rPr>
          <w:rFonts w:eastAsia="Times New Roman"/>
          <w:bCs/>
          <w:sz w:val="24"/>
          <w:szCs w:val="24"/>
          <w:lang w:val="es-ES_tradnl" w:eastAsia="es-ES"/>
        </w:rPr>
        <w:t xml:space="preserve"> A tal nivel ha llegado su significancia, que ya para el año 2012 los ingresos derivados de las industrias culturales alcanzaron 1,6% del PIB, mientras la actividad cafetera representó apenas 0,6% en el mismo año.</w:t>
      </w:r>
    </w:p>
    <w:p w:rsidR="005812F1" w:rsidRPr="007E526A" w:rsidRDefault="005812F1" w:rsidP="005812F1">
      <w:pPr>
        <w:spacing w:after="0"/>
        <w:jc w:val="both"/>
        <w:rPr>
          <w:rFonts w:eastAsia="Times New Roman"/>
          <w:bCs/>
          <w:sz w:val="24"/>
          <w:szCs w:val="24"/>
          <w:lang w:val="es-ES_tradnl" w:eastAsia="es-ES"/>
        </w:rPr>
      </w:pPr>
    </w:p>
    <w:p w:rsidR="005812F1" w:rsidRPr="007E526A" w:rsidRDefault="005812F1" w:rsidP="005812F1">
      <w:pPr>
        <w:spacing w:after="0"/>
        <w:jc w:val="both"/>
        <w:rPr>
          <w:rFonts w:eastAsia="Times New Roman"/>
          <w:b/>
          <w:bCs/>
          <w:sz w:val="24"/>
          <w:szCs w:val="24"/>
          <w:lang w:val="es-ES_tradnl" w:eastAsia="es-ES"/>
        </w:rPr>
      </w:pPr>
    </w:p>
    <w:p w:rsidR="005812F1" w:rsidRPr="007E526A" w:rsidRDefault="005812F1" w:rsidP="005812F1">
      <w:pPr>
        <w:numPr>
          <w:ilvl w:val="0"/>
          <w:numId w:val="5"/>
        </w:numPr>
        <w:spacing w:after="0"/>
        <w:contextualSpacing/>
        <w:jc w:val="both"/>
        <w:rPr>
          <w:rFonts w:eastAsia="Times New Roman"/>
          <w:b/>
          <w:bCs/>
          <w:sz w:val="24"/>
          <w:szCs w:val="24"/>
          <w:lang w:val="es-ES_tradnl" w:eastAsia="es-ES"/>
        </w:rPr>
      </w:pPr>
      <w:r w:rsidRPr="007E526A">
        <w:rPr>
          <w:rFonts w:eastAsia="Times New Roman"/>
          <w:b/>
          <w:bCs/>
          <w:sz w:val="24"/>
          <w:szCs w:val="24"/>
          <w:lang w:val="es-ES_tradnl" w:eastAsia="es-ES"/>
        </w:rPr>
        <w:t>Modernización administrativa y física para la eficiencia institucional y el mejoramiento de la prestación de servicios misionales</w:t>
      </w:r>
    </w:p>
    <w:p w:rsidR="005812F1" w:rsidRPr="007E526A" w:rsidRDefault="005812F1" w:rsidP="005812F1">
      <w:pPr>
        <w:spacing w:after="0"/>
        <w:jc w:val="both"/>
        <w:rPr>
          <w:rFonts w:eastAsia="Times New Roman"/>
          <w:b/>
          <w:bCs/>
          <w:sz w:val="24"/>
          <w:szCs w:val="24"/>
          <w:lang w:val="es-ES_tradnl" w:eastAsia="es-ES"/>
        </w:rPr>
      </w:pPr>
      <w:r w:rsidRPr="007E526A">
        <w:rPr>
          <w:rFonts w:eastAsia="Times New Roman"/>
          <w:b/>
          <w:bCs/>
          <w:sz w:val="24"/>
          <w:szCs w:val="24"/>
          <w:lang w:val="es-ES_tradnl" w:eastAsia="es-ES"/>
        </w:rPr>
        <w:t xml:space="preserve"> </w:t>
      </w:r>
    </w:p>
    <w:p w:rsidR="005812F1" w:rsidRPr="007E526A" w:rsidRDefault="005812F1" w:rsidP="005812F1">
      <w:pPr>
        <w:spacing w:after="0"/>
        <w:jc w:val="both"/>
        <w:rPr>
          <w:rFonts w:eastAsia="Times New Roman"/>
          <w:bCs/>
          <w:sz w:val="24"/>
          <w:szCs w:val="24"/>
          <w:lang w:val="es-ES_tradnl" w:eastAsia="es-ES"/>
        </w:rPr>
      </w:pPr>
      <w:r w:rsidRPr="007E526A">
        <w:rPr>
          <w:rFonts w:eastAsia="Times New Roman"/>
          <w:bCs/>
          <w:sz w:val="24"/>
          <w:szCs w:val="24"/>
          <w:lang w:val="es-ES_tradnl" w:eastAsia="es-ES"/>
        </w:rPr>
        <w:t xml:space="preserve">No puede desconocerse que las Universidades de provincia deben hacer mayores esfuerzos para soportar los procesos académicos con los criterios de calidad que exige la sociedad en su conjunto. Tampoco se debe pasar por alto que las transferencias de recursos desde el nivel central son menores, y en consecuencia la acción institucional debe ejecutarse con mayores eficiencias. </w:t>
      </w:r>
    </w:p>
    <w:p w:rsidR="005812F1" w:rsidRPr="007E526A" w:rsidRDefault="005812F1" w:rsidP="005812F1">
      <w:pPr>
        <w:spacing w:after="0"/>
        <w:jc w:val="both"/>
        <w:rPr>
          <w:rFonts w:eastAsia="Times New Roman"/>
          <w:bCs/>
          <w:sz w:val="24"/>
          <w:szCs w:val="24"/>
          <w:lang w:val="es-ES_tradnl" w:eastAsia="es-ES"/>
        </w:rPr>
      </w:pPr>
    </w:p>
    <w:p w:rsidR="005812F1" w:rsidRPr="007E526A" w:rsidRDefault="005812F1" w:rsidP="005812F1">
      <w:pPr>
        <w:spacing w:after="0"/>
        <w:jc w:val="both"/>
        <w:rPr>
          <w:rFonts w:eastAsia="Times New Roman"/>
          <w:bCs/>
          <w:sz w:val="24"/>
          <w:szCs w:val="24"/>
          <w:lang w:val="es-ES_tradnl" w:eastAsia="es-ES"/>
        </w:rPr>
      </w:pPr>
      <w:r w:rsidRPr="007E526A">
        <w:rPr>
          <w:rFonts w:eastAsia="Times New Roman"/>
          <w:bCs/>
          <w:sz w:val="24"/>
          <w:szCs w:val="24"/>
          <w:lang w:val="es-ES_tradnl" w:eastAsia="es-ES"/>
        </w:rPr>
        <w:t xml:space="preserve">Pese a tales niveles de eficiencia, o quizá por la adaptación a la que se ven obligadas las Universidades de provincia por menores transferencias desde el nivel central, se cuenta con menores recursos para el diseño y aplicación de sistemas de gestión modernos y acordes con el desarrollo académico que las Universidades acreditadas han alcanzado. La implementación de Sistemas Integrados de Gestión soportados en herramientas TIC es una necesidad imperiosa para las Universidades, pero la asignación presupuestal para ellos en cada vigencia fiscal es sustancialmente menor a lo que se requiere para desarrollar una solución integral, de ahí que se vean obligadas las Universidades a implementar soluciones modulares, que no favorecen la transformación integral y la modernización de los procesos de gestión. En esta dimensión resalta la relevancia de un eventual incremento de recursos de Estampilla, que favorecerían la modernización de los procesos administrativos y académicos de </w:t>
      </w:r>
      <w:proofErr w:type="gramStart"/>
      <w:r w:rsidRPr="007E526A">
        <w:rPr>
          <w:rFonts w:eastAsia="Times New Roman"/>
          <w:bCs/>
          <w:sz w:val="24"/>
          <w:szCs w:val="24"/>
          <w:lang w:val="es-ES_tradnl" w:eastAsia="es-ES"/>
        </w:rPr>
        <w:t>la</w:t>
      </w:r>
      <w:proofErr w:type="gramEnd"/>
      <w:r w:rsidRPr="007E526A">
        <w:rPr>
          <w:rFonts w:eastAsia="Times New Roman"/>
          <w:bCs/>
          <w:sz w:val="24"/>
          <w:szCs w:val="24"/>
          <w:lang w:val="es-ES_tradnl" w:eastAsia="es-ES"/>
        </w:rPr>
        <w:t xml:space="preserve"> Universidad</w:t>
      </w:r>
      <w:r>
        <w:rPr>
          <w:rFonts w:eastAsia="Times New Roman"/>
          <w:bCs/>
          <w:sz w:val="24"/>
          <w:szCs w:val="24"/>
          <w:lang w:val="es-ES_tradnl" w:eastAsia="es-ES"/>
        </w:rPr>
        <w:t xml:space="preserve">es </w:t>
      </w:r>
      <w:r w:rsidRPr="007E526A">
        <w:rPr>
          <w:rFonts w:eastAsia="Times New Roman"/>
          <w:bCs/>
          <w:sz w:val="24"/>
          <w:szCs w:val="24"/>
          <w:lang w:val="es-ES_tradnl" w:eastAsia="es-ES"/>
        </w:rPr>
        <w:t>de Caldas</w:t>
      </w:r>
      <w:r>
        <w:rPr>
          <w:rFonts w:eastAsia="Times New Roman"/>
          <w:bCs/>
          <w:sz w:val="24"/>
          <w:szCs w:val="24"/>
          <w:lang w:val="es-ES_tradnl" w:eastAsia="es-ES"/>
        </w:rPr>
        <w:t xml:space="preserve">, la Universidad Nacional y la Tecnológica de Pereira. </w:t>
      </w:r>
    </w:p>
    <w:p w:rsidR="005812F1" w:rsidRPr="007E526A" w:rsidRDefault="005812F1" w:rsidP="005812F1">
      <w:pPr>
        <w:spacing w:after="0"/>
        <w:jc w:val="both"/>
        <w:rPr>
          <w:rFonts w:eastAsia="Times New Roman"/>
          <w:bCs/>
          <w:sz w:val="24"/>
          <w:szCs w:val="24"/>
          <w:lang w:val="es-ES_tradnl" w:eastAsia="es-ES"/>
        </w:rPr>
      </w:pPr>
    </w:p>
    <w:p w:rsidR="001F1AA4" w:rsidRDefault="001F1AA4" w:rsidP="005812F1">
      <w:pPr>
        <w:spacing w:after="0"/>
        <w:jc w:val="both"/>
        <w:rPr>
          <w:rFonts w:eastAsia="Times New Roman"/>
          <w:bCs/>
          <w:sz w:val="24"/>
          <w:szCs w:val="24"/>
          <w:lang w:val="es-ES_tradnl" w:eastAsia="es-ES"/>
        </w:rPr>
      </w:pPr>
    </w:p>
    <w:p w:rsidR="001F1AA4" w:rsidRDefault="001F1AA4" w:rsidP="005812F1">
      <w:pPr>
        <w:spacing w:after="0"/>
        <w:jc w:val="both"/>
        <w:rPr>
          <w:rFonts w:eastAsia="Times New Roman"/>
          <w:bCs/>
          <w:sz w:val="24"/>
          <w:szCs w:val="24"/>
          <w:lang w:val="es-ES_tradnl" w:eastAsia="es-ES"/>
        </w:rPr>
      </w:pPr>
    </w:p>
    <w:p w:rsidR="001F1AA4" w:rsidRDefault="001F1AA4" w:rsidP="005812F1">
      <w:pPr>
        <w:spacing w:after="0"/>
        <w:jc w:val="both"/>
        <w:rPr>
          <w:rFonts w:eastAsia="Times New Roman"/>
          <w:bCs/>
          <w:sz w:val="24"/>
          <w:szCs w:val="24"/>
          <w:lang w:val="es-ES_tradnl" w:eastAsia="es-ES"/>
        </w:rPr>
      </w:pPr>
    </w:p>
    <w:p w:rsidR="001F1AA4" w:rsidRDefault="001F1AA4" w:rsidP="005812F1">
      <w:pPr>
        <w:spacing w:after="0"/>
        <w:jc w:val="both"/>
        <w:rPr>
          <w:rFonts w:eastAsia="Times New Roman"/>
          <w:bCs/>
          <w:sz w:val="24"/>
          <w:szCs w:val="24"/>
          <w:lang w:val="es-ES_tradnl" w:eastAsia="es-ES"/>
        </w:rPr>
      </w:pPr>
    </w:p>
    <w:p w:rsidR="001F1AA4" w:rsidRDefault="001F1AA4" w:rsidP="005812F1">
      <w:pPr>
        <w:spacing w:after="0"/>
        <w:jc w:val="both"/>
        <w:rPr>
          <w:rFonts w:eastAsia="Times New Roman"/>
          <w:bCs/>
          <w:sz w:val="24"/>
          <w:szCs w:val="24"/>
          <w:lang w:val="es-ES_tradnl" w:eastAsia="es-ES"/>
        </w:rPr>
      </w:pPr>
    </w:p>
    <w:p w:rsidR="005812F1" w:rsidRPr="007E526A" w:rsidRDefault="005812F1" w:rsidP="005812F1">
      <w:pPr>
        <w:spacing w:after="0"/>
        <w:jc w:val="both"/>
        <w:rPr>
          <w:rFonts w:eastAsia="Times New Roman"/>
          <w:bCs/>
          <w:sz w:val="24"/>
          <w:szCs w:val="24"/>
          <w:lang w:val="es-ES_tradnl" w:eastAsia="es-ES"/>
        </w:rPr>
      </w:pPr>
      <w:r w:rsidRPr="007E526A">
        <w:rPr>
          <w:rFonts w:eastAsia="Times New Roman"/>
          <w:bCs/>
          <w:sz w:val="24"/>
          <w:szCs w:val="24"/>
          <w:lang w:val="es-ES_tradnl" w:eastAsia="es-ES"/>
        </w:rPr>
        <w:t>Ahora bien, esta modernización no implica únicamente mejoramiento en los procedimientos al interior de la Universidad</w:t>
      </w:r>
      <w:r>
        <w:rPr>
          <w:rFonts w:eastAsia="Times New Roman"/>
          <w:bCs/>
          <w:sz w:val="24"/>
          <w:szCs w:val="24"/>
          <w:lang w:val="es-ES_tradnl" w:eastAsia="es-ES"/>
        </w:rPr>
        <w:t>es</w:t>
      </w:r>
      <w:r w:rsidRPr="007E526A">
        <w:rPr>
          <w:rFonts w:eastAsia="Times New Roman"/>
          <w:bCs/>
          <w:sz w:val="24"/>
          <w:szCs w:val="24"/>
          <w:lang w:val="es-ES_tradnl" w:eastAsia="es-ES"/>
        </w:rPr>
        <w:t>. Más allá de ello, favorecería el vínculo con los territorios, la optimización de procesos de relacionamiento con la</w:t>
      </w:r>
      <w:r>
        <w:rPr>
          <w:rFonts w:eastAsia="Times New Roman"/>
          <w:bCs/>
          <w:sz w:val="24"/>
          <w:szCs w:val="24"/>
          <w:lang w:val="es-ES_tradnl" w:eastAsia="es-ES"/>
        </w:rPr>
        <w:t>s tres u</w:t>
      </w:r>
      <w:r w:rsidRPr="007E526A">
        <w:rPr>
          <w:rFonts w:eastAsia="Times New Roman"/>
          <w:bCs/>
          <w:sz w:val="24"/>
          <w:szCs w:val="24"/>
          <w:lang w:val="es-ES_tradnl" w:eastAsia="es-ES"/>
        </w:rPr>
        <w:t>niversidad</w:t>
      </w:r>
      <w:r>
        <w:rPr>
          <w:rFonts w:eastAsia="Times New Roman"/>
          <w:bCs/>
          <w:sz w:val="24"/>
          <w:szCs w:val="24"/>
          <w:lang w:val="es-ES_tradnl" w:eastAsia="es-ES"/>
        </w:rPr>
        <w:t>es</w:t>
      </w:r>
      <w:r w:rsidRPr="007E526A">
        <w:rPr>
          <w:rFonts w:eastAsia="Times New Roman"/>
          <w:bCs/>
          <w:sz w:val="24"/>
          <w:szCs w:val="24"/>
          <w:lang w:val="es-ES_tradnl" w:eastAsia="es-ES"/>
        </w:rPr>
        <w:t xml:space="preserve"> a todo nivel y la racionalización de recursos que podrían ser asignados a incrementar el impacto de las acciones misionales.</w:t>
      </w:r>
    </w:p>
    <w:p w:rsidR="005812F1" w:rsidRPr="007E526A" w:rsidRDefault="005812F1" w:rsidP="005812F1">
      <w:pPr>
        <w:spacing w:after="0"/>
        <w:jc w:val="both"/>
        <w:rPr>
          <w:rFonts w:eastAsia="Times New Roman"/>
          <w:bCs/>
          <w:sz w:val="24"/>
          <w:szCs w:val="24"/>
          <w:lang w:val="es-ES_tradnl" w:eastAsia="es-ES"/>
        </w:rPr>
      </w:pPr>
    </w:p>
    <w:p w:rsidR="005812F1" w:rsidRPr="007E526A" w:rsidRDefault="005812F1" w:rsidP="005812F1">
      <w:pPr>
        <w:spacing w:after="0"/>
        <w:jc w:val="both"/>
        <w:rPr>
          <w:rFonts w:eastAsia="Times New Roman"/>
          <w:bCs/>
          <w:sz w:val="24"/>
          <w:szCs w:val="24"/>
          <w:lang w:val="es-ES_tradnl" w:eastAsia="es-ES"/>
        </w:rPr>
      </w:pPr>
      <w:r w:rsidRPr="007E526A">
        <w:rPr>
          <w:rFonts w:eastAsia="Times New Roman"/>
          <w:bCs/>
          <w:sz w:val="24"/>
          <w:szCs w:val="24"/>
          <w:lang w:val="es-ES_tradnl" w:eastAsia="es-ES"/>
        </w:rPr>
        <w:t xml:space="preserve">Por otro lado, el mantenimiento de la infraestructura universitaria, tanto en sus espacios académicos convencionales como en otras infraestructuras que están al servicio de actividades culturales y deportivas, son de alto beneficio para la comunidad universitaria, pero también para la comunidad local y regional. </w:t>
      </w:r>
    </w:p>
    <w:p w:rsidR="005812F1" w:rsidRPr="007E526A" w:rsidRDefault="005812F1" w:rsidP="005812F1">
      <w:pPr>
        <w:spacing w:after="0" w:line="240" w:lineRule="auto"/>
        <w:jc w:val="both"/>
        <w:rPr>
          <w:rFonts w:cstheme="minorHAnsi"/>
          <w:sz w:val="24"/>
          <w:szCs w:val="24"/>
        </w:rPr>
      </w:pPr>
    </w:p>
    <w:p w:rsidR="005812F1" w:rsidRPr="007E526A" w:rsidRDefault="005812F1" w:rsidP="005812F1">
      <w:pPr>
        <w:jc w:val="both"/>
        <w:rPr>
          <w:rFonts w:cstheme="minorHAnsi"/>
          <w:sz w:val="24"/>
          <w:szCs w:val="24"/>
        </w:rPr>
      </w:pPr>
      <w:r w:rsidRPr="007E526A">
        <w:rPr>
          <w:rFonts w:cstheme="minorHAnsi"/>
          <w:sz w:val="24"/>
          <w:szCs w:val="24"/>
        </w:rPr>
        <w:t>En virtud de lo anterior y teniendo en cuenta que la excelencia académica de las Universidades Públicas, es un proyecto de país y sociedad, se hace necesario fortalecer los mecanismos de financiación de dichas Instituciones, en lo específico a la cuantía de la emisión de la estampilla y la no limitación de su recaudo en el tiempo, en aras de lograr  las finalidades mencionadas.</w:t>
      </w:r>
    </w:p>
    <w:p w:rsidR="0007222B" w:rsidRPr="00213B21" w:rsidRDefault="0007222B" w:rsidP="0007222B">
      <w:pPr>
        <w:adjustRightInd w:val="0"/>
        <w:spacing w:before="57" w:after="57" w:line="288" w:lineRule="auto"/>
        <w:ind w:firstLine="283"/>
        <w:jc w:val="both"/>
        <w:textAlignment w:val="center"/>
        <w:rPr>
          <w:rFonts w:eastAsia="Times New Roman" w:cstheme="minorHAnsi"/>
          <w:sz w:val="24"/>
          <w:szCs w:val="24"/>
          <w:lang w:eastAsia="es-CO"/>
        </w:rPr>
      </w:pPr>
      <w:r w:rsidRPr="00213B21">
        <w:rPr>
          <w:rFonts w:eastAsia="Calibri" w:cstheme="minorHAnsi"/>
          <w:b/>
          <w:bCs/>
          <w:color w:val="000000"/>
          <w:sz w:val="24"/>
          <w:szCs w:val="24"/>
          <w:lang w:val="es-ES_tradnl"/>
        </w:rPr>
        <w:t>Ju</w:t>
      </w:r>
      <w:r w:rsidRPr="0007222B">
        <w:rPr>
          <w:rFonts w:eastAsia="Calibri" w:cstheme="minorHAnsi"/>
          <w:b/>
          <w:bCs/>
          <w:color w:val="000000"/>
          <w:sz w:val="24"/>
          <w:szCs w:val="24"/>
          <w:lang w:val="es-ES_tradnl"/>
        </w:rPr>
        <w:t>stificación legal:</w:t>
      </w:r>
    </w:p>
    <w:p w:rsidR="0007222B" w:rsidRPr="00213B21" w:rsidRDefault="0007222B" w:rsidP="0007222B">
      <w:pPr>
        <w:adjustRightInd w:val="0"/>
        <w:spacing w:before="57" w:after="57" w:line="288" w:lineRule="auto"/>
        <w:ind w:firstLine="283"/>
        <w:jc w:val="both"/>
        <w:textAlignment w:val="center"/>
        <w:rPr>
          <w:rFonts w:eastAsia="Times New Roman" w:cstheme="minorHAnsi"/>
          <w:sz w:val="24"/>
          <w:szCs w:val="24"/>
          <w:lang w:eastAsia="es-CO"/>
        </w:rPr>
      </w:pPr>
      <w:r w:rsidRPr="00213B21">
        <w:rPr>
          <w:rFonts w:eastAsia="Calibri" w:cstheme="minorHAnsi"/>
          <w:color w:val="000000"/>
          <w:sz w:val="24"/>
          <w:szCs w:val="24"/>
          <w:lang w:val="es-ES_tradnl"/>
        </w:rPr>
        <w:t xml:space="preserve">Las estampillas </w:t>
      </w:r>
      <w:r w:rsidRPr="0007222B">
        <w:rPr>
          <w:rFonts w:eastAsia="Calibri" w:cstheme="minorHAnsi"/>
          <w:color w:val="000000"/>
          <w:sz w:val="24"/>
          <w:szCs w:val="24"/>
          <w:lang w:val="es-ES_tradnl"/>
        </w:rPr>
        <w:t xml:space="preserve">se han considerado por el Consejo de Estrado como </w:t>
      </w:r>
      <w:r w:rsidRPr="00213B21">
        <w:rPr>
          <w:rFonts w:eastAsia="Calibri" w:cstheme="minorHAnsi"/>
          <w:color w:val="000000"/>
          <w:sz w:val="24"/>
          <w:szCs w:val="24"/>
          <w:lang w:val="es-ES_tradnl"/>
        </w:rPr>
        <w:t>tributos en la medida en que participan de la naturaleza de las contribuciones parafiscales, pues constituyen un gravamen cuyo pago obligatorio deben realizar los usuarios de algunas operaciones o actividades que se realizan frente a organismos de carácter público</w:t>
      </w:r>
      <w:r w:rsidRPr="0007222B">
        <w:rPr>
          <w:rFonts w:eastAsia="Calibri" w:cstheme="minorHAnsi"/>
          <w:color w:val="000000"/>
          <w:sz w:val="24"/>
          <w:szCs w:val="24"/>
          <w:lang w:val="es-ES_tradnl"/>
        </w:rPr>
        <w:t>. L</w:t>
      </w:r>
      <w:r w:rsidRPr="00213B21">
        <w:rPr>
          <w:rFonts w:eastAsia="Calibri" w:cstheme="minorHAnsi"/>
          <w:color w:val="000000"/>
          <w:sz w:val="24"/>
          <w:szCs w:val="24"/>
          <w:lang w:val="es-ES_tradnl"/>
        </w:rPr>
        <w:t xml:space="preserve">os recursos se revierten en beneficio de un sector específico; y están destinados a sufragar gastos en que incurran las entidades que desarrollan o prestan un servicio público, como función propia del Estado. La tasa si bien puede corresponder a la prestación directa de un servicio público, del cual es usuario el contribuyente que se beneficia efectivamente, caso en el cual se definen como tasas administrativas, también puede corresponder al beneficio potencial por la utilización de servicios de aprovechamiento común, como la educación, la salud, el deporte, la cultura, es decir, que el gravamen se revierte en beneficio social, caso en el cual se definen como tasas parafiscales que son las percibidas en </w:t>
      </w:r>
      <w:r w:rsidRPr="00213B21">
        <w:rPr>
          <w:rFonts w:eastAsia="Calibri" w:cstheme="minorHAnsi"/>
          <w:color w:val="000000"/>
          <w:sz w:val="24"/>
          <w:szCs w:val="24"/>
          <w:lang w:val="es-ES_tradnl"/>
        </w:rPr>
        <w:lastRenderedPageBreak/>
        <w:t>beneficio de organismos públicos o privados, pero no por la prestación de un servicio propiamente dicho, sino por contener un carácter social.</w:t>
      </w:r>
      <w:r w:rsidRPr="0007222B">
        <w:rPr>
          <w:rFonts w:eastAsia="Calibri" w:cstheme="minorHAnsi"/>
          <w:color w:val="000000"/>
          <w:sz w:val="24"/>
          <w:szCs w:val="24"/>
          <w:lang w:val="es-ES_tradnl"/>
        </w:rPr>
        <w:t xml:space="preserve"> </w:t>
      </w:r>
    </w:p>
    <w:p w:rsidR="0007222B" w:rsidRPr="00213B21" w:rsidRDefault="0007222B" w:rsidP="0007222B">
      <w:pPr>
        <w:adjustRightInd w:val="0"/>
        <w:spacing w:before="57" w:after="57" w:line="288" w:lineRule="auto"/>
        <w:ind w:firstLine="283"/>
        <w:jc w:val="both"/>
        <w:textAlignment w:val="center"/>
        <w:rPr>
          <w:rFonts w:eastAsia="Times New Roman" w:cstheme="minorHAnsi"/>
          <w:sz w:val="24"/>
          <w:szCs w:val="24"/>
          <w:lang w:eastAsia="es-CO"/>
        </w:rPr>
      </w:pPr>
      <w:r w:rsidRPr="0007222B">
        <w:rPr>
          <w:rFonts w:eastAsia="Times New Roman" w:cstheme="minorHAnsi"/>
          <w:iCs/>
          <w:sz w:val="24"/>
          <w:szCs w:val="24"/>
          <w:lang w:val="es-ES_tradnl" w:eastAsia="es-CO"/>
        </w:rPr>
        <w:t xml:space="preserve"> En el caso presente se trata de modificar una ley vigente, que definió claramente los sujetos y las características del tributo, buscando que las Universidades sigan contando con estos recursos para sus programas de inversión, por un período de tiempo mayor, el cual correspondería con el necesario para ser alcanzado el monto de los $300.000 millones de pesos. </w:t>
      </w:r>
      <w:r w:rsidRPr="00213B21">
        <w:rPr>
          <w:rFonts w:eastAsia="Times New Roman" w:cstheme="minorHAnsi"/>
          <w:iCs/>
          <w:sz w:val="24"/>
          <w:szCs w:val="24"/>
          <w:lang w:val="es-ES_tradnl" w:eastAsia="es-CO"/>
        </w:rPr>
        <w:t>Las estampillas, pertenecen a lo que se conoce como tasas parafiscales, pues son un gravamen que surge de la realización de un acto jurídico, cual es la suscripción de un contrato con el departamento</w:t>
      </w:r>
      <w:r w:rsidRPr="0007222B">
        <w:rPr>
          <w:rFonts w:eastAsia="Times New Roman" w:cstheme="minorHAnsi"/>
          <w:iCs/>
          <w:sz w:val="24"/>
          <w:szCs w:val="24"/>
          <w:lang w:val="es-ES_tradnl" w:eastAsia="es-CO"/>
        </w:rPr>
        <w:t xml:space="preserve"> y los municipios,</w:t>
      </w:r>
      <w:r w:rsidRPr="00213B21">
        <w:rPr>
          <w:rFonts w:eastAsia="Times New Roman" w:cstheme="minorHAnsi"/>
          <w:iCs/>
          <w:sz w:val="24"/>
          <w:szCs w:val="24"/>
          <w:lang w:val="es-ES_tradnl" w:eastAsia="es-CO"/>
        </w:rPr>
        <w:t xml:space="preserve"> que se causan sobre un hecho concreto y que por disposición legal tienen una destinación específica, cuyas características difieren de las que permiten identificar al impuesto indirecto.</w:t>
      </w:r>
    </w:p>
    <w:p w:rsidR="005812F1" w:rsidRPr="0007222B" w:rsidRDefault="005812F1" w:rsidP="005812F1">
      <w:pPr>
        <w:spacing w:after="0" w:line="240" w:lineRule="auto"/>
        <w:jc w:val="both"/>
        <w:rPr>
          <w:rFonts w:cstheme="minorHAnsi"/>
          <w:sz w:val="24"/>
          <w:szCs w:val="24"/>
        </w:rPr>
      </w:pPr>
    </w:p>
    <w:p w:rsidR="005812F1" w:rsidRPr="0007222B" w:rsidRDefault="005812F1" w:rsidP="005812F1">
      <w:pPr>
        <w:spacing w:after="0" w:line="240" w:lineRule="auto"/>
        <w:jc w:val="both"/>
        <w:rPr>
          <w:rFonts w:cstheme="minorHAnsi"/>
          <w:sz w:val="24"/>
          <w:szCs w:val="24"/>
        </w:rPr>
      </w:pPr>
    </w:p>
    <w:p w:rsidR="005812F1" w:rsidRPr="007E526A" w:rsidRDefault="005812F1" w:rsidP="005812F1">
      <w:pPr>
        <w:spacing w:after="0" w:line="240" w:lineRule="auto"/>
        <w:jc w:val="both"/>
        <w:rPr>
          <w:rFonts w:cstheme="minorHAnsi"/>
          <w:sz w:val="24"/>
          <w:szCs w:val="24"/>
        </w:rPr>
      </w:pPr>
      <w:r w:rsidRPr="007E526A">
        <w:rPr>
          <w:rFonts w:cstheme="minorHAnsi"/>
          <w:sz w:val="24"/>
          <w:szCs w:val="24"/>
        </w:rPr>
        <w:t>Por las anteriores consideraciones se presenta este proyecto de ley.</w:t>
      </w:r>
    </w:p>
    <w:p w:rsidR="005812F1" w:rsidRDefault="005812F1" w:rsidP="005812F1"/>
    <w:p w:rsidR="007E526A" w:rsidRPr="007E526A" w:rsidRDefault="007E526A" w:rsidP="007E526A">
      <w:pPr>
        <w:spacing w:after="0" w:line="240" w:lineRule="auto"/>
        <w:jc w:val="both"/>
        <w:rPr>
          <w:rFonts w:cstheme="minorHAnsi"/>
          <w:sz w:val="24"/>
          <w:szCs w:val="24"/>
        </w:rPr>
      </w:pPr>
    </w:p>
    <w:p w:rsidR="007E526A" w:rsidRPr="007E526A" w:rsidRDefault="007E526A" w:rsidP="007E526A">
      <w:pPr>
        <w:spacing w:after="0" w:line="240" w:lineRule="auto"/>
        <w:jc w:val="both"/>
        <w:rPr>
          <w:rFonts w:cstheme="minorHAnsi"/>
          <w:sz w:val="24"/>
          <w:szCs w:val="24"/>
        </w:rPr>
      </w:pPr>
      <w:r w:rsidRPr="007E526A">
        <w:rPr>
          <w:rFonts w:cstheme="minorHAnsi"/>
          <w:sz w:val="24"/>
          <w:szCs w:val="24"/>
        </w:rPr>
        <w:t>Atentamente,</w:t>
      </w:r>
    </w:p>
    <w:p w:rsidR="007E526A" w:rsidRPr="007E526A" w:rsidRDefault="007E526A" w:rsidP="007E526A">
      <w:pPr>
        <w:spacing w:after="0" w:line="240" w:lineRule="auto"/>
        <w:jc w:val="both"/>
        <w:rPr>
          <w:rFonts w:cstheme="minorHAnsi"/>
          <w:sz w:val="24"/>
          <w:szCs w:val="24"/>
        </w:rPr>
      </w:pPr>
    </w:p>
    <w:p w:rsidR="007E526A" w:rsidRDefault="007E526A" w:rsidP="007E526A">
      <w:pPr>
        <w:spacing w:after="0" w:line="240" w:lineRule="auto"/>
        <w:jc w:val="both"/>
        <w:rPr>
          <w:rFonts w:cstheme="minorHAnsi"/>
          <w:sz w:val="24"/>
          <w:szCs w:val="24"/>
        </w:rPr>
      </w:pPr>
    </w:p>
    <w:p w:rsidR="00C4684C" w:rsidRDefault="00C4684C" w:rsidP="007E526A">
      <w:pPr>
        <w:spacing w:after="0" w:line="240" w:lineRule="auto"/>
        <w:jc w:val="both"/>
        <w:rPr>
          <w:rFonts w:cstheme="minorHAnsi"/>
          <w:sz w:val="24"/>
          <w:szCs w:val="24"/>
        </w:rPr>
      </w:pPr>
    </w:p>
    <w:p w:rsidR="007D4B23" w:rsidRDefault="007D4B23" w:rsidP="007E526A">
      <w:pPr>
        <w:spacing w:after="0" w:line="240" w:lineRule="auto"/>
        <w:jc w:val="both"/>
        <w:rPr>
          <w:rFonts w:cstheme="minorHAnsi"/>
          <w:sz w:val="24"/>
          <w:szCs w:val="24"/>
        </w:rPr>
      </w:pPr>
    </w:p>
    <w:p w:rsidR="007D4B23" w:rsidRPr="007E526A" w:rsidRDefault="007D4B23" w:rsidP="007E526A">
      <w:pPr>
        <w:spacing w:after="0" w:line="240" w:lineRule="auto"/>
        <w:jc w:val="both"/>
        <w:rPr>
          <w:rFonts w:cstheme="minorHAnsi"/>
          <w:sz w:val="24"/>
          <w:szCs w:val="24"/>
        </w:rPr>
      </w:pPr>
    </w:p>
    <w:p w:rsidR="00C4684C" w:rsidRPr="007E526A" w:rsidRDefault="007E526A" w:rsidP="00C4684C">
      <w:pPr>
        <w:spacing w:after="0" w:line="240" w:lineRule="auto"/>
        <w:jc w:val="both"/>
        <w:rPr>
          <w:rFonts w:cstheme="minorHAnsi"/>
          <w:b/>
          <w:sz w:val="24"/>
          <w:szCs w:val="24"/>
        </w:rPr>
      </w:pPr>
      <w:r w:rsidRPr="007E526A">
        <w:rPr>
          <w:rFonts w:cstheme="minorHAnsi"/>
          <w:b/>
          <w:sz w:val="24"/>
          <w:szCs w:val="24"/>
        </w:rPr>
        <w:t xml:space="preserve">CARLOS FELIPE MEJIA </w:t>
      </w:r>
      <w:proofErr w:type="spellStart"/>
      <w:r w:rsidRPr="007E526A">
        <w:rPr>
          <w:rFonts w:cstheme="minorHAnsi"/>
          <w:b/>
          <w:sz w:val="24"/>
          <w:szCs w:val="24"/>
        </w:rPr>
        <w:t>MEJIA</w:t>
      </w:r>
      <w:proofErr w:type="spellEnd"/>
      <w:r w:rsidR="00C4684C" w:rsidRPr="007D4B23">
        <w:rPr>
          <w:rFonts w:cstheme="minorHAnsi"/>
          <w:b/>
          <w:sz w:val="24"/>
          <w:szCs w:val="24"/>
        </w:rPr>
        <w:t xml:space="preserve">          </w:t>
      </w:r>
      <w:r w:rsidR="00C4684C" w:rsidRPr="007E526A">
        <w:rPr>
          <w:rFonts w:cstheme="minorHAnsi"/>
          <w:b/>
          <w:sz w:val="24"/>
          <w:szCs w:val="24"/>
        </w:rPr>
        <w:t>MAURICIO LIZCANO ARANGO</w:t>
      </w:r>
      <w:r w:rsidR="007D4B23">
        <w:rPr>
          <w:rFonts w:cstheme="minorHAnsi"/>
          <w:b/>
          <w:sz w:val="24"/>
          <w:szCs w:val="24"/>
        </w:rPr>
        <w:t xml:space="preserve">   </w:t>
      </w:r>
      <w:r w:rsidR="00C4684C" w:rsidRPr="007D4B23">
        <w:rPr>
          <w:rFonts w:cstheme="minorHAnsi"/>
          <w:b/>
          <w:sz w:val="24"/>
          <w:szCs w:val="24"/>
        </w:rPr>
        <w:t xml:space="preserve">   </w:t>
      </w:r>
      <w:r w:rsidR="00C4684C" w:rsidRPr="007E526A">
        <w:rPr>
          <w:rFonts w:cstheme="minorHAnsi"/>
          <w:b/>
          <w:sz w:val="24"/>
          <w:szCs w:val="24"/>
        </w:rPr>
        <w:t>LUIS EMILIO SIERRA GRAJALES</w:t>
      </w:r>
    </w:p>
    <w:p w:rsidR="00C4684C" w:rsidRPr="007E526A" w:rsidRDefault="00C4684C" w:rsidP="00C4684C">
      <w:pPr>
        <w:spacing w:after="0" w:line="240" w:lineRule="auto"/>
        <w:jc w:val="both"/>
        <w:rPr>
          <w:rFonts w:cstheme="minorHAnsi"/>
          <w:sz w:val="24"/>
          <w:szCs w:val="24"/>
        </w:rPr>
      </w:pP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w:t>
      </w:r>
      <w:r w:rsidRPr="007E526A">
        <w:rPr>
          <w:rFonts w:cstheme="minorHAnsi"/>
          <w:sz w:val="24"/>
          <w:szCs w:val="24"/>
        </w:rPr>
        <w:t>Senador de la República</w:t>
      </w:r>
    </w:p>
    <w:p w:rsidR="00C4684C" w:rsidRDefault="00C4684C" w:rsidP="00C4684C">
      <w:pPr>
        <w:spacing w:after="0" w:line="240" w:lineRule="auto"/>
        <w:jc w:val="both"/>
        <w:rPr>
          <w:rFonts w:cstheme="minorHAnsi"/>
          <w:sz w:val="24"/>
          <w:szCs w:val="24"/>
        </w:rPr>
      </w:pPr>
    </w:p>
    <w:p w:rsidR="00502FDE" w:rsidRPr="007E526A" w:rsidRDefault="00502FDE" w:rsidP="00C4684C">
      <w:pPr>
        <w:spacing w:after="0" w:line="240" w:lineRule="auto"/>
        <w:jc w:val="both"/>
        <w:rPr>
          <w:rFonts w:cstheme="minorHAnsi"/>
          <w:sz w:val="24"/>
          <w:szCs w:val="24"/>
        </w:rPr>
      </w:pPr>
    </w:p>
    <w:p w:rsidR="00C4684C" w:rsidRPr="007E526A" w:rsidRDefault="00C4684C" w:rsidP="00C4684C">
      <w:pPr>
        <w:spacing w:after="0" w:line="240" w:lineRule="auto"/>
        <w:jc w:val="both"/>
        <w:rPr>
          <w:rFonts w:cstheme="minorHAnsi"/>
          <w:sz w:val="24"/>
          <w:szCs w:val="24"/>
        </w:rPr>
      </w:pPr>
      <w:r>
        <w:rPr>
          <w:rFonts w:cstheme="minorHAnsi"/>
          <w:sz w:val="24"/>
          <w:szCs w:val="24"/>
        </w:rPr>
        <w:t xml:space="preserve">  </w:t>
      </w:r>
    </w:p>
    <w:p w:rsidR="007E526A" w:rsidRPr="007E526A" w:rsidRDefault="007E526A" w:rsidP="00C4684C">
      <w:pPr>
        <w:spacing w:after="0" w:line="240" w:lineRule="auto"/>
        <w:jc w:val="both"/>
        <w:rPr>
          <w:rFonts w:cstheme="minorHAnsi"/>
          <w:sz w:val="24"/>
          <w:szCs w:val="24"/>
        </w:rPr>
      </w:pPr>
    </w:p>
    <w:p w:rsidR="001F1AA4" w:rsidRDefault="001F1AA4" w:rsidP="00502FDE">
      <w:pPr>
        <w:spacing w:after="0" w:line="240" w:lineRule="auto"/>
        <w:jc w:val="both"/>
        <w:rPr>
          <w:rFonts w:cs="Arial"/>
          <w:b/>
          <w:sz w:val="24"/>
          <w:szCs w:val="24"/>
        </w:rPr>
      </w:pPr>
    </w:p>
    <w:p w:rsidR="001F1AA4" w:rsidRDefault="001F1AA4" w:rsidP="00502FDE">
      <w:pPr>
        <w:spacing w:after="0" w:line="240" w:lineRule="auto"/>
        <w:jc w:val="both"/>
        <w:rPr>
          <w:rFonts w:cs="Arial"/>
          <w:b/>
          <w:sz w:val="24"/>
          <w:szCs w:val="24"/>
        </w:rPr>
      </w:pPr>
    </w:p>
    <w:p w:rsidR="001F1AA4" w:rsidRDefault="001F1AA4" w:rsidP="00502FDE">
      <w:pPr>
        <w:spacing w:after="0" w:line="240" w:lineRule="auto"/>
        <w:jc w:val="both"/>
        <w:rPr>
          <w:rFonts w:cs="Arial"/>
          <w:b/>
          <w:sz w:val="24"/>
          <w:szCs w:val="24"/>
        </w:rPr>
      </w:pPr>
    </w:p>
    <w:p w:rsidR="00502FDE" w:rsidRDefault="00502FDE" w:rsidP="00502FDE">
      <w:pPr>
        <w:spacing w:after="0" w:line="240" w:lineRule="auto"/>
        <w:jc w:val="both"/>
        <w:rPr>
          <w:rFonts w:cs="Arial"/>
          <w:b/>
          <w:sz w:val="24"/>
          <w:szCs w:val="24"/>
        </w:rPr>
      </w:pPr>
      <w:r w:rsidRPr="009352CD">
        <w:rPr>
          <w:rFonts w:cs="Arial"/>
          <w:b/>
          <w:sz w:val="24"/>
          <w:szCs w:val="24"/>
        </w:rPr>
        <w:t>LUIS FERNANDO DUQUE GARCIA</w:t>
      </w:r>
      <w:r>
        <w:rPr>
          <w:rFonts w:cs="Arial"/>
          <w:b/>
          <w:sz w:val="24"/>
          <w:szCs w:val="24"/>
        </w:rPr>
        <w:t xml:space="preserve">                                                       JUAN CARLOS RESTREPO ESCOBAR </w:t>
      </w:r>
    </w:p>
    <w:p w:rsidR="00502FDE" w:rsidRPr="007E526A" w:rsidRDefault="00502FDE" w:rsidP="00502FDE">
      <w:pPr>
        <w:spacing w:after="0" w:line="240" w:lineRule="auto"/>
        <w:jc w:val="both"/>
        <w:rPr>
          <w:rFonts w:cstheme="minorHAnsi"/>
          <w:sz w:val="24"/>
          <w:szCs w:val="24"/>
        </w:rPr>
      </w:pP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w:t>
      </w:r>
    </w:p>
    <w:p w:rsidR="00502FDE" w:rsidRDefault="00502FDE" w:rsidP="00502FDE">
      <w:pPr>
        <w:spacing w:after="0" w:line="240" w:lineRule="auto"/>
        <w:jc w:val="both"/>
        <w:rPr>
          <w:rFonts w:cstheme="minorHAnsi"/>
          <w:sz w:val="24"/>
          <w:szCs w:val="24"/>
        </w:rPr>
      </w:pPr>
    </w:p>
    <w:p w:rsidR="00502FDE" w:rsidRDefault="00502FDE" w:rsidP="00502FDE">
      <w:pPr>
        <w:spacing w:after="0" w:line="240" w:lineRule="auto"/>
        <w:jc w:val="both"/>
        <w:rPr>
          <w:rFonts w:cstheme="minorHAnsi"/>
          <w:sz w:val="24"/>
          <w:szCs w:val="24"/>
        </w:rPr>
      </w:pPr>
    </w:p>
    <w:p w:rsidR="00502FDE" w:rsidRDefault="00502FDE" w:rsidP="00502FDE">
      <w:pPr>
        <w:spacing w:after="0" w:line="240" w:lineRule="auto"/>
        <w:jc w:val="both"/>
        <w:rPr>
          <w:rFonts w:cstheme="minorHAnsi"/>
          <w:sz w:val="24"/>
          <w:szCs w:val="24"/>
        </w:rPr>
      </w:pPr>
    </w:p>
    <w:p w:rsidR="001F1AA4" w:rsidRDefault="001F1AA4" w:rsidP="00502FDE">
      <w:pPr>
        <w:spacing w:after="0" w:line="240" w:lineRule="auto"/>
        <w:jc w:val="both"/>
        <w:rPr>
          <w:rFonts w:cstheme="minorHAnsi"/>
          <w:sz w:val="24"/>
          <w:szCs w:val="24"/>
        </w:rPr>
      </w:pPr>
    </w:p>
    <w:p w:rsidR="00502FDE" w:rsidRDefault="00502FDE" w:rsidP="00502FDE">
      <w:pPr>
        <w:spacing w:after="0" w:line="240" w:lineRule="auto"/>
        <w:jc w:val="both"/>
        <w:rPr>
          <w:rFonts w:cstheme="minorHAnsi"/>
          <w:sz w:val="24"/>
          <w:szCs w:val="24"/>
        </w:rPr>
      </w:pPr>
    </w:p>
    <w:p w:rsidR="00502FDE" w:rsidRDefault="00502FDE" w:rsidP="00502FDE">
      <w:pPr>
        <w:spacing w:after="0" w:line="240" w:lineRule="auto"/>
        <w:jc w:val="both"/>
        <w:rPr>
          <w:rFonts w:cs="Arial"/>
          <w:b/>
          <w:sz w:val="24"/>
          <w:szCs w:val="24"/>
        </w:rPr>
      </w:pPr>
      <w:r>
        <w:rPr>
          <w:rFonts w:cs="Arial"/>
          <w:b/>
          <w:sz w:val="24"/>
          <w:szCs w:val="24"/>
        </w:rPr>
        <w:t xml:space="preserve">CARLOS ENRIQUE SOTO JARAMILLO                                                         JUAN SAMY MERHEG MARUN      </w:t>
      </w:r>
    </w:p>
    <w:p w:rsidR="00502FDE" w:rsidRDefault="00502FDE" w:rsidP="00502FDE">
      <w:pPr>
        <w:spacing w:after="0" w:line="240" w:lineRule="auto"/>
        <w:jc w:val="both"/>
        <w:rPr>
          <w:rFonts w:cstheme="minorHAnsi"/>
          <w:sz w:val="24"/>
          <w:szCs w:val="24"/>
        </w:rPr>
      </w:pPr>
      <w:r>
        <w:rPr>
          <w:rFonts w:cstheme="minorHAnsi"/>
          <w:sz w:val="24"/>
          <w:szCs w:val="24"/>
        </w:rPr>
        <w:t xml:space="preserve">       </w:t>
      </w:r>
      <w:r w:rsidRPr="007E526A">
        <w:rPr>
          <w:rFonts w:cstheme="minorHAnsi"/>
          <w:sz w:val="24"/>
          <w:szCs w:val="24"/>
        </w:rPr>
        <w:t>Senador de la República</w:t>
      </w:r>
      <w:r>
        <w:rPr>
          <w:rFonts w:cstheme="minorHAnsi"/>
          <w:sz w:val="24"/>
          <w:szCs w:val="24"/>
        </w:rPr>
        <w:t xml:space="preserve">                                                                               Senador de la República                                             </w:t>
      </w:r>
    </w:p>
    <w:p w:rsidR="00502FDE" w:rsidRDefault="00502FDE" w:rsidP="00502FDE">
      <w:pPr>
        <w:spacing w:after="0" w:line="240" w:lineRule="auto"/>
        <w:jc w:val="both"/>
        <w:rPr>
          <w:rFonts w:cstheme="minorHAnsi"/>
          <w:sz w:val="24"/>
          <w:szCs w:val="24"/>
        </w:rPr>
      </w:pPr>
    </w:p>
    <w:p w:rsidR="007E526A" w:rsidRPr="007E526A" w:rsidRDefault="007E526A" w:rsidP="007E526A">
      <w:pPr>
        <w:spacing w:after="0"/>
        <w:jc w:val="both"/>
        <w:rPr>
          <w:rFonts w:eastAsia="Times New Roman"/>
          <w:b/>
          <w:bCs/>
          <w:sz w:val="24"/>
          <w:szCs w:val="24"/>
          <w:lang w:val="es-ES_tradnl" w:eastAsia="es-ES"/>
        </w:rPr>
      </w:pPr>
    </w:p>
    <w:p w:rsidR="0003632B" w:rsidRDefault="0003632B" w:rsidP="007E526A">
      <w:pPr>
        <w:spacing w:after="0"/>
        <w:jc w:val="both"/>
        <w:rPr>
          <w:rFonts w:eastAsia="Times New Roman"/>
          <w:b/>
          <w:bCs/>
          <w:sz w:val="24"/>
          <w:szCs w:val="24"/>
          <w:lang w:val="es-ES_tradnl" w:eastAsia="es-ES"/>
        </w:rPr>
      </w:pPr>
    </w:p>
    <w:p w:rsidR="007D4B23" w:rsidRDefault="007D4B23" w:rsidP="007E526A">
      <w:pPr>
        <w:spacing w:after="0"/>
        <w:jc w:val="both"/>
        <w:rPr>
          <w:rFonts w:eastAsia="Times New Roman"/>
          <w:b/>
          <w:bCs/>
          <w:sz w:val="24"/>
          <w:szCs w:val="24"/>
          <w:lang w:val="es-ES_tradnl" w:eastAsia="es-ES"/>
        </w:rPr>
      </w:pPr>
    </w:p>
    <w:p w:rsidR="007D4B23" w:rsidRDefault="007D4B23"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1F1AA4" w:rsidRDefault="001F1AA4" w:rsidP="007E526A">
      <w:pPr>
        <w:spacing w:after="0"/>
        <w:jc w:val="both"/>
        <w:rPr>
          <w:rFonts w:eastAsia="Times New Roman"/>
          <w:b/>
          <w:bCs/>
          <w:sz w:val="24"/>
          <w:szCs w:val="24"/>
          <w:lang w:val="es-ES_tradnl" w:eastAsia="es-ES"/>
        </w:rPr>
      </w:pPr>
    </w:p>
    <w:p w:rsidR="007D4B23" w:rsidRDefault="007D4B23" w:rsidP="007E526A">
      <w:pPr>
        <w:spacing w:after="0"/>
        <w:jc w:val="both"/>
        <w:rPr>
          <w:rFonts w:eastAsia="Times New Roman"/>
          <w:b/>
          <w:bCs/>
          <w:sz w:val="24"/>
          <w:szCs w:val="24"/>
          <w:lang w:val="es-ES_tradnl" w:eastAsia="es-ES"/>
        </w:rPr>
      </w:pPr>
    </w:p>
    <w:p w:rsidR="001214DC" w:rsidRDefault="001214DC" w:rsidP="007E526A">
      <w:pPr>
        <w:spacing w:after="0"/>
        <w:jc w:val="both"/>
        <w:rPr>
          <w:rFonts w:eastAsia="Times New Roman"/>
          <w:b/>
          <w:bCs/>
          <w:sz w:val="24"/>
          <w:szCs w:val="24"/>
          <w:lang w:val="es-ES_tradnl" w:eastAsia="es-ES"/>
        </w:rPr>
      </w:pPr>
    </w:p>
    <w:p w:rsidR="001214DC" w:rsidRDefault="001214DC" w:rsidP="007E526A">
      <w:pPr>
        <w:spacing w:after="0"/>
        <w:jc w:val="both"/>
        <w:rPr>
          <w:rFonts w:eastAsia="Times New Roman"/>
          <w:b/>
          <w:bCs/>
          <w:sz w:val="24"/>
          <w:szCs w:val="24"/>
          <w:lang w:val="es-ES_tradnl" w:eastAsia="es-ES"/>
        </w:rPr>
      </w:pPr>
    </w:p>
    <w:p w:rsidR="001214DC" w:rsidRDefault="001214DC" w:rsidP="007E526A">
      <w:pPr>
        <w:spacing w:after="0"/>
        <w:jc w:val="both"/>
        <w:rPr>
          <w:rFonts w:eastAsia="Times New Roman"/>
          <w:b/>
          <w:bCs/>
          <w:sz w:val="24"/>
          <w:szCs w:val="24"/>
          <w:lang w:val="es-ES_tradnl" w:eastAsia="es-ES"/>
        </w:rPr>
      </w:pPr>
    </w:p>
    <w:p w:rsidR="007E526A" w:rsidRPr="007E526A" w:rsidRDefault="007E526A" w:rsidP="007E526A">
      <w:pPr>
        <w:spacing w:after="0"/>
        <w:jc w:val="both"/>
        <w:rPr>
          <w:rFonts w:eastAsia="Times New Roman"/>
          <w:b/>
          <w:bCs/>
          <w:sz w:val="24"/>
          <w:szCs w:val="24"/>
          <w:lang w:val="es-ES_tradnl" w:eastAsia="es-ES"/>
        </w:rPr>
      </w:pPr>
      <w:r w:rsidRPr="007E526A">
        <w:rPr>
          <w:rFonts w:eastAsia="Times New Roman"/>
          <w:b/>
          <w:bCs/>
          <w:sz w:val="24"/>
          <w:szCs w:val="24"/>
          <w:lang w:val="es-ES_tradnl" w:eastAsia="es-ES"/>
        </w:rPr>
        <w:t>Referencias</w:t>
      </w:r>
    </w:p>
    <w:p w:rsidR="007E526A" w:rsidRPr="007E526A" w:rsidRDefault="007E526A" w:rsidP="007E526A">
      <w:pPr>
        <w:spacing w:after="0"/>
        <w:jc w:val="both"/>
        <w:rPr>
          <w:rFonts w:eastAsia="Times New Roman"/>
          <w:bCs/>
          <w:sz w:val="24"/>
          <w:szCs w:val="24"/>
          <w:lang w:val="es-ES_tradnl" w:eastAsia="es-ES"/>
        </w:rPr>
      </w:pPr>
    </w:p>
    <w:p w:rsidR="007E526A" w:rsidRPr="007E526A" w:rsidRDefault="007E526A" w:rsidP="007E526A">
      <w:pPr>
        <w:widowControl w:val="0"/>
        <w:autoSpaceDE w:val="0"/>
        <w:autoSpaceDN w:val="0"/>
        <w:adjustRightInd w:val="0"/>
        <w:spacing w:after="240" w:line="240" w:lineRule="auto"/>
        <w:rPr>
          <w:rFonts w:ascii="Times" w:hAnsi="Times" w:cs="Times"/>
          <w:sz w:val="24"/>
          <w:szCs w:val="24"/>
        </w:rPr>
      </w:pPr>
      <w:r w:rsidRPr="007E526A">
        <w:rPr>
          <w:rFonts w:eastAsia="Times New Roman"/>
          <w:bCs/>
          <w:sz w:val="24"/>
          <w:szCs w:val="24"/>
          <w:lang w:val="es-ES_tradnl" w:eastAsia="es-ES"/>
        </w:rPr>
        <w:t>Ministerio de Educación Nacional. Boletín Educación Superior en cifras. Mayo 13 de 2015. Del problema de la deserción estudiantil a la apuesta por la permanencia y la graduación. En: http://www.mineducacion.gov.co/1759/articles-350451_recurso_6.pdf</w:t>
      </w:r>
      <w:r w:rsidRPr="007E526A">
        <w:rPr>
          <w:rFonts w:ascii="Times" w:hAnsi="Times" w:cs="Times"/>
          <w:sz w:val="24"/>
          <w:szCs w:val="24"/>
        </w:rPr>
        <w:t xml:space="preserve"> </w:t>
      </w:r>
    </w:p>
    <w:p w:rsidR="007E526A" w:rsidRPr="007E526A" w:rsidRDefault="007E526A" w:rsidP="007E526A">
      <w:pPr>
        <w:spacing w:after="0"/>
        <w:jc w:val="both"/>
        <w:rPr>
          <w:sz w:val="24"/>
          <w:szCs w:val="24"/>
          <w:lang w:val="es-ES_tradnl" w:eastAsia="es-ES"/>
        </w:rPr>
      </w:pPr>
      <w:r w:rsidRPr="007E526A">
        <w:rPr>
          <w:rFonts w:eastAsia="Times New Roman"/>
          <w:bCs/>
          <w:sz w:val="24"/>
          <w:szCs w:val="24"/>
          <w:lang w:val="es-ES_tradnl" w:eastAsia="es-ES"/>
        </w:rPr>
        <w:t xml:space="preserve">OECD. 2015. </w:t>
      </w:r>
      <w:proofErr w:type="spellStart"/>
      <w:r w:rsidRPr="007E526A">
        <w:rPr>
          <w:sz w:val="24"/>
          <w:szCs w:val="24"/>
          <w:lang w:val="es-ES_tradnl" w:eastAsia="es-ES"/>
        </w:rPr>
        <w:t>México</w:t>
      </w:r>
      <w:proofErr w:type="spellEnd"/>
      <w:r w:rsidRPr="007E526A">
        <w:rPr>
          <w:sz w:val="24"/>
          <w:szCs w:val="24"/>
          <w:lang w:val="es-ES_tradnl" w:eastAsia="es-ES"/>
        </w:rPr>
        <w:t xml:space="preserve"> – Nota </w:t>
      </w:r>
      <w:proofErr w:type="spellStart"/>
      <w:r w:rsidRPr="007E526A">
        <w:rPr>
          <w:sz w:val="24"/>
          <w:szCs w:val="24"/>
          <w:lang w:val="es-ES_tradnl" w:eastAsia="es-ES"/>
        </w:rPr>
        <w:t>país</w:t>
      </w:r>
      <w:proofErr w:type="spellEnd"/>
      <w:r w:rsidRPr="007E526A">
        <w:rPr>
          <w:sz w:val="24"/>
          <w:szCs w:val="24"/>
          <w:lang w:val="es-ES_tradnl" w:eastAsia="es-ES"/>
        </w:rPr>
        <w:t xml:space="preserve"> – Panorama de la </w:t>
      </w:r>
      <w:proofErr w:type="spellStart"/>
      <w:r w:rsidRPr="007E526A">
        <w:rPr>
          <w:sz w:val="24"/>
          <w:szCs w:val="24"/>
          <w:lang w:val="es-ES_tradnl" w:eastAsia="es-ES"/>
        </w:rPr>
        <w:t>educación</w:t>
      </w:r>
      <w:proofErr w:type="spellEnd"/>
      <w:r w:rsidRPr="007E526A">
        <w:rPr>
          <w:sz w:val="24"/>
          <w:szCs w:val="24"/>
          <w:lang w:val="es-ES_tradnl" w:eastAsia="es-ES"/>
        </w:rPr>
        <w:t xml:space="preserve"> 2014: Indicadores OCDE. En: </w:t>
      </w:r>
    </w:p>
    <w:p w:rsidR="007E526A" w:rsidRPr="007E526A" w:rsidRDefault="007E526A" w:rsidP="007E526A">
      <w:pPr>
        <w:spacing w:after="0"/>
        <w:jc w:val="both"/>
        <w:rPr>
          <w:rFonts w:eastAsia="Times New Roman"/>
          <w:bCs/>
          <w:sz w:val="24"/>
          <w:szCs w:val="24"/>
          <w:lang w:val="es-ES_tradnl" w:eastAsia="es-ES"/>
        </w:rPr>
      </w:pPr>
      <w:r w:rsidRPr="007E526A">
        <w:rPr>
          <w:rFonts w:eastAsia="Times New Roman"/>
          <w:bCs/>
          <w:sz w:val="24"/>
          <w:szCs w:val="24"/>
          <w:lang w:val="es-ES_tradnl" w:eastAsia="es-ES"/>
        </w:rPr>
        <w:t>https://www.oecd.org/edu/Mexico-EAG2014-Country-Note-spanish.pdf</w:t>
      </w:r>
    </w:p>
    <w:p w:rsidR="007E526A" w:rsidRPr="007E526A" w:rsidRDefault="007E526A" w:rsidP="007E526A">
      <w:pPr>
        <w:spacing w:after="0"/>
        <w:jc w:val="both"/>
        <w:rPr>
          <w:iCs/>
          <w:sz w:val="24"/>
          <w:szCs w:val="24"/>
        </w:rPr>
      </w:pPr>
    </w:p>
    <w:p w:rsidR="007E526A" w:rsidRPr="007E526A" w:rsidRDefault="007E526A" w:rsidP="007E526A">
      <w:pPr>
        <w:spacing w:after="0"/>
        <w:jc w:val="both"/>
        <w:rPr>
          <w:sz w:val="24"/>
          <w:szCs w:val="24"/>
          <w:lang w:val="en-US"/>
        </w:rPr>
      </w:pPr>
      <w:proofErr w:type="gramStart"/>
      <w:r w:rsidRPr="007E526A">
        <w:rPr>
          <w:iCs/>
          <w:sz w:val="24"/>
          <w:szCs w:val="24"/>
          <w:lang w:val="en-US"/>
        </w:rPr>
        <w:t>OECD.</w:t>
      </w:r>
      <w:proofErr w:type="gramEnd"/>
      <w:r w:rsidRPr="007E526A">
        <w:rPr>
          <w:iCs/>
          <w:sz w:val="24"/>
          <w:szCs w:val="24"/>
          <w:lang w:val="en-US"/>
        </w:rPr>
        <w:t xml:space="preserve"> 2012. Reviews of National Policies for Education: Tertiary Education in Colombia 2012. </w:t>
      </w:r>
      <w:r w:rsidRPr="007E526A">
        <w:rPr>
          <w:sz w:val="24"/>
          <w:szCs w:val="24"/>
          <w:lang w:val="en-US"/>
        </w:rPr>
        <w:t>OECD and the International Bank for Reconstruction and Development/</w:t>
      </w:r>
      <w:proofErr w:type="gramStart"/>
      <w:r w:rsidRPr="007E526A">
        <w:rPr>
          <w:sz w:val="24"/>
          <w:szCs w:val="24"/>
          <w:lang w:val="en-US"/>
        </w:rPr>
        <w:t>The</w:t>
      </w:r>
      <w:proofErr w:type="gramEnd"/>
      <w:r w:rsidRPr="007E526A">
        <w:rPr>
          <w:sz w:val="24"/>
          <w:szCs w:val="24"/>
          <w:lang w:val="en-US"/>
        </w:rPr>
        <w:t xml:space="preserve"> World Bank</w:t>
      </w:r>
      <w:r w:rsidRPr="007E526A">
        <w:rPr>
          <w:iCs/>
          <w:sz w:val="24"/>
          <w:szCs w:val="24"/>
          <w:lang w:val="en-US"/>
        </w:rPr>
        <w:t xml:space="preserve">. </w:t>
      </w:r>
    </w:p>
    <w:p w:rsidR="007E526A" w:rsidRPr="007E526A" w:rsidRDefault="007E526A" w:rsidP="007E526A">
      <w:pPr>
        <w:spacing w:after="0"/>
        <w:jc w:val="both"/>
        <w:rPr>
          <w:rFonts w:eastAsia="Times New Roman"/>
          <w:bCs/>
          <w:sz w:val="24"/>
          <w:szCs w:val="24"/>
          <w:lang w:val="en-US" w:eastAsia="es-ES"/>
        </w:rPr>
      </w:pPr>
    </w:p>
    <w:p w:rsidR="007E526A" w:rsidRPr="007E526A" w:rsidRDefault="007E526A" w:rsidP="007E526A">
      <w:pPr>
        <w:spacing w:after="0"/>
        <w:jc w:val="both"/>
        <w:rPr>
          <w:rFonts w:eastAsia="Times New Roman"/>
          <w:bCs/>
          <w:sz w:val="24"/>
          <w:szCs w:val="24"/>
          <w:lang w:val="es-ES_tradnl" w:eastAsia="es-ES"/>
        </w:rPr>
      </w:pPr>
      <w:r w:rsidRPr="007E526A">
        <w:rPr>
          <w:rFonts w:eastAsia="Times New Roman"/>
          <w:bCs/>
          <w:sz w:val="24"/>
          <w:szCs w:val="24"/>
          <w:lang w:val="es-ES_tradnl" w:eastAsia="es-ES"/>
        </w:rPr>
        <w:t>Portafolio. Mayo 4 de 2015. ¿Qué es la ‘economía naranja’?. En:</w:t>
      </w:r>
    </w:p>
    <w:p w:rsidR="007E526A" w:rsidRPr="007E526A" w:rsidRDefault="007E526A" w:rsidP="007E526A">
      <w:pPr>
        <w:spacing w:after="0"/>
        <w:jc w:val="both"/>
        <w:rPr>
          <w:rFonts w:eastAsia="Times New Roman"/>
          <w:bCs/>
          <w:sz w:val="24"/>
          <w:szCs w:val="24"/>
          <w:lang w:val="es-ES_tradnl" w:eastAsia="es-ES"/>
        </w:rPr>
      </w:pPr>
      <w:r w:rsidRPr="007E526A">
        <w:rPr>
          <w:rFonts w:eastAsia="Times New Roman"/>
          <w:bCs/>
          <w:sz w:val="24"/>
          <w:szCs w:val="24"/>
          <w:lang w:val="es-ES_tradnl" w:eastAsia="es-ES"/>
        </w:rPr>
        <w:t>http://www.portafolio.co/economia/finanzas/economia-naranja-36832</w:t>
      </w:r>
    </w:p>
    <w:p w:rsidR="007E526A" w:rsidRPr="007E526A" w:rsidRDefault="007E526A" w:rsidP="007E526A">
      <w:pPr>
        <w:spacing w:after="0" w:line="240" w:lineRule="auto"/>
        <w:jc w:val="both"/>
        <w:rPr>
          <w:rFonts w:cstheme="minorHAnsi"/>
          <w:sz w:val="24"/>
          <w:szCs w:val="24"/>
          <w:lang w:val="es-ES_tradnl"/>
        </w:rPr>
      </w:pPr>
    </w:p>
    <w:p w:rsidR="007E526A" w:rsidRPr="007E526A" w:rsidRDefault="007E526A" w:rsidP="007E526A">
      <w:pPr>
        <w:spacing w:after="0" w:line="240" w:lineRule="auto"/>
        <w:jc w:val="both"/>
        <w:rPr>
          <w:rFonts w:cstheme="minorHAnsi"/>
          <w:sz w:val="24"/>
          <w:szCs w:val="24"/>
        </w:rPr>
      </w:pPr>
    </w:p>
    <w:p w:rsidR="007E526A" w:rsidRPr="007E526A" w:rsidRDefault="007E526A" w:rsidP="007E526A">
      <w:pPr>
        <w:spacing w:after="0" w:line="240" w:lineRule="auto"/>
        <w:jc w:val="both"/>
        <w:rPr>
          <w:rFonts w:cstheme="minorHAnsi"/>
          <w:sz w:val="24"/>
          <w:szCs w:val="24"/>
        </w:rPr>
      </w:pPr>
    </w:p>
    <w:p w:rsidR="005B7158" w:rsidRDefault="005B7158" w:rsidP="005B7158">
      <w:pPr>
        <w:jc w:val="both"/>
        <w:rPr>
          <w:sz w:val="24"/>
          <w:szCs w:val="24"/>
        </w:rPr>
      </w:pPr>
    </w:p>
    <w:p w:rsidR="007D4B23" w:rsidRPr="00C4684C" w:rsidRDefault="007D4B23" w:rsidP="005B7158">
      <w:pPr>
        <w:jc w:val="both"/>
        <w:rPr>
          <w:sz w:val="24"/>
          <w:szCs w:val="24"/>
        </w:rPr>
      </w:pPr>
    </w:p>
    <w:p w:rsidR="004709F4" w:rsidRPr="00C4684C" w:rsidRDefault="004709F4" w:rsidP="005B7158">
      <w:pPr>
        <w:pStyle w:val="Sinespaciado"/>
        <w:rPr>
          <w:b/>
          <w:sz w:val="24"/>
          <w:szCs w:val="24"/>
        </w:rPr>
      </w:pPr>
    </w:p>
    <w:p w:rsidR="004709F4" w:rsidRDefault="004709F4" w:rsidP="005B7158">
      <w:pPr>
        <w:pStyle w:val="Sinespaciado"/>
        <w:rPr>
          <w:b/>
          <w:sz w:val="24"/>
          <w:szCs w:val="24"/>
        </w:rPr>
      </w:pPr>
    </w:p>
    <w:p w:rsidR="005E5BE8" w:rsidRDefault="005E5BE8" w:rsidP="005B7158">
      <w:pPr>
        <w:pStyle w:val="Sinespaciado"/>
        <w:rPr>
          <w:b/>
          <w:sz w:val="24"/>
          <w:szCs w:val="24"/>
        </w:rPr>
      </w:pPr>
    </w:p>
    <w:p w:rsidR="005E5BE8" w:rsidRDefault="005E5BE8" w:rsidP="005B7158">
      <w:pPr>
        <w:pStyle w:val="Sinespaciado"/>
        <w:rPr>
          <w:b/>
          <w:sz w:val="24"/>
          <w:szCs w:val="24"/>
        </w:rPr>
      </w:pPr>
    </w:p>
    <w:sectPr w:rsidR="005E5BE8" w:rsidSect="002E29FD">
      <w:headerReference w:type="default" r:id="rId17"/>
      <w:footerReference w:type="default" r:id="rId18"/>
      <w:pgSz w:w="12240" w:h="15840" w:code="1"/>
      <w:pgMar w:top="567"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5A7" w:rsidRDefault="00D675A7" w:rsidP="00487971">
      <w:pPr>
        <w:spacing w:after="0" w:line="240" w:lineRule="auto"/>
      </w:pPr>
      <w:r>
        <w:separator/>
      </w:r>
    </w:p>
  </w:endnote>
  <w:endnote w:type="continuationSeparator" w:id="0">
    <w:p w:rsidR="00D675A7" w:rsidRDefault="00D675A7" w:rsidP="0048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397010"/>
      <w:docPartObj>
        <w:docPartGallery w:val="Page Numbers (Bottom of Page)"/>
        <w:docPartUnique/>
      </w:docPartObj>
    </w:sdtPr>
    <w:sdtEndPr/>
    <w:sdtContent>
      <w:p w:rsidR="00EC2BF5" w:rsidRDefault="00EC2BF5">
        <w:pPr>
          <w:pStyle w:val="Piedepgina"/>
          <w:jc w:val="right"/>
        </w:pPr>
        <w:r>
          <w:fldChar w:fldCharType="begin"/>
        </w:r>
        <w:r>
          <w:instrText>PAGE   \* MERGEFORMAT</w:instrText>
        </w:r>
        <w:r>
          <w:fldChar w:fldCharType="separate"/>
        </w:r>
        <w:r w:rsidR="00017170" w:rsidRPr="00017170">
          <w:rPr>
            <w:noProof/>
            <w:lang w:val="es-ES"/>
          </w:rPr>
          <w:t>1</w:t>
        </w:r>
        <w:r>
          <w:fldChar w:fldCharType="end"/>
        </w:r>
      </w:p>
    </w:sdtContent>
  </w:sdt>
  <w:p w:rsidR="00EC2BF5" w:rsidRPr="00487971" w:rsidRDefault="00EC2BF5" w:rsidP="00EC2BF5">
    <w:pPr>
      <w:tabs>
        <w:tab w:val="center" w:pos="4419"/>
        <w:tab w:val="right" w:pos="8838"/>
      </w:tabs>
      <w:spacing w:after="0" w:line="240" w:lineRule="auto"/>
      <w:jc w:val="center"/>
      <w:rPr>
        <w:rFonts w:eastAsia="Batang"/>
      </w:rPr>
    </w:pPr>
    <w:r>
      <w:rPr>
        <w:rFonts w:eastAsia="Batang"/>
      </w:rPr>
      <w:t>Cr 7 Nro. 8-68 Oficinas 648B-514</w:t>
    </w:r>
    <w:r w:rsidRPr="00487971">
      <w:rPr>
        <w:rFonts w:eastAsia="Batang"/>
      </w:rPr>
      <w:t xml:space="preserve"> Teléfono 3824481 – mail: </w:t>
    </w:r>
    <w:hyperlink r:id="rId1" w:history="1">
      <w:r w:rsidRPr="00487971">
        <w:rPr>
          <w:rFonts w:eastAsia="Batang"/>
          <w:color w:val="0000FF" w:themeColor="hyperlink"/>
          <w:u w:val="single"/>
        </w:rPr>
        <w:t>carlosfelipemejia@hotmail.com</w:t>
      </w:r>
    </w:hyperlink>
  </w:p>
  <w:p w:rsidR="0020329E" w:rsidRDefault="0020329E" w:rsidP="0043379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5A7" w:rsidRDefault="00D675A7" w:rsidP="00487971">
      <w:pPr>
        <w:spacing w:after="0" w:line="240" w:lineRule="auto"/>
      </w:pPr>
      <w:r>
        <w:separator/>
      </w:r>
    </w:p>
  </w:footnote>
  <w:footnote w:type="continuationSeparator" w:id="0">
    <w:p w:rsidR="00D675A7" w:rsidRDefault="00D675A7" w:rsidP="00487971">
      <w:pPr>
        <w:spacing w:after="0" w:line="240" w:lineRule="auto"/>
      </w:pPr>
      <w:r>
        <w:continuationSeparator/>
      </w:r>
    </w:p>
  </w:footnote>
  <w:footnote w:id="1">
    <w:p w:rsidR="005812F1" w:rsidRPr="00335347" w:rsidRDefault="005812F1" w:rsidP="005812F1">
      <w:pPr>
        <w:pStyle w:val="Textonotapie"/>
        <w:rPr>
          <w:lang w:val="es-ES_tradnl"/>
        </w:rPr>
      </w:pPr>
      <w:r>
        <w:rPr>
          <w:rStyle w:val="Refdenotaalpie"/>
        </w:rPr>
        <w:footnoteRef/>
      </w:r>
      <w:r w:rsidRPr="000A3DAB">
        <w:rPr>
          <w:lang w:val="en-US"/>
        </w:rPr>
        <w:t xml:space="preserve"> </w:t>
      </w:r>
      <w:r w:rsidRPr="000A3DAB">
        <w:rPr>
          <w:i/>
          <w:iCs/>
          <w:lang w:val="en-US"/>
        </w:rPr>
        <w:t xml:space="preserve">Reviews of National Policies for Education: Tertiary Education in Colombia 2012. </w:t>
      </w:r>
      <w:r>
        <w:rPr>
          <w:i/>
          <w:iCs/>
        </w:rPr>
        <w:t xml:space="preserve">OECD – </w:t>
      </w:r>
      <w:proofErr w:type="spellStart"/>
      <w:r>
        <w:rPr>
          <w:i/>
          <w:iCs/>
        </w:rPr>
        <w:t>World</w:t>
      </w:r>
      <w:proofErr w:type="spellEnd"/>
      <w:r>
        <w:rPr>
          <w:i/>
          <w:iCs/>
        </w:rPr>
        <w:t xml:space="preserve"> Bank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9E" w:rsidRDefault="0020329E" w:rsidP="002E29FD">
    <w:pPr>
      <w:pStyle w:val="Encabezado"/>
      <w:jc w:val="center"/>
    </w:pPr>
    <w:r w:rsidRPr="00877C61">
      <w:rPr>
        <w:noProof/>
        <w:lang w:eastAsia="es-ES"/>
      </w:rPr>
      <w:drawing>
        <wp:inline distT="0" distB="0" distL="0" distR="0" wp14:anchorId="0D752AF0" wp14:editId="62FCEB03">
          <wp:extent cx="3323229" cy="996287"/>
          <wp:effectExtent l="0" t="0" r="0" b="0"/>
          <wp:docPr id="2" name="Imagen 2" descr="http://paolaholguin.com/wp-content/uploads/2014/07/Logo-Se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olaholguin.com/wp-content/uploads/2014/07/Logo-Sen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0054" cy="998333"/>
                  </a:xfrm>
                  <a:prstGeom prst="rect">
                    <a:avLst/>
                  </a:prstGeom>
                  <a:noFill/>
                  <a:ln>
                    <a:noFill/>
                  </a:ln>
                </pic:spPr>
              </pic:pic>
            </a:graphicData>
          </a:graphic>
        </wp:inline>
      </w:drawing>
    </w:r>
  </w:p>
  <w:p w:rsidR="0020329E" w:rsidRPr="00C02160" w:rsidRDefault="0020329E" w:rsidP="00487971">
    <w:pPr>
      <w:spacing w:after="0" w:line="240" w:lineRule="auto"/>
      <w:jc w:val="center"/>
      <w:rPr>
        <w:b/>
        <w:i/>
        <w:szCs w:val="24"/>
      </w:rPr>
    </w:pPr>
    <w:r w:rsidRPr="00C02160">
      <w:rPr>
        <w:b/>
        <w:i/>
        <w:szCs w:val="24"/>
      </w:rPr>
      <w:t xml:space="preserve">Carlos Felipe Mejía </w:t>
    </w:r>
    <w:proofErr w:type="spellStart"/>
    <w:r w:rsidRPr="00C02160">
      <w:rPr>
        <w:b/>
        <w:i/>
        <w:szCs w:val="24"/>
      </w:rPr>
      <w:t>Mejía</w:t>
    </w:r>
    <w:proofErr w:type="spellEnd"/>
  </w:p>
  <w:p w:rsidR="0020329E" w:rsidRDefault="0020329E" w:rsidP="00487971">
    <w:pPr>
      <w:tabs>
        <w:tab w:val="left" w:pos="2622"/>
      </w:tabs>
      <w:spacing w:after="0" w:line="240" w:lineRule="auto"/>
      <w:jc w:val="center"/>
      <w:rPr>
        <w:b/>
        <w:i/>
        <w:szCs w:val="24"/>
      </w:rPr>
    </w:pPr>
    <w:r>
      <w:rPr>
        <w:b/>
        <w:i/>
        <w:szCs w:val="24"/>
      </w:rPr>
      <w:t>Senador de la Repú</w:t>
    </w:r>
    <w:r w:rsidRPr="00C02160">
      <w:rPr>
        <w:b/>
        <w:i/>
        <w:szCs w:val="24"/>
      </w:rPr>
      <w:t>blica</w:t>
    </w:r>
  </w:p>
  <w:p w:rsidR="007E526A" w:rsidRPr="007E526A" w:rsidRDefault="007E526A" w:rsidP="007E526A">
    <w:pPr>
      <w:tabs>
        <w:tab w:val="left" w:pos="2622"/>
      </w:tabs>
      <w:spacing w:after="0" w:line="240" w:lineRule="auto"/>
      <w:jc w:val="center"/>
      <w:rPr>
        <w:b/>
        <w:i/>
        <w:szCs w:val="24"/>
      </w:rPr>
    </w:pPr>
    <w:r>
      <w:rPr>
        <w:b/>
        <w:i/>
        <w:szCs w:val="24"/>
      </w:rPr>
      <w:t>Centro Democrático</w:t>
    </w:r>
  </w:p>
  <w:p w:rsidR="007E526A" w:rsidRPr="007E526A" w:rsidRDefault="007E526A" w:rsidP="007E526A">
    <w:pPr>
      <w:jc w:val="center"/>
      <w:rPr>
        <w:rFonts w:cstheme="minorHAnsi"/>
        <w:b/>
        <w:sz w:val="20"/>
        <w:szCs w:val="20"/>
      </w:rPr>
    </w:pPr>
    <w:r w:rsidRPr="007E526A">
      <w:rPr>
        <w:rFonts w:cstheme="minorHAnsi"/>
        <w:b/>
        <w:sz w:val="20"/>
        <w:szCs w:val="20"/>
      </w:rPr>
      <w:t>Proyecto de Ley No             “Por medio de la cual se modifica la Ley 426 de 1.998”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72AE"/>
    <w:multiLevelType w:val="hybridMultilevel"/>
    <w:tmpl w:val="B6C8CA9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8D33775"/>
    <w:multiLevelType w:val="hybridMultilevel"/>
    <w:tmpl w:val="C66818AE"/>
    <w:lvl w:ilvl="0" w:tplc="9DC0669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9522E26"/>
    <w:multiLevelType w:val="hybridMultilevel"/>
    <w:tmpl w:val="054EF2E0"/>
    <w:lvl w:ilvl="0" w:tplc="8266FAC6">
      <w:start w:val="2"/>
      <w:numFmt w:val="bullet"/>
      <w:lvlText w:val="-"/>
      <w:lvlJc w:val="left"/>
      <w:pPr>
        <w:ind w:left="720" w:hanging="360"/>
      </w:pPr>
      <w:rPr>
        <w:rFonts w:ascii="Calibri" w:eastAsia="Calibri" w:hAnsi="Calibri" w:cs="Time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1C06680"/>
    <w:multiLevelType w:val="hybridMultilevel"/>
    <w:tmpl w:val="9CC0FAC2"/>
    <w:lvl w:ilvl="0" w:tplc="69901DB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0BE331B"/>
    <w:multiLevelType w:val="hybridMultilevel"/>
    <w:tmpl w:val="7D966B56"/>
    <w:lvl w:ilvl="0" w:tplc="252A49DC">
      <w:start w:val="1"/>
      <w:numFmt w:val="bullet"/>
      <w:lvlText w:val=""/>
      <w:lvlJc w:val="left"/>
      <w:pPr>
        <w:tabs>
          <w:tab w:val="num" w:pos="720"/>
        </w:tabs>
        <w:ind w:left="720" w:hanging="360"/>
      </w:pPr>
      <w:rPr>
        <w:rFonts w:ascii="Wingdings" w:hAnsi="Wingdings" w:hint="default"/>
      </w:rPr>
    </w:lvl>
    <w:lvl w:ilvl="1" w:tplc="CE96E432" w:tentative="1">
      <w:start w:val="1"/>
      <w:numFmt w:val="bullet"/>
      <w:lvlText w:val=""/>
      <w:lvlJc w:val="left"/>
      <w:pPr>
        <w:tabs>
          <w:tab w:val="num" w:pos="1440"/>
        </w:tabs>
        <w:ind w:left="1440" w:hanging="360"/>
      </w:pPr>
      <w:rPr>
        <w:rFonts w:ascii="Wingdings" w:hAnsi="Wingdings" w:hint="default"/>
      </w:rPr>
    </w:lvl>
    <w:lvl w:ilvl="2" w:tplc="0A5A878C" w:tentative="1">
      <w:start w:val="1"/>
      <w:numFmt w:val="bullet"/>
      <w:lvlText w:val=""/>
      <w:lvlJc w:val="left"/>
      <w:pPr>
        <w:tabs>
          <w:tab w:val="num" w:pos="2160"/>
        </w:tabs>
        <w:ind w:left="2160" w:hanging="360"/>
      </w:pPr>
      <w:rPr>
        <w:rFonts w:ascii="Wingdings" w:hAnsi="Wingdings" w:hint="default"/>
      </w:rPr>
    </w:lvl>
    <w:lvl w:ilvl="3" w:tplc="95FA2F86" w:tentative="1">
      <w:start w:val="1"/>
      <w:numFmt w:val="bullet"/>
      <w:lvlText w:val=""/>
      <w:lvlJc w:val="left"/>
      <w:pPr>
        <w:tabs>
          <w:tab w:val="num" w:pos="2880"/>
        </w:tabs>
        <w:ind w:left="2880" w:hanging="360"/>
      </w:pPr>
      <w:rPr>
        <w:rFonts w:ascii="Wingdings" w:hAnsi="Wingdings" w:hint="default"/>
      </w:rPr>
    </w:lvl>
    <w:lvl w:ilvl="4" w:tplc="A0D8EDB2" w:tentative="1">
      <w:start w:val="1"/>
      <w:numFmt w:val="bullet"/>
      <w:lvlText w:val=""/>
      <w:lvlJc w:val="left"/>
      <w:pPr>
        <w:tabs>
          <w:tab w:val="num" w:pos="3600"/>
        </w:tabs>
        <w:ind w:left="3600" w:hanging="360"/>
      </w:pPr>
      <w:rPr>
        <w:rFonts w:ascii="Wingdings" w:hAnsi="Wingdings" w:hint="default"/>
      </w:rPr>
    </w:lvl>
    <w:lvl w:ilvl="5" w:tplc="6F86D9B2" w:tentative="1">
      <w:start w:val="1"/>
      <w:numFmt w:val="bullet"/>
      <w:lvlText w:val=""/>
      <w:lvlJc w:val="left"/>
      <w:pPr>
        <w:tabs>
          <w:tab w:val="num" w:pos="4320"/>
        </w:tabs>
        <w:ind w:left="4320" w:hanging="360"/>
      </w:pPr>
      <w:rPr>
        <w:rFonts w:ascii="Wingdings" w:hAnsi="Wingdings" w:hint="default"/>
      </w:rPr>
    </w:lvl>
    <w:lvl w:ilvl="6" w:tplc="09A8B0C4" w:tentative="1">
      <w:start w:val="1"/>
      <w:numFmt w:val="bullet"/>
      <w:lvlText w:val=""/>
      <w:lvlJc w:val="left"/>
      <w:pPr>
        <w:tabs>
          <w:tab w:val="num" w:pos="5040"/>
        </w:tabs>
        <w:ind w:left="5040" w:hanging="360"/>
      </w:pPr>
      <w:rPr>
        <w:rFonts w:ascii="Wingdings" w:hAnsi="Wingdings" w:hint="default"/>
      </w:rPr>
    </w:lvl>
    <w:lvl w:ilvl="7" w:tplc="DE641C3E" w:tentative="1">
      <w:start w:val="1"/>
      <w:numFmt w:val="bullet"/>
      <w:lvlText w:val=""/>
      <w:lvlJc w:val="left"/>
      <w:pPr>
        <w:tabs>
          <w:tab w:val="num" w:pos="5760"/>
        </w:tabs>
        <w:ind w:left="5760" w:hanging="360"/>
      </w:pPr>
      <w:rPr>
        <w:rFonts w:ascii="Wingdings" w:hAnsi="Wingdings" w:hint="default"/>
      </w:rPr>
    </w:lvl>
    <w:lvl w:ilvl="8" w:tplc="E162F23E" w:tentative="1">
      <w:start w:val="1"/>
      <w:numFmt w:val="bullet"/>
      <w:lvlText w:val=""/>
      <w:lvlJc w:val="left"/>
      <w:pPr>
        <w:tabs>
          <w:tab w:val="num" w:pos="6480"/>
        </w:tabs>
        <w:ind w:left="6480" w:hanging="360"/>
      </w:pPr>
      <w:rPr>
        <w:rFonts w:ascii="Wingdings" w:hAnsi="Wingdings" w:hint="default"/>
      </w:rPr>
    </w:lvl>
  </w:abstractNum>
  <w:abstractNum w:abstractNumId="5">
    <w:nsid w:val="7ECB055D"/>
    <w:multiLevelType w:val="hybridMultilevel"/>
    <w:tmpl w:val="507ACAE0"/>
    <w:lvl w:ilvl="0" w:tplc="1570B848">
      <w:numFmt w:val="bullet"/>
      <w:lvlText w:val="-"/>
      <w:lvlJc w:val="left"/>
      <w:pPr>
        <w:ind w:left="720" w:hanging="360"/>
      </w:pPr>
      <w:rPr>
        <w:rFonts w:ascii="Arial" w:eastAsia="Batang"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FE70FBB"/>
    <w:multiLevelType w:val="hybridMultilevel"/>
    <w:tmpl w:val="96E8AD28"/>
    <w:lvl w:ilvl="0" w:tplc="FD4A860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98"/>
    <w:rsid w:val="00014224"/>
    <w:rsid w:val="000166D8"/>
    <w:rsid w:val="00017170"/>
    <w:rsid w:val="00024B8A"/>
    <w:rsid w:val="00027260"/>
    <w:rsid w:val="00033FBC"/>
    <w:rsid w:val="0003632B"/>
    <w:rsid w:val="00071298"/>
    <w:rsid w:val="0007222B"/>
    <w:rsid w:val="00074A63"/>
    <w:rsid w:val="00083A0F"/>
    <w:rsid w:val="000B69CF"/>
    <w:rsid w:val="000C6F5C"/>
    <w:rsid w:val="000D2AB3"/>
    <w:rsid w:val="000F2828"/>
    <w:rsid w:val="00113C0D"/>
    <w:rsid w:val="001214DC"/>
    <w:rsid w:val="00126809"/>
    <w:rsid w:val="001D5C0F"/>
    <w:rsid w:val="001F1AA4"/>
    <w:rsid w:val="0020329E"/>
    <w:rsid w:val="00227256"/>
    <w:rsid w:val="002308B2"/>
    <w:rsid w:val="002B153B"/>
    <w:rsid w:val="002C6DE8"/>
    <w:rsid w:val="002E29FD"/>
    <w:rsid w:val="00303CBE"/>
    <w:rsid w:val="00322E6D"/>
    <w:rsid w:val="00350592"/>
    <w:rsid w:val="0041045C"/>
    <w:rsid w:val="004250E4"/>
    <w:rsid w:val="0043379C"/>
    <w:rsid w:val="00441655"/>
    <w:rsid w:val="004709F4"/>
    <w:rsid w:val="00487971"/>
    <w:rsid w:val="004B0081"/>
    <w:rsid w:val="004B31CB"/>
    <w:rsid w:val="004D6F3F"/>
    <w:rsid w:val="00502FDE"/>
    <w:rsid w:val="00541B79"/>
    <w:rsid w:val="00544B8B"/>
    <w:rsid w:val="005812F1"/>
    <w:rsid w:val="005B7158"/>
    <w:rsid w:val="005E5BE8"/>
    <w:rsid w:val="005E7D48"/>
    <w:rsid w:val="005F019C"/>
    <w:rsid w:val="005F449B"/>
    <w:rsid w:val="00611404"/>
    <w:rsid w:val="00652051"/>
    <w:rsid w:val="00657B3B"/>
    <w:rsid w:val="00660659"/>
    <w:rsid w:val="006947BF"/>
    <w:rsid w:val="00696F72"/>
    <w:rsid w:val="006B7677"/>
    <w:rsid w:val="006C4511"/>
    <w:rsid w:val="006F22DD"/>
    <w:rsid w:val="00732777"/>
    <w:rsid w:val="00756953"/>
    <w:rsid w:val="007D4B23"/>
    <w:rsid w:val="007E526A"/>
    <w:rsid w:val="007F1DD9"/>
    <w:rsid w:val="00821CD4"/>
    <w:rsid w:val="00836A43"/>
    <w:rsid w:val="00844117"/>
    <w:rsid w:val="00846779"/>
    <w:rsid w:val="00877C61"/>
    <w:rsid w:val="00887F85"/>
    <w:rsid w:val="008A5C40"/>
    <w:rsid w:val="008C2DDB"/>
    <w:rsid w:val="008D22FF"/>
    <w:rsid w:val="00924551"/>
    <w:rsid w:val="009352CD"/>
    <w:rsid w:val="00946751"/>
    <w:rsid w:val="00972E69"/>
    <w:rsid w:val="009E4100"/>
    <w:rsid w:val="009E5FBF"/>
    <w:rsid w:val="009F53A1"/>
    <w:rsid w:val="009F6FCC"/>
    <w:rsid w:val="00A23E1B"/>
    <w:rsid w:val="00A62EDC"/>
    <w:rsid w:val="00A65909"/>
    <w:rsid w:val="00A65D31"/>
    <w:rsid w:val="00B04C7B"/>
    <w:rsid w:val="00B06271"/>
    <w:rsid w:val="00B47565"/>
    <w:rsid w:val="00BB0FD3"/>
    <w:rsid w:val="00BB3676"/>
    <w:rsid w:val="00BE3B55"/>
    <w:rsid w:val="00BE68D2"/>
    <w:rsid w:val="00C02160"/>
    <w:rsid w:val="00C269C2"/>
    <w:rsid w:val="00C34EF7"/>
    <w:rsid w:val="00C40393"/>
    <w:rsid w:val="00C4684C"/>
    <w:rsid w:val="00C958F0"/>
    <w:rsid w:val="00C96A57"/>
    <w:rsid w:val="00CA7A75"/>
    <w:rsid w:val="00CE3AA6"/>
    <w:rsid w:val="00CE7BF4"/>
    <w:rsid w:val="00CF4A64"/>
    <w:rsid w:val="00D24CB1"/>
    <w:rsid w:val="00D33AAF"/>
    <w:rsid w:val="00D37E45"/>
    <w:rsid w:val="00D675A7"/>
    <w:rsid w:val="00D7028D"/>
    <w:rsid w:val="00DC595F"/>
    <w:rsid w:val="00E07983"/>
    <w:rsid w:val="00E21D2B"/>
    <w:rsid w:val="00E32080"/>
    <w:rsid w:val="00E73082"/>
    <w:rsid w:val="00E9781C"/>
    <w:rsid w:val="00EC2BF5"/>
    <w:rsid w:val="00ED13F6"/>
    <w:rsid w:val="00F32A3F"/>
    <w:rsid w:val="00F33684"/>
    <w:rsid w:val="00F55063"/>
    <w:rsid w:val="00F644CF"/>
    <w:rsid w:val="00FD2D5B"/>
    <w:rsid w:val="00FE37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158"/>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1298"/>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071298"/>
    <w:rPr>
      <w:rFonts w:ascii="Tahoma" w:hAnsi="Tahoma" w:cs="Tahoma"/>
      <w:sz w:val="16"/>
      <w:szCs w:val="16"/>
    </w:rPr>
  </w:style>
  <w:style w:type="character" w:styleId="Hipervnculo">
    <w:name w:val="Hyperlink"/>
    <w:basedOn w:val="Fuentedeprrafopredeter"/>
    <w:uiPriority w:val="99"/>
    <w:unhideWhenUsed/>
    <w:rsid w:val="002C6DE8"/>
    <w:rPr>
      <w:color w:val="0000FF" w:themeColor="hyperlink"/>
      <w:u w:val="single"/>
    </w:rPr>
  </w:style>
  <w:style w:type="paragraph" w:styleId="Piedepgina">
    <w:name w:val="footer"/>
    <w:basedOn w:val="Normal"/>
    <w:link w:val="PiedepginaCar"/>
    <w:uiPriority w:val="99"/>
    <w:unhideWhenUsed/>
    <w:rsid w:val="002C6DE8"/>
    <w:pPr>
      <w:tabs>
        <w:tab w:val="center" w:pos="4419"/>
        <w:tab w:val="right" w:pos="8838"/>
      </w:tabs>
      <w:spacing w:after="0" w:line="240" w:lineRule="auto"/>
    </w:pPr>
    <w:rPr>
      <w:rFonts w:eastAsia="Batang"/>
    </w:rPr>
  </w:style>
  <w:style w:type="character" w:customStyle="1" w:styleId="PiedepginaCar">
    <w:name w:val="Pie de página Car"/>
    <w:basedOn w:val="Fuentedeprrafopredeter"/>
    <w:link w:val="Piedepgina"/>
    <w:uiPriority w:val="99"/>
    <w:rsid w:val="002C6DE8"/>
    <w:rPr>
      <w:rFonts w:eastAsia="Batang"/>
      <w:lang w:val="es-CO"/>
    </w:rPr>
  </w:style>
  <w:style w:type="paragraph" w:styleId="Sinespaciado">
    <w:name w:val="No Spacing"/>
    <w:uiPriority w:val="1"/>
    <w:qFormat/>
    <w:rsid w:val="00877C61"/>
    <w:pPr>
      <w:spacing w:after="0" w:line="240" w:lineRule="auto"/>
    </w:pPr>
    <w:rPr>
      <w:lang w:val="es-CO"/>
    </w:rPr>
  </w:style>
  <w:style w:type="paragraph" w:styleId="Encabezado">
    <w:name w:val="header"/>
    <w:basedOn w:val="Normal"/>
    <w:link w:val="EncabezadoCar"/>
    <w:uiPriority w:val="99"/>
    <w:unhideWhenUsed/>
    <w:rsid w:val="0048797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487971"/>
  </w:style>
  <w:style w:type="table" w:styleId="Tablaconcuadrcula">
    <w:name w:val="Table Grid"/>
    <w:basedOn w:val="Tablanormal"/>
    <w:uiPriority w:val="59"/>
    <w:rsid w:val="00836A43"/>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36A43"/>
    <w:pPr>
      <w:ind w:left="720"/>
      <w:contextualSpacing/>
    </w:pPr>
    <w:rPr>
      <w:lang w:val="es-ES"/>
    </w:rPr>
  </w:style>
  <w:style w:type="paragraph" w:styleId="Textonotapie">
    <w:name w:val="footnote text"/>
    <w:basedOn w:val="Normal"/>
    <w:link w:val="TextonotapieCar"/>
    <w:uiPriority w:val="99"/>
    <w:semiHidden/>
    <w:unhideWhenUsed/>
    <w:rsid w:val="007E52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526A"/>
    <w:rPr>
      <w:sz w:val="20"/>
      <w:szCs w:val="20"/>
      <w:lang w:val="es-CO"/>
    </w:rPr>
  </w:style>
  <w:style w:type="character" w:styleId="Refdenotaalpie">
    <w:name w:val="footnote reference"/>
    <w:uiPriority w:val="99"/>
    <w:unhideWhenUsed/>
    <w:rsid w:val="007E526A"/>
    <w:rPr>
      <w:vertAlign w:val="superscript"/>
    </w:rPr>
  </w:style>
  <w:style w:type="paragraph" w:styleId="NormalWeb">
    <w:name w:val="Normal (Web)"/>
    <w:basedOn w:val="Normal"/>
    <w:uiPriority w:val="99"/>
    <w:semiHidden/>
    <w:unhideWhenUsed/>
    <w:rsid w:val="00D37E4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158"/>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1298"/>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071298"/>
    <w:rPr>
      <w:rFonts w:ascii="Tahoma" w:hAnsi="Tahoma" w:cs="Tahoma"/>
      <w:sz w:val="16"/>
      <w:szCs w:val="16"/>
    </w:rPr>
  </w:style>
  <w:style w:type="character" w:styleId="Hipervnculo">
    <w:name w:val="Hyperlink"/>
    <w:basedOn w:val="Fuentedeprrafopredeter"/>
    <w:uiPriority w:val="99"/>
    <w:unhideWhenUsed/>
    <w:rsid w:val="002C6DE8"/>
    <w:rPr>
      <w:color w:val="0000FF" w:themeColor="hyperlink"/>
      <w:u w:val="single"/>
    </w:rPr>
  </w:style>
  <w:style w:type="paragraph" w:styleId="Piedepgina">
    <w:name w:val="footer"/>
    <w:basedOn w:val="Normal"/>
    <w:link w:val="PiedepginaCar"/>
    <w:uiPriority w:val="99"/>
    <w:unhideWhenUsed/>
    <w:rsid w:val="002C6DE8"/>
    <w:pPr>
      <w:tabs>
        <w:tab w:val="center" w:pos="4419"/>
        <w:tab w:val="right" w:pos="8838"/>
      </w:tabs>
      <w:spacing w:after="0" w:line="240" w:lineRule="auto"/>
    </w:pPr>
    <w:rPr>
      <w:rFonts w:eastAsia="Batang"/>
    </w:rPr>
  </w:style>
  <w:style w:type="character" w:customStyle="1" w:styleId="PiedepginaCar">
    <w:name w:val="Pie de página Car"/>
    <w:basedOn w:val="Fuentedeprrafopredeter"/>
    <w:link w:val="Piedepgina"/>
    <w:uiPriority w:val="99"/>
    <w:rsid w:val="002C6DE8"/>
    <w:rPr>
      <w:rFonts w:eastAsia="Batang"/>
      <w:lang w:val="es-CO"/>
    </w:rPr>
  </w:style>
  <w:style w:type="paragraph" w:styleId="Sinespaciado">
    <w:name w:val="No Spacing"/>
    <w:uiPriority w:val="1"/>
    <w:qFormat/>
    <w:rsid w:val="00877C61"/>
    <w:pPr>
      <w:spacing w:after="0" w:line="240" w:lineRule="auto"/>
    </w:pPr>
    <w:rPr>
      <w:lang w:val="es-CO"/>
    </w:rPr>
  </w:style>
  <w:style w:type="paragraph" w:styleId="Encabezado">
    <w:name w:val="header"/>
    <w:basedOn w:val="Normal"/>
    <w:link w:val="EncabezadoCar"/>
    <w:uiPriority w:val="99"/>
    <w:unhideWhenUsed/>
    <w:rsid w:val="0048797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487971"/>
  </w:style>
  <w:style w:type="table" w:styleId="Tablaconcuadrcula">
    <w:name w:val="Table Grid"/>
    <w:basedOn w:val="Tablanormal"/>
    <w:uiPriority w:val="59"/>
    <w:rsid w:val="00836A43"/>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36A43"/>
    <w:pPr>
      <w:ind w:left="720"/>
      <w:contextualSpacing/>
    </w:pPr>
    <w:rPr>
      <w:lang w:val="es-ES"/>
    </w:rPr>
  </w:style>
  <w:style w:type="paragraph" w:styleId="Textonotapie">
    <w:name w:val="footnote text"/>
    <w:basedOn w:val="Normal"/>
    <w:link w:val="TextonotapieCar"/>
    <w:uiPriority w:val="99"/>
    <w:semiHidden/>
    <w:unhideWhenUsed/>
    <w:rsid w:val="007E52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526A"/>
    <w:rPr>
      <w:sz w:val="20"/>
      <w:szCs w:val="20"/>
      <w:lang w:val="es-CO"/>
    </w:rPr>
  </w:style>
  <w:style w:type="character" w:styleId="Refdenotaalpie">
    <w:name w:val="footnote reference"/>
    <w:uiPriority w:val="99"/>
    <w:unhideWhenUsed/>
    <w:rsid w:val="007E526A"/>
    <w:rPr>
      <w:vertAlign w:val="superscript"/>
    </w:rPr>
  </w:style>
  <w:style w:type="paragraph" w:styleId="NormalWeb">
    <w:name w:val="Normal (Web)"/>
    <w:basedOn w:val="Normal"/>
    <w:uiPriority w:val="99"/>
    <w:semiHidden/>
    <w:unhideWhenUsed/>
    <w:rsid w:val="00D37E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2005">
      <w:bodyDiv w:val="1"/>
      <w:marLeft w:val="0"/>
      <w:marRight w:val="0"/>
      <w:marTop w:val="0"/>
      <w:marBottom w:val="0"/>
      <w:divBdr>
        <w:top w:val="none" w:sz="0" w:space="0" w:color="auto"/>
        <w:left w:val="none" w:sz="0" w:space="0" w:color="auto"/>
        <w:bottom w:val="none" w:sz="0" w:space="0" w:color="auto"/>
        <w:right w:val="none" w:sz="0" w:space="0" w:color="auto"/>
      </w:divBdr>
    </w:div>
    <w:div w:id="1653364365">
      <w:bodyDiv w:val="1"/>
      <w:marLeft w:val="0"/>
      <w:marRight w:val="0"/>
      <w:marTop w:val="0"/>
      <w:marBottom w:val="0"/>
      <w:divBdr>
        <w:top w:val="none" w:sz="0" w:space="0" w:color="auto"/>
        <w:left w:val="none" w:sz="0" w:space="0" w:color="auto"/>
        <w:bottom w:val="none" w:sz="0" w:space="0" w:color="auto"/>
        <w:right w:val="none" w:sz="0" w:space="0" w:color="auto"/>
      </w:divBdr>
      <w:divsChild>
        <w:div w:id="129708685">
          <w:marLeft w:val="0"/>
          <w:marRight w:val="0"/>
          <w:marTop w:val="0"/>
          <w:marBottom w:val="0"/>
          <w:divBdr>
            <w:top w:val="none" w:sz="0" w:space="0" w:color="auto"/>
            <w:left w:val="none" w:sz="0" w:space="0" w:color="auto"/>
            <w:bottom w:val="none" w:sz="0" w:space="0" w:color="auto"/>
            <w:right w:val="none" w:sz="0" w:space="0" w:color="auto"/>
          </w:divBdr>
        </w:div>
        <w:div w:id="195699271">
          <w:marLeft w:val="0"/>
          <w:marRight w:val="0"/>
          <w:marTop w:val="0"/>
          <w:marBottom w:val="0"/>
          <w:divBdr>
            <w:top w:val="none" w:sz="0" w:space="0" w:color="auto"/>
            <w:left w:val="none" w:sz="0" w:space="0" w:color="auto"/>
            <w:bottom w:val="none" w:sz="0" w:space="0" w:color="auto"/>
            <w:right w:val="none" w:sz="0" w:space="0" w:color="auto"/>
          </w:divBdr>
          <w:divsChild>
            <w:div w:id="387843830">
              <w:marLeft w:val="0"/>
              <w:marRight w:val="0"/>
              <w:marTop w:val="0"/>
              <w:marBottom w:val="0"/>
              <w:divBdr>
                <w:top w:val="none" w:sz="0" w:space="0" w:color="auto"/>
                <w:left w:val="none" w:sz="0" w:space="0" w:color="auto"/>
                <w:bottom w:val="none" w:sz="0" w:space="0" w:color="auto"/>
                <w:right w:val="none" w:sz="0" w:space="0" w:color="auto"/>
              </w:divBdr>
              <w:divsChild>
                <w:div w:id="1174416398">
                  <w:marLeft w:val="0"/>
                  <w:marRight w:val="0"/>
                  <w:marTop w:val="0"/>
                  <w:marBottom w:val="0"/>
                  <w:divBdr>
                    <w:top w:val="none" w:sz="0" w:space="0" w:color="auto"/>
                    <w:left w:val="none" w:sz="0" w:space="0" w:color="auto"/>
                    <w:bottom w:val="none" w:sz="0" w:space="0" w:color="auto"/>
                    <w:right w:val="none" w:sz="0" w:space="0" w:color="auto"/>
                  </w:divBdr>
                </w:div>
                <w:div w:id="12647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351">
          <w:marLeft w:val="0"/>
          <w:marRight w:val="0"/>
          <w:marTop w:val="0"/>
          <w:marBottom w:val="0"/>
          <w:divBdr>
            <w:top w:val="none" w:sz="0" w:space="0" w:color="auto"/>
            <w:left w:val="none" w:sz="0" w:space="0" w:color="auto"/>
            <w:bottom w:val="none" w:sz="0" w:space="0" w:color="auto"/>
            <w:right w:val="none" w:sz="0" w:space="0" w:color="auto"/>
          </w:divBdr>
          <w:divsChild>
            <w:div w:id="860121051">
              <w:marLeft w:val="0"/>
              <w:marRight w:val="0"/>
              <w:marTop w:val="0"/>
              <w:marBottom w:val="0"/>
              <w:divBdr>
                <w:top w:val="none" w:sz="0" w:space="0" w:color="auto"/>
                <w:left w:val="none" w:sz="0" w:space="0" w:color="auto"/>
                <w:bottom w:val="none" w:sz="0" w:space="0" w:color="auto"/>
                <w:right w:val="none" w:sz="0" w:space="0" w:color="auto"/>
              </w:divBdr>
              <w:divsChild>
                <w:div w:id="1835607030">
                  <w:marLeft w:val="0"/>
                  <w:marRight w:val="0"/>
                  <w:marTop w:val="0"/>
                  <w:marBottom w:val="0"/>
                  <w:divBdr>
                    <w:top w:val="none" w:sz="0" w:space="0" w:color="auto"/>
                    <w:left w:val="none" w:sz="0" w:space="0" w:color="auto"/>
                    <w:bottom w:val="none" w:sz="0" w:space="0" w:color="auto"/>
                    <w:right w:val="none" w:sz="0" w:space="0" w:color="auto"/>
                  </w:divBdr>
                  <w:divsChild>
                    <w:div w:id="714892972">
                      <w:marLeft w:val="0"/>
                      <w:marRight w:val="0"/>
                      <w:marTop w:val="0"/>
                      <w:marBottom w:val="0"/>
                      <w:divBdr>
                        <w:top w:val="none" w:sz="0" w:space="0" w:color="auto"/>
                        <w:left w:val="none" w:sz="0" w:space="0" w:color="auto"/>
                        <w:bottom w:val="none" w:sz="0" w:space="0" w:color="auto"/>
                        <w:right w:val="none" w:sz="0" w:space="0" w:color="auto"/>
                      </w:divBdr>
                      <w:divsChild>
                        <w:div w:id="1167600938">
                          <w:marLeft w:val="0"/>
                          <w:marRight w:val="0"/>
                          <w:marTop w:val="0"/>
                          <w:marBottom w:val="0"/>
                          <w:divBdr>
                            <w:top w:val="none" w:sz="0" w:space="0" w:color="auto"/>
                            <w:left w:val="none" w:sz="0" w:space="0" w:color="auto"/>
                            <w:bottom w:val="none" w:sz="0" w:space="0" w:color="auto"/>
                            <w:right w:val="none" w:sz="0" w:space="0" w:color="auto"/>
                          </w:divBdr>
                          <w:divsChild>
                            <w:div w:id="2077389297">
                              <w:marLeft w:val="0"/>
                              <w:marRight w:val="0"/>
                              <w:marTop w:val="0"/>
                              <w:marBottom w:val="0"/>
                              <w:divBdr>
                                <w:top w:val="none" w:sz="0" w:space="0" w:color="auto"/>
                                <w:left w:val="none" w:sz="0" w:space="0" w:color="auto"/>
                                <w:bottom w:val="none" w:sz="0" w:space="0" w:color="auto"/>
                                <w:right w:val="none" w:sz="0" w:space="0" w:color="auto"/>
                              </w:divBdr>
                              <w:divsChild>
                                <w:div w:id="18333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8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hyperlink" Target="mailto:carlosfelipemejia@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07742871244964"/>
          <c:y val="2.4399287790038752E-2"/>
          <c:w val="0.75207024783816478"/>
          <c:h val="0.71482494110511352"/>
        </c:manualLayout>
      </c:layout>
      <c:barChart>
        <c:barDir val="col"/>
        <c:grouping val="stacked"/>
        <c:varyColors val="0"/>
        <c:ser>
          <c:idx val="0"/>
          <c:order val="0"/>
          <c:tx>
            <c:strRef>
              <c:f>Hoja2!$J$6</c:f>
              <c:strCache>
                <c:ptCount val="1"/>
                <c:pt idx="0">
                  <c:v>DEPARTAMENTAL</c:v>
                </c:pt>
              </c:strCache>
            </c:strRef>
          </c:tx>
          <c:spPr>
            <a:solidFill>
              <a:schemeClr val="tx2">
                <a:lumMod val="50000"/>
              </a:schemeClr>
            </a:solidFill>
            <a:ln>
              <a:noFill/>
            </a:ln>
            <a:effectLst>
              <a:innerShdw blurRad="114300">
                <a:schemeClr val="accent1"/>
              </a:innerShdw>
            </a:effectLst>
          </c:spPr>
          <c:invertIfNegative val="0"/>
          <c:cat>
            <c:numRef>
              <c:f>Hoja2!$I$7:$I$24</c:f>
              <c:numCache>
                <c:formatCode>General</c:formatCod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numCache>
            </c:numRef>
          </c:cat>
          <c:val>
            <c:numRef>
              <c:f>Hoja2!$J$7:$J$24</c:f>
              <c:numCache>
                <c:formatCode>_-[$$-240A]* #,##0_-;\-[$$-240A]* #,##0_-;_-[$$-240A]* "-"??_-;_-@_-</c:formatCode>
                <c:ptCount val="18"/>
                <c:pt idx="0">
                  <c:v>37134230</c:v>
                </c:pt>
                <c:pt idx="1">
                  <c:v>475155664</c:v>
                </c:pt>
                <c:pt idx="2">
                  <c:v>412061507</c:v>
                </c:pt>
                <c:pt idx="3">
                  <c:v>424955887</c:v>
                </c:pt>
                <c:pt idx="4">
                  <c:v>397478672</c:v>
                </c:pt>
                <c:pt idx="5">
                  <c:v>463883101</c:v>
                </c:pt>
                <c:pt idx="6">
                  <c:v>746723646</c:v>
                </c:pt>
                <c:pt idx="7">
                  <c:v>516635634</c:v>
                </c:pt>
                <c:pt idx="8">
                  <c:v>1369528460</c:v>
                </c:pt>
                <c:pt idx="9">
                  <c:v>1017484193</c:v>
                </c:pt>
                <c:pt idx="10">
                  <c:v>2579707942</c:v>
                </c:pt>
                <c:pt idx="11">
                  <c:v>2577004384</c:v>
                </c:pt>
                <c:pt idx="12">
                  <c:v>4337538093</c:v>
                </c:pt>
                <c:pt idx="13">
                  <c:v>2865786173</c:v>
                </c:pt>
                <c:pt idx="14">
                  <c:v>2404315283</c:v>
                </c:pt>
                <c:pt idx="15">
                  <c:v>118452764</c:v>
                </c:pt>
                <c:pt idx="16">
                  <c:v>1389529798</c:v>
                </c:pt>
                <c:pt idx="17">
                  <c:v>1047433981</c:v>
                </c:pt>
              </c:numCache>
            </c:numRef>
          </c:val>
        </c:ser>
        <c:ser>
          <c:idx val="1"/>
          <c:order val="1"/>
          <c:tx>
            <c:strRef>
              <c:f>Hoja2!$K$6</c:f>
              <c:strCache>
                <c:ptCount val="1"/>
                <c:pt idx="0">
                  <c:v>MUNICIPAL</c:v>
                </c:pt>
              </c:strCache>
            </c:strRef>
          </c:tx>
          <c:spPr>
            <a:solidFill>
              <a:srgbClr val="C00000"/>
            </a:solidFill>
            <a:ln>
              <a:noFill/>
            </a:ln>
            <a:effectLst>
              <a:innerShdw blurRad="114300">
                <a:schemeClr val="accent2"/>
              </a:innerShdw>
            </a:effectLst>
          </c:spPr>
          <c:invertIfNegative val="0"/>
          <c:cat>
            <c:numRef>
              <c:f>Hoja2!$I$7:$I$24</c:f>
              <c:numCache>
                <c:formatCode>General</c:formatCod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numCache>
            </c:numRef>
          </c:cat>
          <c:val>
            <c:numRef>
              <c:f>Hoja2!$K$7:$K$24</c:f>
              <c:numCache>
                <c:formatCode>_-[$$-240A]* #,##0_-;\-[$$-240A]* #,##0_-;_-[$$-240A]* "-"??_-;_-@_-</c:formatCode>
                <c:ptCount val="18"/>
                <c:pt idx="1">
                  <c:v>359776662</c:v>
                </c:pt>
                <c:pt idx="2">
                  <c:v>155309771</c:v>
                </c:pt>
                <c:pt idx="3">
                  <c:v>179082542</c:v>
                </c:pt>
                <c:pt idx="4">
                  <c:v>267804130</c:v>
                </c:pt>
                <c:pt idx="5">
                  <c:v>166981890</c:v>
                </c:pt>
                <c:pt idx="6">
                  <c:v>155484492</c:v>
                </c:pt>
                <c:pt idx="7">
                  <c:v>273375464</c:v>
                </c:pt>
                <c:pt idx="8">
                  <c:v>325715233</c:v>
                </c:pt>
                <c:pt idx="9">
                  <c:v>537606520</c:v>
                </c:pt>
                <c:pt idx="10">
                  <c:v>868764761</c:v>
                </c:pt>
                <c:pt idx="11">
                  <c:v>953504300</c:v>
                </c:pt>
                <c:pt idx="12">
                  <c:v>1283246818</c:v>
                </c:pt>
                <c:pt idx="13">
                  <c:v>1120976004</c:v>
                </c:pt>
                <c:pt idx="14">
                  <c:v>1197665563</c:v>
                </c:pt>
                <c:pt idx="15">
                  <c:v>1899423648</c:v>
                </c:pt>
                <c:pt idx="16">
                  <c:v>1436935079</c:v>
                </c:pt>
                <c:pt idx="17">
                  <c:v>1202226568</c:v>
                </c:pt>
              </c:numCache>
            </c:numRef>
          </c:val>
        </c:ser>
        <c:dLbls>
          <c:showLegendKey val="0"/>
          <c:showVal val="0"/>
          <c:showCatName val="0"/>
          <c:showSerName val="0"/>
          <c:showPercent val="0"/>
          <c:showBubbleSize val="0"/>
        </c:dLbls>
        <c:gapWidth val="219"/>
        <c:overlap val="100"/>
        <c:axId val="126023680"/>
        <c:axId val="123494976"/>
      </c:barChart>
      <c:lineChart>
        <c:grouping val="standard"/>
        <c:varyColors val="0"/>
        <c:ser>
          <c:idx val="2"/>
          <c:order val="2"/>
          <c:tx>
            <c:strRef>
              <c:f>Hoja2!$L$6</c:f>
              <c:strCache>
                <c:ptCount val="1"/>
                <c:pt idx="0">
                  <c:v>TOTAL</c:v>
                </c:pt>
              </c:strCache>
            </c:strRef>
          </c:tx>
          <c:spPr>
            <a:ln w="28575" cap="sq">
              <a:solidFill>
                <a:schemeClr val="bg1">
                  <a:lumMod val="65000"/>
                </a:schemeClr>
              </a:solidFill>
              <a:round/>
            </a:ln>
            <a:effectLst>
              <a:outerShdw blurRad="50800" dist="50800" dir="5400000" algn="ctr" rotWithShape="0">
                <a:schemeClr val="bg1">
                  <a:lumMod val="65000"/>
                </a:schemeClr>
              </a:outerShdw>
            </a:effectLst>
          </c:spPr>
          <c:marker>
            <c:symbol val="circle"/>
            <c:size val="6"/>
            <c:spPr>
              <a:solidFill>
                <a:schemeClr val="bg1">
                  <a:lumMod val="65000"/>
                </a:schemeClr>
              </a:solidFill>
              <a:ln>
                <a:noFill/>
              </a:ln>
              <a:effectLst>
                <a:outerShdw blurRad="50800" dist="50800" dir="5400000" algn="ctr" rotWithShape="0">
                  <a:schemeClr val="bg1">
                    <a:lumMod val="65000"/>
                  </a:schemeClr>
                </a:outerShdw>
              </a:effectLst>
            </c:spPr>
          </c:marker>
          <c:cat>
            <c:numRef>
              <c:f>Hoja2!$I$7:$I$24</c:f>
              <c:numCache>
                <c:formatCode>General</c:formatCod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numCache>
            </c:numRef>
          </c:cat>
          <c:val>
            <c:numRef>
              <c:f>Hoja2!$L$7:$L$24</c:f>
              <c:numCache>
                <c:formatCode>_-[$$-240A]* #,##0_-;\-[$$-240A]* #,##0_-;_-[$$-240A]* "-"??_-;_-@_-</c:formatCode>
                <c:ptCount val="18"/>
                <c:pt idx="0">
                  <c:v>37134230</c:v>
                </c:pt>
                <c:pt idx="1">
                  <c:v>834932326</c:v>
                </c:pt>
                <c:pt idx="2">
                  <c:v>567371278</c:v>
                </c:pt>
                <c:pt idx="3">
                  <c:v>604038429</c:v>
                </c:pt>
                <c:pt idx="4">
                  <c:v>665282802</c:v>
                </c:pt>
                <c:pt idx="5">
                  <c:v>630864991</c:v>
                </c:pt>
                <c:pt idx="6">
                  <c:v>902208138</c:v>
                </c:pt>
                <c:pt idx="7">
                  <c:v>790011098</c:v>
                </c:pt>
                <c:pt idx="8">
                  <c:v>1695243693</c:v>
                </c:pt>
                <c:pt idx="9">
                  <c:v>1555090713</c:v>
                </c:pt>
                <c:pt idx="10">
                  <c:v>3448472703</c:v>
                </c:pt>
                <c:pt idx="11">
                  <c:v>3530508684</c:v>
                </c:pt>
                <c:pt idx="12">
                  <c:v>5620784911</c:v>
                </c:pt>
                <c:pt idx="13">
                  <c:v>3986762177</c:v>
                </c:pt>
                <c:pt idx="14">
                  <c:v>3601980846</c:v>
                </c:pt>
                <c:pt idx="15">
                  <c:v>2017876412</c:v>
                </c:pt>
                <c:pt idx="16">
                  <c:v>2826464877</c:v>
                </c:pt>
                <c:pt idx="17">
                  <c:v>2249660549</c:v>
                </c:pt>
              </c:numCache>
            </c:numRef>
          </c:val>
          <c:smooth val="0"/>
        </c:ser>
        <c:dLbls>
          <c:showLegendKey val="0"/>
          <c:showVal val="0"/>
          <c:showCatName val="0"/>
          <c:showSerName val="0"/>
          <c:showPercent val="0"/>
          <c:showBubbleSize val="0"/>
        </c:dLbls>
        <c:marker val="1"/>
        <c:smooth val="0"/>
        <c:axId val="126023680"/>
        <c:axId val="123494976"/>
      </c:lineChart>
      <c:catAx>
        <c:axId val="12602368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effectLst/>
                <a:latin typeface="Arial" panose="020B0604020202020204" pitchFamily="34" charset="0"/>
                <a:ea typeface="+mn-ea"/>
                <a:cs typeface="Arial" panose="020B0604020202020204" pitchFamily="34" charset="0"/>
              </a:defRPr>
            </a:pPr>
            <a:endParaRPr lang="es-ES"/>
          </a:p>
        </c:txPr>
        <c:crossAx val="123494976"/>
        <c:crosses val="autoZero"/>
        <c:auto val="1"/>
        <c:lblAlgn val="ctr"/>
        <c:lblOffset val="100"/>
        <c:noMultiLvlLbl val="0"/>
      </c:catAx>
      <c:valAx>
        <c:axId val="123494976"/>
        <c:scaling>
          <c:orientation val="minMax"/>
        </c:scaling>
        <c:delete val="0"/>
        <c:axPos val="l"/>
        <c:numFmt formatCode="_-[$$-240A]* #,##0_-;\-[$$-240A]* #,##0_-;_-[$$-240A]* &quot;-&quot;??_-;_-@_-"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s-ES"/>
          </a:p>
        </c:txPr>
        <c:crossAx val="126023680"/>
        <c:crosses val="autoZero"/>
        <c:crossBetween val="between"/>
      </c:valAx>
      <c:spPr>
        <a:noFill/>
        <a:ln>
          <a:noFill/>
        </a:ln>
        <a:effectLst/>
      </c:spPr>
    </c:plotArea>
    <c:legend>
      <c:legendPos val="b"/>
      <c:layout>
        <c:manualLayout>
          <c:xMode val="edge"/>
          <c:yMode val="edge"/>
          <c:x val="0.22357611400405927"/>
          <c:y val="0.90854213263515793"/>
          <c:w val="0.71973484427656187"/>
          <c:h val="7.149153238738673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E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63D0D9-CF55-4D2C-A5FC-24E5463216C9}" type="doc">
      <dgm:prSet loTypeId="urn:microsoft.com/office/officeart/2005/8/layout/matrix1" loCatId="matrix" qsTypeId="urn:microsoft.com/office/officeart/2005/8/quickstyle/simple3" qsCatId="simple" csTypeId="urn:microsoft.com/office/officeart/2005/8/colors/accent0_1" csCatId="mainScheme" phldr="1"/>
      <dgm:spPr/>
      <dgm:t>
        <a:bodyPr/>
        <a:lstStyle/>
        <a:p>
          <a:endParaRPr lang="es-CO"/>
        </a:p>
      </dgm:t>
    </dgm:pt>
    <dgm:pt modelId="{EB89F9BE-3668-48F0-A48C-D132B41A92F4}">
      <dgm:prSet phldrT="[Texto]" custT="1"/>
      <dgm:spPr>
        <a:xfrm>
          <a:off x="2123424" y="2009303"/>
          <a:ext cx="1889425" cy="1572397"/>
        </a:xfrm>
        <a:gradFill rotWithShape="0">
          <a:gsLst>
            <a:gs pos="0">
              <a:sysClr val="windowText" lastClr="000000">
                <a:tint val="60000"/>
                <a:hueOff val="0"/>
                <a:satOff val="0"/>
                <a:lumOff val="0"/>
                <a:alphaOff val="0"/>
                <a:tint val="50000"/>
                <a:satMod val="300000"/>
              </a:sysClr>
            </a:gs>
            <a:gs pos="35000">
              <a:sysClr val="windowText" lastClr="000000">
                <a:tint val="60000"/>
                <a:hueOff val="0"/>
                <a:satOff val="0"/>
                <a:lumOff val="0"/>
                <a:alphaOff val="0"/>
                <a:tint val="37000"/>
                <a:satMod val="300000"/>
              </a:sysClr>
            </a:gs>
            <a:gs pos="100000">
              <a:sysClr val="windowText" lastClr="000000">
                <a:tint val="60000"/>
                <a:hueOff val="0"/>
                <a:satOff val="0"/>
                <a:lumOff val="0"/>
                <a:alphaOff val="0"/>
                <a:tint val="15000"/>
                <a:satMod val="350000"/>
              </a:sysClr>
            </a:gs>
          </a:gsLst>
          <a:lin ang="16200000" scaled="1"/>
        </a:gradFill>
        <a:ln w="9525"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s-CO" sz="1400" kern="1200" dirty="0" smtClean="0">
              <a:solidFill>
                <a:sysClr val="windowText" lastClr="000000"/>
              </a:solidFill>
              <a:latin typeface="+mn-lt"/>
              <a:ea typeface="+mn-ea"/>
              <a:cs typeface="+mn-cs"/>
            </a:rPr>
            <a:t>Usos de la Estampilla</a:t>
          </a:r>
        </a:p>
        <a:p>
          <a:r>
            <a:rPr lang="es-CO" sz="1400" kern="1200" dirty="0" smtClean="0">
              <a:solidFill>
                <a:sysClr val="windowText" lastClr="000000"/>
              </a:solidFill>
              <a:latin typeface="+mn-lt"/>
              <a:ea typeface="+mn-ea"/>
              <a:cs typeface="+mn-cs"/>
            </a:rPr>
            <a:t>2014-2016</a:t>
          </a:r>
          <a:endParaRPr lang="es-CO" sz="1400" kern="1200" dirty="0">
            <a:solidFill>
              <a:sysClr val="windowText" lastClr="000000"/>
            </a:solidFill>
            <a:latin typeface="+mn-lt"/>
            <a:ea typeface="+mn-ea"/>
            <a:cs typeface="+mn-cs"/>
          </a:endParaRPr>
        </a:p>
      </dgm:t>
    </dgm:pt>
    <dgm:pt modelId="{B6553E5C-1F8B-48FF-B61D-3735864BDA38}" type="parTrans" cxnId="{CE127912-E0B4-4D8C-B462-5E0BC54D2715}">
      <dgm:prSet/>
      <dgm:spPr/>
      <dgm:t>
        <a:bodyPr/>
        <a:lstStyle/>
        <a:p>
          <a:endParaRPr lang="es-CO"/>
        </a:p>
      </dgm:t>
    </dgm:pt>
    <dgm:pt modelId="{4E05F990-D4C2-40B5-871D-F1F7C2A08BCB}" type="sibTrans" cxnId="{CE127912-E0B4-4D8C-B462-5E0BC54D2715}">
      <dgm:prSet/>
      <dgm:spPr/>
      <dgm:t>
        <a:bodyPr/>
        <a:lstStyle/>
        <a:p>
          <a:endParaRPr lang="es-CO"/>
        </a:p>
      </dgm:t>
    </dgm:pt>
    <dgm:pt modelId="{BECE2D54-08D0-405F-BE0D-F650AADAF0E0}">
      <dgm:prSet phldrT="[Texto]" custT="1"/>
      <dgm:spPr>
        <a:xfrm rot="16200000">
          <a:off x="2123" y="-2123"/>
          <a:ext cx="3144794" cy="3149042"/>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s-CO" sz="1400" kern="1200" dirty="0">
              <a:solidFill>
                <a:sysClr val="windowText" lastClr="000000"/>
              </a:solidFill>
              <a:latin typeface="+mn-lt"/>
              <a:ea typeface="+mn-ea"/>
              <a:cs typeface="+mn-cs"/>
            </a:rPr>
            <a:t>Elementos y bienes de infraestructura que requieran estos centros de educación superior. (</a:t>
          </a:r>
          <a:r>
            <a:rPr lang="es-CO" sz="1400" kern="1200" dirty="0" smtClean="0">
              <a:solidFill>
                <a:sysClr val="windowText" lastClr="000000"/>
              </a:solidFill>
              <a:latin typeface="+mn-lt"/>
              <a:ea typeface="+mn-ea"/>
              <a:cs typeface="+mn-cs"/>
            </a:rPr>
            <a:t>Infraestructura </a:t>
          </a:r>
        </a:p>
        <a:p>
          <a:r>
            <a:rPr lang="es-CO" sz="1400" kern="1200" dirty="0" smtClean="0">
              <a:solidFill>
                <a:sysClr val="windowText" lastClr="000000"/>
              </a:solidFill>
              <a:latin typeface="+mn-lt"/>
              <a:ea typeface="+mn-ea"/>
              <a:cs typeface="+mn-cs"/>
            </a:rPr>
            <a:t>Ampliación y Adecuación de sedes)</a:t>
          </a:r>
        </a:p>
        <a:p>
          <a:r>
            <a:rPr lang="es-CO" sz="1800" b="1" kern="1200" dirty="0" smtClean="0">
              <a:solidFill>
                <a:sysClr val="windowText" lastClr="000000"/>
              </a:solidFill>
              <a:latin typeface="+mn-lt"/>
              <a:ea typeface="+mn-ea"/>
              <a:cs typeface="+mn-cs"/>
            </a:rPr>
            <a:t>960,000 </a:t>
          </a:r>
        </a:p>
        <a:p>
          <a:r>
            <a:rPr lang="es-CO" sz="1800" b="1" kern="1200" dirty="0" smtClean="0">
              <a:solidFill>
                <a:sysClr val="windowText" lastClr="000000"/>
              </a:solidFill>
              <a:latin typeface="+mn-lt"/>
              <a:ea typeface="+mn-ea"/>
              <a:cs typeface="+mn-cs"/>
            </a:rPr>
            <a:t>13%</a:t>
          </a:r>
          <a:endParaRPr lang="es-CO" sz="1800" b="1" kern="1200" dirty="0">
            <a:solidFill>
              <a:sysClr val="windowText" lastClr="000000"/>
            </a:solidFill>
            <a:latin typeface="+mn-lt"/>
            <a:ea typeface="+mn-ea"/>
            <a:cs typeface="+mn-cs"/>
          </a:endParaRPr>
        </a:p>
      </dgm:t>
    </dgm:pt>
    <dgm:pt modelId="{CB0A66E9-A0DF-4E13-9041-A3120F1063EC}" type="parTrans" cxnId="{7E65D1BD-EE75-486C-9088-BBBC49266097}">
      <dgm:prSet/>
      <dgm:spPr/>
      <dgm:t>
        <a:bodyPr/>
        <a:lstStyle/>
        <a:p>
          <a:endParaRPr lang="es-CO"/>
        </a:p>
      </dgm:t>
    </dgm:pt>
    <dgm:pt modelId="{F36A8EBE-37B7-4BAA-9A28-61D716561094}" type="sibTrans" cxnId="{7E65D1BD-EE75-486C-9088-BBBC49266097}">
      <dgm:prSet/>
      <dgm:spPr/>
      <dgm:t>
        <a:bodyPr/>
        <a:lstStyle/>
        <a:p>
          <a:endParaRPr lang="es-CO"/>
        </a:p>
      </dgm:t>
    </dgm:pt>
    <dgm:pt modelId="{0CFF8535-A873-4B95-A394-E16C53B0AC31}">
      <dgm:prSet phldrT="[Texto]" custT="1"/>
      <dgm:spPr>
        <a:xfrm>
          <a:off x="3149042" y="0"/>
          <a:ext cx="3149042" cy="3144794"/>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s-CO" sz="1200" i="0" kern="1200" dirty="0" smtClean="0">
            <a:solidFill>
              <a:sysClr val="windowText" lastClr="000000">
                <a:hueOff val="0"/>
                <a:satOff val="0"/>
                <a:lumOff val="0"/>
                <a:alphaOff val="0"/>
              </a:sysClr>
            </a:solidFill>
            <a:latin typeface="Times New Roman"/>
            <a:ea typeface="+mn-ea"/>
            <a:cs typeface="Times New Roman"/>
          </a:endParaRPr>
        </a:p>
        <a:p>
          <a:r>
            <a:rPr lang="es-CO" sz="1400" kern="1200" dirty="0" smtClean="0">
              <a:solidFill>
                <a:sysClr val="windowText" lastClr="000000"/>
              </a:solidFill>
              <a:latin typeface="+mn-lt"/>
              <a:ea typeface="+mn-ea"/>
              <a:cs typeface="+mn-cs"/>
            </a:rPr>
            <a:t>Dotación Tecnológica </a:t>
          </a:r>
        </a:p>
        <a:p>
          <a:r>
            <a:rPr lang="es-CO" sz="1400" kern="1200" dirty="0" smtClean="0">
              <a:solidFill>
                <a:sysClr val="windowText" lastClr="000000"/>
              </a:solidFill>
              <a:latin typeface="+mn-lt"/>
              <a:ea typeface="+mn-ea"/>
              <a:cs typeface="+mn-cs"/>
            </a:rPr>
            <a:t>Ampliación de la Infraestructura tecnológica </a:t>
          </a:r>
          <a:r>
            <a:rPr lang="es-ES_tradnl" sz="1400" kern="1200" dirty="0">
              <a:solidFill>
                <a:sysClr val="windowText" lastClr="000000"/>
              </a:solidFill>
              <a:latin typeface="+mn-lt"/>
              <a:ea typeface="+mn-ea"/>
              <a:cs typeface="+mn-cs"/>
            </a:rPr>
            <a:t>microelectrónica, informática, sistema de información, comunicaciones, robótica)</a:t>
          </a:r>
        </a:p>
        <a:p>
          <a:r>
            <a:rPr lang="es-CO" sz="1800" b="1" kern="1200" dirty="0" smtClean="0">
              <a:solidFill>
                <a:sysClr val="windowText" lastClr="000000"/>
              </a:solidFill>
              <a:latin typeface="+mn-lt"/>
              <a:ea typeface="+mn-ea"/>
              <a:cs typeface="+mn-cs"/>
            </a:rPr>
            <a:t>700,000 </a:t>
          </a:r>
        </a:p>
        <a:p>
          <a:r>
            <a:rPr lang="es-CO" sz="1800" b="1" kern="1200" dirty="0" smtClean="0">
              <a:solidFill>
                <a:sysClr val="windowText" lastClr="000000"/>
              </a:solidFill>
              <a:latin typeface="+mn-lt"/>
              <a:ea typeface="+mn-ea"/>
              <a:cs typeface="+mn-cs"/>
            </a:rPr>
            <a:t>10</a:t>
          </a:r>
          <a:r>
            <a:rPr lang="es-CO" sz="1800" b="1" kern="1200" dirty="0" smtClean="0">
              <a:solidFill>
                <a:srgbClr val="1D4779"/>
              </a:solidFill>
              <a:latin typeface="+mn-lt"/>
              <a:ea typeface="+mn-ea"/>
              <a:cs typeface="+mn-cs"/>
            </a:rPr>
            <a:t>%</a:t>
          </a:r>
          <a:endParaRPr lang="es-CO" sz="1800" b="1" kern="1200" dirty="0">
            <a:solidFill>
              <a:srgbClr val="1D4779"/>
            </a:solidFill>
            <a:latin typeface="+mn-lt"/>
            <a:ea typeface="+mn-ea"/>
            <a:cs typeface="+mn-cs"/>
          </a:endParaRPr>
        </a:p>
      </dgm:t>
    </dgm:pt>
    <dgm:pt modelId="{674E2B48-AA91-45FA-8E58-DE6D6DBBC26B}" type="parTrans" cxnId="{852D07FA-F8F9-4A69-BEF0-A934C89EF429}">
      <dgm:prSet/>
      <dgm:spPr/>
      <dgm:t>
        <a:bodyPr/>
        <a:lstStyle/>
        <a:p>
          <a:endParaRPr lang="es-CO"/>
        </a:p>
      </dgm:t>
    </dgm:pt>
    <dgm:pt modelId="{CF8D735B-D7DA-4CDD-B081-68748CF523A2}" type="sibTrans" cxnId="{852D07FA-F8F9-4A69-BEF0-A934C89EF429}">
      <dgm:prSet/>
      <dgm:spPr/>
      <dgm:t>
        <a:bodyPr/>
        <a:lstStyle/>
        <a:p>
          <a:endParaRPr lang="es-CO"/>
        </a:p>
      </dgm:t>
    </dgm:pt>
    <dgm:pt modelId="{D3002383-6949-4268-9255-FBA886160317}">
      <dgm:prSet phldrT="[Texto]" custT="1"/>
      <dgm:spPr>
        <a:xfrm rot="10800000">
          <a:off x="0" y="3144794"/>
          <a:ext cx="3149042" cy="3144794"/>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s-CO" sz="1400" kern="1200" dirty="0">
              <a:solidFill>
                <a:sysClr val="windowText" lastClr="000000"/>
              </a:solidFill>
              <a:latin typeface="+mn-lt"/>
              <a:ea typeface="+mn-ea"/>
              <a:cs typeface="+mn-cs"/>
            </a:rPr>
            <a:t>Dotación de bibliotecas, laboratorios, educación a distancia y demás elementos y bienes de infraestructura que requieran estos centros de educación superior </a:t>
          </a:r>
          <a:r>
            <a:rPr lang="es-CO" sz="1400" kern="1200" dirty="0" smtClean="0">
              <a:solidFill>
                <a:sysClr val="windowText" lastClr="000000"/>
              </a:solidFill>
              <a:latin typeface="+mn-lt"/>
              <a:ea typeface="+mn-ea"/>
              <a:cs typeface="+mn-cs"/>
            </a:rPr>
            <a:t>Desarrollo Académico. ( Ampliación de Biblioteca, Laboratorios, Ampliación de Cobertura en distancia, Articulación)</a:t>
          </a:r>
        </a:p>
        <a:p>
          <a:r>
            <a:rPr lang="es-CO" sz="1400" b="1" kern="1200" dirty="0" smtClean="0">
              <a:solidFill>
                <a:sysClr val="windowText" lastClr="000000"/>
              </a:solidFill>
              <a:latin typeface="+mn-lt"/>
              <a:ea typeface="+mn-ea"/>
              <a:cs typeface="+mn-cs"/>
            </a:rPr>
            <a:t>3,220,000</a:t>
          </a:r>
        </a:p>
        <a:p>
          <a:r>
            <a:rPr lang="es-CO" sz="1400" b="1" kern="1200" dirty="0" smtClean="0">
              <a:solidFill>
                <a:sysClr val="windowText" lastClr="000000"/>
              </a:solidFill>
              <a:latin typeface="+mn-lt"/>
              <a:ea typeface="+mn-ea"/>
              <a:cs typeface="+mn-cs"/>
            </a:rPr>
            <a:t>44%</a:t>
          </a:r>
          <a:endParaRPr lang="es-CO" sz="1400" kern="1200" dirty="0" smtClean="0">
            <a:solidFill>
              <a:sysClr val="windowText" lastClr="000000"/>
            </a:solidFill>
            <a:latin typeface="+mn-lt"/>
            <a:ea typeface="+mn-ea"/>
            <a:cs typeface="+mn-cs"/>
          </a:endParaRPr>
        </a:p>
      </dgm:t>
    </dgm:pt>
    <dgm:pt modelId="{619730C4-82C5-4780-AB87-1B650CEBE827}" type="parTrans" cxnId="{7E67C5BC-FAEE-4190-B81A-D7E190B3E902}">
      <dgm:prSet/>
      <dgm:spPr/>
      <dgm:t>
        <a:bodyPr/>
        <a:lstStyle/>
        <a:p>
          <a:endParaRPr lang="es-CO"/>
        </a:p>
      </dgm:t>
    </dgm:pt>
    <dgm:pt modelId="{1956D5C6-4B2D-4514-99A6-2F2F7C0C635A}" type="sibTrans" cxnId="{7E67C5BC-FAEE-4190-B81A-D7E190B3E902}">
      <dgm:prSet/>
      <dgm:spPr/>
      <dgm:t>
        <a:bodyPr/>
        <a:lstStyle/>
        <a:p>
          <a:endParaRPr lang="es-CO"/>
        </a:p>
      </dgm:t>
    </dgm:pt>
    <dgm:pt modelId="{7FD3B52B-0C3E-47C5-8A6F-5C97F6954625}">
      <dgm:prSet phldrT="[Texto]" custT="1"/>
      <dgm:spPr>
        <a:xfrm rot="5400000">
          <a:off x="3124809" y="3142670"/>
          <a:ext cx="3144794" cy="3149042"/>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s-CO" sz="1400" kern="1200" dirty="0">
              <a:solidFill>
                <a:sysClr val="windowText" lastClr="000000"/>
              </a:solidFill>
              <a:latin typeface="+mn-lt"/>
              <a:ea typeface="+mn-ea"/>
              <a:cs typeface="+mn-cs"/>
            </a:rPr>
            <a:t>Nuevas tecnologías en las áreas de: Biotecnología, nuevos materiales, microelectrónica, informática, sistema de información, comunicaciones, robótica. (</a:t>
          </a:r>
          <a:r>
            <a:rPr lang="es-CO" sz="1400" kern="1200" dirty="0" smtClean="0">
              <a:solidFill>
                <a:sysClr val="windowText" lastClr="000000"/>
              </a:solidFill>
              <a:latin typeface="+mn-lt"/>
              <a:ea typeface="+mn-ea"/>
              <a:cs typeface="+mn-cs"/>
            </a:rPr>
            <a:t>Desarrollo de la Investigación </a:t>
          </a:r>
        </a:p>
        <a:p>
          <a:r>
            <a:rPr lang="es-CO" sz="1400" kern="1200" dirty="0" smtClean="0">
              <a:solidFill>
                <a:sysClr val="windowText" lastClr="000000"/>
              </a:solidFill>
              <a:latin typeface="+mn-lt"/>
              <a:ea typeface="+mn-ea"/>
              <a:cs typeface="+mn-cs"/>
            </a:rPr>
            <a:t>Apoyo y Fomento a los proyectos de Investigación) </a:t>
          </a:r>
        </a:p>
        <a:p>
          <a:r>
            <a:rPr lang="es-CO" sz="1400" b="1" kern="1200" dirty="0" smtClean="0">
              <a:solidFill>
                <a:sysClr val="windowText" lastClr="000000"/>
              </a:solidFill>
              <a:latin typeface="+mn-lt"/>
              <a:ea typeface="+mn-ea"/>
              <a:cs typeface="+mn-cs"/>
            </a:rPr>
            <a:t>2,413,000</a:t>
          </a:r>
        </a:p>
        <a:p>
          <a:r>
            <a:rPr lang="es-CO" sz="1400" b="1" kern="1200" dirty="0" smtClean="0">
              <a:solidFill>
                <a:sysClr val="windowText" lastClr="000000"/>
              </a:solidFill>
              <a:latin typeface="+mn-lt"/>
              <a:ea typeface="+mn-ea"/>
              <a:cs typeface="+mn-cs"/>
            </a:rPr>
            <a:t>33%</a:t>
          </a:r>
          <a:endParaRPr lang="es-CO" sz="1400" b="1" kern="1200" dirty="0">
            <a:solidFill>
              <a:sysClr val="windowText" lastClr="000000"/>
            </a:solidFill>
            <a:latin typeface="+mn-lt"/>
            <a:ea typeface="+mn-ea"/>
            <a:cs typeface="+mn-cs"/>
          </a:endParaRPr>
        </a:p>
      </dgm:t>
    </dgm:pt>
    <dgm:pt modelId="{F5AFD739-C364-4104-BB4E-F324342464C5}" type="parTrans" cxnId="{A468F396-982E-4784-8840-E4049AF4A8CD}">
      <dgm:prSet/>
      <dgm:spPr/>
      <dgm:t>
        <a:bodyPr/>
        <a:lstStyle/>
        <a:p>
          <a:endParaRPr lang="es-CO"/>
        </a:p>
      </dgm:t>
    </dgm:pt>
    <dgm:pt modelId="{90D8598D-452F-46B2-BEE0-B9FABB608A94}" type="sibTrans" cxnId="{A468F396-982E-4784-8840-E4049AF4A8CD}">
      <dgm:prSet/>
      <dgm:spPr/>
      <dgm:t>
        <a:bodyPr/>
        <a:lstStyle/>
        <a:p>
          <a:endParaRPr lang="es-CO"/>
        </a:p>
      </dgm:t>
    </dgm:pt>
    <dgm:pt modelId="{FFFC95EC-60A4-4DE7-98CD-F3EE086E9E18}" type="pres">
      <dgm:prSet presAssocID="{E963D0D9-CF55-4D2C-A5FC-24E5463216C9}" presName="diagram" presStyleCnt="0">
        <dgm:presLayoutVars>
          <dgm:chMax val="1"/>
          <dgm:dir/>
          <dgm:animLvl val="ctr"/>
          <dgm:resizeHandles val="exact"/>
        </dgm:presLayoutVars>
      </dgm:prSet>
      <dgm:spPr/>
      <dgm:t>
        <a:bodyPr/>
        <a:lstStyle/>
        <a:p>
          <a:endParaRPr lang="es-ES"/>
        </a:p>
      </dgm:t>
    </dgm:pt>
    <dgm:pt modelId="{BCD5C6CE-5831-42FB-9144-62935EB45C55}" type="pres">
      <dgm:prSet presAssocID="{E963D0D9-CF55-4D2C-A5FC-24E5463216C9}" presName="matrix" presStyleCnt="0"/>
      <dgm:spPr/>
      <dgm:t>
        <a:bodyPr/>
        <a:lstStyle/>
        <a:p>
          <a:endParaRPr lang="es-ES"/>
        </a:p>
      </dgm:t>
    </dgm:pt>
    <dgm:pt modelId="{6A720F9D-8EA4-4725-B032-43CED32D3156}" type="pres">
      <dgm:prSet presAssocID="{E963D0D9-CF55-4D2C-A5FC-24E5463216C9}" presName="tile1" presStyleLbl="node1" presStyleIdx="0" presStyleCnt="4" custLinFactNeighborX="730"/>
      <dgm:spPr>
        <a:prstGeom prst="round1Rect">
          <a:avLst/>
        </a:prstGeom>
      </dgm:spPr>
      <dgm:t>
        <a:bodyPr/>
        <a:lstStyle/>
        <a:p>
          <a:endParaRPr lang="es-CO"/>
        </a:p>
      </dgm:t>
    </dgm:pt>
    <dgm:pt modelId="{8879E609-5D83-4A3D-AC8A-616718C54709}" type="pres">
      <dgm:prSet presAssocID="{E963D0D9-CF55-4D2C-A5FC-24E5463216C9}" presName="tile1text" presStyleLbl="node1" presStyleIdx="0" presStyleCnt="4">
        <dgm:presLayoutVars>
          <dgm:chMax val="0"/>
          <dgm:chPref val="0"/>
          <dgm:bulletEnabled val="1"/>
        </dgm:presLayoutVars>
      </dgm:prSet>
      <dgm:spPr/>
      <dgm:t>
        <a:bodyPr/>
        <a:lstStyle/>
        <a:p>
          <a:endParaRPr lang="es-CO"/>
        </a:p>
      </dgm:t>
    </dgm:pt>
    <dgm:pt modelId="{5732EA0B-241D-4E03-B566-1071C49FD8BD}" type="pres">
      <dgm:prSet presAssocID="{E963D0D9-CF55-4D2C-A5FC-24E5463216C9}" presName="tile2" presStyleLbl="node1" presStyleIdx="1" presStyleCnt="4" custLinFactNeighborX="1944"/>
      <dgm:spPr>
        <a:prstGeom prst="round1Rect">
          <a:avLst/>
        </a:prstGeom>
      </dgm:spPr>
      <dgm:t>
        <a:bodyPr/>
        <a:lstStyle/>
        <a:p>
          <a:endParaRPr lang="es-CO"/>
        </a:p>
      </dgm:t>
    </dgm:pt>
    <dgm:pt modelId="{502D51F4-5E2C-4444-9531-D61BBA882C82}" type="pres">
      <dgm:prSet presAssocID="{E963D0D9-CF55-4D2C-A5FC-24E5463216C9}" presName="tile2text" presStyleLbl="node1" presStyleIdx="1" presStyleCnt="4">
        <dgm:presLayoutVars>
          <dgm:chMax val="0"/>
          <dgm:chPref val="0"/>
          <dgm:bulletEnabled val="1"/>
        </dgm:presLayoutVars>
      </dgm:prSet>
      <dgm:spPr/>
      <dgm:t>
        <a:bodyPr/>
        <a:lstStyle/>
        <a:p>
          <a:endParaRPr lang="es-CO"/>
        </a:p>
      </dgm:t>
    </dgm:pt>
    <dgm:pt modelId="{3200105E-A872-425E-A9F9-B7CCB5BD8A40}" type="pres">
      <dgm:prSet presAssocID="{E963D0D9-CF55-4D2C-A5FC-24E5463216C9}" presName="tile3" presStyleLbl="node1" presStyleIdx="2" presStyleCnt="4" custScaleY="135630" custLinFactNeighborY="543"/>
      <dgm:spPr>
        <a:prstGeom prst="round1Rect">
          <a:avLst/>
        </a:prstGeom>
      </dgm:spPr>
      <dgm:t>
        <a:bodyPr/>
        <a:lstStyle/>
        <a:p>
          <a:endParaRPr lang="es-CO"/>
        </a:p>
      </dgm:t>
    </dgm:pt>
    <dgm:pt modelId="{81AA3861-BF17-41B7-AC7F-E1964B4F1220}" type="pres">
      <dgm:prSet presAssocID="{E963D0D9-CF55-4D2C-A5FC-24E5463216C9}" presName="tile3text" presStyleLbl="node1" presStyleIdx="2" presStyleCnt="4">
        <dgm:presLayoutVars>
          <dgm:chMax val="0"/>
          <dgm:chPref val="0"/>
          <dgm:bulletEnabled val="1"/>
        </dgm:presLayoutVars>
      </dgm:prSet>
      <dgm:spPr/>
      <dgm:t>
        <a:bodyPr/>
        <a:lstStyle/>
        <a:p>
          <a:endParaRPr lang="es-CO"/>
        </a:p>
      </dgm:t>
    </dgm:pt>
    <dgm:pt modelId="{0854E80F-0710-4E9C-9A14-7D82C2428C12}" type="pres">
      <dgm:prSet presAssocID="{E963D0D9-CF55-4D2C-A5FC-24E5463216C9}" presName="tile4" presStyleLbl="node1" presStyleIdx="3" presStyleCnt="4" custScaleY="136595" custLinFactNeighborX="-837" custLinFactNeighborY="31"/>
      <dgm:spPr>
        <a:prstGeom prst="round1Rect">
          <a:avLst/>
        </a:prstGeom>
      </dgm:spPr>
      <dgm:t>
        <a:bodyPr/>
        <a:lstStyle/>
        <a:p>
          <a:endParaRPr lang="es-CO"/>
        </a:p>
      </dgm:t>
    </dgm:pt>
    <dgm:pt modelId="{F1A76CFD-2437-4C6A-8A5B-67F07DA9452D}" type="pres">
      <dgm:prSet presAssocID="{E963D0D9-CF55-4D2C-A5FC-24E5463216C9}" presName="tile4text" presStyleLbl="node1" presStyleIdx="3" presStyleCnt="4">
        <dgm:presLayoutVars>
          <dgm:chMax val="0"/>
          <dgm:chPref val="0"/>
          <dgm:bulletEnabled val="1"/>
        </dgm:presLayoutVars>
      </dgm:prSet>
      <dgm:spPr/>
      <dgm:t>
        <a:bodyPr/>
        <a:lstStyle/>
        <a:p>
          <a:endParaRPr lang="es-CO"/>
        </a:p>
      </dgm:t>
    </dgm:pt>
    <dgm:pt modelId="{5CE717A5-89C6-42C7-B960-6AF7F1E5FC50}" type="pres">
      <dgm:prSet presAssocID="{E963D0D9-CF55-4D2C-A5FC-24E5463216C9}" presName="centerTile" presStyleLbl="fgShp" presStyleIdx="0" presStyleCnt="1" custLinFactNeighborX="-4282" custLinFactNeighborY="-22214">
        <dgm:presLayoutVars>
          <dgm:chMax val="0"/>
          <dgm:chPref val="0"/>
        </dgm:presLayoutVars>
      </dgm:prSet>
      <dgm:spPr>
        <a:prstGeom prst="roundRect">
          <a:avLst/>
        </a:prstGeom>
      </dgm:spPr>
      <dgm:t>
        <a:bodyPr/>
        <a:lstStyle/>
        <a:p>
          <a:endParaRPr lang="es-CO"/>
        </a:p>
      </dgm:t>
    </dgm:pt>
  </dgm:ptLst>
  <dgm:cxnLst>
    <dgm:cxn modelId="{B4F03CB0-1144-48C7-AEEE-64A889A2CEBA}" type="presOf" srcId="{0CFF8535-A873-4B95-A394-E16C53B0AC31}" destId="{502D51F4-5E2C-4444-9531-D61BBA882C82}" srcOrd="1" destOrd="0" presId="urn:microsoft.com/office/officeart/2005/8/layout/matrix1"/>
    <dgm:cxn modelId="{C63C2010-7336-417D-8395-0649C333CF98}" type="presOf" srcId="{7FD3B52B-0C3E-47C5-8A6F-5C97F6954625}" destId="{0854E80F-0710-4E9C-9A14-7D82C2428C12}" srcOrd="0" destOrd="0" presId="urn:microsoft.com/office/officeart/2005/8/layout/matrix1"/>
    <dgm:cxn modelId="{A3F8DC1B-7A93-417C-8C34-887CBB867DF7}" type="presOf" srcId="{BECE2D54-08D0-405F-BE0D-F650AADAF0E0}" destId="{8879E609-5D83-4A3D-AC8A-616718C54709}" srcOrd="1" destOrd="0" presId="urn:microsoft.com/office/officeart/2005/8/layout/matrix1"/>
    <dgm:cxn modelId="{4094A39E-99F0-4736-9C59-731613A5E71F}" type="presOf" srcId="{0CFF8535-A873-4B95-A394-E16C53B0AC31}" destId="{5732EA0B-241D-4E03-B566-1071C49FD8BD}" srcOrd="0" destOrd="0" presId="urn:microsoft.com/office/officeart/2005/8/layout/matrix1"/>
    <dgm:cxn modelId="{3668ECDB-EF0E-403C-891C-2DF43F191B2A}" type="presOf" srcId="{D3002383-6949-4268-9255-FBA886160317}" destId="{3200105E-A872-425E-A9F9-B7CCB5BD8A40}" srcOrd="0" destOrd="0" presId="urn:microsoft.com/office/officeart/2005/8/layout/matrix1"/>
    <dgm:cxn modelId="{7E65D1BD-EE75-486C-9088-BBBC49266097}" srcId="{EB89F9BE-3668-48F0-A48C-D132B41A92F4}" destId="{BECE2D54-08D0-405F-BE0D-F650AADAF0E0}" srcOrd="0" destOrd="0" parTransId="{CB0A66E9-A0DF-4E13-9041-A3120F1063EC}" sibTransId="{F36A8EBE-37B7-4BAA-9A28-61D716561094}"/>
    <dgm:cxn modelId="{C6F53D8F-10A8-432D-BBBC-6B05B8502860}" type="presOf" srcId="{EB89F9BE-3668-48F0-A48C-D132B41A92F4}" destId="{5CE717A5-89C6-42C7-B960-6AF7F1E5FC50}" srcOrd="0" destOrd="0" presId="urn:microsoft.com/office/officeart/2005/8/layout/matrix1"/>
    <dgm:cxn modelId="{7E67C5BC-FAEE-4190-B81A-D7E190B3E902}" srcId="{EB89F9BE-3668-48F0-A48C-D132B41A92F4}" destId="{D3002383-6949-4268-9255-FBA886160317}" srcOrd="2" destOrd="0" parTransId="{619730C4-82C5-4780-AB87-1B650CEBE827}" sibTransId="{1956D5C6-4B2D-4514-99A6-2F2F7C0C635A}"/>
    <dgm:cxn modelId="{F67827BE-4162-41CB-BB51-413FE93CAFD0}" type="presOf" srcId="{D3002383-6949-4268-9255-FBA886160317}" destId="{81AA3861-BF17-41B7-AC7F-E1964B4F1220}" srcOrd="1" destOrd="0" presId="urn:microsoft.com/office/officeart/2005/8/layout/matrix1"/>
    <dgm:cxn modelId="{A468F396-982E-4784-8840-E4049AF4A8CD}" srcId="{EB89F9BE-3668-48F0-A48C-D132B41A92F4}" destId="{7FD3B52B-0C3E-47C5-8A6F-5C97F6954625}" srcOrd="3" destOrd="0" parTransId="{F5AFD739-C364-4104-BB4E-F324342464C5}" sibTransId="{90D8598D-452F-46B2-BEE0-B9FABB608A94}"/>
    <dgm:cxn modelId="{CE127912-E0B4-4D8C-B462-5E0BC54D2715}" srcId="{E963D0D9-CF55-4D2C-A5FC-24E5463216C9}" destId="{EB89F9BE-3668-48F0-A48C-D132B41A92F4}" srcOrd="0" destOrd="0" parTransId="{B6553E5C-1F8B-48FF-B61D-3735864BDA38}" sibTransId="{4E05F990-D4C2-40B5-871D-F1F7C2A08BCB}"/>
    <dgm:cxn modelId="{537D35BA-958D-48F7-A212-7D875FE5B9CE}" type="presOf" srcId="{E963D0D9-CF55-4D2C-A5FC-24E5463216C9}" destId="{FFFC95EC-60A4-4DE7-98CD-F3EE086E9E18}" srcOrd="0" destOrd="0" presId="urn:microsoft.com/office/officeart/2005/8/layout/matrix1"/>
    <dgm:cxn modelId="{45CF6633-5685-4289-97CD-C94EEA39EED9}" type="presOf" srcId="{7FD3B52B-0C3E-47C5-8A6F-5C97F6954625}" destId="{F1A76CFD-2437-4C6A-8A5B-67F07DA9452D}" srcOrd="1" destOrd="0" presId="urn:microsoft.com/office/officeart/2005/8/layout/matrix1"/>
    <dgm:cxn modelId="{852D07FA-F8F9-4A69-BEF0-A934C89EF429}" srcId="{EB89F9BE-3668-48F0-A48C-D132B41A92F4}" destId="{0CFF8535-A873-4B95-A394-E16C53B0AC31}" srcOrd="1" destOrd="0" parTransId="{674E2B48-AA91-45FA-8E58-DE6D6DBBC26B}" sibTransId="{CF8D735B-D7DA-4CDD-B081-68748CF523A2}"/>
    <dgm:cxn modelId="{1716DF1D-9C9B-4EF1-889D-A3D5209E921E}" type="presOf" srcId="{BECE2D54-08D0-405F-BE0D-F650AADAF0E0}" destId="{6A720F9D-8EA4-4725-B032-43CED32D3156}" srcOrd="0" destOrd="0" presId="urn:microsoft.com/office/officeart/2005/8/layout/matrix1"/>
    <dgm:cxn modelId="{1E8E7E83-DAB6-4F5B-9F94-79E4FB374785}" type="presParOf" srcId="{FFFC95EC-60A4-4DE7-98CD-F3EE086E9E18}" destId="{BCD5C6CE-5831-42FB-9144-62935EB45C55}" srcOrd="0" destOrd="0" presId="urn:microsoft.com/office/officeart/2005/8/layout/matrix1"/>
    <dgm:cxn modelId="{91B5DC24-9169-4F50-A47D-A9603A4D7549}" type="presParOf" srcId="{BCD5C6CE-5831-42FB-9144-62935EB45C55}" destId="{6A720F9D-8EA4-4725-B032-43CED32D3156}" srcOrd="0" destOrd="0" presId="urn:microsoft.com/office/officeart/2005/8/layout/matrix1"/>
    <dgm:cxn modelId="{0A56E7DD-82CD-4683-B561-5694C8EED89E}" type="presParOf" srcId="{BCD5C6CE-5831-42FB-9144-62935EB45C55}" destId="{8879E609-5D83-4A3D-AC8A-616718C54709}" srcOrd="1" destOrd="0" presId="urn:microsoft.com/office/officeart/2005/8/layout/matrix1"/>
    <dgm:cxn modelId="{370E10E7-6089-4423-95EF-220E732F2F69}" type="presParOf" srcId="{BCD5C6CE-5831-42FB-9144-62935EB45C55}" destId="{5732EA0B-241D-4E03-B566-1071C49FD8BD}" srcOrd="2" destOrd="0" presId="urn:microsoft.com/office/officeart/2005/8/layout/matrix1"/>
    <dgm:cxn modelId="{7952044E-C243-4A6D-8B69-30E8CDEFEED1}" type="presParOf" srcId="{BCD5C6CE-5831-42FB-9144-62935EB45C55}" destId="{502D51F4-5E2C-4444-9531-D61BBA882C82}" srcOrd="3" destOrd="0" presId="urn:microsoft.com/office/officeart/2005/8/layout/matrix1"/>
    <dgm:cxn modelId="{C3FB9843-3E94-4B96-A7CA-79EB1F2B524B}" type="presParOf" srcId="{BCD5C6CE-5831-42FB-9144-62935EB45C55}" destId="{3200105E-A872-425E-A9F9-B7CCB5BD8A40}" srcOrd="4" destOrd="0" presId="urn:microsoft.com/office/officeart/2005/8/layout/matrix1"/>
    <dgm:cxn modelId="{8171BCD1-C781-479C-93D0-9ADFD681FD5B}" type="presParOf" srcId="{BCD5C6CE-5831-42FB-9144-62935EB45C55}" destId="{81AA3861-BF17-41B7-AC7F-E1964B4F1220}" srcOrd="5" destOrd="0" presId="urn:microsoft.com/office/officeart/2005/8/layout/matrix1"/>
    <dgm:cxn modelId="{91E595D5-0DCD-4A5D-B03F-ECA76F027CE4}" type="presParOf" srcId="{BCD5C6CE-5831-42FB-9144-62935EB45C55}" destId="{0854E80F-0710-4E9C-9A14-7D82C2428C12}" srcOrd="6" destOrd="0" presId="urn:microsoft.com/office/officeart/2005/8/layout/matrix1"/>
    <dgm:cxn modelId="{917246A4-FF4F-4E4C-9227-9051B0FCDAA4}" type="presParOf" srcId="{BCD5C6CE-5831-42FB-9144-62935EB45C55}" destId="{F1A76CFD-2437-4C6A-8A5B-67F07DA9452D}" srcOrd="7" destOrd="0" presId="urn:microsoft.com/office/officeart/2005/8/layout/matrix1"/>
    <dgm:cxn modelId="{C649F706-9B45-46D9-AC8B-62DFEF7057D7}" type="presParOf" srcId="{FFFC95EC-60A4-4DE7-98CD-F3EE086E9E18}" destId="{5CE717A5-89C6-42C7-B960-6AF7F1E5FC50}" srcOrd="1" destOrd="0" presId="urn:microsoft.com/office/officeart/2005/8/layout/matrix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720F9D-8EA4-4725-B032-43CED32D3156}">
      <dsp:nvSpPr>
        <dsp:cNvPr id="0" name=""/>
        <dsp:cNvSpPr/>
      </dsp:nvSpPr>
      <dsp:spPr>
        <a:xfrm rot="16200000">
          <a:off x="105747" y="-325966"/>
          <a:ext cx="2630606" cy="2801202"/>
        </a:xfrm>
        <a:prstGeom prst="round1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CO" sz="1400" kern="1200" dirty="0">
              <a:solidFill>
                <a:sysClr val="windowText" lastClr="000000"/>
              </a:solidFill>
              <a:latin typeface="+mn-lt"/>
              <a:ea typeface="+mn-ea"/>
              <a:cs typeface="+mn-cs"/>
            </a:rPr>
            <a:t>Elementos y bienes de infraestructura que requieran estos centros de educación superior. (</a:t>
          </a:r>
          <a:r>
            <a:rPr lang="es-CO" sz="1400" kern="1200" dirty="0" smtClean="0">
              <a:solidFill>
                <a:sysClr val="windowText" lastClr="000000"/>
              </a:solidFill>
              <a:latin typeface="+mn-lt"/>
              <a:ea typeface="+mn-ea"/>
              <a:cs typeface="+mn-cs"/>
            </a:rPr>
            <a:t>Infraestructura </a:t>
          </a:r>
        </a:p>
        <a:p>
          <a:pPr lvl="0" algn="ctr" defTabSz="622300">
            <a:lnSpc>
              <a:spcPct val="90000"/>
            </a:lnSpc>
            <a:spcBef>
              <a:spcPct val="0"/>
            </a:spcBef>
            <a:spcAft>
              <a:spcPct val="35000"/>
            </a:spcAft>
          </a:pPr>
          <a:r>
            <a:rPr lang="es-CO" sz="1400" kern="1200" dirty="0" smtClean="0">
              <a:solidFill>
                <a:sysClr val="windowText" lastClr="000000"/>
              </a:solidFill>
              <a:latin typeface="+mn-lt"/>
              <a:ea typeface="+mn-ea"/>
              <a:cs typeface="+mn-cs"/>
            </a:rPr>
            <a:t>Ampliación y Adecuación de sedes)</a:t>
          </a:r>
        </a:p>
        <a:p>
          <a:pPr lvl="0" algn="ctr" defTabSz="622300">
            <a:lnSpc>
              <a:spcPct val="90000"/>
            </a:lnSpc>
            <a:spcBef>
              <a:spcPct val="0"/>
            </a:spcBef>
            <a:spcAft>
              <a:spcPct val="35000"/>
            </a:spcAft>
          </a:pPr>
          <a:r>
            <a:rPr lang="es-CO" sz="1800" b="1" kern="1200" dirty="0" smtClean="0">
              <a:solidFill>
                <a:sysClr val="windowText" lastClr="000000"/>
              </a:solidFill>
              <a:latin typeface="+mn-lt"/>
              <a:ea typeface="+mn-ea"/>
              <a:cs typeface="+mn-cs"/>
            </a:rPr>
            <a:t>960,000 </a:t>
          </a:r>
        </a:p>
        <a:p>
          <a:pPr lvl="0" algn="ctr" defTabSz="622300">
            <a:lnSpc>
              <a:spcPct val="90000"/>
            </a:lnSpc>
            <a:spcBef>
              <a:spcPct val="0"/>
            </a:spcBef>
            <a:spcAft>
              <a:spcPct val="35000"/>
            </a:spcAft>
          </a:pPr>
          <a:r>
            <a:rPr lang="es-CO" sz="1800" b="1" kern="1200" dirty="0" smtClean="0">
              <a:solidFill>
                <a:sysClr val="windowText" lastClr="000000"/>
              </a:solidFill>
              <a:latin typeface="+mn-lt"/>
              <a:ea typeface="+mn-ea"/>
              <a:cs typeface="+mn-cs"/>
            </a:rPr>
            <a:t>13%</a:t>
          </a:r>
          <a:endParaRPr lang="es-CO" sz="1800" b="1" kern="1200" dirty="0">
            <a:solidFill>
              <a:sysClr val="windowText" lastClr="000000"/>
            </a:solidFill>
            <a:latin typeface="+mn-lt"/>
            <a:ea typeface="+mn-ea"/>
            <a:cs typeface="+mn-cs"/>
          </a:endParaRPr>
        </a:p>
      </dsp:txBody>
      <dsp:txXfrm rot="5400000">
        <a:off x="20449" y="-240667"/>
        <a:ext cx="2801202" cy="1972954"/>
      </dsp:txXfrm>
    </dsp:sp>
    <dsp:sp modelId="{5732EA0B-241D-4E03-B566-1071C49FD8BD}">
      <dsp:nvSpPr>
        <dsp:cNvPr id="0" name=""/>
        <dsp:cNvSpPr/>
      </dsp:nvSpPr>
      <dsp:spPr>
        <a:xfrm>
          <a:off x="2801202" y="-240667"/>
          <a:ext cx="2801202" cy="2630606"/>
        </a:xfrm>
        <a:prstGeom prst="round1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endParaRPr lang="es-CO" sz="1200" i="0" kern="1200" dirty="0" smtClean="0">
            <a:solidFill>
              <a:sysClr val="windowText" lastClr="000000">
                <a:hueOff val="0"/>
                <a:satOff val="0"/>
                <a:lumOff val="0"/>
                <a:alphaOff val="0"/>
              </a:sysClr>
            </a:solidFill>
            <a:latin typeface="Times New Roman"/>
            <a:ea typeface="+mn-ea"/>
            <a:cs typeface="Times New Roman"/>
          </a:endParaRPr>
        </a:p>
        <a:p>
          <a:pPr lvl="0" algn="ctr" defTabSz="533400">
            <a:lnSpc>
              <a:spcPct val="90000"/>
            </a:lnSpc>
            <a:spcBef>
              <a:spcPct val="0"/>
            </a:spcBef>
            <a:spcAft>
              <a:spcPct val="35000"/>
            </a:spcAft>
          </a:pPr>
          <a:r>
            <a:rPr lang="es-CO" sz="1400" kern="1200" dirty="0" smtClean="0">
              <a:solidFill>
                <a:sysClr val="windowText" lastClr="000000"/>
              </a:solidFill>
              <a:latin typeface="+mn-lt"/>
              <a:ea typeface="+mn-ea"/>
              <a:cs typeface="+mn-cs"/>
            </a:rPr>
            <a:t>Dotación Tecnológica </a:t>
          </a:r>
        </a:p>
        <a:p>
          <a:pPr lvl="0" algn="ctr" defTabSz="533400">
            <a:lnSpc>
              <a:spcPct val="90000"/>
            </a:lnSpc>
            <a:spcBef>
              <a:spcPct val="0"/>
            </a:spcBef>
            <a:spcAft>
              <a:spcPct val="35000"/>
            </a:spcAft>
          </a:pPr>
          <a:r>
            <a:rPr lang="es-CO" sz="1400" kern="1200" dirty="0" smtClean="0">
              <a:solidFill>
                <a:sysClr val="windowText" lastClr="000000"/>
              </a:solidFill>
              <a:latin typeface="+mn-lt"/>
              <a:ea typeface="+mn-ea"/>
              <a:cs typeface="+mn-cs"/>
            </a:rPr>
            <a:t>Ampliación de la Infraestructura tecnológica </a:t>
          </a:r>
          <a:r>
            <a:rPr lang="es-ES_tradnl" sz="1400" kern="1200" dirty="0">
              <a:solidFill>
                <a:sysClr val="windowText" lastClr="000000"/>
              </a:solidFill>
              <a:latin typeface="+mn-lt"/>
              <a:ea typeface="+mn-ea"/>
              <a:cs typeface="+mn-cs"/>
            </a:rPr>
            <a:t>microelectrónica, informática, sistema de información, comunicaciones, robótica)</a:t>
          </a:r>
        </a:p>
        <a:p>
          <a:pPr lvl="0" algn="ctr" defTabSz="533400">
            <a:lnSpc>
              <a:spcPct val="90000"/>
            </a:lnSpc>
            <a:spcBef>
              <a:spcPct val="0"/>
            </a:spcBef>
            <a:spcAft>
              <a:spcPct val="35000"/>
            </a:spcAft>
          </a:pPr>
          <a:r>
            <a:rPr lang="es-CO" sz="1800" b="1" kern="1200" dirty="0" smtClean="0">
              <a:solidFill>
                <a:sysClr val="windowText" lastClr="000000"/>
              </a:solidFill>
              <a:latin typeface="+mn-lt"/>
              <a:ea typeface="+mn-ea"/>
              <a:cs typeface="+mn-cs"/>
            </a:rPr>
            <a:t>700,000 </a:t>
          </a:r>
        </a:p>
        <a:p>
          <a:pPr lvl="0" algn="ctr" defTabSz="533400">
            <a:lnSpc>
              <a:spcPct val="90000"/>
            </a:lnSpc>
            <a:spcBef>
              <a:spcPct val="0"/>
            </a:spcBef>
            <a:spcAft>
              <a:spcPct val="35000"/>
            </a:spcAft>
          </a:pPr>
          <a:r>
            <a:rPr lang="es-CO" sz="1800" b="1" kern="1200" dirty="0" smtClean="0">
              <a:solidFill>
                <a:sysClr val="windowText" lastClr="000000"/>
              </a:solidFill>
              <a:latin typeface="+mn-lt"/>
              <a:ea typeface="+mn-ea"/>
              <a:cs typeface="+mn-cs"/>
            </a:rPr>
            <a:t>10</a:t>
          </a:r>
          <a:r>
            <a:rPr lang="es-CO" sz="1800" b="1" kern="1200" dirty="0" smtClean="0">
              <a:solidFill>
                <a:srgbClr val="1D4779"/>
              </a:solidFill>
              <a:latin typeface="+mn-lt"/>
              <a:ea typeface="+mn-ea"/>
              <a:cs typeface="+mn-cs"/>
            </a:rPr>
            <a:t>%</a:t>
          </a:r>
          <a:endParaRPr lang="es-CO" sz="1800" b="1" kern="1200" dirty="0">
            <a:solidFill>
              <a:srgbClr val="1D4779"/>
            </a:solidFill>
            <a:latin typeface="+mn-lt"/>
            <a:ea typeface="+mn-ea"/>
            <a:cs typeface="+mn-cs"/>
          </a:endParaRPr>
        </a:p>
      </dsp:txBody>
      <dsp:txXfrm>
        <a:off x="2801202" y="-240667"/>
        <a:ext cx="2801202" cy="1972954"/>
      </dsp:txXfrm>
    </dsp:sp>
    <dsp:sp modelId="{3200105E-A872-425E-A9F9-B7CCB5BD8A40}">
      <dsp:nvSpPr>
        <dsp:cNvPr id="0" name=""/>
        <dsp:cNvSpPr/>
      </dsp:nvSpPr>
      <dsp:spPr>
        <a:xfrm rot="10800000">
          <a:off x="0" y="1921295"/>
          <a:ext cx="2801202" cy="3567890"/>
        </a:xfrm>
        <a:prstGeom prst="round1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CO" sz="1400" kern="1200" dirty="0">
              <a:solidFill>
                <a:sysClr val="windowText" lastClr="000000"/>
              </a:solidFill>
              <a:latin typeface="+mn-lt"/>
              <a:ea typeface="+mn-ea"/>
              <a:cs typeface="+mn-cs"/>
            </a:rPr>
            <a:t>Dotación de bibliotecas, laboratorios, educación a distancia y demás elementos y bienes de infraestructura que requieran estos centros de educación superior </a:t>
          </a:r>
          <a:r>
            <a:rPr lang="es-CO" sz="1400" kern="1200" dirty="0" smtClean="0">
              <a:solidFill>
                <a:sysClr val="windowText" lastClr="000000"/>
              </a:solidFill>
              <a:latin typeface="+mn-lt"/>
              <a:ea typeface="+mn-ea"/>
              <a:cs typeface="+mn-cs"/>
            </a:rPr>
            <a:t>Desarrollo Académico. ( Ampliación de Biblioteca, Laboratorios, Ampliación de Cobertura en distancia, Articulación)</a:t>
          </a:r>
        </a:p>
        <a:p>
          <a:pPr lvl="0" algn="ctr" defTabSz="622300">
            <a:lnSpc>
              <a:spcPct val="90000"/>
            </a:lnSpc>
            <a:spcBef>
              <a:spcPct val="0"/>
            </a:spcBef>
            <a:spcAft>
              <a:spcPct val="35000"/>
            </a:spcAft>
          </a:pPr>
          <a:r>
            <a:rPr lang="es-CO" sz="1400" b="1" kern="1200" dirty="0" smtClean="0">
              <a:solidFill>
                <a:sysClr val="windowText" lastClr="000000"/>
              </a:solidFill>
              <a:latin typeface="+mn-lt"/>
              <a:ea typeface="+mn-ea"/>
              <a:cs typeface="+mn-cs"/>
            </a:rPr>
            <a:t>3,220,000</a:t>
          </a:r>
        </a:p>
        <a:p>
          <a:pPr lvl="0" algn="ctr" defTabSz="622300">
            <a:lnSpc>
              <a:spcPct val="90000"/>
            </a:lnSpc>
            <a:spcBef>
              <a:spcPct val="0"/>
            </a:spcBef>
            <a:spcAft>
              <a:spcPct val="35000"/>
            </a:spcAft>
          </a:pPr>
          <a:r>
            <a:rPr lang="es-CO" sz="1400" b="1" kern="1200" dirty="0" smtClean="0">
              <a:solidFill>
                <a:sysClr val="windowText" lastClr="000000"/>
              </a:solidFill>
              <a:latin typeface="+mn-lt"/>
              <a:ea typeface="+mn-ea"/>
              <a:cs typeface="+mn-cs"/>
            </a:rPr>
            <a:t>44%</a:t>
          </a:r>
          <a:endParaRPr lang="es-CO" sz="1400" kern="1200" dirty="0" smtClean="0">
            <a:solidFill>
              <a:sysClr val="windowText" lastClr="000000"/>
            </a:solidFill>
            <a:latin typeface="+mn-lt"/>
            <a:ea typeface="+mn-ea"/>
            <a:cs typeface="+mn-cs"/>
          </a:endParaRPr>
        </a:p>
      </dsp:txBody>
      <dsp:txXfrm rot="10800000">
        <a:off x="0" y="2813268"/>
        <a:ext cx="2801202" cy="2675918"/>
      </dsp:txXfrm>
    </dsp:sp>
    <dsp:sp modelId="{0854E80F-0710-4E9C-9A14-7D82C2428C12}">
      <dsp:nvSpPr>
        <dsp:cNvPr id="0" name=""/>
        <dsp:cNvSpPr/>
      </dsp:nvSpPr>
      <dsp:spPr>
        <a:xfrm rot="5400000">
          <a:off x="2381720" y="2304639"/>
          <a:ext cx="3593276" cy="2801202"/>
        </a:xfrm>
        <a:prstGeom prst="round1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CO" sz="1400" kern="1200" dirty="0">
              <a:solidFill>
                <a:sysClr val="windowText" lastClr="000000"/>
              </a:solidFill>
              <a:latin typeface="+mn-lt"/>
              <a:ea typeface="+mn-ea"/>
              <a:cs typeface="+mn-cs"/>
            </a:rPr>
            <a:t>Nuevas tecnologías en las áreas de: Biotecnología, nuevos materiales, microelectrónica, informática, sistema de información, comunicaciones, robótica. (</a:t>
          </a:r>
          <a:r>
            <a:rPr lang="es-CO" sz="1400" kern="1200" dirty="0" smtClean="0">
              <a:solidFill>
                <a:sysClr val="windowText" lastClr="000000"/>
              </a:solidFill>
              <a:latin typeface="+mn-lt"/>
              <a:ea typeface="+mn-ea"/>
              <a:cs typeface="+mn-cs"/>
            </a:rPr>
            <a:t>Desarrollo de la Investigación </a:t>
          </a:r>
        </a:p>
        <a:p>
          <a:pPr lvl="0" algn="ctr" defTabSz="622300">
            <a:lnSpc>
              <a:spcPct val="90000"/>
            </a:lnSpc>
            <a:spcBef>
              <a:spcPct val="0"/>
            </a:spcBef>
            <a:spcAft>
              <a:spcPct val="35000"/>
            </a:spcAft>
          </a:pPr>
          <a:r>
            <a:rPr lang="es-CO" sz="1400" kern="1200" dirty="0" smtClean="0">
              <a:solidFill>
                <a:sysClr val="windowText" lastClr="000000"/>
              </a:solidFill>
              <a:latin typeface="+mn-lt"/>
              <a:ea typeface="+mn-ea"/>
              <a:cs typeface="+mn-cs"/>
            </a:rPr>
            <a:t>Apoyo y Fomento a los proyectos de Investigación) </a:t>
          </a:r>
        </a:p>
        <a:p>
          <a:pPr lvl="0" algn="ctr" defTabSz="622300">
            <a:lnSpc>
              <a:spcPct val="90000"/>
            </a:lnSpc>
            <a:spcBef>
              <a:spcPct val="0"/>
            </a:spcBef>
            <a:spcAft>
              <a:spcPct val="35000"/>
            </a:spcAft>
          </a:pPr>
          <a:r>
            <a:rPr lang="es-CO" sz="1400" b="1" kern="1200" dirty="0" smtClean="0">
              <a:solidFill>
                <a:sysClr val="windowText" lastClr="000000"/>
              </a:solidFill>
              <a:latin typeface="+mn-lt"/>
              <a:ea typeface="+mn-ea"/>
              <a:cs typeface="+mn-cs"/>
            </a:rPr>
            <a:t>2,413,000</a:t>
          </a:r>
        </a:p>
        <a:p>
          <a:pPr lvl="0" algn="ctr" defTabSz="622300">
            <a:lnSpc>
              <a:spcPct val="90000"/>
            </a:lnSpc>
            <a:spcBef>
              <a:spcPct val="0"/>
            </a:spcBef>
            <a:spcAft>
              <a:spcPct val="35000"/>
            </a:spcAft>
          </a:pPr>
          <a:r>
            <a:rPr lang="es-CO" sz="1400" b="1" kern="1200" dirty="0" smtClean="0">
              <a:solidFill>
                <a:sysClr val="windowText" lastClr="000000"/>
              </a:solidFill>
              <a:latin typeface="+mn-lt"/>
              <a:ea typeface="+mn-ea"/>
              <a:cs typeface="+mn-cs"/>
            </a:rPr>
            <a:t>33%</a:t>
          </a:r>
          <a:endParaRPr lang="es-CO" sz="1400" b="1" kern="1200" dirty="0">
            <a:solidFill>
              <a:sysClr val="windowText" lastClr="000000"/>
            </a:solidFill>
            <a:latin typeface="+mn-lt"/>
            <a:ea typeface="+mn-ea"/>
            <a:cs typeface="+mn-cs"/>
          </a:endParaRPr>
        </a:p>
      </dsp:txBody>
      <dsp:txXfrm rot="-5400000">
        <a:off x="2777757" y="2806921"/>
        <a:ext cx="2801202" cy="2694957"/>
      </dsp:txXfrm>
    </dsp:sp>
    <dsp:sp modelId="{5CE717A5-89C6-42C7-B960-6AF7F1E5FC50}">
      <dsp:nvSpPr>
        <dsp:cNvPr id="0" name=""/>
        <dsp:cNvSpPr/>
      </dsp:nvSpPr>
      <dsp:spPr>
        <a:xfrm>
          <a:off x="1888873" y="1680773"/>
          <a:ext cx="1680721" cy="1315303"/>
        </a:xfrm>
        <a:prstGeom prst="roundRect">
          <a:avLst/>
        </a:prstGeom>
        <a:gradFill rotWithShape="0">
          <a:gsLst>
            <a:gs pos="0">
              <a:sysClr val="windowText" lastClr="000000">
                <a:tint val="60000"/>
                <a:hueOff val="0"/>
                <a:satOff val="0"/>
                <a:lumOff val="0"/>
                <a:alphaOff val="0"/>
                <a:tint val="50000"/>
                <a:satMod val="300000"/>
              </a:sysClr>
            </a:gs>
            <a:gs pos="35000">
              <a:sysClr val="windowText" lastClr="000000">
                <a:tint val="60000"/>
                <a:hueOff val="0"/>
                <a:satOff val="0"/>
                <a:lumOff val="0"/>
                <a:alphaOff val="0"/>
                <a:tint val="37000"/>
                <a:satMod val="300000"/>
              </a:sysClr>
            </a:gs>
            <a:gs pos="100000">
              <a:sysClr val="windowText" lastClr="000000">
                <a:tint val="60000"/>
                <a:hueOff val="0"/>
                <a:satOff val="0"/>
                <a:lumOff val="0"/>
                <a:alphaOff val="0"/>
                <a:tint val="15000"/>
                <a:satMod val="350000"/>
              </a:sysClr>
            </a:gs>
          </a:gsLst>
          <a:lin ang="16200000" scaled="1"/>
        </a:gradFill>
        <a:ln w="9525"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CO" sz="1400" kern="1200" dirty="0" smtClean="0">
              <a:solidFill>
                <a:sysClr val="windowText" lastClr="000000"/>
              </a:solidFill>
              <a:latin typeface="+mn-lt"/>
              <a:ea typeface="+mn-ea"/>
              <a:cs typeface="+mn-cs"/>
            </a:rPr>
            <a:t>Usos de la Estampilla</a:t>
          </a:r>
        </a:p>
        <a:p>
          <a:pPr lvl="0" algn="ctr" defTabSz="622300">
            <a:lnSpc>
              <a:spcPct val="90000"/>
            </a:lnSpc>
            <a:spcBef>
              <a:spcPct val="0"/>
            </a:spcBef>
            <a:spcAft>
              <a:spcPct val="35000"/>
            </a:spcAft>
          </a:pPr>
          <a:r>
            <a:rPr lang="es-CO" sz="1400" kern="1200" dirty="0" smtClean="0">
              <a:solidFill>
                <a:sysClr val="windowText" lastClr="000000"/>
              </a:solidFill>
              <a:latin typeface="+mn-lt"/>
              <a:ea typeface="+mn-ea"/>
              <a:cs typeface="+mn-cs"/>
            </a:rPr>
            <a:t>2014-2016</a:t>
          </a:r>
          <a:endParaRPr lang="es-CO" sz="1400" kern="1200" dirty="0">
            <a:solidFill>
              <a:sysClr val="windowText" lastClr="000000"/>
            </a:solidFill>
            <a:latin typeface="+mn-lt"/>
            <a:ea typeface="+mn-ea"/>
            <a:cs typeface="+mn-cs"/>
          </a:endParaRPr>
        </a:p>
      </dsp:txBody>
      <dsp:txXfrm>
        <a:off x="1953081" y="1744981"/>
        <a:ext cx="1552305" cy="1186887"/>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A8EC9-4502-4F22-AB3F-2C9F4EC05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3424</Words>
  <Characters>18834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USR001</cp:lastModifiedBy>
  <cp:revision>2</cp:revision>
  <cp:lastPrinted>2016-08-17T20:40:00Z</cp:lastPrinted>
  <dcterms:created xsi:type="dcterms:W3CDTF">2016-08-23T18:41:00Z</dcterms:created>
  <dcterms:modified xsi:type="dcterms:W3CDTF">2016-08-23T18:41:00Z</dcterms:modified>
</cp:coreProperties>
</file>