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7434" w:rsidRPr="00DF198C" w:rsidRDefault="00287830" w:rsidP="00C757E5">
      <w:pPr>
        <w:spacing w:after="0" w:line="360" w:lineRule="auto"/>
        <w:jc w:val="center"/>
        <w:rPr>
          <w:rFonts w:ascii="Arial" w:hAnsi="Arial" w:cs="Arial"/>
          <w:b/>
          <w:sz w:val="24"/>
          <w:szCs w:val="24"/>
        </w:rPr>
      </w:pPr>
      <w:r w:rsidRPr="00DF198C">
        <w:rPr>
          <w:rFonts w:ascii="Arial" w:hAnsi="Arial" w:cs="Arial"/>
          <w:b/>
          <w:sz w:val="24"/>
          <w:szCs w:val="24"/>
        </w:rPr>
        <w:t xml:space="preserve">PROYECTO DE LEY N° </w:t>
      </w:r>
      <w:r w:rsidR="00EA4CDC" w:rsidRPr="00DF198C">
        <w:rPr>
          <w:rFonts w:ascii="Arial" w:hAnsi="Arial" w:cs="Arial"/>
          <w:b/>
          <w:sz w:val="24"/>
          <w:szCs w:val="24"/>
        </w:rPr>
        <w:t>___</w:t>
      </w:r>
      <w:r w:rsidR="00753D55" w:rsidRPr="00DF198C">
        <w:rPr>
          <w:rFonts w:ascii="Arial" w:hAnsi="Arial" w:cs="Arial"/>
          <w:b/>
          <w:sz w:val="24"/>
          <w:szCs w:val="24"/>
        </w:rPr>
        <w:t xml:space="preserve">___ </w:t>
      </w:r>
      <w:r w:rsidR="00EA4CDC" w:rsidRPr="00DF198C">
        <w:rPr>
          <w:rFonts w:ascii="Arial" w:hAnsi="Arial" w:cs="Arial"/>
          <w:b/>
          <w:sz w:val="24"/>
          <w:szCs w:val="24"/>
        </w:rPr>
        <w:t>DE 2018</w:t>
      </w:r>
      <w:r w:rsidR="00E17434" w:rsidRPr="00DF198C">
        <w:rPr>
          <w:rFonts w:ascii="Arial" w:hAnsi="Arial" w:cs="Arial"/>
          <w:b/>
          <w:sz w:val="24"/>
          <w:szCs w:val="24"/>
        </w:rPr>
        <w:t xml:space="preserve"> CÁMARA</w:t>
      </w:r>
    </w:p>
    <w:p w:rsidR="00EE305A" w:rsidRPr="00DF198C" w:rsidRDefault="00EE305A" w:rsidP="00C757E5">
      <w:pPr>
        <w:spacing w:after="0" w:line="360" w:lineRule="auto"/>
        <w:jc w:val="center"/>
        <w:rPr>
          <w:rFonts w:ascii="Arial" w:hAnsi="Arial" w:cs="Arial"/>
          <w:b/>
          <w:sz w:val="24"/>
          <w:szCs w:val="24"/>
        </w:rPr>
      </w:pPr>
    </w:p>
    <w:p w:rsidR="007079F0" w:rsidRPr="000A63F8" w:rsidRDefault="007079F0" w:rsidP="007079F0">
      <w:pPr>
        <w:spacing w:after="0" w:line="360" w:lineRule="auto"/>
        <w:jc w:val="center"/>
        <w:rPr>
          <w:rFonts w:ascii="Arial" w:hAnsi="Arial" w:cs="Arial"/>
          <w:b/>
          <w:sz w:val="24"/>
          <w:szCs w:val="24"/>
        </w:rPr>
      </w:pPr>
      <w:r w:rsidRPr="000A63F8">
        <w:rPr>
          <w:rFonts w:ascii="Arial" w:hAnsi="Arial" w:cs="Arial"/>
          <w:b/>
          <w:sz w:val="24"/>
          <w:szCs w:val="24"/>
        </w:rPr>
        <w:t>“Por medio de la cual se faculta a la Superintendencia Financiera de Colombia para certificar el interés bancario corriente para cada una de las líneas y/o modalidades de crédito existentes”</w:t>
      </w:r>
    </w:p>
    <w:p w:rsidR="007079F0" w:rsidRPr="000A63F8" w:rsidRDefault="007079F0" w:rsidP="007079F0">
      <w:pPr>
        <w:spacing w:after="0" w:line="360" w:lineRule="auto"/>
        <w:jc w:val="center"/>
        <w:rPr>
          <w:rFonts w:ascii="Arial" w:hAnsi="Arial" w:cs="Arial"/>
          <w:sz w:val="24"/>
          <w:szCs w:val="24"/>
        </w:rPr>
      </w:pPr>
    </w:p>
    <w:p w:rsidR="007079F0" w:rsidRPr="000A63F8" w:rsidRDefault="007079F0" w:rsidP="007079F0">
      <w:pPr>
        <w:spacing w:after="0" w:line="360" w:lineRule="auto"/>
        <w:jc w:val="center"/>
        <w:rPr>
          <w:rFonts w:ascii="Arial" w:hAnsi="Arial" w:cs="Arial"/>
          <w:sz w:val="24"/>
          <w:szCs w:val="24"/>
        </w:rPr>
      </w:pPr>
      <w:r w:rsidRPr="000A63F8">
        <w:rPr>
          <w:rFonts w:ascii="Arial" w:hAnsi="Arial" w:cs="Arial"/>
          <w:sz w:val="24"/>
          <w:szCs w:val="24"/>
        </w:rPr>
        <w:t>EL CONGRESO DE COLOMBIA</w:t>
      </w:r>
    </w:p>
    <w:p w:rsidR="007079F0" w:rsidRPr="000A63F8" w:rsidRDefault="007079F0" w:rsidP="007079F0">
      <w:pPr>
        <w:spacing w:after="0" w:line="360" w:lineRule="auto"/>
        <w:jc w:val="center"/>
        <w:rPr>
          <w:rFonts w:ascii="Arial" w:hAnsi="Arial" w:cs="Arial"/>
          <w:sz w:val="24"/>
          <w:szCs w:val="24"/>
        </w:rPr>
      </w:pPr>
      <w:r w:rsidRPr="000A63F8">
        <w:rPr>
          <w:rFonts w:ascii="Arial" w:hAnsi="Arial" w:cs="Arial"/>
          <w:sz w:val="24"/>
          <w:szCs w:val="24"/>
        </w:rPr>
        <w:t>DECRETA:</w:t>
      </w:r>
    </w:p>
    <w:p w:rsidR="007079F0" w:rsidRDefault="007079F0" w:rsidP="007079F0">
      <w:pPr>
        <w:spacing w:after="0" w:line="360" w:lineRule="auto"/>
        <w:jc w:val="center"/>
        <w:rPr>
          <w:rFonts w:ascii="Arial" w:hAnsi="Arial" w:cs="Arial"/>
          <w:sz w:val="24"/>
          <w:szCs w:val="24"/>
        </w:rPr>
      </w:pPr>
    </w:p>
    <w:p w:rsidR="007079F0" w:rsidRPr="000A63F8" w:rsidRDefault="007079F0" w:rsidP="007079F0">
      <w:pPr>
        <w:spacing w:after="0" w:line="360" w:lineRule="auto"/>
        <w:jc w:val="center"/>
        <w:rPr>
          <w:rFonts w:ascii="Arial" w:hAnsi="Arial" w:cs="Arial"/>
          <w:sz w:val="24"/>
          <w:szCs w:val="24"/>
        </w:rPr>
      </w:pPr>
    </w:p>
    <w:p w:rsidR="007079F0" w:rsidRDefault="007079F0" w:rsidP="007079F0">
      <w:pPr>
        <w:pStyle w:val="NormalWeb"/>
        <w:shd w:val="clear" w:color="auto" w:fill="FFFFFF"/>
        <w:spacing w:before="0" w:beforeAutospacing="0" w:after="0" w:afterAutospacing="0" w:line="360" w:lineRule="auto"/>
        <w:jc w:val="both"/>
        <w:rPr>
          <w:rFonts w:ascii="Arial" w:hAnsi="Arial" w:cs="Arial"/>
        </w:rPr>
      </w:pPr>
      <w:r w:rsidRPr="000A63F8">
        <w:rPr>
          <w:rFonts w:ascii="Arial" w:hAnsi="Arial" w:cs="Arial"/>
          <w:b/>
          <w:bCs/>
          <w:color w:val="000000"/>
        </w:rPr>
        <w:t xml:space="preserve">Artículo 1. </w:t>
      </w:r>
      <w:r w:rsidRPr="000A63F8">
        <w:rPr>
          <w:rFonts w:ascii="Arial" w:hAnsi="Arial" w:cs="Arial"/>
          <w:bCs/>
          <w:color w:val="000000"/>
        </w:rPr>
        <w:t>L</w:t>
      </w:r>
      <w:r w:rsidRPr="000A63F8">
        <w:rPr>
          <w:rFonts w:ascii="Arial" w:hAnsi="Arial" w:cs="Arial"/>
          <w:color w:val="000000"/>
        </w:rPr>
        <w:t xml:space="preserve">a Superintendencia Financiera de Colombia certificará </w:t>
      </w:r>
      <w:r w:rsidRPr="000A63F8">
        <w:rPr>
          <w:rFonts w:ascii="Arial" w:hAnsi="Arial" w:cs="Arial"/>
        </w:rPr>
        <w:t>el interés bancario corriente para cada una de las operaciones activas de crédito existentes.</w:t>
      </w:r>
    </w:p>
    <w:p w:rsidR="007079F0" w:rsidRDefault="007079F0" w:rsidP="007079F0">
      <w:pPr>
        <w:pStyle w:val="NormalWeb"/>
        <w:shd w:val="clear" w:color="auto" w:fill="FFFFFF"/>
        <w:spacing w:before="0" w:beforeAutospacing="0" w:after="0" w:afterAutospacing="0" w:line="360" w:lineRule="auto"/>
        <w:jc w:val="both"/>
        <w:rPr>
          <w:rFonts w:ascii="Arial" w:hAnsi="Arial" w:cs="Arial"/>
          <w:bCs/>
          <w:color w:val="000000"/>
        </w:rPr>
      </w:pPr>
    </w:p>
    <w:p w:rsidR="007079F0" w:rsidRDefault="007079F0" w:rsidP="007079F0">
      <w:pPr>
        <w:pStyle w:val="NormalWeb"/>
        <w:shd w:val="clear" w:color="auto" w:fill="FFFFFF"/>
        <w:spacing w:before="0" w:beforeAutospacing="0" w:after="0" w:afterAutospacing="0" w:line="360" w:lineRule="auto"/>
        <w:jc w:val="both"/>
        <w:rPr>
          <w:rFonts w:ascii="Arial" w:hAnsi="Arial" w:cs="Arial"/>
        </w:rPr>
      </w:pPr>
      <w:r>
        <w:rPr>
          <w:rFonts w:ascii="Arial" w:hAnsi="Arial" w:cs="Arial"/>
          <w:b/>
          <w:bCs/>
          <w:color w:val="000000"/>
        </w:rPr>
        <w:t>Parágrafo</w:t>
      </w:r>
      <w:r w:rsidRPr="000A63F8">
        <w:rPr>
          <w:rFonts w:ascii="Arial" w:hAnsi="Arial" w:cs="Arial"/>
          <w:b/>
          <w:bCs/>
          <w:color w:val="000000"/>
        </w:rPr>
        <w:t xml:space="preserve">. </w:t>
      </w:r>
      <w:r>
        <w:rPr>
          <w:rFonts w:ascii="Arial" w:hAnsi="Arial" w:cs="Arial"/>
        </w:rPr>
        <w:t xml:space="preserve">La tasa de usura correspondiente a cada </w:t>
      </w:r>
      <w:r w:rsidRPr="000A63F8">
        <w:rPr>
          <w:rFonts w:ascii="Arial" w:hAnsi="Arial" w:cs="Arial"/>
        </w:rPr>
        <w:t>una de las operaciones activas de crédito existentes</w:t>
      </w:r>
      <w:r>
        <w:rPr>
          <w:rFonts w:ascii="Arial" w:hAnsi="Arial" w:cs="Arial"/>
        </w:rPr>
        <w:t xml:space="preserve"> en el mercado será </w:t>
      </w:r>
      <w:r>
        <w:rPr>
          <w:rFonts w:ascii="Arial" w:hAnsi="Arial" w:cs="Arial"/>
          <w:color w:val="000000"/>
        </w:rPr>
        <w:t>publicada junto con la certificación d</w:t>
      </w:r>
      <w:r w:rsidRPr="000A63F8">
        <w:rPr>
          <w:rFonts w:ascii="Arial" w:hAnsi="Arial" w:cs="Arial"/>
        </w:rPr>
        <w:t xml:space="preserve">el interés bancario corriente </w:t>
      </w:r>
      <w:r>
        <w:rPr>
          <w:rFonts w:ascii="Arial" w:hAnsi="Arial" w:cs="Arial"/>
        </w:rPr>
        <w:t xml:space="preserve">del que trata la presente ley. </w:t>
      </w:r>
    </w:p>
    <w:p w:rsidR="007079F0" w:rsidRPr="000A63F8" w:rsidRDefault="007079F0" w:rsidP="007079F0">
      <w:pPr>
        <w:spacing w:after="0" w:line="360" w:lineRule="auto"/>
        <w:jc w:val="both"/>
        <w:rPr>
          <w:rFonts w:ascii="Arial" w:hAnsi="Arial" w:cs="Arial"/>
          <w:bCs/>
          <w:color w:val="000000"/>
          <w:sz w:val="24"/>
          <w:szCs w:val="24"/>
        </w:rPr>
      </w:pPr>
    </w:p>
    <w:p w:rsidR="007079F0" w:rsidRPr="000A63F8" w:rsidRDefault="007079F0" w:rsidP="007079F0">
      <w:pPr>
        <w:spacing w:after="0" w:line="360" w:lineRule="auto"/>
        <w:jc w:val="both"/>
        <w:rPr>
          <w:rFonts w:ascii="Arial" w:hAnsi="Arial" w:cs="Arial"/>
          <w:sz w:val="24"/>
          <w:szCs w:val="24"/>
        </w:rPr>
      </w:pPr>
      <w:r w:rsidRPr="000A63F8">
        <w:rPr>
          <w:rFonts w:ascii="Arial" w:hAnsi="Arial" w:cs="Arial"/>
          <w:b/>
          <w:sz w:val="24"/>
          <w:szCs w:val="24"/>
        </w:rPr>
        <w:t>Artículo 2</w:t>
      </w:r>
      <w:r w:rsidRPr="000A63F8">
        <w:rPr>
          <w:rFonts w:ascii="Arial" w:hAnsi="Arial" w:cs="Arial"/>
          <w:sz w:val="24"/>
          <w:szCs w:val="24"/>
        </w:rPr>
        <w:t>. La presente ley rige a partir de su promulgación y deroga todas las disposiciones que le sean contrarias.</w:t>
      </w:r>
    </w:p>
    <w:p w:rsidR="007079F0" w:rsidRPr="000A63F8" w:rsidRDefault="007079F0" w:rsidP="007079F0">
      <w:pPr>
        <w:spacing w:after="0" w:line="360" w:lineRule="auto"/>
        <w:jc w:val="both"/>
        <w:rPr>
          <w:rFonts w:ascii="Arial" w:hAnsi="Arial" w:cs="Arial"/>
          <w:b/>
          <w:sz w:val="24"/>
          <w:szCs w:val="24"/>
          <w:u w:val="single"/>
        </w:rPr>
      </w:pPr>
    </w:p>
    <w:p w:rsidR="007079F0" w:rsidRDefault="007079F0" w:rsidP="007079F0">
      <w:pPr>
        <w:spacing w:after="0" w:line="360" w:lineRule="auto"/>
        <w:jc w:val="center"/>
        <w:rPr>
          <w:rFonts w:ascii="Arial" w:hAnsi="Arial" w:cs="Arial"/>
          <w:b/>
          <w:sz w:val="24"/>
          <w:szCs w:val="24"/>
          <w:u w:val="single"/>
        </w:rPr>
      </w:pPr>
    </w:p>
    <w:p w:rsidR="007079F0" w:rsidRPr="000A63F8" w:rsidRDefault="007079F0" w:rsidP="007079F0">
      <w:pPr>
        <w:spacing w:after="0" w:line="360" w:lineRule="auto"/>
        <w:jc w:val="center"/>
        <w:rPr>
          <w:rFonts w:ascii="Arial" w:hAnsi="Arial" w:cs="Arial"/>
          <w:b/>
          <w:sz w:val="24"/>
          <w:szCs w:val="24"/>
          <w:u w:val="single"/>
        </w:rPr>
      </w:pPr>
    </w:p>
    <w:p w:rsidR="007079F0" w:rsidRPr="000A63F8" w:rsidRDefault="007079F0" w:rsidP="007079F0">
      <w:pPr>
        <w:spacing w:after="0" w:line="240" w:lineRule="auto"/>
        <w:jc w:val="center"/>
        <w:rPr>
          <w:rFonts w:ascii="Arial" w:hAnsi="Arial" w:cs="Arial"/>
          <w:b/>
          <w:sz w:val="24"/>
          <w:szCs w:val="24"/>
          <w:u w:val="single"/>
        </w:rPr>
      </w:pPr>
    </w:p>
    <w:p w:rsidR="007079F0" w:rsidRPr="000A63F8" w:rsidRDefault="007079F0" w:rsidP="007079F0">
      <w:pPr>
        <w:spacing w:after="0" w:line="240" w:lineRule="auto"/>
        <w:rPr>
          <w:rFonts w:ascii="Arial" w:hAnsi="Arial" w:cs="Arial"/>
          <w:b/>
          <w:sz w:val="24"/>
          <w:szCs w:val="24"/>
        </w:rPr>
      </w:pPr>
      <w:r w:rsidRPr="000A63F8">
        <w:rPr>
          <w:rFonts w:ascii="Arial" w:hAnsi="Arial" w:cs="Arial"/>
          <w:b/>
          <w:sz w:val="24"/>
          <w:szCs w:val="24"/>
        </w:rPr>
        <w:t>DAVID BARGUIL ASSIS</w:t>
      </w:r>
    </w:p>
    <w:p w:rsidR="007079F0" w:rsidRPr="000A63F8" w:rsidRDefault="007079F0" w:rsidP="007079F0">
      <w:pPr>
        <w:spacing w:after="0" w:line="240" w:lineRule="auto"/>
        <w:rPr>
          <w:rFonts w:ascii="Arial" w:hAnsi="Arial" w:cs="Arial"/>
          <w:b/>
          <w:sz w:val="24"/>
          <w:szCs w:val="24"/>
        </w:rPr>
      </w:pPr>
      <w:r w:rsidRPr="000A63F8">
        <w:rPr>
          <w:rFonts w:ascii="Arial" w:hAnsi="Arial" w:cs="Arial"/>
          <w:b/>
          <w:sz w:val="24"/>
          <w:szCs w:val="24"/>
        </w:rPr>
        <w:t>Senador</w:t>
      </w:r>
    </w:p>
    <w:p w:rsidR="00C757E5" w:rsidRPr="00DF198C" w:rsidRDefault="00C757E5" w:rsidP="00C757E5">
      <w:pPr>
        <w:spacing w:after="0" w:line="360" w:lineRule="auto"/>
        <w:jc w:val="center"/>
        <w:rPr>
          <w:rFonts w:ascii="Arial" w:hAnsi="Arial" w:cs="Arial"/>
          <w:b/>
          <w:sz w:val="24"/>
          <w:szCs w:val="24"/>
          <w:u w:val="single"/>
        </w:rPr>
      </w:pPr>
    </w:p>
    <w:p w:rsidR="001113B3" w:rsidRPr="00DF198C" w:rsidRDefault="001113B3" w:rsidP="00C757E5">
      <w:pPr>
        <w:spacing w:after="0" w:line="360" w:lineRule="auto"/>
        <w:jc w:val="center"/>
        <w:rPr>
          <w:rFonts w:ascii="Arial" w:hAnsi="Arial" w:cs="Arial"/>
          <w:b/>
          <w:sz w:val="24"/>
          <w:szCs w:val="24"/>
          <w:u w:val="single"/>
        </w:rPr>
      </w:pPr>
    </w:p>
    <w:p w:rsidR="001113B3" w:rsidRPr="00DF198C" w:rsidRDefault="001113B3" w:rsidP="00C757E5">
      <w:pPr>
        <w:spacing w:after="0" w:line="360" w:lineRule="auto"/>
        <w:jc w:val="center"/>
        <w:rPr>
          <w:rFonts w:ascii="Arial" w:hAnsi="Arial" w:cs="Arial"/>
          <w:b/>
          <w:sz w:val="24"/>
          <w:szCs w:val="24"/>
          <w:u w:val="single"/>
        </w:rPr>
      </w:pPr>
    </w:p>
    <w:p w:rsidR="001113B3" w:rsidRPr="00DF198C" w:rsidRDefault="001113B3" w:rsidP="00C757E5">
      <w:pPr>
        <w:spacing w:after="0" w:line="360" w:lineRule="auto"/>
        <w:jc w:val="center"/>
        <w:rPr>
          <w:rFonts w:ascii="Arial" w:hAnsi="Arial" w:cs="Arial"/>
          <w:b/>
          <w:sz w:val="24"/>
          <w:szCs w:val="24"/>
          <w:u w:val="single"/>
        </w:rPr>
      </w:pPr>
    </w:p>
    <w:p w:rsidR="001113B3" w:rsidRPr="00DF198C" w:rsidRDefault="001113B3" w:rsidP="00C757E5">
      <w:pPr>
        <w:spacing w:after="0" w:line="360" w:lineRule="auto"/>
        <w:jc w:val="center"/>
        <w:rPr>
          <w:rFonts w:ascii="Arial" w:hAnsi="Arial" w:cs="Arial"/>
          <w:b/>
          <w:sz w:val="24"/>
          <w:szCs w:val="24"/>
          <w:u w:val="single"/>
        </w:rPr>
      </w:pPr>
    </w:p>
    <w:p w:rsidR="00A367A2" w:rsidRPr="00DF198C" w:rsidRDefault="00B85404" w:rsidP="00C757E5">
      <w:pPr>
        <w:spacing w:after="0" w:line="360" w:lineRule="auto"/>
        <w:jc w:val="center"/>
        <w:rPr>
          <w:rFonts w:ascii="Arial" w:hAnsi="Arial" w:cs="Arial"/>
          <w:b/>
          <w:sz w:val="24"/>
          <w:szCs w:val="24"/>
        </w:rPr>
      </w:pPr>
      <w:r w:rsidRPr="00DF198C">
        <w:rPr>
          <w:rFonts w:ascii="Arial" w:hAnsi="Arial" w:cs="Arial"/>
          <w:b/>
          <w:sz w:val="24"/>
          <w:szCs w:val="24"/>
        </w:rPr>
        <w:lastRenderedPageBreak/>
        <w:t>EXPOSICIÓ</w:t>
      </w:r>
      <w:r w:rsidR="003937A7" w:rsidRPr="00DF198C">
        <w:rPr>
          <w:rFonts w:ascii="Arial" w:hAnsi="Arial" w:cs="Arial"/>
          <w:b/>
          <w:sz w:val="24"/>
          <w:szCs w:val="24"/>
        </w:rPr>
        <w:t>N DE MOTIVOS</w:t>
      </w:r>
    </w:p>
    <w:p w:rsidR="003937A7" w:rsidRPr="00DF198C" w:rsidRDefault="003937A7" w:rsidP="00C757E5">
      <w:pPr>
        <w:spacing w:after="0" w:line="360" w:lineRule="auto"/>
        <w:jc w:val="center"/>
        <w:rPr>
          <w:rFonts w:ascii="Arial" w:hAnsi="Arial" w:cs="Arial"/>
          <w:b/>
          <w:sz w:val="24"/>
          <w:szCs w:val="24"/>
          <w:u w:val="single"/>
        </w:rPr>
      </w:pPr>
    </w:p>
    <w:p w:rsidR="001D7E4F" w:rsidRPr="00DF198C" w:rsidRDefault="001D7E4F" w:rsidP="00C757E5">
      <w:pPr>
        <w:spacing w:after="0" w:line="360" w:lineRule="auto"/>
        <w:jc w:val="center"/>
        <w:rPr>
          <w:rFonts w:ascii="Arial" w:hAnsi="Arial" w:cs="Arial"/>
          <w:b/>
          <w:sz w:val="24"/>
          <w:szCs w:val="24"/>
          <w:u w:val="single"/>
        </w:rPr>
      </w:pPr>
    </w:p>
    <w:p w:rsidR="001B13CC" w:rsidRPr="00DF198C" w:rsidRDefault="00DF198C" w:rsidP="00C757E5">
      <w:pPr>
        <w:pStyle w:val="Prrafodelista"/>
        <w:numPr>
          <w:ilvl w:val="0"/>
          <w:numId w:val="3"/>
        </w:numPr>
        <w:spacing w:after="0" w:line="360" w:lineRule="auto"/>
        <w:rPr>
          <w:rFonts w:ascii="Arial" w:hAnsi="Arial" w:cs="Arial"/>
          <w:b/>
          <w:sz w:val="24"/>
          <w:szCs w:val="24"/>
          <w:u w:val="single"/>
        </w:rPr>
      </w:pPr>
      <w:r>
        <w:rPr>
          <w:rFonts w:ascii="Arial" w:hAnsi="Arial" w:cs="Arial"/>
          <w:b/>
          <w:sz w:val="24"/>
          <w:szCs w:val="24"/>
        </w:rPr>
        <w:t>CONTEXTO GENERAL</w:t>
      </w:r>
    </w:p>
    <w:p w:rsidR="001D7E4F" w:rsidRPr="00DF198C" w:rsidRDefault="001D7E4F" w:rsidP="001D7E4F">
      <w:pPr>
        <w:pStyle w:val="Prrafodelista"/>
        <w:spacing w:after="0" w:line="360" w:lineRule="auto"/>
        <w:ind w:left="360"/>
        <w:rPr>
          <w:rFonts w:ascii="Arial" w:hAnsi="Arial" w:cs="Arial"/>
          <w:b/>
          <w:sz w:val="24"/>
          <w:szCs w:val="24"/>
          <w:u w:val="single"/>
        </w:rPr>
      </w:pPr>
    </w:p>
    <w:p w:rsidR="00B067CC" w:rsidRPr="00DF198C" w:rsidRDefault="00F926A1" w:rsidP="00C757E5">
      <w:pPr>
        <w:spacing w:after="0" w:line="360" w:lineRule="auto"/>
        <w:jc w:val="both"/>
        <w:rPr>
          <w:rFonts w:ascii="Arial" w:hAnsi="Arial" w:cs="Arial"/>
          <w:sz w:val="24"/>
          <w:szCs w:val="24"/>
        </w:rPr>
      </w:pPr>
      <w:r w:rsidRPr="00DF198C">
        <w:rPr>
          <w:rFonts w:ascii="Arial" w:hAnsi="Arial" w:cs="Arial"/>
          <w:sz w:val="24"/>
          <w:szCs w:val="24"/>
        </w:rPr>
        <w:t>En Colombia históricamente se ha</w:t>
      </w:r>
      <w:r w:rsidR="001A23C3" w:rsidRPr="00DF198C">
        <w:rPr>
          <w:rFonts w:ascii="Arial" w:hAnsi="Arial" w:cs="Arial"/>
          <w:sz w:val="24"/>
          <w:szCs w:val="24"/>
        </w:rPr>
        <w:t xml:space="preserve">n hecho diferentes esfuerzos por establecer mecanismos que </w:t>
      </w:r>
      <w:r w:rsidR="00C167B4" w:rsidRPr="00DF198C">
        <w:rPr>
          <w:rFonts w:ascii="Arial" w:hAnsi="Arial" w:cs="Arial"/>
          <w:sz w:val="24"/>
          <w:szCs w:val="24"/>
        </w:rPr>
        <w:t>le</w:t>
      </w:r>
      <w:r w:rsidR="001B13CC" w:rsidRPr="00DF198C">
        <w:rPr>
          <w:rFonts w:ascii="Arial" w:hAnsi="Arial" w:cs="Arial"/>
          <w:sz w:val="24"/>
          <w:szCs w:val="24"/>
        </w:rPr>
        <w:t xml:space="preserve"> </w:t>
      </w:r>
      <w:r w:rsidR="001A23C3" w:rsidRPr="00DF198C">
        <w:rPr>
          <w:rFonts w:ascii="Arial" w:hAnsi="Arial" w:cs="Arial"/>
          <w:sz w:val="24"/>
          <w:szCs w:val="24"/>
        </w:rPr>
        <w:t>permitan a los colombianos acceder al sistema financiero</w:t>
      </w:r>
      <w:r w:rsidR="008D4E26" w:rsidRPr="00DF198C">
        <w:rPr>
          <w:rFonts w:ascii="Arial" w:hAnsi="Arial" w:cs="Arial"/>
          <w:sz w:val="24"/>
          <w:szCs w:val="24"/>
        </w:rPr>
        <w:t xml:space="preserve">. </w:t>
      </w:r>
      <w:r w:rsidR="001B13CC" w:rsidRPr="00DF198C">
        <w:rPr>
          <w:rFonts w:ascii="Arial" w:hAnsi="Arial" w:cs="Arial"/>
          <w:sz w:val="24"/>
          <w:szCs w:val="24"/>
        </w:rPr>
        <w:t xml:space="preserve">Por ejemplo, </w:t>
      </w:r>
      <w:r w:rsidR="008D4E26" w:rsidRPr="00DF198C">
        <w:rPr>
          <w:rFonts w:ascii="Arial" w:hAnsi="Arial" w:cs="Arial"/>
          <w:sz w:val="24"/>
          <w:szCs w:val="24"/>
        </w:rPr>
        <w:t xml:space="preserve">el Plan de Desarrollo 2010 – 2014, estableció que el acceso a los servicios financieros es un </w:t>
      </w:r>
      <w:r w:rsidR="00955D2A" w:rsidRPr="00DF198C">
        <w:rPr>
          <w:rFonts w:ascii="Arial" w:hAnsi="Arial" w:cs="Arial"/>
          <w:sz w:val="24"/>
          <w:szCs w:val="24"/>
        </w:rPr>
        <w:t>elemento import</w:t>
      </w:r>
      <w:r w:rsidR="008D4E26" w:rsidRPr="00DF198C">
        <w:rPr>
          <w:rFonts w:ascii="Arial" w:hAnsi="Arial" w:cs="Arial"/>
          <w:sz w:val="24"/>
          <w:szCs w:val="24"/>
        </w:rPr>
        <w:t>ante para el desarrollo de la competitividad del país, y además resaltó la importancia de aumentar el apoyo</w:t>
      </w:r>
      <w:bookmarkStart w:id="0" w:name="_GoBack"/>
      <w:bookmarkEnd w:id="0"/>
      <w:r w:rsidR="008D4E26" w:rsidRPr="00DF198C">
        <w:rPr>
          <w:rFonts w:ascii="Arial" w:hAnsi="Arial" w:cs="Arial"/>
          <w:sz w:val="24"/>
          <w:szCs w:val="24"/>
        </w:rPr>
        <w:t xml:space="preserve"> a políticas </w:t>
      </w:r>
      <w:r w:rsidR="001B13CC" w:rsidRPr="00DF198C">
        <w:rPr>
          <w:rFonts w:ascii="Arial" w:hAnsi="Arial" w:cs="Arial"/>
          <w:sz w:val="24"/>
          <w:szCs w:val="24"/>
        </w:rPr>
        <w:t xml:space="preserve">como la que </w:t>
      </w:r>
      <w:r w:rsidR="008D4E26" w:rsidRPr="00DF198C">
        <w:rPr>
          <w:rFonts w:ascii="Arial" w:hAnsi="Arial" w:cs="Arial"/>
          <w:sz w:val="24"/>
          <w:szCs w:val="24"/>
        </w:rPr>
        <w:t>cre</w:t>
      </w:r>
      <w:r w:rsidR="001B13CC" w:rsidRPr="00DF198C">
        <w:rPr>
          <w:rFonts w:ascii="Arial" w:hAnsi="Arial" w:cs="Arial"/>
          <w:sz w:val="24"/>
          <w:szCs w:val="24"/>
        </w:rPr>
        <w:t>o</w:t>
      </w:r>
      <w:r w:rsidR="008D4E26" w:rsidRPr="00DF198C">
        <w:rPr>
          <w:rFonts w:ascii="Arial" w:hAnsi="Arial" w:cs="Arial"/>
          <w:sz w:val="24"/>
          <w:szCs w:val="24"/>
        </w:rPr>
        <w:t xml:space="preserve"> del programa Banca de las Oportunidades, entre otras</w:t>
      </w:r>
      <w:r w:rsidR="002C58F7" w:rsidRPr="00DF198C">
        <w:rPr>
          <w:rStyle w:val="Refdenotaalpie"/>
          <w:rFonts w:ascii="Arial" w:hAnsi="Arial" w:cs="Arial"/>
          <w:sz w:val="24"/>
          <w:szCs w:val="24"/>
        </w:rPr>
        <w:footnoteReference w:id="1"/>
      </w:r>
      <w:r w:rsidR="001B13CC" w:rsidRPr="00DF198C">
        <w:rPr>
          <w:rFonts w:ascii="Arial" w:hAnsi="Arial" w:cs="Arial"/>
          <w:sz w:val="24"/>
          <w:szCs w:val="24"/>
        </w:rPr>
        <w:t xml:space="preserve">. </w:t>
      </w:r>
    </w:p>
    <w:p w:rsidR="00B067CC" w:rsidRPr="00DF198C" w:rsidRDefault="00B067CC" w:rsidP="00C757E5">
      <w:pPr>
        <w:spacing w:after="0" w:line="360" w:lineRule="auto"/>
        <w:jc w:val="both"/>
        <w:rPr>
          <w:rFonts w:ascii="Arial" w:hAnsi="Arial" w:cs="Arial"/>
          <w:sz w:val="24"/>
          <w:szCs w:val="24"/>
        </w:rPr>
      </w:pPr>
    </w:p>
    <w:p w:rsidR="00F926A1" w:rsidRPr="00DF198C" w:rsidRDefault="001B13CC" w:rsidP="00C757E5">
      <w:pPr>
        <w:spacing w:after="0" w:line="360" w:lineRule="auto"/>
        <w:jc w:val="both"/>
        <w:rPr>
          <w:rFonts w:ascii="Arial" w:hAnsi="Arial" w:cs="Arial"/>
          <w:sz w:val="24"/>
          <w:szCs w:val="24"/>
        </w:rPr>
      </w:pPr>
      <w:r w:rsidRPr="00DF198C">
        <w:rPr>
          <w:rFonts w:ascii="Arial" w:hAnsi="Arial" w:cs="Arial"/>
          <w:sz w:val="24"/>
          <w:szCs w:val="24"/>
        </w:rPr>
        <w:t>Por otro lado</w:t>
      </w:r>
      <w:r w:rsidR="008D4E26" w:rsidRPr="00DF198C">
        <w:rPr>
          <w:rFonts w:ascii="Arial" w:hAnsi="Arial" w:cs="Arial"/>
          <w:sz w:val="24"/>
          <w:szCs w:val="24"/>
        </w:rPr>
        <w:t xml:space="preserve">, también se ha mantenido en el tiempo la preocupación de </w:t>
      </w:r>
      <w:r w:rsidR="00F926A1" w:rsidRPr="00DF198C">
        <w:rPr>
          <w:rFonts w:ascii="Arial" w:hAnsi="Arial" w:cs="Arial"/>
          <w:sz w:val="24"/>
          <w:szCs w:val="24"/>
        </w:rPr>
        <w:t xml:space="preserve">fijar límites a las tasas de interés con el fin de proteger a los usuarios del sistema financiero </w:t>
      </w:r>
      <w:r w:rsidR="008D4E26" w:rsidRPr="00DF198C">
        <w:rPr>
          <w:rFonts w:ascii="Arial" w:hAnsi="Arial" w:cs="Arial"/>
          <w:sz w:val="24"/>
          <w:szCs w:val="24"/>
        </w:rPr>
        <w:t xml:space="preserve">de </w:t>
      </w:r>
      <w:r w:rsidRPr="00DF198C">
        <w:rPr>
          <w:rFonts w:ascii="Arial" w:hAnsi="Arial" w:cs="Arial"/>
          <w:sz w:val="24"/>
          <w:szCs w:val="24"/>
        </w:rPr>
        <w:t xml:space="preserve">posibles </w:t>
      </w:r>
      <w:r w:rsidR="00A47CA3" w:rsidRPr="00DF198C">
        <w:rPr>
          <w:rFonts w:ascii="Arial" w:hAnsi="Arial" w:cs="Arial"/>
          <w:sz w:val="24"/>
          <w:szCs w:val="24"/>
        </w:rPr>
        <w:t xml:space="preserve">abusos. </w:t>
      </w:r>
      <w:r w:rsidR="00F926A1" w:rsidRPr="00DF198C">
        <w:rPr>
          <w:rFonts w:ascii="Arial" w:hAnsi="Arial" w:cs="Arial"/>
          <w:sz w:val="24"/>
          <w:szCs w:val="24"/>
        </w:rPr>
        <w:t xml:space="preserve">En nuestro país </w:t>
      </w:r>
      <w:r w:rsidRPr="00DF198C">
        <w:rPr>
          <w:rFonts w:ascii="Arial" w:hAnsi="Arial" w:cs="Arial"/>
          <w:sz w:val="24"/>
          <w:szCs w:val="24"/>
        </w:rPr>
        <w:t xml:space="preserve">existe libertad para </w:t>
      </w:r>
      <w:r w:rsidR="00F926A1" w:rsidRPr="00DF198C">
        <w:rPr>
          <w:rFonts w:ascii="Arial" w:hAnsi="Arial" w:cs="Arial"/>
          <w:sz w:val="24"/>
          <w:szCs w:val="24"/>
        </w:rPr>
        <w:t xml:space="preserve">la fijación de las tasas de </w:t>
      </w:r>
      <w:r w:rsidR="00DF198C" w:rsidRPr="00DF198C">
        <w:rPr>
          <w:rFonts w:ascii="Arial" w:hAnsi="Arial" w:cs="Arial"/>
          <w:sz w:val="24"/>
          <w:szCs w:val="24"/>
        </w:rPr>
        <w:t>interés,</w:t>
      </w:r>
      <w:r w:rsidR="00F926A1" w:rsidRPr="00DF198C">
        <w:rPr>
          <w:rFonts w:ascii="Arial" w:hAnsi="Arial" w:cs="Arial"/>
          <w:sz w:val="24"/>
          <w:szCs w:val="24"/>
        </w:rPr>
        <w:t xml:space="preserve"> </w:t>
      </w:r>
      <w:r w:rsidRPr="00DF198C">
        <w:rPr>
          <w:rFonts w:ascii="Arial" w:hAnsi="Arial" w:cs="Arial"/>
          <w:sz w:val="24"/>
          <w:szCs w:val="24"/>
        </w:rPr>
        <w:t xml:space="preserve">aunque </w:t>
      </w:r>
      <w:r w:rsidR="00F926A1" w:rsidRPr="00DF198C">
        <w:rPr>
          <w:rFonts w:ascii="Arial" w:hAnsi="Arial" w:cs="Arial"/>
          <w:sz w:val="24"/>
          <w:szCs w:val="24"/>
        </w:rPr>
        <w:t>existe</w:t>
      </w:r>
      <w:r w:rsidRPr="00DF198C">
        <w:rPr>
          <w:rFonts w:ascii="Arial" w:hAnsi="Arial" w:cs="Arial"/>
          <w:sz w:val="24"/>
          <w:szCs w:val="24"/>
        </w:rPr>
        <w:t>n</w:t>
      </w:r>
      <w:r w:rsidR="00F926A1" w:rsidRPr="00DF198C">
        <w:rPr>
          <w:rFonts w:ascii="Arial" w:hAnsi="Arial" w:cs="Arial"/>
          <w:sz w:val="24"/>
          <w:szCs w:val="24"/>
        </w:rPr>
        <w:t xml:space="preserve"> límites legales que prevalecen frente a esta autonomía. </w:t>
      </w:r>
    </w:p>
    <w:p w:rsidR="001D7E4F" w:rsidRPr="00DF198C" w:rsidRDefault="001D7E4F" w:rsidP="00C757E5">
      <w:pPr>
        <w:spacing w:after="0" w:line="360" w:lineRule="auto"/>
        <w:jc w:val="both"/>
        <w:rPr>
          <w:rFonts w:ascii="Arial" w:hAnsi="Arial" w:cs="Arial"/>
          <w:sz w:val="24"/>
          <w:szCs w:val="24"/>
        </w:rPr>
      </w:pPr>
    </w:p>
    <w:p w:rsidR="008D4E26" w:rsidRPr="00DF198C" w:rsidRDefault="00F926A1" w:rsidP="00C757E5">
      <w:pPr>
        <w:spacing w:after="0" w:line="360" w:lineRule="auto"/>
        <w:jc w:val="both"/>
        <w:rPr>
          <w:rFonts w:ascii="Arial" w:hAnsi="Arial" w:cs="Arial"/>
          <w:sz w:val="24"/>
          <w:szCs w:val="24"/>
        </w:rPr>
      </w:pPr>
      <w:r w:rsidRPr="00DF198C">
        <w:rPr>
          <w:rFonts w:ascii="Arial" w:hAnsi="Arial" w:cs="Arial"/>
          <w:sz w:val="24"/>
          <w:szCs w:val="24"/>
        </w:rPr>
        <w:t xml:space="preserve">En primer lugar, </w:t>
      </w:r>
      <w:r w:rsidR="00DF198C">
        <w:rPr>
          <w:rFonts w:ascii="Arial" w:hAnsi="Arial" w:cs="Arial"/>
          <w:sz w:val="24"/>
          <w:szCs w:val="24"/>
        </w:rPr>
        <w:t>l</w:t>
      </w:r>
      <w:r w:rsidRPr="00DF198C">
        <w:rPr>
          <w:rFonts w:ascii="Arial" w:hAnsi="Arial" w:cs="Arial"/>
          <w:sz w:val="24"/>
          <w:szCs w:val="24"/>
        </w:rPr>
        <w:t>a junta Directiva del Banco de la República es la única autoridad monetaria que puede intervenir en la fijación de las tasas máximas del interés remunatorio que los establecimientos de crédito pueden cobr</w:t>
      </w:r>
      <w:r w:rsidR="00E60B84" w:rsidRPr="00DF198C">
        <w:rPr>
          <w:rFonts w:ascii="Arial" w:hAnsi="Arial" w:cs="Arial"/>
          <w:sz w:val="24"/>
          <w:szCs w:val="24"/>
        </w:rPr>
        <w:t>ar en sus operaciones según la l</w:t>
      </w:r>
      <w:r w:rsidRPr="00DF198C">
        <w:rPr>
          <w:rFonts w:ascii="Arial" w:hAnsi="Arial" w:cs="Arial"/>
          <w:sz w:val="24"/>
          <w:szCs w:val="24"/>
        </w:rPr>
        <w:t xml:space="preserve">ey 31 de 1992. </w:t>
      </w:r>
      <w:r w:rsidR="008D4E26" w:rsidRPr="00DF198C">
        <w:rPr>
          <w:rFonts w:ascii="Arial" w:hAnsi="Arial" w:cs="Arial"/>
          <w:sz w:val="24"/>
          <w:szCs w:val="24"/>
        </w:rPr>
        <w:t>Si esta no fija</w:t>
      </w:r>
      <w:r w:rsidRPr="00DF198C">
        <w:rPr>
          <w:rFonts w:ascii="Arial" w:hAnsi="Arial" w:cs="Arial"/>
          <w:sz w:val="24"/>
          <w:szCs w:val="24"/>
        </w:rPr>
        <w:t xml:space="preserve"> tales tasas, las mismas responderán a los requerimientos del mercado, teniendo como base el interés bancario corriente (IBC) </w:t>
      </w:r>
      <w:r w:rsidR="001B13CC" w:rsidRPr="00DF198C">
        <w:rPr>
          <w:rFonts w:ascii="Arial" w:hAnsi="Arial" w:cs="Arial"/>
          <w:sz w:val="24"/>
          <w:szCs w:val="24"/>
        </w:rPr>
        <w:t>certificado</w:t>
      </w:r>
      <w:r w:rsidRPr="00DF198C">
        <w:rPr>
          <w:rFonts w:ascii="Arial" w:hAnsi="Arial" w:cs="Arial"/>
          <w:sz w:val="24"/>
          <w:szCs w:val="24"/>
        </w:rPr>
        <w:t xml:space="preserve"> por la Superintendencia Financiera de Colombia sin exceder la tasa de usura.</w:t>
      </w:r>
    </w:p>
    <w:p w:rsidR="001D7E4F" w:rsidRPr="00DF198C" w:rsidRDefault="001D7E4F" w:rsidP="00C757E5">
      <w:pPr>
        <w:spacing w:after="0" w:line="360" w:lineRule="auto"/>
        <w:jc w:val="both"/>
        <w:rPr>
          <w:rFonts w:ascii="Arial" w:hAnsi="Arial" w:cs="Arial"/>
          <w:sz w:val="24"/>
          <w:szCs w:val="24"/>
        </w:rPr>
      </w:pPr>
    </w:p>
    <w:p w:rsidR="00C4622A" w:rsidRPr="00DF198C" w:rsidRDefault="008D4E26" w:rsidP="00C757E5">
      <w:pPr>
        <w:spacing w:after="0" w:line="360" w:lineRule="auto"/>
        <w:jc w:val="both"/>
        <w:rPr>
          <w:rFonts w:ascii="Arial" w:hAnsi="Arial" w:cs="Arial"/>
          <w:i/>
          <w:sz w:val="24"/>
          <w:szCs w:val="24"/>
          <w:u w:val="single"/>
        </w:rPr>
      </w:pPr>
      <w:r w:rsidRPr="00DF198C">
        <w:rPr>
          <w:rFonts w:ascii="Arial" w:hAnsi="Arial" w:cs="Arial"/>
          <w:sz w:val="24"/>
          <w:szCs w:val="24"/>
        </w:rPr>
        <w:t>En segundo</w:t>
      </w:r>
      <w:r w:rsidR="00CB32E4" w:rsidRPr="00DF198C">
        <w:rPr>
          <w:rFonts w:ascii="Arial" w:hAnsi="Arial" w:cs="Arial"/>
          <w:sz w:val="24"/>
          <w:szCs w:val="24"/>
        </w:rPr>
        <w:t xml:space="preserve"> lugar,</w:t>
      </w:r>
      <w:r w:rsidRPr="00DF198C">
        <w:rPr>
          <w:rFonts w:ascii="Arial" w:hAnsi="Arial" w:cs="Arial"/>
          <w:sz w:val="24"/>
          <w:szCs w:val="24"/>
        </w:rPr>
        <w:t xml:space="preserve"> </w:t>
      </w:r>
      <w:r w:rsidR="00CB32E4" w:rsidRPr="00DF198C">
        <w:rPr>
          <w:rFonts w:ascii="Arial" w:hAnsi="Arial" w:cs="Arial"/>
          <w:sz w:val="24"/>
          <w:szCs w:val="24"/>
        </w:rPr>
        <w:t xml:space="preserve">el Código Penal </w:t>
      </w:r>
      <w:r w:rsidR="004B2070" w:rsidRPr="00DF198C">
        <w:rPr>
          <w:rFonts w:ascii="Arial" w:hAnsi="Arial" w:cs="Arial"/>
          <w:sz w:val="24"/>
          <w:szCs w:val="24"/>
        </w:rPr>
        <w:t>incorpora</w:t>
      </w:r>
      <w:r w:rsidR="00A47CA3" w:rsidRPr="00DF198C">
        <w:rPr>
          <w:rFonts w:ascii="Arial" w:hAnsi="Arial" w:cs="Arial"/>
          <w:sz w:val="24"/>
          <w:szCs w:val="24"/>
        </w:rPr>
        <w:t xml:space="preserve"> el delito de usura estableciendo en su artículo 305 que </w:t>
      </w:r>
      <w:r w:rsidR="00A47CA3" w:rsidRPr="00DF198C">
        <w:rPr>
          <w:rFonts w:ascii="Arial" w:hAnsi="Arial" w:cs="Arial"/>
          <w:i/>
          <w:sz w:val="24"/>
          <w:szCs w:val="24"/>
        </w:rPr>
        <w:t>“</w:t>
      </w:r>
      <w:r w:rsidR="00902EC4" w:rsidRPr="00DF198C">
        <w:rPr>
          <w:rFonts w:ascii="Arial" w:hAnsi="Arial" w:cs="Arial"/>
          <w:i/>
          <w:sz w:val="24"/>
          <w:szCs w:val="24"/>
        </w:rPr>
        <w:t xml:space="preserve">El que reciba o cobre, directa o indirectamente, a cambio de </w:t>
      </w:r>
      <w:r w:rsidR="00902EC4" w:rsidRPr="00DF198C">
        <w:rPr>
          <w:rFonts w:ascii="Arial" w:hAnsi="Arial" w:cs="Arial"/>
          <w:i/>
          <w:sz w:val="24"/>
          <w:szCs w:val="24"/>
        </w:rPr>
        <w:lastRenderedPageBreak/>
        <w:t>préstamo de dinero o por concepto de venta de bienes o servicios a plazo, utilidad o ventaja que exceda en la mitad del interés bancario corriente que para el período correspondiente estén cobrando los bancos, según certificación de la Superintendencia Bancaria, cualquiera sea la forma utilizada para hacer constar la operación, ocultarla o disimularla, incurrirá en prisión de dos (2) a cinco (5) años y multa de cincuenta (50) a doscientos (200) salarios mínimos legales mensuales vigentes</w:t>
      </w:r>
      <w:r w:rsidR="00C36E4E" w:rsidRPr="00DF198C">
        <w:rPr>
          <w:rFonts w:ascii="Arial" w:hAnsi="Arial" w:cs="Arial"/>
          <w:i/>
          <w:sz w:val="24"/>
          <w:szCs w:val="24"/>
        </w:rPr>
        <w:t>...</w:t>
      </w:r>
      <w:r w:rsidR="00902EC4" w:rsidRPr="00DF198C">
        <w:rPr>
          <w:rFonts w:ascii="Arial" w:hAnsi="Arial" w:cs="Arial"/>
          <w:i/>
          <w:sz w:val="24"/>
          <w:szCs w:val="24"/>
        </w:rPr>
        <w:t>”</w:t>
      </w:r>
      <w:r w:rsidR="00A47CA3" w:rsidRPr="00DF198C">
        <w:rPr>
          <w:rFonts w:ascii="Arial" w:hAnsi="Arial" w:cs="Arial"/>
          <w:i/>
          <w:sz w:val="24"/>
          <w:szCs w:val="24"/>
          <w:u w:val="single"/>
        </w:rPr>
        <w:t xml:space="preserve"> </w:t>
      </w:r>
    </w:p>
    <w:p w:rsidR="001D7E4F" w:rsidRPr="00DF198C" w:rsidRDefault="001D7E4F" w:rsidP="00C757E5">
      <w:pPr>
        <w:tabs>
          <w:tab w:val="left" w:pos="142"/>
        </w:tabs>
        <w:spacing w:after="0" w:line="360" w:lineRule="auto"/>
        <w:jc w:val="both"/>
        <w:rPr>
          <w:rFonts w:ascii="Arial" w:hAnsi="Arial" w:cs="Arial"/>
          <w:sz w:val="24"/>
          <w:szCs w:val="24"/>
        </w:rPr>
      </w:pPr>
    </w:p>
    <w:p w:rsidR="00482001" w:rsidRPr="00DF198C" w:rsidRDefault="004B2070" w:rsidP="00482001">
      <w:pPr>
        <w:tabs>
          <w:tab w:val="left" w:pos="142"/>
        </w:tabs>
        <w:spacing w:after="0" w:line="360" w:lineRule="auto"/>
        <w:jc w:val="both"/>
        <w:rPr>
          <w:rFonts w:ascii="Arial" w:hAnsi="Arial" w:cs="Arial"/>
          <w:sz w:val="24"/>
          <w:szCs w:val="24"/>
        </w:rPr>
      </w:pPr>
      <w:r w:rsidRPr="00DF198C">
        <w:rPr>
          <w:rFonts w:ascii="Arial" w:hAnsi="Arial" w:cs="Arial"/>
          <w:sz w:val="24"/>
          <w:szCs w:val="24"/>
        </w:rPr>
        <w:t xml:space="preserve">Frente a estas limitaciones legales el Ministerio de Hacienda se ha pronunciado de la </w:t>
      </w:r>
      <w:r w:rsidR="00482001" w:rsidRPr="00DF198C">
        <w:rPr>
          <w:rFonts w:ascii="Arial" w:hAnsi="Arial" w:cs="Arial"/>
          <w:sz w:val="24"/>
          <w:szCs w:val="24"/>
        </w:rPr>
        <w:t xml:space="preserve">siguiente manera: </w:t>
      </w:r>
    </w:p>
    <w:p w:rsidR="00482001" w:rsidRPr="00DF198C" w:rsidRDefault="00482001" w:rsidP="00482001">
      <w:pPr>
        <w:tabs>
          <w:tab w:val="left" w:pos="142"/>
        </w:tabs>
        <w:spacing w:after="0" w:line="360" w:lineRule="auto"/>
        <w:jc w:val="both"/>
        <w:rPr>
          <w:rFonts w:ascii="Arial" w:hAnsi="Arial" w:cs="Arial"/>
          <w:sz w:val="24"/>
          <w:szCs w:val="24"/>
        </w:rPr>
      </w:pPr>
    </w:p>
    <w:p w:rsidR="00482001" w:rsidRPr="00DF198C" w:rsidRDefault="00482001" w:rsidP="00482001">
      <w:pPr>
        <w:tabs>
          <w:tab w:val="left" w:pos="142"/>
        </w:tabs>
        <w:spacing w:after="0" w:line="360" w:lineRule="auto"/>
        <w:ind w:left="284" w:right="333"/>
        <w:jc w:val="both"/>
        <w:rPr>
          <w:rFonts w:ascii="Arial" w:hAnsi="Arial" w:cs="Arial"/>
          <w:color w:val="000000"/>
          <w:sz w:val="24"/>
          <w:szCs w:val="24"/>
        </w:rPr>
      </w:pPr>
      <w:r w:rsidRPr="00DF198C">
        <w:rPr>
          <w:rFonts w:ascii="Arial" w:hAnsi="Arial" w:cs="Arial"/>
          <w:i/>
          <w:sz w:val="24"/>
          <w:szCs w:val="24"/>
        </w:rPr>
        <w:t>“</w:t>
      </w:r>
      <w:r w:rsidRPr="00DF198C">
        <w:rPr>
          <w:rFonts w:ascii="Arial" w:hAnsi="Arial" w:cs="Arial"/>
          <w:i/>
          <w:color w:val="000000"/>
          <w:sz w:val="24"/>
          <w:szCs w:val="24"/>
        </w:rPr>
        <w:t>La fijación de límites máximos es una práctica que usualmente se implementa en sistemas financieros en proceso de consolidación. Estos topes pueden tener impactos mixtos frente al objetivo de la inclusión financiera. Por un lado, los techos evitan que se presenten abusos en el cobro de las tasas de interés de los créditos y generan incentivos para que las entidades crediticias se vuelvan más eficientes en su operación. No obstante, pueden limitar el volumen de colocaciones en segmentos particulares de crédito, como el microcrédito, en los cuales los agentes receptores de los recursos usualmente tienen un perfil de riesgo mayor relacionado con su mayor exposición a choques económicos, un menor historial creditico o la ausencia de garantías tradicionales para respaldar el endeudamiento, entre otros</w:t>
      </w:r>
      <w:r w:rsidR="00E80489" w:rsidRPr="00DF198C">
        <w:rPr>
          <w:rFonts w:ascii="Arial" w:hAnsi="Arial" w:cs="Arial"/>
          <w:i/>
          <w:color w:val="000000"/>
          <w:sz w:val="24"/>
          <w:szCs w:val="24"/>
        </w:rPr>
        <w:t>”</w:t>
      </w:r>
      <w:r w:rsidR="007C13A5" w:rsidRPr="00DF198C">
        <w:rPr>
          <w:rStyle w:val="Refdenotaalpie"/>
          <w:rFonts w:ascii="Arial" w:hAnsi="Arial" w:cs="Arial"/>
          <w:i/>
          <w:color w:val="000000"/>
          <w:sz w:val="24"/>
          <w:szCs w:val="24"/>
        </w:rPr>
        <w:footnoteReference w:id="2"/>
      </w:r>
      <w:r w:rsidRPr="00DF198C">
        <w:rPr>
          <w:rFonts w:ascii="Arial" w:hAnsi="Arial" w:cs="Arial"/>
          <w:color w:val="000000"/>
          <w:sz w:val="24"/>
          <w:szCs w:val="24"/>
        </w:rPr>
        <w:t>.</w:t>
      </w:r>
    </w:p>
    <w:p w:rsidR="00482001" w:rsidRPr="00DF198C" w:rsidRDefault="00482001" w:rsidP="00482001">
      <w:pPr>
        <w:tabs>
          <w:tab w:val="left" w:pos="142"/>
        </w:tabs>
        <w:spacing w:after="0" w:line="360" w:lineRule="auto"/>
        <w:jc w:val="both"/>
        <w:rPr>
          <w:rFonts w:ascii="Arial" w:hAnsi="Arial" w:cs="Arial"/>
          <w:color w:val="000000"/>
          <w:sz w:val="24"/>
          <w:szCs w:val="24"/>
        </w:rPr>
      </w:pPr>
    </w:p>
    <w:p w:rsidR="00B067CC" w:rsidRPr="00DF198C" w:rsidRDefault="004B2070" w:rsidP="00B067CC">
      <w:pPr>
        <w:tabs>
          <w:tab w:val="left" w:pos="142"/>
        </w:tabs>
        <w:spacing w:after="0" w:line="360" w:lineRule="auto"/>
        <w:jc w:val="both"/>
        <w:rPr>
          <w:rFonts w:ascii="Arial" w:hAnsi="Arial" w:cs="Arial"/>
          <w:sz w:val="24"/>
          <w:szCs w:val="24"/>
        </w:rPr>
      </w:pPr>
      <w:r w:rsidRPr="00DF198C">
        <w:rPr>
          <w:rFonts w:ascii="Arial" w:hAnsi="Arial" w:cs="Arial"/>
          <w:color w:val="000000"/>
          <w:sz w:val="24"/>
          <w:szCs w:val="24"/>
        </w:rPr>
        <w:t xml:space="preserve">Así </w:t>
      </w:r>
      <w:r w:rsidR="009D3152" w:rsidRPr="00DF198C">
        <w:rPr>
          <w:rFonts w:ascii="Arial" w:hAnsi="Arial" w:cs="Arial"/>
          <w:color w:val="000000"/>
          <w:sz w:val="24"/>
          <w:szCs w:val="24"/>
        </w:rPr>
        <w:t xml:space="preserve">las cosas, </w:t>
      </w:r>
      <w:r w:rsidR="00BA146C" w:rsidRPr="00DF198C">
        <w:rPr>
          <w:rFonts w:ascii="Arial" w:hAnsi="Arial" w:cs="Arial"/>
          <w:color w:val="000000"/>
          <w:sz w:val="24"/>
          <w:szCs w:val="24"/>
        </w:rPr>
        <w:t>es claro que la fijación de topes máximos a las tasas de interés puede generar consecuencias tanto positivas como negativas.</w:t>
      </w:r>
      <w:r w:rsidR="00BA146C" w:rsidRPr="00DF198C">
        <w:rPr>
          <w:rFonts w:ascii="Arial" w:hAnsi="Arial" w:cs="Arial"/>
          <w:sz w:val="24"/>
          <w:szCs w:val="24"/>
        </w:rPr>
        <w:t xml:space="preserve"> Y aunque países</w:t>
      </w:r>
      <w:r w:rsidR="00B067CC" w:rsidRPr="00DF198C">
        <w:rPr>
          <w:rFonts w:ascii="Arial" w:hAnsi="Arial" w:cs="Arial"/>
          <w:sz w:val="24"/>
          <w:szCs w:val="24"/>
        </w:rPr>
        <w:t xml:space="preserve"> como Brasil y Perú han eliminado esta tasa por considerarla contraproducente para </w:t>
      </w:r>
      <w:r w:rsidR="00DF198C">
        <w:rPr>
          <w:rFonts w:ascii="Arial" w:hAnsi="Arial" w:cs="Arial"/>
          <w:sz w:val="24"/>
          <w:szCs w:val="24"/>
        </w:rPr>
        <w:t>su</w:t>
      </w:r>
      <w:r w:rsidR="00B067CC" w:rsidRPr="00DF198C">
        <w:rPr>
          <w:rFonts w:ascii="Arial" w:hAnsi="Arial" w:cs="Arial"/>
          <w:sz w:val="24"/>
          <w:szCs w:val="24"/>
        </w:rPr>
        <w:t xml:space="preserve"> </w:t>
      </w:r>
      <w:r w:rsidR="00B067CC" w:rsidRPr="00DF198C">
        <w:rPr>
          <w:rFonts w:ascii="Arial" w:hAnsi="Arial" w:cs="Arial"/>
          <w:sz w:val="24"/>
          <w:szCs w:val="24"/>
        </w:rPr>
        <w:lastRenderedPageBreak/>
        <w:t xml:space="preserve">desarrollo económico; en nuestro </w:t>
      </w:r>
      <w:r w:rsidR="00D5245D">
        <w:rPr>
          <w:rFonts w:ascii="Arial" w:hAnsi="Arial" w:cs="Arial"/>
          <w:sz w:val="24"/>
          <w:szCs w:val="24"/>
        </w:rPr>
        <w:t>caso</w:t>
      </w:r>
      <w:r w:rsidR="00B067CC" w:rsidRPr="00DF198C">
        <w:rPr>
          <w:rFonts w:ascii="Arial" w:hAnsi="Arial" w:cs="Arial"/>
          <w:sz w:val="24"/>
          <w:szCs w:val="24"/>
        </w:rPr>
        <w:t xml:space="preserve"> la imposición de esta tasa no ha afectado el acceso a los servicios financieros.</w:t>
      </w:r>
    </w:p>
    <w:p w:rsidR="00B067CC" w:rsidRPr="00DF198C" w:rsidRDefault="00B067CC" w:rsidP="00B067CC">
      <w:pPr>
        <w:tabs>
          <w:tab w:val="left" w:pos="142"/>
        </w:tabs>
        <w:spacing w:after="0" w:line="360" w:lineRule="auto"/>
        <w:jc w:val="both"/>
        <w:rPr>
          <w:rFonts w:ascii="Arial" w:hAnsi="Arial" w:cs="Arial"/>
          <w:sz w:val="24"/>
          <w:szCs w:val="24"/>
          <w:highlight w:val="yellow"/>
        </w:rPr>
      </w:pPr>
    </w:p>
    <w:p w:rsidR="00B067CC" w:rsidRPr="00DF198C" w:rsidRDefault="00B067CC" w:rsidP="00B067CC">
      <w:pPr>
        <w:spacing w:after="0" w:line="360" w:lineRule="auto"/>
        <w:jc w:val="both"/>
        <w:rPr>
          <w:rFonts w:ascii="Arial" w:hAnsi="Arial" w:cs="Arial"/>
          <w:sz w:val="24"/>
          <w:szCs w:val="24"/>
        </w:rPr>
      </w:pPr>
      <w:r w:rsidRPr="00DF198C">
        <w:rPr>
          <w:rFonts w:ascii="Arial" w:hAnsi="Arial" w:cs="Arial"/>
          <w:sz w:val="24"/>
          <w:szCs w:val="24"/>
        </w:rPr>
        <w:t>Tanto así que las actividades de intermediación financiera de los establecimientos de crédito mostraron una estabilización durante el primer semestre de 2013, luego de un período de desaceleración que comenzó a finales de 2011. La cartera bruta creció a una tasa real anual de 13,3% en junio del año en curso, cifra superior a la observada en diciembre de 2012 (12,5%). Este comportamiento está explicado, principalmente, por la expansión del crédito comercial, mientras que el de consumo continúa exhibiendo reducciones en su ritmo de expansión. Por su parte, la carga financiera y el endeudamiento de los hogares aumentó durante el primer semestre de 2013, ubicándose en los niveles más altos desde 2011. Este comportamiento se explica, en especial, por un mayor uso de créditos de consumo distintos de tarjetas de crédito</w:t>
      </w:r>
      <w:r w:rsidRPr="00DF198C">
        <w:rPr>
          <w:rStyle w:val="Refdenotaalpie"/>
          <w:rFonts w:ascii="Arial" w:hAnsi="Arial" w:cs="Arial"/>
          <w:sz w:val="24"/>
          <w:szCs w:val="24"/>
        </w:rPr>
        <w:footnoteReference w:id="3"/>
      </w:r>
      <w:r w:rsidRPr="00DF198C">
        <w:rPr>
          <w:rFonts w:ascii="Arial" w:hAnsi="Arial" w:cs="Arial"/>
          <w:sz w:val="24"/>
          <w:szCs w:val="24"/>
        </w:rPr>
        <w:t xml:space="preserve">. </w:t>
      </w:r>
    </w:p>
    <w:p w:rsidR="00B067CC" w:rsidRPr="00DF198C" w:rsidRDefault="00B067CC" w:rsidP="00B067CC">
      <w:pPr>
        <w:spacing w:after="0" w:line="360" w:lineRule="auto"/>
        <w:jc w:val="both"/>
        <w:rPr>
          <w:rFonts w:ascii="Arial" w:hAnsi="Arial" w:cs="Arial"/>
          <w:sz w:val="24"/>
          <w:szCs w:val="24"/>
        </w:rPr>
      </w:pPr>
    </w:p>
    <w:p w:rsidR="00B067CC" w:rsidRPr="00DF198C" w:rsidRDefault="00B067CC" w:rsidP="00B067CC">
      <w:pPr>
        <w:spacing w:after="0" w:line="360" w:lineRule="auto"/>
        <w:jc w:val="both"/>
        <w:rPr>
          <w:rFonts w:ascii="Arial" w:hAnsi="Arial" w:cs="Arial"/>
          <w:sz w:val="24"/>
          <w:szCs w:val="24"/>
        </w:rPr>
      </w:pPr>
      <w:r w:rsidRPr="00DF198C">
        <w:rPr>
          <w:rFonts w:ascii="Arial" w:hAnsi="Arial" w:cs="Arial"/>
          <w:sz w:val="24"/>
          <w:szCs w:val="24"/>
        </w:rPr>
        <w:t>Entre junio de 2013 y el mismo mes de 2014 la exposición de los establecimientos de crédito a sus diferentes deudores aumentó, principalmente por el mayor endeudamiento de los hogares. Esto estuvo acompañado de mayores niveles de carga financiera, por lo que la proporción de ingresos que los hogares debieron destinar al servicio de la deuda fue más alta que la observada durante 2013. Los indicadores de expectativas e intención de compra se mantienen en niveles positivos y altos y la carga financiera se encuentra en su mayor nivel en lo corrido del siglo</w:t>
      </w:r>
      <w:r w:rsidRPr="00DF198C">
        <w:rPr>
          <w:rStyle w:val="Refdenotaalpie"/>
          <w:rFonts w:ascii="Arial" w:hAnsi="Arial" w:cs="Arial"/>
          <w:sz w:val="24"/>
          <w:szCs w:val="24"/>
        </w:rPr>
        <w:footnoteReference w:id="4"/>
      </w:r>
      <w:r w:rsidRPr="00DF198C">
        <w:rPr>
          <w:rFonts w:ascii="Arial" w:hAnsi="Arial" w:cs="Arial"/>
          <w:sz w:val="24"/>
          <w:szCs w:val="24"/>
        </w:rPr>
        <w:t>.</w:t>
      </w:r>
    </w:p>
    <w:p w:rsidR="00B067CC" w:rsidRPr="00DF198C" w:rsidRDefault="00B067CC" w:rsidP="00B067CC">
      <w:pPr>
        <w:spacing w:after="0" w:line="360" w:lineRule="auto"/>
        <w:jc w:val="both"/>
        <w:rPr>
          <w:rFonts w:ascii="Arial" w:hAnsi="Arial" w:cs="Arial"/>
          <w:sz w:val="24"/>
          <w:szCs w:val="24"/>
        </w:rPr>
      </w:pPr>
    </w:p>
    <w:p w:rsidR="00B067CC" w:rsidRPr="00DF198C" w:rsidRDefault="00B067CC" w:rsidP="00B067CC">
      <w:pPr>
        <w:spacing w:after="0" w:line="360" w:lineRule="auto"/>
        <w:jc w:val="both"/>
        <w:rPr>
          <w:rFonts w:ascii="Arial" w:hAnsi="Arial" w:cs="Arial"/>
          <w:sz w:val="24"/>
          <w:szCs w:val="24"/>
        </w:rPr>
      </w:pPr>
      <w:r w:rsidRPr="00DF198C">
        <w:rPr>
          <w:rFonts w:ascii="Arial" w:hAnsi="Arial" w:cs="Arial"/>
          <w:sz w:val="24"/>
          <w:szCs w:val="24"/>
        </w:rPr>
        <w:t xml:space="preserve">Entre septiembre de 2014 y marzo de 2015 la cartera bruta de los establecimientos de crédito registró una mayor dinámica, explicada por el comportamiento de todas las modalidades a excepción de la de vivienda. Por su parte, la cartera vencida se </w:t>
      </w:r>
      <w:r w:rsidRPr="00DF198C">
        <w:rPr>
          <w:rFonts w:ascii="Arial" w:hAnsi="Arial" w:cs="Arial"/>
          <w:sz w:val="24"/>
          <w:szCs w:val="24"/>
        </w:rPr>
        <w:lastRenderedPageBreak/>
        <w:t>desaceleró, como resultado del comportamiento de los microcréditos y créditos comerciales, mientras que la riesgosa aumentó su ritmo de crecimiento, impulsada por la dinámica de las modalidades de comercial y consumo. Los indicadores de calidad de la cartera total exhibieron leves disminuciones. Finalmente, las utilidades se expandieron a mayores niveles</w:t>
      </w:r>
      <w:r w:rsidRPr="00DF198C">
        <w:rPr>
          <w:rStyle w:val="Refdenotaalpie"/>
          <w:rFonts w:ascii="Arial" w:hAnsi="Arial" w:cs="Arial"/>
          <w:sz w:val="24"/>
          <w:szCs w:val="24"/>
        </w:rPr>
        <w:footnoteReference w:id="5"/>
      </w:r>
      <w:r w:rsidRPr="00DF198C">
        <w:rPr>
          <w:rFonts w:ascii="Arial" w:hAnsi="Arial" w:cs="Arial"/>
          <w:sz w:val="24"/>
          <w:szCs w:val="24"/>
        </w:rPr>
        <w:t>.</w:t>
      </w:r>
    </w:p>
    <w:p w:rsidR="00B067CC" w:rsidRPr="00DF198C" w:rsidRDefault="00B067CC" w:rsidP="00B067CC">
      <w:pPr>
        <w:spacing w:after="0" w:line="360" w:lineRule="auto"/>
        <w:jc w:val="both"/>
        <w:rPr>
          <w:rFonts w:ascii="Arial" w:hAnsi="Arial" w:cs="Arial"/>
          <w:sz w:val="24"/>
          <w:szCs w:val="24"/>
        </w:rPr>
      </w:pPr>
    </w:p>
    <w:p w:rsidR="00B067CC" w:rsidRPr="00DF198C" w:rsidRDefault="00B067CC" w:rsidP="00B067CC">
      <w:pPr>
        <w:spacing w:after="0" w:line="360" w:lineRule="auto"/>
        <w:jc w:val="both"/>
        <w:rPr>
          <w:rFonts w:ascii="Arial" w:hAnsi="Arial" w:cs="Arial"/>
          <w:sz w:val="24"/>
          <w:szCs w:val="24"/>
        </w:rPr>
      </w:pPr>
      <w:r w:rsidRPr="00DF198C">
        <w:rPr>
          <w:rFonts w:ascii="Arial" w:hAnsi="Arial" w:cs="Arial"/>
          <w:sz w:val="24"/>
          <w:szCs w:val="24"/>
        </w:rPr>
        <w:t>En mayo de 2016 según la Superintendencia Financiera de Colombia reporto que los activos del sistema financiero colombiano alcanzaron un valor de $1,330.7 billones, tras registrar un crecimiento real anual de 4.2%. Las inversiones y la cartera de créditos contribuyeron con el 46.3% y el 29.8% del total del activo, respectivamente</w:t>
      </w:r>
      <w:r w:rsidRPr="00DF198C">
        <w:rPr>
          <w:rStyle w:val="Refdenotaalpie"/>
          <w:rFonts w:ascii="Arial" w:hAnsi="Arial" w:cs="Arial"/>
          <w:sz w:val="24"/>
          <w:szCs w:val="24"/>
        </w:rPr>
        <w:footnoteReference w:id="6"/>
      </w:r>
      <w:r w:rsidRPr="00DF198C">
        <w:rPr>
          <w:rFonts w:ascii="Arial" w:hAnsi="Arial" w:cs="Arial"/>
          <w:sz w:val="24"/>
          <w:szCs w:val="24"/>
        </w:rPr>
        <w:t xml:space="preserve">. </w:t>
      </w:r>
    </w:p>
    <w:p w:rsidR="00B067CC" w:rsidRPr="00DF198C" w:rsidRDefault="00B067CC" w:rsidP="00B067CC">
      <w:pPr>
        <w:spacing w:after="0" w:line="360" w:lineRule="auto"/>
        <w:jc w:val="both"/>
        <w:rPr>
          <w:rFonts w:ascii="Arial" w:hAnsi="Arial" w:cs="Arial"/>
          <w:sz w:val="24"/>
          <w:szCs w:val="24"/>
        </w:rPr>
      </w:pPr>
    </w:p>
    <w:p w:rsidR="000A63F8" w:rsidRPr="00DF198C" w:rsidRDefault="00B067CC" w:rsidP="000A63F8">
      <w:pPr>
        <w:spacing w:after="0" w:line="360" w:lineRule="auto"/>
        <w:jc w:val="both"/>
        <w:rPr>
          <w:rFonts w:ascii="Arial" w:hAnsi="Arial" w:cs="Arial"/>
          <w:sz w:val="24"/>
          <w:szCs w:val="24"/>
        </w:rPr>
      </w:pPr>
      <w:r w:rsidRPr="00DF198C">
        <w:rPr>
          <w:rFonts w:ascii="Arial" w:hAnsi="Arial" w:cs="Arial"/>
          <w:sz w:val="24"/>
          <w:szCs w:val="24"/>
        </w:rPr>
        <w:t>En últimas se observa un importante dinamismo en el comportamiento del crédito y también se podría concluir que la existencia de la tasa de usura en el mercado financiero colombiano no ha sido restricción relevante para el acceso a este</w:t>
      </w:r>
      <w:r w:rsidR="009D3152" w:rsidRPr="00DF198C">
        <w:rPr>
          <w:rFonts w:ascii="Arial" w:hAnsi="Arial" w:cs="Arial"/>
          <w:sz w:val="24"/>
          <w:szCs w:val="24"/>
        </w:rPr>
        <w:t xml:space="preserve">, </w:t>
      </w:r>
      <w:r w:rsidR="00BD0569" w:rsidRPr="00DF198C">
        <w:rPr>
          <w:rFonts w:ascii="Arial" w:hAnsi="Arial" w:cs="Arial"/>
          <w:sz w:val="24"/>
          <w:szCs w:val="24"/>
        </w:rPr>
        <w:t>tanto así que el Ministerio de Hacienda</w:t>
      </w:r>
      <w:r w:rsidR="00BA146C" w:rsidRPr="00DF198C">
        <w:rPr>
          <w:rFonts w:ascii="Arial" w:hAnsi="Arial" w:cs="Arial"/>
          <w:sz w:val="24"/>
          <w:szCs w:val="24"/>
        </w:rPr>
        <w:t xml:space="preserve"> ha</w:t>
      </w:r>
      <w:r w:rsidRPr="00DF198C">
        <w:rPr>
          <w:rFonts w:ascii="Arial" w:hAnsi="Arial" w:cs="Arial"/>
          <w:sz w:val="24"/>
          <w:szCs w:val="24"/>
        </w:rPr>
        <w:t xml:space="preserve"> </w:t>
      </w:r>
      <w:r w:rsidR="000A63F8" w:rsidRPr="00DF198C">
        <w:rPr>
          <w:rFonts w:ascii="Arial" w:hAnsi="Arial" w:cs="Arial"/>
          <w:sz w:val="24"/>
          <w:szCs w:val="24"/>
        </w:rPr>
        <w:t>precisa</w:t>
      </w:r>
      <w:r w:rsidR="00BA146C" w:rsidRPr="00DF198C">
        <w:rPr>
          <w:rFonts w:ascii="Arial" w:hAnsi="Arial" w:cs="Arial"/>
          <w:sz w:val="24"/>
          <w:szCs w:val="24"/>
        </w:rPr>
        <w:t>do</w:t>
      </w:r>
      <w:r w:rsidR="000A63F8" w:rsidRPr="00DF198C">
        <w:rPr>
          <w:rFonts w:ascii="Arial" w:hAnsi="Arial" w:cs="Arial"/>
          <w:sz w:val="24"/>
          <w:szCs w:val="24"/>
        </w:rPr>
        <w:t xml:space="preserve"> que:</w:t>
      </w:r>
    </w:p>
    <w:p w:rsidR="000A63F8" w:rsidRPr="00DF198C" w:rsidRDefault="000A63F8" w:rsidP="000A63F8">
      <w:pPr>
        <w:spacing w:after="0" w:line="360" w:lineRule="auto"/>
        <w:jc w:val="both"/>
        <w:rPr>
          <w:rFonts w:ascii="Arial" w:hAnsi="Arial" w:cs="Arial"/>
          <w:sz w:val="24"/>
          <w:szCs w:val="24"/>
        </w:rPr>
      </w:pPr>
    </w:p>
    <w:p w:rsidR="000A63F8" w:rsidRPr="00DF198C" w:rsidRDefault="00BD0569" w:rsidP="000A63F8">
      <w:pPr>
        <w:spacing w:after="0" w:line="360" w:lineRule="auto"/>
        <w:ind w:left="284" w:right="333"/>
        <w:jc w:val="both"/>
        <w:rPr>
          <w:rFonts w:ascii="Arial" w:hAnsi="Arial" w:cs="Arial"/>
          <w:i/>
          <w:color w:val="000000"/>
          <w:sz w:val="24"/>
          <w:szCs w:val="24"/>
        </w:rPr>
      </w:pPr>
      <w:r w:rsidRPr="00DF198C">
        <w:rPr>
          <w:rFonts w:ascii="Arial" w:hAnsi="Arial" w:cs="Arial"/>
          <w:sz w:val="24"/>
          <w:szCs w:val="24"/>
        </w:rPr>
        <w:t>“</w:t>
      </w:r>
      <w:r w:rsidR="000A63F8" w:rsidRPr="00DF198C">
        <w:rPr>
          <w:rFonts w:ascii="Arial" w:hAnsi="Arial" w:cs="Arial"/>
          <w:i/>
          <w:color w:val="000000"/>
          <w:sz w:val="24"/>
          <w:szCs w:val="24"/>
        </w:rPr>
        <w:t xml:space="preserve">las experiencias en el manejo de las tasas de usura en el país indican que este techo no ha sido una barrera para la colocación del crédito en los diferentes segmentos y especialmente para las poblaciones de menores ingresos. Un ejemplo de esta situación se observó durante el proceso de diferenciación de la usura para el segmento del microcrédito durante el 2010. Si bien, se esperaba que los establecimientos de crédito usaran este techo para fijar la tasa a la cual realizarían estas colocaciones, el efecto fue contrario, las tasas de desembolso no se pegaron a este límite y en cambio </w:t>
      </w:r>
      <w:r w:rsidR="000A63F8" w:rsidRPr="00DF198C">
        <w:rPr>
          <w:rFonts w:ascii="Arial" w:hAnsi="Arial" w:cs="Arial"/>
          <w:i/>
          <w:color w:val="000000"/>
          <w:sz w:val="24"/>
          <w:szCs w:val="24"/>
        </w:rPr>
        <w:lastRenderedPageBreak/>
        <w:t>esta intervención ayudo a dinamizar este tipo de crédito beneficiando a los pequeños empresarios del país</w:t>
      </w:r>
      <w:r w:rsidR="00E80489" w:rsidRPr="00DF198C">
        <w:rPr>
          <w:rFonts w:ascii="Arial" w:hAnsi="Arial" w:cs="Arial"/>
          <w:i/>
          <w:color w:val="000000"/>
          <w:sz w:val="24"/>
          <w:szCs w:val="24"/>
        </w:rPr>
        <w:t>”</w:t>
      </w:r>
      <w:r w:rsidR="00E80489" w:rsidRPr="00DF198C">
        <w:rPr>
          <w:rStyle w:val="Refdenotaalpie"/>
          <w:rFonts w:ascii="Arial" w:hAnsi="Arial" w:cs="Arial"/>
          <w:i/>
          <w:color w:val="000000"/>
          <w:sz w:val="24"/>
          <w:szCs w:val="24"/>
        </w:rPr>
        <w:footnoteReference w:id="7"/>
      </w:r>
    </w:p>
    <w:p w:rsidR="00B067CC" w:rsidRPr="00DF198C" w:rsidRDefault="00B067CC" w:rsidP="00C757E5">
      <w:pPr>
        <w:tabs>
          <w:tab w:val="left" w:pos="142"/>
        </w:tabs>
        <w:spacing w:after="0" w:line="360" w:lineRule="auto"/>
        <w:jc w:val="both"/>
        <w:rPr>
          <w:rFonts w:ascii="Arial" w:hAnsi="Arial" w:cs="Arial"/>
          <w:sz w:val="24"/>
          <w:szCs w:val="24"/>
        </w:rPr>
      </w:pPr>
    </w:p>
    <w:p w:rsidR="001B13CC" w:rsidRPr="00DF198C" w:rsidRDefault="001B13CC" w:rsidP="001D7E4F">
      <w:pPr>
        <w:pStyle w:val="Prrafodelista"/>
        <w:numPr>
          <w:ilvl w:val="0"/>
          <w:numId w:val="3"/>
        </w:numPr>
        <w:tabs>
          <w:tab w:val="left" w:pos="142"/>
        </w:tabs>
        <w:spacing w:after="0" w:line="360" w:lineRule="auto"/>
        <w:jc w:val="both"/>
        <w:rPr>
          <w:rFonts w:ascii="Arial" w:hAnsi="Arial" w:cs="Arial"/>
          <w:b/>
          <w:sz w:val="24"/>
          <w:szCs w:val="24"/>
        </w:rPr>
      </w:pPr>
      <w:r w:rsidRPr="00DF198C">
        <w:rPr>
          <w:rFonts w:ascii="Arial" w:hAnsi="Arial" w:cs="Arial"/>
          <w:b/>
          <w:sz w:val="24"/>
          <w:szCs w:val="24"/>
        </w:rPr>
        <w:t>OBJETO DEL PROYECTO</w:t>
      </w:r>
      <w:r w:rsidR="007E5C5F">
        <w:rPr>
          <w:rFonts w:ascii="Arial" w:hAnsi="Arial" w:cs="Arial"/>
          <w:b/>
          <w:sz w:val="24"/>
          <w:szCs w:val="24"/>
        </w:rPr>
        <w:t xml:space="preserve"> DE LEY</w:t>
      </w:r>
    </w:p>
    <w:p w:rsidR="00E06DE0" w:rsidRPr="00DF198C" w:rsidRDefault="00E06DE0" w:rsidP="00C757E5">
      <w:pPr>
        <w:tabs>
          <w:tab w:val="left" w:pos="142"/>
        </w:tabs>
        <w:spacing w:after="0" w:line="360" w:lineRule="auto"/>
        <w:jc w:val="both"/>
        <w:rPr>
          <w:rFonts w:ascii="Arial" w:hAnsi="Arial" w:cs="Arial"/>
          <w:color w:val="000000"/>
          <w:sz w:val="24"/>
          <w:szCs w:val="24"/>
        </w:rPr>
      </w:pPr>
    </w:p>
    <w:p w:rsidR="00BE697E" w:rsidRPr="00DF198C" w:rsidRDefault="003E525A" w:rsidP="00BE697E">
      <w:pPr>
        <w:tabs>
          <w:tab w:val="left" w:pos="142"/>
        </w:tabs>
        <w:spacing w:after="0" w:line="360" w:lineRule="auto"/>
        <w:jc w:val="both"/>
        <w:rPr>
          <w:rFonts w:ascii="Arial" w:hAnsi="Arial" w:cs="Arial"/>
          <w:sz w:val="24"/>
          <w:szCs w:val="24"/>
        </w:rPr>
      </w:pPr>
      <w:r w:rsidRPr="00DF198C">
        <w:rPr>
          <w:rFonts w:ascii="Arial" w:hAnsi="Arial" w:cs="Arial"/>
          <w:color w:val="000000"/>
          <w:sz w:val="24"/>
          <w:szCs w:val="24"/>
        </w:rPr>
        <w:t>El objeto de esta in</w:t>
      </w:r>
      <w:r w:rsidR="00E06DE0" w:rsidRPr="00DF198C">
        <w:rPr>
          <w:rFonts w:ascii="Arial" w:hAnsi="Arial" w:cs="Arial"/>
          <w:color w:val="000000"/>
          <w:sz w:val="24"/>
          <w:szCs w:val="24"/>
        </w:rPr>
        <w:t>iciativa es facultar a la Superi</w:t>
      </w:r>
      <w:r w:rsidRPr="00DF198C">
        <w:rPr>
          <w:rFonts w:ascii="Arial" w:hAnsi="Arial" w:cs="Arial"/>
          <w:color w:val="000000"/>
          <w:sz w:val="24"/>
          <w:szCs w:val="24"/>
        </w:rPr>
        <w:t xml:space="preserve">ntendencia Financiera </w:t>
      </w:r>
      <w:r w:rsidR="00A465B9" w:rsidRPr="00DF198C">
        <w:rPr>
          <w:rFonts w:ascii="Arial" w:hAnsi="Arial" w:cs="Arial"/>
          <w:sz w:val="24"/>
          <w:szCs w:val="24"/>
        </w:rPr>
        <w:t xml:space="preserve">para </w:t>
      </w:r>
      <w:r w:rsidR="00C40087" w:rsidRPr="00DF198C">
        <w:rPr>
          <w:rFonts w:ascii="Arial" w:hAnsi="Arial" w:cs="Arial"/>
          <w:sz w:val="24"/>
          <w:szCs w:val="24"/>
        </w:rPr>
        <w:t>certificar el interés</w:t>
      </w:r>
      <w:r w:rsidR="00A465B9" w:rsidRPr="00DF198C">
        <w:rPr>
          <w:rFonts w:ascii="Arial" w:hAnsi="Arial" w:cs="Arial"/>
          <w:sz w:val="24"/>
          <w:szCs w:val="24"/>
        </w:rPr>
        <w:t xml:space="preserve"> bancario corriente para cada </w:t>
      </w:r>
      <w:r w:rsidR="007E5C5F">
        <w:rPr>
          <w:rFonts w:ascii="Arial" w:hAnsi="Arial" w:cs="Arial"/>
          <w:sz w:val="24"/>
          <w:szCs w:val="24"/>
        </w:rPr>
        <w:t xml:space="preserve">una </w:t>
      </w:r>
      <w:r w:rsidR="00A465B9" w:rsidRPr="00DF198C">
        <w:rPr>
          <w:rFonts w:ascii="Arial" w:hAnsi="Arial" w:cs="Arial"/>
          <w:sz w:val="24"/>
          <w:szCs w:val="24"/>
        </w:rPr>
        <w:t>de las líneas y/o modalidades de crédito existentes</w:t>
      </w:r>
      <w:r w:rsidR="00C40087" w:rsidRPr="00DF198C">
        <w:rPr>
          <w:rFonts w:ascii="Arial" w:hAnsi="Arial" w:cs="Arial"/>
          <w:color w:val="000000"/>
          <w:sz w:val="24"/>
          <w:szCs w:val="24"/>
        </w:rPr>
        <w:t>, esto con el fin de lograr</w:t>
      </w:r>
      <w:r w:rsidR="00C40087" w:rsidRPr="00DF198C">
        <w:rPr>
          <w:rFonts w:ascii="Arial" w:hAnsi="Arial" w:cs="Arial"/>
          <w:sz w:val="24"/>
          <w:szCs w:val="24"/>
        </w:rPr>
        <w:t xml:space="preserve"> </w:t>
      </w:r>
      <w:r w:rsidR="009C2D20" w:rsidRPr="00DF198C">
        <w:rPr>
          <w:rFonts w:ascii="Arial" w:hAnsi="Arial" w:cs="Arial"/>
          <w:sz w:val="24"/>
          <w:szCs w:val="24"/>
        </w:rPr>
        <w:t xml:space="preserve">principalmente </w:t>
      </w:r>
      <w:r w:rsidR="002C520E" w:rsidRPr="00DF198C">
        <w:rPr>
          <w:rFonts w:ascii="Arial" w:hAnsi="Arial" w:cs="Arial"/>
          <w:sz w:val="24"/>
          <w:szCs w:val="24"/>
        </w:rPr>
        <w:t xml:space="preserve">la </w:t>
      </w:r>
      <w:r w:rsidR="009C2D20" w:rsidRPr="00DF198C">
        <w:rPr>
          <w:rFonts w:ascii="Arial" w:hAnsi="Arial" w:cs="Arial"/>
          <w:sz w:val="24"/>
          <w:szCs w:val="24"/>
        </w:rPr>
        <w:t>flexibiliza</w:t>
      </w:r>
      <w:r w:rsidR="002C520E" w:rsidRPr="00DF198C">
        <w:rPr>
          <w:rFonts w:ascii="Arial" w:hAnsi="Arial" w:cs="Arial"/>
          <w:sz w:val="24"/>
          <w:szCs w:val="24"/>
        </w:rPr>
        <w:t>ción de</w:t>
      </w:r>
      <w:r w:rsidR="009C2D20" w:rsidRPr="00DF198C">
        <w:rPr>
          <w:rFonts w:ascii="Arial" w:hAnsi="Arial" w:cs="Arial"/>
          <w:sz w:val="24"/>
          <w:szCs w:val="24"/>
        </w:rPr>
        <w:t>l</w:t>
      </w:r>
      <w:r w:rsidR="002C520E" w:rsidRPr="00DF198C">
        <w:rPr>
          <w:rFonts w:ascii="Arial" w:hAnsi="Arial" w:cs="Arial"/>
          <w:sz w:val="24"/>
          <w:szCs w:val="24"/>
        </w:rPr>
        <w:t xml:space="preserve"> límite</w:t>
      </w:r>
      <w:r w:rsidR="009C2D20" w:rsidRPr="00DF198C">
        <w:rPr>
          <w:rFonts w:ascii="Arial" w:hAnsi="Arial" w:cs="Arial"/>
          <w:sz w:val="24"/>
          <w:szCs w:val="24"/>
        </w:rPr>
        <w:t xml:space="preserve"> remuneratorio </w:t>
      </w:r>
      <w:r w:rsidR="002C520E" w:rsidRPr="00DF198C">
        <w:rPr>
          <w:rFonts w:ascii="Arial" w:hAnsi="Arial" w:cs="Arial"/>
          <w:sz w:val="24"/>
          <w:szCs w:val="24"/>
        </w:rPr>
        <w:t>máximo que</w:t>
      </w:r>
      <w:r w:rsidR="009C2D20" w:rsidRPr="00DF198C">
        <w:rPr>
          <w:rFonts w:ascii="Arial" w:hAnsi="Arial" w:cs="Arial"/>
          <w:sz w:val="24"/>
          <w:szCs w:val="24"/>
        </w:rPr>
        <w:t xml:space="preserve"> para las operaciones activas de créditos </w:t>
      </w:r>
      <w:r w:rsidR="002C520E" w:rsidRPr="00DF198C">
        <w:rPr>
          <w:rFonts w:ascii="Arial" w:hAnsi="Arial" w:cs="Arial"/>
          <w:sz w:val="24"/>
          <w:szCs w:val="24"/>
        </w:rPr>
        <w:t>establece el código penal al tipificar la usura como: “…la utilidad o ventaja que exceda en la mitad del interés bancario corriente que para el período correspondiente estén cobrando los bancos, según certificación de la Superintendencia Bancaria…”</w:t>
      </w:r>
      <w:r w:rsidR="00BE697E" w:rsidRPr="00DF198C">
        <w:rPr>
          <w:rFonts w:ascii="Arial" w:hAnsi="Arial" w:cs="Arial"/>
          <w:sz w:val="24"/>
          <w:szCs w:val="24"/>
        </w:rPr>
        <w:t xml:space="preserve"> Y dado que</w:t>
      </w:r>
      <w:r w:rsidR="00C84681" w:rsidRPr="00DF198C">
        <w:rPr>
          <w:rFonts w:ascii="Arial" w:hAnsi="Arial" w:cs="Arial"/>
          <w:sz w:val="24"/>
          <w:szCs w:val="24"/>
        </w:rPr>
        <w:t xml:space="preserve"> </w:t>
      </w:r>
      <w:r w:rsidR="00BE697E" w:rsidRPr="00DF198C">
        <w:rPr>
          <w:rFonts w:ascii="Arial" w:hAnsi="Arial" w:cs="Arial"/>
          <w:sz w:val="24"/>
          <w:szCs w:val="24"/>
        </w:rPr>
        <w:t xml:space="preserve">como </w:t>
      </w:r>
      <w:r w:rsidR="00C84681" w:rsidRPr="00DF198C">
        <w:rPr>
          <w:rFonts w:ascii="Arial" w:hAnsi="Arial" w:cs="Arial"/>
          <w:sz w:val="24"/>
          <w:szCs w:val="24"/>
        </w:rPr>
        <w:t xml:space="preserve">lo </w:t>
      </w:r>
      <w:r w:rsidR="00BE697E" w:rsidRPr="00DF198C">
        <w:rPr>
          <w:rFonts w:ascii="Arial" w:hAnsi="Arial" w:cs="Arial"/>
          <w:sz w:val="24"/>
          <w:szCs w:val="24"/>
        </w:rPr>
        <w:t xml:space="preserve">ha </w:t>
      </w:r>
      <w:r w:rsidR="00C84681" w:rsidRPr="00DF198C">
        <w:rPr>
          <w:rFonts w:ascii="Arial" w:hAnsi="Arial" w:cs="Arial"/>
          <w:sz w:val="24"/>
          <w:szCs w:val="24"/>
        </w:rPr>
        <w:t>expresado el Ministerio de Hacienda</w:t>
      </w:r>
      <w:r w:rsidR="007E5C5F">
        <w:rPr>
          <w:rFonts w:ascii="Arial" w:hAnsi="Arial" w:cs="Arial"/>
          <w:sz w:val="24"/>
          <w:szCs w:val="24"/>
        </w:rPr>
        <w:t>:</w:t>
      </w:r>
    </w:p>
    <w:p w:rsidR="00BE697E" w:rsidRPr="00DF198C" w:rsidRDefault="00BE697E" w:rsidP="00BE697E">
      <w:pPr>
        <w:tabs>
          <w:tab w:val="left" w:pos="142"/>
        </w:tabs>
        <w:spacing w:after="0" w:line="360" w:lineRule="auto"/>
        <w:jc w:val="both"/>
        <w:rPr>
          <w:rFonts w:ascii="Arial" w:hAnsi="Arial" w:cs="Arial"/>
          <w:sz w:val="24"/>
          <w:szCs w:val="24"/>
        </w:rPr>
      </w:pPr>
    </w:p>
    <w:p w:rsidR="002C520E" w:rsidRPr="00DF198C" w:rsidRDefault="00C84681" w:rsidP="00BE697E">
      <w:pPr>
        <w:tabs>
          <w:tab w:val="left" w:pos="142"/>
        </w:tabs>
        <w:spacing w:after="0" w:line="360" w:lineRule="auto"/>
        <w:ind w:left="284" w:right="333"/>
        <w:jc w:val="both"/>
        <w:rPr>
          <w:rFonts w:ascii="Arial" w:hAnsi="Arial" w:cs="Arial"/>
          <w:sz w:val="24"/>
          <w:szCs w:val="24"/>
        </w:rPr>
      </w:pPr>
      <w:r w:rsidRPr="00DF198C">
        <w:rPr>
          <w:rFonts w:ascii="Arial" w:hAnsi="Arial" w:cs="Arial"/>
          <w:sz w:val="24"/>
          <w:szCs w:val="24"/>
        </w:rPr>
        <w:t xml:space="preserve"> </w:t>
      </w:r>
      <w:r w:rsidR="00BE697E" w:rsidRPr="00DF198C">
        <w:rPr>
          <w:rFonts w:ascii="Arial" w:hAnsi="Arial" w:cs="Arial"/>
          <w:sz w:val="24"/>
          <w:szCs w:val="24"/>
        </w:rPr>
        <w:t>“</w:t>
      </w:r>
      <w:r w:rsidR="002C520E" w:rsidRPr="00DF198C">
        <w:rPr>
          <w:rFonts w:ascii="Arial" w:hAnsi="Arial" w:cs="Arial"/>
          <w:i/>
          <w:color w:val="000000"/>
          <w:sz w:val="24"/>
          <w:szCs w:val="24"/>
        </w:rPr>
        <w:t xml:space="preserve">las tasas de interés son el mecanismo por medio del cual los establecimientos de crédito fijan el precio del perfil de riesgo del tomador del crédito. Ante una </w:t>
      </w:r>
      <w:r w:rsidRPr="00DF198C">
        <w:rPr>
          <w:rFonts w:ascii="Arial" w:hAnsi="Arial" w:cs="Arial"/>
          <w:i/>
          <w:color w:val="000000"/>
          <w:sz w:val="24"/>
          <w:szCs w:val="24"/>
        </w:rPr>
        <w:t>población</w:t>
      </w:r>
      <w:r w:rsidR="002C520E" w:rsidRPr="00DF198C">
        <w:rPr>
          <w:rFonts w:ascii="Arial" w:hAnsi="Arial" w:cs="Arial"/>
          <w:i/>
          <w:color w:val="000000"/>
          <w:sz w:val="24"/>
          <w:szCs w:val="24"/>
        </w:rPr>
        <w:t xml:space="preserve"> con perfiles de riesgo</w:t>
      </w:r>
      <w:r w:rsidRPr="00DF198C">
        <w:rPr>
          <w:rFonts w:ascii="Arial" w:hAnsi="Arial" w:cs="Arial"/>
          <w:i/>
          <w:color w:val="000000"/>
          <w:sz w:val="24"/>
          <w:szCs w:val="24"/>
        </w:rPr>
        <w:t xml:space="preserve"> </w:t>
      </w:r>
      <w:r w:rsidR="002C520E" w:rsidRPr="00DF198C">
        <w:rPr>
          <w:rFonts w:ascii="Arial" w:hAnsi="Arial" w:cs="Arial"/>
          <w:i/>
          <w:color w:val="000000"/>
          <w:sz w:val="24"/>
          <w:szCs w:val="24"/>
        </w:rPr>
        <w:t xml:space="preserve">heterogéneos, es probable </w:t>
      </w:r>
      <w:r w:rsidRPr="00DF198C">
        <w:rPr>
          <w:rFonts w:ascii="Arial" w:hAnsi="Arial" w:cs="Arial"/>
          <w:i/>
          <w:color w:val="000000"/>
          <w:sz w:val="24"/>
          <w:szCs w:val="24"/>
        </w:rPr>
        <w:t>que,</w:t>
      </w:r>
      <w:r w:rsidR="002C520E" w:rsidRPr="00DF198C">
        <w:rPr>
          <w:rFonts w:ascii="Arial" w:hAnsi="Arial" w:cs="Arial"/>
          <w:i/>
          <w:color w:val="000000"/>
          <w:sz w:val="24"/>
          <w:szCs w:val="24"/>
        </w:rPr>
        <w:t xml:space="preserve"> si el tope a las tasas de interés está alejado de las condiciones que existen en el mercado de crédito, por ser muy bajo, el segmento más riesgoso de la población quedará excluido del </w:t>
      </w:r>
      <w:r w:rsidRPr="00DF198C">
        <w:rPr>
          <w:rFonts w:ascii="Arial" w:hAnsi="Arial" w:cs="Arial"/>
          <w:i/>
          <w:color w:val="000000"/>
          <w:sz w:val="24"/>
          <w:szCs w:val="24"/>
        </w:rPr>
        <w:t>mercado. Esta</w:t>
      </w:r>
      <w:r w:rsidR="002C520E" w:rsidRPr="00DF198C">
        <w:rPr>
          <w:rFonts w:ascii="Arial" w:hAnsi="Arial" w:cs="Arial"/>
          <w:i/>
          <w:color w:val="000000"/>
          <w:sz w:val="24"/>
          <w:szCs w:val="24"/>
        </w:rPr>
        <w:t xml:space="preserve"> situación se presenta dado que la tasa de interés ofrecida no es consistente con el riesgo ni con la capacidad de pago esperada de este segmento. En este escenario, es probable que estos </w:t>
      </w:r>
      <w:r w:rsidRPr="00DF198C">
        <w:rPr>
          <w:rFonts w:ascii="Arial" w:hAnsi="Arial" w:cs="Arial"/>
          <w:i/>
          <w:color w:val="000000"/>
          <w:sz w:val="24"/>
          <w:szCs w:val="24"/>
        </w:rPr>
        <w:t>potenciales tomadores</w:t>
      </w:r>
      <w:r w:rsidR="002C520E" w:rsidRPr="00DF198C">
        <w:rPr>
          <w:rFonts w:ascii="Arial" w:hAnsi="Arial" w:cs="Arial"/>
          <w:i/>
          <w:color w:val="000000"/>
          <w:sz w:val="24"/>
          <w:szCs w:val="24"/>
        </w:rPr>
        <w:t xml:space="preserve"> de crédito recurran a mercados informales en condiciones financieras </w:t>
      </w:r>
      <w:r w:rsidRPr="00DF198C">
        <w:rPr>
          <w:rFonts w:ascii="Arial" w:hAnsi="Arial" w:cs="Arial"/>
          <w:i/>
          <w:color w:val="000000"/>
          <w:sz w:val="24"/>
          <w:szCs w:val="24"/>
        </w:rPr>
        <w:t>aún</w:t>
      </w:r>
      <w:r w:rsidR="002C520E" w:rsidRPr="00DF198C">
        <w:rPr>
          <w:rFonts w:ascii="Arial" w:hAnsi="Arial" w:cs="Arial"/>
          <w:i/>
          <w:color w:val="000000"/>
          <w:sz w:val="24"/>
          <w:szCs w:val="24"/>
        </w:rPr>
        <w:t xml:space="preserve"> menos favorables.</w:t>
      </w:r>
      <w:r w:rsidRPr="00DF198C">
        <w:rPr>
          <w:rFonts w:ascii="Arial" w:hAnsi="Arial" w:cs="Arial"/>
          <w:i/>
          <w:color w:val="000000"/>
          <w:sz w:val="24"/>
          <w:szCs w:val="24"/>
        </w:rPr>
        <w:t>”</w:t>
      </w:r>
      <w:r w:rsidR="00E80489" w:rsidRPr="00DF198C">
        <w:rPr>
          <w:rStyle w:val="Refdenotaalpie"/>
          <w:rFonts w:ascii="Arial" w:hAnsi="Arial" w:cs="Arial"/>
          <w:i/>
          <w:color w:val="000000"/>
          <w:sz w:val="24"/>
          <w:szCs w:val="24"/>
        </w:rPr>
        <w:footnoteReference w:id="8"/>
      </w:r>
    </w:p>
    <w:p w:rsidR="002C520E" w:rsidRPr="00DF198C" w:rsidRDefault="002C520E" w:rsidP="002C520E">
      <w:pPr>
        <w:tabs>
          <w:tab w:val="left" w:pos="142"/>
        </w:tabs>
        <w:spacing w:after="0" w:line="360" w:lineRule="auto"/>
        <w:jc w:val="both"/>
        <w:rPr>
          <w:rFonts w:ascii="Arial" w:hAnsi="Arial" w:cs="Arial"/>
          <w:sz w:val="24"/>
          <w:szCs w:val="24"/>
        </w:rPr>
      </w:pPr>
    </w:p>
    <w:p w:rsidR="007E5C5F" w:rsidRDefault="00B82A83" w:rsidP="00E82F77">
      <w:pPr>
        <w:tabs>
          <w:tab w:val="left" w:pos="142"/>
        </w:tabs>
        <w:spacing w:after="0" w:line="360" w:lineRule="auto"/>
        <w:jc w:val="both"/>
        <w:rPr>
          <w:rFonts w:ascii="Arial" w:hAnsi="Arial" w:cs="Arial"/>
          <w:sz w:val="24"/>
          <w:szCs w:val="24"/>
        </w:rPr>
      </w:pPr>
      <w:r w:rsidRPr="00DF198C">
        <w:rPr>
          <w:rFonts w:ascii="Arial" w:hAnsi="Arial" w:cs="Arial"/>
          <w:sz w:val="24"/>
          <w:szCs w:val="24"/>
        </w:rPr>
        <w:lastRenderedPageBreak/>
        <w:t>Además,</w:t>
      </w:r>
      <w:r w:rsidR="002C520E" w:rsidRPr="00DF198C">
        <w:rPr>
          <w:rFonts w:ascii="Arial" w:hAnsi="Arial" w:cs="Arial"/>
          <w:sz w:val="24"/>
          <w:szCs w:val="24"/>
        </w:rPr>
        <w:t xml:space="preserve"> la Corte Constitucional en la Sentencia C 333/01 estableció que </w:t>
      </w:r>
      <w:r w:rsidR="007E5C5F" w:rsidRPr="007E5C5F">
        <w:rPr>
          <w:rFonts w:ascii="Arial" w:hAnsi="Arial" w:cs="Arial"/>
          <w:i/>
          <w:sz w:val="24"/>
          <w:szCs w:val="24"/>
        </w:rPr>
        <w:t>“</w:t>
      </w:r>
      <w:r w:rsidR="002C520E" w:rsidRPr="007E5C5F">
        <w:rPr>
          <w:rFonts w:ascii="Arial" w:hAnsi="Arial" w:cs="Arial"/>
          <w:i/>
          <w:sz w:val="24"/>
          <w:szCs w:val="24"/>
        </w:rPr>
        <w:t xml:space="preserve">…resulta claro </w:t>
      </w:r>
      <w:r w:rsidRPr="007E5C5F">
        <w:rPr>
          <w:rFonts w:ascii="Arial" w:hAnsi="Arial" w:cs="Arial"/>
          <w:i/>
          <w:sz w:val="24"/>
          <w:szCs w:val="24"/>
        </w:rPr>
        <w:t>que,</w:t>
      </w:r>
      <w:r w:rsidR="002C520E" w:rsidRPr="007E5C5F">
        <w:rPr>
          <w:rFonts w:ascii="Arial" w:hAnsi="Arial" w:cs="Arial"/>
          <w:i/>
          <w:sz w:val="24"/>
          <w:szCs w:val="24"/>
        </w:rPr>
        <w:t xml:space="preserve"> dada la mutabilidad del entorno económico y financiero, el legislador ha estimado necesario, para la defensa del interés jurídico que se intenta proteger con el tipo de la usura, atribuir a las autoridades administrativas la potestad de complementarlo y para ese efecto les otorga un cierto margen de apreciación…”</w:t>
      </w:r>
    </w:p>
    <w:p w:rsidR="00B82A83" w:rsidRDefault="00B82A83" w:rsidP="00E82F77">
      <w:pPr>
        <w:tabs>
          <w:tab w:val="left" w:pos="142"/>
        </w:tabs>
        <w:spacing w:after="0" w:line="360" w:lineRule="auto"/>
        <w:jc w:val="both"/>
        <w:rPr>
          <w:rFonts w:ascii="Arial" w:hAnsi="Arial" w:cs="Arial"/>
          <w:sz w:val="24"/>
          <w:szCs w:val="24"/>
        </w:rPr>
      </w:pPr>
    </w:p>
    <w:p w:rsidR="00E82F77" w:rsidRPr="00DF198C" w:rsidRDefault="007E5C5F" w:rsidP="00E82F77">
      <w:pPr>
        <w:tabs>
          <w:tab w:val="left" w:pos="142"/>
        </w:tabs>
        <w:spacing w:after="0" w:line="360" w:lineRule="auto"/>
        <w:jc w:val="both"/>
        <w:rPr>
          <w:rFonts w:ascii="Arial" w:hAnsi="Arial" w:cs="Arial"/>
          <w:color w:val="000000"/>
          <w:sz w:val="24"/>
          <w:szCs w:val="24"/>
        </w:rPr>
      </w:pPr>
      <w:r>
        <w:rPr>
          <w:rFonts w:ascii="Arial" w:hAnsi="Arial" w:cs="Arial"/>
          <w:sz w:val="24"/>
          <w:szCs w:val="24"/>
        </w:rPr>
        <w:t>E</w:t>
      </w:r>
      <w:r w:rsidR="002C520E" w:rsidRPr="00DF198C">
        <w:rPr>
          <w:rFonts w:ascii="Arial" w:hAnsi="Arial" w:cs="Arial"/>
          <w:sz w:val="24"/>
          <w:szCs w:val="24"/>
        </w:rPr>
        <w:t xml:space="preserve">ntonces, al darle a la Superintendencia Financiera </w:t>
      </w:r>
      <w:r w:rsidR="00861DF0" w:rsidRPr="00DF198C">
        <w:rPr>
          <w:rFonts w:ascii="Arial" w:hAnsi="Arial" w:cs="Arial"/>
          <w:sz w:val="24"/>
          <w:szCs w:val="24"/>
        </w:rPr>
        <w:t>esta faculta</w:t>
      </w:r>
      <w:r w:rsidR="00C45FE0">
        <w:rPr>
          <w:rFonts w:ascii="Arial" w:hAnsi="Arial" w:cs="Arial"/>
          <w:sz w:val="24"/>
          <w:szCs w:val="24"/>
        </w:rPr>
        <w:t>d</w:t>
      </w:r>
      <w:r w:rsidR="00861DF0" w:rsidRPr="00DF198C">
        <w:rPr>
          <w:rFonts w:ascii="Arial" w:hAnsi="Arial" w:cs="Arial"/>
          <w:sz w:val="24"/>
          <w:szCs w:val="24"/>
        </w:rPr>
        <w:t xml:space="preserve"> </w:t>
      </w:r>
      <w:r w:rsidR="002C520E" w:rsidRPr="00DF198C">
        <w:rPr>
          <w:rFonts w:ascii="Arial" w:hAnsi="Arial" w:cs="Arial"/>
          <w:sz w:val="24"/>
          <w:szCs w:val="24"/>
        </w:rPr>
        <w:t>se lograría complementar efectivamente la defensa del interés jurídico que protege el tipo de la usura</w:t>
      </w:r>
      <w:r w:rsidR="00E82F77" w:rsidRPr="00DF198C">
        <w:rPr>
          <w:rFonts w:ascii="Arial" w:hAnsi="Arial" w:cs="Arial"/>
          <w:sz w:val="24"/>
          <w:szCs w:val="24"/>
        </w:rPr>
        <w:t>, manteniendo los límites a las tasas de interés con el fin de proteger a los usuarios del sistema financiero de posibles abusos, pero sobre</w:t>
      </w:r>
      <w:r w:rsidR="00032200">
        <w:rPr>
          <w:rFonts w:ascii="Arial" w:hAnsi="Arial" w:cs="Arial"/>
          <w:sz w:val="24"/>
          <w:szCs w:val="24"/>
        </w:rPr>
        <w:t xml:space="preserve"> </w:t>
      </w:r>
      <w:r w:rsidR="00E82F77" w:rsidRPr="00DF198C">
        <w:rPr>
          <w:rFonts w:ascii="Arial" w:hAnsi="Arial" w:cs="Arial"/>
          <w:sz w:val="24"/>
          <w:szCs w:val="24"/>
        </w:rPr>
        <w:t>todo que esta certificación diferenciada llevaría a un tipo de usura más acorde a la realidad del comportamiento del mercado de crédito en el país, y en consecuencia a que las tasas de interés máximas permitidas estuvieran en mayor sintonía con las dinámicas propias del mercado del crédito.</w:t>
      </w:r>
    </w:p>
    <w:p w:rsidR="002C520E" w:rsidRPr="00DF198C" w:rsidRDefault="002C520E" w:rsidP="00C40087">
      <w:pPr>
        <w:tabs>
          <w:tab w:val="left" w:pos="142"/>
        </w:tabs>
        <w:spacing w:after="0" w:line="360" w:lineRule="auto"/>
        <w:jc w:val="both"/>
        <w:rPr>
          <w:rFonts w:ascii="Arial" w:hAnsi="Arial" w:cs="Arial"/>
          <w:sz w:val="24"/>
          <w:szCs w:val="24"/>
        </w:rPr>
      </w:pPr>
    </w:p>
    <w:p w:rsidR="00E82F77" w:rsidRPr="00DF198C" w:rsidRDefault="00E82F77" w:rsidP="00C40087">
      <w:pPr>
        <w:tabs>
          <w:tab w:val="left" w:pos="142"/>
        </w:tabs>
        <w:spacing w:after="0" w:line="360" w:lineRule="auto"/>
        <w:jc w:val="both"/>
        <w:rPr>
          <w:rFonts w:ascii="Arial" w:hAnsi="Arial" w:cs="Arial"/>
          <w:sz w:val="24"/>
          <w:szCs w:val="24"/>
        </w:rPr>
      </w:pPr>
    </w:p>
    <w:p w:rsidR="00E82F77" w:rsidRPr="00DF198C" w:rsidRDefault="00E82F77" w:rsidP="00C40087">
      <w:pPr>
        <w:tabs>
          <w:tab w:val="left" w:pos="142"/>
        </w:tabs>
        <w:spacing w:after="0" w:line="360" w:lineRule="auto"/>
        <w:jc w:val="both"/>
        <w:rPr>
          <w:rFonts w:ascii="Arial" w:hAnsi="Arial" w:cs="Arial"/>
          <w:sz w:val="24"/>
          <w:szCs w:val="24"/>
        </w:rPr>
      </w:pPr>
    </w:p>
    <w:p w:rsidR="002C520E" w:rsidRPr="00DF198C" w:rsidRDefault="002C520E" w:rsidP="00C40087">
      <w:pPr>
        <w:tabs>
          <w:tab w:val="left" w:pos="142"/>
        </w:tabs>
        <w:spacing w:after="0" w:line="360" w:lineRule="auto"/>
        <w:jc w:val="both"/>
        <w:rPr>
          <w:rFonts w:ascii="Arial" w:hAnsi="Arial" w:cs="Arial"/>
          <w:sz w:val="24"/>
          <w:szCs w:val="24"/>
        </w:rPr>
      </w:pPr>
    </w:p>
    <w:p w:rsidR="00FB4E8A" w:rsidRPr="00DF198C" w:rsidRDefault="00FB4E8A" w:rsidP="00FB4E8A">
      <w:pPr>
        <w:spacing w:after="0" w:line="240" w:lineRule="auto"/>
        <w:rPr>
          <w:rFonts w:ascii="Arial" w:hAnsi="Arial" w:cs="Arial"/>
          <w:b/>
          <w:sz w:val="24"/>
          <w:szCs w:val="24"/>
        </w:rPr>
      </w:pPr>
      <w:r w:rsidRPr="00DF198C">
        <w:rPr>
          <w:rFonts w:ascii="Arial" w:hAnsi="Arial" w:cs="Arial"/>
          <w:b/>
          <w:sz w:val="24"/>
          <w:szCs w:val="24"/>
        </w:rPr>
        <w:t>DAVID BARGUIL ASSIS</w:t>
      </w:r>
    </w:p>
    <w:p w:rsidR="00FB4E8A" w:rsidRPr="00DF198C" w:rsidRDefault="009A26A1" w:rsidP="00FB4E8A">
      <w:pPr>
        <w:spacing w:after="0" w:line="240" w:lineRule="auto"/>
        <w:rPr>
          <w:rFonts w:ascii="Arial" w:hAnsi="Arial" w:cs="Arial"/>
          <w:b/>
          <w:sz w:val="24"/>
          <w:szCs w:val="24"/>
        </w:rPr>
      </w:pPr>
      <w:r w:rsidRPr="00DF198C">
        <w:rPr>
          <w:rFonts w:ascii="Arial" w:hAnsi="Arial" w:cs="Arial"/>
          <w:b/>
          <w:sz w:val="24"/>
          <w:szCs w:val="24"/>
        </w:rPr>
        <w:t>Senador</w:t>
      </w:r>
    </w:p>
    <w:p w:rsidR="00EE305A" w:rsidRPr="00DF198C" w:rsidRDefault="00EE305A" w:rsidP="00C36E4E">
      <w:pPr>
        <w:tabs>
          <w:tab w:val="left" w:pos="142"/>
        </w:tabs>
        <w:spacing w:after="0" w:line="360" w:lineRule="auto"/>
        <w:jc w:val="both"/>
        <w:rPr>
          <w:rFonts w:ascii="Arial" w:hAnsi="Arial" w:cs="Arial"/>
          <w:color w:val="000000"/>
          <w:sz w:val="24"/>
          <w:szCs w:val="24"/>
        </w:rPr>
      </w:pPr>
    </w:p>
    <w:p w:rsidR="00EE305A" w:rsidRPr="00DF198C" w:rsidRDefault="00EE305A" w:rsidP="00C36E4E">
      <w:pPr>
        <w:tabs>
          <w:tab w:val="left" w:pos="142"/>
        </w:tabs>
        <w:spacing w:after="0" w:line="360" w:lineRule="auto"/>
        <w:jc w:val="both"/>
        <w:rPr>
          <w:rFonts w:ascii="Arial" w:hAnsi="Arial" w:cs="Arial"/>
          <w:color w:val="000000"/>
          <w:sz w:val="24"/>
          <w:szCs w:val="24"/>
        </w:rPr>
      </w:pPr>
    </w:p>
    <w:p w:rsidR="00C36E4E" w:rsidRPr="00DF198C" w:rsidRDefault="00C36E4E" w:rsidP="00C36E4E">
      <w:pPr>
        <w:tabs>
          <w:tab w:val="left" w:pos="142"/>
        </w:tabs>
        <w:spacing w:after="0" w:line="360" w:lineRule="auto"/>
        <w:jc w:val="both"/>
        <w:rPr>
          <w:rFonts w:ascii="Arial" w:hAnsi="Arial" w:cs="Arial"/>
          <w:color w:val="000000"/>
          <w:sz w:val="24"/>
          <w:szCs w:val="24"/>
        </w:rPr>
      </w:pPr>
    </w:p>
    <w:p w:rsidR="000A63F8" w:rsidRPr="00DF198C" w:rsidRDefault="000A63F8" w:rsidP="000A63F8">
      <w:pPr>
        <w:tabs>
          <w:tab w:val="left" w:pos="142"/>
        </w:tabs>
        <w:spacing w:after="0" w:line="360" w:lineRule="auto"/>
        <w:jc w:val="both"/>
        <w:rPr>
          <w:rFonts w:ascii="Arial" w:hAnsi="Arial" w:cs="Arial"/>
          <w:sz w:val="24"/>
          <w:szCs w:val="24"/>
        </w:rPr>
      </w:pPr>
    </w:p>
    <w:p w:rsidR="000A63F8" w:rsidRPr="00DF198C" w:rsidRDefault="000A63F8" w:rsidP="000A63F8">
      <w:pPr>
        <w:tabs>
          <w:tab w:val="left" w:pos="142"/>
        </w:tabs>
        <w:spacing w:after="0" w:line="360" w:lineRule="auto"/>
        <w:jc w:val="both"/>
        <w:rPr>
          <w:rFonts w:ascii="Arial" w:hAnsi="Arial" w:cs="Arial"/>
          <w:sz w:val="24"/>
          <w:szCs w:val="24"/>
        </w:rPr>
      </w:pPr>
    </w:p>
    <w:sectPr w:rsidR="000A63F8" w:rsidRPr="00DF198C" w:rsidSect="00C757E5">
      <w:footerReference w:type="default" r:id="rId8"/>
      <w:pgSz w:w="12240" w:h="15840"/>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54E6" w:rsidRDefault="009354E6" w:rsidP="00D34401">
      <w:pPr>
        <w:spacing w:after="0" w:line="240" w:lineRule="auto"/>
      </w:pPr>
      <w:r>
        <w:separator/>
      </w:r>
    </w:p>
  </w:endnote>
  <w:endnote w:type="continuationSeparator" w:id="0">
    <w:p w:rsidR="009354E6" w:rsidRDefault="009354E6" w:rsidP="00D34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600238"/>
      <w:docPartObj>
        <w:docPartGallery w:val="Page Numbers (Bottom of Page)"/>
        <w:docPartUnique/>
      </w:docPartObj>
    </w:sdtPr>
    <w:sdtEndPr/>
    <w:sdtContent>
      <w:p w:rsidR="00205CC7" w:rsidRDefault="00205CC7">
        <w:pPr>
          <w:pStyle w:val="Piedepgina"/>
          <w:jc w:val="right"/>
        </w:pPr>
        <w:r>
          <w:fldChar w:fldCharType="begin"/>
        </w:r>
        <w:r>
          <w:instrText>PAGE   \* MERGEFORMAT</w:instrText>
        </w:r>
        <w:r>
          <w:fldChar w:fldCharType="separate"/>
        </w:r>
        <w:r w:rsidR="00E80489" w:rsidRPr="00E80489">
          <w:rPr>
            <w:noProof/>
            <w:lang w:val="es-ES"/>
          </w:rPr>
          <w:t>7</w:t>
        </w:r>
        <w:r>
          <w:fldChar w:fldCharType="end"/>
        </w:r>
      </w:p>
    </w:sdtContent>
  </w:sdt>
  <w:p w:rsidR="00205CC7" w:rsidRDefault="00205CC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54E6" w:rsidRDefault="009354E6" w:rsidP="00D34401">
      <w:pPr>
        <w:spacing w:after="0" w:line="240" w:lineRule="auto"/>
      </w:pPr>
      <w:r>
        <w:separator/>
      </w:r>
    </w:p>
  </w:footnote>
  <w:footnote w:type="continuationSeparator" w:id="0">
    <w:p w:rsidR="009354E6" w:rsidRDefault="009354E6" w:rsidP="00D34401">
      <w:pPr>
        <w:spacing w:after="0" w:line="240" w:lineRule="auto"/>
      </w:pPr>
      <w:r>
        <w:continuationSeparator/>
      </w:r>
    </w:p>
  </w:footnote>
  <w:footnote w:id="1">
    <w:p w:rsidR="002C58F7" w:rsidRPr="002C58F7" w:rsidRDefault="002C58F7">
      <w:pPr>
        <w:pStyle w:val="Textonotapie"/>
        <w:rPr>
          <w:sz w:val="16"/>
          <w:szCs w:val="16"/>
        </w:rPr>
      </w:pPr>
      <w:r w:rsidRPr="002C58F7">
        <w:rPr>
          <w:rStyle w:val="Refdenotaalpie"/>
          <w:sz w:val="16"/>
          <w:szCs w:val="16"/>
        </w:rPr>
        <w:footnoteRef/>
      </w:r>
      <w:r w:rsidRPr="002C58F7">
        <w:rPr>
          <w:sz w:val="16"/>
          <w:szCs w:val="16"/>
        </w:rPr>
        <w:t xml:space="preserve"> http://www.fedesarrollo.org.co/wp-content/uploads/2011/08/Efectos-y-consecuencias-del-sistema-de-c%C3%A1lculo-aplicado-a-las-tasas-IF-AECOM-2012.pdf</w:t>
      </w:r>
    </w:p>
  </w:footnote>
  <w:footnote w:id="2">
    <w:p w:rsidR="007C13A5" w:rsidRDefault="007C13A5">
      <w:pPr>
        <w:pStyle w:val="Textonotapie"/>
      </w:pPr>
      <w:r>
        <w:rPr>
          <w:rStyle w:val="Refdenotaalpie"/>
        </w:rPr>
        <w:footnoteRef/>
      </w:r>
      <w:r>
        <w:t xml:space="preserve"> Respuestas del Ministerio de Hacienda a cuestionario para debate de control </w:t>
      </w:r>
      <w:r w:rsidR="00E80489">
        <w:t>político, REF URF-E-2017-000142.</w:t>
      </w:r>
    </w:p>
  </w:footnote>
  <w:footnote w:id="3">
    <w:p w:rsidR="00B067CC" w:rsidRPr="000211B6" w:rsidRDefault="00B067CC" w:rsidP="00B067CC">
      <w:pPr>
        <w:pStyle w:val="Textonotapie"/>
        <w:rPr>
          <w:sz w:val="16"/>
          <w:szCs w:val="16"/>
        </w:rPr>
      </w:pPr>
      <w:r w:rsidRPr="002C58F7">
        <w:rPr>
          <w:rStyle w:val="Refdenotaalpie"/>
          <w:sz w:val="16"/>
          <w:szCs w:val="16"/>
        </w:rPr>
        <w:footnoteRef/>
      </w:r>
      <w:r w:rsidRPr="000211B6">
        <w:rPr>
          <w:sz w:val="16"/>
          <w:szCs w:val="16"/>
        </w:rPr>
        <w:t xml:space="preserve"> http://www.banrep.gov.co/sites/default/files/publicaciones/archivos/rref_sep_2013.pdf</w:t>
      </w:r>
    </w:p>
  </w:footnote>
  <w:footnote w:id="4">
    <w:p w:rsidR="00B067CC" w:rsidRPr="001B13CC" w:rsidRDefault="00B067CC" w:rsidP="00B067CC">
      <w:pPr>
        <w:pStyle w:val="Textonotapie"/>
        <w:rPr>
          <w:sz w:val="16"/>
          <w:szCs w:val="16"/>
        </w:rPr>
      </w:pPr>
      <w:r w:rsidRPr="002C58F7">
        <w:rPr>
          <w:rStyle w:val="Refdenotaalpie"/>
          <w:sz w:val="16"/>
          <w:szCs w:val="16"/>
        </w:rPr>
        <w:footnoteRef/>
      </w:r>
      <w:r w:rsidRPr="001B13CC">
        <w:rPr>
          <w:sz w:val="16"/>
          <w:szCs w:val="16"/>
        </w:rPr>
        <w:t xml:space="preserve"> </w:t>
      </w:r>
      <w:hyperlink r:id="rId1" w:history="1">
        <w:r w:rsidRPr="001B13CC">
          <w:rPr>
            <w:rStyle w:val="Hipervnculo"/>
            <w:sz w:val="16"/>
            <w:szCs w:val="16"/>
          </w:rPr>
          <w:t>http://www.banrep.gov.co/sites/default/files/publicaciones/archivos/rref_sep_2014.pdf</w:t>
        </w:r>
      </w:hyperlink>
    </w:p>
  </w:footnote>
  <w:footnote w:id="5">
    <w:p w:rsidR="00B067CC" w:rsidRPr="001B13CC" w:rsidRDefault="00B067CC" w:rsidP="00B067CC">
      <w:pPr>
        <w:pStyle w:val="Textonotapie"/>
        <w:rPr>
          <w:sz w:val="16"/>
          <w:szCs w:val="16"/>
        </w:rPr>
      </w:pPr>
      <w:r w:rsidRPr="002C58F7">
        <w:rPr>
          <w:rStyle w:val="Refdenotaalpie"/>
          <w:sz w:val="16"/>
          <w:szCs w:val="16"/>
        </w:rPr>
        <w:footnoteRef/>
      </w:r>
      <w:r w:rsidRPr="001B13CC">
        <w:rPr>
          <w:sz w:val="16"/>
          <w:szCs w:val="16"/>
        </w:rPr>
        <w:t xml:space="preserve"> http://www.banrep.gov.co/sites/default/files/publicaciones/archivos/amjdcartera_jun_2015.pdf</w:t>
      </w:r>
    </w:p>
  </w:footnote>
  <w:footnote w:id="6">
    <w:p w:rsidR="00B067CC" w:rsidRPr="001B13CC" w:rsidRDefault="00B067CC" w:rsidP="00B067CC">
      <w:pPr>
        <w:pStyle w:val="Textonotapie"/>
        <w:rPr>
          <w:sz w:val="16"/>
          <w:szCs w:val="16"/>
        </w:rPr>
      </w:pPr>
      <w:r w:rsidRPr="002C58F7">
        <w:rPr>
          <w:rStyle w:val="Refdenotaalpie"/>
          <w:sz w:val="16"/>
          <w:szCs w:val="16"/>
        </w:rPr>
        <w:footnoteRef/>
      </w:r>
      <w:r w:rsidRPr="001B13CC">
        <w:rPr>
          <w:sz w:val="16"/>
          <w:szCs w:val="16"/>
        </w:rPr>
        <w:t>https://www.superfinanciera.gov.co/jsp/loader.jsf?lServicio=Publicaciones&amp;lTipo=publicaciones&amp;lFuncion=loadContenidoPublicacion&amp;id=10081702</w:t>
      </w:r>
    </w:p>
  </w:footnote>
  <w:footnote w:id="7">
    <w:p w:rsidR="00E80489" w:rsidRDefault="00E80489">
      <w:pPr>
        <w:pStyle w:val="Textonotapie"/>
      </w:pPr>
      <w:r>
        <w:rPr>
          <w:rStyle w:val="Refdenotaalpie"/>
        </w:rPr>
        <w:footnoteRef/>
      </w:r>
      <w:r>
        <w:t xml:space="preserve"> Ministerio de Hacienda. </w:t>
      </w:r>
      <w:proofErr w:type="spellStart"/>
      <w:r>
        <w:t>Op</w:t>
      </w:r>
      <w:proofErr w:type="spellEnd"/>
      <w:r>
        <w:t>. Cit.</w:t>
      </w:r>
    </w:p>
  </w:footnote>
  <w:footnote w:id="8">
    <w:p w:rsidR="00E80489" w:rsidRDefault="00E80489">
      <w:pPr>
        <w:pStyle w:val="Textonotapie"/>
      </w:pPr>
      <w:r>
        <w:rPr>
          <w:rStyle w:val="Refdenotaalpi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F93BB5"/>
    <w:multiLevelType w:val="hybridMultilevel"/>
    <w:tmpl w:val="A0A8EF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0E12DF1"/>
    <w:multiLevelType w:val="hybridMultilevel"/>
    <w:tmpl w:val="80A25B2C"/>
    <w:lvl w:ilvl="0" w:tplc="80E2F5CE">
      <w:start w:val="1"/>
      <w:numFmt w:val="decimal"/>
      <w:lvlText w:val="%1."/>
      <w:lvlJc w:val="left"/>
      <w:pPr>
        <w:ind w:left="360" w:hanging="360"/>
      </w:pPr>
      <w:rPr>
        <w:rFonts w:ascii="Arial" w:hAnsi="Arial" w:cs="Arial" w:hint="default"/>
        <w:sz w:val="24"/>
        <w:u w:val="non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44B769A5"/>
    <w:multiLevelType w:val="hybridMultilevel"/>
    <w:tmpl w:val="CABE844C"/>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3" w15:restartNumberingAfterBreak="0">
    <w:nsid w:val="723D6BF5"/>
    <w:multiLevelType w:val="hybridMultilevel"/>
    <w:tmpl w:val="C4126F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6A1"/>
    <w:rsid w:val="0000015D"/>
    <w:rsid w:val="00005530"/>
    <w:rsid w:val="00006816"/>
    <w:rsid w:val="000211B6"/>
    <w:rsid w:val="00032200"/>
    <w:rsid w:val="000671AE"/>
    <w:rsid w:val="000A63F8"/>
    <w:rsid w:val="000E6DC1"/>
    <w:rsid w:val="001113B3"/>
    <w:rsid w:val="001779E2"/>
    <w:rsid w:val="001A23C3"/>
    <w:rsid w:val="001B13CC"/>
    <w:rsid w:val="001D204E"/>
    <w:rsid w:val="001D212C"/>
    <w:rsid w:val="001D7931"/>
    <w:rsid w:val="001D7E4F"/>
    <w:rsid w:val="00205CC7"/>
    <w:rsid w:val="00221269"/>
    <w:rsid w:val="00256652"/>
    <w:rsid w:val="00276062"/>
    <w:rsid w:val="00277CA1"/>
    <w:rsid w:val="00287830"/>
    <w:rsid w:val="002949C4"/>
    <w:rsid w:val="002C520E"/>
    <w:rsid w:val="002C58F7"/>
    <w:rsid w:val="002D03A9"/>
    <w:rsid w:val="002D5028"/>
    <w:rsid w:val="002F706E"/>
    <w:rsid w:val="00300E6A"/>
    <w:rsid w:val="00305B88"/>
    <w:rsid w:val="00305E3C"/>
    <w:rsid w:val="00321FAD"/>
    <w:rsid w:val="00323167"/>
    <w:rsid w:val="00324818"/>
    <w:rsid w:val="003937A7"/>
    <w:rsid w:val="003E525A"/>
    <w:rsid w:val="003F3361"/>
    <w:rsid w:val="00423066"/>
    <w:rsid w:val="004265D6"/>
    <w:rsid w:val="00455B6E"/>
    <w:rsid w:val="00482001"/>
    <w:rsid w:val="004B2070"/>
    <w:rsid w:val="005761BA"/>
    <w:rsid w:val="005768B1"/>
    <w:rsid w:val="00581F62"/>
    <w:rsid w:val="005C0739"/>
    <w:rsid w:val="006269AB"/>
    <w:rsid w:val="006379F1"/>
    <w:rsid w:val="006774DA"/>
    <w:rsid w:val="006F41EF"/>
    <w:rsid w:val="00705A05"/>
    <w:rsid w:val="007079F0"/>
    <w:rsid w:val="007245B8"/>
    <w:rsid w:val="00732997"/>
    <w:rsid w:val="00753D55"/>
    <w:rsid w:val="007C13A5"/>
    <w:rsid w:val="007E5C5F"/>
    <w:rsid w:val="008036D3"/>
    <w:rsid w:val="008103DA"/>
    <w:rsid w:val="00813A07"/>
    <w:rsid w:val="00826E3B"/>
    <w:rsid w:val="0085264A"/>
    <w:rsid w:val="0085420A"/>
    <w:rsid w:val="00861DF0"/>
    <w:rsid w:val="00895635"/>
    <w:rsid w:val="008D4E26"/>
    <w:rsid w:val="008F5C03"/>
    <w:rsid w:val="00902EC4"/>
    <w:rsid w:val="009354E6"/>
    <w:rsid w:val="00955D2A"/>
    <w:rsid w:val="009746F2"/>
    <w:rsid w:val="009A19EE"/>
    <w:rsid w:val="009A26A1"/>
    <w:rsid w:val="009B2AFB"/>
    <w:rsid w:val="009C2D20"/>
    <w:rsid w:val="009C6999"/>
    <w:rsid w:val="009D3152"/>
    <w:rsid w:val="00A12567"/>
    <w:rsid w:val="00A267BC"/>
    <w:rsid w:val="00A367A2"/>
    <w:rsid w:val="00A465B9"/>
    <w:rsid w:val="00A46835"/>
    <w:rsid w:val="00A47CA3"/>
    <w:rsid w:val="00A50DF6"/>
    <w:rsid w:val="00A819F5"/>
    <w:rsid w:val="00A81CB2"/>
    <w:rsid w:val="00A8798B"/>
    <w:rsid w:val="00B067C2"/>
    <w:rsid w:val="00B067CC"/>
    <w:rsid w:val="00B21631"/>
    <w:rsid w:val="00B63ECE"/>
    <w:rsid w:val="00B82A83"/>
    <w:rsid w:val="00B82CBE"/>
    <w:rsid w:val="00B85404"/>
    <w:rsid w:val="00BA146C"/>
    <w:rsid w:val="00BC437A"/>
    <w:rsid w:val="00BD0569"/>
    <w:rsid w:val="00BE697E"/>
    <w:rsid w:val="00C167B4"/>
    <w:rsid w:val="00C36E4E"/>
    <w:rsid w:val="00C40087"/>
    <w:rsid w:val="00C45FE0"/>
    <w:rsid w:val="00C4622A"/>
    <w:rsid w:val="00C520F7"/>
    <w:rsid w:val="00C757E5"/>
    <w:rsid w:val="00C82F6A"/>
    <w:rsid w:val="00C84681"/>
    <w:rsid w:val="00C95453"/>
    <w:rsid w:val="00CB32E4"/>
    <w:rsid w:val="00CD778B"/>
    <w:rsid w:val="00D0077E"/>
    <w:rsid w:val="00D143F1"/>
    <w:rsid w:val="00D34401"/>
    <w:rsid w:val="00D42690"/>
    <w:rsid w:val="00D5245D"/>
    <w:rsid w:val="00D63ADD"/>
    <w:rsid w:val="00DF198C"/>
    <w:rsid w:val="00E06DE0"/>
    <w:rsid w:val="00E17434"/>
    <w:rsid w:val="00E257C4"/>
    <w:rsid w:val="00E36C2F"/>
    <w:rsid w:val="00E55B6C"/>
    <w:rsid w:val="00E60B84"/>
    <w:rsid w:val="00E629CD"/>
    <w:rsid w:val="00E72AF1"/>
    <w:rsid w:val="00E75D49"/>
    <w:rsid w:val="00E80489"/>
    <w:rsid w:val="00E81D3C"/>
    <w:rsid w:val="00E82F77"/>
    <w:rsid w:val="00E84CF7"/>
    <w:rsid w:val="00EA4CDC"/>
    <w:rsid w:val="00EC4EAB"/>
    <w:rsid w:val="00EE305A"/>
    <w:rsid w:val="00F926A1"/>
    <w:rsid w:val="00FB4E8A"/>
    <w:rsid w:val="00FB52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67B46"/>
  <w15:docId w15:val="{FEFF215C-E1F0-4C33-AAB6-F553EB4A7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D34401"/>
    <w:pPr>
      <w:spacing w:after="0" w:line="240" w:lineRule="auto"/>
    </w:pPr>
    <w:rPr>
      <w:sz w:val="20"/>
      <w:szCs w:val="20"/>
    </w:rPr>
  </w:style>
  <w:style w:type="character" w:customStyle="1" w:styleId="TextonotapieCar">
    <w:name w:val="Texto nota pie Car"/>
    <w:basedOn w:val="Fuentedeprrafopredeter"/>
    <w:link w:val="Textonotapie"/>
    <w:uiPriority w:val="99"/>
    <w:rsid w:val="00D34401"/>
    <w:rPr>
      <w:sz w:val="20"/>
      <w:szCs w:val="20"/>
    </w:rPr>
  </w:style>
  <w:style w:type="character" w:styleId="Refdenotaalpie">
    <w:name w:val="footnote reference"/>
    <w:basedOn w:val="Fuentedeprrafopredeter"/>
    <w:uiPriority w:val="99"/>
    <w:semiHidden/>
    <w:unhideWhenUsed/>
    <w:rsid w:val="00D34401"/>
    <w:rPr>
      <w:vertAlign w:val="superscript"/>
    </w:rPr>
  </w:style>
  <w:style w:type="paragraph" w:styleId="Sinespaciado">
    <w:name w:val="No Spacing"/>
    <w:uiPriority w:val="1"/>
    <w:qFormat/>
    <w:rsid w:val="00D34401"/>
    <w:pPr>
      <w:spacing w:after="0" w:line="240" w:lineRule="auto"/>
    </w:pPr>
  </w:style>
  <w:style w:type="character" w:styleId="Hipervnculo">
    <w:name w:val="Hyperlink"/>
    <w:basedOn w:val="Fuentedeprrafopredeter"/>
    <w:uiPriority w:val="99"/>
    <w:unhideWhenUsed/>
    <w:rsid w:val="002C58F7"/>
    <w:rPr>
      <w:color w:val="0000FF" w:themeColor="hyperlink"/>
      <w:u w:val="single"/>
    </w:rPr>
  </w:style>
  <w:style w:type="paragraph" w:styleId="Prrafodelista">
    <w:name w:val="List Paragraph"/>
    <w:aliases w:val="titulo 3"/>
    <w:basedOn w:val="Normal"/>
    <w:link w:val="PrrafodelistaCar"/>
    <w:uiPriority w:val="34"/>
    <w:qFormat/>
    <w:rsid w:val="003937A7"/>
    <w:pPr>
      <w:ind w:left="720"/>
      <w:contextualSpacing/>
    </w:pPr>
  </w:style>
  <w:style w:type="character" w:customStyle="1" w:styleId="PrrafodelistaCar">
    <w:name w:val="Párrafo de lista Car"/>
    <w:aliases w:val="titulo 3 Car"/>
    <w:link w:val="Prrafodelista"/>
    <w:uiPriority w:val="34"/>
    <w:locked/>
    <w:rsid w:val="001B13CC"/>
  </w:style>
  <w:style w:type="paragraph" w:styleId="NormalWeb">
    <w:name w:val="Normal (Web)"/>
    <w:basedOn w:val="Normal"/>
    <w:uiPriority w:val="99"/>
    <w:unhideWhenUsed/>
    <w:rsid w:val="00E17434"/>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205C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5CC7"/>
  </w:style>
  <w:style w:type="paragraph" w:styleId="Piedepgina">
    <w:name w:val="footer"/>
    <w:basedOn w:val="Normal"/>
    <w:link w:val="PiedepginaCar"/>
    <w:uiPriority w:val="99"/>
    <w:unhideWhenUsed/>
    <w:rsid w:val="00205C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5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595677">
      <w:bodyDiv w:val="1"/>
      <w:marLeft w:val="0"/>
      <w:marRight w:val="0"/>
      <w:marTop w:val="0"/>
      <w:marBottom w:val="0"/>
      <w:divBdr>
        <w:top w:val="none" w:sz="0" w:space="0" w:color="auto"/>
        <w:left w:val="none" w:sz="0" w:space="0" w:color="auto"/>
        <w:bottom w:val="none" w:sz="0" w:space="0" w:color="auto"/>
        <w:right w:val="none" w:sz="0" w:space="0" w:color="auto"/>
      </w:divBdr>
    </w:div>
    <w:div w:id="134297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anrep.gov.co/sites/default/files/publicaciones/archivos/rref_sep_201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E9C16-64C6-4ADA-BFAA-131456C9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7</Pages>
  <Words>1517</Words>
  <Characters>8347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melisamarchena</dc:creator>
  <cp:lastModifiedBy>Annys Cañavera</cp:lastModifiedBy>
  <cp:revision>6</cp:revision>
  <dcterms:created xsi:type="dcterms:W3CDTF">2018-07-18T16:33:00Z</dcterms:created>
  <dcterms:modified xsi:type="dcterms:W3CDTF">2018-07-19T18:46:00Z</dcterms:modified>
</cp:coreProperties>
</file>