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A55" w:rsidRPr="00B045BD" w:rsidRDefault="00AB1A55" w:rsidP="00AB1A55">
      <w:pPr>
        <w:pStyle w:val="NormalWeb"/>
        <w:jc w:val="center"/>
        <w:rPr>
          <w:rFonts w:ascii="Verdana" w:hAnsi="Verdana"/>
          <w:lang w:val="es-ES"/>
        </w:rPr>
      </w:pPr>
      <w:r w:rsidRPr="00B045BD">
        <w:rPr>
          <w:rStyle w:val="Textoennegrita"/>
          <w:rFonts w:ascii="Verdana" w:hAnsi="Verdana"/>
          <w:lang w:val="es-ES"/>
        </w:rPr>
        <w:t xml:space="preserve">PROYECTO DE LEY </w:t>
      </w:r>
      <w:r>
        <w:rPr>
          <w:rStyle w:val="Textoennegrita"/>
          <w:rFonts w:ascii="Verdana" w:hAnsi="Verdana"/>
          <w:lang w:val="es-ES"/>
        </w:rPr>
        <w:t xml:space="preserve">____ </w:t>
      </w:r>
      <w:r w:rsidRPr="00B045BD">
        <w:rPr>
          <w:rStyle w:val="Textoennegrita"/>
          <w:rFonts w:ascii="Verdana" w:hAnsi="Verdana"/>
          <w:lang w:val="es-ES"/>
        </w:rPr>
        <w:t xml:space="preserve">DE </w:t>
      </w:r>
      <w:r>
        <w:rPr>
          <w:rStyle w:val="Textoennegrita"/>
          <w:rFonts w:ascii="Verdana" w:hAnsi="Verdana"/>
          <w:lang w:val="es-ES"/>
        </w:rPr>
        <w:t>2018</w:t>
      </w:r>
      <w:r w:rsidRPr="00B045BD">
        <w:rPr>
          <w:rStyle w:val="Textoennegrita"/>
          <w:rFonts w:ascii="Verdana" w:hAnsi="Verdana"/>
          <w:lang w:val="es-ES"/>
        </w:rPr>
        <w:t xml:space="preserve"> CÁMARA. </w:t>
      </w:r>
    </w:p>
    <w:p w:rsidR="00AB1A55" w:rsidRDefault="00AB1A55" w:rsidP="00AB1A55">
      <w:pPr>
        <w:jc w:val="center"/>
        <w:rPr>
          <w:rFonts w:ascii="Verdana" w:hAnsi="Verdana"/>
          <w:lang w:val="es-ES"/>
        </w:rPr>
      </w:pPr>
    </w:p>
    <w:p w:rsidR="00AB1A55" w:rsidRPr="00B045BD" w:rsidRDefault="00AB1A55" w:rsidP="00AB1A55">
      <w:pPr>
        <w:jc w:val="center"/>
        <w:rPr>
          <w:rFonts w:ascii="Verdana" w:hAnsi="Verdana"/>
          <w:b/>
          <w:lang w:val="es-ES"/>
        </w:rPr>
      </w:pPr>
      <w:r w:rsidRPr="00B045BD">
        <w:rPr>
          <w:rFonts w:ascii="Verdana" w:hAnsi="Verdana"/>
          <w:b/>
          <w:lang w:val="es-ES"/>
        </w:rPr>
        <w:t xml:space="preserve">Por medio de la cual se modifica el artículo 350 de la ley 1819 de 2016, y se dictan otras disposiciones </w:t>
      </w:r>
    </w:p>
    <w:p w:rsidR="00AB1A55" w:rsidRPr="00B045BD" w:rsidRDefault="00AB1A55" w:rsidP="00AB1A55">
      <w:pPr>
        <w:jc w:val="center"/>
        <w:rPr>
          <w:rFonts w:ascii="Verdana" w:hAnsi="Verdana"/>
          <w:b/>
          <w:lang w:val="es-ES"/>
        </w:rPr>
      </w:pPr>
    </w:p>
    <w:p w:rsidR="00AB1A55" w:rsidRDefault="00AB1A55" w:rsidP="00AB1A55">
      <w:pPr>
        <w:widowControl w:val="0"/>
        <w:adjustRightInd w:val="0"/>
        <w:spacing w:before="34" w:after="34" w:line="262" w:lineRule="atLeast"/>
        <w:jc w:val="center"/>
        <w:rPr>
          <w:rFonts w:ascii="Verdana" w:hAnsi="Verdana" w:cs="Arial"/>
          <w:b/>
          <w:lang w:val="es-ES"/>
        </w:rPr>
      </w:pPr>
    </w:p>
    <w:p w:rsidR="00AB1A55" w:rsidRPr="00B045BD" w:rsidRDefault="00AB1A55" w:rsidP="00AB1A55">
      <w:pPr>
        <w:widowControl w:val="0"/>
        <w:adjustRightInd w:val="0"/>
        <w:spacing w:before="34" w:after="34" w:line="262" w:lineRule="atLeast"/>
        <w:jc w:val="center"/>
        <w:rPr>
          <w:rFonts w:ascii="Verdana" w:hAnsi="Verdana" w:cs="Arial"/>
          <w:b/>
          <w:lang w:val="es-ES"/>
        </w:rPr>
      </w:pPr>
      <w:r w:rsidRPr="00B045BD">
        <w:rPr>
          <w:rFonts w:ascii="Verdana" w:hAnsi="Verdana" w:cs="Arial"/>
          <w:b/>
          <w:lang w:val="es-ES"/>
        </w:rPr>
        <w:t>El Congreso de la República de Colombia</w:t>
      </w:r>
    </w:p>
    <w:p w:rsidR="00AB1A55" w:rsidRPr="00B045BD" w:rsidRDefault="00AB1A55" w:rsidP="00AB1A55">
      <w:pPr>
        <w:widowControl w:val="0"/>
        <w:adjustRightInd w:val="0"/>
        <w:spacing w:before="34" w:after="34" w:line="262" w:lineRule="atLeast"/>
        <w:jc w:val="center"/>
        <w:rPr>
          <w:rFonts w:ascii="Verdana" w:hAnsi="Verdana" w:cs="Arial"/>
          <w:b/>
          <w:lang w:val="es-ES"/>
        </w:rPr>
      </w:pPr>
    </w:p>
    <w:p w:rsidR="00AB1A55" w:rsidRPr="00B045BD" w:rsidRDefault="00AB1A55" w:rsidP="00AB1A55">
      <w:pPr>
        <w:widowControl w:val="0"/>
        <w:adjustRightInd w:val="0"/>
        <w:spacing w:before="34" w:after="34" w:line="262" w:lineRule="atLeast"/>
        <w:jc w:val="center"/>
        <w:rPr>
          <w:rFonts w:ascii="Verdana" w:hAnsi="Verdana" w:cs="Arial"/>
          <w:b/>
          <w:lang w:val="es-ES"/>
        </w:rPr>
      </w:pPr>
      <w:r w:rsidRPr="00B045BD">
        <w:rPr>
          <w:rFonts w:ascii="Verdana" w:hAnsi="Verdana" w:cs="Arial"/>
          <w:b/>
          <w:lang w:val="es-ES"/>
        </w:rPr>
        <w:t>DECRETA:</w:t>
      </w:r>
    </w:p>
    <w:p w:rsidR="00AB1A55" w:rsidRPr="00B045BD" w:rsidRDefault="00AB1A55" w:rsidP="00AB1A55">
      <w:pPr>
        <w:widowControl w:val="0"/>
        <w:adjustRightInd w:val="0"/>
        <w:spacing w:before="34" w:after="34" w:line="262" w:lineRule="atLeast"/>
        <w:jc w:val="center"/>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sidRPr="00B045BD">
        <w:rPr>
          <w:rFonts w:ascii="Verdana" w:hAnsi="Verdana" w:cs="Arial"/>
          <w:b/>
          <w:lang w:val="es-ES"/>
        </w:rPr>
        <w:t>Artículo 1º.</w:t>
      </w:r>
      <w:r w:rsidRPr="00B045BD">
        <w:rPr>
          <w:rFonts w:ascii="Verdana" w:hAnsi="Verdana" w:cs="Arial"/>
          <w:lang w:val="es-ES"/>
        </w:rPr>
        <w:t xml:space="preserve"> El artículo 350 de l</w:t>
      </w:r>
      <w:r>
        <w:rPr>
          <w:rFonts w:ascii="Verdana" w:hAnsi="Verdana" w:cs="Arial"/>
          <w:lang w:val="es-ES"/>
        </w:rPr>
        <w:t>a ley 1819 de 2016, quedará así:</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2" w:lineRule="atLeast"/>
        <w:jc w:val="both"/>
        <w:rPr>
          <w:rFonts w:ascii="Verdana" w:hAnsi="Verdana" w:cs="Arial"/>
          <w:lang w:val="es-ES"/>
        </w:rPr>
      </w:pPr>
      <w:r w:rsidRPr="00B045BD">
        <w:rPr>
          <w:rFonts w:ascii="Verdana" w:hAnsi="Verdana" w:cs="Arial"/>
          <w:lang w:val="es-ES"/>
        </w:rPr>
        <w:t xml:space="preserve">Destinación. El impuesto de alumbrado público como actividad inherente al servicio de energía eléctrica se destina a la prestación, mejora, modernización y ampliación de la prestación del servicio de alumbrado público, incluyendo suministro, administración, operación, mantenimiento, expansión y desarrollo tecnológico asociado e igualmente a cualquier otra actividad (obras, bienes o servicios) que tenga relación con la prestación de los servicios públicos y funciones que estén a cargo de los Distritos y Municipios. </w:t>
      </w:r>
    </w:p>
    <w:p w:rsidR="00AB1A55" w:rsidRDefault="00AB1A55" w:rsidP="00AB1A55">
      <w:pPr>
        <w:widowControl w:val="0"/>
        <w:adjustRightInd w:val="0"/>
        <w:spacing w:before="34" w:after="34" w:line="262" w:lineRule="atLeast"/>
        <w:jc w:val="both"/>
        <w:rPr>
          <w:rFonts w:ascii="Verdana" w:hAnsi="Verdana" w:cs="Arial"/>
          <w:lang w:val="es-ES"/>
        </w:rPr>
      </w:pPr>
    </w:p>
    <w:p w:rsidR="00AB1A55" w:rsidRDefault="00AB1A55" w:rsidP="00AB1A55">
      <w:pPr>
        <w:widowControl w:val="0"/>
        <w:adjustRightInd w:val="0"/>
        <w:spacing w:before="34" w:after="34" w:line="262" w:lineRule="atLeast"/>
        <w:jc w:val="both"/>
        <w:rPr>
          <w:rFonts w:ascii="Verdana" w:hAnsi="Verdana" w:cs="Arial"/>
          <w:lang w:val="es-ES"/>
        </w:rPr>
      </w:pPr>
      <w:r w:rsidRPr="00B045BD">
        <w:rPr>
          <w:rFonts w:ascii="Verdana" w:hAnsi="Verdana" w:cs="Arial"/>
          <w:lang w:val="es-ES"/>
        </w:rPr>
        <w:t>En todo caso, los recursos derivados del impuesto de alumbrado público, se utilizarán en primer lugar a financiar las actividades de prestación, mejora, modernización y ampliación del servicio</w:t>
      </w:r>
      <w:r>
        <w:rPr>
          <w:rFonts w:ascii="Verdana" w:hAnsi="Verdana" w:cs="Arial"/>
          <w:lang w:val="es-ES"/>
        </w:rPr>
        <w:t>;</w:t>
      </w:r>
      <w:r w:rsidRPr="00B045BD">
        <w:rPr>
          <w:rFonts w:ascii="Verdana" w:hAnsi="Verdana" w:cs="Arial"/>
          <w:lang w:val="es-ES"/>
        </w:rPr>
        <w:t xml:space="preserve"> si quedan excedentes, estos se podrán emplear para financiar los otros servicios a cargo de los Distritos y Municipios.</w:t>
      </w:r>
      <w:r>
        <w:rPr>
          <w:rFonts w:ascii="Verdana" w:hAnsi="Verdana" w:cs="Arial"/>
          <w:lang w:val="es-ES"/>
        </w:rPr>
        <w:t xml:space="preserve"> </w:t>
      </w:r>
      <w:r w:rsidRPr="00B045BD">
        <w:rPr>
          <w:rFonts w:ascii="Verdana" w:hAnsi="Verdana" w:cs="Arial"/>
          <w:lang w:val="es-ES"/>
        </w:rPr>
        <w:t xml:space="preserve"> </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Parágrafo. En ningún caso estos dineros podrán destinarse para pagar gastos de funcionamiento.</w:t>
      </w:r>
    </w:p>
    <w:p w:rsidR="00AB1A55" w:rsidRDefault="00AB1A55" w:rsidP="00AB1A55">
      <w:pPr>
        <w:widowControl w:val="0"/>
        <w:adjustRightInd w:val="0"/>
        <w:spacing w:before="34" w:after="34" w:line="262" w:lineRule="atLeast"/>
        <w:jc w:val="both"/>
        <w:rPr>
          <w:rFonts w:ascii="Verdana" w:hAnsi="Verdana" w:cs="Arial"/>
          <w:b/>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sidRPr="00B045BD">
        <w:rPr>
          <w:rFonts w:ascii="Verdana" w:hAnsi="Verdana" w:cs="Arial"/>
          <w:b/>
          <w:lang w:val="es-ES"/>
        </w:rPr>
        <w:t>Artículo 2º.</w:t>
      </w:r>
      <w:r w:rsidRPr="00B045BD">
        <w:rPr>
          <w:rFonts w:ascii="Verdana" w:hAnsi="Verdana" w:cs="Arial"/>
          <w:lang w:val="es-ES"/>
        </w:rPr>
        <w:t xml:space="preserve"> La presente ley rige a partir de su promulgación y deroga las demás disposiciones que le sean contrarias.</w:t>
      </w:r>
    </w:p>
    <w:p w:rsidR="00AB1A55" w:rsidRPr="00B045BD" w:rsidRDefault="00AB1A55" w:rsidP="00AB1A55">
      <w:pPr>
        <w:widowControl w:val="0"/>
        <w:adjustRightInd w:val="0"/>
        <w:spacing w:before="34" w:after="34" w:line="262" w:lineRule="atLeast"/>
        <w:ind w:firstLine="283"/>
        <w:jc w:val="right"/>
        <w:rPr>
          <w:rFonts w:ascii="Verdana" w:hAnsi="Verdana" w:cs="Arial"/>
          <w:i/>
          <w:iCs/>
          <w:lang w:val="es-ES"/>
        </w:rPr>
      </w:pPr>
    </w:p>
    <w:p w:rsidR="00AB1A55" w:rsidRPr="00B045BD" w:rsidRDefault="00AB1A55" w:rsidP="00AB1A55">
      <w:pPr>
        <w:widowControl w:val="0"/>
        <w:adjustRightInd w:val="0"/>
        <w:spacing w:before="34" w:after="34" w:line="262" w:lineRule="atLeast"/>
        <w:jc w:val="center"/>
        <w:rPr>
          <w:rFonts w:ascii="Verdana" w:hAnsi="Verdana" w:cs="Arial"/>
          <w:b/>
          <w:bCs/>
          <w:lang w:val="es-ES"/>
        </w:rPr>
      </w:pPr>
    </w:p>
    <w:p w:rsidR="00AB1A55" w:rsidRPr="00B045BD" w:rsidRDefault="00AB1A55" w:rsidP="00AB1A55">
      <w:pPr>
        <w:widowControl w:val="0"/>
        <w:adjustRightInd w:val="0"/>
        <w:spacing w:before="34" w:after="34" w:line="262" w:lineRule="atLeast"/>
        <w:jc w:val="center"/>
        <w:rPr>
          <w:rFonts w:ascii="Verdana" w:hAnsi="Verdana" w:cs="Arial"/>
          <w:b/>
          <w:bCs/>
          <w:lang w:val="es-ES"/>
        </w:rPr>
      </w:pPr>
    </w:p>
    <w:p w:rsidR="00AB1A55" w:rsidRPr="00B045BD" w:rsidRDefault="00AB1A55" w:rsidP="00AB1A55">
      <w:pPr>
        <w:widowControl w:val="0"/>
        <w:adjustRightInd w:val="0"/>
        <w:spacing w:before="34" w:after="34" w:line="262" w:lineRule="atLeast"/>
        <w:jc w:val="center"/>
        <w:rPr>
          <w:rFonts w:ascii="Verdana" w:hAnsi="Verdana" w:cs="Arial"/>
          <w:b/>
          <w:bCs/>
          <w:lang w:val="es-ES"/>
        </w:rPr>
      </w:pPr>
    </w:p>
    <w:p w:rsidR="00AB1A55" w:rsidRPr="00B045BD" w:rsidRDefault="00AB1A55" w:rsidP="00AB1A55">
      <w:pPr>
        <w:widowControl w:val="0"/>
        <w:adjustRightInd w:val="0"/>
        <w:spacing w:before="34" w:after="34" w:line="266" w:lineRule="atLeast"/>
        <w:ind w:firstLine="283"/>
        <w:jc w:val="center"/>
        <w:rPr>
          <w:rFonts w:ascii="Verdana" w:hAnsi="Verdana" w:cs="Arial"/>
          <w:b/>
          <w:lang w:val="es-ES"/>
        </w:rPr>
      </w:pPr>
      <w:r w:rsidRPr="00B045BD">
        <w:rPr>
          <w:rFonts w:ascii="Verdana" w:hAnsi="Verdana" w:cs="Arial"/>
          <w:b/>
          <w:lang w:val="es-ES"/>
        </w:rPr>
        <w:lastRenderedPageBreak/>
        <w:t>OBJETO DEL PROYECTO DE LEY</w:t>
      </w:r>
    </w:p>
    <w:p w:rsidR="00AB1A55" w:rsidRDefault="00AB1A55" w:rsidP="00AB1A55">
      <w:pPr>
        <w:widowControl w:val="0"/>
        <w:adjustRightInd w:val="0"/>
        <w:spacing w:before="34" w:after="34" w:line="266"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6" w:lineRule="atLeast"/>
        <w:ind w:firstLine="283"/>
        <w:jc w:val="both"/>
        <w:rPr>
          <w:rFonts w:ascii="Verdana" w:hAnsi="Verdana" w:cs="Arial"/>
          <w:lang w:val="es-ES"/>
        </w:rPr>
      </w:pPr>
      <w:r>
        <w:rPr>
          <w:rFonts w:ascii="Verdana" w:hAnsi="Verdana" w:cs="Arial"/>
          <w:lang w:val="es-ES"/>
        </w:rPr>
        <w:t>El objetivo de este proyecto de</w:t>
      </w:r>
      <w:r w:rsidRPr="00B045BD">
        <w:rPr>
          <w:rFonts w:ascii="Verdana" w:hAnsi="Verdana" w:cs="Arial"/>
          <w:lang w:val="es-ES"/>
        </w:rPr>
        <w:t xml:space="preserve"> ley </w:t>
      </w:r>
      <w:r>
        <w:rPr>
          <w:rFonts w:ascii="Verdana" w:hAnsi="Verdana" w:cs="Arial"/>
          <w:lang w:val="es-ES"/>
        </w:rPr>
        <w:t>es que los municipios y distritos tengan nuevamente</w:t>
      </w:r>
      <w:r w:rsidRPr="00B045BD">
        <w:rPr>
          <w:rFonts w:ascii="Verdana" w:hAnsi="Verdana" w:cs="Arial"/>
          <w:lang w:val="es-ES"/>
        </w:rPr>
        <w:t xml:space="preserve"> la posibilidad de destinar </w:t>
      </w:r>
      <w:r>
        <w:rPr>
          <w:rFonts w:ascii="Verdana" w:hAnsi="Verdana" w:cs="Arial"/>
          <w:lang w:val="es-ES"/>
        </w:rPr>
        <w:t xml:space="preserve">parte de </w:t>
      </w:r>
      <w:r w:rsidRPr="00B045BD">
        <w:rPr>
          <w:rFonts w:ascii="Verdana" w:hAnsi="Verdana" w:cs="Arial"/>
          <w:lang w:val="es-ES"/>
        </w:rPr>
        <w:t>los recursos derivados del impuesto de alumbrado público, no sólo para financiar la prestación de dicho</w:t>
      </w:r>
      <w:r>
        <w:rPr>
          <w:rFonts w:ascii="Verdana" w:hAnsi="Verdana" w:cs="Arial"/>
          <w:lang w:val="es-ES"/>
        </w:rPr>
        <w:t xml:space="preserve"> servicio público sino también actividades que tengan relación directa con la prestación de otros servicios públicos y</w:t>
      </w:r>
      <w:r w:rsidRPr="00B045BD">
        <w:rPr>
          <w:rFonts w:ascii="Verdana" w:hAnsi="Verdana" w:cs="Arial"/>
          <w:lang w:val="es-ES"/>
        </w:rPr>
        <w:t xml:space="preserve"> actividades que estén igualmente a cargo de dichas entidades territoriales, siempre que </w:t>
      </w:r>
      <w:r>
        <w:rPr>
          <w:rFonts w:ascii="Verdana" w:hAnsi="Verdana" w:cs="Arial"/>
          <w:lang w:val="es-ES"/>
        </w:rPr>
        <w:t xml:space="preserve">primero </w:t>
      </w:r>
      <w:r w:rsidRPr="00B045BD">
        <w:rPr>
          <w:rFonts w:ascii="Verdana" w:hAnsi="Verdana" w:cs="Arial"/>
          <w:lang w:val="es-ES"/>
        </w:rPr>
        <w:t xml:space="preserve">se asegure el financiamiento de los servicios de alumbrado público. </w:t>
      </w:r>
    </w:p>
    <w:p w:rsidR="00AB1A55" w:rsidRDefault="00AB1A55" w:rsidP="00AB1A55">
      <w:pPr>
        <w:widowControl w:val="0"/>
        <w:adjustRightInd w:val="0"/>
        <w:spacing w:before="34" w:after="34" w:line="262" w:lineRule="atLeast"/>
        <w:jc w:val="center"/>
        <w:rPr>
          <w:rFonts w:ascii="Verdana" w:hAnsi="Verdana" w:cs="Arial"/>
          <w:b/>
          <w:bCs/>
          <w:lang w:val="es-ES"/>
        </w:rPr>
      </w:pPr>
    </w:p>
    <w:p w:rsidR="00AB1A55" w:rsidRPr="00B045BD" w:rsidRDefault="00AB1A55" w:rsidP="00AB1A55">
      <w:pPr>
        <w:widowControl w:val="0"/>
        <w:adjustRightInd w:val="0"/>
        <w:spacing w:before="34" w:after="34" w:line="262" w:lineRule="atLeast"/>
        <w:jc w:val="center"/>
        <w:rPr>
          <w:rFonts w:ascii="Verdana" w:hAnsi="Verdana" w:cs="Arial"/>
          <w:b/>
          <w:bCs/>
          <w:lang w:val="es-ES"/>
        </w:rPr>
      </w:pPr>
      <w:r>
        <w:rPr>
          <w:rFonts w:ascii="Verdana" w:hAnsi="Verdana" w:cs="Arial"/>
          <w:b/>
          <w:bCs/>
          <w:lang w:val="es-ES"/>
        </w:rPr>
        <w:t>EXPOSICIÓ</w:t>
      </w:r>
      <w:r w:rsidRPr="00B045BD">
        <w:rPr>
          <w:rFonts w:ascii="Verdana" w:hAnsi="Verdana" w:cs="Arial"/>
          <w:b/>
          <w:bCs/>
          <w:lang w:val="es-ES"/>
        </w:rPr>
        <w:t>N DE MOTIVOS</w:t>
      </w: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Hasta antes de la expedición de la Ley 1819 de 2016, e</w:t>
      </w:r>
      <w:r w:rsidRPr="00B045BD">
        <w:rPr>
          <w:rFonts w:ascii="Verdana" w:hAnsi="Verdana" w:cs="Arial"/>
          <w:lang w:val="es-ES"/>
        </w:rPr>
        <w:t>l imp</w:t>
      </w:r>
      <w:r>
        <w:rPr>
          <w:rFonts w:ascii="Verdana" w:hAnsi="Verdana" w:cs="Arial"/>
          <w:lang w:val="es-ES"/>
        </w:rPr>
        <w:t>uesto de alumbrado público se regía por las L</w:t>
      </w:r>
      <w:r w:rsidRPr="00B045BD">
        <w:rPr>
          <w:rFonts w:ascii="Verdana" w:hAnsi="Verdana" w:cs="Arial"/>
          <w:lang w:val="es-ES"/>
        </w:rPr>
        <w:t>eyes 97 de 1913 y 84 de 1915</w:t>
      </w:r>
      <w:r>
        <w:rPr>
          <w:rFonts w:ascii="Verdana" w:hAnsi="Verdana" w:cs="Arial"/>
          <w:lang w:val="es-ES"/>
        </w:rPr>
        <w:t>, las que establecían lo siguiente:</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sidRPr="006E53AC">
        <w:rPr>
          <w:rFonts w:ascii="Verdana" w:hAnsi="Verdana" w:cs="Arial"/>
          <w:lang w:val="es-ES"/>
        </w:rPr>
        <w:t>L</w:t>
      </w:r>
      <w:r>
        <w:rPr>
          <w:rFonts w:ascii="Verdana" w:hAnsi="Verdana" w:cs="Arial"/>
          <w:lang w:val="es-ES"/>
        </w:rPr>
        <w:t xml:space="preserve">ey </w:t>
      </w:r>
      <w:r w:rsidRPr="006E53AC">
        <w:rPr>
          <w:rFonts w:ascii="Verdana" w:hAnsi="Verdana" w:cs="Arial"/>
          <w:lang w:val="es-ES"/>
        </w:rPr>
        <w:t xml:space="preserve">97 </w:t>
      </w:r>
      <w:r>
        <w:rPr>
          <w:rFonts w:ascii="Verdana" w:hAnsi="Verdana" w:cs="Arial"/>
          <w:lang w:val="es-ES"/>
        </w:rPr>
        <w:t xml:space="preserve">del </w:t>
      </w:r>
      <w:r w:rsidRPr="006E53AC">
        <w:rPr>
          <w:rFonts w:ascii="Verdana" w:hAnsi="Verdana" w:cs="Arial"/>
          <w:lang w:val="es-ES"/>
        </w:rPr>
        <w:t xml:space="preserve">18 </w:t>
      </w:r>
      <w:r>
        <w:rPr>
          <w:rFonts w:ascii="Verdana" w:hAnsi="Verdana" w:cs="Arial"/>
          <w:lang w:val="es-ES"/>
        </w:rPr>
        <w:t xml:space="preserve">de noviembre de </w:t>
      </w:r>
      <w:r w:rsidRPr="006E53AC">
        <w:rPr>
          <w:rFonts w:ascii="Verdana" w:hAnsi="Verdana" w:cs="Arial"/>
          <w:lang w:val="es-ES"/>
        </w:rPr>
        <w:t>1913</w:t>
      </w:r>
      <w:r>
        <w:rPr>
          <w:rFonts w:ascii="Verdana" w:hAnsi="Verdana" w:cs="Arial"/>
          <w:lang w:val="es-ES"/>
        </w:rPr>
        <w:t xml:space="preserve"> “</w:t>
      </w:r>
      <w:r w:rsidRPr="006E53AC">
        <w:rPr>
          <w:rFonts w:ascii="Verdana" w:hAnsi="Verdana" w:cs="Arial"/>
          <w:lang w:val="es-ES"/>
        </w:rPr>
        <w:t>Q</w:t>
      </w:r>
      <w:r>
        <w:rPr>
          <w:rFonts w:ascii="Verdana" w:hAnsi="Verdana" w:cs="Arial"/>
          <w:lang w:val="es-ES"/>
        </w:rPr>
        <w:t xml:space="preserve">ue da autorizaciones especiales a ciertos Concejos </w:t>
      </w:r>
      <w:r w:rsidRPr="006E53AC">
        <w:rPr>
          <w:rFonts w:ascii="Verdana" w:hAnsi="Verdana" w:cs="Arial"/>
          <w:lang w:val="es-ES"/>
        </w:rPr>
        <w:t>M</w:t>
      </w:r>
      <w:r>
        <w:rPr>
          <w:rFonts w:ascii="Verdana" w:hAnsi="Verdana" w:cs="Arial"/>
          <w:lang w:val="es-ES"/>
        </w:rPr>
        <w:t>unicipales”</w:t>
      </w:r>
      <w:r w:rsidRPr="006E53AC">
        <w:rPr>
          <w:rFonts w:ascii="Verdana" w:hAnsi="Verdana" w:cs="Arial"/>
          <w:lang w:val="es-ES"/>
        </w:rPr>
        <w:t>.</w:t>
      </w:r>
    </w:p>
    <w:p w:rsidR="00AB1A55" w:rsidRPr="006E53AC" w:rsidRDefault="00AB1A55" w:rsidP="00AB1A55">
      <w:pPr>
        <w:widowControl w:val="0"/>
        <w:adjustRightInd w:val="0"/>
        <w:spacing w:before="34" w:after="34" w:line="262" w:lineRule="atLeast"/>
        <w:ind w:firstLine="283"/>
        <w:jc w:val="both"/>
        <w:rPr>
          <w:rFonts w:ascii="Verdana" w:hAnsi="Verdana" w:cs="Arial"/>
          <w:lang w:val="es-ES"/>
        </w:rPr>
      </w:pPr>
    </w:p>
    <w:p w:rsidR="00AB1A55" w:rsidRPr="006E53AC"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 </w:t>
      </w:r>
      <w:r w:rsidRPr="006E53AC">
        <w:rPr>
          <w:rFonts w:ascii="Verdana" w:hAnsi="Verdana" w:cs="Arial"/>
          <w:lang w:val="es-ES"/>
        </w:rPr>
        <w:t xml:space="preserve">ARTÍCULO 1. El Concejo Municipal de la ciudad de Bogotá puede crear libremente los siguientes impuestos y contribuciones, además de los existentes hoy legalmente; organizar su cobro y </w:t>
      </w:r>
      <w:r w:rsidRPr="00E64A3C">
        <w:rPr>
          <w:rFonts w:ascii="Verdana" w:hAnsi="Verdana" w:cs="Arial"/>
          <w:b/>
          <w:u w:val="single"/>
          <w:lang w:val="es-ES"/>
        </w:rPr>
        <w:t xml:space="preserve">darles el destino que juzgue </w:t>
      </w:r>
      <w:r w:rsidR="001E1E6C" w:rsidRPr="00E64A3C">
        <w:rPr>
          <w:rFonts w:ascii="Verdana" w:hAnsi="Verdana" w:cs="Arial"/>
          <w:b/>
          <w:u w:val="single"/>
          <w:lang w:val="es-ES"/>
        </w:rPr>
        <w:t>más</w:t>
      </w:r>
      <w:r w:rsidRPr="00E64A3C">
        <w:rPr>
          <w:rFonts w:ascii="Verdana" w:hAnsi="Verdana" w:cs="Arial"/>
          <w:b/>
          <w:u w:val="single"/>
          <w:lang w:val="es-ES"/>
        </w:rPr>
        <w:t xml:space="preserve"> conveniente</w:t>
      </w:r>
      <w:r w:rsidRPr="006E53AC">
        <w:rPr>
          <w:rFonts w:ascii="Verdana" w:hAnsi="Verdana" w:cs="Arial"/>
          <w:lang w:val="es-ES"/>
        </w:rPr>
        <w:t xml:space="preserve"> para atender a los servicios municipales, sin necesidad de previa autorización de la Asamblea Departamental: (</w:t>
      </w:r>
      <w:r>
        <w:rPr>
          <w:rFonts w:ascii="Verdana" w:hAnsi="Verdana" w:cs="Arial"/>
          <w:lang w:val="es-ES"/>
        </w:rPr>
        <w:t xml:space="preserve">resaltado y </w:t>
      </w:r>
      <w:r w:rsidRPr="006E53AC">
        <w:rPr>
          <w:rFonts w:ascii="Verdana" w:hAnsi="Verdana" w:cs="Arial"/>
          <w:lang w:val="es-ES"/>
        </w:rPr>
        <w:t>subraya fuera de texto).</w:t>
      </w:r>
    </w:p>
    <w:p w:rsidR="00AB1A55" w:rsidRDefault="00AB1A55" w:rsidP="00AB1A55">
      <w:pPr>
        <w:widowControl w:val="0"/>
        <w:adjustRightInd w:val="0"/>
        <w:spacing w:before="34" w:after="34" w:line="262" w:lineRule="atLeast"/>
        <w:ind w:firstLine="283"/>
        <w:jc w:val="both"/>
        <w:rPr>
          <w:rFonts w:ascii="Verdana" w:hAnsi="Verdana" w:cs="Arial"/>
          <w:lang w:val="es-ES"/>
        </w:rPr>
      </w:pPr>
      <w:r w:rsidRPr="006E53AC">
        <w:rPr>
          <w:rFonts w:ascii="Verdana" w:hAnsi="Verdana" w:cs="Arial"/>
          <w:lang w:val="es-ES"/>
        </w:rPr>
        <w:t>(…)</w:t>
      </w:r>
    </w:p>
    <w:p w:rsidR="00AB1A55" w:rsidRPr="006E53AC" w:rsidRDefault="00AB1A55" w:rsidP="00AB1A55">
      <w:pPr>
        <w:widowControl w:val="0"/>
        <w:adjustRightInd w:val="0"/>
        <w:spacing w:before="34" w:after="34" w:line="262" w:lineRule="atLeast"/>
        <w:ind w:firstLine="283"/>
        <w:jc w:val="both"/>
        <w:rPr>
          <w:rFonts w:ascii="Verdana" w:hAnsi="Verdana" w:cs="Arial"/>
          <w:lang w:val="es-ES"/>
        </w:rPr>
      </w:pPr>
    </w:p>
    <w:p w:rsidR="00AB1A55" w:rsidRPr="006E53AC" w:rsidRDefault="00AB1A55" w:rsidP="00AB1A55">
      <w:pPr>
        <w:widowControl w:val="0"/>
        <w:adjustRightInd w:val="0"/>
        <w:spacing w:before="34" w:after="34" w:line="262" w:lineRule="atLeast"/>
        <w:ind w:firstLine="283"/>
        <w:jc w:val="both"/>
        <w:rPr>
          <w:rFonts w:ascii="Verdana" w:hAnsi="Verdana" w:cs="Arial"/>
          <w:lang w:val="es-ES"/>
        </w:rPr>
      </w:pPr>
      <w:r w:rsidRPr="006E53AC">
        <w:rPr>
          <w:rFonts w:ascii="Verdana" w:hAnsi="Verdana" w:cs="Arial"/>
          <w:lang w:val="es-ES"/>
        </w:rPr>
        <w:t>d) Impuesto sobre el servicio de alumbrado público.</w:t>
      </w:r>
      <w:r>
        <w:rPr>
          <w:rFonts w:ascii="Verdana" w:hAnsi="Verdana" w:cs="Arial"/>
          <w:lang w:val="es-ES"/>
        </w:rPr>
        <w:t xml:space="preserve"> (…)”</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Por su parte, la Ley 84 de 1915 “Por la cual se reforman y adicionan las Leyes 4 y 97 de 2013” dispuso:</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1E4072"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 </w:t>
      </w:r>
      <w:r w:rsidRPr="001E4072">
        <w:rPr>
          <w:rFonts w:ascii="Verdana" w:hAnsi="Verdana" w:cs="Arial"/>
          <w:lang w:val="es-ES"/>
        </w:rPr>
        <w:t xml:space="preserve">Artículo 1. Los Concejos Municipales tendrán las siguientes atribuciones, además de las que le confiere el artículo 169 de la Ley 4 de 1913: </w:t>
      </w:r>
    </w:p>
    <w:p w:rsidR="00AB1A55" w:rsidRPr="001E4072" w:rsidRDefault="00AB1A55" w:rsidP="00AB1A55">
      <w:pPr>
        <w:widowControl w:val="0"/>
        <w:adjustRightInd w:val="0"/>
        <w:spacing w:before="34" w:after="34" w:line="262" w:lineRule="atLeast"/>
        <w:ind w:firstLine="283"/>
        <w:jc w:val="both"/>
        <w:rPr>
          <w:rFonts w:ascii="Verdana" w:hAnsi="Verdana" w:cs="Arial"/>
          <w:lang w:val="es-ES"/>
        </w:rPr>
      </w:pPr>
    </w:p>
    <w:p w:rsidR="001E1E6C" w:rsidRDefault="00AB1A55" w:rsidP="00AB1A55">
      <w:pPr>
        <w:widowControl w:val="0"/>
        <w:adjustRightInd w:val="0"/>
        <w:spacing w:before="34" w:after="34" w:line="262" w:lineRule="atLeast"/>
        <w:ind w:firstLine="283"/>
        <w:jc w:val="both"/>
        <w:rPr>
          <w:rFonts w:ascii="Verdana" w:hAnsi="Verdana" w:cs="Arial"/>
          <w:lang w:val="es-ES"/>
        </w:rPr>
      </w:pPr>
      <w:r w:rsidRPr="001E4072">
        <w:rPr>
          <w:rFonts w:ascii="Verdana" w:hAnsi="Verdana" w:cs="Arial"/>
          <w:lang w:val="es-ES"/>
        </w:rPr>
        <w:lastRenderedPageBreak/>
        <w:t xml:space="preserve">A) </w:t>
      </w:r>
      <w:r w:rsidRPr="00E217EF">
        <w:rPr>
          <w:rFonts w:ascii="Verdana" w:hAnsi="Verdana" w:cs="Arial"/>
          <w:b/>
          <w:u w:val="single"/>
          <w:lang w:val="es-ES"/>
        </w:rPr>
        <w:t>Las que le fueron conferidas al municipio de Bogotá por el artículo 1 de la Ley 97 de 1913</w:t>
      </w:r>
      <w:r w:rsidRPr="001E4072">
        <w:rPr>
          <w:rFonts w:ascii="Verdana" w:hAnsi="Verdana" w:cs="Arial"/>
          <w:lang w:val="es-ES"/>
        </w:rPr>
        <w:t>, excepto la de que trata el inciso b) del mismo artículo, siempre que las Asambleas Departamentales les hayan concedido o les concedan en lo sucesivo a dichas atribuciones.</w:t>
      </w:r>
      <w:r>
        <w:rPr>
          <w:rFonts w:ascii="Verdana" w:hAnsi="Verdana" w:cs="Arial"/>
          <w:lang w:val="es-ES"/>
        </w:rPr>
        <w:t xml:space="preserve"> </w:t>
      </w:r>
    </w:p>
    <w:p w:rsidR="001E1E6C" w:rsidRDefault="001E1E6C" w:rsidP="001E1E6C">
      <w:pPr>
        <w:widowControl w:val="0"/>
        <w:adjustRightInd w:val="0"/>
        <w:spacing w:before="34" w:after="34" w:line="262" w:lineRule="atLeast"/>
        <w:jc w:val="both"/>
        <w:rPr>
          <w:rFonts w:ascii="Verdana" w:hAnsi="Verdana" w:cs="Arial"/>
          <w:lang w:val="es-ES"/>
        </w:rPr>
      </w:pPr>
    </w:p>
    <w:p w:rsidR="00AB1A55" w:rsidRDefault="00AB1A55" w:rsidP="001E1E6C">
      <w:pPr>
        <w:widowControl w:val="0"/>
        <w:adjustRightInd w:val="0"/>
        <w:spacing w:before="34" w:after="34" w:line="262" w:lineRule="atLeast"/>
        <w:jc w:val="both"/>
        <w:rPr>
          <w:rFonts w:ascii="Verdana" w:hAnsi="Verdana" w:cs="Arial"/>
          <w:lang w:val="es-ES"/>
        </w:rPr>
      </w:pPr>
      <w:r>
        <w:rPr>
          <w:rFonts w:ascii="Verdana" w:hAnsi="Verdana" w:cs="Arial"/>
          <w:lang w:val="es-ES"/>
        </w:rPr>
        <w:t xml:space="preserve">Ello quiere decir que desde entonces y hasta la expedición de la Ley 1819 de 2016, los Concejos Municipales tuvieron la facultad de destinar los dineros recaudados por concepto de alumbrado público a la prestación de servicios y obras que consideraran más conveniente, de acuerdo con sus necesidades, situación que cambió con la expedición de la Ley </w:t>
      </w:r>
      <w:r w:rsidRPr="00B045BD">
        <w:rPr>
          <w:rFonts w:ascii="Verdana" w:hAnsi="Verdana" w:cs="Arial"/>
          <w:lang w:val="es-ES"/>
        </w:rPr>
        <w:t>1819 de 2016</w:t>
      </w:r>
      <w:r>
        <w:rPr>
          <w:rFonts w:ascii="Verdana" w:hAnsi="Verdana" w:cs="Arial"/>
          <w:lang w:val="es-ES"/>
        </w:rPr>
        <w:t>, cuyo artículo 350 dispuso:</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1925C4"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 </w:t>
      </w:r>
      <w:r w:rsidRPr="001925C4">
        <w:rPr>
          <w:rFonts w:ascii="Verdana" w:hAnsi="Verdana" w:cs="Arial"/>
          <w:lang w:val="es-ES"/>
        </w:rPr>
        <w:t xml:space="preserve">ARTÍCULO 350. DESTINACIÓN. El impuesto de alumbrado público como actividad inherente al servicio de energía eléctrica </w:t>
      </w:r>
      <w:r w:rsidRPr="00B14A0D">
        <w:rPr>
          <w:rFonts w:ascii="Verdana" w:hAnsi="Verdana" w:cs="Arial"/>
          <w:b/>
          <w:u w:val="single"/>
          <w:lang w:val="es-ES"/>
        </w:rPr>
        <w:t>se destina exclusivamente</w:t>
      </w:r>
      <w:r w:rsidRPr="001925C4">
        <w:rPr>
          <w:rFonts w:ascii="Verdana" w:hAnsi="Verdana" w:cs="Arial"/>
          <w:lang w:val="es-ES"/>
        </w:rPr>
        <w:t xml:space="preserve"> a la prestación, mejora, modernización y ampliación de la prestación del servicio de alumbrado público, incluyendo suministro, administración, operación, mantenimiento, expansión y desarrollo tecnológico asociado.</w:t>
      </w:r>
    </w:p>
    <w:p w:rsidR="00AB1A55" w:rsidRPr="001925C4"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sidRPr="001925C4">
        <w:rPr>
          <w:rFonts w:ascii="Verdana" w:hAnsi="Verdana" w:cs="Arial"/>
          <w:lang w:val="es-ES"/>
        </w:rPr>
        <w:t>PARÁGRAFO. Las Entidades Territoriales en virtud de su autonomía, podrán complementar la destinación del impuesto a la actividad de iluminación ornamental y navideña en los espacios públicos.</w:t>
      </w:r>
      <w:r>
        <w:rPr>
          <w:rFonts w:ascii="Verdana" w:hAnsi="Verdana" w:cs="Arial"/>
          <w:lang w:val="es-ES"/>
        </w:rPr>
        <w:t xml:space="preserve"> (…)”.</w:t>
      </w:r>
    </w:p>
    <w:p w:rsidR="00AB1A55" w:rsidRDefault="00AB1A55" w:rsidP="00AB1A55">
      <w:pPr>
        <w:widowControl w:val="0"/>
        <w:adjustRightInd w:val="0"/>
        <w:spacing w:before="34" w:after="34" w:line="262" w:lineRule="atLeast"/>
        <w:jc w:val="both"/>
        <w:rPr>
          <w:rFonts w:ascii="Verdana" w:hAnsi="Verdana" w:cs="Arial"/>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En efecto, es con la expedición del artículo 350 de la Ley 1819 de 2016 que se introdujo la previsión que impuso </w:t>
      </w:r>
      <w:r w:rsidRPr="00B045BD">
        <w:rPr>
          <w:rFonts w:ascii="Verdana" w:hAnsi="Verdana" w:cs="Arial"/>
          <w:lang w:val="es-ES"/>
        </w:rPr>
        <w:t xml:space="preserve">la destinación exclusiva del </w:t>
      </w:r>
      <w:r>
        <w:rPr>
          <w:rFonts w:ascii="Verdana" w:hAnsi="Verdana" w:cs="Arial"/>
          <w:lang w:val="es-ES"/>
        </w:rPr>
        <w:t xml:space="preserve">recaudo por concepto de </w:t>
      </w:r>
      <w:r w:rsidRPr="00B045BD">
        <w:rPr>
          <w:rFonts w:ascii="Verdana" w:hAnsi="Verdana" w:cs="Arial"/>
          <w:lang w:val="es-ES"/>
        </w:rPr>
        <w:t>impuesto municipal o distrital de alumbrado público para financiar las actividades der</w:t>
      </w:r>
      <w:r>
        <w:rPr>
          <w:rFonts w:ascii="Verdana" w:hAnsi="Verdana" w:cs="Arial"/>
          <w:lang w:val="es-ES"/>
        </w:rPr>
        <w:t>ivadas de la prestación, mejora y</w:t>
      </w:r>
      <w:r w:rsidRPr="00B045BD">
        <w:rPr>
          <w:rFonts w:ascii="Verdana" w:hAnsi="Verdana" w:cs="Arial"/>
          <w:lang w:val="es-ES"/>
        </w:rPr>
        <w:t xml:space="preserve"> ampliación de dicho servicio.</w:t>
      </w: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Este proyecto busca modificar el citado artículo 350, devolviendo a los Distritos y Municipios su autonomía para gestionar y administrar sus recursos, en los términos del artículo 287 de la Constitución Política. </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En efecto, la idea es que estos entes territoriales puedan decidir la destinación que darán a los excedentes del recaudo del impuesto de alumbrado público, una vez cubiertas las necesidades relacionadas con la prestación y mejora del servicio de este impuesto. Esto porque considero </w:t>
      </w:r>
    </w:p>
    <w:p w:rsidR="00AB1A55" w:rsidRDefault="00AB1A55" w:rsidP="00AB1A55">
      <w:pPr>
        <w:widowControl w:val="0"/>
        <w:adjustRightInd w:val="0"/>
        <w:spacing w:before="34" w:after="34" w:line="262" w:lineRule="atLeast"/>
        <w:jc w:val="both"/>
        <w:rPr>
          <w:rFonts w:ascii="Verdana" w:hAnsi="Verdana" w:cs="Arial"/>
          <w:lang w:val="es-ES"/>
        </w:rPr>
      </w:pPr>
      <w:r>
        <w:rPr>
          <w:rFonts w:ascii="Verdana" w:hAnsi="Verdana" w:cs="Arial"/>
          <w:lang w:val="es-ES"/>
        </w:rPr>
        <w:t xml:space="preserve">que los entes territoriales al conocer de primera mano sus propias </w:t>
      </w:r>
      <w:r>
        <w:rPr>
          <w:rFonts w:ascii="Verdana" w:hAnsi="Verdana" w:cs="Arial"/>
          <w:lang w:val="es-ES"/>
        </w:rPr>
        <w:lastRenderedPageBreak/>
        <w:t xml:space="preserve">necesidades, deben ser los llamados a establecer la destinación de los recursos de que trata este proyecto de ley. </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Esta posición se sustenta en diversas sentencias de la Corte Constitucional, entre ellas, la Sentencia </w:t>
      </w:r>
      <w:r w:rsidRPr="00B045BD">
        <w:rPr>
          <w:rFonts w:ascii="Verdana" w:hAnsi="Verdana" w:cs="Arial"/>
          <w:lang w:val="es-ES"/>
        </w:rPr>
        <w:t>C-495 de 1998,</w:t>
      </w:r>
      <w:r>
        <w:rPr>
          <w:rFonts w:ascii="Verdana" w:hAnsi="Verdana" w:cs="Arial"/>
          <w:lang w:val="es-ES"/>
        </w:rPr>
        <w:t xml:space="preserve"> con ponencia del Magistrado Antonio Barrera Carbonell</w:t>
      </w:r>
      <w:r w:rsidRPr="00B045BD">
        <w:rPr>
          <w:rFonts w:ascii="Verdana" w:hAnsi="Verdana" w:cs="Arial"/>
          <w:lang w:val="es-ES"/>
        </w:rPr>
        <w:t xml:space="preserve">, </w:t>
      </w:r>
      <w:r>
        <w:rPr>
          <w:rFonts w:ascii="Verdana" w:hAnsi="Verdana" w:cs="Arial"/>
          <w:lang w:val="es-ES"/>
        </w:rPr>
        <w:t xml:space="preserve">en la que </w:t>
      </w:r>
      <w:r w:rsidRPr="00B045BD">
        <w:rPr>
          <w:rFonts w:ascii="Verdana" w:hAnsi="Verdana" w:cs="Arial"/>
          <w:lang w:val="es-ES"/>
        </w:rPr>
        <w:t>señaló que los Municipios gozan de plena autonomía para decidir cuál será la destinación de sus rentas propias</w:t>
      </w:r>
      <w:r>
        <w:rPr>
          <w:rFonts w:ascii="Verdana" w:hAnsi="Verdana" w:cs="Arial"/>
          <w:lang w:val="es-ES"/>
        </w:rPr>
        <w:t>. Veamos</w:t>
      </w:r>
      <w:r w:rsidRPr="00B045BD">
        <w:rPr>
          <w:rFonts w:ascii="Verdana" w:hAnsi="Verdana" w:cs="Arial"/>
          <w:lang w:val="es-ES"/>
        </w:rPr>
        <w:t>:</w:t>
      </w: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ind w:left="283" w:right="283"/>
        <w:jc w:val="both"/>
        <w:rPr>
          <w:rFonts w:ascii="Verdana" w:hAnsi="Verdana" w:cs="Arial"/>
          <w:i/>
          <w:lang w:val="es-ES"/>
        </w:rPr>
      </w:pPr>
      <w:r w:rsidRPr="00B045BD">
        <w:rPr>
          <w:rFonts w:ascii="Verdana" w:hAnsi="Verdana" w:cs="Arial"/>
          <w:i/>
          <w:lang w:val="es-ES"/>
        </w:rPr>
        <w:t>“</w:t>
      </w:r>
      <w:r>
        <w:rPr>
          <w:rFonts w:ascii="Verdana" w:hAnsi="Verdana" w:cs="Arial"/>
          <w:i/>
          <w:lang w:val="es-ES"/>
        </w:rPr>
        <w:t xml:space="preserve">(…) </w:t>
      </w:r>
      <w:r w:rsidRPr="0036102C">
        <w:rPr>
          <w:rFonts w:ascii="Verdana" w:hAnsi="Verdana" w:cs="Arial"/>
          <w:i/>
          <w:lang w:val="es-ES"/>
        </w:rPr>
        <w:t>Conforme al art. 287 de la Constitución es expresión de la autonomía el reconocimiento de las facultades que poseen las entidades territoriales para gobernarse por autoridades propias, ejercer competencias específicas acordes con la libertad de gestión de sus intereses, y administrar sus propios recursos, sea que éstos provengan de los tributos que establezcan o de la participación en las rentas nacionales, con el propósito de atender a la realización de los cometidos que se les han asignado.</w:t>
      </w:r>
    </w:p>
    <w:p w:rsidR="00AB1A55" w:rsidRDefault="00AB1A55" w:rsidP="00AB1A55">
      <w:pPr>
        <w:ind w:left="283" w:right="283"/>
        <w:jc w:val="both"/>
        <w:rPr>
          <w:rFonts w:ascii="Verdana" w:hAnsi="Verdana" w:cs="Arial"/>
          <w:i/>
          <w:lang w:val="es-ES"/>
        </w:rPr>
      </w:pPr>
    </w:p>
    <w:p w:rsidR="00AB1A55" w:rsidRPr="0036102C" w:rsidRDefault="00AB1A55" w:rsidP="00AB1A55">
      <w:pPr>
        <w:ind w:left="283" w:right="283"/>
        <w:jc w:val="both"/>
        <w:rPr>
          <w:rFonts w:ascii="Verdana" w:hAnsi="Verdana" w:cs="Arial"/>
          <w:i/>
          <w:lang w:val="es-ES"/>
        </w:rPr>
      </w:pPr>
      <w:r>
        <w:rPr>
          <w:rFonts w:ascii="Verdana" w:hAnsi="Verdana" w:cs="Arial"/>
          <w:i/>
          <w:lang w:val="es-ES"/>
        </w:rPr>
        <w:t xml:space="preserve">(…) </w:t>
      </w:r>
    </w:p>
    <w:p w:rsidR="00AB1A55" w:rsidRDefault="00AB1A55" w:rsidP="00AB1A55">
      <w:pPr>
        <w:ind w:right="283"/>
        <w:jc w:val="both"/>
        <w:rPr>
          <w:rFonts w:ascii="Verdana" w:hAnsi="Verdana" w:cs="Arial"/>
          <w:i/>
          <w:lang w:val="es-ES"/>
        </w:rPr>
      </w:pPr>
    </w:p>
    <w:p w:rsidR="00AB1A55" w:rsidRPr="00FA018D" w:rsidRDefault="00AB1A55" w:rsidP="00AB1A55">
      <w:pPr>
        <w:ind w:left="283" w:right="283"/>
        <w:jc w:val="both"/>
        <w:rPr>
          <w:rFonts w:ascii="Verdana" w:hAnsi="Verdana" w:cs="Arial"/>
          <w:i/>
          <w:lang w:val="es-ES"/>
        </w:rPr>
      </w:pPr>
      <w:r w:rsidRPr="00FA018D">
        <w:rPr>
          <w:rFonts w:ascii="Verdana" w:hAnsi="Verdana" w:cs="Arial"/>
          <w:i/>
          <w:lang w:val="es-ES"/>
        </w:rPr>
        <w:t>2.3. Al contrario de lo que ocurre con la potestad para crear o establecer tributos, a los organismos territoriales se les reconocen atribuciones mucho más amplias para administrar sus rentas presupuestales, es decir, para asumir gastos y comprometer sus ingresos, a menos que la propia Constitución haya preestablecido el destino del recurso, pues en tal caso no es la ley la que limita la autonomía, sino el mandato superior. Así ocurre, con las apropiaciones por concepto del situado fiscal (C.P. art. 356) y las participaciones municipales en los ingresos corrientes de la Nación (C.P. art. 357).</w:t>
      </w:r>
    </w:p>
    <w:p w:rsidR="00AB1A55" w:rsidRPr="00FA018D" w:rsidRDefault="00AB1A55" w:rsidP="00AB1A55">
      <w:pPr>
        <w:ind w:left="283" w:right="283"/>
        <w:jc w:val="both"/>
        <w:rPr>
          <w:rFonts w:ascii="Verdana" w:hAnsi="Verdana" w:cs="Arial"/>
          <w:i/>
          <w:lang w:val="es-ES"/>
        </w:rPr>
      </w:pPr>
    </w:p>
    <w:p w:rsidR="00AB1A55" w:rsidRDefault="00AB1A55" w:rsidP="00AB1A55">
      <w:pPr>
        <w:ind w:left="283" w:right="283"/>
        <w:jc w:val="both"/>
        <w:rPr>
          <w:rFonts w:ascii="Verdana" w:hAnsi="Verdana" w:cs="Arial"/>
          <w:i/>
          <w:lang w:val="es-ES"/>
        </w:rPr>
      </w:pPr>
      <w:r>
        <w:rPr>
          <w:rFonts w:ascii="Verdana" w:hAnsi="Verdana" w:cs="Arial"/>
          <w:i/>
          <w:lang w:val="es-ES"/>
        </w:rPr>
        <w:t>(…)</w:t>
      </w:r>
    </w:p>
    <w:p w:rsidR="00AB1A55" w:rsidRDefault="00AB1A55" w:rsidP="00AB1A55">
      <w:pPr>
        <w:ind w:left="283" w:right="283"/>
        <w:jc w:val="both"/>
        <w:rPr>
          <w:rFonts w:ascii="Verdana" w:hAnsi="Verdana" w:cs="Arial"/>
          <w:i/>
          <w:lang w:val="es-ES"/>
        </w:rPr>
      </w:pPr>
    </w:p>
    <w:p w:rsidR="00AB1A55" w:rsidRPr="00B045BD" w:rsidRDefault="00AB1A55" w:rsidP="00AB1A55">
      <w:pPr>
        <w:ind w:left="283" w:right="283"/>
        <w:jc w:val="both"/>
        <w:rPr>
          <w:rFonts w:ascii="Verdana" w:hAnsi="Verdana" w:cs="Arial"/>
          <w:i/>
          <w:lang w:val="es-ES"/>
        </w:rPr>
      </w:pPr>
      <w:r w:rsidRPr="00B045BD">
        <w:rPr>
          <w:rFonts w:ascii="Verdana" w:hAnsi="Verdana" w:cs="Arial"/>
          <w:i/>
          <w:lang w:val="es-ES"/>
        </w:rPr>
        <w:t xml:space="preserve">2.6. Del análisis precedente se deduce que cuando la ley ha autorizado tributos en favor de las entidades territoriales, éstas gozan de entera autonomía para hacerlos efectivos o dejarlos de aplicar, y para realizar los actos de destinación y de disposición, manejo e inversión. De manera que las expresiones “rentas tributarias” o "no tributarias", contenidas en el artículo 362, hacen </w:t>
      </w:r>
      <w:r w:rsidRPr="00B045BD">
        <w:rPr>
          <w:rFonts w:ascii="Verdana" w:hAnsi="Verdana" w:cs="Arial"/>
          <w:i/>
          <w:lang w:val="es-ES"/>
        </w:rPr>
        <w:lastRenderedPageBreak/>
        <w:t>relación a las provenientes de impuestos, multas, tasas o contribuciones que entran a forma</w:t>
      </w:r>
      <w:r>
        <w:rPr>
          <w:rFonts w:ascii="Verdana" w:hAnsi="Verdana" w:cs="Arial"/>
          <w:i/>
          <w:lang w:val="es-ES"/>
        </w:rPr>
        <w:t>r</w:t>
      </w:r>
      <w:r w:rsidRPr="00B045BD">
        <w:rPr>
          <w:rFonts w:ascii="Verdana" w:hAnsi="Verdana" w:cs="Arial"/>
          <w:i/>
          <w:lang w:val="es-ES"/>
        </w:rPr>
        <w:t xml:space="preserve"> parte de la propiedad de las entidades territoriales por haber ingresado definitivamente a su patrimonio (Sentencia C-219/97)”. </w:t>
      </w:r>
    </w:p>
    <w:p w:rsidR="00AB1A55" w:rsidRDefault="00AB1A55" w:rsidP="00AB1A55">
      <w:pPr>
        <w:widowControl w:val="0"/>
        <w:adjustRightInd w:val="0"/>
        <w:spacing w:before="34" w:after="34" w:line="262" w:lineRule="atLeast"/>
        <w:ind w:firstLine="283"/>
        <w:jc w:val="both"/>
        <w:rPr>
          <w:rFonts w:ascii="Verdana" w:hAnsi="Verdana" w:cs="Arial"/>
          <w:lang w:val="es-ES"/>
        </w:rPr>
      </w:pPr>
      <w:r w:rsidRPr="00B045BD">
        <w:rPr>
          <w:rFonts w:ascii="Verdana" w:hAnsi="Verdana" w:cs="Arial"/>
          <w:lang w:val="es-ES"/>
        </w:rPr>
        <w:t xml:space="preserve"> </w:t>
      </w: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De otra parte, no sobra señalar que las Sentencias C-504 de 2002 y C-1043 de 2003 declararon la constitucionalidad de los literales d) e i) del artículo 1 de la Ley 97 de 2013 y el artículo 1 de la Ley 84 de 1915, respectivamente, normas que consagraban que los Concejos Municipales podrían crear libremente los impuestos por el servicio de alumbrado público, así como organizar el cobro de los mismos y fijar el destino que consideraran más conveniente para atender los servicios con cargo a los municipios.</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En igual sentido se ha pronunciado el Consejo de Estado, entre otras en la Sentencia proferida por la Sección Cuarta el 4 de mayo de 2017, con ponencia de la Consejera Stella Jeannette Carvajal, en la que se expresó:</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jc w:val="both"/>
        <w:rPr>
          <w:rFonts w:ascii="Verdana" w:hAnsi="Verdana"/>
          <w:i/>
        </w:rPr>
      </w:pPr>
      <w:r>
        <w:rPr>
          <w:rFonts w:ascii="Verdana" w:hAnsi="Verdana" w:cs="Arial"/>
          <w:lang w:val="es-ES"/>
        </w:rPr>
        <w:t>“</w:t>
      </w:r>
      <w:r w:rsidRPr="00DE5CA3">
        <w:rPr>
          <w:rFonts w:ascii="Verdana" w:hAnsi="Verdana" w:cs="Arial"/>
          <w:i/>
          <w:lang w:val="es-ES"/>
        </w:rPr>
        <w:t>(…)</w:t>
      </w:r>
      <w:r w:rsidRPr="00DE5CA3">
        <w:rPr>
          <w:rFonts w:ascii="Verdana" w:hAnsi="Verdana"/>
          <w:i/>
        </w:rPr>
        <w:t xml:space="preserve"> Para resolver los problemas jurídicos planteados con anterioridad, la Sala considera necesario traer a colación la jurisprudencia reiterada de esta Sección, relacionada con la facultad de los municipios para establecer el impuesto de alumbrado público en sus respectivos territorios y, a continuación, resolverá el </w:t>
      </w:r>
      <w:r>
        <w:rPr>
          <w:rFonts w:ascii="Verdana" w:hAnsi="Verdana"/>
          <w:i/>
        </w:rPr>
        <w:t>caso concreto</w:t>
      </w:r>
      <w:r w:rsidRPr="00DE5CA3">
        <w:rPr>
          <w:rFonts w:ascii="Verdana" w:hAnsi="Verdana"/>
          <w:i/>
        </w:rPr>
        <w:t>.</w:t>
      </w:r>
    </w:p>
    <w:p w:rsidR="00AB1A55" w:rsidRPr="00DE5CA3" w:rsidRDefault="00AB1A55" w:rsidP="00AB1A55">
      <w:pPr>
        <w:jc w:val="both"/>
        <w:rPr>
          <w:rFonts w:ascii="Verdana" w:hAnsi="Verdana"/>
          <w:i/>
        </w:rPr>
      </w:pPr>
    </w:p>
    <w:p w:rsidR="00AB1A55" w:rsidRDefault="00AB1A55" w:rsidP="00AB1A55">
      <w:pPr>
        <w:jc w:val="both"/>
        <w:rPr>
          <w:rFonts w:ascii="Verdana" w:hAnsi="Verdana"/>
          <w:i/>
        </w:rPr>
      </w:pPr>
      <w:r w:rsidRPr="00DE5CA3">
        <w:rPr>
          <w:rFonts w:ascii="Verdana" w:hAnsi="Verdana"/>
          <w:i/>
        </w:rPr>
        <w:t>En la se</w:t>
      </w:r>
      <w:r>
        <w:rPr>
          <w:rFonts w:ascii="Verdana" w:hAnsi="Verdana"/>
          <w:i/>
        </w:rPr>
        <w:t>ntencia del 9 de julio de 2009</w:t>
      </w:r>
      <w:r w:rsidRPr="00DE5CA3">
        <w:rPr>
          <w:rFonts w:ascii="Verdana" w:hAnsi="Verdana"/>
          <w:i/>
        </w:rPr>
        <w:t>, la Sala modificó la jurisprudencia respecto de la facultad de los Concejos Municipales en materia impositiva.</w:t>
      </w:r>
    </w:p>
    <w:p w:rsidR="00AB1A55" w:rsidRPr="00DE5CA3" w:rsidRDefault="00AB1A55" w:rsidP="00AB1A55">
      <w:pPr>
        <w:jc w:val="both"/>
        <w:rPr>
          <w:rFonts w:ascii="Verdana" w:hAnsi="Verdana"/>
          <w:i/>
        </w:rPr>
      </w:pPr>
    </w:p>
    <w:p w:rsidR="00AB1A55" w:rsidRDefault="00AB1A55" w:rsidP="00AB1A55">
      <w:pPr>
        <w:jc w:val="both"/>
        <w:rPr>
          <w:rFonts w:ascii="Verdana" w:hAnsi="Verdana"/>
          <w:i/>
        </w:rPr>
      </w:pPr>
      <w:r w:rsidRPr="00DE5CA3">
        <w:rPr>
          <w:rFonts w:ascii="Verdana" w:hAnsi="Verdana"/>
          <w:i/>
        </w:rPr>
        <w:t>El cambio de postura obedeció al análisis de legalidad de un acuerdo que, en desarrollo de la Ley 97 de 1913, estableció los elementos del impuesto “sobre telégrafos y teléfonos urbanos, sobre empresas de luz eléctrica, de gas y analógicas”. En dicha sentencia se determinó la legalidad del acuerdo demandado con fundamento, principalmente, en la sentencia</w:t>
      </w:r>
      <w:r>
        <w:rPr>
          <w:rFonts w:ascii="Verdana" w:hAnsi="Verdana"/>
          <w:i/>
        </w:rPr>
        <w:t xml:space="preserve"> C-504 de 2002, mediante la que</w:t>
      </w:r>
      <w:r w:rsidRPr="00DE5CA3">
        <w:rPr>
          <w:rFonts w:ascii="Verdana" w:hAnsi="Verdana"/>
          <w:i/>
        </w:rPr>
        <w:t xml:space="preserve"> la Corte Constitucional determinó la vigencia de los literales d) e i) del artículo 1 de la Ley 97 de 1913 y declaró que son exequibles bajo el entendido de que corresponde a los concejos </w:t>
      </w:r>
    </w:p>
    <w:p w:rsidR="00AB1A55" w:rsidRDefault="00AB1A55" w:rsidP="00AB1A55">
      <w:pPr>
        <w:jc w:val="both"/>
        <w:rPr>
          <w:rFonts w:ascii="Verdana" w:hAnsi="Verdana"/>
          <w:i/>
        </w:rPr>
      </w:pPr>
    </w:p>
    <w:p w:rsidR="00AB1A55" w:rsidRDefault="00AB1A55" w:rsidP="00AB1A55">
      <w:pPr>
        <w:jc w:val="both"/>
        <w:rPr>
          <w:rFonts w:ascii="Verdana" w:hAnsi="Verdana"/>
          <w:i/>
        </w:rPr>
      </w:pPr>
      <w:r w:rsidRPr="00DE5CA3">
        <w:rPr>
          <w:rFonts w:ascii="Verdana" w:hAnsi="Verdana"/>
          <w:i/>
        </w:rPr>
        <w:t>municipales determinar los elementos de los tributos cuya creación autorizó la citada ley.</w:t>
      </w:r>
    </w:p>
    <w:p w:rsidR="00AB1A55" w:rsidRDefault="00AB1A55" w:rsidP="00AB1A55">
      <w:pPr>
        <w:jc w:val="both"/>
        <w:rPr>
          <w:rFonts w:ascii="Verdana" w:hAnsi="Verdana"/>
          <w:i/>
        </w:rPr>
      </w:pPr>
      <w:r>
        <w:rPr>
          <w:rFonts w:ascii="Verdana" w:hAnsi="Verdana"/>
          <w:i/>
        </w:rPr>
        <w:lastRenderedPageBreak/>
        <w:t>(…)</w:t>
      </w:r>
    </w:p>
    <w:p w:rsidR="00AB1A55" w:rsidRDefault="00AB1A55" w:rsidP="00AB1A55">
      <w:pPr>
        <w:jc w:val="both"/>
        <w:rPr>
          <w:rFonts w:ascii="Verdana" w:hAnsi="Verdana"/>
          <w:i/>
        </w:rPr>
      </w:pPr>
    </w:p>
    <w:p w:rsidR="00AB1A55" w:rsidRPr="006E5DDC" w:rsidRDefault="00AB1A55" w:rsidP="00AB1A55">
      <w:pPr>
        <w:jc w:val="both"/>
        <w:rPr>
          <w:rFonts w:ascii="Verdana" w:hAnsi="Verdana"/>
          <w:i/>
          <w:szCs w:val="20"/>
          <w:lang w:eastAsia="es-ES_tradnl"/>
        </w:rPr>
      </w:pPr>
      <w:r w:rsidRPr="006E5DDC">
        <w:rPr>
          <w:rFonts w:ascii="Verdana" w:hAnsi="Verdana"/>
          <w:i/>
        </w:rPr>
        <w:t xml:space="preserve">Por lo tanto, en la sentencia del 9 de julio de 2009, proferida por esta Sala, con alusión al precedente jurisprudencial de la Corte Constitucional, se decidió retomar los planteamientos generales sobre la potestad impositiva de las entidades territoriales expuestos en la sentencia de 15 de octubre de 199917, </w:t>
      </w:r>
      <w:proofErr w:type="spellStart"/>
      <w:r w:rsidRPr="006E5DDC">
        <w:rPr>
          <w:rFonts w:ascii="Verdana" w:hAnsi="Verdana"/>
          <w:i/>
        </w:rPr>
        <w:t>Exp</w:t>
      </w:r>
      <w:proofErr w:type="spellEnd"/>
      <w:r w:rsidRPr="006E5DDC">
        <w:rPr>
          <w:rFonts w:ascii="Verdana" w:hAnsi="Verdana"/>
          <w:i/>
        </w:rPr>
        <w:t xml:space="preserve">. 9456, C.P. Dr. Julio E. Correa Restrepo en la que se señaló que “(…) en virtud del denominado principio de “predeterminación”, el señalamiento de los elementos objetivos de la obligación tributaria debe hacerse exclusivamente por parte de los organismos de representación popular, en la forma consagrada en el artículo 338 </w:t>
      </w:r>
      <w:r w:rsidRPr="006E5DDC">
        <w:rPr>
          <w:rFonts w:ascii="Verdana" w:hAnsi="Verdana"/>
          <w:i/>
          <w:szCs w:val="20"/>
          <w:lang w:eastAsia="es-ES_tradnl"/>
        </w:rPr>
        <w:t>de la Constitución, que asignó de manera excluyente y directa a la ley, la ordenanza o el acuerdo la definición y regulación de los elementos estructurales de la obligación impositiva, al conferirles la función indelegable de señalar “directamente” en sus actos: los sujetos activos y pasivos, los hechos generadores, las bases gravables y las tarifas de los impuestos.” También se acogió de la sentencia citada que, “(…) creado el tributo o autorizada su implantación por parte de la ley, en el evento de que ésta no se haya ocupado de definir todos los presupuestos objetivos del gravamen y por ende del señalamiento de los elementos esenciales de identificación y cuantificación, corresponde directamente a las respectivas corporaciones de elección popular, efectuar las previsiones sobre el particular</w:t>
      </w:r>
      <w:r>
        <w:rPr>
          <w:rFonts w:ascii="Verdana" w:hAnsi="Verdana"/>
          <w:i/>
          <w:szCs w:val="20"/>
          <w:lang w:eastAsia="es-ES_tradnl"/>
        </w:rPr>
        <w:t xml:space="preserve"> (…)</w:t>
      </w:r>
      <w:r w:rsidRPr="006E5DDC">
        <w:rPr>
          <w:rFonts w:ascii="Verdana" w:hAnsi="Verdana"/>
          <w:i/>
          <w:szCs w:val="20"/>
          <w:lang w:eastAsia="es-ES_tradnl"/>
        </w:rPr>
        <w:t xml:space="preserve">”. </w:t>
      </w:r>
    </w:p>
    <w:p w:rsidR="00AB1A55" w:rsidRPr="00DE5CA3" w:rsidRDefault="00AB1A55" w:rsidP="00AB1A55">
      <w:pPr>
        <w:jc w:val="both"/>
        <w:rPr>
          <w:rFonts w:ascii="Verdana" w:hAnsi="Verdana"/>
          <w:i/>
        </w:rPr>
      </w:pPr>
    </w:p>
    <w:p w:rsidR="00AB1A55"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Por último y con el fin de evitar que estos dineros se destinen a cubrir gastos de funcionamiento, se incluyó en el proyecto una expresa prohibición en dicho sentido. </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r>
        <w:rPr>
          <w:rFonts w:ascii="Verdana" w:hAnsi="Verdana" w:cs="Arial"/>
          <w:lang w:val="es-ES"/>
        </w:rPr>
        <w:t xml:space="preserve">Así se reitera que este proyecto pretende que </w:t>
      </w:r>
      <w:r w:rsidRPr="00B045BD">
        <w:rPr>
          <w:rFonts w:ascii="Verdana" w:hAnsi="Verdana" w:cs="Arial"/>
          <w:lang w:val="es-ES"/>
        </w:rPr>
        <w:t xml:space="preserve">los </w:t>
      </w:r>
      <w:r>
        <w:rPr>
          <w:rFonts w:ascii="Verdana" w:hAnsi="Verdana" w:cs="Arial"/>
          <w:lang w:val="es-ES"/>
        </w:rPr>
        <w:t>Distritos y Municipios conserve</w:t>
      </w:r>
      <w:r w:rsidRPr="00B045BD">
        <w:rPr>
          <w:rFonts w:ascii="Verdana" w:hAnsi="Verdana" w:cs="Arial"/>
          <w:lang w:val="es-ES"/>
        </w:rPr>
        <w:t>n la posibilidad de definir, sujetándose</w:t>
      </w:r>
      <w:r>
        <w:rPr>
          <w:rFonts w:ascii="Verdana" w:hAnsi="Verdana" w:cs="Arial"/>
          <w:lang w:val="es-ES"/>
        </w:rPr>
        <w:t xml:space="preserve"> a los límites constitucionales,</w:t>
      </w:r>
      <w:r w:rsidRPr="00B045BD">
        <w:rPr>
          <w:rFonts w:ascii="Verdana" w:hAnsi="Verdana" w:cs="Arial"/>
          <w:lang w:val="es-ES"/>
        </w:rPr>
        <w:t xml:space="preserve"> el destino de sus propios tributos, entre ellos, </w:t>
      </w:r>
      <w:r>
        <w:rPr>
          <w:rFonts w:ascii="Verdana" w:hAnsi="Verdana" w:cs="Arial"/>
          <w:lang w:val="es-ES"/>
        </w:rPr>
        <w:t>los dineros provenientes d</w:t>
      </w:r>
      <w:r w:rsidRPr="00B045BD">
        <w:rPr>
          <w:rFonts w:ascii="Verdana" w:hAnsi="Verdana" w:cs="Arial"/>
          <w:lang w:val="es-ES"/>
        </w:rPr>
        <w:t>el impuesto de alumbrado público</w:t>
      </w:r>
      <w:r>
        <w:rPr>
          <w:rFonts w:ascii="Verdana" w:hAnsi="Verdana" w:cs="Arial"/>
          <w:lang w:val="es-ES"/>
        </w:rPr>
        <w:t xml:space="preserve"> a que se refiere este proyecto</w:t>
      </w:r>
      <w:r w:rsidRPr="00B045BD">
        <w:rPr>
          <w:rFonts w:ascii="Verdana" w:hAnsi="Verdana" w:cs="Arial"/>
          <w:lang w:val="es-ES"/>
        </w:rPr>
        <w:t>.</w:t>
      </w:r>
    </w:p>
    <w:p w:rsidR="00AB1A55" w:rsidRDefault="00AB1A55" w:rsidP="00AB1A55">
      <w:pPr>
        <w:widowControl w:val="0"/>
        <w:adjustRightInd w:val="0"/>
        <w:spacing w:before="34" w:after="34" w:line="262" w:lineRule="atLeast"/>
        <w:jc w:val="both"/>
        <w:rPr>
          <w:rFonts w:ascii="Verdana" w:hAnsi="Verdana" w:cs="Arial"/>
          <w:lang w:val="es-ES"/>
        </w:rPr>
      </w:pPr>
    </w:p>
    <w:p w:rsidR="00AB1A55" w:rsidRDefault="00AB1A55" w:rsidP="00AB1A55">
      <w:pPr>
        <w:widowControl w:val="0"/>
        <w:adjustRightInd w:val="0"/>
        <w:spacing w:before="34" w:after="34" w:line="262" w:lineRule="atLeast"/>
        <w:jc w:val="both"/>
        <w:rPr>
          <w:rFonts w:ascii="Verdana" w:hAnsi="Verdana" w:cs="Arial"/>
          <w:lang w:val="es-ES"/>
        </w:rPr>
      </w:pPr>
      <w:r>
        <w:rPr>
          <w:rFonts w:ascii="Verdana" w:hAnsi="Verdana" w:cs="Arial"/>
          <w:lang w:val="es-ES"/>
        </w:rPr>
        <w:t>En conclusión, considero q</w:t>
      </w:r>
      <w:r w:rsidRPr="00B045BD">
        <w:rPr>
          <w:rFonts w:ascii="Verdana" w:hAnsi="Verdana" w:cs="Arial"/>
          <w:lang w:val="es-ES"/>
        </w:rPr>
        <w:t>ue e</w:t>
      </w:r>
      <w:r>
        <w:rPr>
          <w:rFonts w:ascii="Verdana" w:hAnsi="Verdana" w:cs="Arial"/>
          <w:lang w:val="es-ES"/>
        </w:rPr>
        <w:t>l impuesto de alumbrado público</w:t>
      </w:r>
      <w:r w:rsidRPr="00B045BD">
        <w:rPr>
          <w:rFonts w:ascii="Verdana" w:hAnsi="Verdana" w:cs="Arial"/>
          <w:lang w:val="es-ES"/>
        </w:rPr>
        <w:t xml:space="preserve"> es un tributo cuya titularidad es de los Distritos y Municipios y por lo tanto, tales entidades territoriales </w:t>
      </w:r>
      <w:r>
        <w:rPr>
          <w:rFonts w:ascii="Verdana" w:hAnsi="Verdana" w:cs="Arial"/>
          <w:lang w:val="es-ES"/>
        </w:rPr>
        <w:t xml:space="preserve">deberían poder </w:t>
      </w:r>
      <w:r w:rsidRPr="00B045BD">
        <w:rPr>
          <w:rFonts w:ascii="Verdana" w:hAnsi="Verdana" w:cs="Arial"/>
          <w:lang w:val="es-ES"/>
        </w:rPr>
        <w:t xml:space="preserve">definir la destinación de </w:t>
      </w:r>
      <w:r>
        <w:rPr>
          <w:rFonts w:ascii="Verdana" w:hAnsi="Verdana" w:cs="Arial"/>
          <w:lang w:val="es-ES"/>
        </w:rPr>
        <w:t xml:space="preserve">los </w:t>
      </w:r>
      <w:r w:rsidRPr="00B045BD">
        <w:rPr>
          <w:rFonts w:ascii="Verdana" w:hAnsi="Verdana" w:cs="Arial"/>
          <w:lang w:val="es-ES"/>
        </w:rPr>
        <w:t>ingresos</w:t>
      </w:r>
      <w:r>
        <w:rPr>
          <w:rFonts w:ascii="Verdana" w:hAnsi="Verdana" w:cs="Arial"/>
          <w:lang w:val="es-ES"/>
        </w:rPr>
        <w:t xml:space="preserve"> provenientes de los mismos</w:t>
      </w:r>
      <w:r w:rsidRPr="00B045BD">
        <w:rPr>
          <w:rFonts w:ascii="Verdana" w:hAnsi="Verdana" w:cs="Arial"/>
          <w:lang w:val="es-ES"/>
        </w:rPr>
        <w:t xml:space="preserve">, </w:t>
      </w:r>
      <w:r>
        <w:rPr>
          <w:rFonts w:ascii="Verdana" w:hAnsi="Verdana" w:cs="Arial"/>
          <w:lang w:val="es-ES"/>
        </w:rPr>
        <w:t xml:space="preserve">lo que además les permitiría </w:t>
      </w:r>
      <w:r w:rsidRPr="00B045BD">
        <w:rPr>
          <w:rFonts w:ascii="Verdana" w:hAnsi="Verdana" w:cs="Arial"/>
          <w:lang w:val="es-ES"/>
        </w:rPr>
        <w:t xml:space="preserve">ampliar el marco de actividades que podrían financiarse con dicho tributo, </w:t>
      </w:r>
      <w:r w:rsidRPr="00B045BD">
        <w:rPr>
          <w:rFonts w:ascii="Verdana" w:hAnsi="Verdana" w:cs="Arial"/>
          <w:lang w:val="es-ES"/>
        </w:rPr>
        <w:lastRenderedPageBreak/>
        <w:t>para atender otros servicios que estén igualmente a cargo de dichas entidades territoriales, siempre que previamente se asegure el pago de todos los servicios derivados del alumbrado público.</w:t>
      </w:r>
      <w:r>
        <w:rPr>
          <w:rFonts w:ascii="Verdana" w:hAnsi="Verdana" w:cs="Arial"/>
          <w:lang w:val="es-ES"/>
        </w:rPr>
        <w:t xml:space="preserve"> Esto no es cosa diferente que dar a las entidades territoriales un margen de libertad para que puedan a través del manejo de sus propios recursos, gestionar de la mejor manera sus intereses y necesidades.</w:t>
      </w: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AB1A55" w:rsidP="00AB1A55">
      <w:pPr>
        <w:widowControl w:val="0"/>
        <w:adjustRightInd w:val="0"/>
        <w:spacing w:before="34" w:after="34" w:line="262" w:lineRule="atLeast"/>
        <w:ind w:firstLine="283"/>
        <w:jc w:val="both"/>
        <w:rPr>
          <w:rFonts w:ascii="Verdana" w:hAnsi="Verdana" w:cs="Arial"/>
          <w:lang w:val="es-ES"/>
        </w:rPr>
      </w:pPr>
    </w:p>
    <w:p w:rsidR="00AB1A55" w:rsidRPr="00B045BD" w:rsidRDefault="00AB1A55" w:rsidP="00AB1A55">
      <w:pPr>
        <w:widowControl w:val="0"/>
        <w:adjustRightInd w:val="0"/>
        <w:spacing w:before="34" w:after="34" w:line="262" w:lineRule="atLeast"/>
        <w:ind w:firstLine="283"/>
        <w:jc w:val="both"/>
        <w:rPr>
          <w:rFonts w:ascii="Verdana" w:hAnsi="Verdana" w:cs="Arial"/>
          <w:lang w:val="es-ES"/>
        </w:rPr>
      </w:pPr>
    </w:p>
    <w:p w:rsidR="00AB1A55" w:rsidRDefault="00E06DD6" w:rsidP="00AB1A55">
      <w:pPr>
        <w:widowControl w:val="0"/>
        <w:adjustRightInd w:val="0"/>
        <w:spacing w:before="34" w:after="34" w:line="262" w:lineRule="atLeast"/>
        <w:jc w:val="both"/>
        <w:rPr>
          <w:rFonts w:ascii="Verdana" w:hAnsi="Verdana" w:cs="Arial"/>
          <w:lang w:val="es-ES"/>
        </w:rPr>
      </w:pPr>
      <w:r>
        <w:rPr>
          <w:rFonts w:ascii="Verdana" w:hAnsi="Verdana" w:cs="Arial"/>
          <w:lang w:val="es-ES"/>
        </w:rPr>
        <w:t xml:space="preserve">Atentamente, </w:t>
      </w:r>
    </w:p>
    <w:p w:rsidR="001E1E6C" w:rsidRDefault="001E1E6C" w:rsidP="00AB1A55">
      <w:pPr>
        <w:widowControl w:val="0"/>
        <w:adjustRightInd w:val="0"/>
        <w:spacing w:before="34" w:after="34" w:line="262" w:lineRule="atLeast"/>
        <w:jc w:val="both"/>
        <w:rPr>
          <w:rFonts w:ascii="Verdana" w:hAnsi="Verdana" w:cs="Arial"/>
          <w:lang w:val="es-ES"/>
        </w:rPr>
      </w:pPr>
    </w:p>
    <w:p w:rsidR="00AB1A55" w:rsidRDefault="00AB1A55" w:rsidP="00AB1A55">
      <w:pPr>
        <w:widowControl w:val="0"/>
        <w:adjustRightInd w:val="0"/>
        <w:spacing w:before="34" w:after="34" w:line="262" w:lineRule="atLeast"/>
        <w:jc w:val="both"/>
        <w:rPr>
          <w:rFonts w:ascii="Verdana" w:hAnsi="Verdana" w:cs="Arial"/>
          <w:lang w:val="es-ES"/>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ind w:left="80"/>
              <w:jc w:val="both"/>
              <w:rPr>
                <w:rFonts w:ascii="Arial" w:hAnsi="Arial" w:cs="Arial"/>
                <w:b/>
              </w:rPr>
            </w:pPr>
          </w:p>
          <w:p w:rsidR="00E06DD6" w:rsidRDefault="00E06DD6" w:rsidP="00667F57">
            <w:pPr>
              <w:ind w:left="80"/>
              <w:jc w:val="both"/>
              <w:rPr>
                <w:rFonts w:ascii="Arial" w:hAnsi="Arial" w:cs="Arial"/>
                <w:b/>
              </w:rPr>
            </w:pPr>
          </w:p>
          <w:p w:rsidR="00E06DD6" w:rsidRDefault="00E06DD6" w:rsidP="00667F57">
            <w:pPr>
              <w:rPr>
                <w:rFonts w:ascii="Arial" w:hAnsi="Arial" w:cs="Arial"/>
                <w:b/>
              </w:rPr>
            </w:pPr>
            <w:r>
              <w:rPr>
                <w:rFonts w:ascii="Arial" w:hAnsi="Arial" w:cs="Arial"/>
                <w:b/>
              </w:rPr>
              <w:t>____________________________</w:t>
            </w:r>
          </w:p>
          <w:p w:rsidR="00E06DD6" w:rsidRPr="00D21609" w:rsidRDefault="00E06DD6" w:rsidP="00667F57">
            <w:pPr>
              <w:jc w:val="both"/>
              <w:rPr>
                <w:rFonts w:ascii="Arial" w:hAnsi="Arial" w:cs="Arial"/>
                <w:b/>
              </w:rPr>
            </w:pPr>
            <w:r>
              <w:rPr>
                <w:rFonts w:ascii="Arial" w:hAnsi="Arial" w:cs="Arial"/>
                <w:b/>
              </w:rPr>
              <w:t xml:space="preserve">MODESTO </w:t>
            </w:r>
            <w:bookmarkStart w:id="0" w:name="_GoBack"/>
            <w:bookmarkEnd w:id="0"/>
            <w:r>
              <w:rPr>
                <w:rFonts w:ascii="Arial" w:hAnsi="Arial" w:cs="Arial"/>
                <w:b/>
              </w:rPr>
              <w:t>AGUILERA</w:t>
            </w:r>
            <w:r>
              <w:rPr>
                <w:rFonts w:ascii="Arial" w:hAnsi="Arial" w:cs="Arial"/>
                <w:b/>
              </w:rPr>
              <w:t xml:space="preserve"> VIDES</w:t>
            </w:r>
          </w:p>
          <w:p w:rsidR="00E06DD6" w:rsidRPr="00D21609" w:rsidRDefault="00E06DD6" w:rsidP="00667F57">
            <w:pPr>
              <w:jc w:val="both"/>
              <w:rPr>
                <w:rFonts w:ascii="Arial" w:hAnsi="Arial" w:cs="Arial"/>
              </w:rPr>
            </w:pPr>
            <w:r w:rsidRPr="00D21609">
              <w:rPr>
                <w:rFonts w:ascii="Arial" w:hAnsi="Arial" w:cs="Arial"/>
              </w:rPr>
              <w:t xml:space="preserve">Representante a la Cámara </w:t>
            </w:r>
          </w:p>
          <w:p w:rsidR="00E06DD6" w:rsidRDefault="00E06DD6" w:rsidP="00667F57">
            <w:pPr>
              <w:rPr>
                <w:rFonts w:ascii="Arial" w:hAnsi="Arial" w:cs="Arial"/>
                <w:b/>
              </w:rPr>
            </w:pPr>
            <w:r w:rsidRPr="00D21609">
              <w:rPr>
                <w:rFonts w:ascii="Arial" w:hAnsi="Arial" w:cs="Arial"/>
              </w:rPr>
              <w:t>Partido Cambio Radical</w:t>
            </w:r>
          </w:p>
          <w:p w:rsidR="00E06DD6" w:rsidRPr="009540C9" w:rsidRDefault="00E06DD6" w:rsidP="00667F57">
            <w:pPr>
              <w:rPr>
                <w:rFonts w:ascii="Arial" w:hAnsi="Arial" w:cs="Arial"/>
                <w:b/>
              </w:rPr>
            </w:pP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jc w:val="both"/>
              <w:rPr>
                <w:rFonts w:ascii="Arial" w:hAnsi="Arial" w:cs="Arial"/>
                <w:b/>
              </w:rPr>
            </w:pPr>
          </w:p>
          <w:p w:rsidR="00E06DD6" w:rsidRDefault="00E06DD6" w:rsidP="00667F57">
            <w:pPr>
              <w:jc w:val="both"/>
              <w:rPr>
                <w:rFonts w:ascii="Arial" w:hAnsi="Arial" w:cs="Arial"/>
                <w:b/>
              </w:rPr>
            </w:pPr>
          </w:p>
          <w:p w:rsidR="00E06DD6" w:rsidRPr="00D21609" w:rsidRDefault="00E06DD6" w:rsidP="00667F57">
            <w:pPr>
              <w:jc w:val="both"/>
              <w:rPr>
                <w:rFonts w:ascii="Arial" w:hAnsi="Arial" w:cs="Arial"/>
                <w:b/>
              </w:rPr>
            </w:pPr>
            <w:r>
              <w:rPr>
                <w:rFonts w:ascii="Arial" w:hAnsi="Arial" w:cs="Arial"/>
                <w:b/>
              </w:rPr>
              <w:t>____</w:t>
            </w:r>
            <w:r w:rsidRPr="00D21609">
              <w:rPr>
                <w:rFonts w:ascii="Arial" w:hAnsi="Arial" w:cs="Arial"/>
                <w:b/>
              </w:rPr>
              <w:t>________________________</w:t>
            </w:r>
          </w:p>
          <w:p w:rsidR="00E06DD6" w:rsidRPr="00D21609" w:rsidRDefault="00E06DD6" w:rsidP="00667F57">
            <w:pPr>
              <w:rPr>
                <w:rFonts w:ascii="Arial" w:hAnsi="Arial" w:cs="Arial"/>
                <w:b/>
              </w:rPr>
            </w:pPr>
            <w:r>
              <w:rPr>
                <w:rFonts w:ascii="Arial" w:hAnsi="Arial" w:cs="Arial"/>
                <w:b/>
              </w:rPr>
              <w:t>ARTURO CHAR CHALJUB</w:t>
            </w:r>
          </w:p>
          <w:p w:rsidR="00E06DD6" w:rsidRPr="00D21609" w:rsidRDefault="00E06DD6" w:rsidP="00667F57">
            <w:pPr>
              <w:rPr>
                <w:rFonts w:ascii="Arial" w:hAnsi="Arial" w:cs="Arial"/>
              </w:rPr>
            </w:pPr>
            <w:r>
              <w:rPr>
                <w:rFonts w:ascii="Arial" w:hAnsi="Arial" w:cs="Arial"/>
              </w:rPr>
              <w:t>Senador de la República</w:t>
            </w:r>
          </w:p>
          <w:p w:rsidR="00E06DD6" w:rsidRPr="009540C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r>
    </w:tbl>
    <w:p w:rsidR="00E06DD6" w:rsidRDefault="00E06DD6" w:rsidP="00E06DD6">
      <w:pPr>
        <w:jc w:val="center"/>
        <w:rPr>
          <w:rFonts w:ascii="Arial" w:hAnsi="Arial" w:cs="Arial"/>
          <w:b/>
        </w:rPr>
      </w:pPr>
    </w:p>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D21609" w:rsidTr="00667F57">
        <w:trPr>
          <w:trHeight w:val="2159"/>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_______________________________</w:t>
            </w:r>
          </w:p>
          <w:p w:rsidR="00E06DD6" w:rsidRDefault="00E06DD6" w:rsidP="00667F57">
            <w:pPr>
              <w:rPr>
                <w:rFonts w:ascii="Arial" w:hAnsi="Arial" w:cs="Arial"/>
                <w:b/>
              </w:rPr>
            </w:pPr>
            <w:r>
              <w:rPr>
                <w:rFonts w:ascii="Arial" w:hAnsi="Arial" w:cs="Arial"/>
                <w:b/>
              </w:rPr>
              <w:t>RICHARD ALFONSO AGUILAR V.</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tabs>
                <w:tab w:val="left" w:pos="3465"/>
              </w:tabs>
              <w:ind w:left="80"/>
              <w:jc w:val="both"/>
              <w:rPr>
                <w:rFonts w:ascii="Arial" w:hAnsi="Arial" w:cs="Arial"/>
                <w:b/>
              </w:rPr>
            </w:pPr>
          </w:p>
          <w:p w:rsidR="00E06DD6" w:rsidRDefault="00E06DD6" w:rsidP="00667F57">
            <w:pPr>
              <w:tabs>
                <w:tab w:val="left" w:pos="3465"/>
              </w:tabs>
              <w:ind w:left="80"/>
              <w:jc w:val="both"/>
              <w:rPr>
                <w:rFonts w:ascii="Arial" w:hAnsi="Arial" w:cs="Arial"/>
                <w:b/>
              </w:rPr>
            </w:pPr>
            <w:r>
              <w:rPr>
                <w:rFonts w:ascii="Arial" w:hAnsi="Arial" w:cs="Arial"/>
                <w:b/>
              </w:rPr>
              <w:tab/>
            </w:r>
          </w:p>
          <w:p w:rsidR="00E06DD6" w:rsidRDefault="00E06DD6" w:rsidP="00667F57">
            <w:pPr>
              <w:rPr>
                <w:rFonts w:ascii="Arial" w:hAnsi="Arial" w:cs="Arial"/>
                <w:b/>
              </w:rPr>
            </w:pPr>
            <w:r>
              <w:rPr>
                <w:rFonts w:ascii="Arial" w:hAnsi="Arial" w:cs="Arial"/>
                <w:b/>
              </w:rPr>
              <w:t>_______________________________</w:t>
            </w:r>
          </w:p>
          <w:p w:rsidR="00E06DD6" w:rsidRPr="00080A5A" w:rsidRDefault="00E06DD6" w:rsidP="00667F57">
            <w:pPr>
              <w:rPr>
                <w:rFonts w:ascii="Arial" w:hAnsi="Arial" w:cs="Arial"/>
                <w:b/>
              </w:rPr>
            </w:pPr>
            <w:r w:rsidRPr="00080A5A">
              <w:rPr>
                <w:rFonts w:ascii="Arial" w:hAnsi="Arial" w:cs="Arial"/>
                <w:b/>
              </w:rPr>
              <w:t>ÁNGELA PATRICIA SÁNCHEZ LEAL</w:t>
            </w:r>
          </w:p>
          <w:p w:rsidR="00E06DD6" w:rsidRPr="00080A5A" w:rsidRDefault="00E06DD6" w:rsidP="00667F57">
            <w:pPr>
              <w:rPr>
                <w:rFonts w:ascii="Arial" w:hAnsi="Arial" w:cs="Arial"/>
                <w:b/>
              </w:rPr>
            </w:pPr>
            <w:r w:rsidRPr="00080A5A">
              <w:rPr>
                <w:rFonts w:ascii="Arial" w:hAnsi="Arial" w:cs="Arial"/>
              </w:rPr>
              <w:t>Representante a la Cámara</w:t>
            </w:r>
          </w:p>
          <w:p w:rsidR="00E06DD6" w:rsidRDefault="00E06DD6" w:rsidP="00667F57">
            <w:pPr>
              <w:jc w:val="both"/>
              <w:rPr>
                <w:rFonts w:ascii="Arial" w:hAnsi="Arial" w:cs="Arial"/>
                <w:b/>
              </w:rPr>
            </w:pPr>
            <w:r w:rsidRPr="00080A5A">
              <w:rPr>
                <w:rFonts w:ascii="Arial" w:hAnsi="Arial" w:cs="Arial"/>
              </w:rPr>
              <w:t>Partido Cambio Radical</w:t>
            </w:r>
          </w:p>
          <w:p w:rsidR="00E06DD6" w:rsidRDefault="00E06DD6" w:rsidP="00667F57">
            <w:pPr>
              <w:ind w:left="80"/>
              <w:jc w:val="both"/>
              <w:rPr>
                <w:rFonts w:ascii="Arial" w:hAnsi="Arial" w:cs="Arial"/>
                <w:b/>
              </w:rPr>
            </w:pPr>
          </w:p>
          <w:p w:rsidR="00E06DD6" w:rsidRPr="00DB57D0" w:rsidRDefault="00E06DD6" w:rsidP="00667F57">
            <w:pPr>
              <w:ind w:left="80"/>
              <w:jc w:val="both"/>
              <w:rPr>
                <w:rFonts w:ascii="Arial" w:hAnsi="Arial" w:cs="Arial"/>
              </w:rPr>
            </w:pPr>
          </w:p>
        </w:tc>
      </w:tr>
    </w:tbl>
    <w:p w:rsidR="008D1CD4" w:rsidRDefault="008D1CD4"/>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D21609"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JOSÉ L UIS PÉREZ OYUELA</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080A5A" w:rsidRDefault="00E06DD6" w:rsidP="00667F57">
            <w:pPr>
              <w:rPr>
                <w:rFonts w:ascii="Arial" w:hAnsi="Arial" w:cs="Arial"/>
                <w:b/>
              </w:rPr>
            </w:pPr>
            <w:r>
              <w:rPr>
                <w:rFonts w:ascii="Arial" w:hAnsi="Arial" w:cs="Arial"/>
                <w:b/>
              </w:rPr>
              <w:t>JOSÉ DANIEL LÓPEZ JIMÉNEZ</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D21609" w:rsidRDefault="00E06DD6" w:rsidP="00667F57">
            <w:pPr>
              <w:rPr>
                <w:rFonts w:ascii="Arial" w:hAnsi="Arial" w:cs="Arial"/>
                <w:b/>
              </w:rPr>
            </w:pPr>
            <w:r>
              <w:rPr>
                <w:rFonts w:ascii="Arial" w:hAnsi="Arial" w:cs="Arial"/>
              </w:rPr>
              <w:t>Partido Cambio Radical</w:t>
            </w:r>
          </w:p>
          <w:p w:rsidR="00E06DD6" w:rsidRPr="003935D2" w:rsidRDefault="00E06DD6" w:rsidP="00667F57">
            <w:pPr>
              <w:jc w:val="both"/>
              <w:rPr>
                <w:rFonts w:ascii="Arial" w:hAnsi="Arial" w:cs="Arial"/>
              </w:rPr>
            </w:pP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D21609"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965013" w:rsidRDefault="00E06DD6" w:rsidP="00667F57">
            <w:pPr>
              <w:rPr>
                <w:rFonts w:ascii="Arial" w:hAnsi="Arial" w:cs="Arial"/>
                <w:b/>
              </w:rPr>
            </w:pPr>
            <w:r>
              <w:rPr>
                <w:rFonts w:ascii="Arial" w:hAnsi="Arial" w:cs="Arial"/>
                <w:b/>
                <w:bCs/>
              </w:rPr>
              <w:t xml:space="preserve">LUIS E. </w:t>
            </w:r>
            <w:r w:rsidRPr="00AB3583">
              <w:rPr>
                <w:rFonts w:ascii="Arial" w:hAnsi="Arial" w:cs="Arial"/>
                <w:b/>
                <w:bCs/>
              </w:rPr>
              <w:t>DIAZ GRANADOS TORRES</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p w:rsidR="00E06DD6" w:rsidRPr="00D21609" w:rsidRDefault="00E06DD6" w:rsidP="00667F57">
            <w:pPr>
              <w:ind w:left="80"/>
              <w:jc w:val="both"/>
              <w:rPr>
                <w:rFonts w:ascii="Arial" w:hAnsi="Arial" w:cs="Arial"/>
                <w:b/>
              </w:rPr>
            </w:pP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D21609" w:rsidRDefault="00E06DD6" w:rsidP="00667F57">
            <w:pPr>
              <w:jc w:val="both"/>
              <w:rPr>
                <w:rFonts w:ascii="Arial" w:hAnsi="Arial" w:cs="Arial"/>
                <w:b/>
              </w:rPr>
            </w:pPr>
            <w:r>
              <w:rPr>
                <w:rFonts w:ascii="Arial" w:hAnsi="Arial" w:cs="Arial"/>
                <w:b/>
              </w:rPr>
              <w:t>JAIRO H. CRISTO CORREA</w:t>
            </w:r>
          </w:p>
          <w:p w:rsidR="00E06DD6" w:rsidRPr="00D21609" w:rsidRDefault="00E06DD6" w:rsidP="00667F57">
            <w:pPr>
              <w:jc w:val="both"/>
              <w:rPr>
                <w:rFonts w:ascii="Arial" w:hAnsi="Arial" w:cs="Arial"/>
              </w:rPr>
            </w:pPr>
            <w:r w:rsidRPr="00D21609">
              <w:rPr>
                <w:rFonts w:ascii="Arial" w:hAnsi="Arial" w:cs="Arial"/>
              </w:rPr>
              <w:t xml:space="preserve">Representante a la Cámara </w:t>
            </w:r>
          </w:p>
          <w:p w:rsidR="00E06DD6" w:rsidRPr="00D21609" w:rsidRDefault="00E06DD6" w:rsidP="00E06DD6">
            <w:pPr>
              <w:rPr>
                <w:rFonts w:ascii="Arial" w:hAnsi="Arial" w:cs="Arial"/>
                <w:b/>
              </w:rPr>
            </w:pPr>
            <w:r w:rsidRPr="00D21609">
              <w:rPr>
                <w:rFonts w:ascii="Arial" w:hAnsi="Arial" w:cs="Arial"/>
              </w:rPr>
              <w:t>Partido Cambio Radic</w:t>
            </w:r>
            <w:r>
              <w:rPr>
                <w:rFonts w:ascii="Arial" w:hAnsi="Arial" w:cs="Arial"/>
              </w:rPr>
              <w:t>al</w:t>
            </w:r>
          </w:p>
        </w:tc>
      </w:tr>
    </w:tbl>
    <w:p w:rsidR="00E06DD6" w:rsidRDefault="00E06DD6" w:rsidP="00E06DD6">
      <w:pP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rPr>
              <w:t>RODRIGO LARA RESTREPO</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w:t>
            </w:r>
          </w:p>
          <w:p w:rsidR="00E06DD6" w:rsidRPr="00A273EB" w:rsidRDefault="00E06DD6" w:rsidP="00667F57">
            <w:pPr>
              <w:rPr>
                <w:rFonts w:ascii="Arial" w:hAnsi="Arial" w:cs="Arial"/>
                <w:b/>
              </w:rPr>
            </w:pPr>
            <w:r w:rsidRPr="00A273EB">
              <w:rPr>
                <w:rFonts w:ascii="Arial" w:hAnsi="Arial" w:cs="Arial"/>
                <w:b/>
              </w:rPr>
              <w:t>CESAR AUGUSTO LORDUY M.</w:t>
            </w:r>
          </w:p>
          <w:p w:rsidR="00E06DD6" w:rsidRPr="00A273EB" w:rsidRDefault="00E06DD6" w:rsidP="00667F57">
            <w:pPr>
              <w:rPr>
                <w:rFonts w:ascii="Arial" w:hAnsi="Arial" w:cs="Arial"/>
              </w:rPr>
            </w:pPr>
            <w:r w:rsidRPr="00A273EB">
              <w:rPr>
                <w:rFonts w:ascii="Arial" w:hAnsi="Arial" w:cs="Arial"/>
              </w:rPr>
              <w:t>Representante a la Cámara</w:t>
            </w:r>
          </w:p>
          <w:p w:rsidR="00E06DD6" w:rsidRPr="00DB57D0"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sidRPr="00AB3583">
              <w:rPr>
                <w:rFonts w:ascii="Arial" w:hAnsi="Arial" w:cs="Arial"/>
                <w:b/>
                <w:bCs/>
              </w:rPr>
              <w:t>DIDIER LOBO CHINCHILLA</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_______________________________</w:t>
            </w:r>
          </w:p>
          <w:p w:rsidR="00E06DD6" w:rsidRPr="00A273EB" w:rsidRDefault="00E06DD6" w:rsidP="00667F57">
            <w:pPr>
              <w:rPr>
                <w:rFonts w:ascii="Arial" w:hAnsi="Arial" w:cs="Arial"/>
                <w:b/>
              </w:rPr>
            </w:pPr>
            <w:r>
              <w:rPr>
                <w:rFonts w:ascii="Arial" w:hAnsi="Arial" w:cs="Arial"/>
                <w:b/>
              </w:rPr>
              <w:t>JOSÉ GABRIEL AMAR SEPULVEDA</w:t>
            </w:r>
          </w:p>
          <w:p w:rsidR="00E06DD6" w:rsidRPr="00A273EB" w:rsidRDefault="00E06DD6" w:rsidP="00667F57">
            <w:pPr>
              <w:rPr>
                <w:rFonts w:ascii="Arial" w:hAnsi="Arial" w:cs="Arial"/>
              </w:rPr>
            </w:pPr>
            <w:r w:rsidRPr="00A273EB">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rPr>
            </w:pPr>
            <w:r w:rsidRPr="00AB3583">
              <w:rPr>
                <w:rFonts w:ascii="Arial" w:hAnsi="Arial" w:cs="Arial"/>
                <w:b/>
                <w:bCs/>
              </w:rPr>
              <w:t>EDGAR JESUS DIAZ CONTRERAS</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Default="00E06DD6" w:rsidP="00667F57">
            <w:pPr>
              <w:rPr>
                <w:rFonts w:ascii="Arial" w:hAnsi="Arial" w:cs="Arial"/>
                <w:b/>
              </w:rPr>
            </w:pPr>
            <w:r>
              <w:rPr>
                <w:rFonts w:ascii="Arial" w:hAnsi="Arial" w:cs="Arial"/>
                <w:b/>
              </w:rPr>
              <w:t>OSWALDO ARCOS</w:t>
            </w:r>
          </w:p>
          <w:p w:rsidR="00E06DD6" w:rsidRPr="00A273EB" w:rsidRDefault="00E06DD6" w:rsidP="00667F57">
            <w:pPr>
              <w:rPr>
                <w:rFonts w:ascii="Arial" w:hAnsi="Arial" w:cs="Arial"/>
              </w:rPr>
            </w:pPr>
            <w:r w:rsidRPr="00A273EB">
              <w:rPr>
                <w:rFonts w:ascii="Arial" w:hAnsi="Arial" w:cs="Arial"/>
              </w:rPr>
              <w:t>Representante a la Cámara</w:t>
            </w:r>
          </w:p>
          <w:p w:rsidR="00E06DD6" w:rsidRPr="00A273EB" w:rsidRDefault="00E06DD6" w:rsidP="00667F57">
            <w:pPr>
              <w:rPr>
                <w:rFonts w:ascii="Arial" w:hAnsi="Arial" w:cs="Arial"/>
                <w:b/>
              </w:rPr>
            </w:pPr>
            <w:r w:rsidRPr="00A273EB">
              <w:rPr>
                <w:rFonts w:ascii="Arial" w:hAnsi="Arial" w:cs="Arial"/>
              </w:rPr>
              <w:t>Partido Cambio Radical</w:t>
            </w:r>
          </w:p>
        </w:tc>
      </w:tr>
    </w:tbl>
    <w:p w:rsidR="00E06DD6" w:rsidRDefault="00E06DD6" w:rsidP="00E06DD6">
      <w:pP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w:t>
            </w:r>
          </w:p>
          <w:p w:rsidR="00E06DD6" w:rsidRDefault="00E06DD6" w:rsidP="00667F57">
            <w:pPr>
              <w:rPr>
                <w:rFonts w:ascii="Arial" w:hAnsi="Arial" w:cs="Arial"/>
                <w:b/>
              </w:rPr>
            </w:pPr>
            <w:r>
              <w:rPr>
                <w:rFonts w:ascii="Arial" w:hAnsi="Arial" w:cs="Arial"/>
                <w:b/>
                <w:bCs/>
              </w:rPr>
              <w:t>CARLOS A. JIMENEZ LÓPEZ</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jc w:val="both"/>
              <w:rPr>
                <w:rFonts w:ascii="Arial" w:hAnsi="Arial" w:cs="Arial"/>
                <w:b/>
              </w:rPr>
            </w:pPr>
            <w:r>
              <w:rPr>
                <w:rFonts w:ascii="Arial" w:hAnsi="Arial" w:cs="Arial"/>
                <w:b/>
              </w:rPr>
              <w:t>_____________________________</w:t>
            </w:r>
          </w:p>
          <w:p w:rsidR="00E06DD6" w:rsidRPr="003935D2" w:rsidRDefault="00E06DD6" w:rsidP="00667F57">
            <w:pPr>
              <w:jc w:val="both"/>
              <w:rPr>
                <w:rFonts w:ascii="Arial" w:hAnsi="Arial" w:cs="Arial"/>
                <w:b/>
              </w:rPr>
            </w:pPr>
            <w:r w:rsidRPr="003935D2">
              <w:rPr>
                <w:rFonts w:ascii="Arial" w:hAnsi="Arial" w:cs="Arial"/>
                <w:b/>
              </w:rPr>
              <w:t>KAREN VIOLETTE CURE C.</w:t>
            </w:r>
          </w:p>
          <w:p w:rsidR="00E06DD6" w:rsidRPr="00D21609" w:rsidRDefault="00E06DD6" w:rsidP="00667F57">
            <w:pPr>
              <w:jc w:val="both"/>
              <w:rPr>
                <w:rFonts w:ascii="Arial" w:hAnsi="Arial" w:cs="Arial"/>
              </w:rPr>
            </w:pPr>
            <w:r w:rsidRPr="00D21609">
              <w:rPr>
                <w:rFonts w:ascii="Arial" w:hAnsi="Arial" w:cs="Arial"/>
              </w:rPr>
              <w:t xml:space="preserve">Representante a la Cámara </w:t>
            </w:r>
          </w:p>
          <w:p w:rsidR="00E06DD6" w:rsidRDefault="00E06DD6" w:rsidP="00667F57">
            <w:pPr>
              <w:rPr>
                <w:rFonts w:ascii="Arial" w:hAnsi="Arial" w:cs="Arial"/>
                <w:b/>
              </w:rPr>
            </w:pPr>
            <w:r>
              <w:rPr>
                <w:rFonts w:ascii="Arial" w:hAnsi="Arial" w:cs="Arial"/>
              </w:rPr>
              <w:t>Partido Cambio Radical</w:t>
            </w:r>
          </w:p>
          <w:p w:rsidR="00E06DD6" w:rsidRPr="00E9326C" w:rsidRDefault="00E06DD6" w:rsidP="00667F57">
            <w:pPr>
              <w:rPr>
                <w:rFonts w:ascii="Arial" w:hAnsi="Arial" w:cs="Arial"/>
              </w:rPr>
            </w:pPr>
          </w:p>
        </w:tc>
      </w:tr>
    </w:tbl>
    <w:p w:rsidR="00E06DD6" w:rsidRDefault="00E06DD6" w:rsidP="00E06DD6">
      <w:pP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rPr>
              <w:t>CARLOS F.  MOTOA SOLARTE</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080A5A" w:rsidRDefault="00E06DD6" w:rsidP="00667F57">
            <w:pPr>
              <w:rPr>
                <w:rFonts w:ascii="Arial" w:hAnsi="Arial" w:cs="Arial"/>
                <w:b/>
              </w:rPr>
            </w:pPr>
            <w:r>
              <w:rPr>
                <w:rFonts w:ascii="Arial" w:hAnsi="Arial" w:cs="Arial"/>
                <w:b/>
              </w:rPr>
              <w:t>JOSÉ IGNACIO MESA BETANCUR</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FABIAN G. CASTILLO SUÁREZ</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080A5A" w:rsidRDefault="00E06DD6" w:rsidP="00667F57">
            <w:pPr>
              <w:rPr>
                <w:rFonts w:ascii="Arial" w:hAnsi="Arial" w:cs="Arial"/>
                <w:b/>
              </w:rPr>
            </w:pPr>
            <w:r>
              <w:rPr>
                <w:rFonts w:ascii="Arial" w:hAnsi="Arial" w:cs="Arial"/>
                <w:b/>
              </w:rPr>
              <w:t>JORGE BENEDETTI MARTELO</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DB57D0" w:rsidRDefault="00E06DD6" w:rsidP="00667F57">
            <w:pPr>
              <w:rPr>
                <w:rFonts w:ascii="Arial" w:hAnsi="Arial" w:cs="Arial"/>
              </w:rPr>
            </w:pPr>
            <w:r w:rsidRPr="00080A5A">
              <w:rPr>
                <w:rFonts w:ascii="Arial" w:hAnsi="Arial" w:cs="Arial"/>
              </w:rPr>
              <w:t>Partido Cambio Radi</w:t>
            </w:r>
            <w:r>
              <w:rPr>
                <w:rFonts w:ascii="Arial" w:hAnsi="Arial" w:cs="Arial"/>
              </w:rPr>
              <w:t>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ANA MARÍA CASTAÑEDA GÓMEZ</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GUSTAVO HERNÁN PUENTES D.</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rPr>
              <w:t>ANTONIO LUIS ZABARAÍN G.</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rPr>
            </w:pPr>
          </w:p>
          <w:p w:rsidR="00E06DD6" w:rsidRDefault="00E06DD6" w:rsidP="00667F57">
            <w:pPr>
              <w:rPr>
                <w:rFonts w:ascii="Arial" w:hAnsi="Arial" w:cs="Arial"/>
              </w:rPr>
            </w:pPr>
          </w:p>
          <w:p w:rsidR="00E06DD6" w:rsidRDefault="00E06DD6" w:rsidP="00667F57">
            <w:pPr>
              <w:rPr>
                <w:rFonts w:ascii="Arial" w:hAnsi="Arial" w:cs="Arial"/>
                <w:b/>
              </w:rPr>
            </w:pPr>
            <w:r>
              <w:rPr>
                <w:rFonts w:ascii="Arial" w:hAnsi="Arial" w:cs="Arial"/>
                <w:b/>
              </w:rPr>
              <w:t>____________________________</w:t>
            </w:r>
          </w:p>
          <w:p w:rsidR="00E06DD6" w:rsidRPr="00080A5A" w:rsidRDefault="00E06DD6" w:rsidP="00667F57">
            <w:pPr>
              <w:rPr>
                <w:rFonts w:ascii="Arial" w:hAnsi="Arial" w:cs="Arial"/>
                <w:b/>
              </w:rPr>
            </w:pPr>
            <w:r>
              <w:rPr>
                <w:rFonts w:ascii="Arial" w:hAnsi="Arial" w:cs="Arial"/>
                <w:b/>
              </w:rPr>
              <w:t>ERWIN ARIAS BETANCUR</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rPr>
              <w:t>DAIRA DE JESÚS GALVIS M.</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Default="00E06DD6" w:rsidP="00667F57">
            <w:pPr>
              <w:rPr>
                <w:rFonts w:ascii="Arial" w:hAnsi="Arial" w:cs="Arial"/>
              </w:rPr>
            </w:pPr>
          </w:p>
          <w:p w:rsidR="00E06DD6" w:rsidRDefault="00E06DD6" w:rsidP="00667F57">
            <w:pPr>
              <w:rPr>
                <w:rFonts w:ascii="Arial" w:hAnsi="Arial" w:cs="Arial"/>
              </w:rPr>
            </w:pPr>
          </w:p>
          <w:p w:rsidR="00E06DD6" w:rsidRDefault="00E06DD6" w:rsidP="00667F57">
            <w:pPr>
              <w:rPr>
                <w:rFonts w:ascii="Arial" w:hAnsi="Arial" w:cs="Arial"/>
                <w:b/>
              </w:rPr>
            </w:pPr>
            <w:r>
              <w:rPr>
                <w:rFonts w:ascii="Arial" w:hAnsi="Arial" w:cs="Arial"/>
                <w:b/>
              </w:rPr>
              <w:t>___________________________</w:t>
            </w:r>
          </w:p>
          <w:p w:rsidR="00E06DD6" w:rsidRPr="00080A5A" w:rsidRDefault="00E06DD6" w:rsidP="00667F57">
            <w:pPr>
              <w:rPr>
                <w:rFonts w:ascii="Arial" w:hAnsi="Arial" w:cs="Arial"/>
                <w:b/>
              </w:rPr>
            </w:pPr>
            <w:r>
              <w:rPr>
                <w:rFonts w:ascii="Arial" w:hAnsi="Arial" w:cs="Arial"/>
                <w:b/>
              </w:rPr>
              <w:t>ELOY CHICHI QUINTERO R.</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EMMA CLAUDIA CASTELLANOS</w:t>
            </w:r>
          </w:p>
          <w:p w:rsidR="00E06DD6" w:rsidRPr="00D21609" w:rsidRDefault="00E06DD6" w:rsidP="00667F57">
            <w:pPr>
              <w:rPr>
                <w:rFonts w:ascii="Arial" w:hAnsi="Arial" w:cs="Arial"/>
              </w:rPr>
            </w:pPr>
            <w:r>
              <w:rPr>
                <w:rFonts w:ascii="Arial" w:hAnsi="Arial" w:cs="Arial"/>
              </w:rPr>
              <w:t>Senadora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w:t>
            </w:r>
          </w:p>
          <w:p w:rsidR="00E06DD6" w:rsidRPr="00080A5A" w:rsidRDefault="00E06DD6" w:rsidP="00667F57">
            <w:pPr>
              <w:rPr>
                <w:rFonts w:ascii="Arial" w:hAnsi="Arial" w:cs="Arial"/>
                <w:b/>
              </w:rPr>
            </w:pPr>
            <w:r>
              <w:rPr>
                <w:rFonts w:ascii="Arial" w:hAnsi="Arial" w:cs="Arial"/>
                <w:b/>
              </w:rPr>
              <w:t xml:space="preserve">NESTOR LEONARDO RICO </w:t>
            </w:r>
            <w:proofErr w:type="spellStart"/>
            <w:r>
              <w:rPr>
                <w:rFonts w:ascii="Arial" w:hAnsi="Arial" w:cs="Arial"/>
                <w:b/>
              </w:rPr>
              <w:t>RICO</w:t>
            </w:r>
            <w:proofErr w:type="spellEnd"/>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GERMÁN VARÓN COTRINO</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GLORIA BETTY ZORRO AFRICANO</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965013" w:rsidRDefault="00E06DD6" w:rsidP="00667F57">
            <w:pPr>
              <w:rPr>
                <w:rFonts w:ascii="Arial" w:hAnsi="Arial" w:cs="Arial"/>
                <w:b/>
              </w:rPr>
            </w:pPr>
            <w:r w:rsidRPr="00965013">
              <w:rPr>
                <w:rFonts w:ascii="Arial" w:hAnsi="Arial" w:cs="Arial"/>
                <w:b/>
              </w:rPr>
              <w:t>TEMISTOCLES ORTEGA NARVAEZ</w:t>
            </w:r>
          </w:p>
          <w:p w:rsidR="00E06DD6" w:rsidRPr="00D21609" w:rsidRDefault="00E06DD6" w:rsidP="00667F57">
            <w:pPr>
              <w:rPr>
                <w:rFonts w:ascii="Arial" w:hAnsi="Arial" w:cs="Arial"/>
              </w:rPr>
            </w:pPr>
            <w:r>
              <w:rPr>
                <w:rFonts w:ascii="Arial" w:hAnsi="Arial" w:cs="Arial"/>
              </w:rPr>
              <w:t>Senador de la República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w:t>
            </w:r>
          </w:p>
          <w:p w:rsidR="00E06DD6" w:rsidRPr="00080A5A" w:rsidRDefault="00E06DD6" w:rsidP="00667F57">
            <w:pPr>
              <w:rPr>
                <w:rFonts w:ascii="Arial" w:hAnsi="Arial" w:cs="Arial"/>
                <w:b/>
              </w:rPr>
            </w:pPr>
            <w:r>
              <w:rPr>
                <w:rFonts w:ascii="Arial" w:hAnsi="Arial" w:cs="Arial"/>
                <w:b/>
              </w:rPr>
              <w:t>CARLOS A. CUENCA CHAUX</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DAVID ERNESTO PULIDO NOVOA</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JULIO CESAR TRIANA QUINTERO</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w:t>
            </w:r>
          </w:p>
          <w:p w:rsidR="00E06DD6" w:rsidRDefault="00E06DD6" w:rsidP="00667F57">
            <w:pPr>
              <w:rPr>
                <w:rFonts w:ascii="Arial" w:hAnsi="Arial" w:cs="Arial"/>
                <w:b/>
              </w:rPr>
            </w:pPr>
            <w:r>
              <w:rPr>
                <w:rFonts w:ascii="Arial" w:hAnsi="Arial" w:cs="Arial"/>
                <w:b/>
                <w:bCs/>
              </w:rPr>
              <w:t>CARLOS MARIO FARELO DAZA</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Pr="00D21609"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JOSÉ LUIS PINEDO CAMPO</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sidRPr="00080A5A">
              <w:rPr>
                <w:rFonts w:ascii="Arial" w:hAnsi="Arial" w:cs="Arial"/>
              </w:rPr>
              <w:t xml:space="preserve">Partido </w:t>
            </w:r>
            <w:r>
              <w:rPr>
                <w:rFonts w:ascii="Arial" w:hAnsi="Arial" w:cs="Arial"/>
              </w:rPr>
              <w:t>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JAIME RODRIGUEZ CONTRERAS</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BAYARDO G.  BETANCOURT</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ATILANO ALONSO GIRALDO</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Pr="00D21609"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JORGE MENDEZ HERNÁNDEZ</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1"/>
        <w:gridCol w:w="412"/>
        <w:gridCol w:w="4412"/>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SALIM VILLAMIL QUESSEP</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Default="00E06DD6" w:rsidP="00667F57">
            <w:pPr>
              <w:rPr>
                <w:rFonts w:ascii="Arial" w:hAnsi="Arial" w:cs="Arial"/>
                <w:b/>
              </w:rPr>
            </w:pPr>
          </w:p>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________________________________</w:t>
            </w:r>
          </w:p>
          <w:p w:rsidR="00E06DD6" w:rsidRPr="00080A5A" w:rsidRDefault="00E06DD6" w:rsidP="00667F57">
            <w:pPr>
              <w:rPr>
                <w:rFonts w:ascii="Arial" w:hAnsi="Arial" w:cs="Arial"/>
                <w:b/>
              </w:rPr>
            </w:pPr>
            <w:r>
              <w:rPr>
                <w:rFonts w:ascii="Arial" w:hAnsi="Arial" w:cs="Arial"/>
                <w:b/>
              </w:rPr>
              <w:t>HECTOR JAVIER VERGARA SIERRA</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91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50"/>
        <w:gridCol w:w="4335"/>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Default="00E06DD6" w:rsidP="00667F57">
            <w:pPr>
              <w:rPr>
                <w:rFonts w:ascii="Arial" w:hAnsi="Arial" w:cs="Arial"/>
                <w:b/>
              </w:rPr>
            </w:pPr>
            <w:r>
              <w:rPr>
                <w:rFonts w:ascii="Arial" w:hAnsi="Arial" w:cs="Arial"/>
                <w:b/>
                <w:bCs/>
              </w:rPr>
              <w:t>AQUILEO MEDINA ARTEAGA</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c>
          <w:tcPr>
            <w:tcW w:w="450" w:type="dxa"/>
            <w:tcBorders>
              <w:top w:val="nil"/>
              <w:bottom w:val="nil"/>
            </w:tcBorders>
          </w:tcPr>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p>
          <w:p w:rsidR="00E06DD6" w:rsidRPr="00D21609" w:rsidRDefault="00E06DD6" w:rsidP="00667F57">
            <w:pPr>
              <w:jc w:val="both"/>
              <w:rPr>
                <w:rFonts w:ascii="Arial" w:hAnsi="Arial" w:cs="Arial"/>
                <w:b/>
              </w:rPr>
            </w:pPr>
          </w:p>
        </w:tc>
        <w:tc>
          <w:tcPr>
            <w:tcW w:w="4335" w:type="dxa"/>
          </w:tcPr>
          <w:p w:rsidR="00E06DD6" w:rsidRPr="00D21609" w:rsidRDefault="00E06DD6" w:rsidP="00667F57">
            <w:pPr>
              <w:rPr>
                <w:rFonts w:ascii="Arial" w:hAnsi="Arial" w:cs="Arial"/>
                <w:b/>
              </w:rPr>
            </w:pPr>
          </w:p>
          <w:p w:rsidR="00E06DD6" w:rsidRPr="00D21609"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______________________________</w:t>
            </w:r>
          </w:p>
          <w:p w:rsidR="00E06DD6" w:rsidRPr="00080A5A" w:rsidRDefault="00E06DD6" w:rsidP="00667F57">
            <w:pPr>
              <w:rPr>
                <w:rFonts w:ascii="Arial" w:hAnsi="Arial" w:cs="Arial"/>
                <w:b/>
              </w:rPr>
            </w:pPr>
            <w:r>
              <w:rPr>
                <w:rFonts w:ascii="Arial" w:hAnsi="Arial" w:cs="Arial"/>
                <w:b/>
              </w:rPr>
              <w:t>OSCAR CAMILO ARANGO</w:t>
            </w:r>
          </w:p>
          <w:p w:rsidR="00E06DD6" w:rsidRPr="00080A5A" w:rsidRDefault="00E06DD6" w:rsidP="00667F57">
            <w:pPr>
              <w:rPr>
                <w:rFonts w:ascii="Arial" w:hAnsi="Arial" w:cs="Arial"/>
                <w:b/>
              </w:rPr>
            </w:pPr>
            <w:r w:rsidRPr="00080A5A">
              <w:rPr>
                <w:rFonts w:ascii="Arial" w:hAnsi="Arial" w:cs="Arial"/>
              </w:rPr>
              <w:t>Representante a la Cámara</w:t>
            </w:r>
          </w:p>
          <w:p w:rsidR="00E06DD6" w:rsidRPr="00965013" w:rsidRDefault="00E06DD6" w:rsidP="00667F57">
            <w:pPr>
              <w:rPr>
                <w:rFonts w:ascii="Arial" w:hAnsi="Arial" w:cs="Arial"/>
              </w:rPr>
            </w:pPr>
            <w:r>
              <w:rPr>
                <w:rFonts w:ascii="Arial" w:hAnsi="Arial" w:cs="Arial"/>
              </w:rPr>
              <w:t>Partido Cambio Radical</w:t>
            </w:r>
          </w:p>
        </w:tc>
      </w:tr>
    </w:tbl>
    <w:p w:rsidR="00E06DD6" w:rsidRDefault="00E06DD6" w:rsidP="00E06DD6">
      <w:pPr>
        <w:jc w:val="center"/>
        <w:rPr>
          <w:rFonts w:ascii="Arial" w:hAnsi="Arial" w:cs="Arial"/>
          <w:b/>
        </w:rPr>
      </w:pPr>
    </w:p>
    <w:tbl>
      <w:tblPr>
        <w:tblW w:w="43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tblGrid>
      <w:tr w:rsidR="00E06DD6" w:rsidRPr="00965013" w:rsidTr="00667F57">
        <w:trPr>
          <w:trHeight w:val="1575"/>
        </w:trPr>
        <w:tc>
          <w:tcPr>
            <w:tcW w:w="4320" w:type="dxa"/>
          </w:tcPr>
          <w:p w:rsidR="00E06DD6" w:rsidRDefault="00E06DD6" w:rsidP="00667F57">
            <w:pPr>
              <w:ind w:left="80"/>
              <w:jc w:val="both"/>
              <w:rPr>
                <w:rFonts w:ascii="Arial" w:hAnsi="Arial" w:cs="Arial"/>
                <w:b/>
              </w:rPr>
            </w:pPr>
          </w:p>
          <w:p w:rsidR="00E06DD6" w:rsidRPr="00D21609" w:rsidRDefault="00E06DD6" w:rsidP="00667F57">
            <w:pPr>
              <w:ind w:left="80"/>
              <w:jc w:val="both"/>
              <w:rPr>
                <w:rFonts w:ascii="Arial" w:hAnsi="Arial" w:cs="Arial"/>
                <w:b/>
              </w:rPr>
            </w:pPr>
          </w:p>
          <w:p w:rsidR="00E06DD6" w:rsidRDefault="00E06DD6" w:rsidP="00667F57">
            <w:pPr>
              <w:rPr>
                <w:rFonts w:ascii="Arial" w:hAnsi="Arial" w:cs="Arial"/>
                <w:b/>
              </w:rPr>
            </w:pPr>
          </w:p>
          <w:p w:rsidR="00E06DD6" w:rsidRDefault="00E06DD6" w:rsidP="00667F57">
            <w:pPr>
              <w:rPr>
                <w:rFonts w:ascii="Arial" w:hAnsi="Arial" w:cs="Arial"/>
                <w:b/>
              </w:rPr>
            </w:pPr>
            <w:r>
              <w:rPr>
                <w:rFonts w:ascii="Arial" w:hAnsi="Arial" w:cs="Arial"/>
                <w:b/>
              </w:rPr>
              <w:t>_____________________________</w:t>
            </w:r>
          </w:p>
          <w:p w:rsidR="00E06DD6" w:rsidRPr="00B633E7" w:rsidRDefault="00E06DD6" w:rsidP="00667F57">
            <w:pPr>
              <w:rPr>
                <w:rFonts w:ascii="Arial" w:hAnsi="Arial" w:cs="Arial"/>
                <w:b/>
              </w:rPr>
            </w:pPr>
            <w:r>
              <w:rPr>
                <w:rFonts w:ascii="Arial" w:hAnsi="Arial" w:cs="Arial"/>
                <w:b/>
              </w:rPr>
              <w:t>CIRO FERNANDEZ NUÑEZ</w:t>
            </w:r>
          </w:p>
          <w:p w:rsidR="00E06DD6" w:rsidRPr="00D21609" w:rsidRDefault="00E06DD6" w:rsidP="00667F57">
            <w:pPr>
              <w:rPr>
                <w:rFonts w:ascii="Arial" w:hAnsi="Arial" w:cs="Arial"/>
              </w:rPr>
            </w:pPr>
            <w:r>
              <w:rPr>
                <w:rFonts w:ascii="Arial" w:hAnsi="Arial" w:cs="Arial"/>
              </w:rPr>
              <w:t>Representante a la Cámara</w:t>
            </w:r>
          </w:p>
          <w:p w:rsidR="00E06DD6" w:rsidRPr="00D21609" w:rsidRDefault="00E06DD6" w:rsidP="00667F57">
            <w:pPr>
              <w:jc w:val="both"/>
              <w:rPr>
                <w:rFonts w:ascii="Arial" w:hAnsi="Arial" w:cs="Arial"/>
                <w:b/>
              </w:rPr>
            </w:pPr>
            <w:r w:rsidRPr="00D21609">
              <w:rPr>
                <w:rFonts w:ascii="Arial" w:hAnsi="Arial" w:cs="Arial"/>
              </w:rPr>
              <w:t>Pa</w:t>
            </w:r>
            <w:r>
              <w:rPr>
                <w:rFonts w:ascii="Arial" w:hAnsi="Arial" w:cs="Arial"/>
              </w:rPr>
              <w:t>r</w:t>
            </w:r>
            <w:r w:rsidRPr="00D21609">
              <w:rPr>
                <w:rFonts w:ascii="Arial" w:hAnsi="Arial" w:cs="Arial"/>
              </w:rPr>
              <w:t>tido Cambio Radical</w:t>
            </w:r>
          </w:p>
        </w:tc>
      </w:tr>
    </w:tbl>
    <w:p w:rsidR="00E06DD6" w:rsidRDefault="00E06DD6" w:rsidP="00E06DD6">
      <w:pPr>
        <w:rPr>
          <w:rFonts w:ascii="Arial" w:hAnsi="Arial" w:cs="Arial"/>
          <w:b/>
        </w:rPr>
      </w:pPr>
    </w:p>
    <w:p w:rsidR="00E06DD6" w:rsidRDefault="00E06DD6" w:rsidP="00E06DD6">
      <w:pPr>
        <w:jc w:val="center"/>
        <w:rPr>
          <w:rFonts w:ascii="Arial" w:hAnsi="Arial" w:cs="Arial"/>
          <w:b/>
        </w:rPr>
      </w:pPr>
    </w:p>
    <w:p w:rsidR="00E06DD6" w:rsidRDefault="00E06DD6" w:rsidP="00E06DD6"/>
    <w:p w:rsidR="00E06DD6" w:rsidRDefault="00E06DD6"/>
    <w:sectPr w:rsidR="00E06DD6" w:rsidSect="00AB1A55">
      <w:footerReference w:type="default" r:id="rId6"/>
      <w:pgSz w:w="12240" w:h="15840" w:code="1"/>
      <w:pgMar w:top="2552" w:right="1701" w:bottom="1701" w:left="1701"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677" w:rsidRDefault="00020677" w:rsidP="00AB1A55">
      <w:r>
        <w:separator/>
      </w:r>
    </w:p>
  </w:endnote>
  <w:endnote w:type="continuationSeparator" w:id="0">
    <w:p w:rsidR="00020677" w:rsidRDefault="00020677" w:rsidP="00AB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827568"/>
      <w:docPartObj>
        <w:docPartGallery w:val="Page Numbers (Bottom of Page)"/>
        <w:docPartUnique/>
      </w:docPartObj>
    </w:sdtPr>
    <w:sdtEndPr/>
    <w:sdtContent>
      <w:p w:rsidR="00C818DE" w:rsidRDefault="00AB1A55">
        <w:pPr>
          <w:pStyle w:val="Piedepgina"/>
          <w:jc w:val="right"/>
        </w:pPr>
        <w:r>
          <w:fldChar w:fldCharType="begin"/>
        </w:r>
        <w:r>
          <w:instrText>PAGE   \* MERGEFORMAT</w:instrText>
        </w:r>
        <w:r>
          <w:fldChar w:fldCharType="separate"/>
        </w:r>
        <w:r w:rsidR="00E95939" w:rsidRPr="00E95939">
          <w:rPr>
            <w:noProof/>
            <w:lang w:val="es-ES"/>
          </w:rPr>
          <w:t>8</w:t>
        </w:r>
        <w:r>
          <w:fldChar w:fldCharType="end"/>
        </w:r>
      </w:p>
    </w:sdtContent>
  </w:sdt>
  <w:p w:rsidR="00C818DE" w:rsidRDefault="000206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677" w:rsidRDefault="00020677" w:rsidP="00AB1A55">
      <w:r>
        <w:separator/>
      </w:r>
    </w:p>
  </w:footnote>
  <w:footnote w:type="continuationSeparator" w:id="0">
    <w:p w:rsidR="00020677" w:rsidRDefault="00020677" w:rsidP="00AB1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55"/>
    <w:rsid w:val="00020677"/>
    <w:rsid w:val="001E1E6C"/>
    <w:rsid w:val="008D1CD4"/>
    <w:rsid w:val="00AB1A55"/>
    <w:rsid w:val="00E06DD6"/>
    <w:rsid w:val="00E959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A34E"/>
  <w15:chartTrackingRefBased/>
  <w15:docId w15:val="{DD13A201-5DA3-4A0E-B6DA-FC84BA4FA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A55"/>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B1A55"/>
    <w:pPr>
      <w:spacing w:before="100" w:beforeAutospacing="1" w:after="100" w:afterAutospacing="1"/>
    </w:pPr>
  </w:style>
  <w:style w:type="character" w:styleId="Textoennegrita">
    <w:name w:val="Strong"/>
    <w:basedOn w:val="Fuentedeprrafopredeter"/>
    <w:uiPriority w:val="22"/>
    <w:qFormat/>
    <w:rsid w:val="00AB1A55"/>
    <w:rPr>
      <w:b/>
      <w:bCs/>
    </w:rPr>
  </w:style>
  <w:style w:type="paragraph" w:styleId="Encabezado">
    <w:name w:val="header"/>
    <w:basedOn w:val="Normal"/>
    <w:link w:val="EncabezadoCar"/>
    <w:uiPriority w:val="99"/>
    <w:unhideWhenUsed/>
    <w:rsid w:val="00AB1A55"/>
    <w:pPr>
      <w:tabs>
        <w:tab w:val="center" w:pos="4419"/>
        <w:tab w:val="right" w:pos="8838"/>
      </w:tabs>
    </w:pPr>
  </w:style>
  <w:style w:type="character" w:customStyle="1" w:styleId="EncabezadoCar">
    <w:name w:val="Encabezado Car"/>
    <w:basedOn w:val="Fuentedeprrafopredeter"/>
    <w:link w:val="Encabezado"/>
    <w:uiPriority w:val="99"/>
    <w:rsid w:val="00AB1A55"/>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AB1A55"/>
    <w:pPr>
      <w:tabs>
        <w:tab w:val="center" w:pos="4419"/>
        <w:tab w:val="right" w:pos="8838"/>
      </w:tabs>
    </w:pPr>
  </w:style>
  <w:style w:type="character" w:customStyle="1" w:styleId="PiedepginaCar">
    <w:name w:val="Pie de página Car"/>
    <w:basedOn w:val="Fuentedeprrafopredeter"/>
    <w:link w:val="Piedepgina"/>
    <w:uiPriority w:val="99"/>
    <w:rsid w:val="00AB1A55"/>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AB1A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1A55"/>
    <w:rPr>
      <w:rFonts w:ascii="Segoe UI" w:eastAsia="Times New Roman" w:hAnsi="Segoe UI" w:cs="Segoe UI"/>
      <w:sz w:val="18"/>
      <w:szCs w:val="18"/>
      <w:lang w:eastAsia="es-CO"/>
    </w:rPr>
  </w:style>
  <w:style w:type="paragraph" w:styleId="Prrafodelista">
    <w:name w:val="List Paragraph"/>
    <w:basedOn w:val="Normal"/>
    <w:uiPriority w:val="34"/>
    <w:qFormat/>
    <w:rsid w:val="001E1E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2556</Words>
  <Characters>14058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sibelys.barrios</dc:creator>
  <cp:keywords/>
  <dc:description/>
  <cp:lastModifiedBy>sibelys.barrios</cp:lastModifiedBy>
  <cp:revision>4</cp:revision>
  <cp:lastPrinted>2018-11-13T16:10:00Z</cp:lastPrinted>
  <dcterms:created xsi:type="dcterms:W3CDTF">2018-10-23T22:48:00Z</dcterms:created>
  <dcterms:modified xsi:type="dcterms:W3CDTF">2018-11-13T16:21:00Z</dcterms:modified>
</cp:coreProperties>
</file>